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00265" w14:textId="77777777" w:rsidR="006D3B45" w:rsidRDefault="00F72996" w:rsidP="00E863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 </w:t>
      </w:r>
      <w:r w:rsidR="00FE7429">
        <w:rPr>
          <w:rFonts w:ascii="Times New Roman" w:hAnsi="Times New Roman"/>
          <w:b/>
          <w:sz w:val="24"/>
          <w:szCs w:val="24"/>
        </w:rPr>
        <w:t>Likum</w:t>
      </w:r>
      <w:r w:rsidR="006D3B45" w:rsidRPr="00E86332">
        <w:rPr>
          <w:rFonts w:ascii="Times New Roman" w:hAnsi="Times New Roman"/>
          <w:b/>
          <w:sz w:val="24"/>
          <w:szCs w:val="24"/>
        </w:rPr>
        <w:t xml:space="preserve">projekta </w:t>
      </w:r>
      <w:r w:rsidR="00CD2DE5">
        <w:rPr>
          <w:rFonts w:ascii="Times New Roman" w:hAnsi="Times New Roman"/>
          <w:b/>
          <w:sz w:val="24"/>
          <w:szCs w:val="24"/>
        </w:rPr>
        <w:t>“Grozījum</w:t>
      </w:r>
      <w:r w:rsidR="005F31AF">
        <w:rPr>
          <w:rFonts w:ascii="Times New Roman" w:hAnsi="Times New Roman"/>
          <w:b/>
          <w:sz w:val="24"/>
          <w:szCs w:val="24"/>
        </w:rPr>
        <w:t xml:space="preserve">i </w:t>
      </w:r>
      <w:r w:rsidR="00CD2DE5">
        <w:rPr>
          <w:rFonts w:ascii="Times New Roman" w:hAnsi="Times New Roman"/>
          <w:b/>
          <w:sz w:val="24"/>
          <w:szCs w:val="24"/>
        </w:rPr>
        <w:t>Administratīvo sodu likumā</w:t>
      </w:r>
      <w:r w:rsidR="00CD2DE5" w:rsidRPr="00CD2DE5">
        <w:rPr>
          <w:rFonts w:ascii="Times New Roman" w:hAnsi="Times New Roman"/>
          <w:b/>
          <w:sz w:val="24"/>
          <w:szCs w:val="24"/>
        </w:rPr>
        <w:t xml:space="preserve"> par pārkāpumiem pārvaldes, sabiedriskās kārtības un valsts valodas lietošanas jomā</w:t>
      </w:r>
      <w:r w:rsidR="00CD2DE5">
        <w:rPr>
          <w:rFonts w:ascii="Times New Roman" w:hAnsi="Times New Roman"/>
          <w:b/>
          <w:sz w:val="24"/>
          <w:szCs w:val="24"/>
        </w:rPr>
        <w:t>”</w:t>
      </w:r>
      <w:r w:rsidR="00CD2DE5" w:rsidRPr="00CD2DE5">
        <w:rPr>
          <w:rFonts w:ascii="Times New Roman" w:hAnsi="Times New Roman"/>
          <w:b/>
          <w:sz w:val="24"/>
          <w:szCs w:val="24"/>
        </w:rPr>
        <w:t xml:space="preserve"> </w:t>
      </w:r>
      <w:r w:rsidR="006D3B45" w:rsidRPr="00E86332">
        <w:rPr>
          <w:rFonts w:ascii="Times New Roman" w:hAnsi="Times New Roman"/>
          <w:b/>
          <w:bCs/>
          <w:sz w:val="24"/>
          <w:szCs w:val="24"/>
        </w:rPr>
        <w:t xml:space="preserve">sākotnējās ietekmes novērtējuma </w:t>
      </w:r>
      <w:smartTag w:uri="schemas-tilde-lv/tildestengine" w:element="veidnes">
        <w:smartTagPr>
          <w:attr w:name="id" w:val="-1"/>
          <w:attr w:name="baseform" w:val="ziņojums"/>
          <w:attr w:name="text" w:val="ziņojums"/>
        </w:smartTagPr>
        <w:r w:rsidR="006D3B45" w:rsidRPr="00E86332">
          <w:rPr>
            <w:rFonts w:ascii="Times New Roman" w:hAnsi="Times New Roman"/>
            <w:b/>
            <w:bCs/>
            <w:sz w:val="24"/>
            <w:szCs w:val="24"/>
          </w:rPr>
          <w:t>ziņojums</w:t>
        </w:r>
      </w:smartTag>
      <w:r w:rsidR="006D3B45" w:rsidRPr="00E86332">
        <w:rPr>
          <w:rFonts w:ascii="Times New Roman" w:hAnsi="Times New Roman"/>
          <w:b/>
          <w:bCs/>
          <w:sz w:val="24"/>
          <w:szCs w:val="24"/>
        </w:rPr>
        <w:t xml:space="preserve"> (anotācija)</w:t>
      </w:r>
    </w:p>
    <w:p w14:paraId="5D18BB06" w14:textId="77777777" w:rsidR="0077781C" w:rsidRDefault="0077781C" w:rsidP="00102A09">
      <w:pPr>
        <w:spacing w:after="0" w:line="240" w:lineRule="auto"/>
        <w:rPr>
          <w:rFonts w:ascii="Times New Roman" w:hAnsi="Times New Roman"/>
          <w:b/>
          <w:sz w:val="24"/>
          <w:szCs w:val="24"/>
        </w:rPr>
      </w:pPr>
    </w:p>
    <w:p w14:paraId="190154E4" w14:textId="77777777" w:rsidR="005A799C" w:rsidRDefault="005A799C" w:rsidP="00102A09">
      <w:pPr>
        <w:spacing w:after="0" w:line="240" w:lineRule="auto"/>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FE7429" w:rsidRPr="008559FD" w14:paraId="5CF71718" w14:textId="77777777" w:rsidTr="00B512FF">
        <w:trPr>
          <w:trHeight w:val="444"/>
        </w:trPr>
        <w:tc>
          <w:tcPr>
            <w:tcW w:w="9209" w:type="dxa"/>
            <w:gridSpan w:val="2"/>
            <w:shd w:val="clear" w:color="auto" w:fill="auto"/>
            <w:vAlign w:val="center"/>
          </w:tcPr>
          <w:p w14:paraId="18CBC952" w14:textId="77777777" w:rsidR="00FE7429" w:rsidRPr="008559FD" w:rsidRDefault="00FE7429" w:rsidP="00B512FF">
            <w:pPr>
              <w:spacing w:after="0" w:line="240" w:lineRule="auto"/>
              <w:jc w:val="center"/>
              <w:rPr>
                <w:rFonts w:ascii="Times New Roman" w:hAnsi="Times New Roman"/>
                <w:b/>
                <w:sz w:val="24"/>
                <w:szCs w:val="24"/>
              </w:rPr>
            </w:pPr>
            <w:r w:rsidRPr="008559FD">
              <w:rPr>
                <w:rFonts w:ascii="Times New Roman" w:hAnsi="Times New Roman"/>
                <w:b/>
                <w:sz w:val="24"/>
                <w:szCs w:val="24"/>
              </w:rPr>
              <w:t>Tiesību akta projekta anotācijas kopsavilkums</w:t>
            </w:r>
          </w:p>
        </w:tc>
      </w:tr>
      <w:tr w:rsidR="00FE7429" w:rsidRPr="008559FD" w14:paraId="651064F1" w14:textId="77777777" w:rsidTr="00882AC5">
        <w:trPr>
          <w:trHeight w:val="1559"/>
        </w:trPr>
        <w:tc>
          <w:tcPr>
            <w:tcW w:w="2802" w:type="dxa"/>
            <w:shd w:val="clear" w:color="auto" w:fill="auto"/>
          </w:tcPr>
          <w:p w14:paraId="0E3DD86D" w14:textId="77777777" w:rsidR="00FE7429" w:rsidRPr="008559FD" w:rsidRDefault="00FE7429" w:rsidP="00B512FF">
            <w:pPr>
              <w:spacing w:after="0" w:line="240" w:lineRule="auto"/>
              <w:rPr>
                <w:rFonts w:ascii="Times New Roman" w:hAnsi="Times New Roman"/>
                <w:sz w:val="24"/>
                <w:szCs w:val="24"/>
              </w:rPr>
            </w:pPr>
            <w:r w:rsidRPr="008559FD">
              <w:rPr>
                <w:rFonts w:ascii="Times New Roman" w:hAnsi="Times New Roman"/>
                <w:sz w:val="24"/>
                <w:szCs w:val="24"/>
              </w:rPr>
              <w:t>Mērķis, risinājums un projekta spēkā stāšanās laiks (500 zīmes bez atstarpēm)</w:t>
            </w:r>
          </w:p>
        </w:tc>
        <w:tc>
          <w:tcPr>
            <w:tcW w:w="6407" w:type="dxa"/>
            <w:shd w:val="clear" w:color="auto" w:fill="auto"/>
          </w:tcPr>
          <w:p w14:paraId="75A485DE" w14:textId="77777777" w:rsidR="00FE7429" w:rsidRPr="00C528BE" w:rsidRDefault="006B147B" w:rsidP="00B512FF">
            <w:pPr>
              <w:spacing w:after="0" w:line="240" w:lineRule="auto"/>
              <w:jc w:val="both"/>
              <w:rPr>
                <w:rFonts w:ascii="Times New Roman" w:hAnsi="Times New Roman"/>
                <w:sz w:val="24"/>
                <w:szCs w:val="24"/>
              </w:rPr>
            </w:pPr>
            <w:r>
              <w:rPr>
                <w:rFonts w:ascii="Times New Roman" w:hAnsi="Times New Roman"/>
                <w:sz w:val="24"/>
                <w:szCs w:val="24"/>
              </w:rPr>
              <w:t>Likumprojekts ir izstrādāts, lai nodrošinātu Eiropas Savienības tiesību akta īstenošanu. Likumprojekts nosaka atbildību par administratīvajiem pārkāpumiem</w:t>
            </w:r>
            <w:r w:rsidR="00ED4D7A">
              <w:rPr>
                <w:rFonts w:ascii="Times New Roman" w:hAnsi="Times New Roman"/>
                <w:sz w:val="24"/>
                <w:szCs w:val="24"/>
              </w:rPr>
              <w:t>, kas ir saistīti ar</w:t>
            </w:r>
            <w:r>
              <w:rPr>
                <w:rFonts w:ascii="Times New Roman" w:hAnsi="Times New Roman"/>
                <w:sz w:val="24"/>
                <w:szCs w:val="24"/>
              </w:rPr>
              <w:t xml:space="preserve"> </w:t>
            </w:r>
            <w:r w:rsidRPr="00D9455E">
              <w:rPr>
                <w:rFonts w:ascii="Times New Roman" w:hAnsi="Times New Roman"/>
                <w:sz w:val="24"/>
                <w:szCs w:val="24"/>
              </w:rPr>
              <w:t xml:space="preserve">sprāgstvielu </w:t>
            </w:r>
            <w:r w:rsidRPr="00C528BE">
              <w:rPr>
                <w:rFonts w:ascii="Times New Roman" w:hAnsi="Times New Roman"/>
                <w:sz w:val="24"/>
                <w:szCs w:val="24"/>
              </w:rPr>
              <w:t xml:space="preserve">prekursoru </w:t>
            </w:r>
            <w:r w:rsidR="00ED4D7A" w:rsidRPr="00C528BE">
              <w:rPr>
                <w:rFonts w:ascii="Times New Roman" w:hAnsi="Times New Roman"/>
                <w:sz w:val="24"/>
                <w:szCs w:val="24"/>
              </w:rPr>
              <w:t>apriti</w:t>
            </w:r>
            <w:r w:rsidRPr="00C528BE">
              <w:rPr>
                <w:rFonts w:ascii="Times New Roman" w:hAnsi="Times New Roman"/>
                <w:sz w:val="24"/>
                <w:szCs w:val="24"/>
              </w:rPr>
              <w:t xml:space="preserve">. </w:t>
            </w:r>
          </w:p>
          <w:p w14:paraId="43B07F4C" w14:textId="5A78A1AE" w:rsidR="006B147B" w:rsidRPr="009C1F6E" w:rsidRDefault="006B147B" w:rsidP="00882AC5">
            <w:pPr>
              <w:spacing w:after="0" w:line="240" w:lineRule="auto"/>
              <w:jc w:val="both"/>
              <w:rPr>
                <w:rFonts w:ascii="Times New Roman" w:hAnsi="Times New Roman"/>
                <w:sz w:val="24"/>
                <w:szCs w:val="24"/>
              </w:rPr>
            </w:pPr>
            <w:r w:rsidRPr="00C528BE">
              <w:rPr>
                <w:rFonts w:ascii="Times New Roman" w:hAnsi="Times New Roman"/>
                <w:sz w:val="24"/>
                <w:szCs w:val="24"/>
              </w:rPr>
              <w:t>Likumprojekt</w:t>
            </w:r>
            <w:r w:rsidR="00882AC5">
              <w:rPr>
                <w:rFonts w:ascii="Times New Roman" w:hAnsi="Times New Roman"/>
                <w:sz w:val="24"/>
                <w:szCs w:val="24"/>
              </w:rPr>
              <w:t>s</w:t>
            </w:r>
            <w:r w:rsidR="00C528BE" w:rsidRPr="00C528BE">
              <w:rPr>
                <w:rFonts w:ascii="Times New Roman" w:hAnsi="Times New Roman"/>
                <w:bCs/>
                <w:sz w:val="24"/>
                <w:szCs w:val="24"/>
              </w:rPr>
              <w:t xml:space="preserve"> stājas spēkā </w:t>
            </w:r>
            <w:r w:rsidR="00886C1F">
              <w:rPr>
                <w:rFonts w:ascii="Times New Roman" w:hAnsi="Times New Roman"/>
                <w:bCs/>
                <w:sz w:val="24"/>
                <w:szCs w:val="24"/>
              </w:rPr>
              <w:t>vispārējā kārtībā.</w:t>
            </w:r>
          </w:p>
        </w:tc>
      </w:tr>
    </w:tbl>
    <w:p w14:paraId="40FD65B1" w14:textId="77777777" w:rsidR="0077781C" w:rsidRPr="00487A7A" w:rsidRDefault="0077781C" w:rsidP="0077781C">
      <w:pPr>
        <w:spacing w:after="0" w:line="240" w:lineRule="auto"/>
        <w:jc w:val="center"/>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6384"/>
      </w:tblGrid>
      <w:tr w:rsidR="0077781C" w:rsidRPr="00487A7A" w14:paraId="4384C203" w14:textId="77777777" w:rsidTr="00102A09">
        <w:trPr>
          <w:trHeight w:val="422"/>
        </w:trPr>
        <w:tc>
          <w:tcPr>
            <w:tcW w:w="9209" w:type="dxa"/>
            <w:gridSpan w:val="3"/>
          </w:tcPr>
          <w:p w14:paraId="5432FF9B" w14:textId="77777777" w:rsidR="0077781C" w:rsidRPr="00487A7A" w:rsidRDefault="0077781C" w:rsidP="00B512FF">
            <w:pPr>
              <w:pStyle w:val="BodyText"/>
              <w:spacing w:after="0"/>
              <w:jc w:val="center"/>
              <w:rPr>
                <w:lang w:val="lv-LV"/>
              </w:rPr>
            </w:pPr>
            <w:r w:rsidRPr="00487A7A">
              <w:rPr>
                <w:b/>
                <w:lang w:val="lv-LV"/>
              </w:rPr>
              <w:t>I. Tiesību akta projekta izstrādes nepieciešamība</w:t>
            </w:r>
          </w:p>
        </w:tc>
      </w:tr>
      <w:tr w:rsidR="0077781C" w:rsidRPr="00487A7A" w14:paraId="6E381B39" w14:textId="77777777" w:rsidTr="00102A09">
        <w:tc>
          <w:tcPr>
            <w:tcW w:w="515" w:type="dxa"/>
          </w:tcPr>
          <w:p w14:paraId="5713CBB9" w14:textId="77777777" w:rsidR="0077781C" w:rsidRPr="00487A7A" w:rsidRDefault="0077781C" w:rsidP="00B512FF">
            <w:pPr>
              <w:spacing w:after="0" w:line="240" w:lineRule="auto"/>
              <w:rPr>
                <w:rFonts w:ascii="Times New Roman" w:hAnsi="Times New Roman"/>
                <w:sz w:val="24"/>
                <w:szCs w:val="24"/>
              </w:rPr>
            </w:pPr>
            <w:r w:rsidRPr="00487A7A">
              <w:rPr>
                <w:rFonts w:ascii="Times New Roman" w:hAnsi="Times New Roman"/>
                <w:sz w:val="24"/>
                <w:szCs w:val="24"/>
              </w:rPr>
              <w:t>1.</w:t>
            </w:r>
          </w:p>
        </w:tc>
        <w:tc>
          <w:tcPr>
            <w:tcW w:w="2310" w:type="dxa"/>
          </w:tcPr>
          <w:p w14:paraId="2D7B61DB" w14:textId="77777777" w:rsidR="0077781C" w:rsidRPr="00487A7A" w:rsidRDefault="0077781C" w:rsidP="00B512FF">
            <w:pPr>
              <w:spacing w:after="0" w:line="240" w:lineRule="auto"/>
              <w:rPr>
                <w:rFonts w:ascii="Times New Roman" w:hAnsi="Times New Roman"/>
                <w:sz w:val="24"/>
                <w:szCs w:val="24"/>
              </w:rPr>
            </w:pPr>
            <w:r w:rsidRPr="00487A7A">
              <w:rPr>
                <w:rFonts w:ascii="Times New Roman" w:hAnsi="Times New Roman"/>
                <w:sz w:val="24"/>
                <w:szCs w:val="24"/>
              </w:rPr>
              <w:t>Pamatojums</w:t>
            </w:r>
          </w:p>
        </w:tc>
        <w:tc>
          <w:tcPr>
            <w:tcW w:w="6384" w:type="dxa"/>
          </w:tcPr>
          <w:p w14:paraId="7165ECBE" w14:textId="5E6B4842" w:rsidR="0077781C" w:rsidRPr="00487A7A" w:rsidRDefault="00390DD2" w:rsidP="00882AC5">
            <w:pPr>
              <w:spacing w:after="0" w:line="240" w:lineRule="auto"/>
              <w:ind w:firstLine="720"/>
              <w:jc w:val="both"/>
              <w:rPr>
                <w:rFonts w:ascii="Times New Roman" w:hAnsi="Times New Roman"/>
                <w:sz w:val="24"/>
                <w:szCs w:val="24"/>
              </w:rPr>
            </w:pPr>
            <w:r w:rsidRPr="00D21CE4">
              <w:rPr>
                <w:rFonts w:ascii="Times New Roman" w:hAnsi="Times New Roman"/>
                <w:sz w:val="24"/>
                <w:szCs w:val="24"/>
              </w:rPr>
              <w:t xml:space="preserve">Eiropas Parlamenta un </w:t>
            </w:r>
            <w:r w:rsidRPr="00D9455E">
              <w:rPr>
                <w:rFonts w:ascii="Times New Roman" w:hAnsi="Times New Roman"/>
                <w:sz w:val="24"/>
                <w:szCs w:val="24"/>
              </w:rPr>
              <w:t xml:space="preserve">Padomes 2019. gada 20. jūnija Regula (ES) Nr. </w:t>
            </w:r>
            <w:r w:rsidRPr="00D9455E">
              <w:rPr>
                <w:rStyle w:val="Hyperlink"/>
                <w:rFonts w:ascii="Times New Roman" w:hAnsi="Times New Roman"/>
                <w:color w:val="auto"/>
                <w:sz w:val="24"/>
                <w:szCs w:val="24"/>
                <w:u w:val="none"/>
              </w:rPr>
              <w:t>2019/1148</w:t>
            </w:r>
            <w:r w:rsidRPr="00D9455E">
              <w:rPr>
                <w:rFonts w:ascii="Times New Roman" w:hAnsi="Times New Roman"/>
                <w:sz w:val="24"/>
                <w:szCs w:val="24"/>
              </w:rPr>
              <w:t xml:space="preserve"> par sprāgstvielu prekursoru tirdzniecību un lietošanu</w:t>
            </w:r>
            <w:r w:rsidRPr="00D9455E">
              <w:rPr>
                <w:rFonts w:ascii="Times New Roman" w:hAnsi="Times New Roman"/>
                <w:sz w:val="24"/>
                <w:szCs w:val="24"/>
                <w:shd w:val="clear" w:color="auto" w:fill="FFFFFF"/>
              </w:rPr>
              <w:t>, ar ko groza Regulu (EK) Nr. 1907/2006 un atceļ Regulu (ES) Nr. 98/2013</w:t>
            </w:r>
            <w:r w:rsidRPr="00D21CE4">
              <w:rPr>
                <w:rFonts w:ascii="Times New Roman" w:hAnsi="Times New Roman"/>
                <w:sz w:val="24"/>
                <w:szCs w:val="24"/>
              </w:rPr>
              <w:t xml:space="preserve">. </w:t>
            </w:r>
          </w:p>
        </w:tc>
      </w:tr>
      <w:tr w:rsidR="0077781C" w:rsidRPr="00487A7A" w14:paraId="77CD04BD" w14:textId="77777777" w:rsidTr="00B4756E">
        <w:trPr>
          <w:trHeight w:val="70"/>
        </w:trPr>
        <w:tc>
          <w:tcPr>
            <w:tcW w:w="515" w:type="dxa"/>
          </w:tcPr>
          <w:p w14:paraId="7979509D" w14:textId="77777777" w:rsidR="0077781C" w:rsidRPr="00487A7A" w:rsidRDefault="0077781C" w:rsidP="00B512FF">
            <w:pPr>
              <w:spacing w:after="0" w:line="240" w:lineRule="auto"/>
              <w:rPr>
                <w:rFonts w:ascii="Times New Roman" w:hAnsi="Times New Roman"/>
                <w:sz w:val="24"/>
                <w:szCs w:val="24"/>
              </w:rPr>
            </w:pPr>
            <w:r w:rsidRPr="00487A7A">
              <w:rPr>
                <w:rFonts w:ascii="Times New Roman" w:hAnsi="Times New Roman"/>
                <w:sz w:val="24"/>
                <w:szCs w:val="24"/>
              </w:rPr>
              <w:t>2.</w:t>
            </w:r>
          </w:p>
        </w:tc>
        <w:tc>
          <w:tcPr>
            <w:tcW w:w="2310" w:type="dxa"/>
          </w:tcPr>
          <w:p w14:paraId="3E16A16E" w14:textId="77777777" w:rsidR="0077781C" w:rsidRDefault="0077781C" w:rsidP="00B512FF">
            <w:pPr>
              <w:spacing w:after="0" w:line="240" w:lineRule="auto"/>
              <w:rPr>
                <w:rFonts w:ascii="Times New Roman" w:hAnsi="Times New Roman"/>
                <w:sz w:val="24"/>
                <w:szCs w:val="24"/>
              </w:rPr>
            </w:pPr>
            <w:r w:rsidRPr="00487A7A">
              <w:rPr>
                <w:rFonts w:ascii="Times New Roman" w:hAnsi="Times New Roman"/>
                <w:sz w:val="24"/>
                <w:szCs w:val="24"/>
              </w:rPr>
              <w:t>Pašreizējā situācija un problēmas, kuru risināšanai tiesību akta projekts izstrādāts, tiesiskā regulējuma mērķis un būtība</w:t>
            </w:r>
          </w:p>
          <w:p w14:paraId="053BBF53" w14:textId="77777777" w:rsidR="0077781C" w:rsidRPr="001B70D7" w:rsidRDefault="0077781C" w:rsidP="00B512FF">
            <w:pPr>
              <w:rPr>
                <w:rFonts w:ascii="Times New Roman" w:hAnsi="Times New Roman"/>
                <w:sz w:val="24"/>
                <w:szCs w:val="24"/>
              </w:rPr>
            </w:pPr>
          </w:p>
          <w:p w14:paraId="602775C5" w14:textId="77777777" w:rsidR="0077781C" w:rsidRPr="00E120D6" w:rsidRDefault="0077781C" w:rsidP="00B512FF">
            <w:pPr>
              <w:rPr>
                <w:rFonts w:ascii="Times New Roman" w:hAnsi="Times New Roman"/>
                <w:sz w:val="24"/>
                <w:szCs w:val="24"/>
              </w:rPr>
            </w:pPr>
          </w:p>
          <w:p w14:paraId="64DDDD42" w14:textId="77777777" w:rsidR="0077781C" w:rsidRPr="00E120D6" w:rsidRDefault="0077781C" w:rsidP="00B512FF">
            <w:pPr>
              <w:rPr>
                <w:rFonts w:ascii="Times New Roman" w:hAnsi="Times New Roman"/>
                <w:sz w:val="24"/>
                <w:szCs w:val="24"/>
              </w:rPr>
            </w:pPr>
          </w:p>
          <w:p w14:paraId="2E7E0CE3" w14:textId="77777777" w:rsidR="0077781C" w:rsidRPr="00E120D6" w:rsidRDefault="0077781C" w:rsidP="00B512FF">
            <w:pPr>
              <w:rPr>
                <w:rFonts w:ascii="Times New Roman" w:hAnsi="Times New Roman"/>
                <w:sz w:val="24"/>
                <w:szCs w:val="24"/>
              </w:rPr>
            </w:pPr>
          </w:p>
          <w:p w14:paraId="34C12720" w14:textId="77777777" w:rsidR="0077781C" w:rsidRPr="00E120D6" w:rsidRDefault="0077781C" w:rsidP="00B512FF">
            <w:pPr>
              <w:rPr>
                <w:rFonts w:ascii="Times New Roman" w:hAnsi="Times New Roman"/>
                <w:sz w:val="24"/>
                <w:szCs w:val="24"/>
              </w:rPr>
            </w:pPr>
          </w:p>
          <w:p w14:paraId="7106B51D" w14:textId="77777777" w:rsidR="0077781C" w:rsidRPr="00E120D6" w:rsidRDefault="0077781C" w:rsidP="00B512FF">
            <w:pPr>
              <w:rPr>
                <w:rFonts w:ascii="Times New Roman" w:hAnsi="Times New Roman"/>
                <w:sz w:val="24"/>
                <w:szCs w:val="24"/>
              </w:rPr>
            </w:pPr>
          </w:p>
          <w:p w14:paraId="295F061C" w14:textId="77777777" w:rsidR="0077781C" w:rsidRPr="00E120D6" w:rsidRDefault="0077781C" w:rsidP="00B512FF">
            <w:pPr>
              <w:rPr>
                <w:rFonts w:ascii="Times New Roman" w:hAnsi="Times New Roman"/>
                <w:sz w:val="24"/>
                <w:szCs w:val="24"/>
              </w:rPr>
            </w:pPr>
          </w:p>
          <w:p w14:paraId="3D7A1B4A" w14:textId="77777777" w:rsidR="00FB6743" w:rsidRDefault="00FB6743" w:rsidP="00B512FF">
            <w:pPr>
              <w:rPr>
                <w:rFonts w:ascii="Times New Roman" w:hAnsi="Times New Roman"/>
                <w:sz w:val="24"/>
                <w:szCs w:val="24"/>
              </w:rPr>
            </w:pPr>
          </w:p>
          <w:p w14:paraId="1075CBCA" w14:textId="77777777" w:rsidR="00FB6743" w:rsidRPr="00FB6743" w:rsidRDefault="00FB6743" w:rsidP="00FB6743">
            <w:pPr>
              <w:rPr>
                <w:rFonts w:ascii="Times New Roman" w:hAnsi="Times New Roman"/>
                <w:sz w:val="24"/>
                <w:szCs w:val="24"/>
              </w:rPr>
            </w:pPr>
          </w:p>
          <w:p w14:paraId="1217B90F" w14:textId="77777777" w:rsidR="00FB6743" w:rsidRPr="00FB6743" w:rsidRDefault="00FB6743" w:rsidP="00FB6743">
            <w:pPr>
              <w:rPr>
                <w:rFonts w:ascii="Times New Roman" w:hAnsi="Times New Roman"/>
                <w:sz w:val="24"/>
                <w:szCs w:val="24"/>
              </w:rPr>
            </w:pPr>
          </w:p>
          <w:p w14:paraId="33234287" w14:textId="77777777" w:rsidR="0077781C" w:rsidRPr="00FB6743" w:rsidRDefault="0077781C" w:rsidP="00A50DEA">
            <w:pPr>
              <w:jc w:val="right"/>
              <w:rPr>
                <w:rFonts w:ascii="Times New Roman" w:hAnsi="Times New Roman"/>
                <w:sz w:val="24"/>
                <w:szCs w:val="24"/>
              </w:rPr>
            </w:pPr>
          </w:p>
        </w:tc>
        <w:tc>
          <w:tcPr>
            <w:tcW w:w="6384" w:type="dxa"/>
          </w:tcPr>
          <w:p w14:paraId="6ABBF2DB" w14:textId="1445A87F" w:rsidR="00390DD2" w:rsidRPr="00D21CE4" w:rsidRDefault="00390DD2" w:rsidP="002333C9">
            <w:pPr>
              <w:spacing w:after="0" w:line="240" w:lineRule="auto"/>
              <w:ind w:firstLine="720"/>
              <w:jc w:val="both"/>
              <w:rPr>
                <w:rFonts w:ascii="Times New Roman" w:hAnsi="Times New Roman"/>
                <w:sz w:val="24"/>
                <w:szCs w:val="24"/>
              </w:rPr>
            </w:pPr>
            <w:r w:rsidRPr="007B5450">
              <w:rPr>
                <w:rFonts w:ascii="Times New Roman" w:hAnsi="Times New Roman"/>
                <w:sz w:val="24"/>
                <w:szCs w:val="24"/>
              </w:rPr>
              <w:t xml:space="preserve">2019. gada 20. jūnijā tika pieņemta Eiropas Parlamenta un Padomes 2019. gada 20. jūnija Regula (ES) Nr. </w:t>
            </w:r>
            <w:r w:rsidRPr="007B5450">
              <w:rPr>
                <w:rStyle w:val="Hyperlink"/>
                <w:rFonts w:ascii="Times New Roman" w:hAnsi="Times New Roman"/>
                <w:color w:val="auto"/>
                <w:sz w:val="24"/>
                <w:szCs w:val="24"/>
                <w:u w:val="none"/>
              </w:rPr>
              <w:t>2019/1148</w:t>
            </w:r>
            <w:r w:rsidRPr="007B5450">
              <w:rPr>
                <w:rFonts w:ascii="Times New Roman" w:hAnsi="Times New Roman"/>
                <w:sz w:val="24"/>
                <w:szCs w:val="24"/>
              </w:rPr>
              <w:t xml:space="preserve"> par sprāgstvielu prekursoru</w:t>
            </w:r>
            <w:r w:rsidRPr="00D9455E">
              <w:rPr>
                <w:rFonts w:ascii="Times New Roman" w:hAnsi="Times New Roman"/>
                <w:sz w:val="24"/>
                <w:szCs w:val="24"/>
              </w:rPr>
              <w:t xml:space="preserve"> tirdzniecību un lietošanu</w:t>
            </w:r>
            <w:r w:rsidRPr="00D9455E">
              <w:rPr>
                <w:rFonts w:ascii="Times New Roman" w:hAnsi="Times New Roman"/>
                <w:sz w:val="24"/>
                <w:szCs w:val="24"/>
                <w:shd w:val="clear" w:color="auto" w:fill="FFFFFF"/>
              </w:rPr>
              <w:t>, ar ko groza Regulu (EK) Nr. 1907/2006 un atceļ Regulu (ES) Nr. 98/2013</w:t>
            </w:r>
            <w:r w:rsidRPr="00D9455E">
              <w:rPr>
                <w:rFonts w:ascii="Times New Roman" w:hAnsi="Times New Roman"/>
                <w:sz w:val="24"/>
                <w:szCs w:val="24"/>
              </w:rPr>
              <w:t xml:space="preserve"> (turpmāk – Regula Nr. 2019/1148), kura ar 2021.gada 1.februāri </w:t>
            </w:r>
            <w:r w:rsidR="00886C1F" w:rsidRPr="00D9455E">
              <w:rPr>
                <w:rFonts w:ascii="Times New Roman" w:hAnsi="Times New Roman"/>
                <w:sz w:val="24"/>
                <w:szCs w:val="24"/>
              </w:rPr>
              <w:t>aizstā</w:t>
            </w:r>
            <w:r w:rsidR="00886C1F">
              <w:rPr>
                <w:rFonts w:ascii="Times New Roman" w:hAnsi="Times New Roman"/>
                <w:sz w:val="24"/>
                <w:szCs w:val="24"/>
              </w:rPr>
              <w:t xml:space="preserve">j </w:t>
            </w:r>
            <w:r w:rsidRPr="00D9455E">
              <w:rPr>
                <w:rFonts w:ascii="Times New Roman" w:hAnsi="Times New Roman"/>
                <w:sz w:val="24"/>
                <w:szCs w:val="24"/>
              </w:rPr>
              <w:t xml:space="preserve">Eiropas Parlamenta un Padomes 2013. gada 15. janvāra Regulu (ES) Nr. </w:t>
            </w:r>
            <w:r w:rsidRPr="00D9455E">
              <w:rPr>
                <w:rStyle w:val="Hyperlink"/>
                <w:rFonts w:ascii="Times New Roman" w:hAnsi="Times New Roman"/>
                <w:color w:val="auto"/>
                <w:sz w:val="24"/>
                <w:szCs w:val="24"/>
                <w:u w:val="none"/>
              </w:rPr>
              <w:t>98/2013</w:t>
            </w:r>
            <w:r w:rsidRPr="00D9455E">
              <w:rPr>
                <w:rFonts w:ascii="Times New Roman" w:hAnsi="Times New Roman"/>
                <w:sz w:val="24"/>
                <w:szCs w:val="24"/>
              </w:rPr>
              <w:t xml:space="preserve"> par sprāgstvielu </w:t>
            </w:r>
            <w:r w:rsidRPr="00D21CE4">
              <w:rPr>
                <w:rFonts w:ascii="Times New Roman" w:hAnsi="Times New Roman"/>
                <w:sz w:val="24"/>
                <w:szCs w:val="24"/>
              </w:rPr>
              <w:t>prekursoru tirdzniecību un lietošanu</w:t>
            </w:r>
            <w:r>
              <w:rPr>
                <w:rFonts w:ascii="Times New Roman" w:hAnsi="Times New Roman"/>
                <w:sz w:val="24"/>
                <w:szCs w:val="24"/>
              </w:rPr>
              <w:t xml:space="preserve"> </w:t>
            </w:r>
            <w:r w:rsidRPr="00D21CE4">
              <w:rPr>
                <w:rFonts w:ascii="Times New Roman" w:hAnsi="Times New Roman"/>
                <w:sz w:val="24"/>
                <w:szCs w:val="24"/>
              </w:rPr>
              <w:t xml:space="preserve">(turpmāk – Regula Nr. 98/2013). </w:t>
            </w:r>
          </w:p>
          <w:p w14:paraId="334FB0FF" w14:textId="77777777" w:rsidR="00EE4333" w:rsidRDefault="00390DD2" w:rsidP="002333C9">
            <w:pPr>
              <w:spacing w:after="0" w:line="240" w:lineRule="auto"/>
              <w:ind w:firstLine="720"/>
              <w:jc w:val="both"/>
              <w:rPr>
                <w:rFonts w:ascii="Times New Roman" w:eastAsia="Times New Roman" w:hAnsi="Times New Roman"/>
                <w:bCs/>
                <w:sz w:val="24"/>
                <w:szCs w:val="24"/>
                <w:lang w:eastAsia="lv-LV"/>
              </w:rPr>
            </w:pPr>
            <w:r w:rsidRPr="00D21CE4">
              <w:rPr>
                <w:rFonts w:ascii="Times New Roman" w:eastAsia="Times New Roman" w:hAnsi="Times New Roman"/>
                <w:bCs/>
                <w:color w:val="000000"/>
                <w:sz w:val="24"/>
                <w:szCs w:val="24"/>
                <w:lang w:eastAsia="lv-LV"/>
              </w:rPr>
              <w:t xml:space="preserve">Regula Nr.2019/1148 reglamentē sprāgstvielu prekursoru tirdzniecību un lietošanu un pēc savas būtības satur Regulai Nr.98/2013 līdzīgu regulējumu, taču tās normas nosaka papildus prasības un precizē </w:t>
            </w:r>
            <w:r w:rsidRPr="00D9455E">
              <w:rPr>
                <w:rFonts w:ascii="Times New Roman" w:eastAsia="Times New Roman" w:hAnsi="Times New Roman"/>
                <w:bCs/>
                <w:sz w:val="24"/>
                <w:szCs w:val="24"/>
                <w:lang w:eastAsia="lv-LV"/>
              </w:rPr>
              <w:t>Regulā Nr. 98/2013 noteikto.</w:t>
            </w:r>
          </w:p>
          <w:p w14:paraId="5B3CB95A" w14:textId="77777777" w:rsidR="007F45F0" w:rsidRDefault="007F45F0" w:rsidP="007F45F0">
            <w:pPr>
              <w:spacing w:after="0" w:line="240" w:lineRule="auto"/>
              <w:ind w:firstLine="720"/>
              <w:jc w:val="both"/>
              <w:rPr>
                <w:rFonts w:ascii="Times New Roman" w:hAnsi="Times New Roman"/>
                <w:sz w:val="24"/>
                <w:szCs w:val="24"/>
              </w:rPr>
            </w:pPr>
            <w:r w:rsidRPr="00D21CE4">
              <w:rPr>
                <w:rFonts w:ascii="Times New Roman" w:eastAsia="Times New Roman" w:hAnsi="Times New Roman"/>
                <w:bCs/>
                <w:color w:val="000000"/>
                <w:sz w:val="24"/>
                <w:szCs w:val="24"/>
                <w:lang w:eastAsia="lv-LV"/>
              </w:rPr>
              <w:t>Regula Nr.2019/1148</w:t>
            </w:r>
            <w:r>
              <w:rPr>
                <w:rFonts w:ascii="Times New Roman" w:eastAsia="Times New Roman" w:hAnsi="Times New Roman"/>
                <w:bCs/>
                <w:color w:val="000000"/>
                <w:sz w:val="24"/>
                <w:szCs w:val="24"/>
                <w:lang w:eastAsia="lv-LV"/>
              </w:rPr>
              <w:t xml:space="preserve"> nosaka </w:t>
            </w:r>
            <w:r w:rsidRPr="00D9522A">
              <w:rPr>
                <w:rFonts w:ascii="Times New Roman" w:hAnsi="Times New Roman"/>
                <w:sz w:val="24"/>
                <w:szCs w:val="24"/>
              </w:rPr>
              <w:t>kā darīt pieejamas, ievest, turēt īpašumā un lietot tādas vielas vai maisījumus, ko varētu ļaunprātīgi izmantot sprāgstvielu nelikumīgai izgatavošanai, nolūkā ierobežot attiecīgo vielu vai maisījumu pieejamību plašas sabiedrības locekļiem un nolūkā nodrošināt atbilstīgu ziņošanu par aizdomīgiem darījumiem visā piegādes ķēdē.</w:t>
            </w:r>
            <w:r>
              <w:rPr>
                <w:rFonts w:ascii="Times New Roman" w:hAnsi="Times New Roman"/>
                <w:sz w:val="24"/>
                <w:szCs w:val="24"/>
              </w:rPr>
              <w:t xml:space="preserve"> </w:t>
            </w:r>
          </w:p>
          <w:p w14:paraId="439FA529" w14:textId="77777777" w:rsidR="007F45F0" w:rsidRDefault="007F45F0" w:rsidP="007F45F0">
            <w:pPr>
              <w:spacing w:after="0" w:line="240" w:lineRule="auto"/>
              <w:ind w:firstLine="720"/>
              <w:jc w:val="both"/>
              <w:rPr>
                <w:rFonts w:ascii="Times New Roman" w:hAnsi="Times New Roman"/>
                <w:sz w:val="24"/>
                <w:szCs w:val="24"/>
              </w:rPr>
            </w:pPr>
            <w:r w:rsidRPr="00361FEB">
              <w:rPr>
                <w:rFonts w:ascii="Times New Roman" w:eastAsia="Times New Roman" w:hAnsi="Times New Roman"/>
                <w:bCs/>
                <w:color w:val="000000"/>
                <w:sz w:val="24"/>
                <w:szCs w:val="24"/>
                <w:lang w:eastAsia="lv-LV"/>
              </w:rPr>
              <w:t xml:space="preserve">Regula Nr.2019/1148 iedala </w:t>
            </w:r>
            <w:r w:rsidRPr="00361FEB">
              <w:rPr>
                <w:rFonts w:ascii="Times New Roman" w:hAnsi="Times New Roman"/>
                <w:sz w:val="24"/>
                <w:szCs w:val="24"/>
              </w:rPr>
              <w:t xml:space="preserve">sprāgstvielu prekursorus ierobežotajos un reglamentētajos. </w:t>
            </w:r>
          </w:p>
          <w:p w14:paraId="1FCB7463" w14:textId="2E7890BC" w:rsidR="007F45F0" w:rsidRDefault="007F45F0" w:rsidP="007F45F0">
            <w:pPr>
              <w:spacing w:after="0" w:line="240" w:lineRule="auto"/>
              <w:ind w:firstLine="720"/>
              <w:jc w:val="both"/>
              <w:rPr>
                <w:rFonts w:ascii="Times New Roman" w:eastAsia="Times New Roman" w:hAnsi="Times New Roman"/>
                <w:bCs/>
                <w:sz w:val="24"/>
                <w:szCs w:val="24"/>
                <w:lang w:eastAsia="lv-LV"/>
              </w:rPr>
            </w:pPr>
            <w:r w:rsidRPr="00361FEB">
              <w:rPr>
                <w:rFonts w:ascii="Times New Roman" w:hAnsi="Times New Roman"/>
                <w:sz w:val="24"/>
                <w:szCs w:val="24"/>
              </w:rPr>
              <w:t xml:space="preserve">Reglamentētie sprāgstvielu prekursori ir </w:t>
            </w:r>
            <w:r>
              <w:rPr>
                <w:rFonts w:ascii="Times New Roman" w:hAnsi="Times New Roman"/>
                <w:sz w:val="24"/>
                <w:szCs w:val="24"/>
              </w:rPr>
              <w:t>pieejami gan profesionālajiem lietotājiem, gan plašas sabiedrības locekļiem</w:t>
            </w:r>
            <w:r w:rsidRPr="00361FEB">
              <w:rPr>
                <w:rFonts w:ascii="Times New Roman" w:hAnsi="Times New Roman"/>
                <w:sz w:val="24"/>
                <w:szCs w:val="24"/>
              </w:rPr>
              <w:t xml:space="preserve">. </w:t>
            </w:r>
            <w:r>
              <w:rPr>
                <w:rFonts w:ascii="Times New Roman" w:hAnsi="Times New Roman"/>
                <w:sz w:val="24"/>
                <w:szCs w:val="24"/>
              </w:rPr>
              <w:t>Savukārt i</w:t>
            </w:r>
            <w:r w:rsidRPr="00361FEB">
              <w:rPr>
                <w:rFonts w:ascii="Times New Roman" w:hAnsi="Times New Roman"/>
                <w:sz w:val="24"/>
                <w:szCs w:val="24"/>
              </w:rPr>
              <w:t>erobežotus sprāgstvielu prekursorus</w:t>
            </w:r>
            <w:r>
              <w:rPr>
                <w:rFonts w:ascii="Times New Roman" w:hAnsi="Times New Roman"/>
                <w:sz w:val="24"/>
                <w:szCs w:val="24"/>
              </w:rPr>
              <w:t xml:space="preserve">, </w:t>
            </w:r>
            <w:r w:rsidRPr="004D0662">
              <w:rPr>
                <w:rFonts w:ascii="Times New Roman" w:hAnsi="Times New Roman"/>
                <w:sz w:val="24"/>
                <w:szCs w:val="24"/>
              </w:rPr>
              <w:t>piemēram, slāpekļskāb</w:t>
            </w:r>
            <w:r w:rsidR="00882AC5">
              <w:rPr>
                <w:rFonts w:ascii="Times New Roman" w:hAnsi="Times New Roman"/>
                <w:sz w:val="24"/>
                <w:szCs w:val="24"/>
              </w:rPr>
              <w:t>i</w:t>
            </w:r>
            <w:r w:rsidRPr="004D0662">
              <w:rPr>
                <w:rFonts w:ascii="Times New Roman" w:hAnsi="Times New Roman"/>
                <w:sz w:val="24"/>
                <w:szCs w:val="24"/>
              </w:rPr>
              <w:t>, ūdeņraža peroksīd</w:t>
            </w:r>
            <w:r w:rsidR="00882AC5">
              <w:rPr>
                <w:rFonts w:ascii="Times New Roman" w:hAnsi="Times New Roman"/>
                <w:sz w:val="24"/>
                <w:szCs w:val="24"/>
              </w:rPr>
              <w:t>u un amonija nitrātu</w:t>
            </w:r>
            <w:r>
              <w:rPr>
                <w:rFonts w:ascii="Times New Roman" w:hAnsi="Times New Roman"/>
                <w:sz w:val="24"/>
                <w:szCs w:val="24"/>
              </w:rPr>
              <w:t xml:space="preserve"> noteiktajā koncentrācijā,</w:t>
            </w:r>
            <w:r w:rsidRPr="00361FEB">
              <w:rPr>
                <w:rFonts w:ascii="Times New Roman" w:hAnsi="Times New Roman"/>
                <w:sz w:val="24"/>
                <w:szCs w:val="24"/>
              </w:rPr>
              <w:t xml:space="preserve"> nedara pieejamus plašas sabiedrības locekļiem, plašas sabiedrības locekļi tos neieved, netur īpašumā un nelieto.</w:t>
            </w:r>
          </w:p>
          <w:p w14:paraId="636F30B0" w14:textId="77777777" w:rsidR="007F45F0" w:rsidRDefault="007F45F0" w:rsidP="007F45F0">
            <w:pPr>
              <w:spacing w:after="0" w:line="240" w:lineRule="auto"/>
              <w:ind w:firstLine="720"/>
              <w:jc w:val="both"/>
              <w:rPr>
                <w:rFonts w:ascii="Times New Roman" w:eastAsia="Times New Roman" w:hAnsi="Times New Roman"/>
                <w:bCs/>
                <w:sz w:val="24"/>
                <w:szCs w:val="24"/>
                <w:lang w:eastAsia="lv-LV"/>
              </w:rPr>
            </w:pPr>
            <w:r w:rsidRPr="008F33E5">
              <w:rPr>
                <w:rFonts w:ascii="Times New Roman" w:eastAsia="Times New Roman" w:hAnsi="Times New Roman"/>
                <w:sz w:val="24"/>
                <w:szCs w:val="24"/>
                <w:lang w:eastAsia="en-GB"/>
              </w:rPr>
              <w:t>Regulas Nr.2019/1148</w:t>
            </w:r>
            <w:r>
              <w:rPr>
                <w:rFonts w:ascii="Times New Roman" w:eastAsia="Times New Roman" w:hAnsi="Times New Roman"/>
                <w:sz w:val="24"/>
                <w:szCs w:val="24"/>
                <w:lang w:eastAsia="en-GB"/>
              </w:rPr>
              <w:t xml:space="preserve"> 13.pants nosaka, ka d</w:t>
            </w:r>
            <w:r w:rsidRPr="00EE4333">
              <w:rPr>
                <w:rFonts w:ascii="Times New Roman" w:eastAsia="Times New Roman" w:hAnsi="Times New Roman"/>
                <w:sz w:val="24"/>
                <w:szCs w:val="24"/>
                <w:lang w:eastAsia="en-GB"/>
              </w:rPr>
              <w:t>alībvalstis paredz noteikumus par sankcijām, kas piemērojamas par šīs regulas pārkāpumiem, un veic visus vajadzīgos pasākumus, lai nodrošinātu to īstenošanu. Paredzētās sankcijas ir iedarbīgas, samērīgas un atturošas.</w:t>
            </w:r>
            <w:r>
              <w:rPr>
                <w:rFonts w:ascii="Times New Roman" w:eastAsia="Times New Roman" w:hAnsi="Times New Roman"/>
                <w:sz w:val="24"/>
                <w:szCs w:val="24"/>
                <w:lang w:eastAsia="en-GB"/>
              </w:rPr>
              <w:t xml:space="preserve"> </w:t>
            </w:r>
          </w:p>
          <w:p w14:paraId="48853073" w14:textId="77777777" w:rsidR="007F45F0" w:rsidRDefault="007F45F0" w:rsidP="00F610C1">
            <w:pPr>
              <w:spacing w:after="0" w:line="240" w:lineRule="auto"/>
              <w:ind w:firstLine="720"/>
              <w:jc w:val="both"/>
              <w:rPr>
                <w:rFonts w:ascii="Times New Roman" w:eastAsia="Times New Roman" w:hAnsi="Times New Roman"/>
                <w:sz w:val="24"/>
                <w:szCs w:val="24"/>
                <w:lang w:eastAsia="en-GB"/>
              </w:rPr>
            </w:pPr>
          </w:p>
          <w:p w14:paraId="4D517049" w14:textId="4F5DC6C2" w:rsidR="00F610C1" w:rsidRDefault="00F610C1" w:rsidP="00F610C1">
            <w:pPr>
              <w:spacing w:after="0" w:line="240" w:lineRule="auto"/>
              <w:ind w:firstLine="720"/>
              <w:jc w:val="both"/>
              <w:rPr>
                <w:rFonts w:ascii="Times New Roman" w:eastAsia="Times New Roman" w:hAnsi="Times New Roman"/>
                <w:sz w:val="24"/>
                <w:szCs w:val="24"/>
                <w:lang w:eastAsia="en-GB"/>
              </w:rPr>
            </w:pPr>
            <w:r w:rsidRPr="008F33E5">
              <w:rPr>
                <w:rFonts w:ascii="Times New Roman" w:eastAsia="Times New Roman" w:hAnsi="Times New Roman"/>
                <w:sz w:val="24"/>
                <w:szCs w:val="24"/>
                <w:lang w:eastAsia="en-GB"/>
              </w:rPr>
              <w:lastRenderedPageBreak/>
              <w:t xml:space="preserve">Regula Nr.2019/1148 paredz, ka plašas sabiedrības locekļiem </w:t>
            </w:r>
            <w:r w:rsidR="00BA515D">
              <w:rPr>
                <w:rFonts w:ascii="Times New Roman" w:eastAsia="Times New Roman" w:hAnsi="Times New Roman"/>
                <w:sz w:val="24"/>
                <w:szCs w:val="24"/>
                <w:lang w:eastAsia="en-GB"/>
              </w:rPr>
              <w:t>nedrīkst</w:t>
            </w:r>
            <w:r w:rsidR="00BA515D" w:rsidRPr="008F33E5">
              <w:rPr>
                <w:rFonts w:ascii="Times New Roman" w:eastAsia="Times New Roman" w:hAnsi="Times New Roman"/>
                <w:sz w:val="24"/>
                <w:szCs w:val="24"/>
                <w:lang w:eastAsia="en-GB"/>
              </w:rPr>
              <w:t xml:space="preserve"> </w:t>
            </w:r>
            <w:r w:rsidRPr="008F33E5">
              <w:rPr>
                <w:rFonts w:ascii="Times New Roman" w:eastAsia="Times New Roman" w:hAnsi="Times New Roman"/>
                <w:sz w:val="24"/>
                <w:szCs w:val="24"/>
                <w:lang w:eastAsia="en-GB"/>
              </w:rPr>
              <w:t xml:space="preserve">būt atļautam iegādāties, ievest, turēt īpašumā vai lietot konkrētus sprāgstvielu prekursorus koncentrācijā, kas pārsniedz konkrētas robežvērtības masas procentos (masas %) saskaņā ar šīs regulas I pielikumu. Tātad Regula Nr.2019/1148 neaizliedz kādu konkrēto preču (vai preču grupu) apriti, bet gan nosaka tirdzniecības ierobežojumus noteiktajiem sprāgstvielu prekursoriem, kuri savukārt tiek izmantoti dažādās jomās (piemērām, lauksaimniecībā, medicīnā, ražošanā utt.) un tikai noteiktajā koncentrācijā. </w:t>
            </w:r>
          </w:p>
          <w:p w14:paraId="1B49997B" w14:textId="0E5D5817" w:rsidR="00F610C1" w:rsidRDefault="00F610C1" w:rsidP="002333C9">
            <w:pPr>
              <w:spacing w:after="0" w:line="240" w:lineRule="auto"/>
              <w:ind w:firstLine="720"/>
              <w:jc w:val="both"/>
              <w:rPr>
                <w:rFonts w:ascii="Times New Roman" w:eastAsia="Times New Roman" w:hAnsi="Times New Roman"/>
                <w:bCs/>
                <w:color w:val="000000"/>
                <w:sz w:val="24"/>
                <w:szCs w:val="24"/>
                <w:lang w:eastAsia="lv-LV"/>
              </w:rPr>
            </w:pPr>
            <w:r w:rsidRPr="008F33E5">
              <w:rPr>
                <w:rFonts w:ascii="Times New Roman" w:eastAsia="Times New Roman" w:hAnsi="Times New Roman"/>
                <w:sz w:val="24"/>
                <w:szCs w:val="24"/>
                <w:lang w:eastAsia="en-GB"/>
              </w:rPr>
              <w:t xml:space="preserve">Ņemot vērā minēto, </w:t>
            </w:r>
            <w:r w:rsidR="00CD25CB">
              <w:rPr>
                <w:rFonts w:ascii="Times New Roman" w:eastAsia="Times New Roman" w:hAnsi="Times New Roman"/>
                <w:sz w:val="24"/>
                <w:szCs w:val="24"/>
                <w:lang w:eastAsia="en-GB"/>
              </w:rPr>
              <w:t xml:space="preserve">nacionālajā līmenī </w:t>
            </w:r>
            <w:r w:rsidR="00CD25CB" w:rsidRPr="008F33E5">
              <w:rPr>
                <w:rFonts w:ascii="Times New Roman" w:eastAsia="Times New Roman" w:hAnsi="Times New Roman"/>
                <w:sz w:val="24"/>
                <w:szCs w:val="24"/>
                <w:lang w:eastAsia="en-GB"/>
              </w:rPr>
              <w:t>nepastāv tāds nozares likums, kurā varētu iestrādāt Regulas Nr.2019/1148 prasību īstenošanai nepieciešamu regulējumu</w:t>
            </w:r>
            <w:r>
              <w:rPr>
                <w:rFonts w:ascii="Times New Roman" w:eastAsia="Times New Roman" w:hAnsi="Times New Roman"/>
                <w:sz w:val="24"/>
                <w:szCs w:val="24"/>
                <w:lang w:eastAsia="en-GB"/>
              </w:rPr>
              <w:t xml:space="preserve">, kas attiektos gan uz </w:t>
            </w:r>
            <w:r w:rsidRPr="008F33E5">
              <w:rPr>
                <w:rFonts w:ascii="Times New Roman" w:eastAsia="Times New Roman" w:hAnsi="Times New Roman"/>
                <w:sz w:val="24"/>
                <w:szCs w:val="24"/>
                <w:lang w:eastAsia="en-GB"/>
              </w:rPr>
              <w:t>Regul</w:t>
            </w:r>
            <w:r>
              <w:rPr>
                <w:rFonts w:ascii="Times New Roman" w:eastAsia="Times New Roman" w:hAnsi="Times New Roman"/>
                <w:sz w:val="24"/>
                <w:szCs w:val="24"/>
                <w:lang w:eastAsia="en-GB"/>
              </w:rPr>
              <w:t>ā</w:t>
            </w:r>
            <w:r w:rsidRPr="008F33E5">
              <w:rPr>
                <w:rFonts w:ascii="Times New Roman" w:eastAsia="Times New Roman" w:hAnsi="Times New Roman"/>
                <w:sz w:val="24"/>
                <w:szCs w:val="24"/>
                <w:lang w:eastAsia="en-GB"/>
              </w:rPr>
              <w:t xml:space="preserve"> Nr.2019/1148</w:t>
            </w:r>
            <w:r>
              <w:rPr>
                <w:rFonts w:ascii="Times New Roman" w:eastAsia="Times New Roman" w:hAnsi="Times New Roman"/>
                <w:sz w:val="24"/>
                <w:szCs w:val="24"/>
                <w:lang w:eastAsia="en-GB"/>
              </w:rPr>
              <w:t xml:space="preserve"> noteikto prasību īstenošanu (piemērām, kontaktpunkta nozīmēšana</w:t>
            </w:r>
            <w:r w:rsidR="00CD25CB">
              <w:rPr>
                <w:rFonts w:ascii="Times New Roman" w:eastAsia="Times New Roman" w:hAnsi="Times New Roman"/>
                <w:sz w:val="24"/>
                <w:szCs w:val="24"/>
                <w:lang w:eastAsia="en-GB"/>
              </w:rPr>
              <w:t>, licencēšanas kārtība, ut</w:t>
            </w:r>
            <w:r w:rsidR="003604E8">
              <w:rPr>
                <w:rFonts w:ascii="Times New Roman" w:eastAsia="Times New Roman" w:hAnsi="Times New Roman"/>
                <w:sz w:val="24"/>
                <w:szCs w:val="24"/>
                <w:lang w:eastAsia="en-GB"/>
              </w:rPr>
              <w:t>t</w:t>
            </w:r>
            <w:r w:rsidR="00CD25CB">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gan </w:t>
            </w:r>
            <w:r w:rsidR="00886C1F">
              <w:rPr>
                <w:rFonts w:ascii="Times New Roman" w:eastAsia="Times New Roman" w:hAnsi="Times New Roman"/>
                <w:sz w:val="24"/>
                <w:szCs w:val="24"/>
                <w:lang w:eastAsia="en-GB"/>
              </w:rPr>
              <w:t xml:space="preserve">uz </w:t>
            </w:r>
            <w:r>
              <w:rPr>
                <w:rFonts w:ascii="Times New Roman" w:eastAsia="Times New Roman" w:hAnsi="Times New Roman"/>
                <w:sz w:val="24"/>
                <w:szCs w:val="24"/>
                <w:lang w:eastAsia="en-GB"/>
              </w:rPr>
              <w:t>atbildības noteikšan</w:t>
            </w:r>
            <w:r w:rsidR="00886C1F">
              <w:rPr>
                <w:rFonts w:ascii="Times New Roman" w:eastAsia="Times New Roman" w:hAnsi="Times New Roman"/>
                <w:sz w:val="24"/>
                <w:szCs w:val="24"/>
                <w:lang w:eastAsia="en-GB"/>
              </w:rPr>
              <w:t>u</w:t>
            </w:r>
            <w:r>
              <w:rPr>
                <w:rFonts w:ascii="Times New Roman" w:eastAsia="Times New Roman" w:hAnsi="Times New Roman"/>
                <w:sz w:val="24"/>
                <w:szCs w:val="24"/>
                <w:lang w:eastAsia="en-GB"/>
              </w:rPr>
              <w:t xml:space="preserve"> par </w:t>
            </w:r>
            <w:r w:rsidRPr="008F33E5">
              <w:rPr>
                <w:rFonts w:ascii="Times New Roman" w:eastAsia="Times New Roman" w:hAnsi="Times New Roman"/>
                <w:sz w:val="24"/>
                <w:szCs w:val="24"/>
                <w:lang w:eastAsia="en-GB"/>
              </w:rPr>
              <w:t>Regula</w:t>
            </w:r>
            <w:r>
              <w:rPr>
                <w:rFonts w:ascii="Times New Roman" w:eastAsia="Times New Roman" w:hAnsi="Times New Roman"/>
                <w:sz w:val="24"/>
                <w:szCs w:val="24"/>
                <w:lang w:eastAsia="en-GB"/>
              </w:rPr>
              <w:t>s</w:t>
            </w:r>
            <w:r w:rsidRPr="008F33E5">
              <w:rPr>
                <w:rFonts w:ascii="Times New Roman" w:eastAsia="Times New Roman" w:hAnsi="Times New Roman"/>
                <w:sz w:val="24"/>
                <w:szCs w:val="24"/>
                <w:lang w:eastAsia="en-GB"/>
              </w:rPr>
              <w:t xml:space="preserve"> Nr.2019/1148</w:t>
            </w:r>
            <w:r>
              <w:rPr>
                <w:rFonts w:ascii="Times New Roman" w:eastAsia="Times New Roman" w:hAnsi="Times New Roman"/>
                <w:sz w:val="24"/>
                <w:szCs w:val="24"/>
                <w:lang w:eastAsia="en-GB"/>
              </w:rPr>
              <w:t xml:space="preserve"> prasību neievērošanu</w:t>
            </w:r>
            <w:r w:rsidRPr="008F33E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Līdz ar to</w:t>
            </w:r>
            <w:r w:rsidR="00882AC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attiecībā uz </w:t>
            </w:r>
            <w:r w:rsidRPr="008F33E5">
              <w:rPr>
                <w:rFonts w:ascii="Times New Roman" w:eastAsia="Times New Roman" w:hAnsi="Times New Roman"/>
                <w:sz w:val="24"/>
                <w:szCs w:val="24"/>
                <w:lang w:eastAsia="en-GB"/>
              </w:rPr>
              <w:t>Regula</w:t>
            </w:r>
            <w:r>
              <w:rPr>
                <w:rFonts w:ascii="Times New Roman" w:eastAsia="Times New Roman" w:hAnsi="Times New Roman"/>
                <w:sz w:val="24"/>
                <w:szCs w:val="24"/>
                <w:lang w:eastAsia="en-GB"/>
              </w:rPr>
              <w:t>s</w:t>
            </w:r>
            <w:r w:rsidRPr="008F33E5">
              <w:rPr>
                <w:rFonts w:ascii="Times New Roman" w:eastAsia="Times New Roman" w:hAnsi="Times New Roman"/>
                <w:sz w:val="24"/>
                <w:szCs w:val="24"/>
                <w:lang w:eastAsia="en-GB"/>
              </w:rPr>
              <w:t xml:space="preserve"> Nr.2019/1148</w:t>
            </w:r>
            <w:r>
              <w:rPr>
                <w:rFonts w:ascii="Times New Roman" w:eastAsia="Times New Roman" w:hAnsi="Times New Roman"/>
                <w:sz w:val="24"/>
                <w:szCs w:val="24"/>
                <w:lang w:eastAsia="en-GB"/>
              </w:rPr>
              <w:t xml:space="preserve"> īstenojamām normām </w:t>
            </w:r>
            <w:r w:rsidR="00882AC5">
              <w:rPr>
                <w:rFonts w:ascii="Times New Roman" w:eastAsia="Times New Roman" w:hAnsi="Times New Roman"/>
                <w:sz w:val="24"/>
                <w:szCs w:val="24"/>
                <w:lang w:eastAsia="en-GB"/>
              </w:rPr>
              <w:t>par kontaktpunkta nozīmēšanu</w:t>
            </w:r>
            <w:r w:rsidR="00886C1F">
              <w:rPr>
                <w:rFonts w:ascii="Times New Roman" w:eastAsia="Times New Roman" w:hAnsi="Times New Roman"/>
                <w:sz w:val="24"/>
                <w:szCs w:val="24"/>
                <w:lang w:eastAsia="en-GB"/>
              </w:rPr>
              <w:t xml:space="preserve"> 2021.gada 11.februārī </w:t>
            </w:r>
            <w:r>
              <w:rPr>
                <w:rFonts w:ascii="Times New Roman" w:eastAsia="Times New Roman" w:hAnsi="Times New Roman"/>
                <w:sz w:val="24"/>
                <w:szCs w:val="24"/>
                <w:lang w:eastAsia="en-GB"/>
              </w:rPr>
              <w:t xml:space="preserve">tika pieņemti </w:t>
            </w:r>
            <w:r w:rsidRPr="00F610C1">
              <w:rPr>
                <w:rFonts w:ascii="Times New Roman" w:eastAsia="Times New Roman" w:hAnsi="Times New Roman"/>
                <w:sz w:val="24"/>
                <w:szCs w:val="24"/>
                <w:lang w:eastAsia="en-GB"/>
              </w:rPr>
              <w:t xml:space="preserve">Ministru kabineta noteikumi </w:t>
            </w:r>
            <w:r w:rsidR="00BA515D">
              <w:rPr>
                <w:rFonts w:ascii="Times New Roman" w:eastAsia="Times New Roman" w:hAnsi="Times New Roman"/>
                <w:sz w:val="24"/>
                <w:szCs w:val="24"/>
                <w:lang w:eastAsia="en-GB"/>
              </w:rPr>
              <w:t xml:space="preserve">Nr. 95 </w:t>
            </w:r>
            <w:r w:rsidRPr="00F610C1">
              <w:rPr>
                <w:rFonts w:ascii="Times New Roman" w:eastAsia="Times New Roman" w:hAnsi="Times New Roman"/>
                <w:sz w:val="24"/>
                <w:szCs w:val="24"/>
                <w:lang w:eastAsia="en-GB"/>
              </w:rPr>
              <w:t>“Kārtība, kādā ziņo</w:t>
            </w:r>
            <w:r>
              <w:rPr>
                <w:rFonts w:ascii="Times New Roman" w:eastAsia="Times New Roman" w:hAnsi="Times New Roman"/>
                <w:sz w:val="24"/>
                <w:szCs w:val="24"/>
                <w:lang w:eastAsia="en-GB"/>
              </w:rPr>
              <w:t xml:space="preserve"> par sprāgstvielu prekursoriem”, savukārt attiecībā uz atbildības noteikšanu</w:t>
            </w:r>
            <w:r w:rsidR="00B512FF">
              <w:rPr>
                <w:rFonts w:ascii="Times New Roman" w:eastAsia="Times New Roman" w:hAnsi="Times New Roman"/>
                <w:sz w:val="24"/>
                <w:szCs w:val="24"/>
                <w:lang w:eastAsia="en-GB"/>
              </w:rPr>
              <w:t xml:space="preserve">, atbilstoši </w:t>
            </w:r>
            <w:r w:rsidR="00B512FF" w:rsidRPr="008F33E5">
              <w:rPr>
                <w:rFonts w:ascii="Times New Roman" w:eastAsia="Times New Roman" w:hAnsi="Times New Roman"/>
                <w:sz w:val="24"/>
                <w:szCs w:val="24"/>
                <w:lang w:eastAsia="en-GB"/>
              </w:rPr>
              <w:t>Regulas Nr.2019/1148</w:t>
            </w:r>
            <w:r w:rsidR="00B512FF">
              <w:rPr>
                <w:rFonts w:ascii="Times New Roman" w:eastAsia="Times New Roman" w:hAnsi="Times New Roman"/>
                <w:sz w:val="24"/>
                <w:szCs w:val="24"/>
                <w:lang w:eastAsia="en-GB"/>
              </w:rPr>
              <w:t xml:space="preserve"> 13.pantam,</w:t>
            </w:r>
            <w:r>
              <w:rPr>
                <w:rFonts w:ascii="Times New Roman" w:eastAsia="Times New Roman" w:hAnsi="Times New Roman"/>
                <w:sz w:val="24"/>
                <w:szCs w:val="24"/>
                <w:lang w:eastAsia="en-GB"/>
              </w:rPr>
              <w:t xml:space="preserve"> par </w:t>
            </w:r>
            <w:r w:rsidRPr="008F33E5">
              <w:rPr>
                <w:rFonts w:ascii="Times New Roman" w:eastAsia="Times New Roman" w:hAnsi="Times New Roman"/>
                <w:sz w:val="24"/>
                <w:szCs w:val="24"/>
                <w:lang w:eastAsia="en-GB"/>
              </w:rPr>
              <w:t>Regula</w:t>
            </w:r>
            <w:r>
              <w:rPr>
                <w:rFonts w:ascii="Times New Roman" w:eastAsia="Times New Roman" w:hAnsi="Times New Roman"/>
                <w:sz w:val="24"/>
                <w:szCs w:val="24"/>
                <w:lang w:eastAsia="en-GB"/>
              </w:rPr>
              <w:t>s</w:t>
            </w:r>
            <w:r w:rsidRPr="008F33E5">
              <w:rPr>
                <w:rFonts w:ascii="Times New Roman" w:eastAsia="Times New Roman" w:hAnsi="Times New Roman"/>
                <w:sz w:val="24"/>
                <w:szCs w:val="24"/>
                <w:lang w:eastAsia="en-GB"/>
              </w:rPr>
              <w:t xml:space="preserve"> Nr.2019/1148</w:t>
            </w:r>
            <w:r>
              <w:rPr>
                <w:rFonts w:ascii="Times New Roman" w:eastAsia="Times New Roman" w:hAnsi="Times New Roman"/>
                <w:sz w:val="24"/>
                <w:szCs w:val="24"/>
                <w:lang w:eastAsia="en-GB"/>
              </w:rPr>
              <w:t xml:space="preserve"> prasību neievērošanu </w:t>
            </w:r>
            <w:r w:rsidR="00326C4C">
              <w:rPr>
                <w:rFonts w:ascii="Times New Roman" w:eastAsia="Times New Roman" w:hAnsi="Times New Roman"/>
                <w:sz w:val="24"/>
                <w:szCs w:val="24"/>
                <w:lang w:eastAsia="en-GB"/>
              </w:rPr>
              <w:t>ir</w:t>
            </w:r>
            <w:r>
              <w:rPr>
                <w:rFonts w:ascii="Times New Roman" w:eastAsia="Times New Roman" w:hAnsi="Times New Roman"/>
                <w:sz w:val="24"/>
                <w:szCs w:val="24"/>
                <w:lang w:eastAsia="en-GB"/>
              </w:rPr>
              <w:t xml:space="preserve"> izstrādāts šis likumprojekts.</w:t>
            </w:r>
            <w:r w:rsidRPr="00D21CE4">
              <w:rPr>
                <w:rFonts w:ascii="Times New Roman" w:eastAsia="Times New Roman" w:hAnsi="Times New Roman"/>
                <w:bCs/>
                <w:color w:val="000000"/>
                <w:sz w:val="24"/>
                <w:szCs w:val="24"/>
                <w:lang w:eastAsia="lv-LV"/>
              </w:rPr>
              <w:t xml:space="preserve"> </w:t>
            </w:r>
          </w:p>
          <w:p w14:paraId="38A08757" w14:textId="77777777" w:rsidR="007F45F0" w:rsidRDefault="007F45F0" w:rsidP="00B512FF">
            <w:pPr>
              <w:spacing w:after="0" w:line="240" w:lineRule="auto"/>
              <w:ind w:firstLine="720"/>
              <w:jc w:val="both"/>
              <w:rPr>
                <w:rFonts w:ascii="Times New Roman" w:eastAsia="Times New Roman" w:hAnsi="Times New Roman"/>
                <w:bCs/>
                <w:sz w:val="24"/>
                <w:szCs w:val="24"/>
                <w:lang w:eastAsia="lv-LV"/>
              </w:rPr>
            </w:pPr>
          </w:p>
          <w:p w14:paraId="23B00574" w14:textId="09878714" w:rsidR="00B512FF" w:rsidRDefault="00B512FF" w:rsidP="00B512FF">
            <w:pPr>
              <w:spacing w:after="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Atbilstoši 20</w:t>
            </w:r>
            <w:r w:rsidR="00EF7F15">
              <w:rPr>
                <w:rFonts w:ascii="Times New Roman" w:eastAsia="Times New Roman" w:hAnsi="Times New Roman"/>
                <w:bCs/>
                <w:sz w:val="24"/>
                <w:szCs w:val="24"/>
                <w:lang w:eastAsia="lv-LV"/>
              </w:rPr>
              <w:t>20</w:t>
            </w:r>
            <w:r>
              <w:rPr>
                <w:rFonts w:ascii="Times New Roman" w:eastAsia="Times New Roman" w:hAnsi="Times New Roman"/>
                <w:bCs/>
                <w:sz w:val="24"/>
                <w:szCs w:val="24"/>
                <w:lang w:eastAsia="lv-LV"/>
              </w:rPr>
              <w:t xml:space="preserve">.gada </w:t>
            </w:r>
            <w:r w:rsidR="00EF7F15">
              <w:rPr>
                <w:rFonts w:ascii="Times New Roman" w:eastAsia="Times New Roman" w:hAnsi="Times New Roman"/>
                <w:bCs/>
                <w:sz w:val="24"/>
                <w:szCs w:val="24"/>
                <w:lang w:eastAsia="lv-LV"/>
              </w:rPr>
              <w:t>17.februāra</w:t>
            </w:r>
            <w:r>
              <w:rPr>
                <w:rFonts w:ascii="Times New Roman" w:eastAsia="Times New Roman" w:hAnsi="Times New Roman"/>
                <w:bCs/>
                <w:sz w:val="24"/>
                <w:szCs w:val="24"/>
                <w:lang w:eastAsia="lv-LV"/>
              </w:rPr>
              <w:t xml:space="preserve"> informatīvajā</w:t>
            </w:r>
            <w:r w:rsidRPr="00EE4333">
              <w:rPr>
                <w:rFonts w:ascii="Times New Roman" w:eastAsia="Times New Roman" w:hAnsi="Times New Roman"/>
                <w:bCs/>
                <w:sz w:val="24"/>
                <w:szCs w:val="24"/>
                <w:lang w:eastAsia="lv-LV"/>
              </w:rPr>
              <w:t xml:space="preserve"> ziņojum</w:t>
            </w:r>
            <w:r>
              <w:rPr>
                <w:rFonts w:ascii="Times New Roman" w:eastAsia="Times New Roman" w:hAnsi="Times New Roman"/>
                <w:bCs/>
                <w:sz w:val="24"/>
                <w:szCs w:val="24"/>
                <w:lang w:eastAsia="lv-LV"/>
              </w:rPr>
              <w:t>ā</w:t>
            </w:r>
            <w:r w:rsidRPr="00EE4333">
              <w:rPr>
                <w:rFonts w:ascii="Times New Roman" w:eastAsia="Times New Roman" w:hAnsi="Times New Roman"/>
                <w:bCs/>
                <w:sz w:val="24"/>
                <w:szCs w:val="24"/>
                <w:lang w:eastAsia="lv-LV"/>
              </w:rPr>
              <w:t xml:space="preserve"> "Nozaru administratīvo pārkāpumu kodifikācijas ieviešanas sistēmas īstenošana"</w:t>
            </w:r>
            <w:r>
              <w:rPr>
                <w:rFonts w:ascii="Times New Roman" w:eastAsia="Times New Roman" w:hAnsi="Times New Roman"/>
                <w:bCs/>
                <w:sz w:val="24"/>
                <w:szCs w:val="24"/>
                <w:lang w:eastAsia="lv-LV"/>
              </w:rPr>
              <w:t xml:space="preserve"> </w:t>
            </w:r>
            <w:r w:rsidR="00882AC5">
              <w:rPr>
                <w:rFonts w:ascii="Times New Roman" w:eastAsia="Times New Roman" w:hAnsi="Times New Roman"/>
                <w:bCs/>
                <w:sz w:val="24"/>
                <w:szCs w:val="24"/>
                <w:lang w:eastAsia="lv-LV"/>
              </w:rPr>
              <w:t xml:space="preserve">(turpmāk – informatīvais </w:t>
            </w:r>
            <w:r w:rsidR="00882AC5" w:rsidRPr="00EE4333">
              <w:rPr>
                <w:rFonts w:ascii="Times New Roman" w:eastAsia="Times New Roman" w:hAnsi="Times New Roman"/>
                <w:bCs/>
                <w:sz w:val="24"/>
                <w:szCs w:val="24"/>
                <w:lang w:eastAsia="lv-LV"/>
              </w:rPr>
              <w:t>ziņojum</w:t>
            </w:r>
            <w:r w:rsidR="00882AC5">
              <w:rPr>
                <w:rFonts w:ascii="Times New Roman" w:eastAsia="Times New Roman" w:hAnsi="Times New Roman"/>
                <w:bCs/>
                <w:sz w:val="24"/>
                <w:szCs w:val="24"/>
                <w:lang w:eastAsia="lv-LV"/>
              </w:rPr>
              <w:t xml:space="preserve">s) </w:t>
            </w:r>
            <w:r>
              <w:rPr>
                <w:rFonts w:ascii="Times New Roman" w:eastAsia="Times New Roman" w:hAnsi="Times New Roman"/>
                <w:bCs/>
                <w:sz w:val="24"/>
                <w:szCs w:val="24"/>
                <w:lang w:eastAsia="lv-LV"/>
              </w:rPr>
              <w:t>noteiktajam, i</w:t>
            </w:r>
            <w:r w:rsidRPr="00EE4333">
              <w:rPr>
                <w:rFonts w:ascii="Times New Roman" w:eastAsia="Times New Roman" w:hAnsi="Times New Roman"/>
                <w:bCs/>
                <w:sz w:val="24"/>
                <w:szCs w:val="24"/>
                <w:lang w:eastAsia="lv-LV"/>
              </w:rPr>
              <w:t xml:space="preserve">zstrādājot </w:t>
            </w:r>
            <w:r>
              <w:rPr>
                <w:rFonts w:ascii="Times New Roman" w:eastAsia="Times New Roman" w:hAnsi="Times New Roman"/>
                <w:bCs/>
                <w:sz w:val="24"/>
                <w:szCs w:val="24"/>
                <w:lang w:eastAsia="lv-LV"/>
              </w:rPr>
              <w:t>tiesību aktus, kas paredz atbildību par administratīvajiem pārkāpumiem</w:t>
            </w:r>
            <w:r w:rsidRPr="00EE4333">
              <w:rPr>
                <w:rFonts w:ascii="Times New Roman" w:eastAsia="Times New Roman" w:hAnsi="Times New Roman"/>
                <w:bCs/>
                <w:sz w:val="24"/>
                <w:szCs w:val="24"/>
                <w:lang w:eastAsia="lv-LV"/>
              </w:rPr>
              <w:t>,</w:t>
            </w:r>
            <w:r w:rsidR="00886C1F">
              <w:rPr>
                <w:rFonts w:ascii="Times New Roman" w:eastAsia="Times New Roman" w:hAnsi="Times New Roman"/>
                <w:bCs/>
                <w:sz w:val="24"/>
                <w:szCs w:val="24"/>
                <w:lang w:eastAsia="lv-LV"/>
              </w:rPr>
              <w:t xml:space="preserve"> cita starpā</w:t>
            </w:r>
            <w:r>
              <w:rPr>
                <w:rFonts w:ascii="Times New Roman" w:eastAsia="Times New Roman" w:hAnsi="Times New Roman"/>
                <w:bCs/>
                <w:sz w:val="24"/>
                <w:szCs w:val="24"/>
                <w:lang w:eastAsia="lv-LV"/>
              </w:rPr>
              <w:t xml:space="preserve"> ir</w:t>
            </w:r>
            <w:r w:rsidRPr="00EE4333">
              <w:rPr>
                <w:rFonts w:ascii="Times New Roman" w:eastAsia="Times New Roman" w:hAnsi="Times New Roman"/>
                <w:bCs/>
                <w:sz w:val="24"/>
                <w:szCs w:val="24"/>
                <w:lang w:eastAsia="lv-LV"/>
              </w:rPr>
              <w:t xml:space="preserve"> nepieciešams</w:t>
            </w:r>
            <w:r>
              <w:rPr>
                <w:rFonts w:ascii="Times New Roman" w:eastAsia="Times New Roman" w:hAnsi="Times New Roman"/>
                <w:bCs/>
                <w:sz w:val="24"/>
                <w:szCs w:val="24"/>
                <w:lang w:eastAsia="lv-LV"/>
              </w:rPr>
              <w:t xml:space="preserve"> </w:t>
            </w:r>
            <w:r w:rsidRPr="00EE4333">
              <w:rPr>
                <w:rFonts w:ascii="Times New Roman" w:eastAsia="Times New Roman" w:hAnsi="Times New Roman"/>
                <w:bCs/>
                <w:sz w:val="24"/>
                <w:szCs w:val="24"/>
                <w:lang w:eastAsia="lv-LV"/>
              </w:rPr>
              <w:t>izvērtēt</w:t>
            </w:r>
            <w:r>
              <w:rPr>
                <w:rFonts w:ascii="Times New Roman" w:eastAsia="Times New Roman" w:hAnsi="Times New Roman"/>
                <w:bCs/>
                <w:sz w:val="24"/>
                <w:szCs w:val="24"/>
                <w:lang w:eastAsia="lv-LV"/>
              </w:rPr>
              <w:t xml:space="preserve"> attiecīgā pārkāpuma </w:t>
            </w:r>
            <w:r w:rsidRPr="00EE4333">
              <w:rPr>
                <w:rFonts w:ascii="Times New Roman" w:eastAsia="Times New Roman" w:hAnsi="Times New Roman"/>
                <w:bCs/>
                <w:sz w:val="24"/>
                <w:szCs w:val="24"/>
                <w:lang w:eastAsia="lv-LV"/>
              </w:rPr>
              <w:t>bīstamīb</w:t>
            </w:r>
            <w:r w:rsidR="00886C1F">
              <w:rPr>
                <w:rFonts w:ascii="Times New Roman" w:eastAsia="Times New Roman" w:hAnsi="Times New Roman"/>
                <w:bCs/>
                <w:sz w:val="24"/>
                <w:szCs w:val="24"/>
                <w:lang w:eastAsia="lv-LV"/>
              </w:rPr>
              <w:t>u</w:t>
            </w:r>
            <w:r w:rsidRPr="00EE4333">
              <w:rPr>
                <w:rFonts w:ascii="Times New Roman" w:eastAsia="Times New Roman" w:hAnsi="Times New Roman"/>
                <w:bCs/>
                <w:sz w:val="24"/>
                <w:szCs w:val="24"/>
                <w:lang w:eastAsia="lv-LV"/>
              </w:rPr>
              <w:t>, sabiedrisk</w:t>
            </w:r>
            <w:r w:rsidR="00886C1F">
              <w:rPr>
                <w:rFonts w:ascii="Times New Roman" w:eastAsia="Times New Roman" w:hAnsi="Times New Roman"/>
                <w:bCs/>
                <w:sz w:val="24"/>
                <w:szCs w:val="24"/>
                <w:lang w:eastAsia="lv-LV"/>
              </w:rPr>
              <w:t>o</w:t>
            </w:r>
            <w:r w:rsidRPr="00EE4333">
              <w:rPr>
                <w:rFonts w:ascii="Times New Roman" w:eastAsia="Times New Roman" w:hAnsi="Times New Roman"/>
                <w:bCs/>
                <w:sz w:val="24"/>
                <w:szCs w:val="24"/>
                <w:lang w:eastAsia="lv-LV"/>
              </w:rPr>
              <w:t xml:space="preserve"> kaitīgum</w:t>
            </w:r>
            <w:r w:rsidR="00886C1F">
              <w:rPr>
                <w:rFonts w:ascii="Times New Roman" w:eastAsia="Times New Roman" w:hAnsi="Times New Roman"/>
                <w:bCs/>
                <w:sz w:val="24"/>
                <w:szCs w:val="24"/>
                <w:lang w:eastAsia="lv-LV"/>
              </w:rPr>
              <w:t>u</w:t>
            </w:r>
            <w:r w:rsidRPr="00EE4333">
              <w:rPr>
                <w:rFonts w:ascii="Times New Roman" w:eastAsia="Times New Roman" w:hAnsi="Times New Roman"/>
                <w:bCs/>
                <w:sz w:val="24"/>
                <w:szCs w:val="24"/>
                <w:lang w:eastAsia="lv-LV"/>
              </w:rPr>
              <w:t>, nodarīju</w:t>
            </w:r>
            <w:r w:rsidR="00882AC5">
              <w:rPr>
                <w:rFonts w:ascii="Times New Roman" w:eastAsia="Times New Roman" w:hAnsi="Times New Roman"/>
                <w:bCs/>
                <w:sz w:val="24"/>
                <w:szCs w:val="24"/>
                <w:lang w:eastAsia="lv-LV"/>
              </w:rPr>
              <w:t>ma sekas, nodarījuma aktualitāti</w:t>
            </w:r>
            <w:r w:rsidRPr="00EE4333">
              <w:rPr>
                <w:rFonts w:ascii="Times New Roman" w:eastAsia="Times New Roman" w:hAnsi="Times New Roman"/>
                <w:bCs/>
                <w:sz w:val="24"/>
                <w:szCs w:val="24"/>
                <w:lang w:eastAsia="lv-LV"/>
              </w:rPr>
              <w:t xml:space="preserve"> un nodarījuma </w:t>
            </w:r>
            <w:proofErr w:type="spellStart"/>
            <w:r w:rsidRPr="00EE4333">
              <w:rPr>
                <w:rFonts w:ascii="Times New Roman" w:eastAsia="Times New Roman" w:hAnsi="Times New Roman"/>
                <w:bCs/>
                <w:sz w:val="24"/>
                <w:szCs w:val="24"/>
                <w:lang w:eastAsia="lv-LV"/>
              </w:rPr>
              <w:t>attiecināmīb</w:t>
            </w:r>
            <w:r w:rsidR="00882AC5">
              <w:rPr>
                <w:rFonts w:ascii="Times New Roman" w:eastAsia="Times New Roman" w:hAnsi="Times New Roman"/>
                <w:bCs/>
                <w:sz w:val="24"/>
                <w:szCs w:val="24"/>
                <w:lang w:eastAsia="lv-LV"/>
              </w:rPr>
              <w:t>u</w:t>
            </w:r>
            <w:proofErr w:type="spellEnd"/>
            <w:r w:rsidRPr="00EE4333">
              <w:rPr>
                <w:rFonts w:ascii="Times New Roman" w:eastAsia="Times New Roman" w:hAnsi="Times New Roman"/>
                <w:bCs/>
                <w:sz w:val="24"/>
                <w:szCs w:val="24"/>
                <w:lang w:eastAsia="lv-LV"/>
              </w:rPr>
              <w:t xml:space="preserve"> uz publiski tiesiskajām attiecībām</w:t>
            </w:r>
            <w:r>
              <w:rPr>
                <w:rFonts w:ascii="Times New Roman" w:eastAsia="Times New Roman" w:hAnsi="Times New Roman"/>
                <w:bCs/>
                <w:sz w:val="24"/>
                <w:szCs w:val="24"/>
                <w:lang w:eastAsia="lv-LV"/>
              </w:rPr>
              <w:t>. Tāpat saskaņā ar minēto informatīvo ziņojumu, i</w:t>
            </w:r>
            <w:r w:rsidRPr="00EE4333">
              <w:rPr>
                <w:rFonts w:ascii="Times New Roman" w:eastAsia="Times New Roman" w:hAnsi="Times New Roman"/>
                <w:bCs/>
                <w:sz w:val="24"/>
                <w:szCs w:val="24"/>
                <w:lang w:eastAsia="lv-LV"/>
              </w:rPr>
              <w:t xml:space="preserve">zstrādājot attiecīgos likumprojektus, </w:t>
            </w:r>
            <w:r>
              <w:rPr>
                <w:rFonts w:ascii="Times New Roman" w:eastAsia="Times New Roman" w:hAnsi="Times New Roman"/>
                <w:bCs/>
                <w:sz w:val="24"/>
                <w:szCs w:val="24"/>
                <w:lang w:eastAsia="lv-LV"/>
              </w:rPr>
              <w:t xml:space="preserve">ir </w:t>
            </w:r>
            <w:r w:rsidRPr="00EE4333">
              <w:rPr>
                <w:rFonts w:ascii="Times New Roman" w:eastAsia="Times New Roman" w:hAnsi="Times New Roman"/>
                <w:bCs/>
                <w:sz w:val="24"/>
                <w:szCs w:val="24"/>
                <w:lang w:eastAsia="lv-LV"/>
              </w:rPr>
              <w:t>nepieciešams ievērot administratīvā akta izdošanas prioritātes principu</w:t>
            </w:r>
            <w:r>
              <w:rPr>
                <w:rFonts w:ascii="Times New Roman" w:eastAsia="Times New Roman" w:hAnsi="Times New Roman"/>
                <w:bCs/>
                <w:sz w:val="24"/>
                <w:szCs w:val="24"/>
                <w:lang w:eastAsia="lv-LV"/>
              </w:rPr>
              <w:t>.</w:t>
            </w:r>
          </w:p>
          <w:p w14:paraId="63D886BB" w14:textId="2BD79C51" w:rsidR="00802914" w:rsidRDefault="00722636" w:rsidP="00802914">
            <w:pPr>
              <w:spacing w:after="0" w:line="240" w:lineRule="auto"/>
              <w:ind w:firstLine="720"/>
              <w:jc w:val="both"/>
              <w:rPr>
                <w:rFonts w:ascii="Times New Roman" w:hAnsi="Times New Roman"/>
                <w:sz w:val="24"/>
                <w:szCs w:val="24"/>
              </w:rPr>
            </w:pPr>
            <w:r w:rsidRPr="00361FEB">
              <w:rPr>
                <w:rFonts w:ascii="Times New Roman" w:hAnsi="Times New Roman"/>
                <w:sz w:val="24"/>
                <w:szCs w:val="24"/>
              </w:rPr>
              <w:t xml:space="preserve"> </w:t>
            </w:r>
            <w:r w:rsidR="00886C1F">
              <w:rPr>
                <w:rFonts w:ascii="Times New Roman" w:hAnsi="Times New Roman"/>
                <w:sz w:val="24"/>
                <w:szCs w:val="24"/>
              </w:rPr>
              <w:t>Vērtējot minētos kritērijus, uzmanība būtu vēršama tam,</w:t>
            </w:r>
            <w:r w:rsidR="000B682A">
              <w:rPr>
                <w:rFonts w:ascii="Times New Roman" w:hAnsi="Times New Roman"/>
                <w:sz w:val="24"/>
                <w:szCs w:val="24"/>
              </w:rPr>
              <w:t xml:space="preserve"> ka</w:t>
            </w:r>
            <w:r w:rsidR="00886C1F">
              <w:rPr>
                <w:rFonts w:ascii="Times New Roman" w:hAnsi="Times New Roman"/>
                <w:sz w:val="24"/>
                <w:szCs w:val="24"/>
              </w:rPr>
              <w:t xml:space="preserve"> </w:t>
            </w:r>
            <w:r w:rsidR="00802914" w:rsidRPr="00802914">
              <w:rPr>
                <w:rFonts w:ascii="Times New Roman" w:hAnsi="Times New Roman"/>
                <w:sz w:val="24"/>
                <w:szCs w:val="24"/>
              </w:rPr>
              <w:t xml:space="preserve">Regulas </w:t>
            </w:r>
            <w:r w:rsidR="00886C1F">
              <w:rPr>
                <w:rFonts w:ascii="Times New Roman" w:hAnsi="Times New Roman"/>
                <w:sz w:val="24"/>
                <w:szCs w:val="24"/>
              </w:rPr>
              <w:t>p</w:t>
            </w:r>
            <w:r w:rsidR="00802914" w:rsidRPr="00802914">
              <w:rPr>
                <w:rFonts w:ascii="Times New Roman" w:hAnsi="Times New Roman"/>
                <w:sz w:val="24"/>
                <w:szCs w:val="24"/>
              </w:rPr>
              <w:t>reambulas 7. apsvērum</w:t>
            </w:r>
            <w:r w:rsidR="00886C1F">
              <w:rPr>
                <w:rFonts w:ascii="Times New Roman" w:hAnsi="Times New Roman"/>
                <w:sz w:val="24"/>
                <w:szCs w:val="24"/>
              </w:rPr>
              <w:t xml:space="preserve">ā </w:t>
            </w:r>
            <w:r w:rsidR="000B682A">
              <w:rPr>
                <w:rFonts w:ascii="Times New Roman" w:hAnsi="Times New Roman"/>
                <w:sz w:val="24"/>
                <w:szCs w:val="24"/>
              </w:rPr>
              <w:t xml:space="preserve"> ir norādīts</w:t>
            </w:r>
            <w:r w:rsidR="00802914" w:rsidRPr="00802914">
              <w:rPr>
                <w:rFonts w:ascii="Times New Roman" w:hAnsi="Times New Roman"/>
                <w:sz w:val="24"/>
                <w:szCs w:val="24"/>
              </w:rPr>
              <w:t xml:space="preserve">, ka attiecībā uz dažiem ierobežotiem sprāgstvielu prekursoriem, kuru koncentrācija pārsniedz šajā regulā paredzētās robežvērtības, nepastāv veids, kā plašas sabiedrības locekļi tos varētu lietot likumīgi. </w:t>
            </w:r>
            <w:r w:rsidR="00886C1F">
              <w:rPr>
                <w:rFonts w:ascii="Times New Roman" w:hAnsi="Times New Roman"/>
                <w:sz w:val="24"/>
                <w:szCs w:val="24"/>
              </w:rPr>
              <w:t xml:space="preserve">Turklāt </w:t>
            </w:r>
            <w:r w:rsidR="00802914" w:rsidRPr="00802914">
              <w:rPr>
                <w:rFonts w:ascii="Times New Roman" w:hAnsi="Times New Roman"/>
                <w:sz w:val="24"/>
                <w:szCs w:val="24"/>
              </w:rPr>
              <w:t xml:space="preserve">Regulas </w:t>
            </w:r>
            <w:r w:rsidR="00886C1F">
              <w:rPr>
                <w:rFonts w:ascii="Times New Roman" w:hAnsi="Times New Roman"/>
                <w:sz w:val="24"/>
                <w:szCs w:val="24"/>
              </w:rPr>
              <w:t>p</w:t>
            </w:r>
            <w:r w:rsidR="00802914" w:rsidRPr="00802914">
              <w:rPr>
                <w:rFonts w:ascii="Times New Roman" w:hAnsi="Times New Roman"/>
                <w:sz w:val="24"/>
                <w:szCs w:val="24"/>
              </w:rPr>
              <w:t>reambulas 11.apstvērum</w:t>
            </w:r>
            <w:r w:rsidR="00886C1F">
              <w:rPr>
                <w:rFonts w:ascii="Times New Roman" w:hAnsi="Times New Roman"/>
                <w:sz w:val="24"/>
                <w:szCs w:val="24"/>
              </w:rPr>
              <w:t>ā ir norādīts</w:t>
            </w:r>
            <w:r w:rsidR="00802914" w:rsidRPr="00802914">
              <w:rPr>
                <w:rFonts w:ascii="Times New Roman" w:hAnsi="Times New Roman"/>
                <w:sz w:val="24"/>
                <w:szCs w:val="24"/>
              </w:rPr>
              <w:t>, ka nevajadzētu darīt pieejamus ierobežotus sprāgstvielu prekursorus ne fiziskām, ne juridiskām personām, kas veic profesionālu darbību jomās, kurās konkrētie ierobežotie sprāgstvielu prekursori parasti netiek lietoti profesionālos nolūkos, nedz arī fiziskām vai juridiskām personām, kas iesaistītas darbībās, kuras nav saistītas ne ar kādu profesionālo nolūku.</w:t>
            </w:r>
          </w:p>
          <w:p w14:paraId="23B62849" w14:textId="2A734FD2" w:rsidR="00882AC5" w:rsidRPr="00802914" w:rsidRDefault="00882AC5" w:rsidP="00802914">
            <w:pPr>
              <w:spacing w:after="0" w:line="240" w:lineRule="auto"/>
              <w:ind w:firstLine="720"/>
              <w:jc w:val="both"/>
              <w:rPr>
                <w:rFonts w:ascii="Times New Roman" w:hAnsi="Times New Roman"/>
                <w:sz w:val="24"/>
                <w:szCs w:val="24"/>
              </w:rPr>
            </w:pPr>
            <w:r w:rsidRPr="00802914">
              <w:rPr>
                <w:rFonts w:ascii="Times New Roman" w:hAnsi="Times New Roman"/>
                <w:sz w:val="24"/>
                <w:szCs w:val="24"/>
              </w:rPr>
              <w:t xml:space="preserve">Tātad </w:t>
            </w:r>
            <w:r>
              <w:rPr>
                <w:rFonts w:ascii="Times New Roman" w:hAnsi="Times New Roman"/>
                <w:sz w:val="24"/>
                <w:szCs w:val="24"/>
              </w:rPr>
              <w:t xml:space="preserve">Eiropas Savienības likumdevējam </w:t>
            </w:r>
            <w:r w:rsidRPr="00802914">
              <w:rPr>
                <w:rFonts w:ascii="Times New Roman" w:hAnsi="Times New Roman"/>
                <w:sz w:val="24"/>
                <w:szCs w:val="24"/>
              </w:rPr>
              <w:t xml:space="preserve">pastāv nopietnas bažas par to, ka šie sprāgstvielu prekursori var tikt </w:t>
            </w:r>
            <w:r w:rsidRPr="00802914">
              <w:rPr>
                <w:rFonts w:ascii="Times New Roman" w:hAnsi="Times New Roman"/>
                <w:sz w:val="24"/>
                <w:szCs w:val="24"/>
              </w:rPr>
              <w:lastRenderedPageBreak/>
              <w:t>izmantoti ļaunprātīgi, izraisot nopietnas sekas sabiedrības drošībai un veselībai.</w:t>
            </w:r>
          </w:p>
          <w:p w14:paraId="04B59725" w14:textId="7F9A6705" w:rsidR="00802914" w:rsidRPr="00802914" w:rsidRDefault="00802914" w:rsidP="00802914">
            <w:pPr>
              <w:spacing w:after="0" w:line="240" w:lineRule="auto"/>
              <w:ind w:firstLine="720"/>
              <w:jc w:val="both"/>
              <w:rPr>
                <w:rFonts w:ascii="Times New Roman" w:hAnsi="Times New Roman"/>
                <w:sz w:val="24"/>
                <w:szCs w:val="24"/>
              </w:rPr>
            </w:pPr>
            <w:r w:rsidRPr="00802914">
              <w:rPr>
                <w:rFonts w:ascii="Times New Roman" w:hAnsi="Times New Roman"/>
                <w:sz w:val="24"/>
                <w:szCs w:val="24"/>
              </w:rPr>
              <w:t>Turklāt Regulas 5.pants paredz, ka ierobežotus sprāgstvielu prekursorus nedara pieejamus plašas sabiedrības locekļiem, plašas sabiedrības locekļi tos neieved, netur īpašumā un nelieto, ja vien nav izveidots licencēšanas režīms. Saskaņā ar šādiem licencēšanas režīmiem plašas sabiedrības loceklis iegūst un pēc pieprasījuma uzrāda licenci ierobežotu sprāgstvielu prekursoru iegādei, ievešanai, turēšanai īpašumā vai lietošanai.</w:t>
            </w:r>
            <w:r w:rsidR="001E7F42">
              <w:rPr>
                <w:rFonts w:ascii="Times New Roman" w:hAnsi="Times New Roman"/>
                <w:sz w:val="24"/>
                <w:szCs w:val="24"/>
              </w:rPr>
              <w:t xml:space="preserve"> Uzsverams, ka </w:t>
            </w:r>
            <w:r w:rsidR="001E7F42" w:rsidRPr="00204E4A">
              <w:rPr>
                <w:rFonts w:ascii="Times New Roman" w:hAnsi="Times New Roman"/>
                <w:sz w:val="24"/>
                <w:szCs w:val="24"/>
              </w:rPr>
              <w:t xml:space="preserve">Regulā paredzētais licencēšanas mehānisms ir obligāts attiecībā uz ierobežoto sprāgstvielu prekursoru tirdzniecību (darīšana par pieejamu) plašas sabiedrības locekļiem, savukārt ierobežoto sprāgstvielu prekursoru tirdzniecība profesionālajiem lietotājiem ir atļauta un </w:t>
            </w:r>
            <w:r w:rsidR="001E7F42">
              <w:rPr>
                <w:rFonts w:ascii="Times New Roman" w:hAnsi="Times New Roman"/>
                <w:sz w:val="24"/>
                <w:szCs w:val="24"/>
              </w:rPr>
              <w:t xml:space="preserve">līdz ar to </w:t>
            </w:r>
            <w:r w:rsidR="001E7F42" w:rsidRPr="00204E4A">
              <w:rPr>
                <w:rFonts w:ascii="Times New Roman" w:hAnsi="Times New Roman"/>
                <w:sz w:val="24"/>
                <w:szCs w:val="24"/>
              </w:rPr>
              <w:t>Regulas 8.panta prasības ir attiecināmas un ieviešamas nacionālajā regulējumā.</w:t>
            </w:r>
          </w:p>
          <w:p w14:paraId="0FBC35D1" w14:textId="709AA590" w:rsidR="0037060A" w:rsidRDefault="00802914" w:rsidP="00802914">
            <w:pPr>
              <w:spacing w:after="0" w:line="240" w:lineRule="auto"/>
              <w:ind w:firstLine="720"/>
              <w:jc w:val="both"/>
              <w:rPr>
                <w:rFonts w:ascii="Times New Roman" w:eastAsia="Times New Roman" w:hAnsi="Times New Roman"/>
                <w:bCs/>
                <w:sz w:val="24"/>
                <w:szCs w:val="24"/>
                <w:lang w:eastAsia="lv-LV"/>
              </w:rPr>
            </w:pPr>
            <w:r w:rsidRPr="00802914">
              <w:rPr>
                <w:rFonts w:ascii="Times New Roman" w:hAnsi="Times New Roman"/>
                <w:sz w:val="24"/>
                <w:szCs w:val="24"/>
              </w:rPr>
              <w:t>Līdz ar to</w:t>
            </w:r>
            <w:r w:rsidR="00BA515D">
              <w:rPr>
                <w:rFonts w:ascii="Times New Roman" w:hAnsi="Times New Roman"/>
                <w:sz w:val="24"/>
                <w:szCs w:val="24"/>
              </w:rPr>
              <w:t xml:space="preserve"> Eiropas Savienības</w:t>
            </w:r>
            <w:r w:rsidRPr="00802914">
              <w:rPr>
                <w:rFonts w:ascii="Times New Roman" w:hAnsi="Times New Roman"/>
                <w:sz w:val="24"/>
                <w:szCs w:val="24"/>
              </w:rPr>
              <w:t xml:space="preserve"> likumdevējs ir uzsvēris, ka licencēšana būtu jāatļauj vienīgi attiecībā uz ierobežotu skaitu </w:t>
            </w:r>
            <w:r w:rsidR="0085150B">
              <w:rPr>
                <w:rFonts w:ascii="Times New Roman" w:hAnsi="Times New Roman"/>
                <w:sz w:val="24"/>
                <w:szCs w:val="24"/>
              </w:rPr>
              <w:t>sprāgstvielu prekursoriem</w:t>
            </w:r>
            <w:r w:rsidRPr="00802914">
              <w:rPr>
                <w:rFonts w:ascii="Times New Roman" w:hAnsi="Times New Roman"/>
                <w:sz w:val="24"/>
                <w:szCs w:val="24"/>
              </w:rPr>
              <w:t>, attiecībā uz kuriem pastāv veids, kā plašas sabiedrības locekļi tos varētu lietot likumīgi, un tikai noteiktam personu lokam (nosakot izvērtēšan</w:t>
            </w:r>
            <w:r w:rsidR="00882AC5">
              <w:rPr>
                <w:rFonts w:ascii="Times New Roman" w:hAnsi="Times New Roman"/>
                <w:sz w:val="24"/>
                <w:szCs w:val="24"/>
              </w:rPr>
              <w:t>as procedūru</w:t>
            </w:r>
            <w:r w:rsidRPr="00802914">
              <w:rPr>
                <w:rFonts w:ascii="Times New Roman" w:hAnsi="Times New Roman"/>
                <w:sz w:val="24"/>
                <w:szCs w:val="24"/>
              </w:rPr>
              <w:t xml:space="preserve"> pirms licences izsniegšanas). Tādējādi no likumdevēja puses ir veiktas darbības, lai minimizētu iespējamo </w:t>
            </w:r>
            <w:r w:rsidR="0085150B">
              <w:rPr>
                <w:rFonts w:ascii="Times New Roman" w:hAnsi="Times New Roman"/>
                <w:sz w:val="24"/>
                <w:szCs w:val="24"/>
              </w:rPr>
              <w:t>kaitīgo seku iestāšanos ierobežoto</w:t>
            </w:r>
            <w:r w:rsidRPr="00802914">
              <w:rPr>
                <w:rFonts w:ascii="Times New Roman" w:hAnsi="Times New Roman"/>
                <w:sz w:val="24"/>
                <w:szCs w:val="24"/>
              </w:rPr>
              <w:t xml:space="preserve"> sprāgstvielu prekursoru lietošanas gad</w:t>
            </w:r>
            <w:r w:rsidR="0085150B">
              <w:rPr>
                <w:rFonts w:ascii="Times New Roman" w:hAnsi="Times New Roman"/>
                <w:sz w:val="24"/>
                <w:szCs w:val="24"/>
              </w:rPr>
              <w:t>ījumos, ļaujot</w:t>
            </w:r>
            <w:r w:rsidR="0085150B" w:rsidRPr="00802914">
              <w:rPr>
                <w:rFonts w:ascii="Times New Roman" w:hAnsi="Times New Roman"/>
                <w:sz w:val="24"/>
                <w:szCs w:val="24"/>
              </w:rPr>
              <w:t xml:space="preserve"> izmantot</w:t>
            </w:r>
            <w:r w:rsidR="0085150B">
              <w:rPr>
                <w:rFonts w:ascii="Times New Roman" w:hAnsi="Times New Roman"/>
                <w:sz w:val="24"/>
                <w:szCs w:val="24"/>
              </w:rPr>
              <w:t xml:space="preserve"> tikai </w:t>
            </w:r>
            <w:r w:rsidRPr="00802914">
              <w:rPr>
                <w:rFonts w:ascii="Times New Roman" w:hAnsi="Times New Roman"/>
                <w:sz w:val="24"/>
                <w:szCs w:val="24"/>
              </w:rPr>
              <w:t>noteikto</w:t>
            </w:r>
            <w:r w:rsidR="0085150B">
              <w:rPr>
                <w:rFonts w:ascii="Times New Roman" w:hAnsi="Times New Roman"/>
                <w:sz w:val="24"/>
                <w:szCs w:val="24"/>
              </w:rPr>
              <w:t>s</w:t>
            </w:r>
            <w:r w:rsidRPr="00802914">
              <w:rPr>
                <w:rFonts w:ascii="Times New Roman" w:hAnsi="Times New Roman"/>
                <w:sz w:val="24"/>
                <w:szCs w:val="24"/>
              </w:rPr>
              <w:t xml:space="preserve"> ierobežoto sprāgstvielu prekursoru</w:t>
            </w:r>
            <w:r w:rsidR="0085150B">
              <w:rPr>
                <w:rFonts w:ascii="Times New Roman" w:hAnsi="Times New Roman"/>
                <w:sz w:val="24"/>
                <w:szCs w:val="24"/>
              </w:rPr>
              <w:t>s</w:t>
            </w:r>
            <w:r w:rsidR="00882AC5">
              <w:rPr>
                <w:rFonts w:ascii="Times New Roman" w:hAnsi="Times New Roman"/>
                <w:sz w:val="24"/>
                <w:szCs w:val="24"/>
              </w:rPr>
              <w:t xml:space="preserve"> un tikai noteiktam personu lokam</w:t>
            </w:r>
            <w:r w:rsidRPr="00802914">
              <w:rPr>
                <w:rFonts w:ascii="Times New Roman" w:hAnsi="Times New Roman"/>
                <w:sz w:val="24"/>
                <w:szCs w:val="24"/>
              </w:rPr>
              <w:t xml:space="preserve">, </w:t>
            </w:r>
            <w:r w:rsidR="0085150B">
              <w:rPr>
                <w:rFonts w:ascii="Times New Roman" w:hAnsi="Times New Roman"/>
                <w:sz w:val="24"/>
                <w:szCs w:val="24"/>
              </w:rPr>
              <w:t xml:space="preserve">vienlaicīgi </w:t>
            </w:r>
            <w:r w:rsidRPr="00802914">
              <w:rPr>
                <w:rFonts w:ascii="Times New Roman" w:hAnsi="Times New Roman"/>
                <w:sz w:val="24"/>
                <w:szCs w:val="24"/>
              </w:rPr>
              <w:t xml:space="preserve">to </w:t>
            </w:r>
            <w:r w:rsidR="00BC28FB">
              <w:rPr>
                <w:rFonts w:ascii="Times New Roman" w:hAnsi="Times New Roman"/>
                <w:sz w:val="24"/>
                <w:szCs w:val="24"/>
              </w:rPr>
              <w:t xml:space="preserve">ierobežojot un </w:t>
            </w:r>
            <w:r w:rsidRPr="00802914">
              <w:rPr>
                <w:rFonts w:ascii="Times New Roman" w:hAnsi="Times New Roman"/>
                <w:sz w:val="24"/>
                <w:szCs w:val="24"/>
              </w:rPr>
              <w:t>kontrolējot ar licencēšan</w:t>
            </w:r>
            <w:r w:rsidR="0085150B">
              <w:rPr>
                <w:rFonts w:ascii="Times New Roman" w:hAnsi="Times New Roman"/>
                <w:sz w:val="24"/>
                <w:szCs w:val="24"/>
              </w:rPr>
              <w:t>as mehānismu</w:t>
            </w:r>
            <w:r w:rsidRPr="00802914">
              <w:rPr>
                <w:rFonts w:ascii="Times New Roman" w:hAnsi="Times New Roman"/>
                <w:sz w:val="24"/>
                <w:szCs w:val="24"/>
              </w:rPr>
              <w:t>.</w:t>
            </w:r>
            <w:r w:rsidR="00BC28FB">
              <w:rPr>
                <w:rFonts w:ascii="Times New Roman" w:hAnsi="Times New Roman"/>
                <w:sz w:val="24"/>
                <w:szCs w:val="24"/>
              </w:rPr>
              <w:t xml:space="preserve"> Minētais nepārprotami norāda uz to, ka jebkād</w:t>
            </w:r>
            <w:r w:rsidR="000F13B1">
              <w:rPr>
                <w:rFonts w:ascii="Times New Roman" w:hAnsi="Times New Roman"/>
                <w:sz w:val="24"/>
                <w:szCs w:val="24"/>
              </w:rPr>
              <w:t>as neatļautas</w:t>
            </w:r>
            <w:r w:rsidR="00BC28FB">
              <w:rPr>
                <w:rFonts w:ascii="Times New Roman" w:hAnsi="Times New Roman"/>
                <w:sz w:val="24"/>
                <w:szCs w:val="24"/>
              </w:rPr>
              <w:t xml:space="preserve"> darbīb</w:t>
            </w:r>
            <w:r w:rsidR="000F13B1">
              <w:rPr>
                <w:rFonts w:ascii="Times New Roman" w:hAnsi="Times New Roman"/>
                <w:sz w:val="24"/>
                <w:szCs w:val="24"/>
              </w:rPr>
              <w:t>as</w:t>
            </w:r>
            <w:r w:rsidR="00BC28FB">
              <w:rPr>
                <w:rFonts w:ascii="Times New Roman" w:hAnsi="Times New Roman"/>
                <w:sz w:val="24"/>
                <w:szCs w:val="24"/>
              </w:rPr>
              <w:t xml:space="preserve"> ar ierobežoto sprāgstvielu prekursoriem</w:t>
            </w:r>
            <w:r w:rsidR="000F13B1">
              <w:rPr>
                <w:rFonts w:ascii="Times New Roman" w:hAnsi="Times New Roman"/>
                <w:sz w:val="24"/>
                <w:szCs w:val="24"/>
              </w:rPr>
              <w:t xml:space="preserve"> </w:t>
            </w:r>
            <w:r w:rsidR="000F13B1" w:rsidRPr="000F13B1">
              <w:rPr>
                <w:rFonts w:ascii="Times New Roman" w:hAnsi="Times New Roman"/>
                <w:sz w:val="24"/>
                <w:szCs w:val="24"/>
              </w:rPr>
              <w:t>skar būtiskas sabiedriskās intereses</w:t>
            </w:r>
            <w:r w:rsidR="000F13B1">
              <w:rPr>
                <w:rFonts w:ascii="Times New Roman" w:hAnsi="Times New Roman"/>
                <w:sz w:val="24"/>
                <w:szCs w:val="24"/>
              </w:rPr>
              <w:t xml:space="preserve">, </w:t>
            </w:r>
            <w:r w:rsidR="000B682A">
              <w:rPr>
                <w:rFonts w:ascii="Times New Roman" w:hAnsi="Times New Roman"/>
                <w:sz w:val="24"/>
                <w:szCs w:val="24"/>
              </w:rPr>
              <w:t xml:space="preserve">var būt </w:t>
            </w:r>
            <w:r w:rsidR="00BC28FB">
              <w:rPr>
                <w:rFonts w:ascii="Times New Roman" w:hAnsi="Times New Roman"/>
                <w:sz w:val="24"/>
                <w:szCs w:val="24"/>
              </w:rPr>
              <w:t xml:space="preserve"> </w:t>
            </w:r>
            <w:r w:rsidR="00BC28FB">
              <w:rPr>
                <w:rFonts w:ascii="Times New Roman" w:eastAsia="Times New Roman" w:hAnsi="Times New Roman"/>
                <w:bCs/>
                <w:sz w:val="24"/>
                <w:szCs w:val="24"/>
                <w:lang w:eastAsia="lv-LV"/>
              </w:rPr>
              <w:t>bīstam</w:t>
            </w:r>
            <w:r w:rsidR="000F13B1">
              <w:rPr>
                <w:rFonts w:ascii="Times New Roman" w:eastAsia="Times New Roman" w:hAnsi="Times New Roman"/>
                <w:bCs/>
                <w:sz w:val="24"/>
                <w:szCs w:val="24"/>
                <w:lang w:eastAsia="lv-LV"/>
              </w:rPr>
              <w:t>as</w:t>
            </w:r>
            <w:r w:rsidR="00BC28FB" w:rsidRPr="00EE4333">
              <w:rPr>
                <w:rFonts w:ascii="Times New Roman" w:eastAsia="Times New Roman" w:hAnsi="Times New Roman"/>
                <w:bCs/>
                <w:sz w:val="24"/>
                <w:szCs w:val="24"/>
                <w:lang w:eastAsia="lv-LV"/>
              </w:rPr>
              <w:t xml:space="preserve">, </w:t>
            </w:r>
            <w:r w:rsidR="000F13B1">
              <w:rPr>
                <w:rFonts w:ascii="Times New Roman" w:eastAsia="Times New Roman" w:hAnsi="Times New Roman"/>
                <w:bCs/>
                <w:sz w:val="24"/>
                <w:szCs w:val="24"/>
                <w:lang w:eastAsia="lv-LV"/>
              </w:rPr>
              <w:t>sabiedrībai</w:t>
            </w:r>
            <w:r w:rsidR="00BC28FB" w:rsidRPr="00EE4333">
              <w:rPr>
                <w:rFonts w:ascii="Times New Roman" w:eastAsia="Times New Roman" w:hAnsi="Times New Roman"/>
                <w:bCs/>
                <w:sz w:val="24"/>
                <w:szCs w:val="24"/>
                <w:lang w:eastAsia="lv-LV"/>
              </w:rPr>
              <w:t xml:space="preserve"> kaitīg</w:t>
            </w:r>
            <w:r w:rsidR="000F13B1">
              <w:rPr>
                <w:rFonts w:ascii="Times New Roman" w:eastAsia="Times New Roman" w:hAnsi="Times New Roman"/>
                <w:bCs/>
                <w:sz w:val="24"/>
                <w:szCs w:val="24"/>
                <w:lang w:eastAsia="lv-LV"/>
              </w:rPr>
              <w:t>as</w:t>
            </w:r>
            <w:r w:rsidR="00BC28FB" w:rsidRPr="00EE4333">
              <w:rPr>
                <w:rFonts w:ascii="Times New Roman" w:eastAsia="Times New Roman" w:hAnsi="Times New Roman"/>
                <w:bCs/>
                <w:sz w:val="24"/>
                <w:szCs w:val="24"/>
                <w:lang w:eastAsia="lv-LV"/>
              </w:rPr>
              <w:t xml:space="preserve"> </w:t>
            </w:r>
            <w:r w:rsidR="000F13B1">
              <w:rPr>
                <w:rFonts w:ascii="Times New Roman" w:eastAsia="Times New Roman" w:hAnsi="Times New Roman"/>
                <w:bCs/>
                <w:sz w:val="24"/>
                <w:szCs w:val="24"/>
                <w:lang w:eastAsia="lv-LV"/>
              </w:rPr>
              <w:t>un t</w:t>
            </w:r>
            <w:r w:rsidR="00BA515D">
              <w:rPr>
                <w:rFonts w:ascii="Times New Roman" w:eastAsia="Times New Roman" w:hAnsi="Times New Roman"/>
                <w:bCs/>
                <w:sz w:val="24"/>
                <w:szCs w:val="24"/>
                <w:lang w:eastAsia="lv-LV"/>
              </w:rPr>
              <w:t>o</w:t>
            </w:r>
            <w:r w:rsidR="000F13B1">
              <w:rPr>
                <w:rFonts w:ascii="Times New Roman" w:eastAsia="Times New Roman" w:hAnsi="Times New Roman"/>
                <w:bCs/>
                <w:sz w:val="24"/>
                <w:szCs w:val="24"/>
                <w:lang w:eastAsia="lv-LV"/>
              </w:rPr>
              <w:t xml:space="preserve"> </w:t>
            </w:r>
            <w:r w:rsidR="00BC28FB" w:rsidRPr="00EE4333">
              <w:rPr>
                <w:rFonts w:ascii="Times New Roman" w:eastAsia="Times New Roman" w:hAnsi="Times New Roman"/>
                <w:bCs/>
                <w:sz w:val="24"/>
                <w:szCs w:val="24"/>
                <w:lang w:eastAsia="lv-LV"/>
              </w:rPr>
              <w:t>sekas</w:t>
            </w:r>
            <w:r w:rsidR="000F13B1">
              <w:rPr>
                <w:rFonts w:ascii="Times New Roman" w:eastAsia="Times New Roman" w:hAnsi="Times New Roman"/>
                <w:bCs/>
                <w:sz w:val="24"/>
                <w:szCs w:val="24"/>
                <w:lang w:eastAsia="lv-LV"/>
              </w:rPr>
              <w:t xml:space="preserve"> var būt smagas.</w:t>
            </w:r>
            <w:r w:rsidR="0085150B">
              <w:rPr>
                <w:rFonts w:ascii="Times New Roman" w:eastAsia="Times New Roman" w:hAnsi="Times New Roman"/>
                <w:bCs/>
                <w:sz w:val="24"/>
                <w:szCs w:val="24"/>
                <w:lang w:eastAsia="lv-LV"/>
              </w:rPr>
              <w:t xml:space="preserve"> </w:t>
            </w:r>
          </w:p>
          <w:p w14:paraId="1DA3DFFB" w14:textId="08223CC1" w:rsidR="0085150B" w:rsidRPr="008F33E5" w:rsidRDefault="00886C1F" w:rsidP="0085150B">
            <w:pPr>
              <w:spacing w:after="0" w:line="240" w:lineRule="auto"/>
              <w:ind w:firstLine="72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Līdz ar to </w:t>
            </w:r>
            <w:r w:rsidR="002F1E53">
              <w:rPr>
                <w:rFonts w:ascii="Times New Roman" w:hAnsi="Times New Roman"/>
                <w:sz w:val="24"/>
                <w:szCs w:val="24"/>
                <w:bdr w:val="none" w:sz="0" w:space="0" w:color="auto" w:frame="1"/>
              </w:rPr>
              <w:t xml:space="preserve">pārkāpumi, kas ir saistīti ar Regulas prasību neievērošanu atbilst </w:t>
            </w:r>
            <w:r w:rsidR="00D742BA">
              <w:rPr>
                <w:rFonts w:ascii="Times New Roman" w:hAnsi="Times New Roman"/>
                <w:sz w:val="24"/>
                <w:szCs w:val="24"/>
                <w:bdr w:val="none" w:sz="0" w:space="0" w:color="auto" w:frame="1"/>
              </w:rPr>
              <w:t>informatīvajā ziņojumā izvirzītajiem kritērijiem pārkāpumu vērtēšanai.</w:t>
            </w:r>
            <w:r w:rsidR="002F1E53">
              <w:rPr>
                <w:rFonts w:ascii="Times New Roman" w:hAnsi="Times New Roman"/>
                <w:sz w:val="24"/>
                <w:szCs w:val="24"/>
                <w:bdr w:val="none" w:sz="0" w:space="0" w:color="auto" w:frame="1"/>
              </w:rPr>
              <w:t xml:space="preserve"> </w:t>
            </w:r>
          </w:p>
          <w:p w14:paraId="1E9570A2" w14:textId="36188286" w:rsidR="00FD7819" w:rsidRDefault="00F610C1" w:rsidP="00F610C1">
            <w:pPr>
              <w:spacing w:after="0" w:line="240" w:lineRule="auto"/>
              <w:ind w:firstLine="720"/>
              <w:jc w:val="both"/>
              <w:rPr>
                <w:rFonts w:ascii="Times New Roman" w:eastAsia="Times New Roman" w:hAnsi="Times New Roman"/>
                <w:sz w:val="24"/>
                <w:szCs w:val="24"/>
                <w:lang w:eastAsia="en-GB"/>
              </w:rPr>
            </w:pPr>
            <w:r w:rsidRPr="008F33E5">
              <w:rPr>
                <w:rFonts w:ascii="Times New Roman" w:eastAsia="Times New Roman" w:hAnsi="Times New Roman"/>
                <w:sz w:val="24"/>
                <w:szCs w:val="24"/>
                <w:lang w:eastAsia="en-GB"/>
              </w:rPr>
              <w:t xml:space="preserve"> </w:t>
            </w:r>
            <w:r w:rsidR="00FD7819">
              <w:rPr>
                <w:rFonts w:ascii="Times New Roman" w:eastAsia="Times New Roman" w:hAnsi="Times New Roman"/>
                <w:sz w:val="24"/>
                <w:szCs w:val="24"/>
                <w:lang w:eastAsia="en-GB"/>
              </w:rPr>
              <w:t xml:space="preserve">Attiecībā </w:t>
            </w:r>
            <w:r w:rsidR="00BA515D">
              <w:rPr>
                <w:rFonts w:ascii="Times New Roman" w:eastAsia="Times New Roman" w:hAnsi="Times New Roman"/>
                <w:sz w:val="24"/>
                <w:szCs w:val="24"/>
                <w:lang w:eastAsia="en-GB"/>
              </w:rPr>
              <w:t xml:space="preserve">uz </w:t>
            </w:r>
            <w:r w:rsidR="00FD7819" w:rsidRPr="00EE4333">
              <w:rPr>
                <w:rFonts w:ascii="Times New Roman" w:eastAsia="Times New Roman" w:hAnsi="Times New Roman"/>
                <w:bCs/>
                <w:sz w:val="24"/>
                <w:szCs w:val="24"/>
                <w:lang w:eastAsia="lv-LV"/>
              </w:rPr>
              <w:t>administratīvā akta izdošanas prioritātes principu</w:t>
            </w:r>
            <w:r w:rsidR="00FD7819">
              <w:rPr>
                <w:rFonts w:ascii="Times New Roman" w:eastAsia="Times New Roman" w:hAnsi="Times New Roman"/>
                <w:bCs/>
                <w:sz w:val="24"/>
                <w:szCs w:val="24"/>
                <w:lang w:eastAsia="lv-LV"/>
              </w:rPr>
              <w:t>, vēršam uzmanību, ka</w:t>
            </w:r>
            <w:r w:rsidR="00FD7819" w:rsidRPr="008F33E5">
              <w:rPr>
                <w:rFonts w:ascii="Times New Roman" w:eastAsia="Times New Roman" w:hAnsi="Times New Roman"/>
                <w:sz w:val="24"/>
                <w:szCs w:val="24"/>
                <w:lang w:eastAsia="en-GB"/>
              </w:rPr>
              <w:t xml:space="preserve"> </w:t>
            </w:r>
            <w:r w:rsidRPr="008F33E5">
              <w:rPr>
                <w:rFonts w:ascii="Times New Roman" w:eastAsia="Times New Roman" w:hAnsi="Times New Roman"/>
                <w:sz w:val="24"/>
                <w:szCs w:val="24"/>
                <w:lang w:eastAsia="en-GB"/>
              </w:rPr>
              <w:t xml:space="preserve">Regulas Nr. 2019/1148 5.panta 3.punkts satur rīcības brīvību dalībvalstīm saglabāt vai noteikt licencēšanas režīmu, ar kuru konkrētus ierobežotus sprāgstvielu prekursorus koncentrācijā, kas nepārsniedz attiecīgās augšējās robežvērtības, kuras izklāstītas I pielikuma tabulas 3. slejā, atļauj darīt pieejamus plašas sabiedrības locekļiem, tiem tos ievest, turēt īpašumā vai lietot. </w:t>
            </w:r>
          </w:p>
          <w:p w14:paraId="79F55B77" w14:textId="49EC7FD4" w:rsidR="00D742BA" w:rsidRDefault="00D742BA" w:rsidP="00D742BA">
            <w:pPr>
              <w:spacing w:after="0" w:line="240" w:lineRule="auto"/>
              <w:ind w:firstLine="720"/>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en-GB"/>
              </w:rPr>
              <w:t xml:space="preserve">Kā jau tika minēts iepriekš </w:t>
            </w:r>
            <w:r w:rsidRPr="00D21CE4">
              <w:rPr>
                <w:rFonts w:ascii="Times New Roman" w:eastAsia="Times New Roman" w:hAnsi="Times New Roman"/>
                <w:bCs/>
                <w:color w:val="000000"/>
                <w:sz w:val="24"/>
                <w:szCs w:val="24"/>
                <w:lang w:eastAsia="lv-LV"/>
              </w:rPr>
              <w:t>Regula Nr.2019/1148 pēc savas būtības satur Regulai Nr.98/2013 līdzīgu regulējumu</w:t>
            </w:r>
            <w:r>
              <w:rPr>
                <w:rFonts w:ascii="Times New Roman" w:eastAsia="Times New Roman" w:hAnsi="Times New Roman"/>
                <w:bCs/>
                <w:color w:val="000000"/>
                <w:sz w:val="24"/>
                <w:szCs w:val="24"/>
                <w:lang w:eastAsia="lv-LV"/>
              </w:rPr>
              <w:t>.</w:t>
            </w:r>
          </w:p>
          <w:p w14:paraId="09CF7396" w14:textId="660B5417" w:rsidR="00435A7C" w:rsidRDefault="00D742BA" w:rsidP="00D742BA">
            <w:pPr>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bCs/>
                <w:color w:val="000000"/>
                <w:sz w:val="24"/>
                <w:szCs w:val="24"/>
                <w:lang w:eastAsia="lv-LV"/>
              </w:rPr>
              <w:t xml:space="preserve">Strādājot pie Regulas Nr.98/2013 prasību izvērtēšanas </w:t>
            </w:r>
            <w:proofErr w:type="spellStart"/>
            <w:r>
              <w:rPr>
                <w:rFonts w:ascii="Times New Roman" w:eastAsia="Times New Roman" w:hAnsi="Times New Roman"/>
                <w:bCs/>
                <w:color w:val="000000"/>
                <w:sz w:val="24"/>
                <w:szCs w:val="24"/>
                <w:lang w:eastAsia="lv-LV"/>
              </w:rPr>
              <w:t>Iekšlietu</w:t>
            </w:r>
            <w:proofErr w:type="spellEnd"/>
            <w:r>
              <w:rPr>
                <w:rFonts w:ascii="Times New Roman" w:eastAsia="Times New Roman" w:hAnsi="Times New Roman"/>
                <w:bCs/>
                <w:color w:val="000000"/>
                <w:sz w:val="24"/>
                <w:szCs w:val="24"/>
                <w:lang w:eastAsia="lv-LV"/>
              </w:rPr>
              <w:t xml:space="preserve"> ministrija </w:t>
            </w:r>
            <w:proofErr w:type="gramStart"/>
            <w:r w:rsidR="00F610C1" w:rsidRPr="008F33E5">
              <w:rPr>
                <w:rFonts w:ascii="Times New Roman" w:eastAsia="Times New Roman" w:hAnsi="Times New Roman"/>
                <w:sz w:val="24"/>
                <w:szCs w:val="24"/>
                <w:lang w:eastAsia="en-GB"/>
              </w:rPr>
              <w:t>2013.gadā</w:t>
            </w:r>
            <w:proofErr w:type="gramEnd"/>
            <w:r w:rsidR="00F610C1" w:rsidRPr="008F33E5">
              <w:rPr>
                <w:rFonts w:ascii="Times New Roman" w:eastAsia="Times New Roman" w:hAnsi="Times New Roman"/>
                <w:sz w:val="24"/>
                <w:szCs w:val="24"/>
                <w:lang w:eastAsia="en-GB"/>
              </w:rPr>
              <w:t xml:space="preserve"> veica aptauju starp dažādās jomās atbildīgajām institūcijām (Zemkopības ministrija, Ekonomikas ministrija, Veselības ministrija, Vides aizsardzības un reģionālās attīstības ministrija) par nepieciešamību noteikt licenču izsniegšanas procedūru sprāgstvielu prekursoriem vai saglabāt jau esošu licencēšanas mehānismu, ja tāds pastāv. </w:t>
            </w:r>
            <w:proofErr w:type="spellStart"/>
            <w:r w:rsidR="00F610C1" w:rsidRPr="008F33E5">
              <w:rPr>
                <w:rFonts w:ascii="Times New Roman" w:eastAsia="Times New Roman" w:hAnsi="Times New Roman"/>
                <w:sz w:val="24"/>
                <w:szCs w:val="24"/>
                <w:lang w:eastAsia="en-GB"/>
              </w:rPr>
              <w:t>Iekšlietu</w:t>
            </w:r>
            <w:proofErr w:type="spellEnd"/>
            <w:r w:rsidR="00F610C1" w:rsidRPr="008F33E5">
              <w:rPr>
                <w:rFonts w:ascii="Times New Roman" w:eastAsia="Times New Roman" w:hAnsi="Times New Roman"/>
                <w:sz w:val="24"/>
                <w:szCs w:val="24"/>
                <w:lang w:eastAsia="en-GB"/>
              </w:rPr>
              <w:t xml:space="preserve"> ministrijā netika saņemta informācija no minētajām institūcijām, </w:t>
            </w:r>
            <w:r w:rsidR="00F610C1" w:rsidRPr="008F33E5">
              <w:rPr>
                <w:rFonts w:ascii="Times New Roman" w:eastAsia="Times New Roman" w:hAnsi="Times New Roman"/>
                <w:sz w:val="24"/>
                <w:szCs w:val="24"/>
                <w:lang w:eastAsia="en-GB"/>
              </w:rPr>
              <w:lastRenderedPageBreak/>
              <w:t xml:space="preserve">ka šāds regulējums nozarēs būtu nepieciešams vai, ka būtu nepieciešams saglabāt esošo licencēšanas mehānismu. </w:t>
            </w:r>
            <w:r w:rsidR="00FA1202">
              <w:rPr>
                <w:rFonts w:ascii="Times New Roman" w:eastAsia="Times New Roman" w:hAnsi="Times New Roman"/>
                <w:sz w:val="24"/>
                <w:szCs w:val="24"/>
                <w:lang w:eastAsia="en-GB"/>
              </w:rPr>
              <w:t>Vienlaikus ir norādāms, ka l</w:t>
            </w:r>
            <w:r w:rsidR="00FA1202" w:rsidRPr="00FA1202">
              <w:rPr>
                <w:rFonts w:ascii="Times New Roman" w:eastAsia="Times New Roman" w:hAnsi="Times New Roman"/>
                <w:sz w:val="24"/>
                <w:szCs w:val="24"/>
                <w:lang w:eastAsia="en-GB"/>
              </w:rPr>
              <w:t>icencēšanas mehānisms nekad nav pastāvējis un abu gan Eiropas Parlamenta un Padomes 2013. gada 15. janvāra Regulas (ES) Nr. 98/2013 par sprāgstvielu prekursoru tirdzniecību un lietošanu, pieņemšanas brīdī, gan tagad, pieņemot un īstenojot Regulas prasības, neviena no valsts</w:t>
            </w:r>
            <w:r w:rsidR="00D37E5A">
              <w:rPr>
                <w:rFonts w:ascii="Times New Roman" w:eastAsia="Times New Roman" w:hAnsi="Times New Roman"/>
                <w:sz w:val="24"/>
                <w:szCs w:val="24"/>
                <w:lang w:eastAsia="en-GB"/>
              </w:rPr>
              <w:t xml:space="preserve"> pārvaldes</w:t>
            </w:r>
            <w:r w:rsidR="00C709C4">
              <w:rPr>
                <w:rFonts w:ascii="Times New Roman" w:eastAsia="Times New Roman" w:hAnsi="Times New Roman"/>
                <w:sz w:val="24"/>
                <w:szCs w:val="24"/>
                <w:lang w:eastAsia="en-GB"/>
              </w:rPr>
              <w:t xml:space="preserve"> nozarēm (aptaujas laikā, </w:t>
            </w:r>
            <w:r w:rsidR="00FA1202" w:rsidRPr="00FA1202">
              <w:rPr>
                <w:rFonts w:ascii="Times New Roman" w:eastAsia="Times New Roman" w:hAnsi="Times New Roman"/>
                <w:sz w:val="24"/>
                <w:szCs w:val="24"/>
                <w:lang w:eastAsia="en-GB"/>
              </w:rPr>
              <w:t>sabiedriskās apspriešanas brīdī</w:t>
            </w:r>
            <w:r w:rsidR="00C709C4">
              <w:rPr>
                <w:rFonts w:ascii="Times New Roman" w:eastAsia="Times New Roman" w:hAnsi="Times New Roman"/>
                <w:sz w:val="24"/>
                <w:szCs w:val="24"/>
                <w:lang w:eastAsia="en-GB"/>
              </w:rPr>
              <w:t xml:space="preserve"> un konsultējoties ar atsevišķo nozaru ministrijām</w:t>
            </w:r>
            <w:bookmarkStart w:id="0" w:name="_GoBack"/>
            <w:bookmarkEnd w:id="0"/>
            <w:r w:rsidR="00FA1202" w:rsidRPr="00FA1202">
              <w:rPr>
                <w:rFonts w:ascii="Times New Roman" w:eastAsia="Times New Roman" w:hAnsi="Times New Roman"/>
                <w:sz w:val="24"/>
                <w:szCs w:val="24"/>
                <w:lang w:eastAsia="en-GB"/>
              </w:rPr>
              <w:t>) nav izteikusi vēlmi uzsākt veidot licencēšanas mehānismu savā nozarē.</w:t>
            </w:r>
          </w:p>
          <w:p w14:paraId="1F4BC39B" w14:textId="6554132A" w:rsidR="00F610C1" w:rsidRDefault="00D742BA" w:rsidP="00BA515D">
            <w:pPr>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Līdz ar to licencēšanas mehānisms netika noteikts un </w:t>
            </w:r>
            <w:r w:rsidR="00F610C1" w:rsidRPr="008F33E5">
              <w:rPr>
                <w:rFonts w:ascii="Times New Roman" w:eastAsia="Times New Roman" w:hAnsi="Times New Roman"/>
                <w:sz w:val="24"/>
                <w:szCs w:val="24"/>
                <w:lang w:eastAsia="en-GB"/>
              </w:rPr>
              <w:t>tirgū plašas sabiedrības locekļiem var nonākt tikai reglamentētie sprāgstvielu prekursori</w:t>
            </w:r>
            <w:r>
              <w:rPr>
                <w:rFonts w:ascii="Times New Roman" w:eastAsia="Times New Roman" w:hAnsi="Times New Roman"/>
                <w:sz w:val="24"/>
                <w:szCs w:val="24"/>
                <w:lang w:eastAsia="en-GB"/>
              </w:rPr>
              <w:t>. Ievērojot minēto arī</w:t>
            </w:r>
            <w:r w:rsidR="00F610C1" w:rsidRPr="008F33E5">
              <w:rPr>
                <w:rFonts w:ascii="Times New Roman" w:eastAsia="Times New Roman" w:hAnsi="Times New Roman"/>
                <w:sz w:val="24"/>
                <w:szCs w:val="24"/>
                <w:lang w:eastAsia="en-GB"/>
              </w:rPr>
              <w:t xml:space="preserve"> Regulas Nr.2019/1148 5. un 6. panta noteikumi Latvijas Republikā nav īstenojami un piemērojami</w:t>
            </w:r>
            <w:r w:rsidR="00435A7C">
              <w:rPr>
                <w:rFonts w:ascii="Times New Roman" w:eastAsia="Times New Roman" w:hAnsi="Times New Roman"/>
                <w:sz w:val="24"/>
                <w:szCs w:val="24"/>
                <w:lang w:eastAsia="en-GB"/>
              </w:rPr>
              <w:t>, un licencēšanas režīms Latvijas Republikā nav paredzēts</w:t>
            </w:r>
            <w:r w:rsidR="00F610C1" w:rsidRPr="008F33E5">
              <w:rPr>
                <w:rFonts w:ascii="Times New Roman" w:eastAsia="Times New Roman" w:hAnsi="Times New Roman"/>
                <w:sz w:val="24"/>
                <w:szCs w:val="24"/>
                <w:lang w:eastAsia="en-GB"/>
              </w:rPr>
              <w:t xml:space="preserve">. </w:t>
            </w:r>
          </w:p>
          <w:p w14:paraId="3A1F6E34" w14:textId="132A873C" w:rsidR="00B512FF" w:rsidRDefault="00B512FF" w:rsidP="00F610C1">
            <w:pPr>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Tādējādi konkrētajā gadījumā nav iespējams ar </w:t>
            </w:r>
            <w:r w:rsidRPr="00B512FF">
              <w:rPr>
                <w:rFonts w:ascii="Times New Roman" w:eastAsia="Times New Roman" w:hAnsi="Times New Roman"/>
                <w:sz w:val="24"/>
                <w:szCs w:val="24"/>
                <w:lang w:eastAsia="en-GB"/>
              </w:rPr>
              <w:t>administratīvā akta izdošan</w:t>
            </w:r>
            <w:r>
              <w:rPr>
                <w:rFonts w:ascii="Times New Roman" w:eastAsia="Times New Roman" w:hAnsi="Times New Roman"/>
                <w:sz w:val="24"/>
                <w:szCs w:val="24"/>
                <w:lang w:eastAsia="en-GB"/>
              </w:rPr>
              <w:t>u (kas</w:t>
            </w:r>
            <w:r w:rsidR="00882AC5">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piemērām, aizliegtu turpmāk nodarboties ar konkrēto preču pārdošanu, vai atteiktu licences izsniegšanu – jo nepastāv licencēšanas režīms, vai tirgus uzraudzība tā šaurākajā izpratnē)</w:t>
            </w:r>
            <w:r w:rsidRPr="00B512FF">
              <w:rPr>
                <w:rFonts w:ascii="Times New Roman" w:eastAsia="Times New Roman" w:hAnsi="Times New Roman"/>
                <w:sz w:val="24"/>
                <w:szCs w:val="24"/>
                <w:lang w:eastAsia="en-GB"/>
              </w:rPr>
              <w:t xml:space="preserve"> </w:t>
            </w:r>
            <w:r w:rsidR="004D0662">
              <w:rPr>
                <w:rFonts w:ascii="Times New Roman" w:eastAsia="Times New Roman" w:hAnsi="Times New Roman"/>
                <w:sz w:val="24"/>
                <w:szCs w:val="24"/>
                <w:lang w:eastAsia="en-GB"/>
              </w:rPr>
              <w:t xml:space="preserve">nodrošināt </w:t>
            </w:r>
            <w:r>
              <w:rPr>
                <w:rFonts w:ascii="Times New Roman" w:eastAsia="Times New Roman" w:hAnsi="Times New Roman"/>
                <w:sz w:val="24"/>
                <w:szCs w:val="24"/>
                <w:lang w:eastAsia="en-GB"/>
              </w:rPr>
              <w:t>Regulā</w:t>
            </w:r>
            <w:r w:rsidRPr="008F33E5">
              <w:rPr>
                <w:rFonts w:ascii="Times New Roman" w:eastAsia="Times New Roman" w:hAnsi="Times New Roman"/>
                <w:sz w:val="24"/>
                <w:szCs w:val="24"/>
                <w:lang w:eastAsia="en-GB"/>
              </w:rPr>
              <w:t xml:space="preserve"> Nr.2019/1148</w:t>
            </w:r>
            <w:r w:rsidR="004D0662">
              <w:rPr>
                <w:rFonts w:ascii="Times New Roman" w:eastAsia="Times New Roman" w:hAnsi="Times New Roman"/>
                <w:sz w:val="24"/>
                <w:szCs w:val="24"/>
                <w:lang w:eastAsia="en-GB"/>
              </w:rPr>
              <w:t xml:space="preserve"> noteikto</w:t>
            </w:r>
            <w:r>
              <w:rPr>
                <w:rFonts w:ascii="Times New Roman" w:eastAsia="Times New Roman" w:hAnsi="Times New Roman"/>
                <w:sz w:val="24"/>
                <w:szCs w:val="24"/>
                <w:lang w:eastAsia="en-GB"/>
              </w:rPr>
              <w:t xml:space="preserve"> prasību izpildi, </w:t>
            </w:r>
            <w:r w:rsidR="00D742BA">
              <w:rPr>
                <w:rFonts w:ascii="Times New Roman" w:eastAsia="Times New Roman" w:hAnsi="Times New Roman"/>
                <w:sz w:val="24"/>
                <w:szCs w:val="24"/>
                <w:lang w:eastAsia="en-GB"/>
              </w:rPr>
              <w:t xml:space="preserve">līdz ar ko </w:t>
            </w:r>
            <w:r w:rsidR="00721379">
              <w:rPr>
                <w:rFonts w:ascii="Times New Roman" w:eastAsia="Times New Roman" w:hAnsi="Times New Roman"/>
                <w:sz w:val="24"/>
                <w:szCs w:val="24"/>
                <w:lang w:eastAsia="en-GB"/>
              </w:rPr>
              <w:t>persona</w:t>
            </w:r>
            <w:r w:rsidR="00D742BA">
              <w:rPr>
                <w:rFonts w:ascii="Times New Roman" w:eastAsia="Times New Roman" w:hAnsi="Times New Roman"/>
                <w:sz w:val="24"/>
                <w:szCs w:val="24"/>
                <w:lang w:eastAsia="en-GB"/>
              </w:rPr>
              <w:t>s</w:t>
            </w:r>
            <w:r w:rsidR="004D0662">
              <w:rPr>
                <w:rFonts w:ascii="Times New Roman" w:eastAsia="Times New Roman" w:hAnsi="Times New Roman"/>
                <w:sz w:val="24"/>
                <w:szCs w:val="24"/>
                <w:lang w:eastAsia="en-GB"/>
              </w:rPr>
              <w:t xml:space="preserve"> darbības ar ierobežotiem sprāgstvielu prekursoriem</w:t>
            </w:r>
            <w:r w:rsidR="00677352">
              <w:rPr>
                <w:rFonts w:ascii="Times New Roman" w:eastAsia="Times New Roman" w:hAnsi="Times New Roman"/>
                <w:sz w:val="24"/>
                <w:szCs w:val="24"/>
                <w:lang w:eastAsia="en-GB"/>
              </w:rPr>
              <w:t xml:space="preserve"> (piemērām, pārd</w:t>
            </w:r>
            <w:r w:rsidR="00D742BA">
              <w:rPr>
                <w:rFonts w:ascii="Times New Roman" w:eastAsia="Times New Roman" w:hAnsi="Times New Roman"/>
                <w:sz w:val="24"/>
                <w:szCs w:val="24"/>
                <w:lang w:eastAsia="en-GB"/>
              </w:rPr>
              <w:t>ošana</w:t>
            </w:r>
            <w:r w:rsidR="004D0662">
              <w:rPr>
                <w:rFonts w:ascii="Times New Roman" w:eastAsia="Times New Roman" w:hAnsi="Times New Roman"/>
                <w:sz w:val="24"/>
                <w:szCs w:val="24"/>
                <w:lang w:eastAsia="en-GB"/>
              </w:rPr>
              <w:t xml:space="preserve"> </w:t>
            </w:r>
            <w:r w:rsidR="004D0662" w:rsidRPr="008F33E5">
              <w:rPr>
                <w:rFonts w:ascii="Times New Roman" w:eastAsia="Times New Roman" w:hAnsi="Times New Roman"/>
                <w:sz w:val="24"/>
                <w:szCs w:val="24"/>
                <w:lang w:eastAsia="en-GB"/>
              </w:rPr>
              <w:t>plašas sabiedrības locekļiem</w:t>
            </w:r>
            <w:r w:rsidR="004D0662">
              <w:rPr>
                <w:rFonts w:ascii="Times New Roman" w:eastAsia="Times New Roman" w:hAnsi="Times New Roman"/>
                <w:sz w:val="24"/>
                <w:szCs w:val="24"/>
                <w:lang w:eastAsia="en-GB"/>
              </w:rPr>
              <w:t>) ir</w:t>
            </w:r>
            <w:r w:rsidR="004D0662" w:rsidRPr="004D0662">
              <w:rPr>
                <w:rFonts w:ascii="Times New Roman" w:eastAsia="Times New Roman" w:hAnsi="Times New Roman"/>
                <w:sz w:val="24"/>
                <w:szCs w:val="24"/>
                <w:lang w:eastAsia="en-GB"/>
              </w:rPr>
              <w:t xml:space="preserve"> neatgriezeniska</w:t>
            </w:r>
            <w:r w:rsidR="004D0662">
              <w:rPr>
                <w:rFonts w:ascii="Times New Roman" w:eastAsia="Times New Roman" w:hAnsi="Times New Roman"/>
                <w:sz w:val="24"/>
                <w:szCs w:val="24"/>
                <w:lang w:eastAsia="en-GB"/>
              </w:rPr>
              <w:t>, turklāt</w:t>
            </w:r>
            <w:r w:rsidR="004D0662" w:rsidRPr="004D0662">
              <w:rPr>
                <w:rFonts w:ascii="Times New Roman" w:eastAsia="Times New Roman" w:hAnsi="Times New Roman"/>
                <w:sz w:val="24"/>
                <w:szCs w:val="24"/>
                <w:lang w:eastAsia="en-GB"/>
              </w:rPr>
              <w:t xml:space="preserve"> ar augstu bīstamības pakāpi</w:t>
            </w:r>
            <w:r w:rsidR="004D0662">
              <w:rPr>
                <w:rFonts w:ascii="Times New Roman" w:eastAsia="Times New Roman" w:hAnsi="Times New Roman"/>
                <w:sz w:val="24"/>
                <w:szCs w:val="24"/>
                <w:lang w:eastAsia="en-GB"/>
              </w:rPr>
              <w:t xml:space="preserve"> (ņemot vērā, ka ierobežotie sprāgstvielu prekursori </w:t>
            </w:r>
            <w:r w:rsidR="00882AC5">
              <w:rPr>
                <w:rFonts w:ascii="Times New Roman" w:eastAsia="Times New Roman" w:hAnsi="Times New Roman"/>
                <w:sz w:val="24"/>
                <w:szCs w:val="24"/>
                <w:lang w:eastAsia="en-GB"/>
              </w:rPr>
              <w:t xml:space="preserve">tai skaitā </w:t>
            </w:r>
            <w:r w:rsidR="004D0662">
              <w:rPr>
                <w:rFonts w:ascii="Times New Roman" w:eastAsia="Times New Roman" w:hAnsi="Times New Roman"/>
                <w:sz w:val="24"/>
                <w:szCs w:val="24"/>
                <w:lang w:eastAsia="en-GB"/>
              </w:rPr>
              <w:t>var tikt izmantoti spridzekļu pagatavošanai).</w:t>
            </w:r>
            <w:r>
              <w:rPr>
                <w:rFonts w:ascii="Times New Roman" w:eastAsia="Times New Roman" w:hAnsi="Times New Roman"/>
                <w:sz w:val="24"/>
                <w:szCs w:val="24"/>
                <w:lang w:eastAsia="en-GB"/>
              </w:rPr>
              <w:t xml:space="preserve"> </w:t>
            </w:r>
          </w:p>
          <w:p w14:paraId="1B6F5445" w14:textId="666B094C" w:rsidR="00B512FF" w:rsidRPr="000F544A" w:rsidRDefault="00B512FF" w:rsidP="00F610C1">
            <w:pPr>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Līdz ar to, konkrētajā gadījumā ir </w:t>
            </w:r>
            <w:r w:rsidRPr="00B512FF">
              <w:rPr>
                <w:rFonts w:ascii="Times New Roman" w:eastAsia="Times New Roman" w:hAnsi="Times New Roman"/>
                <w:sz w:val="24"/>
                <w:szCs w:val="24"/>
                <w:lang w:eastAsia="en-GB"/>
              </w:rPr>
              <w:t>nepieciešams reaģēt uz personas</w:t>
            </w:r>
            <w:r w:rsidR="00FD7819">
              <w:rPr>
                <w:rFonts w:ascii="Times New Roman" w:eastAsia="Times New Roman" w:hAnsi="Times New Roman"/>
                <w:sz w:val="24"/>
                <w:szCs w:val="24"/>
                <w:lang w:eastAsia="en-GB"/>
              </w:rPr>
              <w:t xml:space="preserve"> jau</w:t>
            </w:r>
            <w:r w:rsidRPr="00B512FF">
              <w:rPr>
                <w:rFonts w:ascii="Times New Roman" w:eastAsia="Times New Roman" w:hAnsi="Times New Roman"/>
                <w:sz w:val="24"/>
                <w:szCs w:val="24"/>
                <w:lang w:eastAsia="en-GB"/>
              </w:rPr>
              <w:t xml:space="preserve"> izdarītu pārkāpumu, kurš vairs nav novēršams</w:t>
            </w:r>
            <w:r>
              <w:rPr>
                <w:rFonts w:ascii="Times New Roman" w:eastAsia="Times New Roman" w:hAnsi="Times New Roman"/>
                <w:sz w:val="24"/>
                <w:szCs w:val="24"/>
                <w:lang w:eastAsia="en-GB"/>
              </w:rPr>
              <w:t xml:space="preserve"> un </w:t>
            </w:r>
            <w:r w:rsidR="00FD7819">
              <w:rPr>
                <w:rFonts w:ascii="Times New Roman" w:eastAsia="Times New Roman" w:hAnsi="Times New Roman"/>
                <w:sz w:val="24"/>
                <w:szCs w:val="24"/>
                <w:lang w:eastAsia="en-GB"/>
              </w:rPr>
              <w:t xml:space="preserve">tādēļ </w:t>
            </w:r>
            <w:r w:rsidRPr="000F544A">
              <w:rPr>
                <w:rFonts w:ascii="Times New Roman" w:eastAsia="Times New Roman" w:hAnsi="Times New Roman"/>
                <w:sz w:val="24"/>
                <w:szCs w:val="24"/>
                <w:lang w:eastAsia="en-GB"/>
              </w:rPr>
              <w:t>prioritāte ir administratīvā soda piemērošanai.</w:t>
            </w:r>
          </w:p>
          <w:p w14:paraId="0299F53A" w14:textId="38BCB434" w:rsidR="00DA7279" w:rsidRPr="000F544A" w:rsidRDefault="00DA7279" w:rsidP="002333C9">
            <w:pPr>
              <w:spacing w:after="0" w:line="240" w:lineRule="auto"/>
              <w:ind w:firstLine="720"/>
              <w:jc w:val="both"/>
              <w:rPr>
                <w:rFonts w:ascii="Times New Roman" w:hAnsi="Times New Roman"/>
                <w:sz w:val="24"/>
                <w:szCs w:val="24"/>
              </w:rPr>
            </w:pPr>
          </w:p>
          <w:p w14:paraId="6192CCC1" w14:textId="40D94307" w:rsidR="00882AC5" w:rsidRPr="000F544A" w:rsidRDefault="00882AC5" w:rsidP="00882AC5">
            <w:pPr>
              <w:spacing w:after="0" w:line="240" w:lineRule="auto"/>
              <w:jc w:val="both"/>
              <w:rPr>
                <w:rFonts w:ascii="Times New Roman" w:hAnsi="Times New Roman"/>
                <w:b/>
                <w:sz w:val="24"/>
                <w:szCs w:val="24"/>
              </w:rPr>
            </w:pPr>
            <w:r w:rsidRPr="000F544A">
              <w:rPr>
                <w:rFonts w:ascii="Times New Roman" w:hAnsi="Times New Roman"/>
                <w:b/>
                <w:sz w:val="24"/>
                <w:szCs w:val="24"/>
              </w:rPr>
              <w:t>Likumprojekta 1.pants</w:t>
            </w:r>
          </w:p>
          <w:p w14:paraId="5DD36A1D" w14:textId="303AC1BD" w:rsidR="00C810C1" w:rsidRPr="000F544A" w:rsidRDefault="00601B5F" w:rsidP="00C810C1">
            <w:pPr>
              <w:spacing w:after="0" w:line="240" w:lineRule="auto"/>
              <w:ind w:firstLine="720"/>
              <w:jc w:val="both"/>
              <w:rPr>
                <w:rFonts w:ascii="Times New Roman" w:eastAsia="Times New Roman" w:hAnsi="Times New Roman"/>
                <w:bCs/>
                <w:sz w:val="24"/>
                <w:szCs w:val="24"/>
                <w:lang w:eastAsia="lv-LV"/>
              </w:rPr>
            </w:pPr>
            <w:r w:rsidRPr="000F544A">
              <w:rPr>
                <w:rFonts w:ascii="Times New Roman" w:eastAsia="Times New Roman" w:hAnsi="Times New Roman"/>
                <w:bCs/>
                <w:color w:val="000000"/>
                <w:sz w:val="24"/>
                <w:szCs w:val="24"/>
                <w:lang w:eastAsia="lv-LV"/>
              </w:rPr>
              <w:t>Regulas</w:t>
            </w:r>
            <w:r w:rsidR="00C810C1" w:rsidRPr="000F544A">
              <w:rPr>
                <w:rFonts w:ascii="Times New Roman" w:hAnsi="Times New Roman"/>
                <w:sz w:val="24"/>
                <w:szCs w:val="24"/>
              </w:rPr>
              <w:t xml:space="preserve"> Nr.2019/1148 5.</w:t>
            </w:r>
            <w:r w:rsidR="00C810C1" w:rsidRPr="000F544A">
              <w:rPr>
                <w:rFonts w:ascii="Times New Roman" w:eastAsia="Times New Roman" w:hAnsi="Times New Roman"/>
                <w:bCs/>
                <w:color w:val="000000"/>
                <w:sz w:val="24"/>
                <w:szCs w:val="24"/>
                <w:lang w:eastAsia="lv-LV"/>
              </w:rPr>
              <w:t>panta 1.punkts paredz, ka</w:t>
            </w:r>
            <w:r w:rsidR="00C810C1" w:rsidRPr="000F544A">
              <w:rPr>
                <w:rFonts w:ascii="Times New Roman" w:hAnsi="Times New Roman"/>
                <w:sz w:val="24"/>
                <w:szCs w:val="24"/>
              </w:rPr>
              <w:t xml:space="preserve"> ierobežotus sprāgstvielu prekursorus nedara pieejamus plašas sabiedrības locekļiem, plašas sabiedrības locekļi tos neieved, netur īpašumā un nelieto.</w:t>
            </w:r>
          </w:p>
          <w:p w14:paraId="6761628C" w14:textId="1C252259" w:rsidR="00220799" w:rsidRDefault="00882AC5" w:rsidP="002333C9">
            <w:pPr>
              <w:spacing w:after="0" w:line="240" w:lineRule="auto"/>
              <w:ind w:firstLine="720"/>
              <w:jc w:val="both"/>
              <w:rPr>
                <w:rFonts w:ascii="Times New Roman" w:eastAsia="Times New Roman" w:hAnsi="Times New Roman"/>
                <w:bCs/>
                <w:color w:val="000000"/>
                <w:sz w:val="24"/>
                <w:szCs w:val="24"/>
                <w:lang w:eastAsia="lv-LV"/>
              </w:rPr>
            </w:pPr>
            <w:r w:rsidRPr="000F544A">
              <w:rPr>
                <w:rFonts w:ascii="Times New Roman" w:eastAsia="Times New Roman" w:hAnsi="Times New Roman"/>
                <w:bCs/>
                <w:color w:val="000000"/>
                <w:sz w:val="24"/>
                <w:szCs w:val="24"/>
                <w:lang w:eastAsia="lv-LV"/>
              </w:rPr>
              <w:t>L</w:t>
            </w:r>
            <w:r w:rsidR="000F544A">
              <w:rPr>
                <w:rFonts w:ascii="Times New Roman" w:eastAsia="Times New Roman" w:hAnsi="Times New Roman"/>
                <w:bCs/>
                <w:color w:val="000000"/>
                <w:sz w:val="24"/>
                <w:szCs w:val="24"/>
                <w:lang w:eastAsia="lv-LV"/>
              </w:rPr>
              <w:t>īdz ar to l</w:t>
            </w:r>
            <w:r w:rsidR="00220799" w:rsidRPr="000F544A">
              <w:rPr>
                <w:rFonts w:ascii="Times New Roman" w:eastAsia="Times New Roman" w:hAnsi="Times New Roman"/>
                <w:bCs/>
                <w:color w:val="000000"/>
                <w:sz w:val="24"/>
                <w:szCs w:val="24"/>
                <w:lang w:eastAsia="lv-LV"/>
              </w:rPr>
              <w:t xml:space="preserve">ikumprojektā ir paredzēts noteikt atbildību par ierobežotu sprāgstvielu prekursoru </w:t>
            </w:r>
            <w:r w:rsidR="00850310" w:rsidRPr="000F544A">
              <w:rPr>
                <w:rFonts w:ascii="Times New Roman" w:eastAsia="Times New Roman" w:hAnsi="Times New Roman"/>
                <w:bCs/>
                <w:color w:val="000000"/>
                <w:sz w:val="24"/>
                <w:szCs w:val="24"/>
                <w:lang w:eastAsia="lv-LV"/>
              </w:rPr>
              <w:t xml:space="preserve">darīšanu par pieejamu, </w:t>
            </w:r>
            <w:r w:rsidR="00FF0624" w:rsidRPr="000F544A">
              <w:rPr>
                <w:rFonts w:ascii="Times New Roman" w:hAnsi="Times New Roman"/>
                <w:sz w:val="24"/>
                <w:szCs w:val="24"/>
                <w:bdr w:val="none" w:sz="0" w:space="0" w:color="auto" w:frame="1"/>
              </w:rPr>
              <w:t>ievešan</w:t>
            </w:r>
            <w:r w:rsidR="00850310" w:rsidRPr="000F544A">
              <w:rPr>
                <w:rFonts w:ascii="Times New Roman" w:hAnsi="Times New Roman"/>
                <w:sz w:val="24"/>
                <w:szCs w:val="24"/>
                <w:bdr w:val="none" w:sz="0" w:space="0" w:color="auto" w:frame="1"/>
              </w:rPr>
              <w:t>u</w:t>
            </w:r>
            <w:r w:rsidR="00FF0624" w:rsidRPr="000F544A">
              <w:rPr>
                <w:rFonts w:ascii="Times New Roman" w:hAnsi="Times New Roman"/>
                <w:sz w:val="24"/>
                <w:szCs w:val="24"/>
                <w:bdr w:val="none" w:sz="0" w:space="0" w:color="auto" w:frame="1"/>
              </w:rPr>
              <w:t xml:space="preserve">, </w:t>
            </w:r>
            <w:r w:rsidR="00850310" w:rsidRPr="000F544A">
              <w:rPr>
                <w:rFonts w:ascii="Times New Roman" w:hAnsi="Times New Roman"/>
                <w:sz w:val="24"/>
                <w:szCs w:val="24"/>
                <w:bdr w:val="none" w:sz="0" w:space="0" w:color="auto" w:frame="1"/>
              </w:rPr>
              <w:t>turēšanu īpašumā un lietošanu</w:t>
            </w:r>
            <w:r w:rsidR="00435A7C" w:rsidRPr="000F544A">
              <w:rPr>
                <w:rFonts w:ascii="Times New Roman" w:eastAsia="Times New Roman" w:hAnsi="Times New Roman"/>
                <w:bCs/>
                <w:color w:val="000000"/>
                <w:sz w:val="24"/>
                <w:szCs w:val="24"/>
                <w:lang w:eastAsia="lv-LV"/>
              </w:rPr>
              <w:t>, kas izpaudīsies administratīvajā sodā</w:t>
            </w:r>
            <w:r w:rsidR="00220799" w:rsidRPr="000F544A">
              <w:rPr>
                <w:rFonts w:ascii="Times New Roman" w:eastAsia="Times New Roman" w:hAnsi="Times New Roman"/>
                <w:bCs/>
                <w:color w:val="000000"/>
                <w:sz w:val="24"/>
                <w:szCs w:val="24"/>
                <w:lang w:eastAsia="lv-LV"/>
              </w:rPr>
              <w:t>.</w:t>
            </w:r>
          </w:p>
          <w:p w14:paraId="03246663" w14:textId="64ECF391" w:rsidR="00882AC5" w:rsidRDefault="00882AC5" w:rsidP="00882AC5">
            <w:pPr>
              <w:spacing w:after="0" w:line="240" w:lineRule="auto"/>
              <w:ind w:firstLine="720"/>
              <w:jc w:val="both"/>
              <w:rPr>
                <w:rFonts w:ascii="Times New Roman" w:hAnsi="Times New Roman"/>
                <w:sz w:val="24"/>
                <w:szCs w:val="24"/>
              </w:rPr>
            </w:pPr>
            <w:r>
              <w:rPr>
                <w:rFonts w:ascii="Times New Roman" w:hAnsi="Times New Roman"/>
                <w:sz w:val="24"/>
                <w:szCs w:val="24"/>
              </w:rPr>
              <w:t>Ievērojot Regulā</w:t>
            </w:r>
            <w:r w:rsidRPr="00D9455E">
              <w:rPr>
                <w:rFonts w:ascii="Times New Roman" w:hAnsi="Times New Roman"/>
                <w:sz w:val="24"/>
                <w:szCs w:val="24"/>
              </w:rPr>
              <w:t xml:space="preserve"> Nr.2019/1148 </w:t>
            </w:r>
            <w:r>
              <w:rPr>
                <w:rFonts w:ascii="Times New Roman" w:hAnsi="Times New Roman"/>
                <w:sz w:val="24"/>
                <w:szCs w:val="24"/>
              </w:rPr>
              <w:t xml:space="preserve">noteikto, būtībā norma tiks piemērota </w:t>
            </w:r>
            <w:r w:rsidR="00C810C1">
              <w:rPr>
                <w:rFonts w:ascii="Times New Roman" w:hAnsi="Times New Roman"/>
                <w:sz w:val="24"/>
                <w:szCs w:val="24"/>
              </w:rPr>
              <w:t>visiem tirgus dalībniekiem</w:t>
            </w:r>
            <w:r>
              <w:rPr>
                <w:rFonts w:ascii="Times New Roman" w:hAnsi="Times New Roman"/>
                <w:sz w:val="24"/>
                <w:szCs w:val="24"/>
              </w:rPr>
              <w:t xml:space="preserve">. </w:t>
            </w:r>
            <w:r w:rsidR="00C810C1">
              <w:rPr>
                <w:rFonts w:ascii="Times New Roman" w:hAnsi="Times New Roman"/>
                <w:sz w:val="24"/>
                <w:szCs w:val="24"/>
              </w:rPr>
              <w:t>Piemērām</w:t>
            </w:r>
            <w:r>
              <w:rPr>
                <w:rFonts w:ascii="Times New Roman" w:hAnsi="Times New Roman"/>
                <w:sz w:val="24"/>
                <w:szCs w:val="24"/>
              </w:rPr>
              <w:t>, pārdevējiem tiks piemērots sods p</w:t>
            </w:r>
            <w:r w:rsidRPr="00B74620">
              <w:rPr>
                <w:rFonts w:ascii="Times New Roman" w:hAnsi="Times New Roman"/>
                <w:sz w:val="24"/>
                <w:szCs w:val="24"/>
              </w:rPr>
              <w:t>ar ierobežotu sprāgstvielu prekursoru</w:t>
            </w:r>
            <w:r>
              <w:rPr>
                <w:rFonts w:ascii="Times New Roman" w:hAnsi="Times New Roman"/>
                <w:sz w:val="24"/>
                <w:szCs w:val="24"/>
              </w:rPr>
              <w:t xml:space="preserve"> ievešanu (darīšanu pieejamu),</w:t>
            </w:r>
            <w:r w:rsidRPr="00B74620">
              <w:rPr>
                <w:rFonts w:ascii="Times New Roman" w:hAnsi="Times New Roman"/>
                <w:sz w:val="24"/>
                <w:szCs w:val="24"/>
              </w:rPr>
              <w:t xml:space="preserve"> pārdošanu</w:t>
            </w:r>
            <w:r>
              <w:rPr>
                <w:rFonts w:ascii="Times New Roman" w:hAnsi="Times New Roman"/>
                <w:sz w:val="24"/>
                <w:szCs w:val="24"/>
              </w:rPr>
              <w:t xml:space="preserve"> </w:t>
            </w:r>
            <w:r w:rsidRPr="00B74620">
              <w:rPr>
                <w:rFonts w:ascii="Times New Roman" w:hAnsi="Times New Roman"/>
                <w:sz w:val="24"/>
                <w:szCs w:val="24"/>
              </w:rPr>
              <w:t>vai nodošanu personām, kuras nav tiesīgas tos iegādāties</w:t>
            </w:r>
            <w:r w:rsidR="00C810C1">
              <w:rPr>
                <w:rFonts w:ascii="Times New Roman" w:hAnsi="Times New Roman"/>
                <w:sz w:val="24"/>
                <w:szCs w:val="24"/>
              </w:rPr>
              <w:t>,</w:t>
            </w:r>
            <w:r w:rsidRPr="00B74620">
              <w:rPr>
                <w:rFonts w:ascii="Times New Roman" w:hAnsi="Times New Roman"/>
                <w:sz w:val="24"/>
                <w:szCs w:val="24"/>
              </w:rPr>
              <w:t xml:space="preserve"> vai glabāt</w:t>
            </w:r>
            <w:r>
              <w:rPr>
                <w:rFonts w:ascii="Times New Roman" w:hAnsi="Times New Roman"/>
                <w:sz w:val="24"/>
                <w:szCs w:val="24"/>
              </w:rPr>
              <w:t>, savukārt pircējiem - p</w:t>
            </w:r>
            <w:r w:rsidRPr="00B74620">
              <w:rPr>
                <w:rFonts w:ascii="Times New Roman" w:hAnsi="Times New Roman"/>
                <w:sz w:val="24"/>
                <w:szCs w:val="24"/>
              </w:rPr>
              <w:t>ar ierobežotu sprāgstvielu prekursoru neatļautu iegādāšanos</w:t>
            </w:r>
            <w:r>
              <w:rPr>
                <w:rFonts w:ascii="Times New Roman" w:hAnsi="Times New Roman"/>
                <w:sz w:val="24"/>
                <w:szCs w:val="24"/>
              </w:rPr>
              <w:t>, ievešanu, lietošanu un glabāšanu.</w:t>
            </w:r>
          </w:p>
          <w:p w14:paraId="2678878F" w14:textId="22A1D2EC" w:rsidR="00882AC5" w:rsidRDefault="00882AC5" w:rsidP="00882AC5">
            <w:pPr>
              <w:spacing w:after="0" w:line="240" w:lineRule="auto"/>
              <w:ind w:firstLine="720"/>
              <w:jc w:val="both"/>
              <w:rPr>
                <w:rFonts w:ascii="Times New Roman" w:hAnsi="Times New Roman"/>
                <w:sz w:val="24"/>
                <w:szCs w:val="24"/>
              </w:rPr>
            </w:pPr>
            <w:r w:rsidRPr="001071F2">
              <w:rPr>
                <w:rFonts w:ascii="Times New Roman" w:hAnsi="Times New Roman"/>
                <w:sz w:val="24"/>
                <w:szCs w:val="24"/>
              </w:rPr>
              <w:t>Izvērtējot iespējamo minēto pārkāpumu kaitējumu un ietekmi uz sabiedrības kārtību, veselību un drošību, sod</w:t>
            </w:r>
            <w:r w:rsidR="00C810C1">
              <w:rPr>
                <w:rFonts w:ascii="Times New Roman" w:hAnsi="Times New Roman"/>
                <w:sz w:val="24"/>
                <w:szCs w:val="24"/>
              </w:rPr>
              <w:t>i</w:t>
            </w:r>
            <w:r w:rsidRPr="001071F2">
              <w:rPr>
                <w:rFonts w:ascii="Times New Roman" w:hAnsi="Times New Roman"/>
                <w:sz w:val="24"/>
                <w:szCs w:val="24"/>
              </w:rPr>
              <w:t xml:space="preserve"> par šiem administratīvajiem pārkāpumiem </w:t>
            </w:r>
            <w:r w:rsidR="00C810C1">
              <w:rPr>
                <w:rFonts w:ascii="Times New Roman" w:hAnsi="Times New Roman"/>
                <w:sz w:val="24"/>
                <w:szCs w:val="24"/>
              </w:rPr>
              <w:t xml:space="preserve">tiek </w:t>
            </w:r>
            <w:r w:rsidRPr="001071F2">
              <w:rPr>
                <w:rFonts w:ascii="Times New Roman" w:hAnsi="Times New Roman"/>
                <w:sz w:val="24"/>
                <w:szCs w:val="24"/>
              </w:rPr>
              <w:t>saglabāt</w:t>
            </w:r>
            <w:r w:rsidR="00C810C1">
              <w:rPr>
                <w:rFonts w:ascii="Times New Roman" w:hAnsi="Times New Roman"/>
                <w:sz w:val="24"/>
                <w:szCs w:val="24"/>
              </w:rPr>
              <w:t>i</w:t>
            </w:r>
            <w:r w:rsidRPr="001071F2">
              <w:rPr>
                <w:rFonts w:ascii="Times New Roman" w:hAnsi="Times New Roman"/>
                <w:sz w:val="24"/>
                <w:szCs w:val="24"/>
              </w:rPr>
              <w:t xml:space="preserve"> tād</w:t>
            </w:r>
            <w:r w:rsidR="00C810C1">
              <w:rPr>
                <w:rFonts w:ascii="Times New Roman" w:hAnsi="Times New Roman"/>
                <w:sz w:val="24"/>
                <w:szCs w:val="24"/>
              </w:rPr>
              <w:t>i</w:t>
            </w:r>
            <w:r w:rsidRPr="001071F2">
              <w:rPr>
                <w:rFonts w:ascii="Times New Roman" w:hAnsi="Times New Roman"/>
                <w:sz w:val="24"/>
                <w:szCs w:val="24"/>
              </w:rPr>
              <w:t xml:space="preserve"> paš</w:t>
            </w:r>
            <w:r w:rsidR="00C810C1">
              <w:rPr>
                <w:rFonts w:ascii="Times New Roman" w:hAnsi="Times New Roman"/>
                <w:sz w:val="24"/>
                <w:szCs w:val="24"/>
              </w:rPr>
              <w:t>i</w:t>
            </w:r>
            <w:r w:rsidRPr="001071F2">
              <w:rPr>
                <w:rFonts w:ascii="Times New Roman" w:hAnsi="Times New Roman"/>
                <w:sz w:val="24"/>
                <w:szCs w:val="24"/>
              </w:rPr>
              <w:t xml:space="preserve"> kā</w:t>
            </w:r>
            <w:r>
              <w:rPr>
                <w:rFonts w:ascii="Times New Roman" w:hAnsi="Times New Roman"/>
                <w:sz w:val="24"/>
                <w:szCs w:val="24"/>
              </w:rPr>
              <w:t xml:space="preserve">di tie </w:t>
            </w:r>
            <w:r>
              <w:rPr>
                <w:rFonts w:ascii="Times New Roman" w:hAnsi="Times New Roman"/>
                <w:sz w:val="24"/>
                <w:szCs w:val="24"/>
              </w:rPr>
              <w:lastRenderedPageBreak/>
              <w:t>bija noteikti</w:t>
            </w:r>
            <w:r w:rsidRPr="001071F2">
              <w:rPr>
                <w:rFonts w:ascii="Times New Roman" w:hAnsi="Times New Roman"/>
                <w:sz w:val="24"/>
                <w:szCs w:val="24"/>
              </w:rPr>
              <w:t xml:space="preserve"> </w:t>
            </w:r>
            <w:r>
              <w:rPr>
                <w:rFonts w:ascii="Times New Roman" w:hAnsi="Times New Roman"/>
                <w:color w:val="000000"/>
                <w:sz w:val="24"/>
                <w:szCs w:val="24"/>
              </w:rPr>
              <w:t xml:space="preserve">spēku zaudējošā </w:t>
            </w:r>
            <w:r w:rsidRPr="00882AC5">
              <w:rPr>
                <w:rFonts w:ascii="Times New Roman" w:hAnsi="Times New Roman"/>
                <w:color w:val="000000"/>
                <w:sz w:val="24"/>
                <w:szCs w:val="24"/>
              </w:rPr>
              <w:t xml:space="preserve">Latvijas Administratīvo pārkāpumu </w:t>
            </w:r>
            <w:r w:rsidR="000B682A" w:rsidRPr="00882AC5">
              <w:rPr>
                <w:rFonts w:ascii="Times New Roman" w:hAnsi="Times New Roman"/>
                <w:color w:val="000000"/>
                <w:sz w:val="24"/>
                <w:szCs w:val="24"/>
              </w:rPr>
              <w:t>kodeks</w:t>
            </w:r>
            <w:r w:rsidR="000B682A">
              <w:rPr>
                <w:rFonts w:ascii="Times New Roman" w:hAnsi="Times New Roman"/>
                <w:color w:val="000000"/>
                <w:sz w:val="24"/>
                <w:szCs w:val="24"/>
              </w:rPr>
              <w:t>a</w:t>
            </w:r>
            <w:r w:rsidRPr="001071F2">
              <w:rPr>
                <w:rFonts w:ascii="Times New Roman" w:hAnsi="Times New Roman"/>
                <w:sz w:val="24"/>
                <w:szCs w:val="24"/>
              </w:rPr>
              <w:t xml:space="preserve"> </w:t>
            </w:r>
            <w:r w:rsidRPr="001071F2">
              <w:rPr>
                <w:rFonts w:ascii="Times New Roman" w:hAnsi="Times New Roman"/>
                <w:color w:val="000000"/>
                <w:sz w:val="24"/>
                <w:szCs w:val="24"/>
              </w:rPr>
              <w:t>167.</w:t>
            </w:r>
            <w:r w:rsidRPr="001071F2">
              <w:rPr>
                <w:rFonts w:ascii="Times New Roman" w:hAnsi="Times New Roman"/>
                <w:color w:val="000000"/>
                <w:sz w:val="24"/>
                <w:szCs w:val="24"/>
                <w:vertAlign w:val="superscript"/>
              </w:rPr>
              <w:t>3</w:t>
            </w:r>
            <w:r w:rsidRPr="001071F2">
              <w:rPr>
                <w:rFonts w:ascii="Times New Roman" w:hAnsi="Times New Roman"/>
                <w:sz w:val="24"/>
                <w:szCs w:val="24"/>
              </w:rPr>
              <w:t>pantā.</w:t>
            </w:r>
          </w:p>
          <w:p w14:paraId="06BED343" w14:textId="6AB3AC5D" w:rsidR="00C177EF" w:rsidRDefault="000239CD" w:rsidP="009F648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Ņemot vērā</w:t>
            </w:r>
            <w:r w:rsidR="008F3AAC">
              <w:rPr>
                <w:rFonts w:ascii="Times New Roman" w:hAnsi="Times New Roman"/>
                <w:color w:val="000000"/>
                <w:sz w:val="24"/>
                <w:szCs w:val="24"/>
              </w:rPr>
              <w:t xml:space="preserve"> minēto, </w:t>
            </w:r>
            <w:r w:rsidR="00882AC5">
              <w:rPr>
                <w:rFonts w:ascii="Times New Roman" w:hAnsi="Times New Roman"/>
                <w:color w:val="000000"/>
                <w:sz w:val="24"/>
                <w:szCs w:val="24"/>
              </w:rPr>
              <w:t>likumprojekta 1.pants</w:t>
            </w:r>
            <w:r w:rsidR="008F3AAC">
              <w:rPr>
                <w:rFonts w:ascii="Times New Roman" w:hAnsi="Times New Roman"/>
                <w:color w:val="000000"/>
                <w:sz w:val="24"/>
                <w:szCs w:val="24"/>
              </w:rPr>
              <w:t xml:space="preserve"> paredz</w:t>
            </w:r>
            <w:r w:rsidR="00C177EF">
              <w:rPr>
                <w:rFonts w:ascii="Times New Roman" w:hAnsi="Times New Roman"/>
                <w:color w:val="000000"/>
                <w:sz w:val="24"/>
                <w:szCs w:val="24"/>
              </w:rPr>
              <w:t>:</w:t>
            </w:r>
          </w:p>
          <w:p w14:paraId="2DB92F2C" w14:textId="0623A46A" w:rsidR="009F648F" w:rsidRPr="001071F2" w:rsidRDefault="00850310" w:rsidP="00882AC5">
            <w:pPr>
              <w:pStyle w:val="ListParagraph"/>
              <w:numPr>
                <w:ilvl w:val="0"/>
                <w:numId w:val="3"/>
              </w:numPr>
              <w:spacing w:after="0" w:line="240" w:lineRule="auto"/>
              <w:ind w:left="0" w:firstLine="720"/>
              <w:jc w:val="both"/>
              <w:rPr>
                <w:rFonts w:ascii="Times New Roman" w:hAnsi="Times New Roman"/>
                <w:sz w:val="24"/>
                <w:szCs w:val="24"/>
              </w:rPr>
            </w:pPr>
            <w:r w:rsidRPr="001071F2">
              <w:rPr>
                <w:rFonts w:ascii="Times New Roman" w:hAnsi="Times New Roman"/>
                <w:sz w:val="24"/>
                <w:szCs w:val="24"/>
                <w:shd w:val="clear" w:color="auto" w:fill="FFFFFF"/>
              </w:rPr>
              <w:t>Par Eiropas Parlamenta un Padomes Regulas (ES) 2019/1148 (2019. gada 20. jūnijs) par sprāgstvielu prekursoru tirdzniecību un lietošanu, ar ko groza Regulu (EK) Nr. 1907/2006 un atceļ Regulu (ES) Nr. 98/2013, 5.panta 1.punktā noteiktā ierobežojuma pārkāpšanu</w:t>
            </w:r>
            <w:r w:rsidRPr="001071F2">
              <w:rPr>
                <w:rFonts w:ascii="Times New Roman" w:hAnsi="Times New Roman"/>
                <w:sz w:val="24"/>
                <w:szCs w:val="24"/>
              </w:rPr>
              <w:t xml:space="preserve">, piemēro naudas sodu fiziskajām personām no septiņām līdz simt četrdesmit naudas soda vienībām, bet juridiskajām personām — no četrpadsmit līdz tūkstoš četri simti divdesmit naudas soda vienībām.  </w:t>
            </w:r>
            <w:r w:rsidR="00220799" w:rsidRPr="001071F2">
              <w:rPr>
                <w:rFonts w:ascii="Times New Roman" w:hAnsi="Times New Roman"/>
                <w:sz w:val="24"/>
                <w:szCs w:val="24"/>
              </w:rPr>
              <w:t xml:space="preserve"> </w:t>
            </w:r>
          </w:p>
          <w:p w14:paraId="7E1551BB" w14:textId="77777777" w:rsidR="001071F2" w:rsidRDefault="001071F2" w:rsidP="00FF0624">
            <w:pPr>
              <w:spacing w:after="0" w:line="240" w:lineRule="auto"/>
              <w:ind w:firstLine="720"/>
              <w:jc w:val="both"/>
              <w:rPr>
                <w:rFonts w:ascii="Times New Roman" w:hAnsi="Times New Roman"/>
                <w:sz w:val="24"/>
                <w:szCs w:val="24"/>
              </w:rPr>
            </w:pPr>
          </w:p>
          <w:p w14:paraId="2D04490E" w14:textId="77777777" w:rsidR="00E25EF1" w:rsidRDefault="00E25EF1" w:rsidP="002333C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Regulas Nr.2019/1148 7.panta 1.punkts paredz, ka komersants, kas</w:t>
            </w:r>
            <w:r w:rsidRPr="00E25EF1">
              <w:rPr>
                <w:rFonts w:ascii="Times New Roman" w:hAnsi="Times New Roman"/>
                <w:color w:val="000000"/>
                <w:sz w:val="24"/>
                <w:szCs w:val="24"/>
              </w:rPr>
              <w:t xml:space="preserve"> ierobežoto sprāgstvielu prekursoru dara pieejamu citam </w:t>
            </w:r>
            <w:r>
              <w:rPr>
                <w:rFonts w:ascii="Times New Roman" w:hAnsi="Times New Roman"/>
                <w:color w:val="000000"/>
                <w:sz w:val="24"/>
                <w:szCs w:val="24"/>
              </w:rPr>
              <w:t>komersantam</w:t>
            </w:r>
            <w:r w:rsidRPr="00E25EF1">
              <w:rPr>
                <w:rFonts w:ascii="Times New Roman" w:hAnsi="Times New Roman"/>
                <w:color w:val="000000"/>
                <w:sz w:val="24"/>
                <w:szCs w:val="24"/>
              </w:rPr>
              <w:t xml:space="preserve">, informē attiecīgo </w:t>
            </w:r>
            <w:r>
              <w:rPr>
                <w:rFonts w:ascii="Times New Roman" w:hAnsi="Times New Roman"/>
                <w:color w:val="000000"/>
                <w:sz w:val="24"/>
                <w:szCs w:val="24"/>
              </w:rPr>
              <w:t>komersantu</w:t>
            </w:r>
            <w:r w:rsidRPr="00E25EF1">
              <w:rPr>
                <w:rFonts w:ascii="Times New Roman" w:hAnsi="Times New Roman"/>
                <w:color w:val="000000"/>
                <w:sz w:val="24"/>
                <w:szCs w:val="24"/>
              </w:rPr>
              <w:t xml:space="preserve"> par to, ka </w:t>
            </w:r>
            <w:r>
              <w:rPr>
                <w:rFonts w:ascii="Times New Roman" w:hAnsi="Times New Roman"/>
                <w:color w:val="000000"/>
                <w:sz w:val="24"/>
                <w:szCs w:val="24"/>
              </w:rPr>
              <w:t>i</w:t>
            </w:r>
            <w:r w:rsidRPr="00E25EF1">
              <w:rPr>
                <w:rFonts w:ascii="Times New Roman" w:hAnsi="Times New Roman"/>
                <w:color w:val="000000"/>
                <w:sz w:val="24"/>
                <w:szCs w:val="24"/>
              </w:rPr>
              <w:t>erobežotus sprāgstvielu prekursorus nedara pieejamus plašas sabiedrības locekļiem.</w:t>
            </w:r>
          </w:p>
          <w:p w14:paraId="18735649" w14:textId="77777777" w:rsidR="00390DD2" w:rsidRPr="00390DD2" w:rsidRDefault="00110E23" w:rsidP="002333C9">
            <w:pPr>
              <w:spacing w:after="0" w:line="240" w:lineRule="auto"/>
              <w:ind w:firstLine="720"/>
              <w:jc w:val="both"/>
              <w:rPr>
                <w:rFonts w:ascii="Times New Roman" w:hAnsi="Times New Roman"/>
                <w:color w:val="000000"/>
                <w:sz w:val="24"/>
                <w:szCs w:val="24"/>
              </w:rPr>
            </w:pPr>
            <w:r w:rsidRPr="00526B45">
              <w:rPr>
                <w:rFonts w:ascii="Times New Roman" w:hAnsi="Times New Roman"/>
                <w:color w:val="000000"/>
                <w:sz w:val="24"/>
                <w:szCs w:val="24"/>
              </w:rPr>
              <w:t>Regulas Nr.2019/1148 7.pant</w:t>
            </w:r>
            <w:r w:rsidR="00E25EF1">
              <w:rPr>
                <w:rFonts w:ascii="Times New Roman" w:hAnsi="Times New Roman"/>
                <w:color w:val="000000"/>
                <w:sz w:val="24"/>
                <w:szCs w:val="24"/>
              </w:rPr>
              <w:t>a 2.punktā</w:t>
            </w:r>
            <w:r w:rsidR="00390DD2" w:rsidRPr="00526B45">
              <w:rPr>
                <w:rFonts w:ascii="Times New Roman" w:hAnsi="Times New Roman"/>
                <w:color w:val="000000"/>
                <w:sz w:val="24"/>
                <w:szCs w:val="24"/>
              </w:rPr>
              <w:t xml:space="preserve"> ir</w:t>
            </w:r>
            <w:r w:rsidR="00390DD2" w:rsidRPr="00390DD2">
              <w:rPr>
                <w:rFonts w:ascii="Times New Roman" w:hAnsi="Times New Roman"/>
                <w:color w:val="000000"/>
                <w:sz w:val="24"/>
                <w:szCs w:val="24"/>
              </w:rPr>
              <w:t xml:space="preserve"> paredzēts, ka </w:t>
            </w:r>
            <w:r w:rsidR="00E25EF1">
              <w:rPr>
                <w:rFonts w:ascii="Times New Roman" w:hAnsi="Times New Roman"/>
                <w:color w:val="000000"/>
                <w:sz w:val="24"/>
                <w:szCs w:val="24"/>
              </w:rPr>
              <w:t>komersants</w:t>
            </w:r>
            <w:r w:rsidR="00390DD2" w:rsidRPr="00390DD2">
              <w:rPr>
                <w:rFonts w:ascii="Times New Roman" w:hAnsi="Times New Roman"/>
                <w:color w:val="000000"/>
                <w:sz w:val="24"/>
                <w:szCs w:val="24"/>
              </w:rPr>
              <w:t>, kas reglamentētos sprāgstvielu prekursorus dara pieejamus profesionālam lietotājam vai plašas sabiedrības loceklim, nodrošina un spēj uzskatāmi parādīt 11.pantā minētajām valsts inspekcijas iestādēm, ka tā personāls, kas ir iesaistīts reglamentēto sprāgstvielu prekursoru tirdzniecībā, ir:</w:t>
            </w:r>
          </w:p>
          <w:p w14:paraId="1BC1EAD7" w14:textId="77777777" w:rsidR="00390DD2" w:rsidRPr="00390DD2" w:rsidRDefault="00390DD2" w:rsidP="002333C9">
            <w:pPr>
              <w:spacing w:after="0" w:line="240" w:lineRule="auto"/>
              <w:ind w:firstLine="720"/>
              <w:jc w:val="both"/>
              <w:rPr>
                <w:rFonts w:ascii="Times New Roman" w:hAnsi="Times New Roman"/>
                <w:color w:val="000000"/>
                <w:sz w:val="24"/>
                <w:szCs w:val="24"/>
              </w:rPr>
            </w:pPr>
            <w:r w:rsidRPr="00390DD2">
              <w:rPr>
                <w:rFonts w:ascii="Times New Roman" w:hAnsi="Times New Roman"/>
                <w:color w:val="000000"/>
                <w:sz w:val="24"/>
                <w:szCs w:val="24"/>
              </w:rPr>
              <w:t>a)</w:t>
            </w:r>
            <w:r w:rsidRPr="00390DD2">
              <w:rPr>
                <w:rFonts w:ascii="Times New Roman" w:hAnsi="Times New Roman"/>
                <w:color w:val="000000"/>
                <w:sz w:val="24"/>
                <w:szCs w:val="24"/>
              </w:rPr>
              <w:tab/>
              <w:t xml:space="preserve"> informēts, kuri no produktiem, ko tas dara pieejamus, satur reglamentētus sprāgstvielu prekursorus;</w:t>
            </w:r>
          </w:p>
          <w:p w14:paraId="795AF60C" w14:textId="77777777" w:rsidR="00390DD2" w:rsidRPr="00390DD2" w:rsidRDefault="00390DD2" w:rsidP="002333C9">
            <w:pPr>
              <w:spacing w:after="0" w:line="240" w:lineRule="auto"/>
              <w:ind w:firstLine="720"/>
              <w:jc w:val="both"/>
              <w:rPr>
                <w:rFonts w:ascii="Times New Roman" w:hAnsi="Times New Roman"/>
                <w:color w:val="000000"/>
                <w:sz w:val="24"/>
                <w:szCs w:val="24"/>
              </w:rPr>
            </w:pPr>
            <w:r w:rsidRPr="00390DD2">
              <w:rPr>
                <w:rFonts w:ascii="Times New Roman" w:hAnsi="Times New Roman"/>
                <w:color w:val="000000"/>
                <w:sz w:val="24"/>
                <w:szCs w:val="24"/>
              </w:rPr>
              <w:t>b)</w:t>
            </w:r>
            <w:r w:rsidRPr="00390DD2">
              <w:rPr>
                <w:rFonts w:ascii="Times New Roman" w:hAnsi="Times New Roman"/>
                <w:color w:val="000000"/>
                <w:sz w:val="24"/>
                <w:szCs w:val="24"/>
              </w:rPr>
              <w:tab/>
              <w:t xml:space="preserve">instruēts par 5.–9. punktā noteiktajiem pienākumiem. </w:t>
            </w:r>
          </w:p>
          <w:p w14:paraId="6AE75DD4" w14:textId="77777777" w:rsidR="00882AC5" w:rsidRDefault="00882AC5" w:rsidP="00882AC5">
            <w:pPr>
              <w:spacing w:after="0" w:line="240" w:lineRule="auto"/>
              <w:ind w:firstLine="720"/>
              <w:jc w:val="both"/>
              <w:rPr>
                <w:rFonts w:ascii="Times New Roman" w:hAnsi="Times New Roman"/>
                <w:color w:val="000000"/>
                <w:sz w:val="24"/>
                <w:szCs w:val="24"/>
              </w:rPr>
            </w:pPr>
            <w:r w:rsidRPr="00220799">
              <w:rPr>
                <w:rFonts w:ascii="Times New Roman" w:hAnsi="Times New Roman"/>
                <w:color w:val="000000"/>
                <w:sz w:val="24"/>
                <w:szCs w:val="24"/>
              </w:rPr>
              <w:t xml:space="preserve">Vienlaikus Regulas Nr.2019/1148 </w:t>
            </w:r>
            <w:r>
              <w:rPr>
                <w:rFonts w:ascii="Times New Roman" w:hAnsi="Times New Roman"/>
                <w:color w:val="000000"/>
                <w:sz w:val="24"/>
                <w:szCs w:val="24"/>
              </w:rPr>
              <w:t>7.panta 3</w:t>
            </w:r>
            <w:r w:rsidRPr="00220799">
              <w:rPr>
                <w:rFonts w:ascii="Times New Roman" w:hAnsi="Times New Roman"/>
                <w:color w:val="000000"/>
                <w:sz w:val="24"/>
                <w:szCs w:val="24"/>
              </w:rPr>
              <w:t xml:space="preserve">.punkts paredz, ka tiešsaistes tirdzniecības vieta veic pasākumus, lai </w:t>
            </w:r>
            <w:r w:rsidRPr="007412E4">
              <w:rPr>
                <w:rFonts w:ascii="Times New Roman" w:hAnsi="Times New Roman"/>
                <w:color w:val="000000"/>
                <w:sz w:val="24"/>
                <w:szCs w:val="24"/>
              </w:rPr>
              <w:t>nodrošinātu</w:t>
            </w:r>
            <w:r w:rsidRPr="00220799">
              <w:rPr>
                <w:rFonts w:ascii="Times New Roman" w:hAnsi="Times New Roman"/>
                <w:color w:val="000000"/>
                <w:sz w:val="24"/>
                <w:szCs w:val="24"/>
              </w:rPr>
              <w:t xml:space="preserve">, ka </w:t>
            </w:r>
            <w:r w:rsidRPr="007412E4">
              <w:rPr>
                <w:rFonts w:ascii="Times New Roman" w:hAnsi="Times New Roman"/>
                <w:color w:val="000000"/>
                <w:sz w:val="24"/>
                <w:szCs w:val="24"/>
              </w:rPr>
              <w:t>tās lietotāji, ja tie dara pieejamus reglamentētos sprāgstvielu prekursorus, izmantojot tās pakalpojumus, ir informēti par saviem pienākumiem</w:t>
            </w:r>
            <w:r w:rsidRPr="00220799">
              <w:rPr>
                <w:rFonts w:ascii="Times New Roman" w:hAnsi="Times New Roman"/>
                <w:color w:val="000000"/>
                <w:sz w:val="24"/>
                <w:szCs w:val="24"/>
              </w:rPr>
              <w:t xml:space="preserve">. </w:t>
            </w:r>
            <w:r>
              <w:rPr>
                <w:rFonts w:ascii="Times New Roman" w:hAnsi="Times New Roman"/>
                <w:color w:val="000000"/>
                <w:sz w:val="24"/>
                <w:szCs w:val="24"/>
              </w:rPr>
              <w:t xml:space="preserve"> </w:t>
            </w:r>
            <w:r w:rsidRPr="00220799">
              <w:rPr>
                <w:rFonts w:ascii="Times New Roman" w:hAnsi="Times New Roman"/>
                <w:color w:val="000000"/>
                <w:sz w:val="24"/>
                <w:szCs w:val="24"/>
              </w:rPr>
              <w:t>Proti, komersa</w:t>
            </w:r>
            <w:r>
              <w:rPr>
                <w:rFonts w:ascii="Times New Roman" w:hAnsi="Times New Roman"/>
                <w:color w:val="000000"/>
                <w:sz w:val="24"/>
                <w:szCs w:val="24"/>
              </w:rPr>
              <w:t xml:space="preserve">ntam, kam pieder </w:t>
            </w:r>
            <w:proofErr w:type="spellStart"/>
            <w:r>
              <w:rPr>
                <w:rFonts w:ascii="Times New Roman" w:hAnsi="Times New Roman"/>
                <w:color w:val="000000"/>
                <w:sz w:val="24"/>
                <w:szCs w:val="24"/>
              </w:rPr>
              <w:t>online</w:t>
            </w:r>
            <w:proofErr w:type="spellEnd"/>
            <w:r>
              <w:rPr>
                <w:rFonts w:ascii="Times New Roman" w:hAnsi="Times New Roman"/>
                <w:color w:val="000000"/>
                <w:sz w:val="24"/>
                <w:szCs w:val="24"/>
              </w:rPr>
              <w:t xml:space="preserve"> platforma, </w:t>
            </w:r>
            <w:r w:rsidRPr="00220799">
              <w:rPr>
                <w:rFonts w:ascii="Times New Roman" w:hAnsi="Times New Roman"/>
                <w:color w:val="000000"/>
                <w:sz w:val="24"/>
                <w:szCs w:val="24"/>
              </w:rPr>
              <w:t xml:space="preserve">ar </w:t>
            </w:r>
            <w:r>
              <w:rPr>
                <w:rFonts w:ascii="Times New Roman" w:hAnsi="Times New Roman"/>
                <w:color w:val="000000"/>
                <w:sz w:val="24"/>
                <w:szCs w:val="24"/>
              </w:rPr>
              <w:t xml:space="preserve">kuras starpniecību kāds cits komersants pārdod reglamentētos </w:t>
            </w:r>
            <w:r w:rsidRPr="007412E4">
              <w:rPr>
                <w:rFonts w:ascii="Times New Roman" w:hAnsi="Times New Roman"/>
                <w:color w:val="000000"/>
                <w:sz w:val="24"/>
                <w:szCs w:val="24"/>
              </w:rPr>
              <w:t>sprāgstvielu prekursorus</w:t>
            </w:r>
            <w:r>
              <w:rPr>
                <w:rFonts w:ascii="Times New Roman" w:hAnsi="Times New Roman"/>
                <w:color w:val="000000"/>
                <w:sz w:val="24"/>
                <w:szCs w:val="24"/>
              </w:rPr>
              <w:t xml:space="preserve"> nodrošina, ka attiecīgs pārdevējs ir informēts par saviem pienākumiem atbilstoši Regulas </w:t>
            </w:r>
            <w:r w:rsidRPr="00220799">
              <w:rPr>
                <w:rFonts w:ascii="Times New Roman" w:hAnsi="Times New Roman"/>
                <w:color w:val="000000"/>
                <w:sz w:val="24"/>
                <w:szCs w:val="24"/>
              </w:rPr>
              <w:t>Nr.2019/1148</w:t>
            </w:r>
            <w:r>
              <w:rPr>
                <w:rFonts w:ascii="Times New Roman" w:hAnsi="Times New Roman"/>
                <w:color w:val="000000"/>
                <w:sz w:val="24"/>
                <w:szCs w:val="24"/>
              </w:rPr>
              <w:t xml:space="preserve"> 7.panta 1. un 2.punktam</w:t>
            </w:r>
            <w:r w:rsidRPr="00220799">
              <w:rPr>
                <w:rFonts w:ascii="Times New Roman" w:hAnsi="Times New Roman"/>
                <w:color w:val="000000"/>
                <w:sz w:val="24"/>
                <w:szCs w:val="24"/>
              </w:rPr>
              <w:t>.</w:t>
            </w:r>
            <w:r>
              <w:rPr>
                <w:rFonts w:ascii="Times New Roman" w:hAnsi="Times New Roman"/>
                <w:color w:val="000000"/>
                <w:sz w:val="24"/>
                <w:szCs w:val="24"/>
              </w:rPr>
              <w:t xml:space="preserve"> </w:t>
            </w:r>
          </w:p>
          <w:p w14:paraId="17DFD596" w14:textId="5D3106DD" w:rsidR="00F32A51" w:rsidRDefault="00F32A51" w:rsidP="00FD32E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Ņemot vērā minēto</w:t>
            </w:r>
            <w:r w:rsidR="00CD25CB">
              <w:rPr>
                <w:rFonts w:ascii="Times New Roman" w:hAnsi="Times New Roman"/>
                <w:color w:val="000000"/>
                <w:sz w:val="24"/>
                <w:szCs w:val="24"/>
              </w:rPr>
              <w:t xml:space="preserve"> un atbilstoši </w:t>
            </w:r>
            <w:r w:rsidR="00CD25CB" w:rsidRPr="008F33E5">
              <w:rPr>
                <w:rFonts w:ascii="Times New Roman" w:hAnsi="Times New Roman"/>
                <w:sz w:val="24"/>
                <w:szCs w:val="24"/>
              </w:rPr>
              <w:t>Regulas Nr. 2019/1148</w:t>
            </w:r>
            <w:r w:rsidR="00CD25CB">
              <w:rPr>
                <w:rFonts w:ascii="Times New Roman" w:hAnsi="Times New Roman"/>
                <w:sz w:val="24"/>
                <w:szCs w:val="24"/>
              </w:rPr>
              <w:t xml:space="preserve"> </w:t>
            </w:r>
            <w:r w:rsidR="00CD25CB">
              <w:rPr>
                <w:rFonts w:ascii="Times New Roman" w:hAnsi="Times New Roman"/>
                <w:color w:val="000000"/>
                <w:sz w:val="24"/>
                <w:szCs w:val="24"/>
              </w:rPr>
              <w:t>13.pantam</w:t>
            </w:r>
            <w:r w:rsidR="00526B45">
              <w:rPr>
                <w:rFonts w:ascii="Times New Roman" w:hAnsi="Times New Roman"/>
                <w:color w:val="000000"/>
                <w:sz w:val="24"/>
                <w:szCs w:val="24"/>
              </w:rPr>
              <w:t>,</w:t>
            </w:r>
            <w:r w:rsidR="00390DD2" w:rsidRPr="00390DD2">
              <w:rPr>
                <w:rFonts w:ascii="Times New Roman" w:hAnsi="Times New Roman"/>
                <w:color w:val="000000"/>
                <w:sz w:val="24"/>
                <w:szCs w:val="24"/>
              </w:rPr>
              <w:t xml:space="preserve"> </w:t>
            </w:r>
            <w:r w:rsidR="00526B45">
              <w:rPr>
                <w:rFonts w:ascii="Times New Roman" w:hAnsi="Times New Roman"/>
                <w:color w:val="000000"/>
                <w:sz w:val="24"/>
                <w:szCs w:val="24"/>
              </w:rPr>
              <w:t>ir</w:t>
            </w:r>
            <w:r w:rsidR="00974EF7">
              <w:rPr>
                <w:rFonts w:ascii="Times New Roman" w:hAnsi="Times New Roman"/>
                <w:color w:val="000000"/>
                <w:sz w:val="24"/>
                <w:szCs w:val="24"/>
              </w:rPr>
              <w:t xml:space="preserve"> </w:t>
            </w:r>
            <w:r w:rsidR="000A4C4F">
              <w:rPr>
                <w:rFonts w:ascii="Times New Roman" w:hAnsi="Times New Roman"/>
                <w:color w:val="000000"/>
                <w:sz w:val="24"/>
                <w:szCs w:val="24"/>
              </w:rPr>
              <w:t xml:space="preserve">nosakāma </w:t>
            </w:r>
            <w:r w:rsidR="00390DD2" w:rsidRPr="00390DD2">
              <w:rPr>
                <w:rFonts w:ascii="Times New Roman" w:hAnsi="Times New Roman"/>
                <w:color w:val="000000"/>
                <w:sz w:val="24"/>
                <w:szCs w:val="24"/>
              </w:rPr>
              <w:t>administratīv</w:t>
            </w:r>
            <w:r w:rsidR="00FD32ED">
              <w:rPr>
                <w:rFonts w:ascii="Times New Roman" w:hAnsi="Times New Roman"/>
                <w:color w:val="000000"/>
                <w:sz w:val="24"/>
                <w:szCs w:val="24"/>
              </w:rPr>
              <w:t>ā</w:t>
            </w:r>
            <w:r w:rsidR="00390DD2" w:rsidRPr="00390DD2">
              <w:rPr>
                <w:rFonts w:ascii="Times New Roman" w:hAnsi="Times New Roman"/>
                <w:color w:val="000000"/>
                <w:sz w:val="24"/>
                <w:szCs w:val="24"/>
              </w:rPr>
              <w:t xml:space="preserve"> atbildīb</w:t>
            </w:r>
            <w:r w:rsidR="00FD32ED">
              <w:rPr>
                <w:rFonts w:ascii="Times New Roman" w:hAnsi="Times New Roman"/>
                <w:color w:val="000000"/>
                <w:sz w:val="24"/>
                <w:szCs w:val="24"/>
              </w:rPr>
              <w:t>a</w:t>
            </w:r>
            <w:r w:rsidR="00390DD2" w:rsidRPr="00390DD2">
              <w:rPr>
                <w:rFonts w:ascii="Times New Roman" w:hAnsi="Times New Roman"/>
                <w:color w:val="000000"/>
                <w:sz w:val="24"/>
                <w:szCs w:val="24"/>
              </w:rPr>
              <w:t xml:space="preserve"> par nodarbināto neinstruēšanu vai apmācības neveikšanu jautājumos par sprāgstvielu prekursoru tirdzniecību un ziņošanas pienākumu pārkāpumiem, vienlaikus nosakot kompetento iestādi, kas būs tiesīga veikt attiecīgā administratīvā pārkāpuma procesu.</w:t>
            </w:r>
            <w:r>
              <w:rPr>
                <w:rFonts w:ascii="Times New Roman" w:hAnsi="Times New Roman"/>
                <w:color w:val="000000"/>
                <w:sz w:val="24"/>
                <w:szCs w:val="24"/>
              </w:rPr>
              <w:t xml:space="preserve"> </w:t>
            </w:r>
          </w:p>
          <w:p w14:paraId="1DCC8EF5" w14:textId="4E00E4BF" w:rsidR="00CD25CB" w:rsidRDefault="00CD25CB" w:rsidP="00014368">
            <w:pPr>
              <w:spacing w:after="0" w:line="240" w:lineRule="auto"/>
              <w:ind w:firstLine="720"/>
              <w:jc w:val="both"/>
              <w:rPr>
                <w:rFonts w:ascii="Times New Roman" w:hAnsi="Times New Roman"/>
                <w:color w:val="000000"/>
                <w:sz w:val="24"/>
                <w:szCs w:val="24"/>
              </w:rPr>
            </w:pPr>
            <w:r>
              <w:rPr>
                <w:rFonts w:ascii="Times New Roman" w:eastAsia="Times New Roman" w:hAnsi="Times New Roman"/>
                <w:bCs/>
                <w:sz w:val="24"/>
                <w:szCs w:val="24"/>
                <w:lang w:eastAsia="lv-LV"/>
              </w:rPr>
              <w:t xml:space="preserve">Šī jautājuma kontekstā ir vēršama uzmanība, ka </w:t>
            </w:r>
            <w:r w:rsidRPr="008F33E5">
              <w:rPr>
                <w:rFonts w:ascii="Times New Roman" w:hAnsi="Times New Roman"/>
                <w:sz w:val="24"/>
                <w:szCs w:val="24"/>
              </w:rPr>
              <w:t xml:space="preserve">Regulas Nr. 2019/1148 paskaidrojuma rakstā (dokumenta Nr. COM (2018) 209 </w:t>
            </w:r>
            <w:proofErr w:type="spellStart"/>
            <w:r w:rsidRPr="008F33E5">
              <w:rPr>
                <w:rFonts w:ascii="Times New Roman" w:hAnsi="Times New Roman"/>
                <w:sz w:val="24"/>
                <w:szCs w:val="24"/>
              </w:rPr>
              <w:t>final</w:t>
            </w:r>
            <w:proofErr w:type="spellEnd"/>
            <w:r w:rsidRPr="008F33E5">
              <w:rPr>
                <w:rFonts w:ascii="Times New Roman" w:hAnsi="Times New Roman"/>
                <w:sz w:val="24"/>
                <w:szCs w:val="24"/>
              </w:rPr>
              <w:t>, 2018/0103 (COD)) ir minēts, ka</w:t>
            </w:r>
            <w:r>
              <w:rPr>
                <w:rFonts w:ascii="Times New Roman" w:hAnsi="Times New Roman"/>
                <w:sz w:val="24"/>
                <w:szCs w:val="24"/>
              </w:rPr>
              <w:t xml:space="preserve"> jebkādu</w:t>
            </w:r>
            <w:r w:rsidRPr="008F33E5">
              <w:rPr>
                <w:rFonts w:ascii="Times New Roman" w:hAnsi="Times New Roman"/>
                <w:sz w:val="24"/>
                <w:szCs w:val="24"/>
              </w:rPr>
              <w:t xml:space="preserve"> sprāgstvielu prekursoru </w:t>
            </w:r>
            <w:r w:rsidRPr="008F33E5">
              <w:rPr>
                <w:rFonts w:ascii="Times New Roman" w:hAnsi="Times New Roman"/>
                <w:sz w:val="24"/>
                <w:szCs w:val="24"/>
                <w:bdr w:val="none" w:sz="0" w:space="0" w:color="auto" w:frame="1"/>
              </w:rPr>
              <w:t>tirdzniecības un lietošanas ierobežojumi un kontroles pasākumi ir nozīmīgi teroristu tīklu darbību izjaukšanā, apgrūtinot uzbrukšanu mērķiem un piekļūšanu bīstamām vielām, kā arī to izvietošanu.</w:t>
            </w:r>
          </w:p>
          <w:p w14:paraId="01118E4C" w14:textId="557364BE" w:rsidR="00B46DE4" w:rsidRDefault="00F32A51" w:rsidP="0001436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Būtībā darbinieku neinformēšanas un neinstruēšanas gadījumā komersants </w:t>
            </w:r>
            <w:r w:rsidR="00014368">
              <w:rPr>
                <w:rFonts w:ascii="Times New Roman" w:hAnsi="Times New Roman"/>
                <w:color w:val="000000"/>
                <w:sz w:val="24"/>
                <w:szCs w:val="24"/>
              </w:rPr>
              <w:t>veicina</w:t>
            </w:r>
            <w:r>
              <w:rPr>
                <w:rFonts w:ascii="Times New Roman" w:hAnsi="Times New Roman"/>
                <w:color w:val="000000"/>
                <w:sz w:val="24"/>
                <w:szCs w:val="24"/>
              </w:rPr>
              <w:t>, ka tirgū</w:t>
            </w:r>
            <w:r w:rsidR="00361FEB">
              <w:rPr>
                <w:rFonts w:ascii="Times New Roman" w:hAnsi="Times New Roman"/>
                <w:color w:val="000000"/>
                <w:sz w:val="24"/>
                <w:szCs w:val="24"/>
              </w:rPr>
              <w:t xml:space="preserve"> var nonākt</w:t>
            </w:r>
            <w:r w:rsidRPr="00390DD2">
              <w:rPr>
                <w:rFonts w:ascii="Times New Roman" w:hAnsi="Times New Roman"/>
                <w:color w:val="000000"/>
                <w:sz w:val="24"/>
                <w:szCs w:val="24"/>
              </w:rPr>
              <w:t xml:space="preserve"> sprāgstvielu prekursoru</w:t>
            </w:r>
            <w:r>
              <w:rPr>
                <w:rFonts w:ascii="Times New Roman" w:hAnsi="Times New Roman"/>
                <w:color w:val="000000"/>
                <w:sz w:val="24"/>
                <w:szCs w:val="24"/>
              </w:rPr>
              <w:t xml:space="preserve"> saturošie produkti, kuru izsekošana </w:t>
            </w:r>
            <w:r w:rsidR="00014368">
              <w:rPr>
                <w:rFonts w:ascii="Times New Roman" w:hAnsi="Times New Roman"/>
                <w:color w:val="000000"/>
                <w:sz w:val="24"/>
                <w:szCs w:val="24"/>
              </w:rPr>
              <w:t xml:space="preserve">nepieciešamības gadījumā </w:t>
            </w:r>
            <w:r>
              <w:rPr>
                <w:rFonts w:ascii="Times New Roman" w:hAnsi="Times New Roman"/>
                <w:color w:val="000000"/>
                <w:sz w:val="24"/>
                <w:szCs w:val="24"/>
              </w:rPr>
              <w:t xml:space="preserve">kompetentajām iestādēm </w:t>
            </w:r>
            <w:r w:rsidR="00361FEB">
              <w:rPr>
                <w:rFonts w:ascii="Times New Roman" w:hAnsi="Times New Roman"/>
                <w:color w:val="000000"/>
                <w:sz w:val="24"/>
                <w:szCs w:val="24"/>
              </w:rPr>
              <w:t xml:space="preserve">var </w:t>
            </w:r>
            <w:r w:rsidR="009B01BF">
              <w:rPr>
                <w:rFonts w:ascii="Times New Roman" w:hAnsi="Times New Roman"/>
                <w:color w:val="000000"/>
                <w:sz w:val="24"/>
                <w:szCs w:val="24"/>
              </w:rPr>
              <w:t>būt ne</w:t>
            </w:r>
            <w:r w:rsidR="00361FEB">
              <w:rPr>
                <w:rFonts w:ascii="Times New Roman" w:hAnsi="Times New Roman"/>
                <w:color w:val="000000"/>
                <w:sz w:val="24"/>
                <w:szCs w:val="24"/>
              </w:rPr>
              <w:t xml:space="preserve">iespējama vai </w:t>
            </w:r>
            <w:r w:rsidR="00974EF7">
              <w:rPr>
                <w:rFonts w:ascii="Times New Roman" w:hAnsi="Times New Roman"/>
                <w:color w:val="000000"/>
                <w:sz w:val="24"/>
                <w:szCs w:val="24"/>
              </w:rPr>
              <w:t>apgrūtin</w:t>
            </w:r>
            <w:r w:rsidR="009B01BF">
              <w:rPr>
                <w:rFonts w:ascii="Times New Roman" w:hAnsi="Times New Roman"/>
                <w:color w:val="000000"/>
                <w:sz w:val="24"/>
                <w:szCs w:val="24"/>
              </w:rPr>
              <w:t>oša</w:t>
            </w:r>
            <w:r>
              <w:rPr>
                <w:rFonts w:ascii="Times New Roman" w:hAnsi="Times New Roman"/>
                <w:color w:val="000000"/>
                <w:sz w:val="24"/>
                <w:szCs w:val="24"/>
              </w:rPr>
              <w:t>.</w:t>
            </w:r>
            <w:r w:rsidR="00014368">
              <w:rPr>
                <w:rFonts w:ascii="Times New Roman" w:hAnsi="Times New Roman"/>
                <w:color w:val="000000"/>
                <w:sz w:val="24"/>
                <w:szCs w:val="24"/>
              </w:rPr>
              <w:t xml:space="preserve"> </w:t>
            </w:r>
          </w:p>
          <w:p w14:paraId="032AEA7A" w14:textId="77777777" w:rsidR="009B01BF" w:rsidRDefault="00361FEB" w:rsidP="00220799">
            <w:pPr>
              <w:spacing w:after="0" w:line="240" w:lineRule="auto"/>
              <w:ind w:firstLine="720"/>
              <w:jc w:val="both"/>
              <w:rPr>
                <w:rFonts w:ascii="Times New Roman" w:hAnsi="Times New Roman"/>
                <w:color w:val="000000"/>
                <w:sz w:val="24"/>
                <w:szCs w:val="24"/>
              </w:rPr>
            </w:pPr>
            <w:r w:rsidRPr="00361FEB">
              <w:rPr>
                <w:rFonts w:ascii="Times New Roman" w:hAnsi="Times New Roman"/>
                <w:color w:val="000000"/>
                <w:sz w:val="24"/>
                <w:szCs w:val="24"/>
              </w:rPr>
              <w:t>Turklāt</w:t>
            </w:r>
            <w:r w:rsidR="00B46DE4" w:rsidRPr="00361FEB">
              <w:rPr>
                <w:rFonts w:ascii="Times New Roman" w:hAnsi="Times New Roman"/>
                <w:color w:val="000000"/>
                <w:sz w:val="24"/>
                <w:szCs w:val="24"/>
              </w:rPr>
              <w:t xml:space="preserve"> nodarbināt</w:t>
            </w:r>
            <w:r w:rsidR="00526B45">
              <w:rPr>
                <w:rFonts w:ascii="Times New Roman" w:hAnsi="Times New Roman"/>
                <w:color w:val="000000"/>
                <w:sz w:val="24"/>
                <w:szCs w:val="24"/>
              </w:rPr>
              <w:t>ai</w:t>
            </w:r>
            <w:r w:rsidR="00A3258A">
              <w:rPr>
                <w:rFonts w:ascii="Times New Roman" w:hAnsi="Times New Roman"/>
                <w:color w:val="000000"/>
                <w:sz w:val="24"/>
                <w:szCs w:val="24"/>
              </w:rPr>
              <w:t>s</w:t>
            </w:r>
            <w:r w:rsidR="00B46DE4" w:rsidRPr="00361FEB">
              <w:rPr>
                <w:rFonts w:ascii="Times New Roman" w:hAnsi="Times New Roman"/>
                <w:color w:val="000000"/>
                <w:sz w:val="24"/>
                <w:szCs w:val="24"/>
              </w:rPr>
              <w:t xml:space="preserve"> nezinot </w:t>
            </w:r>
            <w:r w:rsidR="002C6B29" w:rsidRPr="00361FEB">
              <w:rPr>
                <w:rFonts w:ascii="Times New Roman" w:hAnsi="Times New Roman"/>
                <w:color w:val="000000"/>
                <w:sz w:val="24"/>
                <w:szCs w:val="24"/>
              </w:rPr>
              <w:t>savus</w:t>
            </w:r>
            <w:r w:rsidR="00B46DE4" w:rsidRPr="00361FEB">
              <w:rPr>
                <w:rFonts w:ascii="Times New Roman" w:hAnsi="Times New Roman"/>
                <w:color w:val="000000"/>
                <w:sz w:val="24"/>
                <w:szCs w:val="24"/>
              </w:rPr>
              <w:t xml:space="preserve"> pienākum</w:t>
            </w:r>
            <w:r w:rsidR="002C6B29" w:rsidRPr="00361FEB">
              <w:rPr>
                <w:rFonts w:ascii="Times New Roman" w:hAnsi="Times New Roman"/>
                <w:color w:val="000000"/>
                <w:sz w:val="24"/>
                <w:szCs w:val="24"/>
              </w:rPr>
              <w:t>us</w:t>
            </w:r>
            <w:r w:rsidR="00B46DE4" w:rsidRPr="00361FEB">
              <w:rPr>
                <w:rFonts w:ascii="Times New Roman" w:hAnsi="Times New Roman"/>
                <w:color w:val="000000"/>
                <w:sz w:val="24"/>
                <w:szCs w:val="24"/>
              </w:rPr>
              <w:t>,</w:t>
            </w:r>
            <w:r w:rsidR="00F32A51" w:rsidRPr="00361FEB">
              <w:rPr>
                <w:rFonts w:ascii="Times New Roman" w:hAnsi="Times New Roman"/>
                <w:color w:val="000000"/>
                <w:sz w:val="24"/>
                <w:szCs w:val="24"/>
              </w:rPr>
              <w:t xml:space="preserve"> </w:t>
            </w:r>
            <w:r w:rsidR="009F648F">
              <w:rPr>
                <w:rFonts w:ascii="Times New Roman" w:hAnsi="Times New Roman"/>
                <w:color w:val="000000"/>
                <w:sz w:val="24"/>
                <w:szCs w:val="24"/>
              </w:rPr>
              <w:t>ne</w:t>
            </w:r>
            <w:r w:rsidRPr="00361FEB">
              <w:rPr>
                <w:rFonts w:ascii="Times New Roman" w:hAnsi="Times New Roman"/>
                <w:color w:val="000000"/>
                <w:sz w:val="24"/>
                <w:szCs w:val="24"/>
              </w:rPr>
              <w:t xml:space="preserve">var </w:t>
            </w:r>
            <w:r w:rsidR="00A3258A">
              <w:rPr>
                <w:rFonts w:ascii="Times New Roman" w:hAnsi="Times New Roman"/>
                <w:color w:val="000000"/>
                <w:sz w:val="24"/>
                <w:szCs w:val="24"/>
              </w:rPr>
              <w:t>nodrošināt</w:t>
            </w:r>
            <w:r w:rsidR="00F32A51" w:rsidRPr="00361FEB">
              <w:rPr>
                <w:rFonts w:ascii="Times New Roman" w:hAnsi="Times New Roman"/>
                <w:color w:val="000000"/>
                <w:sz w:val="24"/>
                <w:szCs w:val="24"/>
              </w:rPr>
              <w:t xml:space="preserve"> </w:t>
            </w:r>
            <w:r w:rsidR="00A00C3E" w:rsidRPr="00361FEB">
              <w:rPr>
                <w:rFonts w:ascii="Times New Roman" w:hAnsi="Times New Roman"/>
                <w:color w:val="000000"/>
                <w:sz w:val="24"/>
                <w:szCs w:val="24"/>
              </w:rPr>
              <w:t>pienācīg</w:t>
            </w:r>
            <w:r w:rsidR="00A3258A">
              <w:rPr>
                <w:rFonts w:ascii="Times New Roman" w:hAnsi="Times New Roman"/>
                <w:color w:val="000000"/>
                <w:sz w:val="24"/>
                <w:szCs w:val="24"/>
              </w:rPr>
              <w:t>u</w:t>
            </w:r>
            <w:r w:rsidR="00A00C3E" w:rsidRPr="00361FEB">
              <w:rPr>
                <w:rFonts w:ascii="Times New Roman" w:hAnsi="Times New Roman"/>
                <w:color w:val="000000"/>
                <w:sz w:val="24"/>
                <w:szCs w:val="24"/>
              </w:rPr>
              <w:t xml:space="preserve"> </w:t>
            </w:r>
            <w:r w:rsidR="00F32A51" w:rsidRPr="00361FEB">
              <w:rPr>
                <w:rFonts w:ascii="Times New Roman" w:hAnsi="Times New Roman"/>
                <w:color w:val="000000"/>
                <w:sz w:val="24"/>
                <w:szCs w:val="24"/>
              </w:rPr>
              <w:t>ziņošan</w:t>
            </w:r>
            <w:r w:rsidR="00A3258A">
              <w:rPr>
                <w:rFonts w:ascii="Times New Roman" w:hAnsi="Times New Roman"/>
                <w:color w:val="000000"/>
                <w:sz w:val="24"/>
                <w:szCs w:val="24"/>
              </w:rPr>
              <w:t>u</w:t>
            </w:r>
            <w:r w:rsidR="00F32A51" w:rsidRPr="00361FEB">
              <w:rPr>
                <w:rFonts w:ascii="Times New Roman" w:hAnsi="Times New Roman"/>
                <w:color w:val="000000"/>
                <w:sz w:val="24"/>
                <w:szCs w:val="24"/>
              </w:rPr>
              <w:t xml:space="preserve"> par aizdomīgiem darījumiem ar sprāgstvielu prekursoriem, to zādzību un pazušanu</w:t>
            </w:r>
            <w:r w:rsidR="00B46DE4" w:rsidRPr="00361FEB">
              <w:rPr>
                <w:rFonts w:ascii="Times New Roman" w:hAnsi="Times New Roman"/>
                <w:color w:val="000000"/>
                <w:sz w:val="24"/>
                <w:szCs w:val="24"/>
              </w:rPr>
              <w:t>.</w:t>
            </w:r>
            <w:r w:rsidR="00F32A51" w:rsidRPr="00361FEB">
              <w:rPr>
                <w:rFonts w:ascii="Times New Roman" w:hAnsi="Times New Roman"/>
                <w:color w:val="000000"/>
                <w:sz w:val="24"/>
                <w:szCs w:val="24"/>
              </w:rPr>
              <w:t xml:space="preserve"> </w:t>
            </w:r>
            <w:r w:rsidR="00B46DE4" w:rsidRPr="00361FEB">
              <w:rPr>
                <w:rFonts w:ascii="Times New Roman" w:hAnsi="Times New Roman"/>
                <w:color w:val="000000"/>
                <w:sz w:val="24"/>
                <w:szCs w:val="24"/>
              </w:rPr>
              <w:t>Tas</w:t>
            </w:r>
            <w:r w:rsidR="00F32A51" w:rsidRPr="00361FEB">
              <w:rPr>
                <w:rFonts w:ascii="Times New Roman" w:hAnsi="Times New Roman"/>
                <w:color w:val="000000"/>
                <w:sz w:val="24"/>
                <w:szCs w:val="24"/>
              </w:rPr>
              <w:t xml:space="preserve"> savukārt var novest pie </w:t>
            </w:r>
            <w:r w:rsidR="00014368" w:rsidRPr="00361FEB">
              <w:rPr>
                <w:rFonts w:ascii="Times New Roman" w:hAnsi="Times New Roman"/>
                <w:color w:val="000000"/>
                <w:sz w:val="24"/>
                <w:szCs w:val="24"/>
              </w:rPr>
              <w:t>minēto</w:t>
            </w:r>
            <w:r w:rsidR="00F32A51" w:rsidRPr="00361FEB">
              <w:rPr>
                <w:rFonts w:ascii="Times New Roman" w:hAnsi="Times New Roman"/>
                <w:color w:val="000000"/>
                <w:sz w:val="24"/>
                <w:szCs w:val="24"/>
              </w:rPr>
              <w:t xml:space="preserve"> vielu saturošo produktu</w:t>
            </w:r>
            <w:r w:rsidR="00B46DE4" w:rsidRPr="00361FEB">
              <w:rPr>
                <w:rFonts w:ascii="Times New Roman" w:hAnsi="Times New Roman"/>
                <w:color w:val="000000"/>
                <w:sz w:val="24"/>
                <w:szCs w:val="24"/>
              </w:rPr>
              <w:t xml:space="preserve"> nekontrolēto nonākšanu tirgū</w:t>
            </w:r>
            <w:r w:rsidR="00275AE3" w:rsidRPr="00361FEB">
              <w:rPr>
                <w:rFonts w:ascii="Times New Roman" w:hAnsi="Times New Roman"/>
                <w:color w:val="000000"/>
                <w:sz w:val="24"/>
                <w:szCs w:val="24"/>
              </w:rPr>
              <w:t xml:space="preserve"> un</w:t>
            </w:r>
            <w:r w:rsidR="00345187" w:rsidRPr="00361FEB">
              <w:rPr>
                <w:rFonts w:ascii="Times New Roman" w:hAnsi="Times New Roman"/>
                <w:color w:val="000000"/>
                <w:sz w:val="24"/>
                <w:szCs w:val="24"/>
              </w:rPr>
              <w:t xml:space="preserve"> to</w:t>
            </w:r>
            <w:r w:rsidR="00F32A51" w:rsidRPr="00361FEB">
              <w:rPr>
                <w:rFonts w:ascii="Times New Roman" w:hAnsi="Times New Roman"/>
                <w:color w:val="000000"/>
                <w:sz w:val="24"/>
                <w:szCs w:val="24"/>
              </w:rPr>
              <w:t xml:space="preserve"> ļaunprātīgu izmantošanu</w:t>
            </w:r>
            <w:r w:rsidR="00B46DE4" w:rsidRPr="00361FEB">
              <w:rPr>
                <w:rFonts w:ascii="Times New Roman" w:hAnsi="Times New Roman"/>
                <w:color w:val="000000"/>
                <w:sz w:val="24"/>
                <w:szCs w:val="24"/>
              </w:rPr>
              <w:t>,</w:t>
            </w:r>
            <w:r w:rsidR="00014368" w:rsidRPr="00361FEB">
              <w:rPr>
                <w:rFonts w:ascii="Times New Roman" w:hAnsi="Times New Roman"/>
                <w:color w:val="000000"/>
                <w:sz w:val="24"/>
                <w:szCs w:val="24"/>
              </w:rPr>
              <w:t xml:space="preserve"> kas var apdraudēt sabiedrības </w:t>
            </w:r>
            <w:r w:rsidR="009B01BF">
              <w:rPr>
                <w:rFonts w:ascii="Times New Roman" w:hAnsi="Times New Roman"/>
                <w:color w:val="000000"/>
                <w:sz w:val="24"/>
                <w:szCs w:val="24"/>
              </w:rPr>
              <w:t xml:space="preserve">kārtību un </w:t>
            </w:r>
            <w:r w:rsidR="00014368" w:rsidRPr="00361FEB">
              <w:rPr>
                <w:rFonts w:ascii="Times New Roman" w:hAnsi="Times New Roman"/>
                <w:color w:val="000000"/>
                <w:sz w:val="24"/>
                <w:szCs w:val="24"/>
              </w:rPr>
              <w:t>drošību</w:t>
            </w:r>
            <w:r w:rsidR="009B01BF">
              <w:rPr>
                <w:rFonts w:ascii="Times New Roman" w:hAnsi="Times New Roman"/>
                <w:color w:val="000000"/>
                <w:sz w:val="24"/>
                <w:szCs w:val="24"/>
              </w:rPr>
              <w:t xml:space="preserve"> kopumā, kā arī konkrētā indivīda dzīvību un veselību</w:t>
            </w:r>
            <w:r w:rsidR="00F32A51" w:rsidRPr="00361FEB">
              <w:rPr>
                <w:rFonts w:ascii="Times New Roman" w:hAnsi="Times New Roman"/>
                <w:color w:val="000000"/>
                <w:sz w:val="24"/>
                <w:szCs w:val="24"/>
              </w:rPr>
              <w:t>.</w:t>
            </w:r>
            <w:r w:rsidR="00275AE3" w:rsidRPr="00361FEB">
              <w:rPr>
                <w:rFonts w:ascii="Times New Roman" w:hAnsi="Times New Roman"/>
                <w:color w:val="000000"/>
                <w:sz w:val="24"/>
                <w:szCs w:val="24"/>
              </w:rPr>
              <w:t xml:space="preserve"> </w:t>
            </w:r>
          </w:p>
          <w:p w14:paraId="26EC32A6" w14:textId="7F90C08A" w:rsidR="009B01BF" w:rsidRDefault="00275AE3" w:rsidP="00220799">
            <w:pPr>
              <w:spacing w:after="0" w:line="240" w:lineRule="auto"/>
              <w:ind w:firstLine="720"/>
              <w:jc w:val="both"/>
              <w:rPr>
                <w:rFonts w:ascii="Times New Roman" w:hAnsi="Times New Roman"/>
                <w:color w:val="000000"/>
                <w:sz w:val="24"/>
                <w:szCs w:val="24"/>
              </w:rPr>
            </w:pPr>
            <w:r w:rsidRPr="00361FEB">
              <w:rPr>
                <w:rFonts w:ascii="Times New Roman" w:hAnsi="Times New Roman"/>
                <w:color w:val="000000"/>
                <w:sz w:val="24"/>
                <w:szCs w:val="24"/>
              </w:rPr>
              <w:t xml:space="preserve">Līdz ar to </w:t>
            </w:r>
            <w:r w:rsidRPr="00361FEB">
              <w:rPr>
                <w:rFonts w:ascii="Times New Roman" w:eastAsia="Times New Roman" w:hAnsi="Times New Roman"/>
                <w:bCs/>
                <w:color w:val="000000"/>
                <w:sz w:val="24"/>
                <w:szCs w:val="24"/>
                <w:lang w:eastAsia="lv-LV"/>
              </w:rPr>
              <w:t xml:space="preserve">Regulā Nr.2019/1148 </w:t>
            </w:r>
            <w:r w:rsidRPr="00361FEB">
              <w:rPr>
                <w:rFonts w:ascii="Times New Roman" w:hAnsi="Times New Roman"/>
                <w:color w:val="000000"/>
                <w:sz w:val="24"/>
                <w:szCs w:val="24"/>
              </w:rPr>
              <w:t>noteiktās informācijas nesniegšana nodarbinātajiem</w:t>
            </w:r>
            <w:r w:rsidR="00F53A62" w:rsidRPr="00361FEB">
              <w:rPr>
                <w:rFonts w:ascii="Times New Roman" w:hAnsi="Times New Roman"/>
                <w:color w:val="000000"/>
                <w:sz w:val="24"/>
                <w:szCs w:val="24"/>
              </w:rPr>
              <w:t xml:space="preserve"> par sprāgstvielu prekursoru saturošajiem produktiem </w:t>
            </w:r>
            <w:r w:rsidRPr="00361FEB">
              <w:rPr>
                <w:rFonts w:ascii="Times New Roman" w:hAnsi="Times New Roman"/>
                <w:color w:val="000000"/>
                <w:sz w:val="24"/>
                <w:szCs w:val="24"/>
              </w:rPr>
              <w:t xml:space="preserve">un nodarbināto </w:t>
            </w:r>
            <w:r w:rsidR="002C6B29" w:rsidRPr="00361FEB">
              <w:rPr>
                <w:rFonts w:ascii="Times New Roman" w:hAnsi="Times New Roman"/>
                <w:color w:val="000000"/>
                <w:sz w:val="24"/>
                <w:szCs w:val="24"/>
              </w:rPr>
              <w:t>neinstruēšana</w:t>
            </w:r>
            <w:r w:rsidRPr="00361FEB">
              <w:rPr>
                <w:rFonts w:ascii="Times New Roman" w:hAnsi="Times New Roman"/>
                <w:color w:val="000000"/>
                <w:sz w:val="24"/>
                <w:szCs w:val="24"/>
              </w:rPr>
              <w:t xml:space="preserve"> par</w:t>
            </w:r>
            <w:r w:rsidR="00F32A51" w:rsidRPr="00361FEB">
              <w:rPr>
                <w:rFonts w:ascii="Times New Roman" w:hAnsi="Times New Roman"/>
                <w:color w:val="000000"/>
                <w:sz w:val="24"/>
                <w:szCs w:val="24"/>
              </w:rPr>
              <w:t xml:space="preserve"> </w:t>
            </w:r>
            <w:r w:rsidRPr="00361FEB">
              <w:rPr>
                <w:rFonts w:ascii="Times New Roman" w:eastAsia="Times New Roman" w:hAnsi="Times New Roman"/>
                <w:bCs/>
                <w:color w:val="000000"/>
                <w:sz w:val="24"/>
                <w:szCs w:val="24"/>
                <w:lang w:eastAsia="lv-LV"/>
              </w:rPr>
              <w:t xml:space="preserve">pienākumu </w:t>
            </w:r>
            <w:r w:rsidR="00F53A62" w:rsidRPr="00361FEB">
              <w:rPr>
                <w:rFonts w:ascii="Times New Roman" w:eastAsia="Times New Roman" w:hAnsi="Times New Roman"/>
                <w:bCs/>
                <w:color w:val="000000"/>
                <w:sz w:val="24"/>
                <w:szCs w:val="24"/>
                <w:lang w:eastAsia="lv-LV"/>
              </w:rPr>
              <w:t xml:space="preserve">ziņot </w:t>
            </w:r>
            <w:r w:rsidRPr="00361FEB">
              <w:rPr>
                <w:rFonts w:ascii="Times New Roman" w:hAnsi="Times New Roman"/>
                <w:color w:val="000000"/>
                <w:sz w:val="24"/>
                <w:szCs w:val="24"/>
              </w:rPr>
              <w:t>par aizdomīgiem darījumiem ar sprāgstvielu prekursoriem, to zādzību un pazušanu</w:t>
            </w:r>
            <w:r w:rsidR="00F53A62" w:rsidRPr="00361FEB">
              <w:rPr>
                <w:rFonts w:ascii="Times New Roman" w:hAnsi="Times New Roman"/>
                <w:color w:val="000000"/>
                <w:sz w:val="24"/>
                <w:szCs w:val="24"/>
              </w:rPr>
              <w:t xml:space="preserve"> </w:t>
            </w:r>
            <w:r w:rsidR="009B01BF" w:rsidRPr="00361FEB">
              <w:rPr>
                <w:rFonts w:ascii="Times New Roman" w:hAnsi="Times New Roman"/>
                <w:color w:val="000000"/>
                <w:sz w:val="24"/>
                <w:szCs w:val="24"/>
              </w:rPr>
              <w:t xml:space="preserve">būtībā </w:t>
            </w:r>
            <w:r w:rsidR="00220799">
              <w:rPr>
                <w:rFonts w:ascii="Times New Roman" w:hAnsi="Times New Roman"/>
                <w:color w:val="000000"/>
                <w:sz w:val="24"/>
                <w:szCs w:val="24"/>
              </w:rPr>
              <w:t>var novest</w:t>
            </w:r>
            <w:r w:rsidR="00F53A62" w:rsidRPr="00361FEB">
              <w:rPr>
                <w:rFonts w:ascii="Times New Roman" w:hAnsi="Times New Roman"/>
                <w:color w:val="000000"/>
                <w:sz w:val="24"/>
                <w:szCs w:val="24"/>
              </w:rPr>
              <w:t xml:space="preserve"> pie tādām pašām sekām</w:t>
            </w:r>
            <w:r w:rsidR="00445158" w:rsidRPr="00361FEB">
              <w:rPr>
                <w:rFonts w:ascii="Times New Roman" w:hAnsi="Times New Roman"/>
                <w:color w:val="000000"/>
                <w:sz w:val="24"/>
                <w:szCs w:val="24"/>
              </w:rPr>
              <w:t>,</w:t>
            </w:r>
            <w:r w:rsidR="00F53A62" w:rsidRPr="00361FEB">
              <w:rPr>
                <w:rFonts w:ascii="Times New Roman" w:hAnsi="Times New Roman"/>
                <w:color w:val="000000"/>
                <w:sz w:val="24"/>
                <w:szCs w:val="24"/>
              </w:rPr>
              <w:t xml:space="preserve"> kas var rasties</w:t>
            </w:r>
            <w:r w:rsidR="002C6B29" w:rsidRPr="00361FEB">
              <w:rPr>
                <w:rFonts w:ascii="Times New Roman" w:hAnsi="Times New Roman"/>
                <w:color w:val="000000"/>
                <w:sz w:val="24"/>
                <w:szCs w:val="24"/>
              </w:rPr>
              <w:t xml:space="preserve"> gadījumos, kad</w:t>
            </w:r>
            <w:r w:rsidR="00F53A62" w:rsidRPr="00361FEB">
              <w:rPr>
                <w:rFonts w:ascii="Times New Roman" w:hAnsi="Times New Roman"/>
                <w:color w:val="000000"/>
                <w:sz w:val="24"/>
                <w:szCs w:val="24"/>
              </w:rPr>
              <w:t xml:space="preserve"> pa</w:t>
            </w:r>
            <w:r w:rsidR="002C6B29" w:rsidRPr="00361FEB">
              <w:rPr>
                <w:rFonts w:ascii="Times New Roman" w:hAnsi="Times New Roman"/>
                <w:color w:val="000000"/>
                <w:sz w:val="24"/>
                <w:szCs w:val="24"/>
              </w:rPr>
              <w:t>ts</w:t>
            </w:r>
            <w:r w:rsidR="00F53A62" w:rsidRPr="00361FEB">
              <w:rPr>
                <w:rFonts w:ascii="Times New Roman" w:hAnsi="Times New Roman"/>
                <w:color w:val="000000"/>
                <w:sz w:val="24"/>
                <w:szCs w:val="24"/>
              </w:rPr>
              <w:t xml:space="preserve"> komersant</w:t>
            </w:r>
            <w:r w:rsidR="002C6B29" w:rsidRPr="00361FEB">
              <w:rPr>
                <w:rFonts w:ascii="Times New Roman" w:hAnsi="Times New Roman"/>
                <w:color w:val="000000"/>
                <w:sz w:val="24"/>
                <w:szCs w:val="24"/>
              </w:rPr>
              <w:t xml:space="preserve">s nepilda </w:t>
            </w:r>
            <w:r w:rsidR="002C6B29" w:rsidRPr="00361FEB">
              <w:rPr>
                <w:rFonts w:ascii="Times New Roman" w:eastAsia="Times New Roman" w:hAnsi="Times New Roman"/>
                <w:bCs/>
                <w:color w:val="000000"/>
                <w:sz w:val="24"/>
                <w:szCs w:val="24"/>
                <w:lang w:eastAsia="lv-LV"/>
              </w:rPr>
              <w:t xml:space="preserve">Regulas Nr.2019/1148 </w:t>
            </w:r>
            <w:r w:rsidR="00361FEB" w:rsidRPr="00361FEB">
              <w:rPr>
                <w:rFonts w:ascii="Times New Roman" w:eastAsia="Times New Roman" w:hAnsi="Times New Roman"/>
                <w:bCs/>
                <w:color w:val="000000"/>
                <w:sz w:val="24"/>
                <w:szCs w:val="24"/>
                <w:lang w:eastAsia="lv-LV"/>
              </w:rPr>
              <w:t>9.pantā</w:t>
            </w:r>
            <w:r w:rsidR="002C6B29" w:rsidRPr="00361FEB">
              <w:rPr>
                <w:rFonts w:ascii="Times New Roman" w:eastAsia="Times New Roman" w:hAnsi="Times New Roman"/>
                <w:bCs/>
                <w:color w:val="000000"/>
                <w:sz w:val="24"/>
                <w:szCs w:val="24"/>
                <w:lang w:eastAsia="lv-LV"/>
              </w:rPr>
              <w:t xml:space="preserve"> </w:t>
            </w:r>
            <w:r w:rsidR="002C6B29" w:rsidRPr="00361FEB">
              <w:rPr>
                <w:rFonts w:ascii="Times New Roman" w:hAnsi="Times New Roman"/>
                <w:color w:val="000000"/>
                <w:sz w:val="24"/>
                <w:szCs w:val="24"/>
              </w:rPr>
              <w:t>tam uzlikto pienākumu un</w:t>
            </w:r>
            <w:r w:rsidR="00F53A62" w:rsidRPr="00361FEB">
              <w:rPr>
                <w:rFonts w:ascii="Times New Roman" w:hAnsi="Times New Roman"/>
                <w:color w:val="000000"/>
                <w:sz w:val="24"/>
                <w:szCs w:val="24"/>
              </w:rPr>
              <w:t xml:space="preserve"> neziņo par </w:t>
            </w:r>
            <w:r w:rsidR="00445158" w:rsidRPr="00361FEB">
              <w:rPr>
                <w:rFonts w:ascii="Times New Roman" w:hAnsi="Times New Roman"/>
                <w:color w:val="000000"/>
                <w:sz w:val="24"/>
                <w:szCs w:val="24"/>
              </w:rPr>
              <w:t>aizdomīgiem darījumiem ar sprāgstvielu prekursoriem, to zādzību un pazušanu</w:t>
            </w:r>
            <w:r w:rsidR="00361FEB" w:rsidRPr="00361FEB">
              <w:rPr>
                <w:rFonts w:ascii="Times New Roman" w:hAnsi="Times New Roman"/>
                <w:color w:val="000000"/>
                <w:sz w:val="24"/>
                <w:szCs w:val="24"/>
              </w:rPr>
              <w:t>.</w:t>
            </w:r>
            <w:r w:rsidR="00445158" w:rsidRPr="00361FEB">
              <w:rPr>
                <w:rFonts w:ascii="Times New Roman" w:hAnsi="Times New Roman"/>
                <w:color w:val="000000"/>
                <w:sz w:val="24"/>
                <w:szCs w:val="24"/>
              </w:rPr>
              <w:t xml:space="preserve"> </w:t>
            </w:r>
          </w:p>
          <w:p w14:paraId="198CB2EF" w14:textId="7A225EFF" w:rsidR="00220799" w:rsidRPr="000F544A" w:rsidRDefault="00361FEB" w:rsidP="00220799">
            <w:pPr>
              <w:spacing w:after="0" w:line="240" w:lineRule="auto"/>
              <w:ind w:firstLine="720"/>
              <w:jc w:val="both"/>
              <w:rPr>
                <w:rFonts w:ascii="Times New Roman" w:hAnsi="Times New Roman"/>
                <w:color w:val="000000"/>
                <w:sz w:val="24"/>
                <w:szCs w:val="24"/>
              </w:rPr>
            </w:pPr>
            <w:r w:rsidRPr="00361FEB">
              <w:rPr>
                <w:rFonts w:ascii="Times New Roman" w:hAnsi="Times New Roman"/>
                <w:color w:val="000000"/>
                <w:sz w:val="24"/>
                <w:szCs w:val="24"/>
              </w:rPr>
              <w:t>T</w:t>
            </w:r>
            <w:r w:rsidR="00445158" w:rsidRPr="00361FEB">
              <w:rPr>
                <w:rFonts w:ascii="Times New Roman" w:hAnsi="Times New Roman"/>
                <w:color w:val="000000"/>
                <w:sz w:val="24"/>
                <w:szCs w:val="24"/>
              </w:rPr>
              <w:t xml:space="preserve">ādēļ </w:t>
            </w:r>
            <w:r w:rsidR="00F53A62" w:rsidRPr="00361FEB">
              <w:rPr>
                <w:rFonts w:ascii="Times New Roman" w:hAnsi="Times New Roman"/>
                <w:color w:val="000000"/>
                <w:sz w:val="24"/>
                <w:szCs w:val="24"/>
              </w:rPr>
              <w:t>atbildībai piemērojamā soda ziņā</w:t>
            </w:r>
            <w:r w:rsidR="00445158" w:rsidRPr="00361FEB">
              <w:rPr>
                <w:rFonts w:ascii="Times New Roman" w:hAnsi="Times New Roman"/>
                <w:color w:val="000000"/>
                <w:sz w:val="24"/>
                <w:szCs w:val="24"/>
              </w:rPr>
              <w:t xml:space="preserve"> abos gadījumos</w:t>
            </w:r>
            <w:r w:rsidR="00F53A62" w:rsidRPr="00361FEB">
              <w:rPr>
                <w:rFonts w:ascii="Times New Roman" w:hAnsi="Times New Roman"/>
                <w:color w:val="000000"/>
                <w:sz w:val="24"/>
                <w:szCs w:val="24"/>
              </w:rPr>
              <w:t xml:space="preserve"> </w:t>
            </w:r>
            <w:r w:rsidR="002C6B29" w:rsidRPr="00361FEB">
              <w:rPr>
                <w:rFonts w:ascii="Times New Roman" w:hAnsi="Times New Roman"/>
                <w:color w:val="000000"/>
                <w:sz w:val="24"/>
                <w:szCs w:val="24"/>
              </w:rPr>
              <w:t>būtu</w:t>
            </w:r>
            <w:r w:rsidR="00F53A62" w:rsidRPr="00361FEB">
              <w:rPr>
                <w:rFonts w:ascii="Times New Roman" w:hAnsi="Times New Roman"/>
                <w:color w:val="000000"/>
                <w:sz w:val="24"/>
                <w:szCs w:val="24"/>
              </w:rPr>
              <w:t xml:space="preserve"> jābūt līdzvērtīgai </w:t>
            </w:r>
            <w:r w:rsidR="00B01C38" w:rsidRPr="00361FEB">
              <w:rPr>
                <w:rFonts w:ascii="Times New Roman" w:hAnsi="Times New Roman"/>
                <w:color w:val="000000"/>
                <w:sz w:val="24"/>
                <w:szCs w:val="24"/>
              </w:rPr>
              <w:t>(</w:t>
            </w:r>
            <w:r w:rsidR="002C6B29" w:rsidRPr="00361FEB">
              <w:rPr>
                <w:rFonts w:ascii="Times New Roman" w:hAnsi="Times New Roman"/>
                <w:color w:val="000000"/>
                <w:sz w:val="24"/>
                <w:szCs w:val="24"/>
              </w:rPr>
              <w:t xml:space="preserve">sk. </w:t>
            </w:r>
            <w:r w:rsidR="00B01C38" w:rsidRPr="00361FEB">
              <w:rPr>
                <w:rFonts w:ascii="Times New Roman" w:hAnsi="Times New Roman"/>
                <w:color w:val="000000"/>
                <w:sz w:val="24"/>
                <w:szCs w:val="24"/>
              </w:rPr>
              <w:t>Administratīvo sodu likum</w:t>
            </w:r>
            <w:r w:rsidR="009F648F">
              <w:rPr>
                <w:rFonts w:ascii="Times New Roman" w:hAnsi="Times New Roman"/>
                <w:color w:val="000000"/>
                <w:sz w:val="24"/>
                <w:szCs w:val="24"/>
              </w:rPr>
              <w:t>a</w:t>
            </w:r>
            <w:r w:rsidR="00B01C38" w:rsidRPr="00361FEB">
              <w:rPr>
                <w:rFonts w:ascii="Times New Roman" w:hAnsi="Times New Roman"/>
                <w:color w:val="000000"/>
                <w:sz w:val="24"/>
                <w:szCs w:val="24"/>
              </w:rPr>
              <w:t xml:space="preserve"> par pārkāpumiem pārvaldes, </w:t>
            </w:r>
            <w:r w:rsidR="00B01C38" w:rsidRPr="000F544A">
              <w:rPr>
                <w:rFonts w:ascii="Times New Roman" w:hAnsi="Times New Roman"/>
                <w:color w:val="000000"/>
                <w:sz w:val="24"/>
                <w:szCs w:val="24"/>
              </w:rPr>
              <w:t>sabiedriskās kārtības un valsts valodas lietošanas jomā 3.panta pirmā daļa</w:t>
            </w:r>
            <w:r w:rsidR="00882AC5" w:rsidRPr="000F544A">
              <w:rPr>
                <w:rFonts w:ascii="Times New Roman" w:hAnsi="Times New Roman"/>
                <w:color w:val="000000"/>
                <w:sz w:val="24"/>
                <w:szCs w:val="24"/>
              </w:rPr>
              <w:t>, spēku zaudējošā Latvijas Administratīvo pārkāpumu kodeks</w:t>
            </w:r>
            <w:r w:rsidR="00601B5F" w:rsidRPr="000F544A">
              <w:rPr>
                <w:rFonts w:ascii="Times New Roman" w:hAnsi="Times New Roman"/>
                <w:color w:val="000000"/>
                <w:sz w:val="24"/>
                <w:szCs w:val="24"/>
              </w:rPr>
              <w:t>a</w:t>
            </w:r>
            <w:r w:rsidR="00882AC5" w:rsidRPr="000F544A">
              <w:rPr>
                <w:rFonts w:ascii="Times New Roman" w:hAnsi="Times New Roman"/>
                <w:color w:val="000000"/>
                <w:sz w:val="24"/>
                <w:szCs w:val="24"/>
              </w:rPr>
              <w:t xml:space="preserve"> 165.</w:t>
            </w:r>
            <w:r w:rsidR="00882AC5" w:rsidRPr="000F544A">
              <w:rPr>
                <w:rFonts w:ascii="Times New Roman" w:hAnsi="Times New Roman"/>
                <w:color w:val="000000"/>
                <w:sz w:val="24"/>
                <w:szCs w:val="24"/>
                <w:vertAlign w:val="superscript"/>
              </w:rPr>
              <w:t>10</w:t>
            </w:r>
            <w:r w:rsidR="00882AC5" w:rsidRPr="000F544A">
              <w:rPr>
                <w:rFonts w:ascii="Times New Roman" w:hAnsi="Times New Roman"/>
                <w:color w:val="000000"/>
                <w:sz w:val="24"/>
                <w:szCs w:val="24"/>
              </w:rPr>
              <w:t xml:space="preserve"> pants</w:t>
            </w:r>
            <w:r w:rsidR="00B01C38" w:rsidRPr="000F544A">
              <w:rPr>
                <w:rFonts w:ascii="Times New Roman" w:hAnsi="Times New Roman"/>
                <w:color w:val="000000"/>
                <w:sz w:val="24"/>
                <w:szCs w:val="24"/>
              </w:rPr>
              <w:t>).</w:t>
            </w:r>
          </w:p>
          <w:p w14:paraId="6BF0001E" w14:textId="3230BF4D" w:rsidR="00B46DE4" w:rsidRDefault="00014368" w:rsidP="00361FEB">
            <w:pPr>
              <w:spacing w:after="0" w:line="240" w:lineRule="auto"/>
              <w:ind w:firstLine="720"/>
              <w:jc w:val="both"/>
              <w:rPr>
                <w:rFonts w:ascii="Times New Roman" w:hAnsi="Times New Roman"/>
                <w:color w:val="000000"/>
                <w:sz w:val="24"/>
                <w:szCs w:val="24"/>
              </w:rPr>
            </w:pPr>
            <w:r w:rsidRPr="000F544A">
              <w:rPr>
                <w:rFonts w:ascii="Times New Roman" w:hAnsi="Times New Roman"/>
                <w:color w:val="000000"/>
                <w:sz w:val="24"/>
                <w:szCs w:val="24"/>
              </w:rPr>
              <w:t>Ņemot vērā minēto</w:t>
            </w:r>
            <w:r w:rsidR="002D0F93" w:rsidRPr="000F544A">
              <w:rPr>
                <w:rFonts w:ascii="Times New Roman" w:hAnsi="Times New Roman"/>
                <w:color w:val="000000"/>
                <w:sz w:val="24"/>
                <w:szCs w:val="24"/>
              </w:rPr>
              <w:t xml:space="preserve"> un izvērtējot</w:t>
            </w:r>
            <w:r w:rsidR="002D0F93">
              <w:rPr>
                <w:rFonts w:ascii="Times New Roman" w:hAnsi="Times New Roman"/>
                <w:color w:val="000000"/>
                <w:sz w:val="24"/>
                <w:szCs w:val="24"/>
              </w:rPr>
              <w:t xml:space="preserve"> sekas, ko tie varētu nodarīt sabiedrībai kopumā un konkrētam indivīdam</w:t>
            </w:r>
            <w:r>
              <w:rPr>
                <w:rFonts w:ascii="Times New Roman" w:hAnsi="Times New Roman"/>
                <w:color w:val="000000"/>
                <w:sz w:val="24"/>
                <w:szCs w:val="24"/>
              </w:rPr>
              <w:t xml:space="preserve">, </w:t>
            </w:r>
            <w:r w:rsidR="00BE2311">
              <w:rPr>
                <w:rFonts w:ascii="Times New Roman" w:hAnsi="Times New Roman"/>
                <w:color w:val="000000"/>
                <w:sz w:val="24"/>
                <w:szCs w:val="24"/>
              </w:rPr>
              <w:t>likumprojekts paredz:</w:t>
            </w:r>
          </w:p>
          <w:p w14:paraId="1327AE63" w14:textId="7C35A5B2" w:rsidR="00BE2311" w:rsidRPr="00BE2311" w:rsidRDefault="00BE2311" w:rsidP="00BE2311">
            <w:pPr>
              <w:pStyle w:val="ListParagraph"/>
              <w:numPr>
                <w:ilvl w:val="0"/>
                <w:numId w:val="3"/>
              </w:numPr>
              <w:spacing w:after="0" w:line="240" w:lineRule="auto"/>
              <w:ind w:left="0" w:firstLine="720"/>
              <w:jc w:val="both"/>
              <w:rPr>
                <w:rFonts w:ascii="Times New Roman" w:hAnsi="Times New Roman"/>
                <w:color w:val="000000"/>
                <w:sz w:val="24"/>
                <w:szCs w:val="24"/>
              </w:rPr>
            </w:pPr>
            <w:r w:rsidRPr="00BE2311">
              <w:rPr>
                <w:rFonts w:ascii="Times New Roman" w:hAnsi="Times New Roman"/>
                <w:color w:val="000000"/>
                <w:sz w:val="24"/>
                <w:szCs w:val="24"/>
              </w:rPr>
              <w:t>Par Eiropas Parlamenta un Padomes Regulas (ES) 2019/1148 (2019. gada 20. jūnijs) par sprāgstvielu prekursoru tirdzniecību un lietošanu, ar ko groza Regulu (EK) Nr. 1907/2006 un atceļ Regulu (ES) Nr. 98/2013, 7.panta 2. un 3.punktā noteiktā informēšanas un instruēšanas pienākuma nepildīšanu piemēro naudas sodu fiziskajai personai līdz simt četrdesmit naudas soda vienībām, bet juridiskajai personai — no četrpadsmit līdz divtūkstoš astoņsimt naudas soda vienībām.”</w:t>
            </w:r>
          </w:p>
          <w:p w14:paraId="6201F1A8" w14:textId="77777777" w:rsidR="009B01BF" w:rsidRDefault="009B01BF" w:rsidP="00AB555B">
            <w:pPr>
              <w:spacing w:after="0" w:line="240" w:lineRule="auto"/>
              <w:ind w:firstLine="720"/>
              <w:jc w:val="both"/>
              <w:rPr>
                <w:rFonts w:ascii="Times New Roman" w:hAnsi="Times New Roman"/>
                <w:color w:val="000000"/>
                <w:sz w:val="24"/>
                <w:szCs w:val="24"/>
              </w:rPr>
            </w:pPr>
          </w:p>
          <w:p w14:paraId="7864BBB0" w14:textId="305B9E3C" w:rsidR="00882AC5" w:rsidRPr="00882AC5" w:rsidRDefault="00882AC5" w:rsidP="00882AC5">
            <w:pPr>
              <w:spacing w:after="0" w:line="240" w:lineRule="auto"/>
              <w:jc w:val="both"/>
              <w:rPr>
                <w:rFonts w:ascii="Times New Roman" w:hAnsi="Times New Roman"/>
                <w:b/>
                <w:color w:val="000000"/>
                <w:sz w:val="24"/>
                <w:szCs w:val="24"/>
              </w:rPr>
            </w:pPr>
            <w:r w:rsidRPr="00882AC5">
              <w:rPr>
                <w:rFonts w:ascii="Times New Roman" w:hAnsi="Times New Roman"/>
                <w:b/>
                <w:color w:val="000000"/>
                <w:sz w:val="24"/>
                <w:szCs w:val="24"/>
              </w:rPr>
              <w:t>Likumprojekta 2.pants</w:t>
            </w:r>
          </w:p>
          <w:p w14:paraId="3A758460" w14:textId="77777777" w:rsidR="00882AC5" w:rsidRPr="00390DD2" w:rsidRDefault="00882AC5" w:rsidP="00882AC5">
            <w:pPr>
              <w:spacing w:after="0" w:line="240" w:lineRule="auto"/>
              <w:ind w:firstLine="720"/>
              <w:jc w:val="both"/>
              <w:rPr>
                <w:rFonts w:ascii="Times New Roman" w:hAnsi="Times New Roman"/>
                <w:color w:val="000000"/>
                <w:sz w:val="24"/>
                <w:szCs w:val="24"/>
              </w:rPr>
            </w:pPr>
            <w:r w:rsidRPr="00D9455E">
              <w:rPr>
                <w:rFonts w:ascii="Times New Roman" w:hAnsi="Times New Roman"/>
                <w:sz w:val="24"/>
                <w:szCs w:val="24"/>
              </w:rPr>
              <w:t xml:space="preserve">Regulas Nr.2019/1148 11.panta 1.punktā ir noteikts, ka katra dalībvalsts nodrošina, ka ir izveidotas kompetentas iestādes, kas pārbauda un kontrolē pareizu Regulas Nr.2019/1148 5. – 9.panta piemērošanu (“valsts </w:t>
            </w:r>
            <w:r w:rsidRPr="00390DD2">
              <w:rPr>
                <w:rFonts w:ascii="Times New Roman" w:hAnsi="Times New Roman"/>
                <w:color w:val="000000"/>
                <w:sz w:val="24"/>
                <w:szCs w:val="24"/>
              </w:rPr>
              <w:t xml:space="preserve">inspekcijas iestādes”). Savukārt </w:t>
            </w:r>
            <w:r w:rsidRPr="00D9455E">
              <w:rPr>
                <w:rFonts w:ascii="Times New Roman" w:hAnsi="Times New Roman"/>
                <w:sz w:val="24"/>
                <w:szCs w:val="24"/>
              </w:rPr>
              <w:t xml:space="preserve">11.panta </w:t>
            </w:r>
            <w:r w:rsidRPr="00390DD2">
              <w:rPr>
                <w:rFonts w:ascii="Times New Roman" w:hAnsi="Times New Roman"/>
                <w:color w:val="000000"/>
                <w:sz w:val="24"/>
                <w:szCs w:val="24"/>
              </w:rPr>
              <w:t xml:space="preserve">2.punktā ir paredzēts, ka katra dalībvalsts nodrošina, ka valsts inspekcijas iestādēm ir līdzekļi un izmeklēšanas pilnvaras, kas vajadzīgas, lai nodrošinātu pienācīgu to uzdevumu pārvaldību saskaņā ar šo regulu. </w:t>
            </w:r>
            <w:r>
              <w:rPr>
                <w:rFonts w:ascii="Times New Roman" w:hAnsi="Times New Roman"/>
                <w:color w:val="000000"/>
                <w:sz w:val="24"/>
                <w:szCs w:val="24"/>
              </w:rPr>
              <w:t xml:space="preserve">  </w:t>
            </w:r>
          </w:p>
          <w:p w14:paraId="4964277F" w14:textId="77777777" w:rsidR="00882AC5" w:rsidRPr="00526B45" w:rsidRDefault="00882AC5" w:rsidP="00882AC5">
            <w:pPr>
              <w:spacing w:after="0" w:line="240" w:lineRule="auto"/>
              <w:ind w:firstLine="720"/>
              <w:jc w:val="both"/>
              <w:rPr>
                <w:rFonts w:ascii="Times New Roman" w:hAnsi="Times New Roman"/>
                <w:color w:val="000000"/>
                <w:sz w:val="24"/>
                <w:szCs w:val="24"/>
              </w:rPr>
            </w:pPr>
            <w:r w:rsidRPr="00390DD2">
              <w:rPr>
                <w:rFonts w:ascii="Times New Roman" w:hAnsi="Times New Roman"/>
                <w:color w:val="000000"/>
                <w:sz w:val="24"/>
                <w:szCs w:val="24"/>
              </w:rPr>
              <w:t xml:space="preserve">Regulas Nr.2019/1148 5., 6. un 8.pants skar darbības ar ierobežotajiem sprāgstvielu prekursoriem. </w:t>
            </w:r>
            <w:r>
              <w:rPr>
                <w:rFonts w:ascii="Times New Roman" w:hAnsi="Times New Roman"/>
                <w:color w:val="000000"/>
                <w:sz w:val="24"/>
                <w:szCs w:val="24"/>
              </w:rPr>
              <w:t>Kā jau tika minēts</w:t>
            </w:r>
            <w:r w:rsidRPr="00390DD2">
              <w:rPr>
                <w:rFonts w:ascii="Times New Roman" w:hAnsi="Times New Roman"/>
                <w:color w:val="000000"/>
                <w:sz w:val="24"/>
                <w:szCs w:val="24"/>
              </w:rPr>
              <w:t xml:space="preserve"> Latvijas Republikā netika izveidots licencēšanas mehānisms, saskaņā ar kuru ierobežotus sprāgstvielu prekursorus varētu darīt </w:t>
            </w:r>
            <w:r w:rsidRPr="00390DD2">
              <w:rPr>
                <w:rFonts w:ascii="Times New Roman" w:hAnsi="Times New Roman"/>
                <w:color w:val="000000"/>
                <w:sz w:val="24"/>
                <w:szCs w:val="24"/>
              </w:rPr>
              <w:lastRenderedPageBreak/>
              <w:t>pieejamus plašas sabiedrības locekļiem, jebkāda rīcība ar tiem ir aizliegta. Līdz ar to m</w:t>
            </w:r>
            <w:r>
              <w:rPr>
                <w:rFonts w:ascii="Times New Roman" w:hAnsi="Times New Roman"/>
                <w:color w:val="000000"/>
                <w:sz w:val="24"/>
                <w:szCs w:val="24"/>
              </w:rPr>
              <w:t>inētais Regulas Nr.2019/1148 5. un 6.</w:t>
            </w:r>
            <w:r w:rsidRPr="00390DD2">
              <w:rPr>
                <w:rFonts w:ascii="Times New Roman" w:hAnsi="Times New Roman"/>
                <w:color w:val="000000"/>
                <w:sz w:val="24"/>
                <w:szCs w:val="24"/>
              </w:rPr>
              <w:t>panta re</w:t>
            </w:r>
            <w:r>
              <w:rPr>
                <w:rFonts w:ascii="Times New Roman" w:hAnsi="Times New Roman"/>
                <w:color w:val="000000"/>
                <w:sz w:val="24"/>
                <w:szCs w:val="24"/>
              </w:rPr>
              <w:t xml:space="preserve">gulējums par licencēm neattiecas uz Latviju un </w:t>
            </w:r>
            <w:r w:rsidRPr="00390DD2">
              <w:rPr>
                <w:rFonts w:ascii="Times New Roman" w:hAnsi="Times New Roman"/>
                <w:color w:val="000000"/>
                <w:sz w:val="24"/>
                <w:szCs w:val="24"/>
              </w:rPr>
              <w:t>Regulā Nr.2019/1148 noteiktajām “valsts inspekcijas iestādēm” ir kompetence</w:t>
            </w:r>
            <w:r>
              <w:rPr>
                <w:rFonts w:ascii="Times New Roman" w:hAnsi="Times New Roman"/>
                <w:color w:val="000000"/>
                <w:sz w:val="24"/>
                <w:szCs w:val="24"/>
              </w:rPr>
              <w:t xml:space="preserve"> tikai</w:t>
            </w:r>
            <w:r w:rsidRPr="00390DD2">
              <w:rPr>
                <w:rFonts w:ascii="Times New Roman" w:hAnsi="Times New Roman"/>
                <w:color w:val="000000"/>
                <w:sz w:val="24"/>
                <w:szCs w:val="24"/>
              </w:rPr>
              <w:t xml:space="preserve"> par Regulas Nr.2019/1148 7.pantā noteikto informēšanu piegādes ķēdēs, kā arī par 9.pantā noteikto ziņošanu </w:t>
            </w:r>
            <w:r w:rsidRPr="00526B45">
              <w:rPr>
                <w:rFonts w:ascii="Times New Roman" w:hAnsi="Times New Roman"/>
                <w:color w:val="000000"/>
                <w:sz w:val="24"/>
                <w:szCs w:val="24"/>
              </w:rPr>
              <w:t xml:space="preserve">attiecīgajam kontaktpunktam.  </w:t>
            </w:r>
          </w:p>
          <w:p w14:paraId="224C1E10" w14:textId="77777777" w:rsidR="00882AC5" w:rsidRPr="00526B45" w:rsidRDefault="00882AC5" w:rsidP="00882AC5">
            <w:pPr>
              <w:spacing w:after="0" w:line="240" w:lineRule="auto"/>
              <w:ind w:firstLine="720"/>
              <w:jc w:val="both"/>
              <w:rPr>
                <w:rFonts w:ascii="Times New Roman" w:hAnsi="Times New Roman"/>
                <w:color w:val="000000"/>
                <w:sz w:val="24"/>
                <w:szCs w:val="24"/>
              </w:rPr>
            </w:pPr>
            <w:r w:rsidRPr="00526B45">
              <w:rPr>
                <w:rFonts w:ascii="Times New Roman" w:hAnsi="Times New Roman"/>
                <w:color w:val="000000"/>
                <w:sz w:val="24"/>
                <w:szCs w:val="24"/>
              </w:rPr>
              <w:t>Ņemot vērā, ka Regulā Nr.2019/1148 noteiktā inspekcijas funkcija ietver sevī tiesības izmeklēt</w:t>
            </w:r>
            <w:r>
              <w:rPr>
                <w:rFonts w:ascii="Times New Roman" w:hAnsi="Times New Roman"/>
                <w:color w:val="000000"/>
                <w:sz w:val="24"/>
                <w:szCs w:val="24"/>
              </w:rPr>
              <w:t>, no kurām izriet tiesības</w:t>
            </w:r>
            <w:r w:rsidRPr="00526B45">
              <w:rPr>
                <w:rFonts w:ascii="Times New Roman" w:hAnsi="Times New Roman"/>
                <w:color w:val="000000"/>
                <w:sz w:val="24"/>
                <w:szCs w:val="24"/>
              </w:rPr>
              <w:t xml:space="preserve"> nepieciešamības gadījumā arī sodīt, Valsts policija ir uzskatāma par valsts inspekcijas iestādi Regulas Nr.2019/1148 11.panta izpratnē. Vienlaikus norādāms, ka Valsts drošības dienests, pildot </w:t>
            </w:r>
            <w:r w:rsidRPr="00526B45">
              <w:rPr>
                <w:rFonts w:ascii="Times New Roman" w:hAnsi="Times New Roman"/>
                <w:sz w:val="24"/>
                <w:szCs w:val="24"/>
              </w:rPr>
              <w:t>kontaktpunkta</w:t>
            </w:r>
            <w:r>
              <w:rPr>
                <w:rFonts w:ascii="Times New Roman" w:hAnsi="Times New Roman"/>
                <w:sz w:val="24"/>
                <w:szCs w:val="24"/>
              </w:rPr>
              <w:t xml:space="preserve"> funkciju</w:t>
            </w:r>
            <w:r w:rsidRPr="00526B45">
              <w:rPr>
                <w:rFonts w:ascii="Times New Roman" w:hAnsi="Times New Roman"/>
                <w:sz w:val="24"/>
                <w:szCs w:val="24"/>
              </w:rPr>
              <w:t>, kam ziņo par aizdomīgiem darījumiem ar sprāgstvielu prekursoriem un to pazušanas vai zādzības gadījumiem</w:t>
            </w:r>
            <w:r w:rsidRPr="00526B45">
              <w:rPr>
                <w:rFonts w:ascii="Times New Roman" w:hAnsi="Times New Roman"/>
                <w:color w:val="000000"/>
                <w:sz w:val="24"/>
                <w:szCs w:val="24"/>
              </w:rPr>
              <w:t xml:space="preserve">, analizē ar paziņotajiem gadījumiem saistītos riskus un nepieciešamības gadījumā sniedz atbilstošo informāciju Valsts policijai </w:t>
            </w:r>
            <w:r>
              <w:rPr>
                <w:rFonts w:ascii="Times New Roman" w:hAnsi="Times New Roman"/>
                <w:color w:val="000000"/>
                <w:sz w:val="24"/>
                <w:szCs w:val="24"/>
              </w:rPr>
              <w:t>tās</w:t>
            </w:r>
            <w:r w:rsidRPr="00526B45">
              <w:rPr>
                <w:rFonts w:ascii="Times New Roman" w:hAnsi="Times New Roman"/>
                <w:color w:val="000000"/>
                <w:sz w:val="24"/>
                <w:szCs w:val="24"/>
              </w:rPr>
              <w:t xml:space="preserve"> funkciju izpildei.</w:t>
            </w:r>
          </w:p>
          <w:p w14:paraId="4B814D0B" w14:textId="1ACA5DCD" w:rsidR="00882AC5" w:rsidRDefault="00882AC5" w:rsidP="00AB555B">
            <w:pPr>
              <w:spacing w:after="0" w:line="240" w:lineRule="auto"/>
              <w:ind w:firstLine="720"/>
              <w:jc w:val="both"/>
              <w:rPr>
                <w:rFonts w:ascii="Times New Roman" w:hAnsi="Times New Roman"/>
                <w:color w:val="000000"/>
                <w:sz w:val="24"/>
                <w:szCs w:val="24"/>
              </w:rPr>
            </w:pPr>
          </w:p>
          <w:p w14:paraId="7EFA4832" w14:textId="2FBB2CE4" w:rsidR="00700C75" w:rsidRPr="00700C75" w:rsidRDefault="00700C75" w:rsidP="00700C75">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Vēršama uzmanība, ka </w:t>
            </w:r>
            <w:r w:rsidR="00A15B71">
              <w:rPr>
                <w:rFonts w:ascii="Times New Roman" w:hAnsi="Times New Roman"/>
                <w:color w:val="000000"/>
                <w:sz w:val="24"/>
                <w:szCs w:val="24"/>
              </w:rPr>
              <w:t xml:space="preserve">Regulas Nr.2019/1148 </w:t>
            </w:r>
            <w:r w:rsidRPr="00700C75">
              <w:rPr>
                <w:rFonts w:ascii="Times New Roman" w:hAnsi="Times New Roman"/>
                <w:color w:val="000000"/>
                <w:sz w:val="24"/>
                <w:szCs w:val="24"/>
              </w:rPr>
              <w:t xml:space="preserve">ir tieši piemērojamas, un to pārrakstīšana nacionālajos tiesību aktos ir aizliegta. </w:t>
            </w:r>
            <w:r>
              <w:rPr>
                <w:rFonts w:ascii="Times New Roman" w:hAnsi="Times New Roman"/>
                <w:color w:val="000000"/>
                <w:sz w:val="24"/>
                <w:szCs w:val="24"/>
              </w:rPr>
              <w:t>Līdz ar to likumprojekta 1.</w:t>
            </w:r>
            <w:r w:rsidRPr="00700C75">
              <w:rPr>
                <w:rFonts w:ascii="Times New Roman" w:hAnsi="Times New Roman"/>
                <w:color w:val="000000"/>
                <w:sz w:val="24"/>
                <w:szCs w:val="24"/>
                <w:vertAlign w:val="superscript"/>
              </w:rPr>
              <w:t>1</w:t>
            </w:r>
            <w:r>
              <w:rPr>
                <w:rFonts w:ascii="Times New Roman" w:hAnsi="Times New Roman"/>
                <w:color w:val="000000"/>
                <w:sz w:val="24"/>
                <w:szCs w:val="24"/>
              </w:rPr>
              <w:t xml:space="preserve"> pants un 1.</w:t>
            </w:r>
            <w:r w:rsidRPr="00700C75">
              <w:rPr>
                <w:rFonts w:ascii="Times New Roman" w:hAnsi="Times New Roman"/>
                <w:color w:val="000000"/>
                <w:sz w:val="24"/>
                <w:szCs w:val="24"/>
                <w:vertAlign w:val="superscript"/>
              </w:rPr>
              <w:t>2</w:t>
            </w:r>
            <w:r>
              <w:rPr>
                <w:rFonts w:ascii="Times New Roman" w:hAnsi="Times New Roman"/>
                <w:color w:val="000000"/>
                <w:sz w:val="24"/>
                <w:szCs w:val="24"/>
              </w:rPr>
              <w:t xml:space="preserve"> pants</w:t>
            </w:r>
            <w:r w:rsidRPr="00700C75">
              <w:rPr>
                <w:rFonts w:ascii="Times New Roman" w:hAnsi="Times New Roman"/>
                <w:color w:val="000000"/>
                <w:sz w:val="24"/>
                <w:szCs w:val="24"/>
              </w:rPr>
              <w:t xml:space="preserve"> paredz atbildību par “</w:t>
            </w:r>
            <w:r w:rsidR="00A15B71" w:rsidRPr="00A15B71">
              <w:rPr>
                <w:rFonts w:ascii="Times New Roman" w:hAnsi="Times New Roman"/>
                <w:i/>
                <w:color w:val="000000"/>
                <w:sz w:val="24"/>
                <w:szCs w:val="24"/>
              </w:rPr>
              <w:t>Regulas Nr.2019/1148</w:t>
            </w:r>
            <w:r w:rsidR="00A15B71">
              <w:rPr>
                <w:rFonts w:ascii="Times New Roman" w:hAnsi="Times New Roman"/>
                <w:color w:val="000000"/>
                <w:sz w:val="24"/>
                <w:szCs w:val="24"/>
              </w:rPr>
              <w:t xml:space="preserve"> </w:t>
            </w:r>
            <w:r w:rsidRPr="00A15B71">
              <w:rPr>
                <w:rFonts w:ascii="Times New Roman" w:hAnsi="Times New Roman"/>
                <w:i/>
                <w:color w:val="000000"/>
                <w:sz w:val="24"/>
                <w:szCs w:val="24"/>
              </w:rPr>
              <w:t>5.panta 1.punktā noteiktā ierobežojuma pārkāpšanu</w:t>
            </w:r>
            <w:r w:rsidRPr="00700C75">
              <w:rPr>
                <w:rFonts w:ascii="Times New Roman" w:hAnsi="Times New Roman"/>
                <w:color w:val="000000"/>
                <w:sz w:val="24"/>
                <w:szCs w:val="24"/>
              </w:rPr>
              <w:t>” un par “</w:t>
            </w:r>
            <w:r w:rsidR="00A15B71" w:rsidRPr="00A15B71">
              <w:rPr>
                <w:rFonts w:ascii="Times New Roman" w:hAnsi="Times New Roman"/>
                <w:i/>
                <w:color w:val="000000"/>
                <w:sz w:val="24"/>
                <w:szCs w:val="24"/>
              </w:rPr>
              <w:t>Regulas Nr.2019/1148</w:t>
            </w:r>
            <w:r w:rsidR="00A15B71">
              <w:rPr>
                <w:rFonts w:ascii="Times New Roman" w:hAnsi="Times New Roman"/>
                <w:color w:val="000000"/>
                <w:sz w:val="24"/>
                <w:szCs w:val="24"/>
              </w:rPr>
              <w:t xml:space="preserve"> </w:t>
            </w:r>
            <w:r w:rsidRPr="00A15B71">
              <w:rPr>
                <w:rFonts w:ascii="Times New Roman" w:hAnsi="Times New Roman"/>
                <w:i/>
                <w:color w:val="000000"/>
                <w:sz w:val="24"/>
                <w:szCs w:val="24"/>
              </w:rPr>
              <w:t>7.panta 2. un 3.punktā noteiktā informēšanas un instruēšanas pienākuma nepildīšanu</w:t>
            </w:r>
            <w:r w:rsidRPr="00700C75">
              <w:rPr>
                <w:rFonts w:ascii="Times New Roman" w:hAnsi="Times New Roman"/>
                <w:color w:val="000000"/>
                <w:sz w:val="24"/>
                <w:szCs w:val="24"/>
              </w:rPr>
              <w:t>”.</w:t>
            </w:r>
            <w:r w:rsidR="00A15B71">
              <w:rPr>
                <w:rFonts w:ascii="Times New Roman" w:hAnsi="Times New Roman"/>
                <w:color w:val="000000"/>
                <w:sz w:val="24"/>
                <w:szCs w:val="24"/>
              </w:rPr>
              <w:t xml:space="preserve"> </w:t>
            </w:r>
          </w:p>
          <w:p w14:paraId="6457A2D7" w14:textId="77777777" w:rsidR="00A15B71" w:rsidRDefault="00A15B71" w:rsidP="00A15B71">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Regulas Nr.2019/1148 5.panta 1.punkts nosaka, ka i</w:t>
            </w:r>
            <w:r w:rsidRPr="00A15B71">
              <w:rPr>
                <w:rFonts w:ascii="Times New Roman" w:hAnsi="Times New Roman"/>
                <w:color w:val="000000"/>
                <w:sz w:val="24"/>
                <w:szCs w:val="24"/>
              </w:rPr>
              <w:t>erobežotus sprāgstvielu prekursorus nedara pieejamus plašas sabiedrības locekļiem, plašas sabiedrības locekļi tos neieved, netur īpašumā un nelieto.</w:t>
            </w:r>
            <w:r>
              <w:rPr>
                <w:rFonts w:ascii="Times New Roman" w:hAnsi="Times New Roman"/>
                <w:color w:val="000000"/>
                <w:sz w:val="24"/>
                <w:szCs w:val="24"/>
              </w:rPr>
              <w:t xml:space="preserve"> </w:t>
            </w:r>
          </w:p>
          <w:p w14:paraId="78847063" w14:textId="0E2CB63B" w:rsidR="00A15B71" w:rsidRDefault="00A15B71" w:rsidP="00A15B71">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Savukārt Regulas Nr.2019/1148 7.panta 2.punkts nosaka, ka e</w:t>
            </w:r>
            <w:r w:rsidRPr="00A15B71">
              <w:rPr>
                <w:rFonts w:ascii="Times New Roman" w:hAnsi="Times New Roman"/>
                <w:color w:val="000000"/>
                <w:sz w:val="24"/>
                <w:szCs w:val="24"/>
              </w:rPr>
              <w:t xml:space="preserve">konomikas dalībnieks, kas reglamentētos sprāgstvielu prekursorus dara pieejamus profesionālam lietotājam vai plašas sabiedrības loceklim, nodrošina un spēj uzskatāmi parādīt, ka tā personāls, kas ir iesaistīts reglamentēto sprāgstvielu prekursoru tirdzniecībā, ir informēts, kuri no produktiem ko tas dara pieejamus, satur reglamentētus sprāgstvielu prekursorus un instruēts </w:t>
            </w:r>
            <w:r>
              <w:rPr>
                <w:rFonts w:ascii="Times New Roman" w:hAnsi="Times New Roman"/>
                <w:color w:val="000000"/>
                <w:sz w:val="24"/>
                <w:szCs w:val="24"/>
              </w:rPr>
              <w:t xml:space="preserve">par </w:t>
            </w:r>
            <w:r w:rsidRPr="00A15B71">
              <w:rPr>
                <w:rFonts w:ascii="Times New Roman" w:hAnsi="Times New Roman"/>
                <w:color w:val="000000"/>
                <w:sz w:val="24"/>
                <w:szCs w:val="24"/>
              </w:rPr>
              <w:t xml:space="preserve"> noteiktajiem pienākumiem.</w:t>
            </w:r>
            <w:r>
              <w:rPr>
                <w:rFonts w:ascii="Times New Roman" w:hAnsi="Times New Roman"/>
                <w:color w:val="000000"/>
                <w:sz w:val="24"/>
                <w:szCs w:val="24"/>
              </w:rPr>
              <w:t xml:space="preserve"> </w:t>
            </w:r>
            <w:r w:rsidRPr="00A15B71">
              <w:rPr>
                <w:rFonts w:ascii="Times New Roman" w:hAnsi="Times New Roman"/>
                <w:color w:val="000000"/>
                <w:sz w:val="24"/>
                <w:szCs w:val="24"/>
              </w:rPr>
              <w:t>Savukārt tiešsaistes tirdzniecības vieta veic pasākumus, lai nodrošinātu, ka tās lietotāji, ja tie dara pieejamus reglamentētos sprāgstvielu prekursorus, izmantojot tās pakalpojumus, ir informēti par Regulā saviem pienākumiem.</w:t>
            </w:r>
          </w:p>
          <w:p w14:paraId="607D3BFD" w14:textId="51D00E51" w:rsidR="00700C75" w:rsidRDefault="0043694B" w:rsidP="0043694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Ņemot vērā minēto, p</w:t>
            </w:r>
            <w:r w:rsidR="00700C75" w:rsidRPr="00700C75">
              <w:rPr>
                <w:rFonts w:ascii="Times New Roman" w:hAnsi="Times New Roman"/>
                <w:color w:val="000000"/>
                <w:sz w:val="24"/>
                <w:szCs w:val="24"/>
              </w:rPr>
              <w:t>ārkāpuma pazīmes likumprojektā ir norādītas pie</w:t>
            </w:r>
            <w:r>
              <w:rPr>
                <w:rFonts w:ascii="Times New Roman" w:hAnsi="Times New Roman"/>
                <w:color w:val="000000"/>
                <w:sz w:val="24"/>
                <w:szCs w:val="24"/>
              </w:rPr>
              <w:t xml:space="preserve">tiekoši skaidri un detalizēti </w:t>
            </w:r>
            <w:r w:rsidR="00700C75" w:rsidRPr="00700C75">
              <w:rPr>
                <w:rFonts w:ascii="Times New Roman" w:hAnsi="Times New Roman"/>
                <w:color w:val="000000"/>
                <w:sz w:val="24"/>
                <w:szCs w:val="24"/>
              </w:rPr>
              <w:t>un ir nepārprotami skaidrs kā</w:t>
            </w:r>
            <w:r w:rsidR="009D768F">
              <w:rPr>
                <w:rFonts w:ascii="Times New Roman" w:hAnsi="Times New Roman"/>
                <w:color w:val="000000"/>
                <w:sz w:val="24"/>
                <w:szCs w:val="24"/>
              </w:rPr>
              <w:t xml:space="preserve"> tie</w:t>
            </w:r>
            <w:r w:rsidR="00700C75" w:rsidRPr="00700C75">
              <w:rPr>
                <w:rFonts w:ascii="Times New Roman" w:hAnsi="Times New Roman"/>
                <w:color w:val="000000"/>
                <w:sz w:val="24"/>
                <w:szCs w:val="24"/>
              </w:rPr>
              <w:t xml:space="preserve"> izpaužas</w:t>
            </w:r>
            <w:r w:rsidR="009D768F">
              <w:rPr>
                <w:rFonts w:ascii="Times New Roman" w:hAnsi="Times New Roman"/>
                <w:color w:val="000000"/>
                <w:sz w:val="24"/>
                <w:szCs w:val="24"/>
              </w:rPr>
              <w:t>.</w:t>
            </w:r>
            <w:r w:rsidR="00700C75" w:rsidRPr="00700C75">
              <w:rPr>
                <w:rFonts w:ascii="Times New Roman" w:hAnsi="Times New Roman"/>
                <w:color w:val="000000"/>
                <w:sz w:val="24"/>
                <w:szCs w:val="24"/>
              </w:rPr>
              <w:t>.</w:t>
            </w:r>
          </w:p>
          <w:p w14:paraId="5C8B84E4" w14:textId="6ACB3DC9" w:rsidR="00700C75" w:rsidRDefault="00700C75" w:rsidP="00700C75">
            <w:pPr>
              <w:spacing w:after="0" w:line="240" w:lineRule="auto"/>
              <w:ind w:firstLine="720"/>
              <w:jc w:val="both"/>
              <w:rPr>
                <w:rFonts w:ascii="Times New Roman" w:hAnsi="Times New Roman"/>
                <w:color w:val="000000"/>
                <w:sz w:val="24"/>
                <w:szCs w:val="24"/>
              </w:rPr>
            </w:pPr>
          </w:p>
          <w:p w14:paraId="5C1BEB77" w14:textId="731ED5B7" w:rsidR="00E510C3" w:rsidRPr="00E510C3" w:rsidRDefault="00E510C3" w:rsidP="00E510C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L</w:t>
            </w:r>
            <w:r w:rsidR="00414BD0">
              <w:rPr>
                <w:rFonts w:ascii="Times New Roman" w:hAnsi="Times New Roman"/>
                <w:color w:val="000000"/>
                <w:sz w:val="24"/>
                <w:szCs w:val="24"/>
              </w:rPr>
              <w:t xml:space="preserve">ikumprojektā ietvertā </w:t>
            </w:r>
            <w:r>
              <w:rPr>
                <w:rFonts w:ascii="Times New Roman" w:hAnsi="Times New Roman"/>
                <w:color w:val="000000"/>
                <w:sz w:val="24"/>
                <w:szCs w:val="24"/>
              </w:rPr>
              <w:t>attiecīgā administratīvā pārkāpuma</w:t>
            </w:r>
            <w:r w:rsidRPr="00E510C3">
              <w:rPr>
                <w:rFonts w:ascii="Times New Roman" w:hAnsi="Times New Roman"/>
                <w:color w:val="000000"/>
                <w:sz w:val="24"/>
                <w:szCs w:val="24"/>
              </w:rPr>
              <w:t xml:space="preserve"> saglabāšana (</w:t>
            </w:r>
            <w:r w:rsidR="0060753E">
              <w:rPr>
                <w:rFonts w:ascii="Times New Roman" w:hAnsi="Times New Roman"/>
                <w:color w:val="000000"/>
                <w:sz w:val="24"/>
                <w:szCs w:val="24"/>
              </w:rPr>
              <w:t xml:space="preserve">likumprojekta </w:t>
            </w:r>
            <w:r w:rsidRPr="00E510C3">
              <w:rPr>
                <w:rFonts w:ascii="Times New Roman" w:hAnsi="Times New Roman"/>
                <w:color w:val="000000"/>
                <w:sz w:val="24"/>
                <w:szCs w:val="24"/>
              </w:rPr>
              <w:t>13.</w:t>
            </w:r>
            <w:r w:rsidRPr="0060753E">
              <w:rPr>
                <w:rFonts w:ascii="Times New Roman" w:hAnsi="Times New Roman"/>
                <w:color w:val="000000"/>
                <w:sz w:val="24"/>
                <w:szCs w:val="24"/>
                <w:vertAlign w:val="superscript"/>
              </w:rPr>
              <w:t>1</w:t>
            </w:r>
            <w:r w:rsidR="009D768F">
              <w:rPr>
                <w:rFonts w:ascii="Times New Roman" w:hAnsi="Times New Roman"/>
                <w:color w:val="000000"/>
                <w:sz w:val="24"/>
                <w:szCs w:val="24"/>
              </w:rPr>
              <w:t>.</w:t>
            </w:r>
            <w:r w:rsidRPr="00E510C3">
              <w:rPr>
                <w:rFonts w:ascii="Times New Roman" w:hAnsi="Times New Roman"/>
                <w:color w:val="000000"/>
                <w:sz w:val="24"/>
                <w:szCs w:val="24"/>
              </w:rPr>
              <w:t xml:space="preserve"> pant</w:t>
            </w:r>
            <w:r w:rsidR="009D768F">
              <w:rPr>
                <w:rFonts w:ascii="Times New Roman" w:hAnsi="Times New Roman"/>
                <w:color w:val="000000"/>
                <w:sz w:val="24"/>
                <w:szCs w:val="24"/>
              </w:rPr>
              <w:t>a</w:t>
            </w:r>
            <w:r w:rsidRPr="00E510C3">
              <w:rPr>
                <w:rFonts w:ascii="Times New Roman" w:hAnsi="Times New Roman"/>
                <w:color w:val="000000"/>
                <w:sz w:val="24"/>
                <w:szCs w:val="24"/>
              </w:rPr>
              <w:t xml:space="preserve"> gadījumā</w:t>
            </w:r>
            <w:r w:rsidR="0060753E">
              <w:rPr>
                <w:rFonts w:ascii="Times New Roman" w:hAnsi="Times New Roman"/>
                <w:color w:val="000000"/>
                <w:sz w:val="24"/>
                <w:szCs w:val="24"/>
              </w:rPr>
              <w:t xml:space="preserve">, saglabājot </w:t>
            </w:r>
            <w:r w:rsidR="0060753E" w:rsidRPr="0022182B">
              <w:rPr>
                <w:rFonts w:ascii="Times New Roman" w:hAnsi="Times New Roman"/>
                <w:sz w:val="24"/>
                <w:szCs w:val="24"/>
              </w:rPr>
              <w:t xml:space="preserve">Latvijas </w:t>
            </w:r>
            <w:r w:rsidR="0060753E">
              <w:rPr>
                <w:rFonts w:ascii="Times New Roman" w:hAnsi="Times New Roman"/>
                <w:sz w:val="24"/>
                <w:szCs w:val="24"/>
              </w:rPr>
              <w:t>Administratīvo pārkāpumu kodeksa</w:t>
            </w:r>
            <w:r w:rsidR="0060753E" w:rsidRPr="0022182B">
              <w:rPr>
                <w:rFonts w:ascii="Times New Roman" w:hAnsi="Times New Roman"/>
                <w:sz w:val="24"/>
                <w:szCs w:val="24"/>
              </w:rPr>
              <w:t xml:space="preserve"> (turpmāk – LAPK)</w:t>
            </w:r>
            <w:r w:rsidR="0060753E">
              <w:rPr>
                <w:rFonts w:ascii="Times New Roman" w:hAnsi="Times New Roman"/>
                <w:color w:val="000000"/>
                <w:sz w:val="24"/>
                <w:szCs w:val="24"/>
              </w:rPr>
              <w:t xml:space="preserve"> 167.</w:t>
            </w:r>
            <w:r w:rsidR="0060753E" w:rsidRPr="0060753E">
              <w:rPr>
                <w:rFonts w:ascii="Times New Roman" w:hAnsi="Times New Roman"/>
                <w:color w:val="000000"/>
                <w:sz w:val="24"/>
                <w:szCs w:val="24"/>
                <w:vertAlign w:val="superscript"/>
              </w:rPr>
              <w:t>3</w:t>
            </w:r>
            <w:r w:rsidR="0060753E">
              <w:rPr>
                <w:rFonts w:ascii="Times New Roman" w:hAnsi="Times New Roman"/>
                <w:color w:val="000000"/>
                <w:sz w:val="24"/>
                <w:szCs w:val="24"/>
              </w:rPr>
              <w:t xml:space="preserve"> pantā paredzēto atbildību par administratīvo pārkāpumu</w:t>
            </w:r>
            <w:r w:rsidRPr="00E510C3">
              <w:rPr>
                <w:rFonts w:ascii="Times New Roman" w:hAnsi="Times New Roman"/>
                <w:color w:val="000000"/>
                <w:sz w:val="24"/>
                <w:szCs w:val="24"/>
              </w:rPr>
              <w:t>) un jauna administratīvā pārkāpuma ieviešana (</w:t>
            </w:r>
            <w:r w:rsidR="0060753E">
              <w:rPr>
                <w:rFonts w:ascii="Times New Roman" w:hAnsi="Times New Roman"/>
                <w:color w:val="000000"/>
                <w:sz w:val="24"/>
                <w:szCs w:val="24"/>
              </w:rPr>
              <w:t xml:space="preserve">likumprojekta </w:t>
            </w:r>
            <w:r w:rsidRPr="00E510C3">
              <w:rPr>
                <w:rFonts w:ascii="Times New Roman" w:hAnsi="Times New Roman"/>
                <w:color w:val="000000"/>
                <w:sz w:val="24"/>
                <w:szCs w:val="24"/>
              </w:rPr>
              <w:t>13.</w:t>
            </w:r>
            <w:r w:rsidRPr="0060753E">
              <w:rPr>
                <w:rFonts w:ascii="Times New Roman" w:hAnsi="Times New Roman"/>
                <w:color w:val="000000"/>
                <w:sz w:val="24"/>
                <w:szCs w:val="24"/>
                <w:vertAlign w:val="superscript"/>
              </w:rPr>
              <w:t>2</w:t>
            </w:r>
            <w:r w:rsidR="009D768F">
              <w:rPr>
                <w:rFonts w:ascii="Times New Roman" w:hAnsi="Times New Roman"/>
                <w:color w:val="000000"/>
                <w:sz w:val="24"/>
                <w:szCs w:val="24"/>
              </w:rPr>
              <w:t>.</w:t>
            </w:r>
            <w:r w:rsidRPr="00E510C3">
              <w:rPr>
                <w:rFonts w:ascii="Times New Roman" w:hAnsi="Times New Roman"/>
                <w:color w:val="000000"/>
                <w:sz w:val="24"/>
                <w:szCs w:val="24"/>
              </w:rPr>
              <w:t xml:space="preserve"> pant</w:t>
            </w:r>
            <w:r w:rsidR="009D768F">
              <w:rPr>
                <w:rFonts w:ascii="Times New Roman" w:hAnsi="Times New Roman"/>
                <w:color w:val="000000"/>
                <w:sz w:val="24"/>
                <w:szCs w:val="24"/>
              </w:rPr>
              <w:t>a</w:t>
            </w:r>
            <w:r w:rsidRPr="00E510C3">
              <w:rPr>
                <w:rFonts w:ascii="Times New Roman" w:hAnsi="Times New Roman"/>
                <w:color w:val="000000"/>
                <w:sz w:val="24"/>
                <w:szCs w:val="24"/>
              </w:rPr>
              <w:t xml:space="preserve"> gadījumā</w:t>
            </w:r>
            <w:r w:rsidR="0060753E">
              <w:rPr>
                <w:rFonts w:ascii="Times New Roman" w:hAnsi="Times New Roman"/>
                <w:color w:val="000000"/>
                <w:sz w:val="24"/>
                <w:szCs w:val="24"/>
              </w:rPr>
              <w:t xml:space="preserve">, paredzot </w:t>
            </w:r>
            <w:r w:rsidR="0060753E">
              <w:rPr>
                <w:rFonts w:ascii="Times New Roman" w:hAnsi="Times New Roman"/>
                <w:color w:val="000000"/>
                <w:sz w:val="24"/>
                <w:szCs w:val="24"/>
              </w:rPr>
              <w:lastRenderedPageBreak/>
              <w:t>atbildību par jaunu administratīvo pārkāpumu atbilstoši Regulas Nr.2019/1148 tiesību normām</w:t>
            </w:r>
            <w:r w:rsidRPr="00E510C3">
              <w:rPr>
                <w:rFonts w:ascii="Times New Roman" w:hAnsi="Times New Roman"/>
                <w:color w:val="000000"/>
                <w:sz w:val="24"/>
                <w:szCs w:val="24"/>
              </w:rPr>
              <w:t>)</w:t>
            </w:r>
            <w:r w:rsidR="00414BD0">
              <w:rPr>
                <w:rFonts w:ascii="Times New Roman" w:hAnsi="Times New Roman"/>
                <w:color w:val="000000"/>
                <w:sz w:val="24"/>
                <w:szCs w:val="24"/>
              </w:rPr>
              <w:t xml:space="preserve"> </w:t>
            </w:r>
            <w:r w:rsidR="00414BD0" w:rsidRPr="00E510C3">
              <w:rPr>
                <w:rFonts w:ascii="Times New Roman" w:hAnsi="Times New Roman"/>
                <w:color w:val="000000"/>
                <w:sz w:val="24"/>
                <w:szCs w:val="24"/>
              </w:rPr>
              <w:t>administratīvo pārkāpumu sistēmā</w:t>
            </w:r>
            <w:r w:rsidR="00414BD0">
              <w:rPr>
                <w:rFonts w:ascii="Times New Roman" w:hAnsi="Times New Roman"/>
                <w:color w:val="000000"/>
                <w:sz w:val="24"/>
                <w:szCs w:val="24"/>
              </w:rPr>
              <w:t xml:space="preserve">, kā arī minēto </w:t>
            </w:r>
            <w:r w:rsidR="00414BD0" w:rsidRPr="00E510C3">
              <w:rPr>
                <w:rFonts w:ascii="Times New Roman" w:hAnsi="Times New Roman"/>
                <w:color w:val="000000"/>
                <w:sz w:val="24"/>
                <w:szCs w:val="24"/>
              </w:rPr>
              <w:t>ad</w:t>
            </w:r>
            <w:r w:rsidR="00414BD0">
              <w:rPr>
                <w:rFonts w:ascii="Times New Roman" w:hAnsi="Times New Roman"/>
                <w:color w:val="000000"/>
                <w:sz w:val="24"/>
                <w:szCs w:val="24"/>
              </w:rPr>
              <w:t>ministratīvo pārkāpumu sastāvs ir izvērtēts</w:t>
            </w:r>
            <w:r w:rsidRPr="00E510C3">
              <w:rPr>
                <w:rFonts w:ascii="Times New Roman" w:hAnsi="Times New Roman"/>
                <w:color w:val="000000"/>
                <w:sz w:val="24"/>
                <w:szCs w:val="24"/>
              </w:rPr>
              <w:t xml:space="preserve">, ņemot vērā nodarījumu </w:t>
            </w:r>
            <w:r>
              <w:rPr>
                <w:rFonts w:ascii="Times New Roman" w:hAnsi="Times New Roman"/>
                <w:color w:val="000000"/>
                <w:sz w:val="24"/>
                <w:szCs w:val="24"/>
              </w:rPr>
              <w:t xml:space="preserve">pārkāpumu būtību, </w:t>
            </w:r>
            <w:r w:rsidRPr="00E510C3">
              <w:rPr>
                <w:rFonts w:ascii="Times New Roman" w:hAnsi="Times New Roman"/>
                <w:color w:val="000000"/>
                <w:sz w:val="24"/>
                <w:szCs w:val="24"/>
              </w:rPr>
              <w:t xml:space="preserve">bīstamību, sekas, aktualitāti un </w:t>
            </w:r>
            <w:proofErr w:type="spellStart"/>
            <w:r w:rsidRPr="00E510C3">
              <w:rPr>
                <w:rFonts w:ascii="Times New Roman" w:hAnsi="Times New Roman"/>
                <w:color w:val="000000"/>
                <w:sz w:val="24"/>
                <w:szCs w:val="24"/>
              </w:rPr>
              <w:t>attiecināmību</w:t>
            </w:r>
            <w:proofErr w:type="spellEnd"/>
            <w:r w:rsidRPr="00E510C3">
              <w:rPr>
                <w:rFonts w:ascii="Times New Roman" w:hAnsi="Times New Roman"/>
                <w:color w:val="000000"/>
                <w:sz w:val="24"/>
                <w:szCs w:val="24"/>
              </w:rPr>
              <w:t xml:space="preserve"> uz publiski tiesiskajām attiecībām, kā arī sabiedrisko kaitīgumu. Ir ņemta vērā līdzšinēja kompetento iestāžu prakse administratīvo sodu piemērošanā</w:t>
            </w:r>
            <w:r>
              <w:rPr>
                <w:rFonts w:ascii="Times New Roman" w:hAnsi="Times New Roman"/>
                <w:color w:val="000000"/>
                <w:sz w:val="24"/>
                <w:szCs w:val="24"/>
              </w:rPr>
              <w:t xml:space="preserve"> </w:t>
            </w:r>
            <w:r w:rsidRPr="00E510C3">
              <w:rPr>
                <w:rFonts w:ascii="Times New Roman" w:hAnsi="Times New Roman"/>
                <w:color w:val="000000"/>
                <w:sz w:val="24"/>
                <w:szCs w:val="24"/>
              </w:rPr>
              <w:t>gan paredzot administratīvo pārkāpumu sastāvus, gan nosakot sankciju minimālās un maksimālās robežas.</w:t>
            </w:r>
          </w:p>
          <w:p w14:paraId="120E36FE" w14:textId="396DF0FF" w:rsidR="00E510C3" w:rsidRDefault="00E510C3" w:rsidP="00E510C3">
            <w:pPr>
              <w:spacing w:after="0" w:line="240" w:lineRule="auto"/>
              <w:ind w:firstLine="720"/>
              <w:jc w:val="both"/>
              <w:rPr>
                <w:rFonts w:ascii="Times New Roman" w:hAnsi="Times New Roman"/>
                <w:color w:val="000000"/>
                <w:sz w:val="24"/>
                <w:szCs w:val="24"/>
              </w:rPr>
            </w:pPr>
            <w:r w:rsidRPr="00E510C3">
              <w:rPr>
                <w:rFonts w:ascii="Times New Roman" w:hAnsi="Times New Roman"/>
                <w:color w:val="000000"/>
                <w:sz w:val="24"/>
                <w:szCs w:val="24"/>
              </w:rPr>
              <w:t>Patlaban nav indikāciju, kas ļautu uzskatīt, ka sodi būtu nesamērīgi vai b</w:t>
            </w:r>
            <w:r w:rsidR="00D964E9">
              <w:rPr>
                <w:rFonts w:ascii="Times New Roman" w:hAnsi="Times New Roman"/>
                <w:color w:val="000000"/>
                <w:sz w:val="24"/>
                <w:szCs w:val="24"/>
              </w:rPr>
              <w:t xml:space="preserve">ūtu nepieciešams tos pārskatīt. </w:t>
            </w:r>
            <w:r w:rsidRPr="00E510C3">
              <w:rPr>
                <w:rFonts w:ascii="Times New Roman" w:hAnsi="Times New Roman"/>
                <w:color w:val="000000"/>
                <w:sz w:val="24"/>
                <w:szCs w:val="24"/>
              </w:rPr>
              <w:t>Paredzētās sankcijas ir ar pietiekamu preventīvu raksturu, lai atturētu personas no attiecīgajām prettiesiskajām darbībām.</w:t>
            </w:r>
          </w:p>
          <w:p w14:paraId="49C341AD" w14:textId="0E785622" w:rsidR="00045EF5" w:rsidRDefault="00045EF5" w:rsidP="00E510C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Turklāt, veicot Regulas Nr.2019/1148 prasību izvērtēšanu sadarbībā ar Valsts drošības dienestu, tika konstatēts, ka administratīvās atbildības noteikšana par Regulā Nr.2019/1148 paredzēto pārkāpumu būs pietiekoši efektīvs, iedarbīgs un atturošs risinājums, kas pilnībā atbilstu gan Regulas Nr.2019/1148 prasībām, gan nacionālajai tiesību aktu sistēmai.</w:t>
            </w:r>
          </w:p>
          <w:p w14:paraId="040315C7" w14:textId="77777777" w:rsidR="00E510C3" w:rsidRDefault="00E510C3" w:rsidP="00E510C3">
            <w:pPr>
              <w:spacing w:after="0" w:line="240" w:lineRule="auto"/>
              <w:ind w:firstLine="720"/>
              <w:jc w:val="both"/>
              <w:rPr>
                <w:rFonts w:ascii="Times New Roman" w:hAnsi="Times New Roman"/>
                <w:color w:val="000000"/>
                <w:sz w:val="24"/>
                <w:szCs w:val="24"/>
              </w:rPr>
            </w:pPr>
          </w:p>
          <w:p w14:paraId="59D6D8A7" w14:textId="68D71842" w:rsidR="009F1864" w:rsidRDefault="005C26BF" w:rsidP="00AB555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Vienlaikus vēršama uzmanība, ka </w:t>
            </w:r>
            <w:r w:rsidR="007C53F9">
              <w:rPr>
                <w:rFonts w:ascii="Times New Roman" w:hAnsi="Times New Roman"/>
                <w:color w:val="000000"/>
                <w:sz w:val="24"/>
                <w:szCs w:val="24"/>
              </w:rPr>
              <w:t xml:space="preserve">Regulas Nr.2019/1148 </w:t>
            </w:r>
            <w:r w:rsidR="009F1864">
              <w:rPr>
                <w:rFonts w:ascii="Times New Roman" w:hAnsi="Times New Roman"/>
                <w:color w:val="000000"/>
                <w:sz w:val="24"/>
                <w:szCs w:val="24"/>
              </w:rPr>
              <w:t>8.pant</w:t>
            </w:r>
            <w:r w:rsidR="007C53F9">
              <w:rPr>
                <w:rFonts w:ascii="Times New Roman" w:hAnsi="Times New Roman"/>
                <w:color w:val="000000"/>
                <w:sz w:val="24"/>
                <w:szCs w:val="24"/>
              </w:rPr>
              <w:t>a 2. un 3.punkts</w:t>
            </w:r>
            <w:r w:rsidR="009F1864">
              <w:rPr>
                <w:rFonts w:ascii="Times New Roman" w:hAnsi="Times New Roman"/>
                <w:color w:val="000000"/>
                <w:sz w:val="24"/>
                <w:szCs w:val="24"/>
              </w:rPr>
              <w:t xml:space="preserve"> uzliek ekonomikas dalībniekam par</w:t>
            </w:r>
            <w:r w:rsidR="007C53F9">
              <w:rPr>
                <w:rFonts w:ascii="Times New Roman" w:hAnsi="Times New Roman"/>
                <w:color w:val="000000"/>
                <w:sz w:val="24"/>
                <w:szCs w:val="24"/>
              </w:rPr>
              <w:t xml:space="preserve"> pienākumu </w:t>
            </w:r>
            <w:r w:rsidR="007C53F9" w:rsidRPr="007C53F9">
              <w:rPr>
                <w:rFonts w:ascii="Times New Roman" w:hAnsi="Times New Roman"/>
                <w:color w:val="000000"/>
                <w:sz w:val="24"/>
                <w:szCs w:val="24"/>
              </w:rPr>
              <w:t>attiecībā uz katru darījumu</w:t>
            </w:r>
            <w:r w:rsidR="007C53F9">
              <w:rPr>
                <w:rFonts w:ascii="Times New Roman" w:hAnsi="Times New Roman"/>
                <w:color w:val="000000"/>
                <w:sz w:val="24"/>
                <w:szCs w:val="24"/>
              </w:rPr>
              <w:t xml:space="preserve"> </w:t>
            </w:r>
            <w:r w:rsidR="007C53F9" w:rsidRPr="007C53F9">
              <w:rPr>
                <w:rFonts w:ascii="Times New Roman" w:hAnsi="Times New Roman"/>
                <w:color w:val="000000"/>
                <w:sz w:val="24"/>
                <w:szCs w:val="24"/>
              </w:rPr>
              <w:t>pārbaudīt vai iespējamais klients ir profesionāls lietotājs vai cits ekonomikas dalībnieks</w:t>
            </w:r>
            <w:r w:rsidR="007C53F9">
              <w:rPr>
                <w:rFonts w:ascii="Times New Roman" w:hAnsi="Times New Roman"/>
                <w:color w:val="000000"/>
                <w:sz w:val="24"/>
                <w:szCs w:val="24"/>
              </w:rPr>
              <w:t>, kā arī pārbaudīt i</w:t>
            </w:r>
            <w:r w:rsidR="007C53F9" w:rsidRPr="007C53F9">
              <w:rPr>
                <w:rFonts w:ascii="Times New Roman" w:hAnsi="Times New Roman"/>
                <w:color w:val="000000"/>
                <w:sz w:val="24"/>
                <w:szCs w:val="24"/>
              </w:rPr>
              <w:t>erobežotā sprāgstvielu prekursora paredzēto lietojumu</w:t>
            </w:r>
            <w:r w:rsidR="007C53F9">
              <w:rPr>
                <w:rFonts w:ascii="Times New Roman" w:hAnsi="Times New Roman"/>
                <w:color w:val="000000"/>
                <w:sz w:val="24"/>
                <w:szCs w:val="24"/>
              </w:rPr>
              <w:t xml:space="preserve">, pieprasot noteikto informācijas apjomu. </w:t>
            </w:r>
          </w:p>
          <w:p w14:paraId="6A69356F" w14:textId="2F4339C3" w:rsidR="009F1864" w:rsidRDefault="007C53F9" w:rsidP="00AB555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Regulas Nr.2019/1148 </w:t>
            </w:r>
            <w:r w:rsidR="009F1864">
              <w:rPr>
                <w:rFonts w:ascii="Times New Roman" w:hAnsi="Times New Roman"/>
                <w:color w:val="000000"/>
                <w:sz w:val="24"/>
                <w:szCs w:val="24"/>
              </w:rPr>
              <w:t>8.pants 4.punkts</w:t>
            </w:r>
            <w:r w:rsidR="004862E9">
              <w:rPr>
                <w:rFonts w:ascii="Times New Roman" w:hAnsi="Times New Roman"/>
                <w:color w:val="000000"/>
                <w:sz w:val="24"/>
                <w:szCs w:val="24"/>
              </w:rPr>
              <w:t xml:space="preserve"> savukārt</w:t>
            </w:r>
            <w:r w:rsidR="009F1864">
              <w:rPr>
                <w:rFonts w:ascii="Times New Roman" w:hAnsi="Times New Roman"/>
                <w:color w:val="000000"/>
                <w:sz w:val="24"/>
                <w:szCs w:val="24"/>
              </w:rPr>
              <w:t xml:space="preserve"> </w:t>
            </w:r>
            <w:r>
              <w:rPr>
                <w:rFonts w:ascii="Times New Roman" w:hAnsi="Times New Roman"/>
                <w:color w:val="000000"/>
                <w:sz w:val="24"/>
                <w:szCs w:val="24"/>
              </w:rPr>
              <w:t xml:space="preserve">nosaka, ka </w:t>
            </w:r>
            <w:r w:rsidRPr="007C53F9">
              <w:rPr>
                <w:rFonts w:ascii="Times New Roman" w:hAnsi="Times New Roman"/>
                <w:color w:val="000000"/>
                <w:sz w:val="24"/>
                <w:szCs w:val="24"/>
              </w:rPr>
              <w:t>minēto informāciju glabā 18</w:t>
            </w:r>
            <w:r w:rsidR="0091703B">
              <w:rPr>
                <w:rFonts w:ascii="Times New Roman" w:hAnsi="Times New Roman"/>
                <w:color w:val="000000"/>
                <w:sz w:val="24"/>
                <w:szCs w:val="24"/>
              </w:rPr>
              <w:t xml:space="preserve"> (astoņpadsmit)</w:t>
            </w:r>
            <w:r w:rsidRPr="007C53F9">
              <w:rPr>
                <w:rFonts w:ascii="Times New Roman" w:hAnsi="Times New Roman"/>
                <w:color w:val="000000"/>
                <w:sz w:val="24"/>
                <w:szCs w:val="24"/>
              </w:rPr>
              <w:t xml:space="preserve"> mēnešus no darījuma norises dienas</w:t>
            </w:r>
            <w:r w:rsidR="005C26BF">
              <w:rPr>
                <w:rFonts w:ascii="Times New Roman" w:hAnsi="Times New Roman"/>
                <w:color w:val="000000"/>
                <w:sz w:val="24"/>
                <w:szCs w:val="24"/>
              </w:rPr>
              <w:t xml:space="preserve"> un </w:t>
            </w:r>
            <w:r w:rsidRPr="007C53F9">
              <w:rPr>
                <w:rFonts w:ascii="Times New Roman" w:hAnsi="Times New Roman"/>
                <w:color w:val="000000"/>
                <w:sz w:val="24"/>
                <w:szCs w:val="24"/>
              </w:rPr>
              <w:t>dara</w:t>
            </w:r>
            <w:r w:rsidR="005C26BF">
              <w:rPr>
                <w:rFonts w:ascii="Times New Roman" w:hAnsi="Times New Roman"/>
                <w:color w:val="000000"/>
                <w:sz w:val="24"/>
                <w:szCs w:val="24"/>
              </w:rPr>
              <w:t xml:space="preserve"> to</w:t>
            </w:r>
            <w:r w:rsidRPr="007C53F9">
              <w:rPr>
                <w:rFonts w:ascii="Times New Roman" w:hAnsi="Times New Roman"/>
                <w:color w:val="000000"/>
                <w:sz w:val="24"/>
                <w:szCs w:val="24"/>
              </w:rPr>
              <w:t xml:space="preserve"> pieejamu pārbaudei pēc valsts inspekcijas iestāžu vai tiesībaizsardzības iestāžu lūguma.</w:t>
            </w:r>
          </w:p>
          <w:p w14:paraId="6607C52A" w14:textId="6B33BC81" w:rsidR="001526DE" w:rsidRDefault="001526DE" w:rsidP="00AB555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Turpat Regulas Nr.2019/1148 9.pants paredz </w:t>
            </w:r>
            <w:r w:rsidRPr="001526DE">
              <w:rPr>
                <w:rFonts w:ascii="Times New Roman" w:hAnsi="Times New Roman"/>
                <w:color w:val="000000"/>
                <w:sz w:val="24"/>
                <w:szCs w:val="24"/>
              </w:rPr>
              <w:t>ekonomikas dalībnieki</w:t>
            </w:r>
            <w:r>
              <w:rPr>
                <w:rFonts w:ascii="Times New Roman" w:hAnsi="Times New Roman"/>
                <w:color w:val="000000"/>
                <w:sz w:val="24"/>
                <w:szCs w:val="24"/>
              </w:rPr>
              <w:t>em</w:t>
            </w:r>
            <w:r w:rsidRPr="001526DE">
              <w:rPr>
                <w:rFonts w:ascii="Times New Roman" w:hAnsi="Times New Roman"/>
                <w:color w:val="000000"/>
                <w:sz w:val="24"/>
                <w:szCs w:val="24"/>
              </w:rPr>
              <w:t xml:space="preserve"> un</w:t>
            </w:r>
            <w:r>
              <w:rPr>
                <w:rFonts w:ascii="Times New Roman" w:hAnsi="Times New Roman"/>
                <w:color w:val="000000"/>
                <w:sz w:val="24"/>
                <w:szCs w:val="24"/>
              </w:rPr>
              <w:t xml:space="preserve"> tiešsaistes tirdzniecības vietām pienākumu</w:t>
            </w:r>
            <w:r w:rsidRPr="001526DE">
              <w:rPr>
                <w:rFonts w:ascii="Times New Roman" w:hAnsi="Times New Roman"/>
                <w:color w:val="000000"/>
                <w:sz w:val="24"/>
                <w:szCs w:val="24"/>
              </w:rPr>
              <w:t xml:space="preserve"> ziņo</w:t>
            </w:r>
            <w:r>
              <w:rPr>
                <w:rFonts w:ascii="Times New Roman" w:hAnsi="Times New Roman"/>
                <w:color w:val="000000"/>
                <w:sz w:val="24"/>
                <w:szCs w:val="24"/>
              </w:rPr>
              <w:t>t</w:t>
            </w:r>
            <w:r w:rsidRPr="001526DE">
              <w:rPr>
                <w:rFonts w:ascii="Times New Roman" w:hAnsi="Times New Roman"/>
                <w:color w:val="000000"/>
                <w:sz w:val="24"/>
                <w:szCs w:val="24"/>
              </w:rPr>
              <w:t xml:space="preserve"> par aizdomīgiem darījumiem</w:t>
            </w:r>
            <w:r>
              <w:rPr>
                <w:rFonts w:ascii="Times New Roman" w:hAnsi="Times New Roman"/>
                <w:color w:val="000000"/>
                <w:sz w:val="24"/>
                <w:szCs w:val="24"/>
              </w:rPr>
              <w:t xml:space="preserve"> ar sprāgstvielu prekursoriem</w:t>
            </w:r>
            <w:r w:rsidRPr="001526DE">
              <w:rPr>
                <w:rFonts w:ascii="Times New Roman" w:hAnsi="Times New Roman"/>
                <w:color w:val="000000"/>
                <w:sz w:val="24"/>
                <w:szCs w:val="24"/>
              </w:rPr>
              <w:t xml:space="preserve">, </w:t>
            </w:r>
            <w:r>
              <w:rPr>
                <w:rFonts w:ascii="Times New Roman" w:hAnsi="Times New Roman"/>
                <w:color w:val="000000"/>
                <w:sz w:val="24"/>
                <w:szCs w:val="24"/>
              </w:rPr>
              <w:t xml:space="preserve">kā arī </w:t>
            </w:r>
            <w:r w:rsidR="00F76EB7" w:rsidRPr="001526DE">
              <w:rPr>
                <w:rFonts w:ascii="Times New Roman" w:hAnsi="Times New Roman"/>
                <w:color w:val="000000"/>
                <w:sz w:val="24"/>
                <w:szCs w:val="24"/>
              </w:rPr>
              <w:t>ekonomikas dalībnieki</w:t>
            </w:r>
            <w:r w:rsidR="00F76EB7">
              <w:rPr>
                <w:rFonts w:ascii="Times New Roman" w:hAnsi="Times New Roman"/>
                <w:color w:val="000000"/>
                <w:sz w:val="24"/>
                <w:szCs w:val="24"/>
              </w:rPr>
              <w:t>em</w:t>
            </w:r>
            <w:r w:rsidR="00F76EB7" w:rsidRPr="001526DE">
              <w:rPr>
                <w:rFonts w:ascii="Times New Roman" w:hAnsi="Times New Roman"/>
                <w:color w:val="000000"/>
                <w:sz w:val="24"/>
                <w:szCs w:val="24"/>
              </w:rPr>
              <w:t xml:space="preserve"> </w:t>
            </w:r>
            <w:r w:rsidR="00F76EB7">
              <w:rPr>
                <w:rFonts w:ascii="Times New Roman" w:hAnsi="Times New Roman"/>
                <w:color w:val="000000"/>
                <w:sz w:val="24"/>
                <w:szCs w:val="24"/>
              </w:rPr>
              <w:t xml:space="preserve">un profesionāliem lietotājiem ziņot </w:t>
            </w:r>
            <w:r>
              <w:rPr>
                <w:rFonts w:ascii="Times New Roman" w:hAnsi="Times New Roman"/>
                <w:color w:val="000000"/>
                <w:sz w:val="24"/>
                <w:szCs w:val="24"/>
              </w:rPr>
              <w:t xml:space="preserve">par sprāgstvielu prekursoru </w:t>
            </w:r>
            <w:r w:rsidRPr="001526DE">
              <w:rPr>
                <w:rFonts w:ascii="Times New Roman" w:hAnsi="Times New Roman"/>
                <w:color w:val="000000"/>
                <w:sz w:val="24"/>
                <w:szCs w:val="24"/>
              </w:rPr>
              <w:t>pazušanas gadījumiem un zādzībām</w:t>
            </w:r>
            <w:r>
              <w:rPr>
                <w:rFonts w:ascii="Times New Roman" w:hAnsi="Times New Roman"/>
                <w:color w:val="000000"/>
                <w:sz w:val="24"/>
                <w:szCs w:val="24"/>
              </w:rPr>
              <w:t>.</w:t>
            </w:r>
            <w:r w:rsidR="00473BDC">
              <w:rPr>
                <w:rFonts w:ascii="Times New Roman" w:hAnsi="Times New Roman"/>
                <w:color w:val="000000"/>
                <w:sz w:val="24"/>
                <w:szCs w:val="24"/>
              </w:rPr>
              <w:t xml:space="preserve"> </w:t>
            </w:r>
          </w:p>
          <w:p w14:paraId="3AD3911B" w14:textId="1EC74134" w:rsidR="00473BDC" w:rsidRDefault="00473BDC" w:rsidP="00AB555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Līdz ar to</w:t>
            </w:r>
            <w:r w:rsidRPr="00473BDC">
              <w:rPr>
                <w:rFonts w:ascii="Times New Roman" w:hAnsi="Times New Roman"/>
                <w:color w:val="000000"/>
                <w:sz w:val="24"/>
                <w:szCs w:val="24"/>
              </w:rPr>
              <w:t xml:space="preserve"> informēšanas pienākums vākt, glabāt un pēc pieprasījuma sniegt informāciju kompetentajām iestādēm ir noteikts Regu</w:t>
            </w:r>
            <w:r>
              <w:rPr>
                <w:rFonts w:ascii="Times New Roman" w:hAnsi="Times New Roman"/>
                <w:color w:val="000000"/>
                <w:sz w:val="24"/>
                <w:szCs w:val="24"/>
              </w:rPr>
              <w:t>las 8.panta 4.punktā un 9.pantā, k</w:t>
            </w:r>
            <w:r w:rsidRPr="00473BDC">
              <w:rPr>
                <w:rFonts w:ascii="Times New Roman" w:hAnsi="Times New Roman"/>
                <w:color w:val="000000"/>
                <w:sz w:val="24"/>
                <w:szCs w:val="24"/>
              </w:rPr>
              <w:t xml:space="preserve">as </w:t>
            </w:r>
            <w:r>
              <w:rPr>
                <w:rFonts w:ascii="Times New Roman" w:hAnsi="Times New Roman"/>
                <w:color w:val="000000"/>
                <w:sz w:val="24"/>
                <w:szCs w:val="24"/>
              </w:rPr>
              <w:t>ir tieši piemērojama</w:t>
            </w:r>
            <w:r w:rsidRPr="00473BDC">
              <w:rPr>
                <w:rFonts w:ascii="Times New Roman" w:hAnsi="Times New Roman"/>
                <w:color w:val="000000"/>
                <w:sz w:val="24"/>
                <w:szCs w:val="24"/>
              </w:rPr>
              <w:t>.</w:t>
            </w:r>
            <w:r>
              <w:rPr>
                <w:rFonts w:ascii="Times New Roman" w:hAnsi="Times New Roman"/>
                <w:color w:val="000000"/>
                <w:sz w:val="24"/>
                <w:szCs w:val="24"/>
              </w:rPr>
              <w:t xml:space="preserve"> </w:t>
            </w:r>
          </w:p>
          <w:p w14:paraId="2EE30808" w14:textId="3F433372" w:rsidR="00642259" w:rsidRDefault="005C26BF" w:rsidP="00AB555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Vēršam uzmanību, ka administratīvā atbildība par </w:t>
            </w:r>
            <w:r w:rsidR="001526DE">
              <w:rPr>
                <w:rFonts w:ascii="Times New Roman" w:hAnsi="Times New Roman"/>
                <w:color w:val="000000"/>
                <w:sz w:val="24"/>
                <w:szCs w:val="24"/>
              </w:rPr>
              <w:t>minēto pienākumu nepildīšanu</w:t>
            </w:r>
            <w:r>
              <w:rPr>
                <w:rFonts w:ascii="Times New Roman" w:hAnsi="Times New Roman"/>
                <w:color w:val="000000"/>
                <w:sz w:val="24"/>
                <w:szCs w:val="24"/>
              </w:rPr>
              <w:t xml:space="preserve"> ir paredzēta</w:t>
            </w:r>
            <w:r w:rsidRPr="009F1864">
              <w:rPr>
                <w:rFonts w:ascii="Times New Roman" w:hAnsi="Times New Roman"/>
                <w:color w:val="000000"/>
                <w:sz w:val="24"/>
                <w:szCs w:val="24"/>
              </w:rPr>
              <w:t xml:space="preserve"> </w:t>
            </w:r>
            <w:r w:rsidR="009F1864" w:rsidRPr="009F1864">
              <w:rPr>
                <w:rFonts w:ascii="Times New Roman" w:hAnsi="Times New Roman"/>
                <w:color w:val="000000"/>
                <w:sz w:val="24"/>
                <w:szCs w:val="24"/>
              </w:rPr>
              <w:t>Administratīvo sodu likum</w:t>
            </w:r>
            <w:r>
              <w:rPr>
                <w:rFonts w:ascii="Times New Roman" w:hAnsi="Times New Roman"/>
                <w:color w:val="000000"/>
                <w:sz w:val="24"/>
                <w:szCs w:val="24"/>
              </w:rPr>
              <w:t>a</w:t>
            </w:r>
            <w:r w:rsidR="009F1864" w:rsidRPr="009F1864">
              <w:rPr>
                <w:rFonts w:ascii="Times New Roman" w:hAnsi="Times New Roman"/>
                <w:color w:val="000000"/>
                <w:sz w:val="24"/>
                <w:szCs w:val="24"/>
              </w:rPr>
              <w:t xml:space="preserve"> par pārkāpumiem pārvaldes, sabiedriskās kārtības un valsts valodas lietošanas jomā</w:t>
            </w:r>
            <w:r>
              <w:rPr>
                <w:rFonts w:ascii="Times New Roman" w:hAnsi="Times New Roman"/>
                <w:color w:val="000000"/>
                <w:sz w:val="24"/>
                <w:szCs w:val="24"/>
              </w:rPr>
              <w:t xml:space="preserve"> 3.panta pirmajā daļā. </w:t>
            </w:r>
          </w:p>
          <w:p w14:paraId="101978A7" w14:textId="064DFE0B" w:rsidR="0022182B" w:rsidRPr="0022182B" w:rsidRDefault="0022182B" w:rsidP="00AB555B">
            <w:pPr>
              <w:spacing w:after="0" w:line="240" w:lineRule="auto"/>
              <w:ind w:firstLine="720"/>
              <w:jc w:val="both"/>
              <w:rPr>
                <w:rFonts w:ascii="Times New Roman" w:hAnsi="Times New Roman"/>
                <w:color w:val="000000"/>
                <w:sz w:val="24"/>
                <w:szCs w:val="24"/>
              </w:rPr>
            </w:pPr>
          </w:p>
          <w:p w14:paraId="76103F8E" w14:textId="6F63EA20" w:rsidR="0022182B" w:rsidRPr="0022182B" w:rsidRDefault="0022182B" w:rsidP="0022182B">
            <w:pPr>
              <w:spacing w:after="0" w:line="240" w:lineRule="auto"/>
              <w:ind w:firstLine="720"/>
              <w:jc w:val="both"/>
              <w:rPr>
                <w:rFonts w:ascii="Times New Roman" w:hAnsi="Times New Roman"/>
                <w:color w:val="000000"/>
                <w:sz w:val="24"/>
                <w:szCs w:val="24"/>
              </w:rPr>
            </w:pPr>
            <w:r w:rsidRPr="0022182B">
              <w:rPr>
                <w:rFonts w:ascii="Times New Roman" w:hAnsi="Times New Roman"/>
                <w:sz w:val="24"/>
                <w:szCs w:val="24"/>
              </w:rPr>
              <w:t>Attiecībā uz LAPK</w:t>
            </w:r>
            <w:r>
              <w:rPr>
                <w:rFonts w:ascii="Times New Roman" w:hAnsi="Times New Roman"/>
                <w:sz w:val="24"/>
                <w:szCs w:val="24"/>
              </w:rPr>
              <w:t xml:space="preserve">, kas bija spēkā līdz </w:t>
            </w:r>
            <w:r w:rsidRPr="0022182B">
              <w:rPr>
                <w:rFonts w:ascii="Times New Roman" w:hAnsi="Times New Roman"/>
                <w:sz w:val="24"/>
                <w:szCs w:val="24"/>
              </w:rPr>
              <w:t xml:space="preserve">2020. gada 1. jūlijam </w:t>
            </w:r>
            <w:r>
              <w:rPr>
                <w:rFonts w:ascii="Times New Roman" w:hAnsi="Times New Roman"/>
                <w:sz w:val="24"/>
                <w:szCs w:val="24"/>
              </w:rPr>
              <w:t>un</w:t>
            </w:r>
            <w:r w:rsidRPr="0022182B">
              <w:rPr>
                <w:rFonts w:ascii="Times New Roman" w:hAnsi="Times New Roman"/>
                <w:sz w:val="24"/>
                <w:szCs w:val="24"/>
              </w:rPr>
              <w:t xml:space="preserve"> tostarp noteica administratīvo atbildību par sprāgstvielu un spridzināšanas ietaišu pārkāpumiem (piemēram, LAPK 183. pants)</w:t>
            </w:r>
            <w:r w:rsidRPr="0022182B">
              <w:rPr>
                <w:rFonts w:ascii="Times New Roman" w:hAnsi="Times New Roman"/>
                <w:color w:val="000000"/>
                <w:sz w:val="24"/>
                <w:szCs w:val="24"/>
              </w:rPr>
              <w:t xml:space="preserve"> ir atzīmējams, ka ar sprāgstvielām konkrētā panta piemērošanā saprot Eiropas Parlamenta un Padomes Direktīvas 2014/28/ES (2014. gada 26. februāris) par dalībvalstu </w:t>
            </w:r>
            <w:r w:rsidRPr="0022182B">
              <w:rPr>
                <w:rFonts w:ascii="Times New Roman" w:hAnsi="Times New Roman"/>
                <w:color w:val="000000"/>
                <w:sz w:val="24"/>
                <w:szCs w:val="24"/>
              </w:rPr>
              <w:lastRenderedPageBreak/>
              <w:t>tiesību aktu saskaņošanu attiecībā uz civilām vajadzībām paredzēto sprāgstvielu pieejamību tirgū un pārraudzību 2.panta 1.punktā noteiktās vielas. Proti, materiālus un izstrādājumus, kurus par sprāgstvielām uzskata Apvienoto Nāciju Organizācijas rekomendācijās par bīstamo kravu pārvadāšanu un kuri ietilpst minēto rekomendāciju 1. klasē.</w:t>
            </w:r>
          </w:p>
          <w:p w14:paraId="68631AE7" w14:textId="4B29119B" w:rsidR="0022182B" w:rsidRPr="0022182B" w:rsidRDefault="005C6225" w:rsidP="0022182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Ņ</w:t>
            </w:r>
            <w:r w:rsidR="0022182B" w:rsidRPr="0022182B">
              <w:rPr>
                <w:rFonts w:ascii="Times New Roman" w:hAnsi="Times New Roman"/>
                <w:color w:val="000000"/>
                <w:sz w:val="24"/>
                <w:szCs w:val="24"/>
              </w:rPr>
              <w:t xml:space="preserve">emot vērā Apvienoto Nāciju Organizācijas rekomendācijās par bīstamo kravu pārvadāšanu (sk. Rekomendāciju 2.1.sadaļu un Sprāgstvielu klasifikatoru) minēto, neviens no Regulā (ES) 2019/1148 noteiktajiem sprāgstvielu prekursoriem (vielām) neietilpst minēto Rekomendāciju 1.klasē, kas būtībā norāda uz to, ka sprāgstvielu prekursori nevar tikt uzskatīti par civilajām vajadzībām paredzētājām sprāgstvielām, līdz ar ko arī nacionālais regulējums, kas reglamentē šo jomu, neattiecas uz sprāgstvielu prekursoriem. </w:t>
            </w:r>
          </w:p>
          <w:p w14:paraId="3D0BF48C" w14:textId="4FD6BBE9" w:rsidR="0022182B" w:rsidRPr="0022182B" w:rsidRDefault="0022182B" w:rsidP="0022182B">
            <w:pPr>
              <w:spacing w:after="0" w:line="240" w:lineRule="auto"/>
              <w:ind w:firstLine="720"/>
              <w:jc w:val="both"/>
              <w:rPr>
                <w:rFonts w:ascii="Times New Roman" w:hAnsi="Times New Roman"/>
                <w:color w:val="000000"/>
                <w:sz w:val="24"/>
                <w:szCs w:val="24"/>
              </w:rPr>
            </w:pPr>
            <w:r w:rsidRPr="0022182B">
              <w:rPr>
                <w:rFonts w:ascii="Times New Roman" w:hAnsi="Times New Roman"/>
                <w:color w:val="000000"/>
                <w:sz w:val="24"/>
                <w:szCs w:val="24"/>
              </w:rPr>
              <w:t>Turklāt Tieslietu ministrijas izveidotās Latvijas Administratīvo pārkāpumu kodeksa pastāvīgā darba grupā tika pieņemts konceptuāls lēmums nepiemērot sodu administratīvo pārkāpumu procesā par civilām vajadzībām paredzētu sprāgstvielu komerciālās aprites noteikumu pārkāpšanu (LAPK 183.pants), paredzot iespēju atbildīgajām iestādēm noteikt ierobežojumus (anulēt/apturēt licenci) Administratīvā procesa likuma ietvaros.</w:t>
            </w:r>
          </w:p>
          <w:p w14:paraId="0EB17687" w14:textId="77777777" w:rsidR="0022182B" w:rsidRPr="0022182B" w:rsidRDefault="0022182B" w:rsidP="0022182B">
            <w:pPr>
              <w:spacing w:after="0" w:line="240" w:lineRule="auto"/>
              <w:ind w:firstLine="720"/>
              <w:jc w:val="both"/>
              <w:rPr>
                <w:rFonts w:ascii="Times New Roman" w:hAnsi="Times New Roman"/>
                <w:color w:val="000000"/>
                <w:sz w:val="24"/>
                <w:szCs w:val="24"/>
              </w:rPr>
            </w:pPr>
            <w:r w:rsidRPr="0022182B">
              <w:rPr>
                <w:rFonts w:ascii="Times New Roman" w:hAnsi="Times New Roman"/>
                <w:color w:val="000000"/>
                <w:sz w:val="24"/>
                <w:szCs w:val="24"/>
              </w:rPr>
              <w:t>Līdz ar to regulējums, kas izriet no LAPK 183.panta attiecībā uz civilām vajadzībām paredzētu sprāgstvielu komerciālās aprites noteikumu pārkāpšanu vairs nepastāv.</w:t>
            </w:r>
          </w:p>
          <w:p w14:paraId="0850050A" w14:textId="77777777" w:rsidR="001526DE" w:rsidRDefault="001526DE" w:rsidP="0022182B">
            <w:pPr>
              <w:spacing w:after="0" w:line="240" w:lineRule="auto"/>
              <w:ind w:firstLine="720"/>
              <w:jc w:val="both"/>
              <w:rPr>
                <w:rFonts w:ascii="Times New Roman" w:hAnsi="Times New Roman"/>
                <w:color w:val="000000"/>
                <w:sz w:val="24"/>
                <w:szCs w:val="24"/>
              </w:rPr>
            </w:pPr>
          </w:p>
          <w:p w14:paraId="0D191AB4" w14:textId="7BF3BD98" w:rsidR="0022182B" w:rsidRPr="0022182B" w:rsidRDefault="0022182B" w:rsidP="0022182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Savukārt </w:t>
            </w:r>
            <w:r w:rsidRPr="0022182B">
              <w:rPr>
                <w:rFonts w:ascii="Times New Roman" w:hAnsi="Times New Roman"/>
                <w:color w:val="000000"/>
                <w:sz w:val="24"/>
                <w:szCs w:val="24"/>
              </w:rPr>
              <w:t xml:space="preserve">Krimināllikuma 233., 236., 237. un 346.panti paredz atbildību par sprāgstvielu neatbilstošu glabāšanu, nēsāšanu, pārvadāšanu, izmantošanu, uzskaiti un pārsūtīšanu. </w:t>
            </w:r>
            <w:r w:rsidR="005C6225">
              <w:rPr>
                <w:rFonts w:ascii="Times New Roman" w:hAnsi="Times New Roman"/>
                <w:color w:val="000000"/>
                <w:sz w:val="24"/>
                <w:szCs w:val="24"/>
              </w:rPr>
              <w:t>A</w:t>
            </w:r>
            <w:r w:rsidRPr="0022182B">
              <w:rPr>
                <w:rFonts w:ascii="Times New Roman" w:hAnsi="Times New Roman"/>
                <w:color w:val="000000"/>
                <w:sz w:val="24"/>
                <w:szCs w:val="24"/>
              </w:rPr>
              <w:t>r sprāgstvielām konkrēto pantu piemērošanā saprot Eiropas Parlamenta un Padomes Direktīvas 2014/28/ES (2014. gada 26. februāris) par dalībvalstu tiesību aktu saskaņošanu attiecībā uz civilām vajadzībām paredzēto sprāgstvielu pieejamību tirgū un pārraudzību 2.panta 1.punktā noteiktās vielas. Proti, materiālus un izstrādājumus, kurus par sprāgstvielām uzskata Apvienoto Nāciju Organizācijas rekomendācijās par bīstamo kravu pārvadāšanu un kuri ietilpst minēto rekomendāciju 1. klasē.</w:t>
            </w:r>
          </w:p>
          <w:p w14:paraId="7622370F" w14:textId="77777777" w:rsidR="0022182B" w:rsidRDefault="005C6225" w:rsidP="005C6225">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Kā jau tika minēts iepriekš,</w:t>
            </w:r>
            <w:r w:rsidR="0022182B" w:rsidRPr="0022182B">
              <w:rPr>
                <w:rFonts w:ascii="Times New Roman" w:hAnsi="Times New Roman"/>
                <w:color w:val="000000"/>
                <w:sz w:val="24"/>
                <w:szCs w:val="24"/>
              </w:rPr>
              <w:t xml:space="preserve"> ņemot vērā Apvienoto Nāciju Organizācijas rekomendācijās par bīstamo kravu pārvadāšanu (sk. Rekomendāciju 2.1.sadaļu un Sprāgstvielu klasifikatoru) minēto, neviens no Regulā (ES) 2019/1148 noteiktajiem sprāgstvielu prekursoriem (vielām) neietilpst minēto Rekomendāciju 1.klasē, kas būtībā norāda uz to, ka sprāgstvielu prekursori nevar tikt uzskatīti par civilajām vajadzībām paredzētājām sprāgstvielām, līdz ar ko arī nacionālais regulējums, kas reglamentē šo jomu, neattiecas uz sprāgstvielu prekursoriem. Līdz ar to Regulas (ES) 2019/1148 tvērumā neietilpst noteikumi par civilām vajadzībām paredzēto sprāgstvielu pieejamību tirgū un to pārraudzību, kā rezultātā uz </w:t>
            </w:r>
            <w:r w:rsidR="0022182B" w:rsidRPr="0022182B">
              <w:rPr>
                <w:rFonts w:ascii="Times New Roman" w:hAnsi="Times New Roman"/>
                <w:color w:val="000000"/>
                <w:sz w:val="24"/>
                <w:szCs w:val="24"/>
              </w:rPr>
              <w:lastRenderedPageBreak/>
              <w:t xml:space="preserve">Regulas (ES) 2019/1148 minēto sprāgstvielu prekursoru apriti </w:t>
            </w:r>
            <w:r w:rsidRPr="0022182B">
              <w:rPr>
                <w:rFonts w:ascii="Times New Roman" w:hAnsi="Times New Roman"/>
                <w:color w:val="000000"/>
                <w:sz w:val="24"/>
                <w:szCs w:val="24"/>
              </w:rPr>
              <w:t>neattiec</w:t>
            </w:r>
            <w:r>
              <w:rPr>
                <w:rFonts w:ascii="Times New Roman" w:hAnsi="Times New Roman"/>
                <w:color w:val="000000"/>
                <w:sz w:val="24"/>
                <w:szCs w:val="24"/>
              </w:rPr>
              <w:t>a</w:t>
            </w:r>
            <w:r w:rsidRPr="0022182B">
              <w:rPr>
                <w:rFonts w:ascii="Times New Roman" w:hAnsi="Times New Roman"/>
                <w:color w:val="000000"/>
                <w:sz w:val="24"/>
                <w:szCs w:val="24"/>
              </w:rPr>
              <w:t xml:space="preserve">s </w:t>
            </w:r>
            <w:r w:rsidR="0022182B" w:rsidRPr="0022182B">
              <w:rPr>
                <w:rFonts w:ascii="Times New Roman" w:hAnsi="Times New Roman"/>
                <w:color w:val="000000"/>
                <w:sz w:val="24"/>
                <w:szCs w:val="24"/>
              </w:rPr>
              <w:t>Krimināllikuma</w:t>
            </w:r>
            <w:r w:rsidR="0022182B">
              <w:rPr>
                <w:rFonts w:ascii="Times New Roman" w:hAnsi="Times New Roman"/>
                <w:color w:val="000000"/>
                <w:sz w:val="24"/>
                <w:szCs w:val="24"/>
              </w:rPr>
              <w:t xml:space="preserve"> 233., 236., 237. un 346.panti.</w:t>
            </w:r>
          </w:p>
          <w:p w14:paraId="71417907" w14:textId="0BB488BE" w:rsidR="009D768F" w:rsidRPr="00F5308B" w:rsidRDefault="009D768F" w:rsidP="008703F6">
            <w:pPr>
              <w:spacing w:after="0" w:line="240" w:lineRule="auto"/>
              <w:ind w:firstLine="720"/>
              <w:jc w:val="both"/>
              <w:rPr>
                <w:rFonts w:ascii="Times New Roman" w:hAnsi="Times New Roman"/>
                <w:color w:val="000000"/>
                <w:sz w:val="24"/>
                <w:szCs w:val="24"/>
              </w:rPr>
            </w:pPr>
          </w:p>
        </w:tc>
      </w:tr>
      <w:tr w:rsidR="0077781C" w:rsidRPr="00487A7A" w14:paraId="647AF57C" w14:textId="77777777" w:rsidTr="00102A09">
        <w:tc>
          <w:tcPr>
            <w:tcW w:w="515" w:type="dxa"/>
            <w:tcBorders>
              <w:bottom w:val="single" w:sz="4" w:space="0" w:color="auto"/>
            </w:tcBorders>
          </w:tcPr>
          <w:p w14:paraId="0F3BC8F7" w14:textId="57971BA6" w:rsidR="0077781C" w:rsidRPr="00487A7A" w:rsidRDefault="0077781C" w:rsidP="00B512FF">
            <w:pPr>
              <w:spacing w:after="0" w:line="240" w:lineRule="auto"/>
              <w:rPr>
                <w:rFonts w:ascii="Times New Roman" w:hAnsi="Times New Roman"/>
                <w:sz w:val="24"/>
                <w:szCs w:val="24"/>
              </w:rPr>
            </w:pPr>
            <w:r w:rsidRPr="00487A7A">
              <w:rPr>
                <w:rFonts w:ascii="Times New Roman" w:hAnsi="Times New Roman"/>
                <w:sz w:val="24"/>
                <w:szCs w:val="24"/>
              </w:rPr>
              <w:lastRenderedPageBreak/>
              <w:t>3.</w:t>
            </w:r>
          </w:p>
        </w:tc>
        <w:tc>
          <w:tcPr>
            <w:tcW w:w="2310" w:type="dxa"/>
            <w:tcBorders>
              <w:bottom w:val="single" w:sz="4" w:space="0" w:color="auto"/>
            </w:tcBorders>
          </w:tcPr>
          <w:p w14:paraId="03995A6A" w14:textId="77777777" w:rsidR="0077781C" w:rsidRPr="00487A7A" w:rsidRDefault="0077781C" w:rsidP="00B512FF">
            <w:pPr>
              <w:spacing w:after="0" w:line="240" w:lineRule="auto"/>
              <w:rPr>
                <w:rFonts w:ascii="Times New Roman" w:hAnsi="Times New Roman"/>
                <w:sz w:val="24"/>
                <w:szCs w:val="24"/>
              </w:rPr>
            </w:pPr>
            <w:r w:rsidRPr="008742BE">
              <w:rPr>
                <w:rFonts w:ascii="Times New Roman" w:hAnsi="Times New Roman"/>
                <w:sz w:val="24"/>
                <w:szCs w:val="24"/>
              </w:rPr>
              <w:t>Projekta izstrādē iesaistītās institūcijas un publiskas personas kapitālsabiedrības</w:t>
            </w:r>
          </w:p>
        </w:tc>
        <w:tc>
          <w:tcPr>
            <w:tcW w:w="6384" w:type="dxa"/>
            <w:tcBorders>
              <w:bottom w:val="single" w:sz="4" w:space="0" w:color="auto"/>
            </w:tcBorders>
          </w:tcPr>
          <w:p w14:paraId="2D2E4E34" w14:textId="77777777" w:rsidR="0077781C" w:rsidRPr="00487A7A" w:rsidRDefault="00A44287" w:rsidP="00FE742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Iekšlietu</w:t>
            </w:r>
            <w:proofErr w:type="spellEnd"/>
            <w:r>
              <w:rPr>
                <w:rFonts w:ascii="Times New Roman" w:hAnsi="Times New Roman"/>
                <w:sz w:val="24"/>
                <w:szCs w:val="24"/>
              </w:rPr>
              <w:t xml:space="preserve"> ministrija</w:t>
            </w:r>
          </w:p>
        </w:tc>
      </w:tr>
      <w:tr w:rsidR="0077781C" w:rsidRPr="00487A7A" w14:paraId="10815A8A" w14:textId="77777777" w:rsidTr="006A245D">
        <w:trPr>
          <w:trHeight w:val="1429"/>
        </w:trPr>
        <w:tc>
          <w:tcPr>
            <w:tcW w:w="515" w:type="dxa"/>
            <w:tcBorders>
              <w:bottom w:val="single" w:sz="4" w:space="0" w:color="auto"/>
            </w:tcBorders>
          </w:tcPr>
          <w:p w14:paraId="5C2872A8" w14:textId="77777777" w:rsidR="0077781C" w:rsidRPr="00487A7A" w:rsidRDefault="0077781C" w:rsidP="00B512FF">
            <w:pPr>
              <w:spacing w:after="0" w:line="240" w:lineRule="auto"/>
              <w:rPr>
                <w:rFonts w:ascii="Times New Roman" w:hAnsi="Times New Roman"/>
                <w:sz w:val="24"/>
                <w:szCs w:val="24"/>
              </w:rPr>
            </w:pPr>
            <w:r w:rsidRPr="00487A7A">
              <w:rPr>
                <w:rFonts w:ascii="Times New Roman" w:hAnsi="Times New Roman"/>
                <w:sz w:val="24"/>
                <w:szCs w:val="24"/>
              </w:rPr>
              <w:t>4.</w:t>
            </w:r>
          </w:p>
        </w:tc>
        <w:tc>
          <w:tcPr>
            <w:tcW w:w="2310" w:type="dxa"/>
            <w:tcBorders>
              <w:bottom w:val="single" w:sz="4" w:space="0" w:color="auto"/>
            </w:tcBorders>
          </w:tcPr>
          <w:p w14:paraId="16C3845B" w14:textId="77777777" w:rsidR="0077781C" w:rsidRPr="00487A7A" w:rsidRDefault="0077781C" w:rsidP="00B512FF">
            <w:pPr>
              <w:spacing w:after="0" w:line="240" w:lineRule="auto"/>
              <w:rPr>
                <w:rFonts w:ascii="Times New Roman" w:hAnsi="Times New Roman"/>
                <w:sz w:val="24"/>
                <w:szCs w:val="24"/>
              </w:rPr>
            </w:pPr>
            <w:r w:rsidRPr="00487A7A">
              <w:rPr>
                <w:rFonts w:ascii="Times New Roman" w:hAnsi="Times New Roman"/>
                <w:sz w:val="24"/>
                <w:szCs w:val="24"/>
              </w:rPr>
              <w:t xml:space="preserve">Cita informācija </w:t>
            </w:r>
          </w:p>
        </w:tc>
        <w:tc>
          <w:tcPr>
            <w:tcW w:w="6384" w:type="dxa"/>
            <w:tcBorders>
              <w:bottom w:val="single" w:sz="4" w:space="0" w:color="auto"/>
            </w:tcBorders>
          </w:tcPr>
          <w:p w14:paraId="65B94B0F" w14:textId="77777777" w:rsidR="0077781C" w:rsidRPr="006A245D" w:rsidRDefault="00E122E6" w:rsidP="006A245D">
            <w:pPr>
              <w:spacing w:after="0" w:line="240" w:lineRule="auto"/>
              <w:jc w:val="both"/>
              <w:rPr>
                <w:rFonts w:ascii="Times New Roman" w:hAnsi="Times New Roman"/>
                <w:sz w:val="24"/>
                <w:szCs w:val="24"/>
              </w:rPr>
            </w:pPr>
            <w:r>
              <w:rPr>
                <w:rFonts w:ascii="Times New Roman" w:hAnsi="Times New Roman"/>
                <w:sz w:val="24"/>
                <w:szCs w:val="24"/>
              </w:rPr>
              <w:t>Nav.</w:t>
            </w:r>
          </w:p>
        </w:tc>
      </w:tr>
    </w:tbl>
    <w:p w14:paraId="4D7B1CAD" w14:textId="77777777" w:rsidR="00C90548" w:rsidRPr="00E86332" w:rsidRDefault="00C90548"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E86332" w:rsidRPr="00E86332" w14:paraId="559D2B21" w14:textId="77777777" w:rsidTr="00102A09">
        <w:trPr>
          <w:cantSplit/>
        </w:trPr>
        <w:tc>
          <w:tcPr>
            <w:tcW w:w="5000" w:type="pct"/>
            <w:gridSpan w:val="3"/>
            <w:vAlign w:val="center"/>
            <w:hideMark/>
          </w:tcPr>
          <w:p w14:paraId="0707E9B3" w14:textId="77777777" w:rsidR="00E86332" w:rsidRPr="00E86332" w:rsidRDefault="00E86332" w:rsidP="0077781C">
            <w:pPr>
              <w:spacing w:after="0" w:line="240" w:lineRule="auto"/>
              <w:jc w:val="center"/>
              <w:rPr>
                <w:rFonts w:ascii="Times New Roman" w:hAnsi="Times New Roman"/>
                <w:b/>
                <w:bCs/>
                <w:sz w:val="24"/>
                <w:szCs w:val="24"/>
              </w:rPr>
            </w:pPr>
            <w:r w:rsidRPr="00E86332">
              <w:rPr>
                <w:rFonts w:ascii="Times New Roman" w:hAnsi="Times New Roman"/>
                <w:b/>
                <w:bCs/>
                <w:sz w:val="24"/>
                <w:szCs w:val="24"/>
              </w:rPr>
              <w:t>II. Tiesību akta projekta ietekme uz sabiedrību, tautsaimniecības attīstību un administratīvo slogu</w:t>
            </w:r>
          </w:p>
        </w:tc>
      </w:tr>
      <w:tr w:rsidR="0087521C" w:rsidRPr="00E86332" w14:paraId="69A1852B" w14:textId="77777777" w:rsidTr="00102A09">
        <w:trPr>
          <w:cantSplit/>
        </w:trPr>
        <w:tc>
          <w:tcPr>
            <w:tcW w:w="306" w:type="pct"/>
            <w:hideMark/>
          </w:tcPr>
          <w:p w14:paraId="098C662F" w14:textId="77777777"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1.</w:t>
            </w:r>
          </w:p>
        </w:tc>
        <w:tc>
          <w:tcPr>
            <w:tcW w:w="1455" w:type="pct"/>
            <w:hideMark/>
          </w:tcPr>
          <w:p w14:paraId="6A38E0B4" w14:textId="77777777"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 xml:space="preserve">Sabiedrības </w:t>
            </w:r>
            <w:proofErr w:type="spellStart"/>
            <w:r w:rsidRPr="00E86332">
              <w:rPr>
                <w:rFonts w:ascii="Times New Roman" w:hAnsi="Times New Roman"/>
                <w:sz w:val="24"/>
                <w:szCs w:val="24"/>
              </w:rPr>
              <w:t>mērķgrupas</w:t>
            </w:r>
            <w:proofErr w:type="spellEnd"/>
            <w:r w:rsidRPr="00E86332">
              <w:rPr>
                <w:rFonts w:ascii="Times New Roman" w:hAnsi="Times New Roman"/>
                <w:sz w:val="24"/>
                <w:szCs w:val="24"/>
              </w:rPr>
              <w:t>, kuras tiesiskais regulējums ietekmē vai varētu ietekmēt</w:t>
            </w:r>
          </w:p>
        </w:tc>
        <w:tc>
          <w:tcPr>
            <w:tcW w:w="3239" w:type="pct"/>
            <w:hideMark/>
          </w:tcPr>
          <w:p w14:paraId="23114C1C" w14:textId="77777777" w:rsidR="0087521C" w:rsidRPr="00D21CE4" w:rsidRDefault="0087521C" w:rsidP="0087521C">
            <w:pPr>
              <w:spacing w:after="0" w:line="240" w:lineRule="auto"/>
              <w:jc w:val="both"/>
              <w:rPr>
                <w:rFonts w:ascii="Times New Roman" w:hAnsi="Times New Roman"/>
                <w:sz w:val="24"/>
                <w:szCs w:val="24"/>
              </w:rPr>
            </w:pPr>
            <w:r w:rsidRPr="00D21CE4">
              <w:rPr>
                <w:rFonts w:ascii="Times New Roman" w:hAnsi="Times New Roman"/>
                <w:sz w:val="24"/>
                <w:szCs w:val="24"/>
              </w:rPr>
              <w:t>Projekts attiecas uz atsevišķu personu loku, kuri saistīti ar sprāgstvielu prekursoru tirdzniecību un lietošanu.</w:t>
            </w:r>
          </w:p>
        </w:tc>
      </w:tr>
      <w:tr w:rsidR="0087521C" w:rsidRPr="00E86332" w14:paraId="27A07B91" w14:textId="77777777" w:rsidTr="0087521C">
        <w:trPr>
          <w:cantSplit/>
        </w:trPr>
        <w:tc>
          <w:tcPr>
            <w:tcW w:w="306" w:type="pct"/>
            <w:hideMark/>
          </w:tcPr>
          <w:p w14:paraId="747EA8E5" w14:textId="77777777"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2.</w:t>
            </w:r>
          </w:p>
        </w:tc>
        <w:tc>
          <w:tcPr>
            <w:tcW w:w="1455" w:type="pct"/>
            <w:hideMark/>
          </w:tcPr>
          <w:p w14:paraId="3A225712" w14:textId="77777777"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Tiesiskā regulējuma ietekme uz tautsaimniecību un administratīvo slogu</w:t>
            </w:r>
          </w:p>
        </w:tc>
        <w:tc>
          <w:tcPr>
            <w:tcW w:w="3239" w:type="pct"/>
          </w:tcPr>
          <w:p w14:paraId="52732D5F" w14:textId="77777777" w:rsidR="0087521C" w:rsidRPr="00D21CE4" w:rsidRDefault="0087521C" w:rsidP="0087521C">
            <w:pPr>
              <w:spacing w:after="0" w:line="240" w:lineRule="auto"/>
              <w:jc w:val="both"/>
              <w:rPr>
                <w:rFonts w:ascii="Times New Roman" w:eastAsia="Times New Roman" w:hAnsi="Times New Roman"/>
                <w:sz w:val="24"/>
                <w:szCs w:val="24"/>
                <w:lang w:eastAsia="lv-LV"/>
              </w:rPr>
            </w:pPr>
            <w:r w:rsidRPr="00D21CE4">
              <w:rPr>
                <w:rFonts w:ascii="Times New Roman" w:eastAsia="Times New Roman" w:hAnsi="Times New Roman"/>
                <w:sz w:val="24"/>
                <w:szCs w:val="24"/>
                <w:lang w:bidi="lo-LA"/>
              </w:rPr>
              <w:t>Projekts šo jomu neskar</w:t>
            </w:r>
            <w:r w:rsidRPr="00D21CE4">
              <w:rPr>
                <w:rFonts w:ascii="Times New Roman" w:eastAsia="Times New Roman" w:hAnsi="Times New Roman"/>
                <w:sz w:val="24"/>
                <w:szCs w:val="24"/>
                <w:lang w:eastAsia="lv-LV"/>
              </w:rPr>
              <w:t xml:space="preserve">. </w:t>
            </w:r>
            <w:r w:rsidRPr="00D21CE4">
              <w:rPr>
                <w:rFonts w:ascii="Times New Roman" w:hAnsi="Times New Roman"/>
                <w:sz w:val="24"/>
                <w:szCs w:val="24"/>
              </w:rPr>
              <w:t xml:space="preserve"> </w:t>
            </w:r>
          </w:p>
        </w:tc>
      </w:tr>
      <w:tr w:rsidR="0087521C" w:rsidRPr="00E86332" w14:paraId="47C58E65" w14:textId="77777777" w:rsidTr="0087521C">
        <w:trPr>
          <w:cantSplit/>
        </w:trPr>
        <w:tc>
          <w:tcPr>
            <w:tcW w:w="306" w:type="pct"/>
            <w:hideMark/>
          </w:tcPr>
          <w:p w14:paraId="52B12C49" w14:textId="77777777"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3.</w:t>
            </w:r>
          </w:p>
        </w:tc>
        <w:tc>
          <w:tcPr>
            <w:tcW w:w="1455" w:type="pct"/>
            <w:hideMark/>
          </w:tcPr>
          <w:p w14:paraId="71FCD8B7" w14:textId="77777777"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Administratīvo izmaksu monetārs novērtējums</w:t>
            </w:r>
          </w:p>
        </w:tc>
        <w:tc>
          <w:tcPr>
            <w:tcW w:w="3239" w:type="pct"/>
          </w:tcPr>
          <w:p w14:paraId="0C12C96A" w14:textId="77777777" w:rsidR="0087521C" w:rsidRPr="00D21CE4" w:rsidRDefault="0087521C" w:rsidP="0087521C">
            <w:pPr>
              <w:spacing w:after="0" w:line="240" w:lineRule="auto"/>
              <w:jc w:val="both"/>
              <w:rPr>
                <w:rFonts w:ascii="Times New Roman" w:eastAsia="Times New Roman" w:hAnsi="Times New Roman"/>
                <w:sz w:val="24"/>
                <w:szCs w:val="24"/>
                <w:lang w:eastAsia="lv-LV"/>
              </w:rPr>
            </w:pPr>
            <w:r w:rsidRPr="00D21CE4">
              <w:rPr>
                <w:rFonts w:ascii="Times New Roman" w:eastAsia="Times New Roman" w:hAnsi="Times New Roman"/>
                <w:sz w:val="24"/>
                <w:szCs w:val="24"/>
                <w:lang w:bidi="lo-LA"/>
              </w:rPr>
              <w:t>Projekts šo jomu neskar</w:t>
            </w:r>
            <w:r w:rsidRPr="00D21CE4">
              <w:rPr>
                <w:rFonts w:ascii="Times New Roman" w:eastAsia="Times New Roman" w:hAnsi="Times New Roman"/>
                <w:sz w:val="24"/>
                <w:szCs w:val="24"/>
                <w:lang w:eastAsia="lv-LV"/>
              </w:rPr>
              <w:t>.</w:t>
            </w:r>
          </w:p>
        </w:tc>
      </w:tr>
      <w:tr w:rsidR="0087521C" w:rsidRPr="00E86332" w14:paraId="5DF5EFE7" w14:textId="77777777" w:rsidTr="0087521C">
        <w:trPr>
          <w:cantSplit/>
        </w:trPr>
        <w:tc>
          <w:tcPr>
            <w:tcW w:w="306" w:type="pct"/>
            <w:hideMark/>
          </w:tcPr>
          <w:p w14:paraId="00F49CF3" w14:textId="77777777"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4.</w:t>
            </w:r>
          </w:p>
        </w:tc>
        <w:tc>
          <w:tcPr>
            <w:tcW w:w="1455" w:type="pct"/>
            <w:hideMark/>
          </w:tcPr>
          <w:p w14:paraId="4335CB1A" w14:textId="77777777"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Atbilstības izmaksu monetārs novērtējums</w:t>
            </w:r>
          </w:p>
        </w:tc>
        <w:tc>
          <w:tcPr>
            <w:tcW w:w="3239" w:type="pct"/>
          </w:tcPr>
          <w:p w14:paraId="01BD8076" w14:textId="77777777" w:rsidR="0087521C" w:rsidRPr="00D21CE4" w:rsidRDefault="0087521C" w:rsidP="0087521C">
            <w:pPr>
              <w:spacing w:after="0" w:line="240" w:lineRule="auto"/>
              <w:rPr>
                <w:rFonts w:ascii="Times New Roman" w:eastAsia="Times New Roman" w:hAnsi="Times New Roman"/>
                <w:sz w:val="24"/>
                <w:szCs w:val="24"/>
                <w:lang w:eastAsia="lv-LV"/>
              </w:rPr>
            </w:pPr>
            <w:r w:rsidRPr="00D21CE4">
              <w:rPr>
                <w:rFonts w:ascii="Times New Roman" w:eastAsia="Times New Roman" w:hAnsi="Times New Roman"/>
                <w:sz w:val="24"/>
                <w:szCs w:val="24"/>
                <w:lang w:bidi="lo-LA"/>
              </w:rPr>
              <w:t>Projekts šo jomu neskar</w:t>
            </w:r>
            <w:r w:rsidRPr="00D21CE4">
              <w:rPr>
                <w:rFonts w:ascii="Times New Roman" w:eastAsia="Times New Roman" w:hAnsi="Times New Roman"/>
                <w:sz w:val="24"/>
                <w:szCs w:val="24"/>
                <w:lang w:eastAsia="lv-LV"/>
              </w:rPr>
              <w:t>.</w:t>
            </w:r>
          </w:p>
        </w:tc>
      </w:tr>
      <w:tr w:rsidR="0087521C" w:rsidRPr="00E86332" w14:paraId="694CC2C3" w14:textId="77777777" w:rsidTr="0087521C">
        <w:trPr>
          <w:cantSplit/>
        </w:trPr>
        <w:tc>
          <w:tcPr>
            <w:tcW w:w="306" w:type="pct"/>
            <w:hideMark/>
          </w:tcPr>
          <w:p w14:paraId="3F01643C" w14:textId="77777777"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5.</w:t>
            </w:r>
          </w:p>
        </w:tc>
        <w:tc>
          <w:tcPr>
            <w:tcW w:w="1455" w:type="pct"/>
            <w:hideMark/>
          </w:tcPr>
          <w:p w14:paraId="336F312F" w14:textId="77777777"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tcPr>
          <w:p w14:paraId="4BBE9451" w14:textId="77777777" w:rsidR="0087521C" w:rsidRPr="00D21CE4" w:rsidRDefault="0087521C" w:rsidP="0087521C">
            <w:pPr>
              <w:spacing w:after="0" w:line="240" w:lineRule="auto"/>
              <w:rPr>
                <w:rFonts w:ascii="Times New Roman" w:eastAsia="Times New Roman" w:hAnsi="Times New Roman"/>
                <w:sz w:val="24"/>
                <w:szCs w:val="24"/>
                <w:lang w:eastAsia="lv-LV"/>
              </w:rPr>
            </w:pPr>
            <w:r w:rsidRPr="00D21CE4">
              <w:rPr>
                <w:rFonts w:ascii="Times New Roman" w:eastAsia="Times New Roman" w:hAnsi="Times New Roman"/>
                <w:sz w:val="24"/>
                <w:szCs w:val="24"/>
                <w:lang w:eastAsia="lv-LV"/>
              </w:rPr>
              <w:t>Nav.</w:t>
            </w:r>
          </w:p>
        </w:tc>
      </w:tr>
    </w:tbl>
    <w:p w14:paraId="1DB31828" w14:textId="77777777" w:rsidR="005A799C" w:rsidRDefault="005A799C" w:rsidP="00CD03B2">
      <w:pPr>
        <w:pStyle w:val="Title"/>
        <w:tabs>
          <w:tab w:val="left" w:pos="1605"/>
        </w:tabs>
        <w:jc w:val="both"/>
        <w:rPr>
          <w:sz w:val="24"/>
          <w:szCs w:val="24"/>
        </w:rPr>
      </w:pPr>
    </w:p>
    <w:tbl>
      <w:tblPr>
        <w:tblW w:w="51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1"/>
        <w:gridCol w:w="1592"/>
        <w:gridCol w:w="953"/>
        <w:gridCol w:w="1194"/>
        <w:gridCol w:w="941"/>
        <w:gridCol w:w="1016"/>
        <w:gridCol w:w="1016"/>
        <w:gridCol w:w="1017"/>
        <w:gridCol w:w="1053"/>
      </w:tblGrid>
      <w:tr w:rsidR="006474E4" w:rsidRPr="00FE7429" w14:paraId="18AC65FC" w14:textId="77777777" w:rsidTr="008E61C9">
        <w:trPr>
          <w:cantSplit/>
        </w:trPr>
        <w:tc>
          <w:tcPr>
            <w:tcW w:w="9353" w:type="dxa"/>
            <w:gridSpan w:val="9"/>
            <w:shd w:val="clear" w:color="auto" w:fill="auto"/>
            <w:vAlign w:val="center"/>
            <w:hideMark/>
          </w:tcPr>
          <w:p w14:paraId="5103C514" w14:textId="77777777" w:rsidR="006474E4" w:rsidRPr="00FE7429" w:rsidRDefault="006474E4" w:rsidP="00B512FF">
            <w:pPr>
              <w:jc w:val="center"/>
              <w:rPr>
                <w:rFonts w:ascii="Times New Roman" w:hAnsi="Times New Roman"/>
                <w:b/>
                <w:bCs/>
                <w:sz w:val="24"/>
                <w:szCs w:val="24"/>
              </w:rPr>
            </w:pPr>
            <w:r w:rsidRPr="00FE7429">
              <w:rPr>
                <w:rFonts w:ascii="Times New Roman" w:hAnsi="Times New Roman"/>
                <w:b/>
                <w:bCs/>
                <w:sz w:val="24"/>
                <w:szCs w:val="24"/>
              </w:rPr>
              <w:t>III. Tiesību akta projekta ietekme uz valsts budžetu un pašvaldību budžetiem</w:t>
            </w:r>
          </w:p>
        </w:tc>
      </w:tr>
      <w:tr w:rsidR="006474E4" w:rsidRPr="00FE7429" w14:paraId="10198686" w14:textId="77777777" w:rsidTr="008E61C9">
        <w:trPr>
          <w:cantSplit/>
        </w:trPr>
        <w:tc>
          <w:tcPr>
            <w:tcW w:w="2163" w:type="dxa"/>
            <w:gridSpan w:val="2"/>
            <w:vMerge w:val="restart"/>
            <w:shd w:val="clear" w:color="auto" w:fill="FFFFFF"/>
            <w:vAlign w:val="center"/>
          </w:tcPr>
          <w:p w14:paraId="28D14698" w14:textId="77777777" w:rsidR="006474E4" w:rsidRPr="00FE7429" w:rsidRDefault="006474E4" w:rsidP="00B512FF">
            <w:pPr>
              <w:jc w:val="center"/>
              <w:rPr>
                <w:rFonts w:ascii="Times New Roman" w:hAnsi="Times New Roman"/>
                <w:bCs/>
                <w:sz w:val="24"/>
                <w:szCs w:val="24"/>
              </w:rPr>
            </w:pPr>
            <w:r w:rsidRPr="00FE7429">
              <w:rPr>
                <w:rFonts w:ascii="Times New Roman" w:hAnsi="Times New Roman"/>
                <w:bCs/>
                <w:sz w:val="24"/>
                <w:szCs w:val="24"/>
              </w:rPr>
              <w:t>Rādītāji</w:t>
            </w:r>
          </w:p>
        </w:tc>
        <w:tc>
          <w:tcPr>
            <w:tcW w:w="2147" w:type="dxa"/>
            <w:gridSpan w:val="2"/>
            <w:vMerge w:val="restart"/>
            <w:shd w:val="clear" w:color="auto" w:fill="FFFFFF"/>
            <w:vAlign w:val="center"/>
            <w:hideMark/>
          </w:tcPr>
          <w:p w14:paraId="7F8E0B15" w14:textId="229DC845" w:rsidR="006474E4" w:rsidRPr="00FE7429" w:rsidRDefault="00315E35" w:rsidP="00A865DE">
            <w:pPr>
              <w:jc w:val="center"/>
              <w:rPr>
                <w:rFonts w:ascii="Times New Roman" w:hAnsi="Times New Roman"/>
                <w:bCs/>
                <w:sz w:val="24"/>
                <w:szCs w:val="24"/>
              </w:rPr>
            </w:pPr>
            <w:r>
              <w:rPr>
                <w:rFonts w:ascii="Times New Roman" w:hAnsi="Times New Roman"/>
                <w:bCs/>
                <w:sz w:val="24"/>
                <w:szCs w:val="24"/>
              </w:rPr>
              <w:t>202</w:t>
            </w:r>
            <w:r w:rsidR="00A865DE">
              <w:rPr>
                <w:rFonts w:ascii="Times New Roman" w:hAnsi="Times New Roman"/>
                <w:bCs/>
                <w:sz w:val="24"/>
                <w:szCs w:val="24"/>
              </w:rPr>
              <w:t>1</w:t>
            </w:r>
            <w:r>
              <w:rPr>
                <w:rFonts w:ascii="Times New Roman" w:hAnsi="Times New Roman"/>
                <w:bCs/>
                <w:sz w:val="24"/>
                <w:szCs w:val="24"/>
              </w:rPr>
              <w:t>.</w:t>
            </w:r>
            <w:r w:rsidR="006474E4" w:rsidRPr="00FE7429">
              <w:rPr>
                <w:rFonts w:ascii="Times New Roman" w:hAnsi="Times New Roman"/>
                <w:bCs/>
                <w:sz w:val="24"/>
                <w:szCs w:val="24"/>
              </w:rPr>
              <w:t>gads</w:t>
            </w:r>
          </w:p>
        </w:tc>
        <w:tc>
          <w:tcPr>
            <w:tcW w:w="5043" w:type="dxa"/>
            <w:gridSpan w:val="5"/>
            <w:shd w:val="clear" w:color="auto" w:fill="FFFFFF"/>
            <w:vAlign w:val="center"/>
            <w:hideMark/>
          </w:tcPr>
          <w:p w14:paraId="074C2AFB"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Turpmākie trīs gadi (</w:t>
            </w:r>
            <w:proofErr w:type="spellStart"/>
            <w:r w:rsidRPr="00FE7429">
              <w:rPr>
                <w:rFonts w:ascii="Times New Roman" w:hAnsi="Times New Roman"/>
                <w:i/>
                <w:iCs/>
                <w:sz w:val="24"/>
                <w:szCs w:val="24"/>
              </w:rPr>
              <w:t>euro</w:t>
            </w:r>
            <w:proofErr w:type="spellEnd"/>
            <w:r w:rsidRPr="00FE7429">
              <w:rPr>
                <w:rFonts w:ascii="Times New Roman" w:hAnsi="Times New Roman"/>
                <w:sz w:val="24"/>
                <w:szCs w:val="24"/>
              </w:rPr>
              <w:t>)</w:t>
            </w:r>
          </w:p>
        </w:tc>
      </w:tr>
      <w:tr w:rsidR="006474E4" w:rsidRPr="00FE7429" w14:paraId="002711BB" w14:textId="77777777" w:rsidTr="008E61C9">
        <w:trPr>
          <w:cantSplit/>
        </w:trPr>
        <w:tc>
          <w:tcPr>
            <w:tcW w:w="2163" w:type="dxa"/>
            <w:gridSpan w:val="2"/>
            <w:vMerge/>
            <w:shd w:val="clear" w:color="auto" w:fill="auto"/>
            <w:vAlign w:val="center"/>
            <w:hideMark/>
          </w:tcPr>
          <w:p w14:paraId="3E4A8405" w14:textId="77777777" w:rsidR="006474E4" w:rsidRPr="00FE7429" w:rsidRDefault="006474E4" w:rsidP="00B512FF">
            <w:pPr>
              <w:jc w:val="center"/>
              <w:rPr>
                <w:rFonts w:ascii="Times New Roman" w:hAnsi="Times New Roman"/>
                <w:bCs/>
                <w:sz w:val="24"/>
                <w:szCs w:val="24"/>
              </w:rPr>
            </w:pPr>
          </w:p>
        </w:tc>
        <w:tc>
          <w:tcPr>
            <w:tcW w:w="2147" w:type="dxa"/>
            <w:gridSpan w:val="2"/>
            <w:vMerge/>
            <w:shd w:val="clear" w:color="auto" w:fill="auto"/>
            <w:vAlign w:val="center"/>
            <w:hideMark/>
          </w:tcPr>
          <w:p w14:paraId="4BB77647" w14:textId="77777777" w:rsidR="006474E4" w:rsidRPr="00FE7429" w:rsidRDefault="006474E4" w:rsidP="00B512FF">
            <w:pPr>
              <w:jc w:val="center"/>
              <w:rPr>
                <w:rFonts w:ascii="Times New Roman" w:hAnsi="Times New Roman"/>
                <w:bCs/>
                <w:sz w:val="24"/>
                <w:szCs w:val="24"/>
              </w:rPr>
            </w:pPr>
          </w:p>
        </w:tc>
        <w:tc>
          <w:tcPr>
            <w:tcW w:w="1957" w:type="dxa"/>
            <w:gridSpan w:val="2"/>
            <w:shd w:val="clear" w:color="auto" w:fill="FFFFFF"/>
            <w:vAlign w:val="center"/>
            <w:hideMark/>
          </w:tcPr>
          <w:p w14:paraId="5841600D" w14:textId="1A18B7A4" w:rsidR="006474E4" w:rsidRPr="00FE7429" w:rsidRDefault="001C6878">
            <w:pPr>
              <w:jc w:val="center"/>
              <w:rPr>
                <w:rFonts w:ascii="Times New Roman" w:hAnsi="Times New Roman"/>
                <w:bCs/>
                <w:sz w:val="24"/>
                <w:szCs w:val="24"/>
              </w:rPr>
            </w:pPr>
            <w:r>
              <w:rPr>
                <w:rFonts w:ascii="Times New Roman" w:hAnsi="Times New Roman"/>
                <w:bCs/>
                <w:sz w:val="24"/>
                <w:szCs w:val="24"/>
              </w:rPr>
              <w:t>202</w:t>
            </w:r>
            <w:r w:rsidR="00A865DE">
              <w:rPr>
                <w:rFonts w:ascii="Times New Roman" w:hAnsi="Times New Roman"/>
                <w:bCs/>
                <w:sz w:val="24"/>
                <w:szCs w:val="24"/>
              </w:rPr>
              <w:t>2</w:t>
            </w:r>
            <w:r>
              <w:rPr>
                <w:rFonts w:ascii="Times New Roman" w:hAnsi="Times New Roman"/>
                <w:bCs/>
                <w:sz w:val="24"/>
                <w:szCs w:val="24"/>
              </w:rPr>
              <w:t>.</w:t>
            </w:r>
          </w:p>
        </w:tc>
        <w:tc>
          <w:tcPr>
            <w:tcW w:w="2033" w:type="dxa"/>
            <w:gridSpan w:val="2"/>
            <w:shd w:val="clear" w:color="auto" w:fill="FFFFFF"/>
            <w:vAlign w:val="center"/>
            <w:hideMark/>
          </w:tcPr>
          <w:p w14:paraId="5F0EBFE4" w14:textId="4149C760" w:rsidR="006474E4" w:rsidRPr="00FE7429" w:rsidRDefault="001C6878">
            <w:pPr>
              <w:jc w:val="center"/>
              <w:rPr>
                <w:rFonts w:ascii="Times New Roman" w:hAnsi="Times New Roman"/>
                <w:bCs/>
                <w:sz w:val="24"/>
                <w:szCs w:val="24"/>
              </w:rPr>
            </w:pPr>
            <w:r>
              <w:rPr>
                <w:rFonts w:ascii="Times New Roman" w:hAnsi="Times New Roman"/>
                <w:bCs/>
                <w:sz w:val="24"/>
                <w:szCs w:val="24"/>
              </w:rPr>
              <w:t>202</w:t>
            </w:r>
            <w:r w:rsidR="00A865DE">
              <w:rPr>
                <w:rFonts w:ascii="Times New Roman" w:hAnsi="Times New Roman"/>
                <w:bCs/>
                <w:sz w:val="24"/>
                <w:szCs w:val="24"/>
              </w:rPr>
              <w:t>3</w:t>
            </w:r>
            <w:r>
              <w:rPr>
                <w:rFonts w:ascii="Times New Roman" w:hAnsi="Times New Roman"/>
                <w:bCs/>
                <w:sz w:val="24"/>
                <w:szCs w:val="24"/>
              </w:rPr>
              <w:t>.</w:t>
            </w:r>
          </w:p>
        </w:tc>
        <w:tc>
          <w:tcPr>
            <w:tcW w:w="1053" w:type="dxa"/>
            <w:shd w:val="clear" w:color="auto" w:fill="FFFFFF"/>
            <w:vAlign w:val="center"/>
            <w:hideMark/>
          </w:tcPr>
          <w:p w14:paraId="53E4809E" w14:textId="46727B93" w:rsidR="006474E4" w:rsidRPr="00FE7429" w:rsidRDefault="001C6878">
            <w:pPr>
              <w:jc w:val="center"/>
              <w:rPr>
                <w:rFonts w:ascii="Times New Roman" w:hAnsi="Times New Roman"/>
                <w:bCs/>
                <w:sz w:val="24"/>
                <w:szCs w:val="24"/>
              </w:rPr>
            </w:pPr>
            <w:r>
              <w:rPr>
                <w:rFonts w:ascii="Times New Roman" w:hAnsi="Times New Roman"/>
                <w:bCs/>
                <w:sz w:val="24"/>
                <w:szCs w:val="24"/>
              </w:rPr>
              <w:t>202</w:t>
            </w:r>
            <w:r w:rsidR="00A865DE">
              <w:rPr>
                <w:rFonts w:ascii="Times New Roman" w:hAnsi="Times New Roman"/>
                <w:bCs/>
                <w:sz w:val="24"/>
                <w:szCs w:val="24"/>
              </w:rPr>
              <w:t>4</w:t>
            </w:r>
            <w:r>
              <w:rPr>
                <w:rFonts w:ascii="Times New Roman" w:hAnsi="Times New Roman"/>
                <w:bCs/>
                <w:sz w:val="24"/>
                <w:szCs w:val="24"/>
              </w:rPr>
              <w:t>.</w:t>
            </w:r>
          </w:p>
        </w:tc>
      </w:tr>
      <w:tr w:rsidR="006474E4" w:rsidRPr="00FE7429" w14:paraId="26B0C5D5" w14:textId="77777777" w:rsidTr="008E61C9">
        <w:trPr>
          <w:cantSplit/>
        </w:trPr>
        <w:tc>
          <w:tcPr>
            <w:tcW w:w="2163" w:type="dxa"/>
            <w:gridSpan w:val="2"/>
            <w:vMerge/>
            <w:shd w:val="clear" w:color="auto" w:fill="auto"/>
            <w:vAlign w:val="center"/>
            <w:hideMark/>
          </w:tcPr>
          <w:p w14:paraId="75DFEEB9" w14:textId="77777777" w:rsidR="006474E4" w:rsidRPr="00FE7429" w:rsidRDefault="006474E4" w:rsidP="00B512FF">
            <w:pPr>
              <w:jc w:val="center"/>
              <w:rPr>
                <w:rFonts w:ascii="Times New Roman" w:hAnsi="Times New Roman"/>
                <w:b/>
                <w:bCs/>
                <w:sz w:val="24"/>
                <w:szCs w:val="24"/>
              </w:rPr>
            </w:pPr>
          </w:p>
        </w:tc>
        <w:tc>
          <w:tcPr>
            <w:tcW w:w="953" w:type="dxa"/>
            <w:shd w:val="clear" w:color="auto" w:fill="FFFFFF"/>
            <w:vAlign w:val="center"/>
            <w:hideMark/>
          </w:tcPr>
          <w:p w14:paraId="2AD62D77"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saskaņā ar valsts budžetu kārtējam gadam</w:t>
            </w:r>
          </w:p>
        </w:tc>
        <w:tc>
          <w:tcPr>
            <w:tcW w:w="1194" w:type="dxa"/>
            <w:shd w:val="clear" w:color="auto" w:fill="FFFFFF"/>
            <w:vAlign w:val="center"/>
            <w:hideMark/>
          </w:tcPr>
          <w:p w14:paraId="759AF2A3"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izmaiņas kārtējā gadā, salīdzinot ar valsts budžetu kārtējam gadam</w:t>
            </w:r>
          </w:p>
        </w:tc>
        <w:tc>
          <w:tcPr>
            <w:tcW w:w="941" w:type="dxa"/>
            <w:shd w:val="clear" w:color="auto" w:fill="FFFFFF"/>
            <w:vAlign w:val="center"/>
            <w:hideMark/>
          </w:tcPr>
          <w:p w14:paraId="545B5132"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saskaņā ar vidēja termiņa budžeta ietvaru</w:t>
            </w:r>
          </w:p>
        </w:tc>
        <w:tc>
          <w:tcPr>
            <w:tcW w:w="1016" w:type="dxa"/>
            <w:shd w:val="clear" w:color="auto" w:fill="FFFFFF"/>
            <w:vAlign w:val="center"/>
            <w:hideMark/>
          </w:tcPr>
          <w:p w14:paraId="4E46E047" w14:textId="30FB9E1B" w:rsidR="006474E4" w:rsidRPr="00FE7429" w:rsidRDefault="006474E4">
            <w:pPr>
              <w:jc w:val="center"/>
              <w:rPr>
                <w:rFonts w:ascii="Times New Roman" w:hAnsi="Times New Roman"/>
                <w:sz w:val="24"/>
                <w:szCs w:val="24"/>
              </w:rPr>
            </w:pPr>
            <w:r w:rsidRPr="00FE7429">
              <w:rPr>
                <w:rFonts w:ascii="Times New Roman" w:hAnsi="Times New Roman"/>
                <w:sz w:val="24"/>
                <w:szCs w:val="24"/>
              </w:rPr>
              <w:t xml:space="preserve">izmaiņas, salīdzinot ar vidēja termiņa budžeta ietvaru </w:t>
            </w:r>
            <w:r w:rsidR="00F03E98">
              <w:rPr>
                <w:rFonts w:ascii="Times New Roman" w:hAnsi="Times New Roman"/>
                <w:sz w:val="24"/>
                <w:szCs w:val="24"/>
              </w:rPr>
              <w:t>202</w:t>
            </w:r>
            <w:r w:rsidR="00A865DE">
              <w:rPr>
                <w:rFonts w:ascii="Times New Roman" w:hAnsi="Times New Roman"/>
                <w:sz w:val="24"/>
                <w:szCs w:val="24"/>
              </w:rPr>
              <w:t>2</w:t>
            </w:r>
            <w:r w:rsidR="00F03E98">
              <w:rPr>
                <w:rFonts w:ascii="Times New Roman" w:hAnsi="Times New Roman"/>
                <w:sz w:val="24"/>
                <w:szCs w:val="24"/>
              </w:rPr>
              <w:t>.</w:t>
            </w:r>
            <w:r w:rsidRPr="00FE7429">
              <w:rPr>
                <w:rFonts w:ascii="Times New Roman" w:hAnsi="Times New Roman"/>
                <w:sz w:val="24"/>
                <w:szCs w:val="24"/>
              </w:rPr>
              <w:t xml:space="preserve"> gadam</w:t>
            </w:r>
          </w:p>
        </w:tc>
        <w:tc>
          <w:tcPr>
            <w:tcW w:w="1016" w:type="dxa"/>
            <w:shd w:val="clear" w:color="auto" w:fill="FFFFFF"/>
            <w:vAlign w:val="center"/>
            <w:hideMark/>
          </w:tcPr>
          <w:p w14:paraId="1016D9F7"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saskaņā ar vidēja termiņa budžeta ietvaru</w:t>
            </w:r>
          </w:p>
        </w:tc>
        <w:tc>
          <w:tcPr>
            <w:tcW w:w="1017" w:type="dxa"/>
            <w:shd w:val="clear" w:color="auto" w:fill="FFFFFF"/>
            <w:vAlign w:val="center"/>
            <w:hideMark/>
          </w:tcPr>
          <w:p w14:paraId="57B487DC" w14:textId="3FED3445" w:rsidR="006474E4" w:rsidRPr="00FE7429" w:rsidRDefault="006474E4">
            <w:pPr>
              <w:jc w:val="center"/>
              <w:rPr>
                <w:rFonts w:ascii="Times New Roman" w:hAnsi="Times New Roman"/>
                <w:sz w:val="24"/>
                <w:szCs w:val="24"/>
              </w:rPr>
            </w:pPr>
            <w:r w:rsidRPr="00FE7429">
              <w:rPr>
                <w:rFonts w:ascii="Times New Roman" w:hAnsi="Times New Roman"/>
                <w:sz w:val="24"/>
                <w:szCs w:val="24"/>
              </w:rPr>
              <w:t xml:space="preserve">izmaiņas, salīdzinot ar vidēja termiņa budžeta ietvaru </w:t>
            </w:r>
            <w:r w:rsidR="00F03E98">
              <w:rPr>
                <w:rFonts w:ascii="Times New Roman" w:hAnsi="Times New Roman"/>
                <w:sz w:val="24"/>
                <w:szCs w:val="24"/>
              </w:rPr>
              <w:t>202</w:t>
            </w:r>
            <w:r w:rsidR="00A865DE">
              <w:rPr>
                <w:rFonts w:ascii="Times New Roman" w:hAnsi="Times New Roman"/>
                <w:sz w:val="24"/>
                <w:szCs w:val="24"/>
              </w:rPr>
              <w:t>3</w:t>
            </w:r>
            <w:r w:rsidR="00F03E98">
              <w:rPr>
                <w:rFonts w:ascii="Times New Roman" w:hAnsi="Times New Roman"/>
                <w:sz w:val="24"/>
                <w:szCs w:val="24"/>
              </w:rPr>
              <w:t>.</w:t>
            </w:r>
            <w:r w:rsidRPr="00FE7429">
              <w:rPr>
                <w:rFonts w:ascii="Times New Roman" w:hAnsi="Times New Roman"/>
                <w:sz w:val="24"/>
                <w:szCs w:val="24"/>
              </w:rPr>
              <w:t xml:space="preserve"> gadam</w:t>
            </w:r>
          </w:p>
        </w:tc>
        <w:tc>
          <w:tcPr>
            <w:tcW w:w="1053" w:type="dxa"/>
            <w:shd w:val="clear" w:color="auto" w:fill="FFFFFF"/>
            <w:vAlign w:val="center"/>
            <w:hideMark/>
          </w:tcPr>
          <w:p w14:paraId="43CCE66D" w14:textId="09FB1954" w:rsidR="006474E4" w:rsidRPr="00FE7429" w:rsidRDefault="006474E4">
            <w:pPr>
              <w:jc w:val="center"/>
              <w:rPr>
                <w:rFonts w:ascii="Times New Roman" w:hAnsi="Times New Roman"/>
                <w:sz w:val="24"/>
                <w:szCs w:val="24"/>
              </w:rPr>
            </w:pPr>
            <w:r w:rsidRPr="00FE7429">
              <w:rPr>
                <w:rFonts w:ascii="Times New Roman" w:hAnsi="Times New Roman"/>
                <w:sz w:val="24"/>
                <w:szCs w:val="24"/>
              </w:rPr>
              <w:t xml:space="preserve">izmaiņas, salīdzinot ar vidēja termiņa budžeta ietvaru </w:t>
            </w:r>
            <w:r w:rsidRPr="00FE7429">
              <w:rPr>
                <w:rFonts w:ascii="Times New Roman" w:hAnsi="Times New Roman"/>
                <w:sz w:val="24"/>
                <w:szCs w:val="24"/>
              </w:rPr>
              <w:br/>
            </w:r>
            <w:r w:rsidR="00F03E98">
              <w:rPr>
                <w:rFonts w:ascii="Times New Roman" w:hAnsi="Times New Roman"/>
                <w:sz w:val="24"/>
                <w:szCs w:val="24"/>
              </w:rPr>
              <w:t>202</w:t>
            </w:r>
            <w:r w:rsidR="00A865DE">
              <w:rPr>
                <w:rFonts w:ascii="Times New Roman" w:hAnsi="Times New Roman"/>
                <w:sz w:val="24"/>
                <w:szCs w:val="24"/>
              </w:rPr>
              <w:t>3</w:t>
            </w:r>
            <w:r w:rsidR="00F03E98">
              <w:rPr>
                <w:rFonts w:ascii="Times New Roman" w:hAnsi="Times New Roman"/>
                <w:sz w:val="24"/>
                <w:szCs w:val="24"/>
              </w:rPr>
              <w:t>.</w:t>
            </w:r>
            <w:r w:rsidRPr="00FE7429">
              <w:rPr>
                <w:rFonts w:ascii="Times New Roman" w:hAnsi="Times New Roman"/>
                <w:sz w:val="24"/>
                <w:szCs w:val="24"/>
              </w:rPr>
              <w:t xml:space="preserve"> gadam</w:t>
            </w:r>
          </w:p>
        </w:tc>
      </w:tr>
      <w:tr w:rsidR="006474E4" w:rsidRPr="00FE7429" w14:paraId="541AF08A" w14:textId="77777777" w:rsidTr="008E61C9">
        <w:trPr>
          <w:cantSplit/>
        </w:trPr>
        <w:tc>
          <w:tcPr>
            <w:tcW w:w="2163" w:type="dxa"/>
            <w:gridSpan w:val="2"/>
            <w:shd w:val="clear" w:color="auto" w:fill="FFFFFF"/>
            <w:vAlign w:val="center"/>
            <w:hideMark/>
          </w:tcPr>
          <w:p w14:paraId="66A234DF"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1</w:t>
            </w:r>
          </w:p>
        </w:tc>
        <w:tc>
          <w:tcPr>
            <w:tcW w:w="953" w:type="dxa"/>
            <w:shd w:val="clear" w:color="auto" w:fill="FFFFFF"/>
            <w:vAlign w:val="center"/>
            <w:hideMark/>
          </w:tcPr>
          <w:p w14:paraId="77D34D90"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2</w:t>
            </w:r>
          </w:p>
        </w:tc>
        <w:tc>
          <w:tcPr>
            <w:tcW w:w="1194" w:type="dxa"/>
            <w:shd w:val="clear" w:color="auto" w:fill="FFFFFF"/>
            <w:vAlign w:val="center"/>
            <w:hideMark/>
          </w:tcPr>
          <w:p w14:paraId="00538580"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3</w:t>
            </w:r>
          </w:p>
        </w:tc>
        <w:tc>
          <w:tcPr>
            <w:tcW w:w="941" w:type="dxa"/>
            <w:shd w:val="clear" w:color="auto" w:fill="FFFFFF"/>
            <w:vAlign w:val="center"/>
            <w:hideMark/>
          </w:tcPr>
          <w:p w14:paraId="1F354077"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4</w:t>
            </w:r>
          </w:p>
        </w:tc>
        <w:tc>
          <w:tcPr>
            <w:tcW w:w="1016" w:type="dxa"/>
            <w:shd w:val="clear" w:color="auto" w:fill="FFFFFF"/>
            <w:vAlign w:val="center"/>
            <w:hideMark/>
          </w:tcPr>
          <w:p w14:paraId="58F6DB37"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5</w:t>
            </w:r>
          </w:p>
        </w:tc>
        <w:tc>
          <w:tcPr>
            <w:tcW w:w="1016" w:type="dxa"/>
            <w:shd w:val="clear" w:color="auto" w:fill="FFFFFF"/>
            <w:vAlign w:val="center"/>
            <w:hideMark/>
          </w:tcPr>
          <w:p w14:paraId="1144A7DF"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6</w:t>
            </w:r>
          </w:p>
        </w:tc>
        <w:tc>
          <w:tcPr>
            <w:tcW w:w="1017" w:type="dxa"/>
            <w:shd w:val="clear" w:color="auto" w:fill="FFFFFF"/>
            <w:vAlign w:val="center"/>
            <w:hideMark/>
          </w:tcPr>
          <w:p w14:paraId="11E8D627"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7</w:t>
            </w:r>
          </w:p>
        </w:tc>
        <w:tc>
          <w:tcPr>
            <w:tcW w:w="1053" w:type="dxa"/>
            <w:shd w:val="clear" w:color="auto" w:fill="FFFFFF"/>
            <w:vAlign w:val="center"/>
            <w:hideMark/>
          </w:tcPr>
          <w:p w14:paraId="2C6C5C3A" w14:textId="77777777" w:rsidR="006474E4" w:rsidRPr="00FE7429" w:rsidRDefault="006474E4" w:rsidP="00B512FF">
            <w:pPr>
              <w:jc w:val="center"/>
              <w:rPr>
                <w:rFonts w:ascii="Times New Roman" w:hAnsi="Times New Roman"/>
                <w:sz w:val="24"/>
                <w:szCs w:val="24"/>
              </w:rPr>
            </w:pPr>
            <w:r w:rsidRPr="00FE7429">
              <w:rPr>
                <w:rFonts w:ascii="Times New Roman" w:hAnsi="Times New Roman"/>
                <w:sz w:val="24"/>
                <w:szCs w:val="24"/>
              </w:rPr>
              <w:t>8</w:t>
            </w:r>
          </w:p>
        </w:tc>
      </w:tr>
      <w:tr w:rsidR="00A865DE" w:rsidRPr="00FE7429" w14:paraId="3C5804D5" w14:textId="77777777" w:rsidTr="004F5A42">
        <w:trPr>
          <w:cantSplit/>
        </w:trPr>
        <w:tc>
          <w:tcPr>
            <w:tcW w:w="2163" w:type="dxa"/>
            <w:gridSpan w:val="2"/>
            <w:shd w:val="clear" w:color="auto" w:fill="FFFFFF"/>
            <w:hideMark/>
          </w:tcPr>
          <w:p w14:paraId="288AC550"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1. Budžeta ieņēmumi</w:t>
            </w:r>
          </w:p>
        </w:tc>
        <w:tc>
          <w:tcPr>
            <w:tcW w:w="953" w:type="dxa"/>
            <w:shd w:val="clear" w:color="auto" w:fill="FFFFFF"/>
            <w:vAlign w:val="center"/>
          </w:tcPr>
          <w:p w14:paraId="6EC0461B" w14:textId="01077254" w:rsidR="00A865DE" w:rsidRPr="001C6878" w:rsidRDefault="00A865DE" w:rsidP="00A865DE">
            <w:pPr>
              <w:jc w:val="center"/>
              <w:rPr>
                <w:rFonts w:ascii="Times New Roman" w:hAnsi="Times New Roman"/>
              </w:rPr>
            </w:pPr>
            <w:r w:rsidRPr="001C6878">
              <w:rPr>
                <w:rFonts w:ascii="Times New Roman" w:hAnsi="Times New Roman"/>
                <w:lang w:eastAsia="lv-LV"/>
              </w:rPr>
              <w:t>1 189 057</w:t>
            </w:r>
          </w:p>
        </w:tc>
        <w:tc>
          <w:tcPr>
            <w:tcW w:w="1194" w:type="dxa"/>
            <w:shd w:val="clear" w:color="auto" w:fill="FFFFFF"/>
            <w:vAlign w:val="center"/>
            <w:hideMark/>
          </w:tcPr>
          <w:p w14:paraId="614E74EA"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FFFFFF"/>
            <w:vAlign w:val="center"/>
            <w:hideMark/>
          </w:tcPr>
          <w:p w14:paraId="19E81FA2" w14:textId="77777777" w:rsidR="00A865DE" w:rsidRPr="001C6878" w:rsidRDefault="00A865DE" w:rsidP="00A865DE">
            <w:pPr>
              <w:jc w:val="center"/>
              <w:rPr>
                <w:rFonts w:ascii="Times New Roman" w:hAnsi="Times New Roman"/>
              </w:rPr>
            </w:pPr>
            <w:r w:rsidRPr="001C6878">
              <w:rPr>
                <w:rFonts w:ascii="Times New Roman" w:hAnsi="Times New Roman"/>
                <w:lang w:eastAsia="lv-LV"/>
              </w:rPr>
              <w:t>1 189 057</w:t>
            </w:r>
          </w:p>
        </w:tc>
        <w:tc>
          <w:tcPr>
            <w:tcW w:w="1016" w:type="dxa"/>
            <w:shd w:val="clear" w:color="auto" w:fill="FFFFFF"/>
            <w:vAlign w:val="center"/>
            <w:hideMark/>
          </w:tcPr>
          <w:p w14:paraId="79124F88"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FFFFFF"/>
            <w:vAlign w:val="center"/>
            <w:hideMark/>
          </w:tcPr>
          <w:p w14:paraId="4E8211C3" w14:textId="77777777" w:rsidR="00A865DE" w:rsidRPr="001C6878" w:rsidRDefault="00A865DE" w:rsidP="00A865DE">
            <w:pPr>
              <w:jc w:val="center"/>
              <w:rPr>
                <w:rFonts w:ascii="Times New Roman" w:hAnsi="Times New Roman"/>
              </w:rPr>
            </w:pPr>
            <w:r w:rsidRPr="001C6878">
              <w:rPr>
                <w:rFonts w:ascii="Times New Roman" w:hAnsi="Times New Roman"/>
                <w:lang w:eastAsia="lv-LV"/>
              </w:rPr>
              <w:t>1 189 057 </w:t>
            </w:r>
          </w:p>
        </w:tc>
        <w:tc>
          <w:tcPr>
            <w:tcW w:w="1017" w:type="dxa"/>
            <w:shd w:val="clear" w:color="auto" w:fill="FFFFFF"/>
            <w:vAlign w:val="center"/>
            <w:hideMark/>
          </w:tcPr>
          <w:p w14:paraId="6EF03B55"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FFFFFF"/>
            <w:vAlign w:val="center"/>
            <w:hideMark/>
          </w:tcPr>
          <w:p w14:paraId="11210F63"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69BC2518" w14:textId="77777777" w:rsidTr="004F5A42">
        <w:trPr>
          <w:cantSplit/>
          <w:trHeight w:val="1962"/>
        </w:trPr>
        <w:tc>
          <w:tcPr>
            <w:tcW w:w="2163" w:type="dxa"/>
            <w:gridSpan w:val="2"/>
            <w:shd w:val="clear" w:color="auto" w:fill="auto"/>
            <w:hideMark/>
          </w:tcPr>
          <w:p w14:paraId="17BE3E3E"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lastRenderedPageBreak/>
              <w:t>1.1. valsts pamatbudžets, tai skaitā ieņēmumi no maksas pakalpojumiem un citi pašu ieņēmumi</w:t>
            </w:r>
          </w:p>
        </w:tc>
        <w:tc>
          <w:tcPr>
            <w:tcW w:w="953" w:type="dxa"/>
            <w:shd w:val="clear" w:color="auto" w:fill="auto"/>
            <w:vAlign w:val="center"/>
          </w:tcPr>
          <w:p w14:paraId="78668259" w14:textId="15B9A695" w:rsidR="00A865DE" w:rsidRPr="001C6878" w:rsidRDefault="00A865DE" w:rsidP="00A865DE">
            <w:pPr>
              <w:jc w:val="center"/>
              <w:rPr>
                <w:rFonts w:ascii="Times New Roman" w:hAnsi="Times New Roman"/>
              </w:rPr>
            </w:pPr>
            <w:r w:rsidRPr="001C6878">
              <w:rPr>
                <w:rFonts w:ascii="Times New Roman" w:hAnsi="Times New Roman"/>
                <w:lang w:eastAsia="lv-LV"/>
              </w:rPr>
              <w:t>1 189 057</w:t>
            </w:r>
          </w:p>
        </w:tc>
        <w:tc>
          <w:tcPr>
            <w:tcW w:w="1194" w:type="dxa"/>
            <w:shd w:val="clear" w:color="auto" w:fill="auto"/>
            <w:vAlign w:val="center"/>
            <w:hideMark/>
          </w:tcPr>
          <w:p w14:paraId="0FA38885"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0FB91748" w14:textId="77777777" w:rsidR="00A865DE" w:rsidRPr="001C6878" w:rsidRDefault="00A865DE" w:rsidP="00A865DE">
            <w:pPr>
              <w:jc w:val="center"/>
              <w:rPr>
                <w:rFonts w:ascii="Times New Roman" w:hAnsi="Times New Roman"/>
              </w:rPr>
            </w:pPr>
            <w:r w:rsidRPr="001C6878">
              <w:rPr>
                <w:rFonts w:ascii="Times New Roman" w:hAnsi="Times New Roman"/>
                <w:lang w:eastAsia="lv-LV"/>
              </w:rPr>
              <w:t>1 189 057</w:t>
            </w:r>
          </w:p>
        </w:tc>
        <w:tc>
          <w:tcPr>
            <w:tcW w:w="1016" w:type="dxa"/>
            <w:shd w:val="clear" w:color="auto" w:fill="auto"/>
            <w:vAlign w:val="center"/>
            <w:hideMark/>
          </w:tcPr>
          <w:p w14:paraId="4ABEEB24"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194F9095" w14:textId="77777777" w:rsidR="00A865DE" w:rsidRPr="001C6878" w:rsidRDefault="00A865DE" w:rsidP="00A865DE">
            <w:pPr>
              <w:jc w:val="center"/>
              <w:rPr>
                <w:rFonts w:ascii="Times New Roman" w:hAnsi="Times New Roman"/>
              </w:rPr>
            </w:pPr>
            <w:r w:rsidRPr="001C6878">
              <w:rPr>
                <w:rFonts w:ascii="Times New Roman" w:hAnsi="Times New Roman"/>
                <w:lang w:eastAsia="lv-LV"/>
              </w:rPr>
              <w:t>1 189 057 </w:t>
            </w:r>
          </w:p>
        </w:tc>
        <w:tc>
          <w:tcPr>
            <w:tcW w:w="1017" w:type="dxa"/>
            <w:shd w:val="clear" w:color="auto" w:fill="auto"/>
            <w:vAlign w:val="center"/>
            <w:hideMark/>
          </w:tcPr>
          <w:p w14:paraId="1C6A6911"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394D68D9"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41FC3D79" w14:textId="77777777" w:rsidTr="008E61C9">
        <w:trPr>
          <w:cantSplit/>
        </w:trPr>
        <w:tc>
          <w:tcPr>
            <w:tcW w:w="2163" w:type="dxa"/>
            <w:gridSpan w:val="2"/>
            <w:shd w:val="clear" w:color="auto" w:fill="auto"/>
            <w:hideMark/>
          </w:tcPr>
          <w:p w14:paraId="71E808DF"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1.2. valsts speciālais budžets</w:t>
            </w:r>
          </w:p>
        </w:tc>
        <w:tc>
          <w:tcPr>
            <w:tcW w:w="953" w:type="dxa"/>
            <w:shd w:val="clear" w:color="auto" w:fill="auto"/>
            <w:vAlign w:val="center"/>
            <w:hideMark/>
          </w:tcPr>
          <w:p w14:paraId="6DA93637"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194" w:type="dxa"/>
            <w:shd w:val="clear" w:color="auto" w:fill="auto"/>
            <w:vAlign w:val="center"/>
            <w:hideMark/>
          </w:tcPr>
          <w:p w14:paraId="0F91C8B4"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66CD6A72"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71797512"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5B8D35B0"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7" w:type="dxa"/>
            <w:shd w:val="clear" w:color="auto" w:fill="auto"/>
            <w:vAlign w:val="center"/>
            <w:hideMark/>
          </w:tcPr>
          <w:p w14:paraId="53518E68"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7AD11414"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26BC59D1" w14:textId="77777777" w:rsidTr="008E61C9">
        <w:trPr>
          <w:cantSplit/>
        </w:trPr>
        <w:tc>
          <w:tcPr>
            <w:tcW w:w="2163" w:type="dxa"/>
            <w:gridSpan w:val="2"/>
            <w:shd w:val="clear" w:color="auto" w:fill="auto"/>
            <w:hideMark/>
          </w:tcPr>
          <w:p w14:paraId="04CF2EB1"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1.3. pašvaldību budžets</w:t>
            </w:r>
          </w:p>
        </w:tc>
        <w:tc>
          <w:tcPr>
            <w:tcW w:w="953" w:type="dxa"/>
            <w:shd w:val="clear" w:color="auto" w:fill="auto"/>
            <w:vAlign w:val="center"/>
            <w:hideMark/>
          </w:tcPr>
          <w:p w14:paraId="1B3EE6B6"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194" w:type="dxa"/>
            <w:shd w:val="clear" w:color="auto" w:fill="auto"/>
            <w:vAlign w:val="center"/>
            <w:hideMark/>
          </w:tcPr>
          <w:p w14:paraId="5725A69D"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5A75AE59"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6FAE79F3"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13895584"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7" w:type="dxa"/>
            <w:shd w:val="clear" w:color="auto" w:fill="auto"/>
            <w:vAlign w:val="center"/>
            <w:hideMark/>
          </w:tcPr>
          <w:p w14:paraId="16A274B5"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71640FBA"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654C49D7" w14:textId="77777777" w:rsidTr="008E61C9">
        <w:trPr>
          <w:cantSplit/>
        </w:trPr>
        <w:tc>
          <w:tcPr>
            <w:tcW w:w="2163" w:type="dxa"/>
            <w:gridSpan w:val="2"/>
            <w:shd w:val="clear" w:color="auto" w:fill="auto"/>
            <w:hideMark/>
          </w:tcPr>
          <w:p w14:paraId="22CE7B86"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2. Budžeta izdevumi</w:t>
            </w:r>
          </w:p>
        </w:tc>
        <w:tc>
          <w:tcPr>
            <w:tcW w:w="953" w:type="dxa"/>
            <w:shd w:val="clear" w:color="auto" w:fill="auto"/>
            <w:vAlign w:val="center"/>
            <w:hideMark/>
          </w:tcPr>
          <w:p w14:paraId="666579ED"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194" w:type="dxa"/>
            <w:shd w:val="clear" w:color="auto" w:fill="auto"/>
            <w:vAlign w:val="center"/>
            <w:hideMark/>
          </w:tcPr>
          <w:p w14:paraId="5E03666B"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437CF13C"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016" w:type="dxa"/>
            <w:shd w:val="clear" w:color="auto" w:fill="auto"/>
            <w:vAlign w:val="center"/>
            <w:hideMark/>
          </w:tcPr>
          <w:p w14:paraId="2B3F66E3"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3A5ACF02"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017" w:type="dxa"/>
            <w:shd w:val="clear" w:color="auto" w:fill="auto"/>
            <w:vAlign w:val="center"/>
            <w:hideMark/>
          </w:tcPr>
          <w:p w14:paraId="48C45093"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2E53F0DE"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66AAEB83" w14:textId="77777777" w:rsidTr="008E61C9">
        <w:trPr>
          <w:cantSplit/>
        </w:trPr>
        <w:tc>
          <w:tcPr>
            <w:tcW w:w="2163" w:type="dxa"/>
            <w:gridSpan w:val="2"/>
            <w:shd w:val="clear" w:color="auto" w:fill="auto"/>
            <w:hideMark/>
          </w:tcPr>
          <w:p w14:paraId="3AB9AB1A"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2.1. valsts pamatbudžets</w:t>
            </w:r>
          </w:p>
        </w:tc>
        <w:tc>
          <w:tcPr>
            <w:tcW w:w="953" w:type="dxa"/>
            <w:shd w:val="clear" w:color="auto" w:fill="auto"/>
            <w:vAlign w:val="center"/>
            <w:hideMark/>
          </w:tcPr>
          <w:p w14:paraId="7FE5D0CB" w14:textId="77777777" w:rsidR="00A865DE" w:rsidRPr="001C6878" w:rsidRDefault="00A865DE" w:rsidP="00A865DE">
            <w:pPr>
              <w:jc w:val="center"/>
              <w:rPr>
                <w:rFonts w:ascii="Times New Roman" w:hAnsi="Times New Roman"/>
              </w:rPr>
            </w:pPr>
            <w:r>
              <w:rPr>
                <w:rFonts w:ascii="Times New Roman" w:hAnsi="Times New Roman"/>
                <w:lang w:eastAsia="lv-LV"/>
              </w:rPr>
              <w:t>0</w:t>
            </w:r>
            <w:r w:rsidRPr="001C6878">
              <w:rPr>
                <w:rFonts w:ascii="Times New Roman" w:hAnsi="Times New Roman"/>
                <w:lang w:eastAsia="lv-LV"/>
              </w:rPr>
              <w:t> </w:t>
            </w:r>
          </w:p>
        </w:tc>
        <w:tc>
          <w:tcPr>
            <w:tcW w:w="1194" w:type="dxa"/>
            <w:shd w:val="clear" w:color="auto" w:fill="auto"/>
            <w:vAlign w:val="center"/>
            <w:hideMark/>
          </w:tcPr>
          <w:p w14:paraId="2E87FF79"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32608506"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016" w:type="dxa"/>
            <w:shd w:val="clear" w:color="auto" w:fill="auto"/>
            <w:vAlign w:val="center"/>
            <w:hideMark/>
          </w:tcPr>
          <w:p w14:paraId="3BDBF645"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00838CA9"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017" w:type="dxa"/>
            <w:shd w:val="clear" w:color="auto" w:fill="auto"/>
            <w:vAlign w:val="center"/>
            <w:hideMark/>
          </w:tcPr>
          <w:p w14:paraId="51B7EFD5"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1878A050"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2E240D19" w14:textId="77777777" w:rsidTr="008E61C9">
        <w:trPr>
          <w:cantSplit/>
        </w:trPr>
        <w:tc>
          <w:tcPr>
            <w:tcW w:w="2163" w:type="dxa"/>
            <w:gridSpan w:val="2"/>
            <w:shd w:val="clear" w:color="auto" w:fill="auto"/>
            <w:hideMark/>
          </w:tcPr>
          <w:p w14:paraId="4619E13F"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2.2. valsts speciālais budžets</w:t>
            </w:r>
          </w:p>
        </w:tc>
        <w:tc>
          <w:tcPr>
            <w:tcW w:w="953" w:type="dxa"/>
            <w:shd w:val="clear" w:color="auto" w:fill="auto"/>
            <w:vAlign w:val="center"/>
            <w:hideMark/>
          </w:tcPr>
          <w:p w14:paraId="69E313DD"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194" w:type="dxa"/>
            <w:shd w:val="clear" w:color="auto" w:fill="auto"/>
            <w:vAlign w:val="center"/>
            <w:hideMark/>
          </w:tcPr>
          <w:p w14:paraId="477DE74B"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441EF233"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723E7314"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60D1BD53"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7" w:type="dxa"/>
            <w:shd w:val="clear" w:color="auto" w:fill="auto"/>
            <w:vAlign w:val="center"/>
            <w:hideMark/>
          </w:tcPr>
          <w:p w14:paraId="69590B1E"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180C624E"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421C8B97" w14:textId="77777777" w:rsidTr="008E61C9">
        <w:trPr>
          <w:cantSplit/>
        </w:trPr>
        <w:tc>
          <w:tcPr>
            <w:tcW w:w="2163" w:type="dxa"/>
            <w:gridSpan w:val="2"/>
            <w:shd w:val="clear" w:color="auto" w:fill="auto"/>
            <w:hideMark/>
          </w:tcPr>
          <w:p w14:paraId="38174BDA"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2.3. pašvaldību budžets</w:t>
            </w:r>
          </w:p>
        </w:tc>
        <w:tc>
          <w:tcPr>
            <w:tcW w:w="953" w:type="dxa"/>
            <w:shd w:val="clear" w:color="auto" w:fill="auto"/>
            <w:vAlign w:val="center"/>
            <w:hideMark/>
          </w:tcPr>
          <w:p w14:paraId="70C5C6E1"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194" w:type="dxa"/>
            <w:shd w:val="clear" w:color="auto" w:fill="auto"/>
            <w:vAlign w:val="center"/>
            <w:hideMark/>
          </w:tcPr>
          <w:p w14:paraId="6E6B9A06"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3100D4C9"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07EFFF8F"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1D2BD0F1"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7" w:type="dxa"/>
            <w:shd w:val="clear" w:color="auto" w:fill="auto"/>
            <w:vAlign w:val="center"/>
            <w:hideMark/>
          </w:tcPr>
          <w:p w14:paraId="34FB65AC"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2B785333"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587A201B" w14:textId="77777777" w:rsidTr="008E61C9">
        <w:trPr>
          <w:cantSplit/>
        </w:trPr>
        <w:tc>
          <w:tcPr>
            <w:tcW w:w="2163" w:type="dxa"/>
            <w:gridSpan w:val="2"/>
            <w:shd w:val="clear" w:color="auto" w:fill="auto"/>
            <w:hideMark/>
          </w:tcPr>
          <w:p w14:paraId="5C24054F"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3. Finansiālā ietekme</w:t>
            </w:r>
          </w:p>
        </w:tc>
        <w:tc>
          <w:tcPr>
            <w:tcW w:w="953" w:type="dxa"/>
            <w:shd w:val="clear" w:color="auto" w:fill="auto"/>
            <w:vAlign w:val="center"/>
            <w:hideMark/>
          </w:tcPr>
          <w:p w14:paraId="6CEC7F4A"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194" w:type="dxa"/>
            <w:shd w:val="clear" w:color="auto" w:fill="auto"/>
            <w:vAlign w:val="center"/>
            <w:hideMark/>
          </w:tcPr>
          <w:p w14:paraId="47DC20AF"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62DEBB81"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016" w:type="dxa"/>
            <w:shd w:val="clear" w:color="auto" w:fill="auto"/>
            <w:vAlign w:val="center"/>
            <w:hideMark/>
          </w:tcPr>
          <w:p w14:paraId="15CC2D37"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54EF594B"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017" w:type="dxa"/>
            <w:shd w:val="clear" w:color="auto" w:fill="auto"/>
            <w:vAlign w:val="center"/>
            <w:hideMark/>
          </w:tcPr>
          <w:p w14:paraId="7D416291"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506F4A16"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49B6D39A" w14:textId="77777777" w:rsidTr="008E61C9">
        <w:trPr>
          <w:cantSplit/>
        </w:trPr>
        <w:tc>
          <w:tcPr>
            <w:tcW w:w="2163" w:type="dxa"/>
            <w:gridSpan w:val="2"/>
            <w:shd w:val="clear" w:color="auto" w:fill="auto"/>
            <w:hideMark/>
          </w:tcPr>
          <w:p w14:paraId="602E9E26"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3.1. valsts pamatbudžets</w:t>
            </w:r>
          </w:p>
        </w:tc>
        <w:tc>
          <w:tcPr>
            <w:tcW w:w="953" w:type="dxa"/>
            <w:shd w:val="clear" w:color="auto" w:fill="auto"/>
            <w:vAlign w:val="center"/>
            <w:hideMark/>
          </w:tcPr>
          <w:p w14:paraId="7775F8AF"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194" w:type="dxa"/>
            <w:shd w:val="clear" w:color="auto" w:fill="auto"/>
            <w:vAlign w:val="center"/>
            <w:hideMark/>
          </w:tcPr>
          <w:p w14:paraId="03D24C76"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35CBFA26"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016" w:type="dxa"/>
            <w:shd w:val="clear" w:color="auto" w:fill="auto"/>
            <w:vAlign w:val="center"/>
            <w:hideMark/>
          </w:tcPr>
          <w:p w14:paraId="6D484EE1"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0A070E18" w14:textId="77777777" w:rsidR="00A865DE" w:rsidRPr="001C6878" w:rsidRDefault="00A865DE" w:rsidP="00A865DE">
            <w:pPr>
              <w:jc w:val="center"/>
              <w:rPr>
                <w:rFonts w:ascii="Times New Roman" w:hAnsi="Times New Roman"/>
              </w:rPr>
            </w:pPr>
            <w:r>
              <w:rPr>
                <w:rFonts w:ascii="Times New Roman" w:hAnsi="Times New Roman"/>
                <w:lang w:eastAsia="lv-LV"/>
              </w:rPr>
              <w:t>0</w:t>
            </w:r>
          </w:p>
        </w:tc>
        <w:tc>
          <w:tcPr>
            <w:tcW w:w="1017" w:type="dxa"/>
            <w:shd w:val="clear" w:color="auto" w:fill="auto"/>
            <w:vAlign w:val="center"/>
            <w:hideMark/>
          </w:tcPr>
          <w:p w14:paraId="4BB4680A"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63081FBF"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129281BC" w14:textId="77777777" w:rsidTr="008E61C9">
        <w:trPr>
          <w:cantSplit/>
        </w:trPr>
        <w:tc>
          <w:tcPr>
            <w:tcW w:w="2163" w:type="dxa"/>
            <w:gridSpan w:val="2"/>
            <w:shd w:val="clear" w:color="auto" w:fill="auto"/>
            <w:hideMark/>
          </w:tcPr>
          <w:p w14:paraId="05E0A665"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3.2. speciālais budžets</w:t>
            </w:r>
          </w:p>
        </w:tc>
        <w:tc>
          <w:tcPr>
            <w:tcW w:w="953" w:type="dxa"/>
            <w:shd w:val="clear" w:color="auto" w:fill="auto"/>
            <w:vAlign w:val="center"/>
            <w:hideMark/>
          </w:tcPr>
          <w:p w14:paraId="165C364D"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194" w:type="dxa"/>
            <w:shd w:val="clear" w:color="auto" w:fill="auto"/>
            <w:vAlign w:val="center"/>
            <w:hideMark/>
          </w:tcPr>
          <w:p w14:paraId="6A9BF7FE"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7C85CB2C"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33D05983"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5B06BA40"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7" w:type="dxa"/>
            <w:shd w:val="clear" w:color="auto" w:fill="auto"/>
            <w:vAlign w:val="center"/>
            <w:hideMark/>
          </w:tcPr>
          <w:p w14:paraId="2C2403EA"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7CB6F99A"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1D8DD91D" w14:textId="77777777" w:rsidTr="008E61C9">
        <w:trPr>
          <w:cantSplit/>
        </w:trPr>
        <w:tc>
          <w:tcPr>
            <w:tcW w:w="2163" w:type="dxa"/>
            <w:gridSpan w:val="2"/>
            <w:shd w:val="clear" w:color="auto" w:fill="auto"/>
            <w:hideMark/>
          </w:tcPr>
          <w:p w14:paraId="1987B548"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3.3. pašvaldību budžets</w:t>
            </w:r>
          </w:p>
        </w:tc>
        <w:tc>
          <w:tcPr>
            <w:tcW w:w="953" w:type="dxa"/>
            <w:shd w:val="clear" w:color="auto" w:fill="auto"/>
            <w:vAlign w:val="center"/>
            <w:hideMark/>
          </w:tcPr>
          <w:p w14:paraId="0642568A"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194" w:type="dxa"/>
            <w:shd w:val="clear" w:color="auto" w:fill="auto"/>
            <w:vAlign w:val="center"/>
            <w:hideMark/>
          </w:tcPr>
          <w:p w14:paraId="39FE9545"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76B14730"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0A04F573"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7B48FDBD"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7" w:type="dxa"/>
            <w:shd w:val="clear" w:color="auto" w:fill="auto"/>
            <w:vAlign w:val="center"/>
            <w:hideMark/>
          </w:tcPr>
          <w:p w14:paraId="3A3B2802"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0A7AA162"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76763619" w14:textId="77777777" w:rsidTr="008E61C9">
        <w:trPr>
          <w:cantSplit/>
          <w:trHeight w:val="2376"/>
        </w:trPr>
        <w:tc>
          <w:tcPr>
            <w:tcW w:w="2163" w:type="dxa"/>
            <w:gridSpan w:val="2"/>
            <w:shd w:val="clear" w:color="auto" w:fill="auto"/>
            <w:hideMark/>
          </w:tcPr>
          <w:p w14:paraId="65CEDCF6"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4. Finanšu līdzekļi papildu izdevumu finansēšanai (kompensējošu izdevumu samazinājumu norāda ar "+" zīmi)</w:t>
            </w:r>
          </w:p>
        </w:tc>
        <w:tc>
          <w:tcPr>
            <w:tcW w:w="953" w:type="dxa"/>
            <w:shd w:val="clear" w:color="auto" w:fill="auto"/>
            <w:vAlign w:val="center"/>
            <w:hideMark/>
          </w:tcPr>
          <w:p w14:paraId="4BFFC8BF" w14:textId="77777777" w:rsidR="00A865DE" w:rsidRPr="001C6878" w:rsidRDefault="00A865DE" w:rsidP="00A865DE">
            <w:pPr>
              <w:jc w:val="center"/>
              <w:rPr>
                <w:rFonts w:ascii="Times New Roman" w:hAnsi="Times New Roman"/>
              </w:rPr>
            </w:pPr>
            <w:r>
              <w:rPr>
                <w:rFonts w:ascii="Times New Roman" w:hAnsi="Times New Roman"/>
              </w:rPr>
              <w:t>X</w:t>
            </w:r>
          </w:p>
        </w:tc>
        <w:tc>
          <w:tcPr>
            <w:tcW w:w="1194" w:type="dxa"/>
            <w:shd w:val="clear" w:color="auto" w:fill="auto"/>
            <w:vAlign w:val="center"/>
            <w:hideMark/>
          </w:tcPr>
          <w:p w14:paraId="2EC51923"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941" w:type="dxa"/>
            <w:shd w:val="clear" w:color="auto" w:fill="auto"/>
            <w:vAlign w:val="center"/>
            <w:hideMark/>
          </w:tcPr>
          <w:p w14:paraId="5A620DB5" w14:textId="77777777" w:rsidR="00A865DE" w:rsidRPr="001C6878" w:rsidRDefault="00A865DE" w:rsidP="00A865DE">
            <w:pPr>
              <w:jc w:val="center"/>
              <w:rPr>
                <w:rFonts w:ascii="Times New Roman" w:hAnsi="Times New Roman"/>
              </w:rPr>
            </w:pPr>
            <w:r>
              <w:rPr>
                <w:rFonts w:ascii="Times New Roman" w:hAnsi="Times New Roman"/>
              </w:rPr>
              <w:t>X</w:t>
            </w:r>
          </w:p>
        </w:tc>
        <w:tc>
          <w:tcPr>
            <w:tcW w:w="1016" w:type="dxa"/>
            <w:shd w:val="clear" w:color="auto" w:fill="auto"/>
            <w:vAlign w:val="center"/>
            <w:hideMark/>
          </w:tcPr>
          <w:p w14:paraId="7EB4C938"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16" w:type="dxa"/>
            <w:shd w:val="clear" w:color="auto" w:fill="auto"/>
            <w:vAlign w:val="center"/>
            <w:hideMark/>
          </w:tcPr>
          <w:p w14:paraId="78985BD5" w14:textId="77777777" w:rsidR="00A865DE" w:rsidRPr="001C6878" w:rsidRDefault="00A865DE" w:rsidP="00A865DE">
            <w:pPr>
              <w:jc w:val="center"/>
              <w:rPr>
                <w:rFonts w:ascii="Times New Roman" w:hAnsi="Times New Roman"/>
              </w:rPr>
            </w:pPr>
            <w:r>
              <w:rPr>
                <w:rFonts w:ascii="Times New Roman" w:hAnsi="Times New Roman"/>
              </w:rPr>
              <w:t>X</w:t>
            </w:r>
          </w:p>
        </w:tc>
        <w:tc>
          <w:tcPr>
            <w:tcW w:w="1017" w:type="dxa"/>
            <w:shd w:val="clear" w:color="auto" w:fill="auto"/>
            <w:vAlign w:val="center"/>
            <w:hideMark/>
          </w:tcPr>
          <w:p w14:paraId="0807E934" w14:textId="77777777" w:rsidR="00A865DE" w:rsidRPr="001C6878" w:rsidRDefault="00A865DE" w:rsidP="00A865DE">
            <w:pPr>
              <w:jc w:val="center"/>
              <w:rPr>
                <w:rFonts w:ascii="Times New Roman" w:hAnsi="Times New Roman"/>
              </w:rPr>
            </w:pPr>
            <w:r w:rsidRPr="001C6878">
              <w:rPr>
                <w:rFonts w:ascii="Times New Roman" w:hAnsi="Times New Roman"/>
              </w:rPr>
              <w:t>0</w:t>
            </w:r>
          </w:p>
        </w:tc>
        <w:tc>
          <w:tcPr>
            <w:tcW w:w="1053" w:type="dxa"/>
            <w:shd w:val="clear" w:color="auto" w:fill="auto"/>
            <w:vAlign w:val="center"/>
            <w:hideMark/>
          </w:tcPr>
          <w:p w14:paraId="328A15E1" w14:textId="77777777" w:rsidR="00A865DE" w:rsidRPr="001C6878" w:rsidRDefault="00A865DE" w:rsidP="00A865DE">
            <w:pPr>
              <w:jc w:val="center"/>
              <w:rPr>
                <w:rFonts w:ascii="Times New Roman" w:hAnsi="Times New Roman"/>
              </w:rPr>
            </w:pPr>
            <w:r w:rsidRPr="001C6878">
              <w:rPr>
                <w:rFonts w:ascii="Times New Roman" w:hAnsi="Times New Roman"/>
              </w:rPr>
              <w:t>0</w:t>
            </w:r>
          </w:p>
        </w:tc>
      </w:tr>
      <w:tr w:rsidR="00A865DE" w:rsidRPr="00FE7429" w14:paraId="23A31E36" w14:textId="77777777" w:rsidTr="008E61C9">
        <w:trPr>
          <w:cantSplit/>
        </w:trPr>
        <w:tc>
          <w:tcPr>
            <w:tcW w:w="2163" w:type="dxa"/>
            <w:gridSpan w:val="2"/>
            <w:shd w:val="clear" w:color="auto" w:fill="auto"/>
            <w:hideMark/>
          </w:tcPr>
          <w:p w14:paraId="3006435C"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5. Precizēta finansiālā ietekme</w:t>
            </w:r>
          </w:p>
        </w:tc>
        <w:tc>
          <w:tcPr>
            <w:tcW w:w="953" w:type="dxa"/>
            <w:vMerge w:val="restart"/>
            <w:shd w:val="clear" w:color="auto" w:fill="auto"/>
            <w:vAlign w:val="center"/>
            <w:hideMark/>
          </w:tcPr>
          <w:p w14:paraId="7B52F802"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X</w:t>
            </w:r>
          </w:p>
        </w:tc>
        <w:tc>
          <w:tcPr>
            <w:tcW w:w="1194" w:type="dxa"/>
            <w:shd w:val="clear" w:color="auto" w:fill="auto"/>
            <w:vAlign w:val="center"/>
            <w:hideMark/>
          </w:tcPr>
          <w:p w14:paraId="390171E4"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941" w:type="dxa"/>
            <w:vMerge w:val="restart"/>
            <w:shd w:val="clear" w:color="auto" w:fill="auto"/>
            <w:vAlign w:val="center"/>
            <w:hideMark/>
          </w:tcPr>
          <w:p w14:paraId="077B19C3"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X</w:t>
            </w:r>
          </w:p>
        </w:tc>
        <w:tc>
          <w:tcPr>
            <w:tcW w:w="1016" w:type="dxa"/>
            <w:shd w:val="clear" w:color="auto" w:fill="auto"/>
            <w:vAlign w:val="center"/>
            <w:hideMark/>
          </w:tcPr>
          <w:p w14:paraId="189810D4"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1016" w:type="dxa"/>
            <w:vMerge w:val="restart"/>
            <w:shd w:val="clear" w:color="auto" w:fill="auto"/>
            <w:vAlign w:val="center"/>
            <w:hideMark/>
          </w:tcPr>
          <w:p w14:paraId="1CCA5754"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X</w:t>
            </w:r>
          </w:p>
        </w:tc>
        <w:tc>
          <w:tcPr>
            <w:tcW w:w="1017" w:type="dxa"/>
            <w:shd w:val="clear" w:color="auto" w:fill="auto"/>
            <w:vAlign w:val="center"/>
            <w:hideMark/>
          </w:tcPr>
          <w:p w14:paraId="198501D7"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1053" w:type="dxa"/>
            <w:shd w:val="clear" w:color="auto" w:fill="auto"/>
            <w:vAlign w:val="center"/>
            <w:hideMark/>
          </w:tcPr>
          <w:p w14:paraId="1EA46428"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r>
      <w:tr w:rsidR="00A865DE" w:rsidRPr="00FE7429" w14:paraId="54327136" w14:textId="77777777" w:rsidTr="008E61C9">
        <w:trPr>
          <w:cantSplit/>
        </w:trPr>
        <w:tc>
          <w:tcPr>
            <w:tcW w:w="2163" w:type="dxa"/>
            <w:gridSpan w:val="2"/>
            <w:shd w:val="clear" w:color="auto" w:fill="auto"/>
            <w:hideMark/>
          </w:tcPr>
          <w:p w14:paraId="43CAC2A0"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lastRenderedPageBreak/>
              <w:t>5.1. valsts pamatbudžets</w:t>
            </w:r>
          </w:p>
        </w:tc>
        <w:tc>
          <w:tcPr>
            <w:tcW w:w="953" w:type="dxa"/>
            <w:vMerge/>
            <w:shd w:val="clear" w:color="auto" w:fill="auto"/>
            <w:vAlign w:val="center"/>
            <w:hideMark/>
          </w:tcPr>
          <w:p w14:paraId="54995921" w14:textId="77777777" w:rsidR="00A865DE" w:rsidRPr="00FE7429" w:rsidRDefault="00A865DE" w:rsidP="00A865DE">
            <w:pPr>
              <w:jc w:val="center"/>
              <w:rPr>
                <w:rFonts w:ascii="Times New Roman" w:hAnsi="Times New Roman"/>
                <w:sz w:val="24"/>
                <w:szCs w:val="24"/>
              </w:rPr>
            </w:pPr>
          </w:p>
        </w:tc>
        <w:tc>
          <w:tcPr>
            <w:tcW w:w="1194" w:type="dxa"/>
            <w:shd w:val="clear" w:color="auto" w:fill="auto"/>
            <w:vAlign w:val="center"/>
            <w:hideMark/>
          </w:tcPr>
          <w:p w14:paraId="19FD1B23"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941" w:type="dxa"/>
            <w:vMerge/>
            <w:shd w:val="clear" w:color="auto" w:fill="auto"/>
            <w:vAlign w:val="center"/>
            <w:hideMark/>
          </w:tcPr>
          <w:p w14:paraId="1E06C085" w14:textId="77777777" w:rsidR="00A865DE" w:rsidRPr="00FE7429" w:rsidRDefault="00A865DE" w:rsidP="00A865DE">
            <w:pPr>
              <w:jc w:val="center"/>
              <w:rPr>
                <w:rFonts w:ascii="Times New Roman" w:hAnsi="Times New Roman"/>
                <w:sz w:val="24"/>
                <w:szCs w:val="24"/>
              </w:rPr>
            </w:pPr>
          </w:p>
        </w:tc>
        <w:tc>
          <w:tcPr>
            <w:tcW w:w="1016" w:type="dxa"/>
            <w:shd w:val="clear" w:color="auto" w:fill="auto"/>
            <w:vAlign w:val="center"/>
            <w:hideMark/>
          </w:tcPr>
          <w:p w14:paraId="041467A4"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1016" w:type="dxa"/>
            <w:vMerge/>
            <w:shd w:val="clear" w:color="auto" w:fill="auto"/>
            <w:vAlign w:val="center"/>
            <w:hideMark/>
          </w:tcPr>
          <w:p w14:paraId="1DD8B055" w14:textId="77777777" w:rsidR="00A865DE" w:rsidRPr="00FE7429" w:rsidRDefault="00A865DE" w:rsidP="00A865DE">
            <w:pPr>
              <w:jc w:val="center"/>
              <w:rPr>
                <w:rFonts w:ascii="Times New Roman" w:hAnsi="Times New Roman"/>
                <w:sz w:val="24"/>
                <w:szCs w:val="24"/>
              </w:rPr>
            </w:pPr>
          </w:p>
        </w:tc>
        <w:tc>
          <w:tcPr>
            <w:tcW w:w="1017" w:type="dxa"/>
            <w:shd w:val="clear" w:color="auto" w:fill="auto"/>
            <w:vAlign w:val="center"/>
            <w:hideMark/>
          </w:tcPr>
          <w:p w14:paraId="1CF177BC"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1053" w:type="dxa"/>
            <w:shd w:val="clear" w:color="auto" w:fill="auto"/>
            <w:vAlign w:val="center"/>
            <w:hideMark/>
          </w:tcPr>
          <w:p w14:paraId="768B2C61"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r>
      <w:tr w:rsidR="00A865DE" w:rsidRPr="00FE7429" w14:paraId="0A2AD271" w14:textId="77777777" w:rsidTr="008E61C9">
        <w:trPr>
          <w:cantSplit/>
        </w:trPr>
        <w:tc>
          <w:tcPr>
            <w:tcW w:w="2163" w:type="dxa"/>
            <w:gridSpan w:val="2"/>
            <w:shd w:val="clear" w:color="auto" w:fill="auto"/>
            <w:hideMark/>
          </w:tcPr>
          <w:p w14:paraId="2E2DF4B8"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5.2. speciālais budžets</w:t>
            </w:r>
          </w:p>
        </w:tc>
        <w:tc>
          <w:tcPr>
            <w:tcW w:w="953" w:type="dxa"/>
            <w:vMerge/>
            <w:shd w:val="clear" w:color="auto" w:fill="auto"/>
            <w:vAlign w:val="center"/>
            <w:hideMark/>
          </w:tcPr>
          <w:p w14:paraId="3411F0FD" w14:textId="77777777" w:rsidR="00A865DE" w:rsidRPr="00FE7429" w:rsidRDefault="00A865DE" w:rsidP="00A865DE">
            <w:pPr>
              <w:jc w:val="center"/>
              <w:rPr>
                <w:rFonts w:ascii="Times New Roman" w:hAnsi="Times New Roman"/>
                <w:sz w:val="24"/>
                <w:szCs w:val="24"/>
              </w:rPr>
            </w:pPr>
          </w:p>
        </w:tc>
        <w:tc>
          <w:tcPr>
            <w:tcW w:w="1194" w:type="dxa"/>
            <w:shd w:val="clear" w:color="auto" w:fill="auto"/>
            <w:vAlign w:val="center"/>
            <w:hideMark/>
          </w:tcPr>
          <w:p w14:paraId="2F56F1F4"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941" w:type="dxa"/>
            <w:vMerge/>
            <w:shd w:val="clear" w:color="auto" w:fill="auto"/>
            <w:vAlign w:val="center"/>
            <w:hideMark/>
          </w:tcPr>
          <w:p w14:paraId="358CE187" w14:textId="77777777" w:rsidR="00A865DE" w:rsidRPr="00FE7429" w:rsidRDefault="00A865DE" w:rsidP="00A865DE">
            <w:pPr>
              <w:jc w:val="center"/>
              <w:rPr>
                <w:rFonts w:ascii="Times New Roman" w:hAnsi="Times New Roman"/>
                <w:sz w:val="24"/>
                <w:szCs w:val="24"/>
              </w:rPr>
            </w:pPr>
          </w:p>
        </w:tc>
        <w:tc>
          <w:tcPr>
            <w:tcW w:w="1016" w:type="dxa"/>
            <w:shd w:val="clear" w:color="auto" w:fill="auto"/>
            <w:vAlign w:val="center"/>
            <w:hideMark/>
          </w:tcPr>
          <w:p w14:paraId="78B4C13F"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1016" w:type="dxa"/>
            <w:vMerge/>
            <w:shd w:val="clear" w:color="auto" w:fill="auto"/>
            <w:vAlign w:val="center"/>
            <w:hideMark/>
          </w:tcPr>
          <w:p w14:paraId="4966797C" w14:textId="77777777" w:rsidR="00A865DE" w:rsidRPr="00FE7429" w:rsidRDefault="00A865DE" w:rsidP="00A865DE">
            <w:pPr>
              <w:jc w:val="center"/>
              <w:rPr>
                <w:rFonts w:ascii="Times New Roman" w:hAnsi="Times New Roman"/>
                <w:sz w:val="24"/>
                <w:szCs w:val="24"/>
              </w:rPr>
            </w:pPr>
          </w:p>
        </w:tc>
        <w:tc>
          <w:tcPr>
            <w:tcW w:w="1017" w:type="dxa"/>
            <w:shd w:val="clear" w:color="auto" w:fill="auto"/>
            <w:vAlign w:val="center"/>
            <w:hideMark/>
          </w:tcPr>
          <w:p w14:paraId="7B4F5D97"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1053" w:type="dxa"/>
            <w:shd w:val="clear" w:color="auto" w:fill="auto"/>
            <w:vAlign w:val="center"/>
            <w:hideMark/>
          </w:tcPr>
          <w:p w14:paraId="2EC65800"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r>
      <w:tr w:rsidR="00A865DE" w:rsidRPr="00FE7429" w14:paraId="74F9D675" w14:textId="77777777" w:rsidTr="008E61C9">
        <w:trPr>
          <w:cantSplit/>
        </w:trPr>
        <w:tc>
          <w:tcPr>
            <w:tcW w:w="2163" w:type="dxa"/>
            <w:gridSpan w:val="2"/>
            <w:shd w:val="clear" w:color="auto" w:fill="auto"/>
            <w:hideMark/>
          </w:tcPr>
          <w:p w14:paraId="27D7F5BF"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5.3. pašvaldību budžets</w:t>
            </w:r>
          </w:p>
        </w:tc>
        <w:tc>
          <w:tcPr>
            <w:tcW w:w="953" w:type="dxa"/>
            <w:vMerge/>
            <w:shd w:val="clear" w:color="auto" w:fill="auto"/>
            <w:vAlign w:val="center"/>
            <w:hideMark/>
          </w:tcPr>
          <w:p w14:paraId="22FB58CF" w14:textId="77777777" w:rsidR="00A865DE" w:rsidRPr="00FE7429" w:rsidRDefault="00A865DE" w:rsidP="00A865DE">
            <w:pPr>
              <w:jc w:val="center"/>
              <w:rPr>
                <w:rFonts w:ascii="Times New Roman" w:hAnsi="Times New Roman"/>
                <w:sz w:val="24"/>
                <w:szCs w:val="24"/>
              </w:rPr>
            </w:pPr>
          </w:p>
        </w:tc>
        <w:tc>
          <w:tcPr>
            <w:tcW w:w="1194" w:type="dxa"/>
            <w:shd w:val="clear" w:color="auto" w:fill="auto"/>
            <w:vAlign w:val="center"/>
            <w:hideMark/>
          </w:tcPr>
          <w:p w14:paraId="1F8ACE6C"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941" w:type="dxa"/>
            <w:vMerge/>
            <w:shd w:val="clear" w:color="auto" w:fill="auto"/>
            <w:vAlign w:val="center"/>
            <w:hideMark/>
          </w:tcPr>
          <w:p w14:paraId="2B1DDB2E" w14:textId="77777777" w:rsidR="00A865DE" w:rsidRPr="00FE7429" w:rsidRDefault="00A865DE" w:rsidP="00A865DE">
            <w:pPr>
              <w:jc w:val="center"/>
              <w:rPr>
                <w:rFonts w:ascii="Times New Roman" w:hAnsi="Times New Roman"/>
                <w:sz w:val="24"/>
                <w:szCs w:val="24"/>
              </w:rPr>
            </w:pPr>
          </w:p>
        </w:tc>
        <w:tc>
          <w:tcPr>
            <w:tcW w:w="1016" w:type="dxa"/>
            <w:shd w:val="clear" w:color="auto" w:fill="auto"/>
            <w:vAlign w:val="center"/>
            <w:hideMark/>
          </w:tcPr>
          <w:p w14:paraId="336E344D"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1016" w:type="dxa"/>
            <w:vMerge/>
            <w:shd w:val="clear" w:color="auto" w:fill="auto"/>
            <w:vAlign w:val="center"/>
            <w:hideMark/>
          </w:tcPr>
          <w:p w14:paraId="25D9377B" w14:textId="77777777" w:rsidR="00A865DE" w:rsidRPr="00FE7429" w:rsidRDefault="00A865DE" w:rsidP="00A865DE">
            <w:pPr>
              <w:jc w:val="center"/>
              <w:rPr>
                <w:rFonts w:ascii="Times New Roman" w:hAnsi="Times New Roman"/>
                <w:sz w:val="24"/>
                <w:szCs w:val="24"/>
              </w:rPr>
            </w:pPr>
          </w:p>
        </w:tc>
        <w:tc>
          <w:tcPr>
            <w:tcW w:w="1017" w:type="dxa"/>
            <w:shd w:val="clear" w:color="auto" w:fill="auto"/>
            <w:vAlign w:val="center"/>
            <w:hideMark/>
          </w:tcPr>
          <w:p w14:paraId="1932246E"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c>
          <w:tcPr>
            <w:tcW w:w="1053" w:type="dxa"/>
            <w:shd w:val="clear" w:color="auto" w:fill="auto"/>
            <w:vAlign w:val="center"/>
            <w:hideMark/>
          </w:tcPr>
          <w:p w14:paraId="33AC5306" w14:textId="77777777" w:rsidR="00A865DE" w:rsidRPr="00FE7429" w:rsidRDefault="00A865DE" w:rsidP="00A865DE">
            <w:pPr>
              <w:jc w:val="center"/>
              <w:rPr>
                <w:rFonts w:ascii="Times New Roman" w:hAnsi="Times New Roman"/>
                <w:sz w:val="24"/>
                <w:szCs w:val="24"/>
              </w:rPr>
            </w:pPr>
            <w:r>
              <w:rPr>
                <w:rFonts w:ascii="Times New Roman" w:hAnsi="Times New Roman"/>
                <w:sz w:val="24"/>
                <w:szCs w:val="24"/>
              </w:rPr>
              <w:t>0</w:t>
            </w:r>
          </w:p>
        </w:tc>
      </w:tr>
      <w:tr w:rsidR="00A865DE" w:rsidRPr="00FE7429" w14:paraId="7BC90E82" w14:textId="77777777" w:rsidTr="008E61C9">
        <w:trPr>
          <w:cantSplit/>
        </w:trPr>
        <w:tc>
          <w:tcPr>
            <w:tcW w:w="2163" w:type="dxa"/>
            <w:gridSpan w:val="2"/>
            <w:shd w:val="clear" w:color="auto" w:fill="auto"/>
            <w:hideMark/>
          </w:tcPr>
          <w:p w14:paraId="2FA53912"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6. Detalizēts ieņēmumu un izdevumu aprēķins (ja nepieciešams, detalizētu ieņēmumu un izdevumu aprēķinu var pievienot anotācijas pielikumā)</w:t>
            </w:r>
          </w:p>
        </w:tc>
        <w:tc>
          <w:tcPr>
            <w:tcW w:w="7190" w:type="dxa"/>
            <w:gridSpan w:val="7"/>
            <w:vMerge w:val="restart"/>
            <w:shd w:val="clear" w:color="auto" w:fill="auto"/>
            <w:vAlign w:val="center"/>
            <w:hideMark/>
          </w:tcPr>
          <w:p w14:paraId="708B3709" w14:textId="34E86D75" w:rsidR="00A865DE" w:rsidRPr="006F46DF" w:rsidRDefault="00A865DE" w:rsidP="00A865DE">
            <w:pPr>
              <w:jc w:val="both"/>
              <w:rPr>
                <w:rFonts w:ascii="Times New Roman" w:hAnsi="Times New Roman"/>
                <w:sz w:val="24"/>
                <w:szCs w:val="24"/>
                <w:lang w:eastAsia="lv-LV"/>
              </w:rPr>
            </w:pPr>
            <w:r w:rsidRPr="002B24C6">
              <w:rPr>
                <w:rFonts w:ascii="Times New Roman" w:hAnsi="Times New Roman"/>
                <w:sz w:val="24"/>
                <w:szCs w:val="24"/>
                <w:lang w:eastAsia="lv-LV"/>
              </w:rPr>
              <w:t>Saskaņā ar likumu “Par valsts budžetu 202</w:t>
            </w:r>
            <w:r>
              <w:rPr>
                <w:rFonts w:ascii="Times New Roman" w:hAnsi="Times New Roman"/>
                <w:sz w:val="24"/>
                <w:szCs w:val="24"/>
                <w:lang w:eastAsia="lv-LV"/>
              </w:rPr>
              <w:t>1</w:t>
            </w:r>
            <w:r w:rsidRPr="002B24C6">
              <w:rPr>
                <w:rFonts w:ascii="Times New Roman" w:hAnsi="Times New Roman"/>
                <w:sz w:val="24"/>
                <w:szCs w:val="24"/>
                <w:lang w:eastAsia="lv-LV"/>
              </w:rPr>
              <w:t>.gadam” un likumu “Par vidēja termiņa budžeta ietvaru 202</w:t>
            </w:r>
            <w:r>
              <w:rPr>
                <w:rFonts w:ascii="Times New Roman" w:hAnsi="Times New Roman"/>
                <w:sz w:val="24"/>
                <w:szCs w:val="24"/>
                <w:lang w:eastAsia="lv-LV"/>
              </w:rPr>
              <w:t>1</w:t>
            </w:r>
            <w:r w:rsidRPr="002B24C6">
              <w:rPr>
                <w:rFonts w:ascii="Times New Roman" w:hAnsi="Times New Roman"/>
                <w:sz w:val="24"/>
                <w:szCs w:val="24"/>
                <w:lang w:eastAsia="lv-LV"/>
              </w:rPr>
              <w:t>., 202</w:t>
            </w:r>
            <w:r>
              <w:rPr>
                <w:rFonts w:ascii="Times New Roman" w:hAnsi="Times New Roman"/>
                <w:sz w:val="24"/>
                <w:szCs w:val="24"/>
                <w:lang w:eastAsia="lv-LV"/>
              </w:rPr>
              <w:t>2</w:t>
            </w:r>
            <w:r w:rsidRPr="002B24C6">
              <w:rPr>
                <w:rFonts w:ascii="Times New Roman" w:hAnsi="Times New Roman"/>
                <w:sz w:val="24"/>
                <w:szCs w:val="24"/>
                <w:lang w:eastAsia="lv-LV"/>
              </w:rPr>
              <w:t>. un 202</w:t>
            </w:r>
            <w:r>
              <w:rPr>
                <w:rFonts w:ascii="Times New Roman" w:hAnsi="Times New Roman"/>
                <w:sz w:val="24"/>
                <w:szCs w:val="24"/>
                <w:lang w:eastAsia="lv-LV"/>
              </w:rPr>
              <w:t>3</w:t>
            </w:r>
            <w:r w:rsidRPr="002B24C6">
              <w:rPr>
                <w:rFonts w:ascii="Times New Roman" w:hAnsi="Times New Roman"/>
                <w:sz w:val="24"/>
                <w:szCs w:val="24"/>
                <w:lang w:eastAsia="lv-LV"/>
              </w:rPr>
              <w:t xml:space="preserve">.gadam” valsts budžeta ieņēmumi no </w:t>
            </w:r>
            <w:r w:rsidRPr="002B24C6">
              <w:rPr>
                <w:rFonts w:ascii="Times New Roman" w:hAnsi="Times New Roman"/>
                <w:i/>
                <w:sz w:val="24"/>
                <w:szCs w:val="24"/>
                <w:lang w:eastAsia="lv-LV"/>
              </w:rPr>
              <w:t>n</w:t>
            </w:r>
            <w:r w:rsidRPr="002B24C6">
              <w:rPr>
                <w:rFonts w:ascii="Times New Roman" w:hAnsi="Times New Roman"/>
                <w:i/>
                <w:sz w:val="24"/>
                <w:szCs w:val="24"/>
                <w:shd w:val="clear" w:color="auto" w:fill="FFFFFF"/>
              </w:rPr>
              <w:t>audas sodiem, ko uzliek Valsts policija</w:t>
            </w:r>
            <w:r>
              <w:rPr>
                <w:rFonts w:ascii="Times New Roman" w:hAnsi="Times New Roman"/>
                <w:sz w:val="24"/>
                <w:szCs w:val="24"/>
                <w:lang w:eastAsia="lv-LV"/>
              </w:rPr>
              <w:t xml:space="preserve"> plānoti 1 189 057 </w:t>
            </w:r>
            <w:proofErr w:type="spellStart"/>
            <w:r w:rsidRPr="006F46DF">
              <w:rPr>
                <w:rFonts w:ascii="Times New Roman" w:hAnsi="Times New Roman"/>
                <w:i/>
                <w:iCs/>
                <w:sz w:val="24"/>
                <w:szCs w:val="24"/>
                <w:lang w:eastAsia="lv-LV"/>
              </w:rPr>
              <w:t>euro</w:t>
            </w:r>
            <w:proofErr w:type="spellEnd"/>
            <w:r w:rsidRPr="006F46DF">
              <w:rPr>
                <w:rFonts w:ascii="Times New Roman" w:hAnsi="Times New Roman"/>
                <w:sz w:val="24"/>
                <w:szCs w:val="24"/>
                <w:lang w:eastAsia="lv-LV"/>
              </w:rPr>
              <w:t xml:space="preserve"> apmērā (kods 10.1.1.2.)</w:t>
            </w:r>
            <w:r w:rsidR="00267D2A" w:rsidRPr="006F46DF">
              <w:rPr>
                <w:rFonts w:ascii="Times New Roman" w:hAnsi="Times New Roman"/>
                <w:sz w:val="24"/>
                <w:szCs w:val="24"/>
                <w:lang w:eastAsia="lv-LV"/>
              </w:rPr>
              <w:t xml:space="preserve"> </w:t>
            </w:r>
            <w:r w:rsidRPr="006F46DF">
              <w:rPr>
                <w:rFonts w:ascii="Times New Roman" w:hAnsi="Times New Roman"/>
                <w:sz w:val="24"/>
                <w:szCs w:val="24"/>
                <w:lang w:eastAsia="lv-LV"/>
              </w:rPr>
              <w:t xml:space="preserve">. </w:t>
            </w:r>
          </w:p>
          <w:p w14:paraId="6A13DFB1" w14:textId="77777777" w:rsidR="006F46DF" w:rsidRPr="006F46DF" w:rsidRDefault="006F46DF" w:rsidP="006F46DF">
            <w:pPr>
              <w:jc w:val="both"/>
              <w:rPr>
                <w:rFonts w:ascii="Times New Roman" w:hAnsi="Times New Roman"/>
                <w:sz w:val="24"/>
                <w:szCs w:val="24"/>
                <w:lang w:eastAsia="lv-LV"/>
              </w:rPr>
            </w:pPr>
            <w:r w:rsidRPr="006F46DF">
              <w:rPr>
                <w:rFonts w:ascii="Times New Roman" w:hAnsi="Times New Roman"/>
                <w:sz w:val="24"/>
                <w:szCs w:val="24"/>
                <w:lang w:eastAsia="lv-LV"/>
              </w:rPr>
              <w:t xml:space="preserve">Ieņēmumi no </w:t>
            </w:r>
            <w:r w:rsidRPr="006F46DF">
              <w:rPr>
                <w:rFonts w:ascii="Times New Roman" w:hAnsi="Times New Roman"/>
                <w:i/>
                <w:sz w:val="24"/>
                <w:szCs w:val="24"/>
                <w:lang w:eastAsia="lv-LV"/>
              </w:rPr>
              <w:t>n</w:t>
            </w:r>
            <w:r w:rsidRPr="006F46DF">
              <w:rPr>
                <w:rFonts w:ascii="Times New Roman" w:hAnsi="Times New Roman"/>
                <w:i/>
                <w:sz w:val="24"/>
                <w:szCs w:val="24"/>
                <w:shd w:val="clear" w:color="auto" w:fill="FFFFFF"/>
              </w:rPr>
              <w:t xml:space="preserve">audas sodiem, ko uzliek Valsts policija, </w:t>
            </w:r>
            <w:r w:rsidRPr="006F46DF">
              <w:rPr>
                <w:rFonts w:ascii="Times New Roman" w:hAnsi="Times New Roman"/>
                <w:sz w:val="24"/>
                <w:szCs w:val="24"/>
                <w:shd w:val="clear" w:color="auto" w:fill="FFFFFF"/>
              </w:rPr>
              <w:t>tiek novirzīti kopējo valsts budžeta izdevumu segšanai.</w:t>
            </w:r>
          </w:p>
          <w:p w14:paraId="27CB49C2" w14:textId="77777777" w:rsidR="00A865DE" w:rsidRPr="002B24C6" w:rsidRDefault="00A865DE" w:rsidP="00A865DE">
            <w:pPr>
              <w:jc w:val="both"/>
              <w:rPr>
                <w:rFonts w:ascii="Times New Roman" w:eastAsiaTheme="minorHAnsi" w:hAnsi="Times New Roman"/>
                <w:sz w:val="24"/>
                <w:szCs w:val="24"/>
                <w:lang w:eastAsia="lv-LV"/>
              </w:rPr>
            </w:pPr>
            <w:r w:rsidRPr="002B24C6">
              <w:rPr>
                <w:rFonts w:ascii="Times New Roman" w:hAnsi="Times New Roman"/>
                <w:i/>
                <w:iCs/>
                <w:sz w:val="24"/>
                <w:szCs w:val="24"/>
                <w:lang w:eastAsia="lv-LV"/>
              </w:rPr>
              <w:t xml:space="preserve">Valsts pamatbudžeta ieņēmumu apjoms no likumprojektā </w:t>
            </w:r>
            <w:r w:rsidRPr="00F03E98">
              <w:rPr>
                <w:rFonts w:ascii="Times New Roman" w:hAnsi="Times New Roman"/>
                <w:i/>
                <w:iCs/>
                <w:sz w:val="24"/>
                <w:szCs w:val="24"/>
                <w:lang w:eastAsia="lv-LV"/>
              </w:rPr>
              <w:t xml:space="preserve">“Grozījumi Administratīvo sodu likumā par pārkāpumiem pārvaldes, sabiedriskās kārtības un valsts valodas lietošanas jomā” </w:t>
            </w:r>
            <w:r w:rsidRPr="002B24C6">
              <w:rPr>
                <w:rFonts w:ascii="Times New Roman" w:hAnsi="Times New Roman"/>
                <w:i/>
                <w:iCs/>
                <w:sz w:val="24"/>
                <w:szCs w:val="24"/>
                <w:lang w:eastAsia="lv-LV"/>
              </w:rPr>
              <w:t>paredzētajiem naudas sodiem nav aprēķināms</w:t>
            </w:r>
            <w:r w:rsidRPr="002B24C6">
              <w:rPr>
                <w:rFonts w:ascii="Times New Roman" w:hAnsi="Times New Roman"/>
                <w:sz w:val="24"/>
                <w:szCs w:val="24"/>
                <w:lang w:eastAsia="lv-LV"/>
              </w:rPr>
              <w:t xml:space="preserve">, jo nav iespējams paredzēt, kāds būs administratīvi sodīto personu skaits un piemēroto un samaksāto administratīvo sodu apmērs. </w:t>
            </w:r>
          </w:p>
          <w:p w14:paraId="3CD96A1F" w14:textId="77777777" w:rsidR="00A865DE" w:rsidRPr="002B24C6" w:rsidRDefault="00A865DE" w:rsidP="00A865DE">
            <w:pPr>
              <w:jc w:val="both"/>
              <w:rPr>
                <w:rFonts w:ascii="Times New Roman" w:hAnsi="Times New Roman"/>
                <w:sz w:val="24"/>
                <w:szCs w:val="24"/>
                <w:lang w:eastAsia="lv-LV"/>
              </w:rPr>
            </w:pPr>
          </w:p>
        </w:tc>
      </w:tr>
      <w:tr w:rsidR="00A865DE" w:rsidRPr="00FE7429" w14:paraId="38C38559" w14:textId="77777777" w:rsidTr="008E61C9">
        <w:trPr>
          <w:cantSplit/>
        </w:trPr>
        <w:tc>
          <w:tcPr>
            <w:tcW w:w="2163" w:type="dxa"/>
            <w:gridSpan w:val="2"/>
            <w:shd w:val="clear" w:color="auto" w:fill="auto"/>
            <w:hideMark/>
          </w:tcPr>
          <w:p w14:paraId="6B3E9CF7"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6.1. detalizēts ieņēmumu aprēķins</w:t>
            </w:r>
          </w:p>
        </w:tc>
        <w:tc>
          <w:tcPr>
            <w:tcW w:w="7190" w:type="dxa"/>
            <w:gridSpan w:val="7"/>
            <w:vMerge/>
            <w:shd w:val="clear" w:color="auto" w:fill="auto"/>
            <w:vAlign w:val="center"/>
            <w:hideMark/>
          </w:tcPr>
          <w:p w14:paraId="5C18A6CA" w14:textId="77777777" w:rsidR="00A865DE" w:rsidRPr="00FE7429" w:rsidRDefault="00A865DE" w:rsidP="00A865DE">
            <w:pPr>
              <w:jc w:val="center"/>
              <w:rPr>
                <w:rFonts w:ascii="Times New Roman" w:hAnsi="Times New Roman"/>
                <w:sz w:val="24"/>
                <w:szCs w:val="24"/>
              </w:rPr>
            </w:pPr>
          </w:p>
        </w:tc>
      </w:tr>
      <w:tr w:rsidR="00A865DE" w:rsidRPr="00FE7429" w14:paraId="774AC700" w14:textId="77777777" w:rsidTr="008E61C9">
        <w:trPr>
          <w:cantSplit/>
        </w:trPr>
        <w:tc>
          <w:tcPr>
            <w:tcW w:w="2163" w:type="dxa"/>
            <w:gridSpan w:val="2"/>
            <w:shd w:val="clear" w:color="auto" w:fill="auto"/>
            <w:hideMark/>
          </w:tcPr>
          <w:p w14:paraId="3FDF8BBC"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6.2. detalizēts izdevumu aprēķins</w:t>
            </w:r>
          </w:p>
        </w:tc>
        <w:tc>
          <w:tcPr>
            <w:tcW w:w="7190" w:type="dxa"/>
            <w:gridSpan w:val="7"/>
            <w:vMerge/>
            <w:shd w:val="clear" w:color="auto" w:fill="auto"/>
            <w:vAlign w:val="center"/>
            <w:hideMark/>
          </w:tcPr>
          <w:p w14:paraId="7E00946B" w14:textId="77777777" w:rsidR="00A865DE" w:rsidRPr="00FE7429" w:rsidRDefault="00A865DE" w:rsidP="00A865DE">
            <w:pPr>
              <w:jc w:val="center"/>
              <w:rPr>
                <w:rFonts w:ascii="Times New Roman" w:hAnsi="Times New Roman"/>
                <w:sz w:val="24"/>
                <w:szCs w:val="24"/>
              </w:rPr>
            </w:pPr>
          </w:p>
        </w:tc>
      </w:tr>
      <w:tr w:rsidR="00A865DE" w:rsidRPr="00FE7429" w14:paraId="56ED6833" w14:textId="77777777" w:rsidTr="008E61C9">
        <w:trPr>
          <w:cantSplit/>
        </w:trPr>
        <w:tc>
          <w:tcPr>
            <w:tcW w:w="2163" w:type="dxa"/>
            <w:gridSpan w:val="2"/>
            <w:shd w:val="clear" w:color="auto" w:fill="auto"/>
            <w:hideMark/>
          </w:tcPr>
          <w:p w14:paraId="0AC14E34"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7. Amata vietu skaita izmaiņas</w:t>
            </w:r>
          </w:p>
        </w:tc>
        <w:tc>
          <w:tcPr>
            <w:tcW w:w="7190" w:type="dxa"/>
            <w:gridSpan w:val="7"/>
            <w:shd w:val="clear" w:color="auto" w:fill="auto"/>
          </w:tcPr>
          <w:p w14:paraId="34E1D677" w14:textId="77777777" w:rsidR="00A865DE" w:rsidRPr="00FE7429" w:rsidRDefault="00A865DE" w:rsidP="00A865DE">
            <w:pPr>
              <w:rPr>
                <w:rFonts w:ascii="Times New Roman" w:hAnsi="Times New Roman"/>
                <w:sz w:val="24"/>
                <w:szCs w:val="24"/>
              </w:rPr>
            </w:pPr>
            <w:r w:rsidRPr="00D21CE4">
              <w:rPr>
                <w:rFonts w:ascii="Times New Roman" w:hAnsi="Times New Roman"/>
                <w:sz w:val="24"/>
                <w:szCs w:val="24"/>
              </w:rPr>
              <w:t>Projekts šo jomu neskar</w:t>
            </w:r>
            <w:r>
              <w:rPr>
                <w:rFonts w:ascii="Times New Roman" w:hAnsi="Times New Roman"/>
                <w:sz w:val="24"/>
                <w:szCs w:val="24"/>
              </w:rPr>
              <w:t>.</w:t>
            </w:r>
          </w:p>
        </w:tc>
      </w:tr>
      <w:tr w:rsidR="00A865DE" w:rsidRPr="008E61C9" w14:paraId="6D7C0FC5" w14:textId="77777777" w:rsidTr="008E61C9">
        <w:trPr>
          <w:cantSplit/>
        </w:trPr>
        <w:tc>
          <w:tcPr>
            <w:tcW w:w="2163" w:type="dxa"/>
            <w:gridSpan w:val="2"/>
            <w:shd w:val="clear" w:color="auto" w:fill="auto"/>
            <w:hideMark/>
          </w:tcPr>
          <w:p w14:paraId="6CC3459D" w14:textId="77777777" w:rsidR="00A865DE" w:rsidRPr="008E61C9" w:rsidRDefault="00A865DE" w:rsidP="00A865DE">
            <w:pPr>
              <w:spacing w:after="0" w:line="240" w:lineRule="auto"/>
              <w:jc w:val="both"/>
              <w:rPr>
                <w:rFonts w:ascii="Times New Roman" w:hAnsi="Times New Roman"/>
                <w:sz w:val="24"/>
                <w:szCs w:val="24"/>
              </w:rPr>
            </w:pPr>
            <w:r w:rsidRPr="008E61C9">
              <w:rPr>
                <w:rFonts w:ascii="Times New Roman" w:hAnsi="Times New Roman"/>
                <w:sz w:val="24"/>
                <w:szCs w:val="24"/>
              </w:rPr>
              <w:t>8. Cita informācija</w:t>
            </w:r>
          </w:p>
        </w:tc>
        <w:tc>
          <w:tcPr>
            <w:tcW w:w="7190" w:type="dxa"/>
            <w:gridSpan w:val="7"/>
            <w:shd w:val="clear" w:color="auto" w:fill="auto"/>
          </w:tcPr>
          <w:p w14:paraId="7049BD78" w14:textId="22B16662" w:rsidR="00A865DE" w:rsidRDefault="00A865DE" w:rsidP="00A865DE">
            <w:pPr>
              <w:spacing w:after="0" w:line="240" w:lineRule="auto"/>
              <w:jc w:val="both"/>
              <w:rPr>
                <w:rFonts w:ascii="Times New Roman" w:hAnsi="Times New Roman"/>
                <w:sz w:val="24"/>
                <w:szCs w:val="24"/>
              </w:rPr>
            </w:pPr>
            <w:r w:rsidRPr="008E61C9">
              <w:rPr>
                <w:rFonts w:ascii="Times New Roman" w:hAnsi="Times New Roman"/>
                <w:sz w:val="24"/>
                <w:szCs w:val="24"/>
              </w:rPr>
              <w:t>Valsts policija, kā valsts inspekcijas iestāde Regulas Nr.2019/1148 11.panta izpratnē, nodrošinās naudas sodu administrēšanu piešķirt</w:t>
            </w:r>
            <w:r>
              <w:rPr>
                <w:rFonts w:ascii="Times New Roman" w:hAnsi="Times New Roman"/>
                <w:sz w:val="24"/>
                <w:szCs w:val="24"/>
              </w:rPr>
              <w:t>o</w:t>
            </w:r>
            <w:r w:rsidRPr="008E61C9">
              <w:rPr>
                <w:rFonts w:ascii="Times New Roman" w:hAnsi="Times New Roman"/>
                <w:sz w:val="24"/>
                <w:szCs w:val="24"/>
              </w:rPr>
              <w:t xml:space="preserve"> valsts budžeta </w:t>
            </w:r>
            <w:r>
              <w:rPr>
                <w:rFonts w:ascii="Times New Roman" w:hAnsi="Times New Roman"/>
                <w:sz w:val="24"/>
                <w:szCs w:val="24"/>
              </w:rPr>
              <w:t xml:space="preserve">līdzekļu </w:t>
            </w:r>
            <w:r w:rsidRPr="008E61C9">
              <w:rPr>
                <w:rFonts w:ascii="Times New Roman" w:hAnsi="Times New Roman"/>
                <w:sz w:val="24"/>
                <w:szCs w:val="24"/>
              </w:rPr>
              <w:t>ietvaros.</w:t>
            </w:r>
          </w:p>
          <w:p w14:paraId="1A52971E" w14:textId="77777777" w:rsidR="00A865DE" w:rsidRPr="008E61C9" w:rsidRDefault="00A865DE" w:rsidP="00A865DE">
            <w:pPr>
              <w:spacing w:after="0" w:line="240" w:lineRule="auto"/>
              <w:jc w:val="both"/>
              <w:rPr>
                <w:rFonts w:ascii="Times New Roman" w:hAnsi="Times New Roman"/>
                <w:sz w:val="24"/>
                <w:szCs w:val="24"/>
              </w:rPr>
            </w:pPr>
          </w:p>
        </w:tc>
      </w:tr>
      <w:tr w:rsidR="00A865DE" w:rsidRPr="00FE7429" w14:paraId="058829E7" w14:textId="77777777" w:rsidTr="008E61C9">
        <w:tblPrEx>
          <w:tblCellMar>
            <w:top w:w="30" w:type="dxa"/>
            <w:left w:w="30" w:type="dxa"/>
            <w:bottom w:w="30" w:type="dxa"/>
            <w:right w:w="30" w:type="dxa"/>
          </w:tblCellMar>
        </w:tblPrEx>
        <w:trPr>
          <w:cantSplit/>
          <w:trHeight w:val="317"/>
        </w:trPr>
        <w:tc>
          <w:tcPr>
            <w:tcW w:w="9353" w:type="dxa"/>
            <w:gridSpan w:val="9"/>
            <w:vAlign w:val="center"/>
            <w:hideMark/>
          </w:tcPr>
          <w:p w14:paraId="4B75E968" w14:textId="77777777" w:rsidR="00A865DE" w:rsidRPr="00FE7429" w:rsidRDefault="00A865DE" w:rsidP="00A865DE">
            <w:pPr>
              <w:spacing w:after="0" w:line="240" w:lineRule="auto"/>
              <w:jc w:val="center"/>
              <w:rPr>
                <w:rFonts w:ascii="Times New Roman" w:hAnsi="Times New Roman"/>
                <w:b/>
                <w:bCs/>
                <w:sz w:val="24"/>
                <w:szCs w:val="24"/>
              </w:rPr>
            </w:pPr>
            <w:r w:rsidRPr="00FE7429">
              <w:rPr>
                <w:rFonts w:ascii="Times New Roman" w:hAnsi="Times New Roman"/>
                <w:b/>
                <w:bCs/>
                <w:sz w:val="24"/>
                <w:szCs w:val="24"/>
              </w:rPr>
              <w:t>IV. Tiesību akta projekta ietekme uz spēkā esošo tiesību normu sistēmu</w:t>
            </w:r>
          </w:p>
        </w:tc>
      </w:tr>
      <w:tr w:rsidR="00A865DE" w:rsidRPr="00FE7429" w14:paraId="0A880A4E" w14:textId="77777777" w:rsidTr="008E61C9">
        <w:tblPrEx>
          <w:tblCellMar>
            <w:top w:w="30" w:type="dxa"/>
            <w:left w:w="30" w:type="dxa"/>
            <w:bottom w:w="30" w:type="dxa"/>
            <w:right w:w="30" w:type="dxa"/>
          </w:tblCellMar>
        </w:tblPrEx>
        <w:trPr>
          <w:cantSplit/>
        </w:trPr>
        <w:tc>
          <w:tcPr>
            <w:tcW w:w="571" w:type="dxa"/>
            <w:hideMark/>
          </w:tcPr>
          <w:p w14:paraId="53BC44B4" w14:textId="77777777" w:rsidR="00A865DE" w:rsidRPr="00FE7429" w:rsidRDefault="00A865DE" w:rsidP="00A865DE">
            <w:pPr>
              <w:jc w:val="center"/>
              <w:rPr>
                <w:rFonts w:ascii="Times New Roman" w:hAnsi="Times New Roman"/>
                <w:sz w:val="24"/>
                <w:szCs w:val="24"/>
              </w:rPr>
            </w:pPr>
            <w:r w:rsidRPr="00FE7429">
              <w:rPr>
                <w:rFonts w:ascii="Times New Roman" w:hAnsi="Times New Roman"/>
                <w:sz w:val="24"/>
                <w:szCs w:val="24"/>
              </w:rPr>
              <w:t>1.</w:t>
            </w:r>
          </w:p>
        </w:tc>
        <w:tc>
          <w:tcPr>
            <w:tcW w:w="2545" w:type="dxa"/>
            <w:gridSpan w:val="2"/>
            <w:hideMark/>
          </w:tcPr>
          <w:p w14:paraId="78A499A9"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Saistītie tiesību aktu projekti</w:t>
            </w:r>
          </w:p>
        </w:tc>
        <w:tc>
          <w:tcPr>
            <w:tcW w:w="6237" w:type="dxa"/>
            <w:gridSpan w:val="6"/>
          </w:tcPr>
          <w:p w14:paraId="5DA7D44A" w14:textId="77777777" w:rsidR="00A865DE" w:rsidRPr="00D21CE4" w:rsidRDefault="00A865DE" w:rsidP="00A865DE">
            <w:pPr>
              <w:spacing w:after="0" w:line="240" w:lineRule="auto"/>
              <w:ind w:right="134"/>
              <w:jc w:val="both"/>
              <w:rPr>
                <w:rFonts w:ascii="Times New Roman" w:eastAsia="Times New Roman" w:hAnsi="Times New Roman"/>
                <w:sz w:val="24"/>
                <w:szCs w:val="24"/>
                <w:lang w:eastAsia="lv-LV"/>
              </w:rPr>
            </w:pPr>
            <w:r w:rsidRPr="00D21CE4">
              <w:rPr>
                <w:rFonts w:ascii="Times New Roman" w:hAnsi="Times New Roman"/>
                <w:sz w:val="24"/>
                <w:szCs w:val="24"/>
              </w:rPr>
              <w:t>Projekts šo jomu neskar</w:t>
            </w:r>
            <w:r>
              <w:rPr>
                <w:rFonts w:ascii="Times New Roman" w:hAnsi="Times New Roman"/>
                <w:sz w:val="24"/>
                <w:szCs w:val="24"/>
              </w:rPr>
              <w:t>.</w:t>
            </w:r>
          </w:p>
        </w:tc>
      </w:tr>
      <w:tr w:rsidR="00A865DE" w:rsidRPr="00FE7429" w14:paraId="2D5BD301" w14:textId="77777777" w:rsidTr="008E61C9">
        <w:tblPrEx>
          <w:tblCellMar>
            <w:top w:w="30" w:type="dxa"/>
            <w:left w:w="30" w:type="dxa"/>
            <w:bottom w:w="30" w:type="dxa"/>
            <w:right w:w="30" w:type="dxa"/>
          </w:tblCellMar>
        </w:tblPrEx>
        <w:trPr>
          <w:cantSplit/>
        </w:trPr>
        <w:tc>
          <w:tcPr>
            <w:tcW w:w="571" w:type="dxa"/>
            <w:hideMark/>
          </w:tcPr>
          <w:p w14:paraId="200009A3" w14:textId="77777777" w:rsidR="00A865DE" w:rsidRPr="00FE7429" w:rsidRDefault="00A865DE" w:rsidP="00A865DE">
            <w:pPr>
              <w:jc w:val="center"/>
              <w:rPr>
                <w:rFonts w:ascii="Times New Roman" w:hAnsi="Times New Roman"/>
                <w:sz w:val="24"/>
                <w:szCs w:val="24"/>
              </w:rPr>
            </w:pPr>
            <w:r w:rsidRPr="00FE7429">
              <w:rPr>
                <w:rFonts w:ascii="Times New Roman" w:hAnsi="Times New Roman"/>
                <w:sz w:val="24"/>
                <w:szCs w:val="24"/>
              </w:rPr>
              <w:t>2.</w:t>
            </w:r>
          </w:p>
        </w:tc>
        <w:tc>
          <w:tcPr>
            <w:tcW w:w="2545" w:type="dxa"/>
            <w:gridSpan w:val="2"/>
            <w:hideMark/>
          </w:tcPr>
          <w:p w14:paraId="3C7E67A4"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Atbildīgā institūcija</w:t>
            </w:r>
          </w:p>
        </w:tc>
        <w:tc>
          <w:tcPr>
            <w:tcW w:w="6237" w:type="dxa"/>
            <w:gridSpan w:val="6"/>
          </w:tcPr>
          <w:p w14:paraId="585AC59C" w14:textId="77777777" w:rsidR="00A865DE" w:rsidRPr="00D21CE4" w:rsidRDefault="00A865DE" w:rsidP="00A865DE">
            <w:pPr>
              <w:spacing w:after="0" w:line="240" w:lineRule="auto"/>
              <w:rPr>
                <w:rFonts w:ascii="Times New Roman" w:eastAsia="Times New Roman" w:hAnsi="Times New Roman"/>
                <w:sz w:val="24"/>
                <w:szCs w:val="24"/>
                <w:lang w:eastAsia="lv-LV"/>
              </w:rPr>
            </w:pPr>
            <w:proofErr w:type="spellStart"/>
            <w:r w:rsidRPr="00D21CE4">
              <w:rPr>
                <w:rFonts w:ascii="Times New Roman" w:eastAsia="Times New Roman" w:hAnsi="Times New Roman"/>
                <w:sz w:val="24"/>
                <w:szCs w:val="24"/>
                <w:lang w:eastAsia="lv-LV"/>
              </w:rPr>
              <w:t>Iekšlietu</w:t>
            </w:r>
            <w:proofErr w:type="spellEnd"/>
            <w:r w:rsidRPr="00D21CE4">
              <w:rPr>
                <w:rFonts w:ascii="Times New Roman" w:eastAsia="Times New Roman" w:hAnsi="Times New Roman"/>
                <w:sz w:val="24"/>
                <w:szCs w:val="24"/>
                <w:lang w:eastAsia="lv-LV"/>
              </w:rPr>
              <w:t xml:space="preserve"> ministrija.</w:t>
            </w:r>
          </w:p>
        </w:tc>
      </w:tr>
      <w:tr w:rsidR="00A865DE" w:rsidRPr="00FE7429" w14:paraId="27DB4A8C" w14:textId="77777777" w:rsidTr="008E61C9">
        <w:tblPrEx>
          <w:tblCellMar>
            <w:top w:w="30" w:type="dxa"/>
            <w:left w:w="30" w:type="dxa"/>
            <w:bottom w:w="30" w:type="dxa"/>
            <w:right w:w="30" w:type="dxa"/>
          </w:tblCellMar>
        </w:tblPrEx>
        <w:trPr>
          <w:cantSplit/>
        </w:trPr>
        <w:tc>
          <w:tcPr>
            <w:tcW w:w="571" w:type="dxa"/>
            <w:hideMark/>
          </w:tcPr>
          <w:p w14:paraId="36BAA554" w14:textId="77777777" w:rsidR="00A865DE" w:rsidRPr="00FE7429" w:rsidRDefault="00A865DE" w:rsidP="00A865DE">
            <w:pPr>
              <w:jc w:val="center"/>
              <w:rPr>
                <w:rFonts w:ascii="Times New Roman" w:hAnsi="Times New Roman"/>
                <w:sz w:val="24"/>
                <w:szCs w:val="24"/>
              </w:rPr>
            </w:pPr>
            <w:r w:rsidRPr="00FE7429">
              <w:rPr>
                <w:rFonts w:ascii="Times New Roman" w:hAnsi="Times New Roman"/>
                <w:sz w:val="24"/>
                <w:szCs w:val="24"/>
              </w:rPr>
              <w:t>3.</w:t>
            </w:r>
          </w:p>
        </w:tc>
        <w:tc>
          <w:tcPr>
            <w:tcW w:w="2545" w:type="dxa"/>
            <w:gridSpan w:val="2"/>
            <w:hideMark/>
          </w:tcPr>
          <w:p w14:paraId="31656ACC" w14:textId="77777777" w:rsidR="00A865DE" w:rsidRPr="00FE7429" w:rsidRDefault="00A865DE" w:rsidP="00A865DE">
            <w:pPr>
              <w:rPr>
                <w:rFonts w:ascii="Times New Roman" w:hAnsi="Times New Roman"/>
                <w:sz w:val="24"/>
                <w:szCs w:val="24"/>
              </w:rPr>
            </w:pPr>
            <w:r w:rsidRPr="00FE7429">
              <w:rPr>
                <w:rFonts w:ascii="Times New Roman" w:hAnsi="Times New Roman"/>
                <w:sz w:val="24"/>
                <w:szCs w:val="24"/>
              </w:rPr>
              <w:t>Cita informācija</w:t>
            </w:r>
          </w:p>
        </w:tc>
        <w:tc>
          <w:tcPr>
            <w:tcW w:w="6237" w:type="dxa"/>
            <w:gridSpan w:val="6"/>
          </w:tcPr>
          <w:p w14:paraId="1ABEE170" w14:textId="77777777" w:rsidR="00A865DE" w:rsidRPr="00DA7279" w:rsidRDefault="00A865DE" w:rsidP="00A865DE">
            <w:pPr>
              <w:spacing w:after="0" w:line="240" w:lineRule="auto"/>
              <w:jc w:val="both"/>
              <w:rPr>
                <w:rFonts w:ascii="Times New Roman" w:hAnsi="Times New Roman"/>
                <w:sz w:val="24"/>
                <w:szCs w:val="24"/>
              </w:rPr>
            </w:pPr>
            <w:r>
              <w:rPr>
                <w:rFonts w:ascii="Times New Roman" w:hAnsi="Times New Roman"/>
                <w:sz w:val="24"/>
                <w:szCs w:val="24"/>
              </w:rPr>
              <w:t>Nav.</w:t>
            </w:r>
          </w:p>
        </w:tc>
      </w:tr>
    </w:tbl>
    <w:p w14:paraId="22C7B3EE" w14:textId="77777777" w:rsidR="0087521C" w:rsidRDefault="0087521C" w:rsidP="00CD03B2">
      <w:pPr>
        <w:pStyle w:val="Title"/>
        <w:tabs>
          <w:tab w:val="left" w:pos="1605"/>
        </w:tabs>
        <w:jc w:val="both"/>
        <w:rPr>
          <w:sz w:val="24"/>
          <w:szCs w:val="24"/>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1798"/>
        <w:gridCol w:w="881"/>
        <w:gridCol w:w="440"/>
        <w:gridCol w:w="1138"/>
        <w:gridCol w:w="2124"/>
        <w:gridCol w:w="2412"/>
      </w:tblGrid>
      <w:tr w:rsidR="0087521C" w:rsidRPr="00D21CE4" w14:paraId="0A510D99" w14:textId="77777777" w:rsidTr="0087521C">
        <w:trPr>
          <w:cantSplit/>
          <w:trHeight w:val="32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4E4D876" w14:textId="77777777" w:rsidR="0087521C" w:rsidRPr="0087521C" w:rsidRDefault="0087521C" w:rsidP="00B512FF">
            <w:pPr>
              <w:spacing w:after="0" w:line="240" w:lineRule="auto"/>
              <w:jc w:val="center"/>
              <w:rPr>
                <w:rFonts w:ascii="Times New Roman" w:hAnsi="Times New Roman"/>
                <w:b/>
                <w:bCs/>
                <w:sz w:val="24"/>
                <w:szCs w:val="24"/>
              </w:rPr>
            </w:pPr>
            <w:r w:rsidRPr="0087521C">
              <w:rPr>
                <w:rFonts w:ascii="Times New Roman" w:hAnsi="Times New Roman"/>
                <w:b/>
                <w:bCs/>
                <w:sz w:val="24"/>
                <w:szCs w:val="24"/>
              </w:rPr>
              <w:t>V. Tiesību akta projekta atbilstība Latvijas Republikas starptautiskajām saistībām</w:t>
            </w:r>
          </w:p>
        </w:tc>
      </w:tr>
      <w:tr w:rsidR="0087521C" w:rsidRPr="00D21CE4" w14:paraId="043BB924" w14:textId="77777777"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c>
          <w:tcPr>
            <w:tcW w:w="301" w:type="pct"/>
            <w:tcBorders>
              <w:top w:val="outset" w:sz="6" w:space="0" w:color="auto"/>
              <w:left w:val="outset" w:sz="6" w:space="0" w:color="auto"/>
              <w:bottom w:val="outset" w:sz="6" w:space="0" w:color="auto"/>
              <w:right w:val="outset" w:sz="6" w:space="0" w:color="auto"/>
            </w:tcBorders>
            <w:hideMark/>
          </w:tcPr>
          <w:p w14:paraId="62835B41" w14:textId="77777777" w:rsidR="0087521C" w:rsidRPr="00D21CE4" w:rsidRDefault="0087521C" w:rsidP="00B512FF">
            <w:pPr>
              <w:ind w:left="57"/>
              <w:rPr>
                <w:rFonts w:ascii="Times New Roman" w:hAnsi="Times New Roman"/>
                <w:sz w:val="24"/>
                <w:szCs w:val="24"/>
              </w:rPr>
            </w:pPr>
            <w:r w:rsidRPr="00D21CE4">
              <w:rPr>
                <w:rFonts w:ascii="Times New Roman" w:hAnsi="Times New Roman"/>
                <w:sz w:val="24"/>
                <w:szCs w:val="24"/>
              </w:rPr>
              <w:t>1.</w:t>
            </w:r>
          </w:p>
        </w:tc>
        <w:tc>
          <w:tcPr>
            <w:tcW w:w="1667" w:type="pct"/>
            <w:gridSpan w:val="3"/>
            <w:tcBorders>
              <w:top w:val="outset" w:sz="6" w:space="0" w:color="auto"/>
              <w:left w:val="outset" w:sz="6" w:space="0" w:color="auto"/>
              <w:bottom w:val="outset" w:sz="6" w:space="0" w:color="auto"/>
              <w:right w:val="outset" w:sz="6" w:space="0" w:color="auto"/>
            </w:tcBorders>
            <w:hideMark/>
          </w:tcPr>
          <w:p w14:paraId="6450C10D" w14:textId="77777777" w:rsidR="0087521C" w:rsidRPr="00D21CE4" w:rsidRDefault="0087521C" w:rsidP="00B512FF">
            <w:pPr>
              <w:spacing w:after="0" w:line="240" w:lineRule="auto"/>
              <w:ind w:left="57"/>
              <w:rPr>
                <w:rFonts w:ascii="Times New Roman" w:hAnsi="Times New Roman"/>
                <w:sz w:val="24"/>
                <w:szCs w:val="24"/>
              </w:rPr>
            </w:pPr>
            <w:r w:rsidRPr="00D21CE4">
              <w:rPr>
                <w:rFonts w:ascii="Times New Roman" w:hAnsi="Times New Roman"/>
                <w:sz w:val="24"/>
                <w:szCs w:val="24"/>
              </w:rPr>
              <w:t>Saistības pret Eiropas Savienību</w:t>
            </w:r>
          </w:p>
        </w:tc>
        <w:tc>
          <w:tcPr>
            <w:tcW w:w="3032" w:type="pct"/>
            <w:gridSpan w:val="3"/>
            <w:tcBorders>
              <w:top w:val="outset" w:sz="6" w:space="0" w:color="auto"/>
              <w:left w:val="outset" w:sz="6" w:space="0" w:color="auto"/>
              <w:bottom w:val="outset" w:sz="6" w:space="0" w:color="auto"/>
              <w:right w:val="outset" w:sz="6" w:space="0" w:color="auto"/>
            </w:tcBorders>
            <w:hideMark/>
          </w:tcPr>
          <w:p w14:paraId="33031436" w14:textId="402EC6C2" w:rsidR="00C66FE3" w:rsidRDefault="00C66FE3" w:rsidP="00B512FF">
            <w:pPr>
              <w:spacing w:after="0" w:line="240" w:lineRule="auto"/>
              <w:ind w:left="57"/>
              <w:jc w:val="both"/>
              <w:rPr>
                <w:rFonts w:ascii="Times New Roman" w:hAnsi="Times New Roman"/>
                <w:sz w:val="24"/>
                <w:szCs w:val="24"/>
                <w:shd w:val="clear" w:color="auto" w:fill="FFFFFF"/>
              </w:rPr>
            </w:pPr>
            <w:r w:rsidRPr="00BB1ECD">
              <w:rPr>
                <w:rFonts w:ascii="Times New Roman" w:hAnsi="Times New Roman"/>
                <w:sz w:val="24"/>
                <w:szCs w:val="24"/>
              </w:rPr>
              <w:t xml:space="preserve">Eiropas Parlamenta un Padomes 2019. gada 20. jūnija Regula (ES) Nr. </w:t>
            </w:r>
            <w:r w:rsidRPr="00BB1ECD">
              <w:rPr>
                <w:rStyle w:val="Hyperlink"/>
                <w:rFonts w:ascii="Times New Roman" w:hAnsi="Times New Roman"/>
                <w:color w:val="auto"/>
                <w:sz w:val="24"/>
                <w:szCs w:val="24"/>
                <w:u w:val="none"/>
              </w:rPr>
              <w:t>2019/1148</w:t>
            </w:r>
            <w:r w:rsidRPr="00BB1ECD">
              <w:rPr>
                <w:rFonts w:ascii="Times New Roman" w:hAnsi="Times New Roman"/>
                <w:sz w:val="24"/>
                <w:szCs w:val="24"/>
              </w:rPr>
              <w:t xml:space="preserve"> par sprāgstvielu prekursoru tirdzniecību un lietošanu</w:t>
            </w:r>
            <w:r w:rsidRPr="00BB1ECD">
              <w:rPr>
                <w:rFonts w:ascii="Times New Roman" w:hAnsi="Times New Roman"/>
                <w:sz w:val="24"/>
                <w:szCs w:val="24"/>
                <w:shd w:val="clear" w:color="auto" w:fill="FFFFFF"/>
              </w:rPr>
              <w:t xml:space="preserve">, ar ko groza Regulu (EK) Nr. </w:t>
            </w:r>
            <w:r w:rsidRPr="00BB1ECD">
              <w:rPr>
                <w:rFonts w:ascii="Times New Roman" w:hAnsi="Times New Roman"/>
                <w:sz w:val="24"/>
                <w:szCs w:val="24"/>
                <w:shd w:val="clear" w:color="auto" w:fill="FFFFFF"/>
              </w:rPr>
              <w:lastRenderedPageBreak/>
              <w:t>1907/2006 un atceļ Regulu (ES) Nr. 98/2013</w:t>
            </w:r>
            <w:r>
              <w:rPr>
                <w:rFonts w:ascii="Times New Roman" w:hAnsi="Times New Roman"/>
                <w:sz w:val="24"/>
                <w:szCs w:val="24"/>
                <w:shd w:val="clear" w:color="auto" w:fill="FFFFFF"/>
              </w:rPr>
              <w:t>. Minētā regula ir jāpārņem līdz 2021.gada 1.februārim.</w:t>
            </w:r>
          </w:p>
          <w:p w14:paraId="090AF3E8" w14:textId="7532A579" w:rsidR="0087521C" w:rsidRPr="00D21CE4" w:rsidRDefault="0087521C" w:rsidP="00B512FF">
            <w:pPr>
              <w:spacing w:after="0" w:line="240" w:lineRule="auto"/>
              <w:ind w:left="57"/>
              <w:jc w:val="both"/>
              <w:rPr>
                <w:rFonts w:ascii="Times New Roman" w:eastAsia="Times New Roman" w:hAnsi="Times New Roman"/>
                <w:sz w:val="24"/>
                <w:szCs w:val="24"/>
                <w:lang w:eastAsia="lv-LV"/>
              </w:rPr>
            </w:pPr>
            <w:r w:rsidRPr="00D21CE4">
              <w:rPr>
                <w:rFonts w:ascii="Times New Roman" w:hAnsi="Times New Roman"/>
                <w:iCs/>
                <w:sz w:val="24"/>
                <w:szCs w:val="24"/>
              </w:rPr>
              <w:t>Projekts atbilst saistībām pret Eiropas Savienību.</w:t>
            </w:r>
          </w:p>
        </w:tc>
      </w:tr>
      <w:tr w:rsidR="0087521C" w:rsidRPr="00D21CE4" w14:paraId="16FC1769" w14:textId="77777777"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c>
          <w:tcPr>
            <w:tcW w:w="301" w:type="pct"/>
            <w:tcBorders>
              <w:top w:val="outset" w:sz="6" w:space="0" w:color="auto"/>
              <w:left w:val="outset" w:sz="6" w:space="0" w:color="auto"/>
              <w:bottom w:val="outset" w:sz="6" w:space="0" w:color="auto"/>
              <w:right w:val="outset" w:sz="6" w:space="0" w:color="auto"/>
            </w:tcBorders>
            <w:hideMark/>
          </w:tcPr>
          <w:p w14:paraId="023A53DA" w14:textId="77777777" w:rsidR="0087521C" w:rsidRPr="00D21CE4" w:rsidRDefault="0087521C" w:rsidP="00B512FF">
            <w:pPr>
              <w:ind w:left="57"/>
              <w:rPr>
                <w:rFonts w:ascii="Times New Roman" w:hAnsi="Times New Roman"/>
                <w:sz w:val="24"/>
                <w:szCs w:val="24"/>
              </w:rPr>
            </w:pPr>
            <w:r w:rsidRPr="00D21CE4">
              <w:rPr>
                <w:rFonts w:ascii="Times New Roman" w:hAnsi="Times New Roman"/>
                <w:sz w:val="24"/>
                <w:szCs w:val="24"/>
              </w:rPr>
              <w:lastRenderedPageBreak/>
              <w:t>2.</w:t>
            </w:r>
          </w:p>
        </w:tc>
        <w:tc>
          <w:tcPr>
            <w:tcW w:w="1667" w:type="pct"/>
            <w:gridSpan w:val="3"/>
            <w:tcBorders>
              <w:top w:val="outset" w:sz="6" w:space="0" w:color="auto"/>
              <w:left w:val="outset" w:sz="6" w:space="0" w:color="auto"/>
              <w:bottom w:val="outset" w:sz="6" w:space="0" w:color="auto"/>
              <w:right w:val="outset" w:sz="6" w:space="0" w:color="auto"/>
            </w:tcBorders>
            <w:hideMark/>
          </w:tcPr>
          <w:p w14:paraId="12AF8766" w14:textId="77777777" w:rsidR="0087521C" w:rsidRPr="00D21CE4" w:rsidRDefault="0087521C" w:rsidP="00B512FF">
            <w:pPr>
              <w:spacing w:after="0" w:line="240" w:lineRule="auto"/>
              <w:ind w:left="57"/>
              <w:rPr>
                <w:rFonts w:ascii="Times New Roman" w:hAnsi="Times New Roman"/>
                <w:sz w:val="24"/>
                <w:szCs w:val="24"/>
              </w:rPr>
            </w:pPr>
            <w:r w:rsidRPr="00D21CE4">
              <w:rPr>
                <w:rFonts w:ascii="Times New Roman" w:hAnsi="Times New Roman"/>
                <w:sz w:val="24"/>
                <w:szCs w:val="24"/>
              </w:rPr>
              <w:t>Citas starptautiskās saistības</w:t>
            </w:r>
          </w:p>
        </w:tc>
        <w:tc>
          <w:tcPr>
            <w:tcW w:w="3032" w:type="pct"/>
            <w:gridSpan w:val="3"/>
            <w:tcBorders>
              <w:top w:val="outset" w:sz="6" w:space="0" w:color="auto"/>
              <w:left w:val="outset" w:sz="6" w:space="0" w:color="auto"/>
              <w:bottom w:val="outset" w:sz="6" w:space="0" w:color="auto"/>
              <w:right w:val="outset" w:sz="6" w:space="0" w:color="auto"/>
            </w:tcBorders>
            <w:hideMark/>
          </w:tcPr>
          <w:p w14:paraId="72EA062E" w14:textId="77777777" w:rsidR="0087521C" w:rsidRPr="00D21CE4" w:rsidRDefault="0087521C" w:rsidP="00B512FF">
            <w:pPr>
              <w:spacing w:after="0" w:line="240" w:lineRule="auto"/>
              <w:ind w:left="57"/>
              <w:rPr>
                <w:rFonts w:ascii="Times New Roman" w:hAnsi="Times New Roman"/>
                <w:i/>
                <w:sz w:val="24"/>
                <w:szCs w:val="24"/>
              </w:rPr>
            </w:pPr>
            <w:r w:rsidRPr="00D21CE4">
              <w:rPr>
                <w:rFonts w:ascii="Times New Roman" w:hAnsi="Times New Roman"/>
                <w:sz w:val="24"/>
                <w:szCs w:val="24"/>
              </w:rPr>
              <w:t>Projekts šo jomu neskar</w:t>
            </w:r>
            <w:r w:rsidR="00E122E6">
              <w:rPr>
                <w:rFonts w:ascii="Times New Roman" w:hAnsi="Times New Roman"/>
                <w:sz w:val="24"/>
                <w:szCs w:val="24"/>
              </w:rPr>
              <w:t>.</w:t>
            </w:r>
          </w:p>
        </w:tc>
      </w:tr>
      <w:tr w:rsidR="0087521C" w:rsidRPr="00D21CE4" w14:paraId="22FAB015" w14:textId="77777777"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c>
          <w:tcPr>
            <w:tcW w:w="301" w:type="pct"/>
            <w:tcBorders>
              <w:top w:val="outset" w:sz="6" w:space="0" w:color="auto"/>
              <w:left w:val="outset" w:sz="6" w:space="0" w:color="auto"/>
              <w:bottom w:val="outset" w:sz="6" w:space="0" w:color="auto"/>
              <w:right w:val="outset" w:sz="6" w:space="0" w:color="auto"/>
            </w:tcBorders>
            <w:hideMark/>
          </w:tcPr>
          <w:p w14:paraId="601AE4FE" w14:textId="77777777" w:rsidR="0087521C" w:rsidRPr="00D21CE4" w:rsidRDefault="0087521C" w:rsidP="00B512FF">
            <w:pPr>
              <w:ind w:left="57"/>
              <w:rPr>
                <w:rFonts w:ascii="Times New Roman" w:hAnsi="Times New Roman"/>
                <w:sz w:val="24"/>
                <w:szCs w:val="24"/>
              </w:rPr>
            </w:pPr>
            <w:r w:rsidRPr="00D21CE4">
              <w:rPr>
                <w:rFonts w:ascii="Times New Roman" w:hAnsi="Times New Roman"/>
                <w:sz w:val="24"/>
                <w:szCs w:val="24"/>
              </w:rPr>
              <w:t>3.</w:t>
            </w:r>
          </w:p>
        </w:tc>
        <w:tc>
          <w:tcPr>
            <w:tcW w:w="1667" w:type="pct"/>
            <w:gridSpan w:val="3"/>
            <w:tcBorders>
              <w:top w:val="outset" w:sz="6" w:space="0" w:color="auto"/>
              <w:left w:val="outset" w:sz="6" w:space="0" w:color="auto"/>
              <w:bottom w:val="outset" w:sz="6" w:space="0" w:color="auto"/>
              <w:right w:val="outset" w:sz="6" w:space="0" w:color="auto"/>
            </w:tcBorders>
            <w:hideMark/>
          </w:tcPr>
          <w:p w14:paraId="02CFD9EA" w14:textId="77777777" w:rsidR="0087521C" w:rsidRPr="00D21CE4" w:rsidRDefault="0087521C" w:rsidP="00B512FF">
            <w:pPr>
              <w:spacing w:after="0" w:line="240" w:lineRule="auto"/>
              <w:ind w:left="57"/>
              <w:rPr>
                <w:rFonts w:ascii="Times New Roman" w:hAnsi="Times New Roman"/>
                <w:sz w:val="24"/>
                <w:szCs w:val="24"/>
              </w:rPr>
            </w:pPr>
            <w:r w:rsidRPr="00D21CE4">
              <w:rPr>
                <w:rFonts w:ascii="Times New Roman" w:hAnsi="Times New Roman"/>
                <w:sz w:val="24"/>
                <w:szCs w:val="24"/>
              </w:rPr>
              <w:t>Cita informācija</w:t>
            </w:r>
          </w:p>
        </w:tc>
        <w:tc>
          <w:tcPr>
            <w:tcW w:w="3032" w:type="pct"/>
            <w:gridSpan w:val="3"/>
            <w:tcBorders>
              <w:top w:val="outset" w:sz="6" w:space="0" w:color="auto"/>
              <w:left w:val="outset" w:sz="6" w:space="0" w:color="auto"/>
              <w:bottom w:val="outset" w:sz="6" w:space="0" w:color="auto"/>
              <w:right w:val="outset" w:sz="6" w:space="0" w:color="auto"/>
            </w:tcBorders>
            <w:hideMark/>
          </w:tcPr>
          <w:p w14:paraId="7AE7A039" w14:textId="77777777" w:rsidR="0087521C" w:rsidRPr="00D21CE4" w:rsidRDefault="0087521C" w:rsidP="00B512FF">
            <w:pPr>
              <w:spacing w:after="0" w:line="240" w:lineRule="auto"/>
              <w:ind w:left="57"/>
              <w:jc w:val="both"/>
              <w:rPr>
                <w:rFonts w:ascii="Times New Roman" w:hAnsi="Times New Roman"/>
                <w:sz w:val="24"/>
                <w:szCs w:val="24"/>
              </w:rPr>
            </w:pPr>
            <w:r w:rsidRPr="00D21CE4">
              <w:rPr>
                <w:rFonts w:ascii="Times New Roman" w:hAnsi="Times New Roman"/>
                <w:sz w:val="24"/>
                <w:szCs w:val="24"/>
              </w:rPr>
              <w:t>Nav</w:t>
            </w:r>
            <w:r w:rsidR="00A3258A">
              <w:rPr>
                <w:rFonts w:ascii="Times New Roman" w:hAnsi="Times New Roman"/>
                <w:sz w:val="24"/>
                <w:szCs w:val="24"/>
              </w:rPr>
              <w:t>.</w:t>
            </w:r>
          </w:p>
        </w:tc>
      </w:tr>
      <w:tr w:rsidR="0087521C" w:rsidRPr="00D21CE4" w14:paraId="34EC9E78" w14:textId="77777777"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709"/>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0641EC7A" w14:textId="77777777" w:rsidR="0087521C" w:rsidRPr="00BB1ECD" w:rsidRDefault="0087521C" w:rsidP="00B512FF">
            <w:pPr>
              <w:spacing w:after="0" w:line="240" w:lineRule="auto"/>
              <w:ind w:left="57"/>
              <w:jc w:val="center"/>
              <w:rPr>
                <w:rFonts w:ascii="Times New Roman" w:eastAsia="Times New Roman" w:hAnsi="Times New Roman"/>
                <w:b/>
                <w:sz w:val="24"/>
                <w:szCs w:val="24"/>
              </w:rPr>
            </w:pPr>
            <w:r w:rsidRPr="00BB1ECD">
              <w:rPr>
                <w:rFonts w:ascii="Times New Roman" w:eastAsia="Times New Roman" w:hAnsi="Times New Roman"/>
                <w:b/>
                <w:sz w:val="24"/>
                <w:szCs w:val="24"/>
              </w:rPr>
              <w:t>1.tabula</w:t>
            </w:r>
          </w:p>
          <w:p w14:paraId="2A19A571" w14:textId="77777777" w:rsidR="0087521C" w:rsidRPr="00BB1ECD" w:rsidRDefault="0087521C" w:rsidP="00B512FF">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b/>
                <w:sz w:val="24"/>
                <w:szCs w:val="24"/>
              </w:rPr>
              <w:t>Tiesību akta projekta atbilstība ES tiesību aktiem</w:t>
            </w:r>
          </w:p>
        </w:tc>
      </w:tr>
      <w:tr w:rsidR="0087521C" w:rsidRPr="00D21CE4" w14:paraId="7FD852EA" w14:textId="77777777"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1377"/>
        </w:trPr>
        <w:tc>
          <w:tcPr>
            <w:tcW w:w="1262" w:type="pct"/>
            <w:gridSpan w:val="2"/>
            <w:tcBorders>
              <w:top w:val="outset" w:sz="6" w:space="0" w:color="auto"/>
              <w:left w:val="outset" w:sz="6" w:space="0" w:color="auto"/>
              <w:bottom w:val="outset" w:sz="6" w:space="0" w:color="auto"/>
              <w:right w:val="outset" w:sz="6" w:space="0" w:color="auto"/>
            </w:tcBorders>
            <w:hideMark/>
          </w:tcPr>
          <w:p w14:paraId="748820D5" w14:textId="77777777" w:rsidR="0087521C" w:rsidRPr="00BB1ECD" w:rsidRDefault="0087521C" w:rsidP="00B512FF">
            <w:pPr>
              <w:spacing w:after="0" w:line="240" w:lineRule="auto"/>
              <w:ind w:right="108"/>
              <w:rPr>
                <w:rFonts w:ascii="Times New Roman" w:eastAsia="Times New Roman" w:hAnsi="Times New Roman"/>
                <w:sz w:val="24"/>
                <w:szCs w:val="24"/>
              </w:rPr>
            </w:pPr>
            <w:r w:rsidRPr="00BB1ECD">
              <w:rPr>
                <w:rFonts w:ascii="Times New Roman" w:eastAsia="Times New Roman" w:hAnsi="Times New Roman"/>
                <w:sz w:val="24"/>
                <w:szCs w:val="24"/>
              </w:rPr>
              <w:t>Attiecīgā ES tiesību akta datums, numurs un nosaukums</w:t>
            </w:r>
          </w:p>
        </w:tc>
        <w:tc>
          <w:tcPr>
            <w:tcW w:w="3738" w:type="pct"/>
            <w:gridSpan w:val="5"/>
            <w:tcBorders>
              <w:top w:val="outset" w:sz="6" w:space="0" w:color="auto"/>
              <w:left w:val="outset" w:sz="6" w:space="0" w:color="auto"/>
              <w:bottom w:val="outset" w:sz="6" w:space="0" w:color="auto"/>
              <w:right w:val="outset" w:sz="6" w:space="0" w:color="auto"/>
            </w:tcBorders>
            <w:hideMark/>
          </w:tcPr>
          <w:p w14:paraId="256070E9" w14:textId="77777777" w:rsidR="0087521C" w:rsidRPr="00BB1ECD" w:rsidRDefault="0087521C" w:rsidP="00B512FF">
            <w:pPr>
              <w:spacing w:after="0" w:line="240" w:lineRule="auto"/>
              <w:ind w:right="108"/>
              <w:jc w:val="both"/>
              <w:rPr>
                <w:rFonts w:ascii="Times New Roman" w:eastAsia="Times New Roman" w:hAnsi="Times New Roman"/>
                <w:sz w:val="24"/>
                <w:szCs w:val="24"/>
                <w:lang w:eastAsia="lv-LV"/>
              </w:rPr>
            </w:pPr>
            <w:r w:rsidRPr="00BB1ECD">
              <w:rPr>
                <w:rFonts w:ascii="Times New Roman" w:hAnsi="Times New Roman"/>
                <w:sz w:val="24"/>
                <w:szCs w:val="24"/>
              </w:rPr>
              <w:t xml:space="preserve">Eiropas Parlamenta un Padomes 2019. gada 20. jūnija Regula (ES) Nr. </w:t>
            </w:r>
            <w:r w:rsidRPr="00BB1ECD">
              <w:rPr>
                <w:rStyle w:val="Hyperlink"/>
                <w:rFonts w:ascii="Times New Roman" w:hAnsi="Times New Roman"/>
                <w:color w:val="auto"/>
                <w:sz w:val="24"/>
                <w:szCs w:val="24"/>
                <w:u w:val="none"/>
              </w:rPr>
              <w:t>2019/1148</w:t>
            </w:r>
            <w:r w:rsidRPr="00BB1ECD">
              <w:rPr>
                <w:rFonts w:ascii="Times New Roman" w:hAnsi="Times New Roman"/>
                <w:sz w:val="24"/>
                <w:szCs w:val="24"/>
              </w:rPr>
              <w:t xml:space="preserve"> par sprāgstvielu prekursoru tirdzniecību un lietošanu</w:t>
            </w:r>
            <w:r w:rsidRPr="00BB1ECD">
              <w:rPr>
                <w:rFonts w:ascii="Times New Roman" w:hAnsi="Times New Roman"/>
                <w:sz w:val="24"/>
                <w:szCs w:val="24"/>
                <w:shd w:val="clear" w:color="auto" w:fill="FFFFFF"/>
              </w:rPr>
              <w:t>, ar ko groza Regulu (EK) Nr. 1907/2006 un atceļ Regulu (ES) Nr. 98/2013</w:t>
            </w:r>
          </w:p>
        </w:tc>
      </w:tr>
      <w:tr w:rsidR="0087521C" w:rsidRPr="00D21CE4" w14:paraId="2A366633"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378"/>
        </w:trPr>
        <w:tc>
          <w:tcPr>
            <w:tcW w:w="1262" w:type="pct"/>
            <w:gridSpan w:val="2"/>
            <w:tcBorders>
              <w:top w:val="outset" w:sz="6" w:space="0" w:color="auto"/>
              <w:left w:val="outset" w:sz="6" w:space="0" w:color="auto"/>
              <w:bottom w:val="outset" w:sz="6" w:space="0" w:color="auto"/>
              <w:right w:val="outset" w:sz="6" w:space="0" w:color="auto"/>
            </w:tcBorders>
            <w:vAlign w:val="center"/>
            <w:hideMark/>
          </w:tcPr>
          <w:p w14:paraId="28F1C4A9" w14:textId="77777777" w:rsidR="0087521C" w:rsidRPr="00BB1ECD" w:rsidRDefault="0087521C" w:rsidP="00B512FF">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sz w:val="24"/>
                <w:szCs w:val="24"/>
              </w:rPr>
              <w:t>A</w:t>
            </w:r>
          </w:p>
        </w:tc>
        <w:tc>
          <w:tcPr>
            <w:tcW w:w="1314" w:type="pct"/>
            <w:gridSpan w:val="3"/>
            <w:tcBorders>
              <w:top w:val="outset" w:sz="6" w:space="0" w:color="auto"/>
              <w:left w:val="outset" w:sz="6" w:space="0" w:color="auto"/>
              <w:bottom w:val="outset" w:sz="6" w:space="0" w:color="auto"/>
              <w:right w:val="outset" w:sz="6" w:space="0" w:color="auto"/>
            </w:tcBorders>
            <w:vAlign w:val="center"/>
            <w:hideMark/>
          </w:tcPr>
          <w:p w14:paraId="5E123F5D" w14:textId="77777777" w:rsidR="0087521C" w:rsidRPr="00BB1ECD" w:rsidRDefault="0087521C" w:rsidP="00B512FF">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sz w:val="24"/>
                <w:szCs w:val="24"/>
              </w:rPr>
              <w:t>B</w:t>
            </w:r>
          </w:p>
        </w:tc>
        <w:tc>
          <w:tcPr>
            <w:tcW w:w="1135" w:type="pct"/>
            <w:tcBorders>
              <w:top w:val="outset" w:sz="6" w:space="0" w:color="auto"/>
              <w:left w:val="outset" w:sz="6" w:space="0" w:color="auto"/>
              <w:bottom w:val="outset" w:sz="6" w:space="0" w:color="auto"/>
              <w:right w:val="outset" w:sz="6" w:space="0" w:color="auto"/>
            </w:tcBorders>
            <w:vAlign w:val="center"/>
            <w:hideMark/>
          </w:tcPr>
          <w:p w14:paraId="7D15C6EC" w14:textId="77777777" w:rsidR="0087521C" w:rsidRPr="00BB1ECD" w:rsidRDefault="0087521C" w:rsidP="00B512FF">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sz w:val="24"/>
                <w:szCs w:val="24"/>
              </w:rPr>
              <w:t>C</w:t>
            </w:r>
          </w:p>
        </w:tc>
        <w:tc>
          <w:tcPr>
            <w:tcW w:w="1289" w:type="pct"/>
            <w:tcBorders>
              <w:top w:val="outset" w:sz="6" w:space="0" w:color="auto"/>
              <w:left w:val="outset" w:sz="6" w:space="0" w:color="auto"/>
              <w:bottom w:val="outset" w:sz="6" w:space="0" w:color="auto"/>
              <w:right w:val="outset" w:sz="6" w:space="0" w:color="auto"/>
            </w:tcBorders>
            <w:vAlign w:val="center"/>
            <w:hideMark/>
          </w:tcPr>
          <w:p w14:paraId="477D3A67" w14:textId="77777777" w:rsidR="0087521C" w:rsidRPr="00BB1ECD" w:rsidRDefault="0087521C" w:rsidP="00B512FF">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sz w:val="24"/>
                <w:szCs w:val="24"/>
              </w:rPr>
              <w:t>D</w:t>
            </w:r>
          </w:p>
        </w:tc>
      </w:tr>
      <w:tr w:rsidR="0087521C" w:rsidRPr="00D21CE4" w14:paraId="01CF1B35"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1829"/>
        </w:trPr>
        <w:tc>
          <w:tcPr>
            <w:tcW w:w="1262" w:type="pct"/>
            <w:gridSpan w:val="2"/>
            <w:tcBorders>
              <w:top w:val="outset" w:sz="6" w:space="0" w:color="auto"/>
              <w:left w:val="outset" w:sz="6" w:space="0" w:color="auto"/>
              <w:bottom w:val="outset" w:sz="6" w:space="0" w:color="auto"/>
              <w:right w:val="outset" w:sz="6" w:space="0" w:color="auto"/>
            </w:tcBorders>
            <w:hideMark/>
          </w:tcPr>
          <w:p w14:paraId="03FB71C5" w14:textId="77777777" w:rsidR="0087521C" w:rsidRPr="00BB1ECD" w:rsidRDefault="0087521C" w:rsidP="00B512FF">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Attiecīgā ES tiesību akta panta numurs (uzskaitot katru tiesību akta vienību – pantu, daļu, punktu, apakšpunktu)</w:t>
            </w:r>
          </w:p>
        </w:tc>
        <w:tc>
          <w:tcPr>
            <w:tcW w:w="1314" w:type="pct"/>
            <w:gridSpan w:val="3"/>
            <w:tcBorders>
              <w:top w:val="outset" w:sz="6" w:space="0" w:color="auto"/>
              <w:left w:val="outset" w:sz="6" w:space="0" w:color="auto"/>
              <w:bottom w:val="outset" w:sz="6" w:space="0" w:color="auto"/>
              <w:right w:val="outset" w:sz="6" w:space="0" w:color="auto"/>
            </w:tcBorders>
            <w:hideMark/>
          </w:tcPr>
          <w:p w14:paraId="604851BB" w14:textId="77777777" w:rsidR="0087521C" w:rsidRPr="00BB1ECD" w:rsidRDefault="0087521C" w:rsidP="00B512FF">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1135" w:type="pct"/>
            <w:tcBorders>
              <w:top w:val="outset" w:sz="6" w:space="0" w:color="auto"/>
              <w:left w:val="outset" w:sz="6" w:space="0" w:color="auto"/>
              <w:bottom w:val="outset" w:sz="6" w:space="0" w:color="auto"/>
              <w:right w:val="outset" w:sz="6" w:space="0" w:color="auto"/>
            </w:tcBorders>
            <w:hideMark/>
          </w:tcPr>
          <w:p w14:paraId="5174517E" w14:textId="77777777" w:rsidR="0087521C" w:rsidRPr="00BB1ECD" w:rsidRDefault="0087521C" w:rsidP="00B512FF">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Informācija par to, vai šīs tabulas A ailē minētās ES tiesību akta vienības tiek pārņemtas vai ieviestas pilnībā vai daļēji.</w:t>
            </w:r>
          </w:p>
          <w:p w14:paraId="76673173" w14:textId="77777777" w:rsidR="0087521C" w:rsidRPr="00BB1ECD" w:rsidRDefault="0087521C" w:rsidP="00B512FF">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6FE11172" w14:textId="77777777" w:rsidR="0087521C" w:rsidRPr="00BB1ECD" w:rsidRDefault="0087521C" w:rsidP="00B512FF">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Norāda institūciju, kas ir atbildīga par šo saistību izpildi pilnībā</w:t>
            </w:r>
          </w:p>
        </w:tc>
        <w:tc>
          <w:tcPr>
            <w:tcW w:w="1289" w:type="pct"/>
            <w:tcBorders>
              <w:top w:val="outset" w:sz="6" w:space="0" w:color="auto"/>
              <w:left w:val="outset" w:sz="6" w:space="0" w:color="auto"/>
              <w:bottom w:val="outset" w:sz="6" w:space="0" w:color="auto"/>
              <w:right w:val="outset" w:sz="6" w:space="0" w:color="auto"/>
            </w:tcBorders>
            <w:hideMark/>
          </w:tcPr>
          <w:p w14:paraId="2867283E" w14:textId="77777777" w:rsidR="0087521C" w:rsidRPr="00BB1ECD" w:rsidRDefault="0087521C" w:rsidP="00B512FF">
            <w:pPr>
              <w:spacing w:after="0" w:line="240" w:lineRule="auto"/>
              <w:ind w:right="108"/>
              <w:rPr>
                <w:rFonts w:ascii="Times New Roman" w:eastAsia="Times New Roman" w:hAnsi="Times New Roman"/>
                <w:sz w:val="24"/>
                <w:szCs w:val="24"/>
              </w:rPr>
            </w:pPr>
            <w:r w:rsidRPr="00BB1ECD">
              <w:rPr>
                <w:rFonts w:ascii="Times New Roman" w:eastAsia="Times New Roman" w:hAnsi="Times New Roman"/>
                <w:spacing w:val="-3"/>
                <w:sz w:val="24"/>
                <w:szCs w:val="24"/>
              </w:rPr>
              <w:t xml:space="preserve">Informācija par to, vai šīs </w:t>
            </w:r>
            <w:r w:rsidRPr="00BB1ECD">
              <w:rPr>
                <w:rFonts w:ascii="Times New Roman" w:eastAsia="Times New Roman" w:hAnsi="Times New Roman"/>
                <w:sz w:val="24"/>
                <w:szCs w:val="24"/>
              </w:rPr>
              <w:t>tabulas B ailē minētās projekta vienības paredz stingrākas prasības nekā šīs tabulas A ailē minētās ES tiesību akta vienības.</w:t>
            </w:r>
          </w:p>
          <w:p w14:paraId="187FA6AC" w14:textId="77777777" w:rsidR="0087521C" w:rsidRPr="00BB1ECD" w:rsidRDefault="0087521C" w:rsidP="00B512FF">
            <w:pPr>
              <w:spacing w:after="0" w:line="240" w:lineRule="auto"/>
              <w:ind w:right="108"/>
              <w:rPr>
                <w:rFonts w:ascii="Times New Roman" w:eastAsia="Times New Roman" w:hAnsi="Times New Roman"/>
                <w:sz w:val="24"/>
                <w:szCs w:val="24"/>
              </w:rPr>
            </w:pPr>
            <w:r w:rsidRPr="00BB1ECD">
              <w:rPr>
                <w:rFonts w:ascii="Times New Roman" w:eastAsia="Times New Roman" w:hAnsi="Times New Roman"/>
                <w:sz w:val="24"/>
                <w:szCs w:val="24"/>
              </w:rPr>
              <w:t>Ja projekts satur stingrākas prasības nekā attiecīgais ES tiesību akts, norāda pamatojumu un samērīgumu.</w:t>
            </w:r>
          </w:p>
          <w:p w14:paraId="7429C748" w14:textId="77777777" w:rsidR="0087521C" w:rsidRPr="00BB1ECD" w:rsidRDefault="0087521C" w:rsidP="00B512FF">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z w:val="24"/>
                <w:szCs w:val="24"/>
              </w:rPr>
              <w:t>Norāda iespējamās alternatīvas (t.sk. alternatīvas, kas neparedz tiesiskā regulējuma izstrādi) – kādos gadījumos būtu iespējams izvairīties no stingrāku prasību</w:t>
            </w:r>
            <w:r w:rsidRPr="00BB1ECD">
              <w:rPr>
                <w:rFonts w:ascii="Times New Roman" w:eastAsia="Times New Roman" w:hAnsi="Times New Roman"/>
                <w:spacing w:val="-3"/>
                <w:sz w:val="24"/>
                <w:szCs w:val="24"/>
              </w:rPr>
              <w:t xml:space="preserve"> noteikšanas, nekā paredzēts attiecīgajos ES tiesību aktos</w:t>
            </w:r>
          </w:p>
        </w:tc>
      </w:tr>
      <w:tr w:rsidR="008B3D98" w:rsidRPr="00D21CE4" w14:paraId="26500558"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14:paraId="4D2D5A47" w14:textId="77777777" w:rsidR="008B3D98" w:rsidRPr="00BB1ECD" w:rsidRDefault="008B3D98" w:rsidP="008B3D98">
            <w:pPr>
              <w:spacing w:after="0" w:line="240" w:lineRule="auto"/>
              <w:ind w:right="108"/>
              <w:jc w:val="both"/>
              <w:rPr>
                <w:rFonts w:ascii="Times New Roman" w:eastAsia="Times New Roman" w:hAnsi="Times New Roman"/>
                <w:bCs/>
                <w:sz w:val="24"/>
                <w:szCs w:val="24"/>
                <w:lang w:eastAsia="lv-LV"/>
              </w:rPr>
            </w:pPr>
            <w:r w:rsidRPr="00BB1ECD">
              <w:rPr>
                <w:rFonts w:ascii="Times New Roman" w:eastAsia="Times New Roman" w:hAnsi="Times New Roman"/>
                <w:bCs/>
                <w:sz w:val="24"/>
                <w:szCs w:val="24"/>
                <w:lang w:eastAsia="lv-LV"/>
              </w:rPr>
              <w:t xml:space="preserve">Regulas </w:t>
            </w:r>
            <w:r w:rsidRPr="00BB1ECD">
              <w:rPr>
                <w:rStyle w:val="Hyperlink"/>
                <w:rFonts w:ascii="Times New Roman" w:eastAsia="Times New Roman" w:hAnsi="Times New Roman"/>
                <w:bCs/>
                <w:color w:val="auto"/>
                <w:sz w:val="24"/>
                <w:szCs w:val="24"/>
                <w:u w:val="none"/>
                <w:lang w:eastAsia="lv-LV"/>
              </w:rPr>
              <w:t>2019/1148</w:t>
            </w:r>
          </w:p>
          <w:p w14:paraId="6D031E87" w14:textId="1EE3C277" w:rsidR="008B3D98" w:rsidRPr="00BB1ECD" w:rsidRDefault="008B3D98" w:rsidP="008B3D98">
            <w:pPr>
              <w:spacing w:after="0" w:line="240" w:lineRule="auto"/>
              <w:ind w:right="10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r w:rsidRPr="00BB1ECD">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panta 1. punkts</w:t>
            </w:r>
          </w:p>
        </w:tc>
        <w:tc>
          <w:tcPr>
            <w:tcW w:w="1314" w:type="pct"/>
            <w:gridSpan w:val="3"/>
            <w:tcBorders>
              <w:top w:val="outset" w:sz="6" w:space="0" w:color="auto"/>
              <w:left w:val="outset" w:sz="6" w:space="0" w:color="auto"/>
              <w:bottom w:val="outset" w:sz="6" w:space="0" w:color="auto"/>
              <w:right w:val="outset" w:sz="6" w:space="0" w:color="auto"/>
            </w:tcBorders>
          </w:tcPr>
          <w:p w14:paraId="28E1B02E" w14:textId="25C405AA" w:rsidR="008B3D98" w:rsidRDefault="008B3D98" w:rsidP="008B3D98">
            <w:pPr>
              <w:spacing w:after="0" w:line="240" w:lineRule="auto"/>
              <w:ind w:right="108"/>
              <w:jc w:val="both"/>
              <w:rPr>
                <w:rFonts w:ascii="Times New Roman" w:eastAsia="Times New Roman" w:hAnsi="Times New Roman"/>
                <w:spacing w:val="-3"/>
                <w:sz w:val="24"/>
                <w:szCs w:val="24"/>
              </w:rPr>
            </w:pPr>
            <w:r>
              <w:rPr>
                <w:rFonts w:ascii="Times New Roman" w:eastAsia="Times New Roman" w:hAnsi="Times New Roman"/>
                <w:spacing w:val="-3"/>
                <w:sz w:val="24"/>
                <w:szCs w:val="24"/>
              </w:rPr>
              <w:t>1.pants (13.</w:t>
            </w:r>
            <w:r w:rsidRPr="008B3D98">
              <w:rPr>
                <w:rFonts w:ascii="Times New Roman" w:eastAsia="Times New Roman" w:hAnsi="Times New Roman"/>
                <w:spacing w:val="-3"/>
                <w:sz w:val="24"/>
                <w:szCs w:val="24"/>
                <w:vertAlign w:val="superscript"/>
              </w:rPr>
              <w:t>1</w:t>
            </w:r>
            <w:r>
              <w:rPr>
                <w:rFonts w:ascii="Times New Roman" w:eastAsia="Times New Roman" w:hAnsi="Times New Roman"/>
                <w:spacing w:val="-3"/>
                <w:sz w:val="24"/>
                <w:szCs w:val="24"/>
                <w:vertAlign w:val="superscript"/>
              </w:rPr>
              <w:t xml:space="preserve"> </w:t>
            </w:r>
            <w:r>
              <w:rPr>
                <w:rFonts w:ascii="Times New Roman" w:eastAsia="Times New Roman" w:hAnsi="Times New Roman"/>
                <w:spacing w:val="-3"/>
                <w:sz w:val="24"/>
                <w:szCs w:val="24"/>
              </w:rPr>
              <w:t>pants)</w:t>
            </w:r>
          </w:p>
          <w:p w14:paraId="2BB721D9" w14:textId="77777777" w:rsidR="008B3D98" w:rsidRDefault="008B3D98" w:rsidP="008B3D98">
            <w:pPr>
              <w:spacing w:after="0" w:line="240" w:lineRule="auto"/>
              <w:ind w:right="108"/>
              <w:jc w:val="both"/>
              <w:rPr>
                <w:rFonts w:ascii="Times New Roman" w:eastAsia="Times New Roman" w:hAnsi="Times New Roman"/>
                <w:spacing w:val="-3"/>
                <w:sz w:val="24"/>
                <w:szCs w:val="24"/>
              </w:rPr>
            </w:pPr>
          </w:p>
        </w:tc>
        <w:tc>
          <w:tcPr>
            <w:tcW w:w="1135" w:type="pct"/>
            <w:tcBorders>
              <w:top w:val="outset" w:sz="6" w:space="0" w:color="auto"/>
              <w:left w:val="outset" w:sz="6" w:space="0" w:color="auto"/>
              <w:bottom w:val="outset" w:sz="6" w:space="0" w:color="auto"/>
              <w:right w:val="outset" w:sz="6" w:space="0" w:color="auto"/>
            </w:tcBorders>
          </w:tcPr>
          <w:p w14:paraId="2B9A3E9A" w14:textId="358DB341" w:rsidR="008B3D98" w:rsidRPr="00BB1ECD" w:rsidRDefault="008B3D98" w:rsidP="008B3D98">
            <w:pPr>
              <w:spacing w:after="0" w:line="240" w:lineRule="auto"/>
              <w:ind w:right="108"/>
              <w:jc w:val="both"/>
              <w:rPr>
                <w:rFonts w:ascii="Times New Roman" w:hAnsi="Times New Roman"/>
                <w:sz w:val="24"/>
                <w:szCs w:val="24"/>
              </w:rPr>
            </w:pPr>
            <w:r w:rsidRPr="00BB1ECD">
              <w:rPr>
                <w:rFonts w:ascii="Times New Roman" w:hAnsi="Times New Roman"/>
                <w:sz w:val="24"/>
                <w:szCs w:val="24"/>
              </w:rPr>
              <w:t>Regulas Nr.</w:t>
            </w:r>
            <w:r w:rsidRPr="00BB1ECD">
              <w:rPr>
                <w:rFonts w:ascii="Times New Roman" w:hAnsi="Times New Roman"/>
                <w:iCs/>
                <w:sz w:val="24"/>
                <w:szCs w:val="24"/>
              </w:rPr>
              <w:t xml:space="preserve"> 2019/1148 </w:t>
            </w:r>
            <w:r>
              <w:rPr>
                <w:rFonts w:ascii="Times New Roman" w:hAnsi="Times New Roman"/>
                <w:iCs/>
                <w:sz w:val="24"/>
                <w:szCs w:val="24"/>
              </w:rPr>
              <w:t>5</w:t>
            </w:r>
            <w:r w:rsidRPr="00BB1ECD">
              <w:rPr>
                <w:rFonts w:ascii="Times New Roman" w:hAnsi="Times New Roman"/>
                <w:sz w:val="24"/>
                <w:szCs w:val="24"/>
              </w:rPr>
              <w:t xml:space="preserve">.panta </w:t>
            </w:r>
            <w:r>
              <w:rPr>
                <w:rFonts w:ascii="Times New Roman" w:hAnsi="Times New Roman"/>
                <w:sz w:val="24"/>
                <w:szCs w:val="24"/>
              </w:rPr>
              <w:t>1.punkta īstenošana tiek</w:t>
            </w:r>
            <w:r w:rsidRPr="00BB1ECD">
              <w:rPr>
                <w:rFonts w:ascii="Times New Roman" w:hAnsi="Times New Roman"/>
                <w:sz w:val="24"/>
                <w:szCs w:val="24"/>
              </w:rPr>
              <w:t xml:space="preserve"> nodrošināta pilnībā</w:t>
            </w:r>
          </w:p>
        </w:tc>
        <w:tc>
          <w:tcPr>
            <w:tcW w:w="1289" w:type="pct"/>
            <w:tcBorders>
              <w:top w:val="outset" w:sz="6" w:space="0" w:color="auto"/>
              <w:left w:val="outset" w:sz="6" w:space="0" w:color="auto"/>
              <w:bottom w:val="outset" w:sz="6" w:space="0" w:color="auto"/>
              <w:right w:val="outset" w:sz="6" w:space="0" w:color="auto"/>
            </w:tcBorders>
          </w:tcPr>
          <w:p w14:paraId="57605955" w14:textId="66D07276" w:rsidR="008B3D98" w:rsidRPr="00BB1ECD" w:rsidRDefault="008B3D98" w:rsidP="008B3D98">
            <w:pPr>
              <w:spacing w:after="0" w:line="240" w:lineRule="auto"/>
              <w:ind w:right="108"/>
              <w:jc w:val="both"/>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Projekts nesatur stingrākas prasības nekā attiecīgais ES tiesību akts.</w:t>
            </w:r>
          </w:p>
        </w:tc>
      </w:tr>
      <w:tr w:rsidR="00E51DC3" w:rsidRPr="00D21CE4" w14:paraId="783A9EAB"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14:paraId="66A0027D" w14:textId="77777777"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sidRPr="00BB1ECD">
              <w:rPr>
                <w:rFonts w:ascii="Times New Roman" w:eastAsia="Times New Roman" w:hAnsi="Times New Roman"/>
                <w:bCs/>
                <w:sz w:val="24"/>
                <w:szCs w:val="24"/>
                <w:lang w:eastAsia="lv-LV"/>
              </w:rPr>
              <w:t xml:space="preserve">Regulas </w:t>
            </w:r>
            <w:r w:rsidRPr="00BB1ECD">
              <w:rPr>
                <w:rStyle w:val="Hyperlink"/>
                <w:rFonts w:ascii="Times New Roman" w:eastAsia="Times New Roman" w:hAnsi="Times New Roman"/>
                <w:bCs/>
                <w:color w:val="auto"/>
                <w:sz w:val="24"/>
                <w:szCs w:val="24"/>
                <w:u w:val="none"/>
                <w:lang w:eastAsia="lv-LV"/>
              </w:rPr>
              <w:t>2019/1148</w:t>
            </w:r>
          </w:p>
          <w:p w14:paraId="0D0F4A00" w14:textId="115C0D24"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r w:rsidRPr="00BB1ECD">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panta 1. punkts</w:t>
            </w:r>
          </w:p>
        </w:tc>
        <w:tc>
          <w:tcPr>
            <w:tcW w:w="1314" w:type="pct"/>
            <w:gridSpan w:val="3"/>
            <w:tcBorders>
              <w:top w:val="outset" w:sz="6" w:space="0" w:color="auto"/>
              <w:left w:val="outset" w:sz="6" w:space="0" w:color="auto"/>
              <w:bottom w:val="outset" w:sz="6" w:space="0" w:color="auto"/>
              <w:right w:val="outset" w:sz="6" w:space="0" w:color="auto"/>
            </w:tcBorders>
          </w:tcPr>
          <w:p w14:paraId="5C91D056" w14:textId="77777777" w:rsidR="00E51DC3" w:rsidRDefault="00E51DC3" w:rsidP="00E51DC3">
            <w:pPr>
              <w:spacing w:after="0" w:line="240" w:lineRule="auto"/>
              <w:ind w:right="108"/>
              <w:jc w:val="both"/>
              <w:rPr>
                <w:rFonts w:ascii="Times New Roman" w:eastAsia="Times New Roman" w:hAnsi="Times New Roman"/>
                <w:spacing w:val="-3"/>
                <w:sz w:val="24"/>
                <w:szCs w:val="24"/>
              </w:rPr>
            </w:pPr>
            <w:r>
              <w:rPr>
                <w:rFonts w:ascii="Times New Roman" w:eastAsia="Times New Roman" w:hAnsi="Times New Roman"/>
                <w:spacing w:val="-3"/>
                <w:sz w:val="24"/>
                <w:szCs w:val="24"/>
              </w:rPr>
              <w:t>1.pants (13.</w:t>
            </w:r>
            <w:r w:rsidRPr="00AD4AB0">
              <w:rPr>
                <w:rFonts w:ascii="Times New Roman" w:eastAsia="Times New Roman" w:hAnsi="Times New Roman"/>
                <w:spacing w:val="-3"/>
                <w:sz w:val="24"/>
                <w:szCs w:val="24"/>
                <w:vertAlign w:val="superscript"/>
              </w:rPr>
              <w:t>2</w:t>
            </w:r>
            <w:r>
              <w:rPr>
                <w:rFonts w:ascii="Times New Roman" w:eastAsia="Times New Roman" w:hAnsi="Times New Roman"/>
                <w:spacing w:val="-3"/>
                <w:sz w:val="24"/>
                <w:szCs w:val="24"/>
                <w:vertAlign w:val="superscript"/>
              </w:rPr>
              <w:t xml:space="preserve"> </w:t>
            </w:r>
            <w:r>
              <w:rPr>
                <w:rFonts w:ascii="Times New Roman" w:eastAsia="Times New Roman" w:hAnsi="Times New Roman"/>
                <w:spacing w:val="-3"/>
                <w:sz w:val="24"/>
                <w:szCs w:val="24"/>
              </w:rPr>
              <w:t>pants)</w:t>
            </w:r>
          </w:p>
          <w:p w14:paraId="1E969268" w14:textId="77777777" w:rsidR="00E51DC3" w:rsidRDefault="00E51DC3" w:rsidP="00E51DC3">
            <w:pPr>
              <w:spacing w:after="0" w:line="240" w:lineRule="auto"/>
              <w:ind w:right="108"/>
              <w:jc w:val="both"/>
              <w:rPr>
                <w:rFonts w:ascii="Times New Roman" w:eastAsia="Times New Roman" w:hAnsi="Times New Roman"/>
                <w:spacing w:val="-3"/>
                <w:sz w:val="24"/>
                <w:szCs w:val="24"/>
              </w:rPr>
            </w:pPr>
          </w:p>
        </w:tc>
        <w:tc>
          <w:tcPr>
            <w:tcW w:w="1135" w:type="pct"/>
            <w:tcBorders>
              <w:top w:val="outset" w:sz="6" w:space="0" w:color="auto"/>
              <w:left w:val="outset" w:sz="6" w:space="0" w:color="auto"/>
              <w:bottom w:val="outset" w:sz="6" w:space="0" w:color="auto"/>
              <w:right w:val="outset" w:sz="6" w:space="0" w:color="auto"/>
            </w:tcBorders>
          </w:tcPr>
          <w:p w14:paraId="117B604C" w14:textId="1E2407E5" w:rsidR="00E51DC3" w:rsidRPr="00BB1ECD" w:rsidRDefault="00E51DC3" w:rsidP="00E51DC3">
            <w:pPr>
              <w:spacing w:after="0" w:line="240" w:lineRule="auto"/>
              <w:ind w:right="108"/>
              <w:jc w:val="both"/>
              <w:rPr>
                <w:rFonts w:ascii="Times New Roman" w:hAnsi="Times New Roman"/>
                <w:sz w:val="24"/>
                <w:szCs w:val="24"/>
              </w:rPr>
            </w:pPr>
            <w:r w:rsidRPr="00BB1ECD">
              <w:rPr>
                <w:rFonts w:ascii="Times New Roman" w:hAnsi="Times New Roman"/>
                <w:sz w:val="24"/>
                <w:szCs w:val="24"/>
              </w:rPr>
              <w:t>Regulas Nr.</w:t>
            </w:r>
            <w:r w:rsidRPr="00BB1ECD">
              <w:rPr>
                <w:rFonts w:ascii="Times New Roman" w:hAnsi="Times New Roman"/>
                <w:iCs/>
                <w:sz w:val="24"/>
                <w:szCs w:val="24"/>
              </w:rPr>
              <w:t xml:space="preserve"> 2019/1148 </w:t>
            </w:r>
            <w:r>
              <w:rPr>
                <w:rFonts w:ascii="Times New Roman" w:hAnsi="Times New Roman"/>
                <w:iCs/>
                <w:sz w:val="24"/>
                <w:szCs w:val="24"/>
              </w:rPr>
              <w:t>7</w:t>
            </w:r>
            <w:r w:rsidRPr="00BB1ECD">
              <w:rPr>
                <w:rFonts w:ascii="Times New Roman" w:hAnsi="Times New Roman"/>
                <w:sz w:val="24"/>
                <w:szCs w:val="24"/>
              </w:rPr>
              <w:t xml:space="preserve">.panta </w:t>
            </w:r>
            <w:r>
              <w:rPr>
                <w:rFonts w:ascii="Times New Roman" w:hAnsi="Times New Roman"/>
                <w:sz w:val="24"/>
                <w:szCs w:val="24"/>
              </w:rPr>
              <w:t xml:space="preserve">1.punkta </w:t>
            </w:r>
            <w:r>
              <w:rPr>
                <w:rFonts w:ascii="Times New Roman" w:hAnsi="Times New Roman"/>
                <w:sz w:val="24"/>
                <w:szCs w:val="24"/>
              </w:rPr>
              <w:lastRenderedPageBreak/>
              <w:t>īstenošana tiek</w:t>
            </w:r>
            <w:r w:rsidRPr="00BB1ECD">
              <w:rPr>
                <w:rFonts w:ascii="Times New Roman" w:hAnsi="Times New Roman"/>
                <w:sz w:val="24"/>
                <w:szCs w:val="24"/>
              </w:rPr>
              <w:t xml:space="preserve"> nodrošināta pilnībā</w:t>
            </w:r>
          </w:p>
        </w:tc>
        <w:tc>
          <w:tcPr>
            <w:tcW w:w="1289" w:type="pct"/>
            <w:tcBorders>
              <w:top w:val="outset" w:sz="6" w:space="0" w:color="auto"/>
              <w:left w:val="outset" w:sz="6" w:space="0" w:color="auto"/>
              <w:bottom w:val="outset" w:sz="6" w:space="0" w:color="auto"/>
              <w:right w:val="outset" w:sz="6" w:space="0" w:color="auto"/>
            </w:tcBorders>
          </w:tcPr>
          <w:p w14:paraId="452A0625" w14:textId="4F0A5C2F" w:rsidR="00E51DC3" w:rsidRPr="00BB1ECD" w:rsidRDefault="00E51DC3" w:rsidP="00E51DC3">
            <w:pPr>
              <w:spacing w:after="0" w:line="240" w:lineRule="auto"/>
              <w:ind w:right="108"/>
              <w:jc w:val="both"/>
              <w:rPr>
                <w:rFonts w:ascii="Times New Roman" w:eastAsia="Times New Roman" w:hAnsi="Times New Roman"/>
                <w:spacing w:val="-3"/>
                <w:sz w:val="24"/>
                <w:szCs w:val="24"/>
              </w:rPr>
            </w:pPr>
            <w:r w:rsidRPr="00BB1ECD">
              <w:rPr>
                <w:rFonts w:ascii="Times New Roman" w:eastAsia="Times New Roman" w:hAnsi="Times New Roman"/>
                <w:spacing w:val="-3"/>
                <w:sz w:val="24"/>
                <w:szCs w:val="24"/>
              </w:rPr>
              <w:lastRenderedPageBreak/>
              <w:t xml:space="preserve">Projekts nesatur stingrākas prasības nekā </w:t>
            </w:r>
            <w:r w:rsidRPr="00BB1ECD">
              <w:rPr>
                <w:rFonts w:ascii="Times New Roman" w:eastAsia="Times New Roman" w:hAnsi="Times New Roman"/>
                <w:spacing w:val="-3"/>
                <w:sz w:val="24"/>
                <w:szCs w:val="24"/>
              </w:rPr>
              <w:lastRenderedPageBreak/>
              <w:t>attiecīgais ES tiesību akts.</w:t>
            </w:r>
          </w:p>
        </w:tc>
      </w:tr>
      <w:tr w:rsidR="00E51DC3" w:rsidRPr="00D21CE4" w14:paraId="4EA577A3"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14:paraId="77944258" w14:textId="77777777"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sidRPr="00BB1ECD">
              <w:rPr>
                <w:rFonts w:ascii="Times New Roman" w:eastAsia="Times New Roman" w:hAnsi="Times New Roman"/>
                <w:bCs/>
                <w:sz w:val="24"/>
                <w:szCs w:val="24"/>
                <w:lang w:eastAsia="lv-LV"/>
              </w:rPr>
              <w:lastRenderedPageBreak/>
              <w:t xml:space="preserve">Regulas </w:t>
            </w:r>
            <w:r w:rsidRPr="00BB1ECD">
              <w:rPr>
                <w:rStyle w:val="Hyperlink"/>
                <w:rFonts w:ascii="Times New Roman" w:eastAsia="Times New Roman" w:hAnsi="Times New Roman"/>
                <w:bCs/>
                <w:color w:val="auto"/>
                <w:sz w:val="24"/>
                <w:szCs w:val="24"/>
                <w:u w:val="none"/>
                <w:lang w:eastAsia="lv-LV"/>
              </w:rPr>
              <w:t>2019/1148</w:t>
            </w:r>
          </w:p>
          <w:p w14:paraId="1BFC03CF" w14:textId="4B27F271"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r w:rsidRPr="00BB1ECD">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panta 2. punkts</w:t>
            </w:r>
          </w:p>
        </w:tc>
        <w:tc>
          <w:tcPr>
            <w:tcW w:w="1314" w:type="pct"/>
            <w:gridSpan w:val="3"/>
            <w:tcBorders>
              <w:top w:val="outset" w:sz="6" w:space="0" w:color="auto"/>
              <w:left w:val="outset" w:sz="6" w:space="0" w:color="auto"/>
              <w:bottom w:val="outset" w:sz="6" w:space="0" w:color="auto"/>
              <w:right w:val="outset" w:sz="6" w:space="0" w:color="auto"/>
            </w:tcBorders>
          </w:tcPr>
          <w:p w14:paraId="6E205CFC" w14:textId="77777777" w:rsidR="00E51DC3" w:rsidRDefault="00E51DC3" w:rsidP="00E51DC3">
            <w:pPr>
              <w:spacing w:after="0" w:line="240" w:lineRule="auto"/>
              <w:ind w:right="108"/>
              <w:jc w:val="both"/>
              <w:rPr>
                <w:rFonts w:ascii="Times New Roman" w:eastAsia="Times New Roman" w:hAnsi="Times New Roman"/>
                <w:spacing w:val="-3"/>
                <w:sz w:val="24"/>
                <w:szCs w:val="24"/>
              </w:rPr>
            </w:pPr>
            <w:r>
              <w:rPr>
                <w:rFonts w:ascii="Times New Roman" w:eastAsia="Times New Roman" w:hAnsi="Times New Roman"/>
                <w:spacing w:val="-3"/>
                <w:sz w:val="24"/>
                <w:szCs w:val="24"/>
              </w:rPr>
              <w:t>1.pants (13.</w:t>
            </w:r>
            <w:r w:rsidRPr="00AD4AB0">
              <w:rPr>
                <w:rFonts w:ascii="Times New Roman" w:eastAsia="Times New Roman" w:hAnsi="Times New Roman"/>
                <w:spacing w:val="-3"/>
                <w:sz w:val="24"/>
                <w:szCs w:val="24"/>
                <w:vertAlign w:val="superscript"/>
              </w:rPr>
              <w:t>2</w:t>
            </w:r>
            <w:r>
              <w:rPr>
                <w:rFonts w:ascii="Times New Roman" w:eastAsia="Times New Roman" w:hAnsi="Times New Roman"/>
                <w:spacing w:val="-3"/>
                <w:sz w:val="24"/>
                <w:szCs w:val="24"/>
                <w:vertAlign w:val="superscript"/>
              </w:rPr>
              <w:t xml:space="preserve"> </w:t>
            </w:r>
            <w:r>
              <w:rPr>
                <w:rFonts w:ascii="Times New Roman" w:eastAsia="Times New Roman" w:hAnsi="Times New Roman"/>
                <w:spacing w:val="-3"/>
                <w:sz w:val="24"/>
                <w:szCs w:val="24"/>
              </w:rPr>
              <w:t>pants)</w:t>
            </w:r>
          </w:p>
          <w:p w14:paraId="2E2ACBDB" w14:textId="77777777" w:rsidR="00E51DC3" w:rsidRDefault="00E51DC3" w:rsidP="00E51DC3">
            <w:pPr>
              <w:spacing w:after="0" w:line="240" w:lineRule="auto"/>
              <w:ind w:right="108"/>
              <w:jc w:val="both"/>
              <w:rPr>
                <w:rFonts w:ascii="Times New Roman" w:eastAsia="Times New Roman" w:hAnsi="Times New Roman"/>
                <w:spacing w:val="-3"/>
                <w:sz w:val="24"/>
                <w:szCs w:val="24"/>
              </w:rPr>
            </w:pPr>
          </w:p>
        </w:tc>
        <w:tc>
          <w:tcPr>
            <w:tcW w:w="1135" w:type="pct"/>
            <w:tcBorders>
              <w:top w:val="outset" w:sz="6" w:space="0" w:color="auto"/>
              <w:left w:val="outset" w:sz="6" w:space="0" w:color="auto"/>
              <w:bottom w:val="outset" w:sz="6" w:space="0" w:color="auto"/>
              <w:right w:val="outset" w:sz="6" w:space="0" w:color="auto"/>
            </w:tcBorders>
          </w:tcPr>
          <w:p w14:paraId="3ADB581E" w14:textId="6FF3D846" w:rsidR="00E51DC3" w:rsidRPr="00BB1ECD" w:rsidRDefault="00E51DC3" w:rsidP="00E51DC3">
            <w:pPr>
              <w:spacing w:after="0" w:line="240" w:lineRule="auto"/>
              <w:ind w:right="108"/>
              <w:jc w:val="both"/>
              <w:rPr>
                <w:rFonts w:ascii="Times New Roman" w:hAnsi="Times New Roman"/>
                <w:sz w:val="24"/>
                <w:szCs w:val="24"/>
              </w:rPr>
            </w:pPr>
            <w:r w:rsidRPr="00BB1ECD">
              <w:rPr>
                <w:rFonts w:ascii="Times New Roman" w:hAnsi="Times New Roman"/>
                <w:sz w:val="24"/>
                <w:szCs w:val="24"/>
              </w:rPr>
              <w:t>Regulas Nr.</w:t>
            </w:r>
            <w:r w:rsidRPr="00BB1ECD">
              <w:rPr>
                <w:rFonts w:ascii="Times New Roman" w:hAnsi="Times New Roman"/>
                <w:iCs/>
                <w:sz w:val="24"/>
                <w:szCs w:val="24"/>
              </w:rPr>
              <w:t xml:space="preserve"> 2019/1148 </w:t>
            </w:r>
            <w:r>
              <w:rPr>
                <w:rFonts w:ascii="Times New Roman" w:hAnsi="Times New Roman"/>
                <w:iCs/>
                <w:sz w:val="24"/>
                <w:szCs w:val="24"/>
              </w:rPr>
              <w:t>7</w:t>
            </w:r>
            <w:r w:rsidRPr="00BB1ECD">
              <w:rPr>
                <w:rFonts w:ascii="Times New Roman" w:hAnsi="Times New Roman"/>
                <w:sz w:val="24"/>
                <w:szCs w:val="24"/>
              </w:rPr>
              <w:t xml:space="preserve">.panta </w:t>
            </w:r>
            <w:r>
              <w:rPr>
                <w:rFonts w:ascii="Times New Roman" w:hAnsi="Times New Roman"/>
                <w:sz w:val="24"/>
                <w:szCs w:val="24"/>
              </w:rPr>
              <w:t>2.punkta īstenošana tiek</w:t>
            </w:r>
            <w:r w:rsidRPr="00BB1ECD">
              <w:rPr>
                <w:rFonts w:ascii="Times New Roman" w:hAnsi="Times New Roman"/>
                <w:sz w:val="24"/>
                <w:szCs w:val="24"/>
              </w:rPr>
              <w:t xml:space="preserve"> nodrošināta pilnībā</w:t>
            </w:r>
          </w:p>
        </w:tc>
        <w:tc>
          <w:tcPr>
            <w:tcW w:w="1289" w:type="pct"/>
            <w:tcBorders>
              <w:top w:val="outset" w:sz="6" w:space="0" w:color="auto"/>
              <w:left w:val="outset" w:sz="6" w:space="0" w:color="auto"/>
              <w:bottom w:val="outset" w:sz="6" w:space="0" w:color="auto"/>
              <w:right w:val="outset" w:sz="6" w:space="0" w:color="auto"/>
            </w:tcBorders>
          </w:tcPr>
          <w:p w14:paraId="0BD03C49" w14:textId="04708F78" w:rsidR="00E51DC3" w:rsidRPr="00BB1ECD" w:rsidRDefault="00E51DC3" w:rsidP="00E51DC3">
            <w:pPr>
              <w:spacing w:after="0" w:line="240" w:lineRule="auto"/>
              <w:ind w:right="108"/>
              <w:jc w:val="both"/>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Projekts nesatur stingrākas prasības nekā attiecīgais ES tiesību akts.</w:t>
            </w:r>
          </w:p>
        </w:tc>
      </w:tr>
      <w:tr w:rsidR="00E51DC3" w:rsidRPr="00D21CE4" w14:paraId="2F2DE4AE"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14:paraId="32E40B41" w14:textId="77777777"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sidRPr="00BB1ECD">
              <w:rPr>
                <w:rFonts w:ascii="Times New Roman" w:eastAsia="Times New Roman" w:hAnsi="Times New Roman"/>
                <w:bCs/>
                <w:sz w:val="24"/>
                <w:szCs w:val="24"/>
                <w:lang w:eastAsia="lv-LV"/>
              </w:rPr>
              <w:t xml:space="preserve">Regulas </w:t>
            </w:r>
            <w:r w:rsidRPr="00BB1ECD">
              <w:rPr>
                <w:rStyle w:val="Hyperlink"/>
                <w:rFonts w:ascii="Times New Roman" w:eastAsia="Times New Roman" w:hAnsi="Times New Roman"/>
                <w:bCs/>
                <w:color w:val="auto"/>
                <w:sz w:val="24"/>
                <w:szCs w:val="24"/>
                <w:u w:val="none"/>
                <w:lang w:eastAsia="lv-LV"/>
              </w:rPr>
              <w:t>2019/1148</w:t>
            </w:r>
          </w:p>
          <w:p w14:paraId="61D49089" w14:textId="521C2A9E"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r w:rsidRPr="00BB1ECD">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panta 3. punkts</w:t>
            </w:r>
          </w:p>
        </w:tc>
        <w:tc>
          <w:tcPr>
            <w:tcW w:w="1314" w:type="pct"/>
            <w:gridSpan w:val="3"/>
            <w:tcBorders>
              <w:top w:val="outset" w:sz="6" w:space="0" w:color="auto"/>
              <w:left w:val="outset" w:sz="6" w:space="0" w:color="auto"/>
              <w:bottom w:val="outset" w:sz="6" w:space="0" w:color="auto"/>
              <w:right w:val="outset" w:sz="6" w:space="0" w:color="auto"/>
            </w:tcBorders>
          </w:tcPr>
          <w:p w14:paraId="519860F1" w14:textId="77777777" w:rsidR="00E51DC3" w:rsidRDefault="00E51DC3" w:rsidP="00E51DC3">
            <w:pPr>
              <w:spacing w:after="0" w:line="240" w:lineRule="auto"/>
              <w:ind w:right="108"/>
              <w:jc w:val="both"/>
              <w:rPr>
                <w:rFonts w:ascii="Times New Roman" w:eastAsia="Times New Roman" w:hAnsi="Times New Roman"/>
                <w:spacing w:val="-3"/>
                <w:sz w:val="24"/>
                <w:szCs w:val="24"/>
              </w:rPr>
            </w:pPr>
            <w:r>
              <w:rPr>
                <w:rFonts w:ascii="Times New Roman" w:eastAsia="Times New Roman" w:hAnsi="Times New Roman"/>
                <w:spacing w:val="-3"/>
                <w:sz w:val="24"/>
                <w:szCs w:val="24"/>
              </w:rPr>
              <w:t>1.pants (13.</w:t>
            </w:r>
            <w:r w:rsidRPr="00AD4AB0">
              <w:rPr>
                <w:rFonts w:ascii="Times New Roman" w:eastAsia="Times New Roman" w:hAnsi="Times New Roman"/>
                <w:spacing w:val="-3"/>
                <w:sz w:val="24"/>
                <w:szCs w:val="24"/>
                <w:vertAlign w:val="superscript"/>
              </w:rPr>
              <w:t>2</w:t>
            </w:r>
            <w:r>
              <w:rPr>
                <w:rFonts w:ascii="Times New Roman" w:eastAsia="Times New Roman" w:hAnsi="Times New Roman"/>
                <w:spacing w:val="-3"/>
                <w:sz w:val="24"/>
                <w:szCs w:val="24"/>
                <w:vertAlign w:val="superscript"/>
              </w:rPr>
              <w:t xml:space="preserve"> </w:t>
            </w:r>
            <w:r>
              <w:rPr>
                <w:rFonts w:ascii="Times New Roman" w:eastAsia="Times New Roman" w:hAnsi="Times New Roman"/>
                <w:spacing w:val="-3"/>
                <w:sz w:val="24"/>
                <w:szCs w:val="24"/>
              </w:rPr>
              <w:t>pants)</w:t>
            </w:r>
          </w:p>
          <w:p w14:paraId="32B9B7E7" w14:textId="77777777" w:rsidR="00E51DC3" w:rsidRDefault="00E51DC3" w:rsidP="00E51DC3">
            <w:pPr>
              <w:spacing w:after="0" w:line="240" w:lineRule="auto"/>
              <w:ind w:right="108"/>
              <w:jc w:val="both"/>
              <w:rPr>
                <w:rFonts w:ascii="Times New Roman" w:eastAsia="Times New Roman" w:hAnsi="Times New Roman"/>
                <w:spacing w:val="-3"/>
                <w:sz w:val="24"/>
                <w:szCs w:val="24"/>
              </w:rPr>
            </w:pPr>
          </w:p>
        </w:tc>
        <w:tc>
          <w:tcPr>
            <w:tcW w:w="1135" w:type="pct"/>
            <w:tcBorders>
              <w:top w:val="outset" w:sz="6" w:space="0" w:color="auto"/>
              <w:left w:val="outset" w:sz="6" w:space="0" w:color="auto"/>
              <w:bottom w:val="outset" w:sz="6" w:space="0" w:color="auto"/>
              <w:right w:val="outset" w:sz="6" w:space="0" w:color="auto"/>
            </w:tcBorders>
          </w:tcPr>
          <w:p w14:paraId="19D0F47C" w14:textId="7FBCF5B6" w:rsidR="00E51DC3" w:rsidRPr="00BB1ECD" w:rsidRDefault="00E51DC3" w:rsidP="00E51DC3">
            <w:pPr>
              <w:spacing w:after="0" w:line="240" w:lineRule="auto"/>
              <w:ind w:right="108"/>
              <w:jc w:val="both"/>
              <w:rPr>
                <w:rFonts w:ascii="Times New Roman" w:hAnsi="Times New Roman"/>
                <w:sz w:val="24"/>
                <w:szCs w:val="24"/>
              </w:rPr>
            </w:pPr>
            <w:r w:rsidRPr="00BB1ECD">
              <w:rPr>
                <w:rFonts w:ascii="Times New Roman" w:hAnsi="Times New Roman"/>
                <w:sz w:val="24"/>
                <w:szCs w:val="24"/>
              </w:rPr>
              <w:t>Regulas Nr.</w:t>
            </w:r>
            <w:r w:rsidRPr="00BB1ECD">
              <w:rPr>
                <w:rFonts w:ascii="Times New Roman" w:hAnsi="Times New Roman"/>
                <w:iCs/>
                <w:sz w:val="24"/>
                <w:szCs w:val="24"/>
              </w:rPr>
              <w:t xml:space="preserve"> 2019/1148 </w:t>
            </w:r>
            <w:r>
              <w:rPr>
                <w:rFonts w:ascii="Times New Roman" w:hAnsi="Times New Roman"/>
                <w:iCs/>
                <w:sz w:val="24"/>
                <w:szCs w:val="24"/>
              </w:rPr>
              <w:t>7</w:t>
            </w:r>
            <w:r w:rsidRPr="00BB1ECD">
              <w:rPr>
                <w:rFonts w:ascii="Times New Roman" w:hAnsi="Times New Roman"/>
                <w:sz w:val="24"/>
                <w:szCs w:val="24"/>
              </w:rPr>
              <w:t xml:space="preserve">.panta </w:t>
            </w:r>
            <w:r>
              <w:rPr>
                <w:rFonts w:ascii="Times New Roman" w:hAnsi="Times New Roman"/>
                <w:sz w:val="24"/>
                <w:szCs w:val="24"/>
              </w:rPr>
              <w:t>3.punkta īstenošana tiek</w:t>
            </w:r>
            <w:r w:rsidRPr="00BB1ECD">
              <w:rPr>
                <w:rFonts w:ascii="Times New Roman" w:hAnsi="Times New Roman"/>
                <w:sz w:val="24"/>
                <w:szCs w:val="24"/>
              </w:rPr>
              <w:t xml:space="preserve"> nodrošināta pilnībā</w:t>
            </w:r>
          </w:p>
        </w:tc>
        <w:tc>
          <w:tcPr>
            <w:tcW w:w="1289" w:type="pct"/>
            <w:tcBorders>
              <w:top w:val="outset" w:sz="6" w:space="0" w:color="auto"/>
              <w:left w:val="outset" w:sz="6" w:space="0" w:color="auto"/>
              <w:bottom w:val="outset" w:sz="6" w:space="0" w:color="auto"/>
              <w:right w:val="outset" w:sz="6" w:space="0" w:color="auto"/>
            </w:tcBorders>
          </w:tcPr>
          <w:p w14:paraId="003FEB2E" w14:textId="73490403" w:rsidR="00E51DC3" w:rsidRPr="00BB1ECD" w:rsidRDefault="00E51DC3" w:rsidP="00E51DC3">
            <w:pPr>
              <w:spacing w:after="0" w:line="240" w:lineRule="auto"/>
              <w:ind w:right="108"/>
              <w:jc w:val="both"/>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Projekts nesatur stingrākas prasības nekā attiecīgais ES tiesību akts.</w:t>
            </w:r>
          </w:p>
        </w:tc>
      </w:tr>
      <w:tr w:rsidR="00E51DC3" w:rsidRPr="00D21CE4" w14:paraId="330658C7"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14:paraId="3249A62D" w14:textId="77777777" w:rsidR="00E51DC3" w:rsidRPr="00601B5F" w:rsidRDefault="00E51DC3" w:rsidP="00E51DC3">
            <w:pPr>
              <w:spacing w:after="0" w:line="240" w:lineRule="auto"/>
              <w:ind w:right="108"/>
              <w:jc w:val="both"/>
              <w:rPr>
                <w:rFonts w:ascii="Times New Roman" w:eastAsia="Times New Roman" w:hAnsi="Times New Roman"/>
                <w:bCs/>
                <w:sz w:val="24"/>
                <w:szCs w:val="24"/>
                <w:lang w:eastAsia="lv-LV"/>
              </w:rPr>
            </w:pPr>
            <w:r w:rsidRPr="00601B5F">
              <w:rPr>
                <w:rFonts w:ascii="Times New Roman" w:eastAsia="Times New Roman" w:hAnsi="Times New Roman"/>
                <w:bCs/>
                <w:sz w:val="24"/>
                <w:szCs w:val="24"/>
                <w:lang w:eastAsia="lv-LV"/>
              </w:rPr>
              <w:t xml:space="preserve">Regulas </w:t>
            </w:r>
            <w:r w:rsidRPr="000F544A">
              <w:rPr>
                <w:rFonts w:ascii="Times New Roman" w:eastAsia="Times New Roman" w:hAnsi="Times New Roman"/>
                <w:bCs/>
                <w:sz w:val="24"/>
                <w:szCs w:val="24"/>
                <w:lang w:eastAsia="lv-LV"/>
              </w:rPr>
              <w:t>2019/1148</w:t>
            </w:r>
          </w:p>
          <w:p w14:paraId="4A4684C0" w14:textId="5CC136C2"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Pr>
                <w:rFonts w:ascii="Times New Roman" w:hAnsi="Times New Roman"/>
                <w:iCs/>
                <w:sz w:val="24"/>
                <w:szCs w:val="24"/>
              </w:rPr>
              <w:t>10</w:t>
            </w:r>
            <w:r w:rsidRPr="00BB1ECD">
              <w:rPr>
                <w:rFonts w:ascii="Times New Roman" w:hAnsi="Times New Roman"/>
                <w:sz w:val="24"/>
                <w:szCs w:val="24"/>
              </w:rPr>
              <w:t xml:space="preserve">.panta </w:t>
            </w:r>
            <w:r>
              <w:rPr>
                <w:rFonts w:ascii="Times New Roman" w:hAnsi="Times New Roman"/>
                <w:sz w:val="24"/>
                <w:szCs w:val="24"/>
              </w:rPr>
              <w:t>3.punkta otrais teikums</w:t>
            </w:r>
          </w:p>
        </w:tc>
        <w:tc>
          <w:tcPr>
            <w:tcW w:w="1314" w:type="pct"/>
            <w:gridSpan w:val="3"/>
            <w:tcBorders>
              <w:top w:val="outset" w:sz="6" w:space="0" w:color="auto"/>
              <w:left w:val="outset" w:sz="6" w:space="0" w:color="auto"/>
              <w:bottom w:val="outset" w:sz="6" w:space="0" w:color="auto"/>
              <w:right w:val="outset" w:sz="6" w:space="0" w:color="auto"/>
            </w:tcBorders>
          </w:tcPr>
          <w:p w14:paraId="655D1F3C" w14:textId="77777777" w:rsidR="00E51DC3" w:rsidRDefault="00E51DC3" w:rsidP="00E51DC3">
            <w:pPr>
              <w:spacing w:after="0" w:line="240" w:lineRule="auto"/>
              <w:ind w:right="108"/>
              <w:jc w:val="both"/>
              <w:rPr>
                <w:rFonts w:ascii="Times New Roman" w:eastAsia="Times New Roman" w:hAnsi="Times New Roman"/>
                <w:spacing w:val="-3"/>
                <w:sz w:val="24"/>
                <w:szCs w:val="24"/>
              </w:rPr>
            </w:pPr>
            <w:r>
              <w:rPr>
                <w:rFonts w:ascii="Times New Roman" w:eastAsia="Times New Roman" w:hAnsi="Times New Roman"/>
                <w:spacing w:val="-3"/>
                <w:sz w:val="24"/>
                <w:szCs w:val="24"/>
              </w:rPr>
              <w:t>1.pants (13.</w:t>
            </w:r>
            <w:r w:rsidRPr="00AD4AB0">
              <w:rPr>
                <w:rFonts w:ascii="Times New Roman" w:eastAsia="Times New Roman" w:hAnsi="Times New Roman"/>
                <w:spacing w:val="-3"/>
                <w:sz w:val="24"/>
                <w:szCs w:val="24"/>
                <w:vertAlign w:val="superscript"/>
              </w:rPr>
              <w:t>2</w:t>
            </w:r>
            <w:r>
              <w:rPr>
                <w:rFonts w:ascii="Times New Roman" w:eastAsia="Times New Roman" w:hAnsi="Times New Roman"/>
                <w:spacing w:val="-3"/>
                <w:sz w:val="24"/>
                <w:szCs w:val="24"/>
                <w:vertAlign w:val="superscript"/>
              </w:rPr>
              <w:t xml:space="preserve"> </w:t>
            </w:r>
            <w:r>
              <w:rPr>
                <w:rFonts w:ascii="Times New Roman" w:eastAsia="Times New Roman" w:hAnsi="Times New Roman"/>
                <w:spacing w:val="-3"/>
                <w:sz w:val="24"/>
                <w:szCs w:val="24"/>
              </w:rPr>
              <w:t>pants)</w:t>
            </w:r>
          </w:p>
          <w:p w14:paraId="0E5F8EDF" w14:textId="77777777" w:rsidR="00E51DC3" w:rsidRPr="0040131A" w:rsidRDefault="00E51DC3" w:rsidP="00E51DC3">
            <w:pPr>
              <w:spacing w:after="0" w:line="240" w:lineRule="auto"/>
              <w:ind w:right="108"/>
              <w:jc w:val="both"/>
              <w:rPr>
                <w:rFonts w:ascii="Times New Roman" w:eastAsia="Times New Roman" w:hAnsi="Times New Roman"/>
                <w:spacing w:val="-3"/>
                <w:sz w:val="24"/>
                <w:szCs w:val="24"/>
              </w:rPr>
            </w:pPr>
          </w:p>
        </w:tc>
        <w:tc>
          <w:tcPr>
            <w:tcW w:w="1135" w:type="pct"/>
            <w:tcBorders>
              <w:top w:val="outset" w:sz="6" w:space="0" w:color="auto"/>
              <w:left w:val="outset" w:sz="6" w:space="0" w:color="auto"/>
              <w:bottom w:val="outset" w:sz="6" w:space="0" w:color="auto"/>
              <w:right w:val="outset" w:sz="6" w:space="0" w:color="auto"/>
            </w:tcBorders>
          </w:tcPr>
          <w:p w14:paraId="02F8C1AE" w14:textId="087C8D31" w:rsidR="00E51DC3" w:rsidRPr="0091703B" w:rsidRDefault="00E51DC3" w:rsidP="00E51DC3">
            <w:pPr>
              <w:spacing w:after="0" w:line="240" w:lineRule="auto"/>
              <w:ind w:right="108"/>
              <w:jc w:val="both"/>
              <w:rPr>
                <w:rFonts w:ascii="Times New Roman" w:eastAsia="Times New Roman" w:hAnsi="Times New Roman"/>
                <w:bCs/>
                <w:sz w:val="24"/>
                <w:szCs w:val="24"/>
                <w:lang w:eastAsia="lv-LV"/>
              </w:rPr>
            </w:pPr>
            <w:r w:rsidRPr="00BB1ECD">
              <w:rPr>
                <w:rFonts w:ascii="Times New Roman" w:hAnsi="Times New Roman"/>
                <w:sz w:val="24"/>
                <w:szCs w:val="24"/>
              </w:rPr>
              <w:t>Regulas Nr.</w:t>
            </w:r>
            <w:r w:rsidRPr="00BB1ECD">
              <w:rPr>
                <w:rFonts w:ascii="Times New Roman" w:hAnsi="Times New Roman"/>
                <w:iCs/>
                <w:sz w:val="24"/>
                <w:szCs w:val="24"/>
              </w:rPr>
              <w:t xml:space="preserve"> 2019/1148 </w:t>
            </w:r>
            <w:r>
              <w:rPr>
                <w:rFonts w:ascii="Times New Roman" w:hAnsi="Times New Roman"/>
                <w:iCs/>
                <w:sz w:val="24"/>
                <w:szCs w:val="24"/>
              </w:rPr>
              <w:t>10</w:t>
            </w:r>
            <w:r w:rsidRPr="00BB1ECD">
              <w:rPr>
                <w:rFonts w:ascii="Times New Roman" w:hAnsi="Times New Roman"/>
                <w:sz w:val="24"/>
                <w:szCs w:val="24"/>
              </w:rPr>
              <w:t xml:space="preserve">.panta </w:t>
            </w:r>
            <w:r>
              <w:rPr>
                <w:rFonts w:ascii="Times New Roman" w:hAnsi="Times New Roman"/>
                <w:sz w:val="24"/>
                <w:szCs w:val="24"/>
              </w:rPr>
              <w:t>3.punkta otrais teikums īstenošana tiek</w:t>
            </w:r>
            <w:r w:rsidRPr="00BB1ECD">
              <w:rPr>
                <w:rFonts w:ascii="Times New Roman" w:hAnsi="Times New Roman"/>
                <w:sz w:val="24"/>
                <w:szCs w:val="24"/>
              </w:rPr>
              <w:t xml:space="preserve"> nodrošināta pilnībā</w:t>
            </w:r>
          </w:p>
        </w:tc>
        <w:tc>
          <w:tcPr>
            <w:tcW w:w="1289" w:type="pct"/>
            <w:tcBorders>
              <w:top w:val="outset" w:sz="6" w:space="0" w:color="auto"/>
              <w:left w:val="outset" w:sz="6" w:space="0" w:color="auto"/>
              <w:bottom w:val="outset" w:sz="6" w:space="0" w:color="auto"/>
              <w:right w:val="outset" w:sz="6" w:space="0" w:color="auto"/>
            </w:tcBorders>
          </w:tcPr>
          <w:p w14:paraId="1C2ADA53" w14:textId="29491682" w:rsidR="00E51DC3" w:rsidRPr="00BB1ECD" w:rsidRDefault="00E51DC3" w:rsidP="00E51DC3">
            <w:pPr>
              <w:spacing w:after="0" w:line="240" w:lineRule="auto"/>
              <w:ind w:right="108"/>
              <w:jc w:val="both"/>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Projekts nesatur stingrākas prasības nekā attiecīgais ES tiesību akts.</w:t>
            </w:r>
          </w:p>
        </w:tc>
      </w:tr>
      <w:tr w:rsidR="00E51DC3" w:rsidRPr="00D21CE4" w14:paraId="6B603F20"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14:paraId="282A6BC4" w14:textId="77777777"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sidRPr="00BB1ECD">
              <w:rPr>
                <w:rFonts w:ascii="Times New Roman" w:eastAsia="Times New Roman" w:hAnsi="Times New Roman"/>
                <w:bCs/>
                <w:sz w:val="24"/>
                <w:szCs w:val="24"/>
                <w:lang w:eastAsia="lv-LV"/>
              </w:rPr>
              <w:t xml:space="preserve">Regulas </w:t>
            </w:r>
            <w:r w:rsidRPr="00BB1ECD">
              <w:rPr>
                <w:rStyle w:val="Hyperlink"/>
                <w:rFonts w:ascii="Times New Roman" w:eastAsia="Times New Roman" w:hAnsi="Times New Roman"/>
                <w:bCs/>
                <w:color w:val="auto"/>
                <w:sz w:val="24"/>
                <w:szCs w:val="24"/>
                <w:u w:val="none"/>
                <w:lang w:eastAsia="lv-LV"/>
              </w:rPr>
              <w:t>2019/1148</w:t>
            </w:r>
          </w:p>
          <w:p w14:paraId="1DA2A57C" w14:textId="7E750BE6"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8.panta 4.punkts</w:t>
            </w:r>
          </w:p>
        </w:tc>
        <w:tc>
          <w:tcPr>
            <w:tcW w:w="1314" w:type="pct"/>
            <w:gridSpan w:val="3"/>
            <w:tcBorders>
              <w:top w:val="outset" w:sz="6" w:space="0" w:color="auto"/>
              <w:left w:val="outset" w:sz="6" w:space="0" w:color="auto"/>
              <w:bottom w:val="outset" w:sz="6" w:space="0" w:color="auto"/>
              <w:right w:val="outset" w:sz="6" w:space="0" w:color="auto"/>
            </w:tcBorders>
          </w:tcPr>
          <w:p w14:paraId="03B34CB5" w14:textId="2F94A7CD" w:rsidR="00E51DC3" w:rsidRDefault="00E51DC3" w:rsidP="00E51DC3">
            <w:pPr>
              <w:spacing w:after="0" w:line="240" w:lineRule="auto"/>
              <w:ind w:right="108"/>
              <w:jc w:val="both"/>
              <w:rPr>
                <w:rFonts w:ascii="Times New Roman" w:eastAsia="Times New Roman" w:hAnsi="Times New Roman"/>
                <w:spacing w:val="-3"/>
                <w:sz w:val="24"/>
                <w:szCs w:val="24"/>
              </w:rPr>
            </w:pPr>
            <w:r w:rsidRPr="0040131A">
              <w:rPr>
                <w:rFonts w:ascii="Times New Roman" w:eastAsia="Times New Roman" w:hAnsi="Times New Roman"/>
                <w:spacing w:val="-3"/>
                <w:sz w:val="24"/>
                <w:szCs w:val="24"/>
              </w:rPr>
              <w:t>Administratīvo sodu likum</w:t>
            </w:r>
            <w:r>
              <w:rPr>
                <w:rFonts w:ascii="Times New Roman" w:eastAsia="Times New Roman" w:hAnsi="Times New Roman"/>
                <w:spacing w:val="-3"/>
                <w:sz w:val="24"/>
                <w:szCs w:val="24"/>
              </w:rPr>
              <w:t>a</w:t>
            </w:r>
            <w:r w:rsidRPr="0040131A">
              <w:rPr>
                <w:rFonts w:ascii="Times New Roman" w:eastAsia="Times New Roman" w:hAnsi="Times New Roman"/>
                <w:spacing w:val="-3"/>
                <w:sz w:val="24"/>
                <w:szCs w:val="24"/>
              </w:rPr>
              <w:t xml:space="preserve"> par pārkāpumiem pārvaldes, sabiedriskās kārtības un valsts valodas lietošanas jomā</w:t>
            </w:r>
            <w:r>
              <w:rPr>
                <w:rFonts w:ascii="Times New Roman" w:eastAsia="Times New Roman" w:hAnsi="Times New Roman"/>
                <w:spacing w:val="-3"/>
                <w:sz w:val="24"/>
                <w:szCs w:val="24"/>
              </w:rPr>
              <w:t xml:space="preserve"> 3.panta pirmā daļa</w:t>
            </w:r>
          </w:p>
        </w:tc>
        <w:tc>
          <w:tcPr>
            <w:tcW w:w="1135" w:type="pct"/>
            <w:tcBorders>
              <w:top w:val="outset" w:sz="6" w:space="0" w:color="auto"/>
              <w:left w:val="outset" w:sz="6" w:space="0" w:color="auto"/>
              <w:bottom w:val="outset" w:sz="6" w:space="0" w:color="auto"/>
              <w:right w:val="outset" w:sz="6" w:space="0" w:color="auto"/>
            </w:tcBorders>
          </w:tcPr>
          <w:p w14:paraId="78F37263" w14:textId="77777777" w:rsidR="00E51DC3" w:rsidRPr="0040131A" w:rsidRDefault="00E51DC3" w:rsidP="00E51DC3">
            <w:pPr>
              <w:spacing w:after="0" w:line="240" w:lineRule="auto"/>
              <w:ind w:right="108"/>
              <w:jc w:val="both"/>
              <w:rPr>
                <w:rFonts w:ascii="Times New Roman" w:hAnsi="Times New Roman"/>
                <w:sz w:val="24"/>
                <w:szCs w:val="24"/>
              </w:rPr>
            </w:pPr>
            <w:r w:rsidRPr="0091703B">
              <w:rPr>
                <w:rFonts w:ascii="Times New Roman" w:eastAsia="Times New Roman" w:hAnsi="Times New Roman"/>
                <w:bCs/>
                <w:sz w:val="24"/>
                <w:szCs w:val="24"/>
                <w:lang w:eastAsia="lv-LV"/>
              </w:rPr>
              <w:t xml:space="preserve">Regulas </w:t>
            </w:r>
            <w:r w:rsidRPr="0091703B">
              <w:rPr>
                <w:rStyle w:val="Hyperlink"/>
                <w:rFonts w:ascii="Times New Roman" w:eastAsia="Times New Roman" w:hAnsi="Times New Roman"/>
                <w:bCs/>
                <w:color w:val="auto"/>
                <w:sz w:val="24"/>
                <w:szCs w:val="24"/>
                <w:u w:val="none"/>
                <w:lang w:eastAsia="lv-LV"/>
              </w:rPr>
              <w:t>2019/1148 8</w:t>
            </w:r>
            <w:r w:rsidRPr="0091703B">
              <w:rPr>
                <w:rStyle w:val="Hyperlink"/>
                <w:rFonts w:ascii="Times New Roman" w:hAnsi="Times New Roman"/>
                <w:color w:val="auto"/>
                <w:sz w:val="24"/>
                <w:szCs w:val="24"/>
                <w:u w:val="none"/>
              </w:rPr>
              <w:t xml:space="preserve">.panta 4.punkta </w:t>
            </w:r>
            <w:r w:rsidRPr="0091703B">
              <w:rPr>
                <w:rFonts w:ascii="Times New Roman" w:hAnsi="Times New Roman"/>
                <w:sz w:val="24"/>
                <w:szCs w:val="24"/>
              </w:rPr>
              <w:t xml:space="preserve">īstenošana </w:t>
            </w:r>
            <w:r w:rsidRPr="0040131A">
              <w:rPr>
                <w:rFonts w:ascii="Times New Roman" w:hAnsi="Times New Roman"/>
                <w:sz w:val="24"/>
                <w:szCs w:val="24"/>
              </w:rPr>
              <w:t>tiks nodrošināta pilnībā</w:t>
            </w:r>
          </w:p>
          <w:p w14:paraId="10927A3F" w14:textId="77777777" w:rsidR="00E51DC3" w:rsidRPr="00BB1ECD" w:rsidRDefault="00E51DC3" w:rsidP="00E51DC3">
            <w:pPr>
              <w:spacing w:after="0" w:line="240" w:lineRule="auto"/>
              <w:ind w:right="108"/>
              <w:jc w:val="both"/>
              <w:rPr>
                <w:rFonts w:ascii="Times New Roman" w:hAnsi="Times New Roman"/>
                <w:sz w:val="24"/>
                <w:szCs w:val="24"/>
              </w:rPr>
            </w:pPr>
          </w:p>
        </w:tc>
        <w:tc>
          <w:tcPr>
            <w:tcW w:w="1289" w:type="pct"/>
            <w:tcBorders>
              <w:top w:val="outset" w:sz="6" w:space="0" w:color="auto"/>
              <w:left w:val="outset" w:sz="6" w:space="0" w:color="auto"/>
              <w:bottom w:val="outset" w:sz="6" w:space="0" w:color="auto"/>
              <w:right w:val="outset" w:sz="6" w:space="0" w:color="auto"/>
            </w:tcBorders>
          </w:tcPr>
          <w:p w14:paraId="5E688918" w14:textId="5708DA5E" w:rsidR="00E51DC3" w:rsidRPr="00BB1ECD" w:rsidRDefault="00E51DC3" w:rsidP="00E51DC3">
            <w:pPr>
              <w:spacing w:after="0" w:line="240" w:lineRule="auto"/>
              <w:ind w:right="108"/>
              <w:jc w:val="both"/>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Projekts nesatur stingrākas prasības nekā attiecīgais ES tiesību akts.</w:t>
            </w:r>
          </w:p>
        </w:tc>
      </w:tr>
      <w:tr w:rsidR="00E51DC3" w:rsidRPr="00D21CE4" w14:paraId="331341E9"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14:paraId="6617D2C2" w14:textId="77777777"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sidRPr="00BB1ECD">
              <w:rPr>
                <w:rFonts w:ascii="Times New Roman" w:eastAsia="Times New Roman" w:hAnsi="Times New Roman"/>
                <w:bCs/>
                <w:sz w:val="24"/>
                <w:szCs w:val="24"/>
                <w:lang w:eastAsia="lv-LV"/>
              </w:rPr>
              <w:t xml:space="preserve">Regulas </w:t>
            </w:r>
            <w:r w:rsidRPr="00BB1ECD">
              <w:rPr>
                <w:rStyle w:val="Hyperlink"/>
                <w:rFonts w:ascii="Times New Roman" w:eastAsia="Times New Roman" w:hAnsi="Times New Roman"/>
                <w:bCs/>
                <w:color w:val="auto"/>
                <w:sz w:val="24"/>
                <w:szCs w:val="24"/>
                <w:u w:val="none"/>
                <w:lang w:eastAsia="lv-LV"/>
              </w:rPr>
              <w:t>2019/1148</w:t>
            </w:r>
          </w:p>
          <w:p w14:paraId="15FC48E8" w14:textId="35F6C7C5"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9.pants</w:t>
            </w:r>
          </w:p>
        </w:tc>
        <w:tc>
          <w:tcPr>
            <w:tcW w:w="1314" w:type="pct"/>
            <w:gridSpan w:val="3"/>
            <w:tcBorders>
              <w:top w:val="outset" w:sz="6" w:space="0" w:color="auto"/>
              <w:left w:val="outset" w:sz="6" w:space="0" w:color="auto"/>
              <w:bottom w:val="outset" w:sz="6" w:space="0" w:color="auto"/>
              <w:right w:val="outset" w:sz="6" w:space="0" w:color="auto"/>
            </w:tcBorders>
          </w:tcPr>
          <w:p w14:paraId="0A85A874" w14:textId="1F83A1D9" w:rsidR="00E51DC3" w:rsidRDefault="00E51DC3" w:rsidP="00E51DC3">
            <w:pPr>
              <w:spacing w:after="0" w:line="240" w:lineRule="auto"/>
              <w:ind w:right="108"/>
              <w:jc w:val="both"/>
              <w:rPr>
                <w:rFonts w:ascii="Times New Roman" w:eastAsia="Times New Roman" w:hAnsi="Times New Roman"/>
                <w:spacing w:val="-3"/>
                <w:sz w:val="24"/>
                <w:szCs w:val="24"/>
              </w:rPr>
            </w:pPr>
            <w:r w:rsidRPr="0040131A">
              <w:rPr>
                <w:rFonts w:ascii="Times New Roman" w:eastAsia="Times New Roman" w:hAnsi="Times New Roman"/>
                <w:spacing w:val="-3"/>
                <w:sz w:val="24"/>
                <w:szCs w:val="24"/>
              </w:rPr>
              <w:t>Administratīvo sodu likum</w:t>
            </w:r>
            <w:r>
              <w:rPr>
                <w:rFonts w:ascii="Times New Roman" w:eastAsia="Times New Roman" w:hAnsi="Times New Roman"/>
                <w:spacing w:val="-3"/>
                <w:sz w:val="24"/>
                <w:szCs w:val="24"/>
              </w:rPr>
              <w:t>a</w:t>
            </w:r>
            <w:r w:rsidRPr="0040131A">
              <w:rPr>
                <w:rFonts w:ascii="Times New Roman" w:eastAsia="Times New Roman" w:hAnsi="Times New Roman"/>
                <w:spacing w:val="-3"/>
                <w:sz w:val="24"/>
                <w:szCs w:val="24"/>
              </w:rPr>
              <w:t xml:space="preserve"> par pārkāpumiem pārvaldes, sabiedriskās kārtības un valsts valodas lietošanas jomā</w:t>
            </w:r>
            <w:r>
              <w:rPr>
                <w:rFonts w:ascii="Times New Roman" w:eastAsia="Times New Roman" w:hAnsi="Times New Roman"/>
                <w:spacing w:val="-3"/>
                <w:sz w:val="24"/>
                <w:szCs w:val="24"/>
              </w:rPr>
              <w:t xml:space="preserve"> 3.panta pirmā daļa</w:t>
            </w:r>
          </w:p>
        </w:tc>
        <w:tc>
          <w:tcPr>
            <w:tcW w:w="1135" w:type="pct"/>
            <w:tcBorders>
              <w:top w:val="outset" w:sz="6" w:space="0" w:color="auto"/>
              <w:left w:val="outset" w:sz="6" w:space="0" w:color="auto"/>
              <w:bottom w:val="outset" w:sz="6" w:space="0" w:color="auto"/>
              <w:right w:val="outset" w:sz="6" w:space="0" w:color="auto"/>
            </w:tcBorders>
          </w:tcPr>
          <w:p w14:paraId="0D375DA8" w14:textId="140A1F8F" w:rsidR="00E51DC3" w:rsidRPr="0091703B" w:rsidRDefault="00E51DC3" w:rsidP="00E51DC3">
            <w:pPr>
              <w:spacing w:after="0" w:line="240" w:lineRule="auto"/>
              <w:ind w:right="108"/>
              <w:jc w:val="both"/>
              <w:rPr>
                <w:rFonts w:ascii="Times New Roman" w:hAnsi="Times New Roman"/>
                <w:sz w:val="24"/>
                <w:szCs w:val="24"/>
              </w:rPr>
            </w:pPr>
            <w:r w:rsidRPr="0091703B">
              <w:rPr>
                <w:rFonts w:ascii="Times New Roman" w:eastAsia="Times New Roman" w:hAnsi="Times New Roman"/>
                <w:bCs/>
                <w:sz w:val="24"/>
                <w:szCs w:val="24"/>
                <w:lang w:eastAsia="lv-LV"/>
              </w:rPr>
              <w:t xml:space="preserve">Regulas </w:t>
            </w:r>
            <w:r w:rsidRPr="0091703B">
              <w:rPr>
                <w:rStyle w:val="Hyperlink"/>
                <w:rFonts w:ascii="Times New Roman" w:eastAsia="Times New Roman" w:hAnsi="Times New Roman"/>
                <w:bCs/>
                <w:color w:val="auto"/>
                <w:sz w:val="24"/>
                <w:szCs w:val="24"/>
                <w:u w:val="none"/>
                <w:lang w:eastAsia="lv-LV"/>
              </w:rPr>
              <w:t>2019/1148 9.panta</w:t>
            </w:r>
            <w:r w:rsidRPr="0091703B">
              <w:rPr>
                <w:rStyle w:val="Hyperlink"/>
                <w:rFonts w:ascii="Times New Roman" w:hAnsi="Times New Roman"/>
                <w:color w:val="auto"/>
                <w:sz w:val="24"/>
                <w:szCs w:val="24"/>
                <w:u w:val="none"/>
              </w:rPr>
              <w:t xml:space="preserve"> </w:t>
            </w:r>
            <w:r w:rsidRPr="0091703B">
              <w:rPr>
                <w:rFonts w:ascii="Times New Roman" w:hAnsi="Times New Roman"/>
                <w:sz w:val="24"/>
                <w:szCs w:val="24"/>
              </w:rPr>
              <w:t>īstenošana tiks nodrošināta pilnībā</w:t>
            </w:r>
          </w:p>
          <w:p w14:paraId="449C1826" w14:textId="77777777" w:rsidR="00E51DC3" w:rsidRPr="0091703B" w:rsidRDefault="00E51DC3" w:rsidP="00E51DC3">
            <w:pPr>
              <w:spacing w:after="0" w:line="240" w:lineRule="auto"/>
              <w:ind w:right="108"/>
              <w:jc w:val="both"/>
              <w:rPr>
                <w:rFonts w:ascii="Times New Roman" w:eastAsia="Times New Roman" w:hAnsi="Times New Roman"/>
                <w:bCs/>
                <w:sz w:val="24"/>
                <w:szCs w:val="24"/>
                <w:lang w:eastAsia="lv-LV"/>
              </w:rPr>
            </w:pPr>
          </w:p>
        </w:tc>
        <w:tc>
          <w:tcPr>
            <w:tcW w:w="1289" w:type="pct"/>
            <w:tcBorders>
              <w:top w:val="outset" w:sz="6" w:space="0" w:color="auto"/>
              <w:left w:val="outset" w:sz="6" w:space="0" w:color="auto"/>
              <w:bottom w:val="outset" w:sz="6" w:space="0" w:color="auto"/>
              <w:right w:val="outset" w:sz="6" w:space="0" w:color="auto"/>
            </w:tcBorders>
          </w:tcPr>
          <w:p w14:paraId="33573183" w14:textId="2010BE31" w:rsidR="00E51DC3" w:rsidRPr="00BB1ECD" w:rsidRDefault="00E51DC3" w:rsidP="00E51DC3">
            <w:pPr>
              <w:spacing w:after="0" w:line="240" w:lineRule="auto"/>
              <w:ind w:right="108"/>
              <w:jc w:val="both"/>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Projekts nesatur stingrākas prasības nekā attiecīgais ES tiesību akts.</w:t>
            </w:r>
          </w:p>
        </w:tc>
      </w:tr>
      <w:tr w:rsidR="00E51DC3" w:rsidRPr="00D21CE4" w14:paraId="435F653D" w14:textId="77777777" w:rsidTr="00AD4A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14:paraId="72C0A13A" w14:textId="77777777"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sidRPr="00BB1ECD">
              <w:rPr>
                <w:rFonts w:ascii="Times New Roman" w:eastAsia="Times New Roman" w:hAnsi="Times New Roman"/>
                <w:bCs/>
                <w:sz w:val="24"/>
                <w:szCs w:val="24"/>
                <w:lang w:eastAsia="lv-LV"/>
              </w:rPr>
              <w:t xml:space="preserve">Regulas </w:t>
            </w:r>
            <w:r w:rsidRPr="00BB1ECD">
              <w:rPr>
                <w:rStyle w:val="Hyperlink"/>
                <w:rFonts w:ascii="Times New Roman" w:eastAsia="Times New Roman" w:hAnsi="Times New Roman"/>
                <w:bCs/>
                <w:color w:val="auto"/>
                <w:sz w:val="24"/>
                <w:szCs w:val="24"/>
                <w:u w:val="none"/>
                <w:lang w:eastAsia="lv-LV"/>
              </w:rPr>
              <w:t>2019/1148</w:t>
            </w:r>
          </w:p>
          <w:p w14:paraId="0243771B" w14:textId="6C39C66D" w:rsidR="00E51DC3" w:rsidRPr="00BB1ECD" w:rsidRDefault="00E51DC3" w:rsidP="00E51DC3">
            <w:pPr>
              <w:spacing w:after="0" w:line="240" w:lineRule="auto"/>
              <w:ind w:right="10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11.panta 1. un 2.punkts</w:t>
            </w:r>
          </w:p>
        </w:tc>
        <w:tc>
          <w:tcPr>
            <w:tcW w:w="1314" w:type="pct"/>
            <w:gridSpan w:val="3"/>
            <w:tcBorders>
              <w:top w:val="outset" w:sz="6" w:space="0" w:color="auto"/>
              <w:left w:val="outset" w:sz="6" w:space="0" w:color="auto"/>
              <w:bottom w:val="outset" w:sz="6" w:space="0" w:color="auto"/>
              <w:right w:val="outset" w:sz="6" w:space="0" w:color="auto"/>
            </w:tcBorders>
          </w:tcPr>
          <w:p w14:paraId="713CF0B1" w14:textId="0C2791F2" w:rsidR="00E51DC3" w:rsidRPr="00BB1ECD" w:rsidRDefault="00E51DC3" w:rsidP="00E51DC3">
            <w:pPr>
              <w:spacing w:after="0" w:line="240" w:lineRule="auto"/>
              <w:ind w:right="108"/>
              <w:jc w:val="both"/>
              <w:rPr>
                <w:rFonts w:ascii="Times New Roman" w:eastAsia="Times New Roman" w:hAnsi="Times New Roman"/>
                <w:spacing w:val="-3"/>
                <w:sz w:val="24"/>
                <w:szCs w:val="24"/>
              </w:rPr>
            </w:pPr>
            <w:r>
              <w:rPr>
                <w:rFonts w:ascii="Times New Roman" w:eastAsia="Times New Roman" w:hAnsi="Times New Roman"/>
                <w:spacing w:val="-3"/>
                <w:sz w:val="24"/>
                <w:szCs w:val="24"/>
              </w:rPr>
              <w:t>2.pants</w:t>
            </w:r>
          </w:p>
        </w:tc>
        <w:tc>
          <w:tcPr>
            <w:tcW w:w="1135" w:type="pct"/>
            <w:tcBorders>
              <w:top w:val="outset" w:sz="6" w:space="0" w:color="auto"/>
              <w:left w:val="outset" w:sz="6" w:space="0" w:color="auto"/>
              <w:bottom w:val="outset" w:sz="6" w:space="0" w:color="auto"/>
              <w:right w:val="outset" w:sz="6" w:space="0" w:color="auto"/>
            </w:tcBorders>
          </w:tcPr>
          <w:p w14:paraId="64CBC627" w14:textId="3B84C98D" w:rsidR="00E51DC3" w:rsidRPr="0091703B" w:rsidRDefault="00E51DC3" w:rsidP="00E51DC3">
            <w:pPr>
              <w:spacing w:after="0" w:line="240" w:lineRule="auto"/>
              <w:ind w:right="108"/>
              <w:jc w:val="both"/>
              <w:rPr>
                <w:rFonts w:ascii="Times New Roman" w:hAnsi="Times New Roman"/>
                <w:sz w:val="24"/>
                <w:szCs w:val="24"/>
              </w:rPr>
            </w:pPr>
            <w:r w:rsidRPr="0091703B">
              <w:rPr>
                <w:rFonts w:ascii="Times New Roman" w:eastAsia="Times New Roman" w:hAnsi="Times New Roman"/>
                <w:bCs/>
                <w:sz w:val="24"/>
                <w:szCs w:val="24"/>
                <w:lang w:eastAsia="lv-LV"/>
              </w:rPr>
              <w:t xml:space="preserve">Regulas </w:t>
            </w:r>
            <w:r w:rsidRPr="0091703B">
              <w:rPr>
                <w:rStyle w:val="Hyperlink"/>
                <w:rFonts w:ascii="Times New Roman" w:eastAsia="Times New Roman" w:hAnsi="Times New Roman"/>
                <w:bCs/>
                <w:color w:val="auto"/>
                <w:sz w:val="24"/>
                <w:szCs w:val="24"/>
                <w:u w:val="none"/>
                <w:lang w:eastAsia="lv-LV"/>
              </w:rPr>
              <w:t>2019/1148 11</w:t>
            </w:r>
            <w:r w:rsidRPr="0091703B">
              <w:rPr>
                <w:rStyle w:val="Hyperlink"/>
                <w:rFonts w:ascii="Times New Roman" w:hAnsi="Times New Roman"/>
                <w:color w:val="auto"/>
                <w:sz w:val="24"/>
                <w:szCs w:val="24"/>
                <w:u w:val="none"/>
              </w:rPr>
              <w:t xml:space="preserve">.panta 1. un 2.punkta </w:t>
            </w:r>
            <w:r w:rsidRPr="0091703B">
              <w:rPr>
                <w:rFonts w:ascii="Times New Roman" w:hAnsi="Times New Roman"/>
                <w:sz w:val="24"/>
                <w:szCs w:val="24"/>
              </w:rPr>
              <w:t>īstenošana tiks nodrošināta pilnībā</w:t>
            </w:r>
          </w:p>
          <w:p w14:paraId="49EAA4BF" w14:textId="1A313C15" w:rsidR="00E51DC3" w:rsidRPr="0091703B" w:rsidRDefault="00E51DC3" w:rsidP="00E51DC3">
            <w:pPr>
              <w:spacing w:after="0" w:line="240" w:lineRule="auto"/>
              <w:ind w:right="108"/>
              <w:jc w:val="both"/>
              <w:rPr>
                <w:rFonts w:ascii="Times New Roman" w:eastAsia="Times New Roman" w:hAnsi="Times New Roman"/>
                <w:spacing w:val="-2"/>
                <w:sz w:val="24"/>
                <w:szCs w:val="24"/>
              </w:rPr>
            </w:pPr>
          </w:p>
        </w:tc>
        <w:tc>
          <w:tcPr>
            <w:tcW w:w="1289" w:type="pct"/>
            <w:tcBorders>
              <w:top w:val="outset" w:sz="6" w:space="0" w:color="auto"/>
              <w:left w:val="outset" w:sz="6" w:space="0" w:color="auto"/>
              <w:bottom w:val="outset" w:sz="6" w:space="0" w:color="auto"/>
              <w:right w:val="outset" w:sz="6" w:space="0" w:color="auto"/>
            </w:tcBorders>
          </w:tcPr>
          <w:p w14:paraId="49BF1A43" w14:textId="787DA5D9" w:rsidR="00E51DC3" w:rsidRPr="00BB1ECD" w:rsidRDefault="00E51DC3" w:rsidP="00E51DC3">
            <w:pPr>
              <w:spacing w:after="0" w:line="240" w:lineRule="auto"/>
              <w:ind w:right="108"/>
              <w:jc w:val="both"/>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Projekts nesatur stingrākas prasības nekā attiecīgais ES tiesību akts.</w:t>
            </w:r>
          </w:p>
        </w:tc>
      </w:tr>
      <w:tr w:rsidR="00E51DC3" w:rsidRPr="00D21CE4" w14:paraId="5DDF456B" w14:textId="77777777"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281"/>
        </w:trPr>
        <w:tc>
          <w:tcPr>
            <w:tcW w:w="1262" w:type="pct"/>
            <w:gridSpan w:val="2"/>
            <w:tcBorders>
              <w:top w:val="outset" w:sz="6" w:space="0" w:color="auto"/>
              <w:left w:val="outset" w:sz="6" w:space="0" w:color="auto"/>
              <w:bottom w:val="outset" w:sz="6" w:space="0" w:color="auto"/>
              <w:right w:val="outset" w:sz="6" w:space="0" w:color="auto"/>
            </w:tcBorders>
            <w:hideMark/>
          </w:tcPr>
          <w:p w14:paraId="3DBBBA64" w14:textId="77777777" w:rsidR="00E51DC3" w:rsidRPr="00BB1ECD" w:rsidRDefault="00E51DC3" w:rsidP="00E51DC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Kā ir izmantota ES tiesību aktā paredzētā rīcības brīvība dalībvalstij pārņemt vai ieviest noteiktas ES tiesību akta normas?</w:t>
            </w:r>
          </w:p>
          <w:p w14:paraId="65EA5103" w14:textId="77777777" w:rsidR="00E51DC3" w:rsidRPr="00BB1ECD" w:rsidRDefault="00E51DC3" w:rsidP="00E51DC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Kādēļ?</w:t>
            </w:r>
          </w:p>
        </w:tc>
        <w:tc>
          <w:tcPr>
            <w:tcW w:w="3738" w:type="pct"/>
            <w:gridSpan w:val="5"/>
            <w:tcBorders>
              <w:top w:val="outset" w:sz="6" w:space="0" w:color="auto"/>
              <w:left w:val="outset" w:sz="6" w:space="0" w:color="auto"/>
              <w:bottom w:val="outset" w:sz="6" w:space="0" w:color="auto"/>
              <w:right w:val="outset" w:sz="6" w:space="0" w:color="auto"/>
            </w:tcBorders>
            <w:hideMark/>
          </w:tcPr>
          <w:p w14:paraId="1CE8DD9E" w14:textId="77777777" w:rsidR="00E51DC3" w:rsidRDefault="00E51DC3" w:rsidP="00E51DC3">
            <w:pPr>
              <w:spacing w:after="0" w:line="240" w:lineRule="auto"/>
              <w:jc w:val="both"/>
              <w:rPr>
                <w:rFonts w:ascii="Times New Roman" w:eastAsia="Times New Roman" w:hAnsi="Times New Roman"/>
                <w:sz w:val="24"/>
                <w:szCs w:val="24"/>
              </w:rPr>
            </w:pPr>
            <w:r w:rsidRPr="00FD3D06">
              <w:rPr>
                <w:rFonts w:ascii="Times New Roman" w:eastAsia="Times New Roman" w:hAnsi="Times New Roman"/>
                <w:sz w:val="24"/>
                <w:szCs w:val="24"/>
              </w:rPr>
              <w:t xml:space="preserve">Regulas </w:t>
            </w:r>
            <w:r w:rsidRPr="0040131A">
              <w:rPr>
                <w:rStyle w:val="Hyperlink"/>
                <w:rFonts w:ascii="Times New Roman" w:eastAsia="Times New Roman" w:hAnsi="Times New Roman"/>
                <w:bCs/>
                <w:color w:val="auto"/>
                <w:sz w:val="24"/>
                <w:szCs w:val="24"/>
                <w:u w:val="none"/>
                <w:lang w:eastAsia="lv-LV"/>
              </w:rPr>
              <w:t xml:space="preserve">2019/1148 </w:t>
            </w:r>
            <w:r>
              <w:rPr>
                <w:rFonts w:ascii="Times New Roman" w:eastAsia="Times New Roman" w:hAnsi="Times New Roman"/>
                <w:sz w:val="24"/>
                <w:szCs w:val="24"/>
              </w:rPr>
              <w:t>5.panta 3.punkts</w:t>
            </w:r>
            <w:r w:rsidRPr="00FD3D06">
              <w:rPr>
                <w:rFonts w:ascii="Times New Roman" w:eastAsia="Times New Roman" w:hAnsi="Times New Roman"/>
                <w:sz w:val="24"/>
                <w:szCs w:val="24"/>
              </w:rPr>
              <w:t xml:space="preserve"> satur rīcības brīvību dalībvalstīm saglabāt vai noteikt licencēšanas režīmu, ar kuru konkrētus ierobežotus sprāgstvielu prekursorus koncentrācijā, kas nepārsniedz attiecīgās augšējās robežvērtības, kuras izklāstītas I pielikuma tabulas 3. slejā, atļauj darīt pieejamus plašas sabiedrības locekļiem, tiem tos ievest, turēt īpašumā vai lietot. </w:t>
            </w:r>
          </w:p>
          <w:p w14:paraId="1329FA27" w14:textId="7B91C31A" w:rsidR="00E51DC3" w:rsidRPr="00FD3D06" w:rsidRDefault="00E51DC3" w:rsidP="00E51DC3">
            <w:pPr>
              <w:spacing w:after="0" w:line="240" w:lineRule="auto"/>
              <w:jc w:val="both"/>
              <w:rPr>
                <w:rFonts w:ascii="Times New Roman" w:eastAsia="Times New Roman" w:hAnsi="Times New Roman"/>
                <w:sz w:val="24"/>
                <w:szCs w:val="24"/>
              </w:rPr>
            </w:pPr>
            <w:r w:rsidRPr="00FD3D06">
              <w:rPr>
                <w:rFonts w:ascii="Times New Roman" w:eastAsia="Times New Roman" w:hAnsi="Times New Roman"/>
                <w:sz w:val="24"/>
                <w:szCs w:val="24"/>
              </w:rPr>
              <w:t>Minētā rīcības brīvība netiek īstenota</w:t>
            </w:r>
            <w:r>
              <w:rPr>
                <w:rFonts w:ascii="Times New Roman" w:eastAsia="Times New Roman" w:hAnsi="Times New Roman"/>
                <w:sz w:val="24"/>
                <w:szCs w:val="24"/>
              </w:rPr>
              <w:t xml:space="preserve">, jo </w:t>
            </w:r>
            <w:proofErr w:type="spellStart"/>
            <w:r>
              <w:rPr>
                <w:rFonts w:ascii="Times New Roman" w:eastAsia="Times New Roman" w:hAnsi="Times New Roman"/>
                <w:sz w:val="24"/>
                <w:szCs w:val="24"/>
                <w:lang w:eastAsia="en-GB"/>
              </w:rPr>
              <w:t>Iekšlietu</w:t>
            </w:r>
            <w:proofErr w:type="spellEnd"/>
            <w:r>
              <w:rPr>
                <w:rFonts w:ascii="Times New Roman" w:eastAsia="Times New Roman" w:hAnsi="Times New Roman"/>
                <w:sz w:val="24"/>
                <w:szCs w:val="24"/>
                <w:lang w:eastAsia="en-GB"/>
              </w:rPr>
              <w:t xml:space="preserve"> ministrijas veiktās aptaujas laikā</w:t>
            </w:r>
            <w:r w:rsidRPr="008F33E5">
              <w:rPr>
                <w:rFonts w:ascii="Times New Roman" w:eastAsia="Times New Roman" w:hAnsi="Times New Roman"/>
                <w:sz w:val="24"/>
                <w:szCs w:val="24"/>
                <w:lang w:eastAsia="en-GB"/>
              </w:rPr>
              <w:t xml:space="preserve"> netika saņemta informācija no </w:t>
            </w:r>
            <w:r>
              <w:rPr>
                <w:rFonts w:ascii="Times New Roman" w:eastAsia="Times New Roman" w:hAnsi="Times New Roman"/>
                <w:sz w:val="24"/>
                <w:szCs w:val="24"/>
                <w:lang w:eastAsia="en-GB"/>
              </w:rPr>
              <w:t>kompetentajām</w:t>
            </w:r>
            <w:r w:rsidRPr="008F33E5">
              <w:rPr>
                <w:rFonts w:ascii="Times New Roman" w:eastAsia="Times New Roman" w:hAnsi="Times New Roman"/>
                <w:sz w:val="24"/>
                <w:szCs w:val="24"/>
                <w:lang w:eastAsia="en-GB"/>
              </w:rPr>
              <w:t xml:space="preserve"> institūcijām, ka šāds regulējums nozarēs būtu nepieciešams vai, ka būtu nepieciešams saglabāt esošo licencēšanas mehānismu</w:t>
            </w:r>
            <w:r w:rsidRPr="00FD3D06">
              <w:rPr>
                <w:rFonts w:ascii="Times New Roman" w:eastAsia="Times New Roman" w:hAnsi="Times New Roman"/>
                <w:sz w:val="24"/>
                <w:szCs w:val="24"/>
              </w:rPr>
              <w:t>.</w:t>
            </w:r>
          </w:p>
          <w:p w14:paraId="3DBD7863" w14:textId="77777777" w:rsidR="00E51DC3" w:rsidRPr="00FD3D06" w:rsidRDefault="00E51DC3" w:rsidP="00E51DC3">
            <w:pPr>
              <w:spacing w:after="0" w:line="240" w:lineRule="auto"/>
              <w:jc w:val="both"/>
              <w:rPr>
                <w:rFonts w:ascii="Times New Roman" w:eastAsia="Times New Roman" w:hAnsi="Times New Roman"/>
                <w:sz w:val="24"/>
                <w:szCs w:val="24"/>
              </w:rPr>
            </w:pPr>
          </w:p>
          <w:p w14:paraId="2E19C3A8" w14:textId="77777777" w:rsidR="00E51DC3" w:rsidRDefault="00E51DC3" w:rsidP="00E51DC3">
            <w:pPr>
              <w:spacing w:after="0" w:line="240" w:lineRule="auto"/>
              <w:jc w:val="both"/>
              <w:rPr>
                <w:rFonts w:ascii="Times New Roman" w:eastAsia="Times New Roman" w:hAnsi="Times New Roman"/>
                <w:sz w:val="24"/>
                <w:szCs w:val="24"/>
              </w:rPr>
            </w:pPr>
            <w:r w:rsidRPr="00FD3D06">
              <w:rPr>
                <w:rFonts w:ascii="Times New Roman" w:eastAsia="Times New Roman" w:hAnsi="Times New Roman"/>
                <w:sz w:val="24"/>
                <w:szCs w:val="24"/>
              </w:rPr>
              <w:lastRenderedPageBreak/>
              <w:t xml:space="preserve">Regulas </w:t>
            </w:r>
            <w:r w:rsidRPr="00FD3D06">
              <w:rPr>
                <w:rStyle w:val="Hyperlink"/>
                <w:rFonts w:ascii="Times New Roman" w:eastAsia="Times New Roman" w:hAnsi="Times New Roman"/>
                <w:bCs/>
                <w:color w:val="auto"/>
                <w:sz w:val="24"/>
                <w:szCs w:val="24"/>
                <w:u w:val="none"/>
                <w:lang w:eastAsia="lv-LV"/>
              </w:rPr>
              <w:t xml:space="preserve">2019/1148 </w:t>
            </w:r>
            <w:r w:rsidRPr="00FD3D06">
              <w:rPr>
                <w:rFonts w:ascii="Times New Roman" w:hAnsi="Times New Roman"/>
                <w:sz w:val="24"/>
                <w:szCs w:val="24"/>
              </w:rPr>
              <w:t>6.panta</w:t>
            </w:r>
            <w:r w:rsidRPr="00FD3D06">
              <w:rPr>
                <w:rFonts w:ascii="Times New Roman" w:eastAsia="Times New Roman" w:hAnsi="Times New Roman"/>
                <w:sz w:val="24"/>
                <w:szCs w:val="24"/>
              </w:rPr>
              <w:t xml:space="preserve"> 7., 8.punkts satur rīcības brīvību dalībvalstīm  atzīt citās dalībvalstīs saskaņā ar šo regulu izsniegtās licences un  izmantot licencei III pielikumā paredzēto formātu.</w:t>
            </w:r>
          </w:p>
          <w:p w14:paraId="1682980F" w14:textId="46521397" w:rsidR="00E51DC3" w:rsidRPr="00FD3D06" w:rsidRDefault="00E51DC3" w:rsidP="00E51DC3">
            <w:pPr>
              <w:spacing w:after="0" w:line="240" w:lineRule="auto"/>
              <w:jc w:val="both"/>
              <w:rPr>
                <w:rFonts w:ascii="Times New Roman" w:eastAsia="Times New Roman" w:hAnsi="Times New Roman"/>
                <w:sz w:val="24"/>
                <w:szCs w:val="24"/>
              </w:rPr>
            </w:pPr>
            <w:r w:rsidRPr="00FD3D06">
              <w:rPr>
                <w:rFonts w:ascii="Times New Roman" w:eastAsia="Times New Roman" w:hAnsi="Times New Roman"/>
                <w:sz w:val="24"/>
                <w:szCs w:val="24"/>
              </w:rPr>
              <w:t>Minētā rīcības brīvība netiek īstenota</w:t>
            </w:r>
            <w:r>
              <w:rPr>
                <w:rFonts w:ascii="Times New Roman" w:eastAsia="Times New Roman" w:hAnsi="Times New Roman"/>
                <w:sz w:val="24"/>
                <w:szCs w:val="24"/>
              </w:rPr>
              <w:t xml:space="preserve">, jo </w:t>
            </w:r>
            <w:proofErr w:type="spellStart"/>
            <w:r>
              <w:rPr>
                <w:rFonts w:ascii="Times New Roman" w:eastAsia="Times New Roman" w:hAnsi="Times New Roman"/>
                <w:sz w:val="24"/>
                <w:szCs w:val="24"/>
                <w:lang w:eastAsia="en-GB"/>
              </w:rPr>
              <w:t>Iekšlietu</w:t>
            </w:r>
            <w:proofErr w:type="spellEnd"/>
            <w:r>
              <w:rPr>
                <w:rFonts w:ascii="Times New Roman" w:eastAsia="Times New Roman" w:hAnsi="Times New Roman"/>
                <w:sz w:val="24"/>
                <w:szCs w:val="24"/>
                <w:lang w:eastAsia="en-GB"/>
              </w:rPr>
              <w:t xml:space="preserve"> ministrijas veiktās aptaujas laikā</w:t>
            </w:r>
            <w:r w:rsidRPr="008F33E5">
              <w:rPr>
                <w:rFonts w:ascii="Times New Roman" w:eastAsia="Times New Roman" w:hAnsi="Times New Roman"/>
                <w:sz w:val="24"/>
                <w:szCs w:val="24"/>
                <w:lang w:eastAsia="en-GB"/>
              </w:rPr>
              <w:t xml:space="preserve"> netika saņemta informācija no </w:t>
            </w:r>
            <w:r>
              <w:rPr>
                <w:rFonts w:ascii="Times New Roman" w:eastAsia="Times New Roman" w:hAnsi="Times New Roman"/>
                <w:sz w:val="24"/>
                <w:szCs w:val="24"/>
                <w:lang w:eastAsia="en-GB"/>
              </w:rPr>
              <w:t>kompetentajām</w:t>
            </w:r>
            <w:r w:rsidRPr="008F33E5">
              <w:rPr>
                <w:rFonts w:ascii="Times New Roman" w:eastAsia="Times New Roman" w:hAnsi="Times New Roman"/>
                <w:sz w:val="24"/>
                <w:szCs w:val="24"/>
                <w:lang w:eastAsia="en-GB"/>
              </w:rPr>
              <w:t xml:space="preserve"> institūcijām, ka šāds regulējums nozarēs būtu nepieciešams vai, ka būtu nepieciešams saglabāt esošo licencēšanas mehānismu</w:t>
            </w:r>
            <w:r w:rsidRPr="00FD3D06">
              <w:rPr>
                <w:rFonts w:ascii="Times New Roman" w:eastAsia="Times New Roman" w:hAnsi="Times New Roman"/>
                <w:sz w:val="24"/>
                <w:szCs w:val="24"/>
              </w:rPr>
              <w:t>.</w:t>
            </w:r>
          </w:p>
          <w:p w14:paraId="69259595" w14:textId="77777777" w:rsidR="00E51DC3" w:rsidRPr="00FD3D06" w:rsidRDefault="00E51DC3" w:rsidP="00E51DC3">
            <w:pPr>
              <w:spacing w:after="0" w:line="240" w:lineRule="auto"/>
              <w:jc w:val="both"/>
              <w:rPr>
                <w:rFonts w:ascii="Times New Roman" w:eastAsia="Times New Roman" w:hAnsi="Times New Roman"/>
                <w:sz w:val="24"/>
                <w:szCs w:val="24"/>
              </w:rPr>
            </w:pPr>
          </w:p>
          <w:p w14:paraId="6932D341" w14:textId="2D6BD858" w:rsidR="00E51DC3" w:rsidRPr="00933C12" w:rsidRDefault="00E51DC3" w:rsidP="00E51DC3">
            <w:pPr>
              <w:spacing w:after="0" w:line="240" w:lineRule="auto"/>
              <w:jc w:val="both"/>
              <w:rPr>
                <w:rFonts w:ascii="Times New Roman" w:eastAsia="Times New Roman" w:hAnsi="Times New Roman"/>
                <w:sz w:val="24"/>
                <w:szCs w:val="24"/>
              </w:rPr>
            </w:pPr>
            <w:r w:rsidRPr="0091703B">
              <w:rPr>
                <w:rFonts w:ascii="Times New Roman" w:eastAsia="Times New Roman" w:hAnsi="Times New Roman"/>
                <w:sz w:val="24"/>
                <w:szCs w:val="24"/>
              </w:rPr>
              <w:t xml:space="preserve">Regulas </w:t>
            </w:r>
            <w:r w:rsidRPr="0091703B">
              <w:rPr>
                <w:rStyle w:val="Hyperlink"/>
                <w:rFonts w:ascii="Times New Roman" w:eastAsia="Times New Roman" w:hAnsi="Times New Roman"/>
                <w:bCs/>
                <w:color w:val="auto"/>
                <w:sz w:val="24"/>
                <w:szCs w:val="24"/>
                <w:u w:val="none"/>
                <w:lang w:eastAsia="lv-LV"/>
              </w:rPr>
              <w:t xml:space="preserve">2019/1148 </w:t>
            </w:r>
            <w:r w:rsidRPr="0091703B">
              <w:rPr>
                <w:rFonts w:ascii="Times New Roman" w:hAnsi="Times New Roman"/>
                <w:sz w:val="24"/>
                <w:szCs w:val="24"/>
              </w:rPr>
              <w:t>8</w:t>
            </w:r>
            <w:r w:rsidRPr="0091703B">
              <w:rPr>
                <w:rFonts w:ascii="Times New Roman" w:eastAsia="Times New Roman" w:hAnsi="Times New Roman"/>
                <w:sz w:val="24"/>
                <w:szCs w:val="24"/>
              </w:rPr>
              <w:t xml:space="preserve">.panta 2.punkta otrā daļa satur rīcības brīvību dalībvalstīm izmantot IV pielikumā noteikto klienta paziņojuma formātu. Minētā rīcības brīvība netiek īstenota, lai ļautu ekonomikas dalībniekam, kurš ierobežotu sprāgstvielu prekursoru dara pieejamu profesionālam lietotājam vai citam ekonomikas dalībniekam, pieprasīt un noformēt Regulas </w:t>
            </w:r>
            <w:r w:rsidRPr="0091703B">
              <w:rPr>
                <w:rStyle w:val="Hyperlink"/>
                <w:rFonts w:ascii="Times New Roman" w:eastAsia="Times New Roman" w:hAnsi="Times New Roman"/>
                <w:bCs/>
                <w:color w:val="auto"/>
                <w:sz w:val="24"/>
                <w:szCs w:val="24"/>
                <w:u w:val="none"/>
                <w:lang w:eastAsia="lv-LV"/>
              </w:rPr>
              <w:t xml:space="preserve">2019/1148 </w:t>
            </w:r>
            <w:r w:rsidRPr="0091703B">
              <w:rPr>
                <w:rFonts w:ascii="Times New Roman" w:hAnsi="Times New Roman"/>
                <w:sz w:val="24"/>
                <w:szCs w:val="24"/>
              </w:rPr>
              <w:t>8</w:t>
            </w:r>
            <w:r w:rsidRPr="0091703B">
              <w:rPr>
                <w:rFonts w:ascii="Times New Roman" w:eastAsia="Times New Roman" w:hAnsi="Times New Roman"/>
                <w:sz w:val="24"/>
                <w:szCs w:val="24"/>
              </w:rPr>
              <w:t>.panta 2.punkta pirmajā daļā noteikto informāciju pēc saviem ieskatiem.</w:t>
            </w:r>
            <w:r>
              <w:rPr>
                <w:rFonts w:ascii="Times New Roman" w:eastAsia="Times New Roman" w:hAnsi="Times New Roman"/>
                <w:sz w:val="24"/>
                <w:szCs w:val="24"/>
              </w:rPr>
              <w:t xml:space="preserve">  </w:t>
            </w:r>
          </w:p>
        </w:tc>
      </w:tr>
      <w:tr w:rsidR="00E51DC3" w:rsidRPr="00D21CE4" w14:paraId="30A936B9" w14:textId="77777777"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913"/>
        </w:trPr>
        <w:tc>
          <w:tcPr>
            <w:tcW w:w="1262" w:type="pct"/>
            <w:gridSpan w:val="2"/>
            <w:tcBorders>
              <w:top w:val="outset" w:sz="6" w:space="0" w:color="auto"/>
              <w:left w:val="outset" w:sz="6" w:space="0" w:color="auto"/>
              <w:bottom w:val="outset" w:sz="6" w:space="0" w:color="auto"/>
              <w:right w:val="outset" w:sz="6" w:space="0" w:color="auto"/>
            </w:tcBorders>
            <w:hideMark/>
          </w:tcPr>
          <w:p w14:paraId="59770DC9" w14:textId="77777777" w:rsidR="00E51DC3" w:rsidRPr="00BB1ECD" w:rsidRDefault="00E51DC3" w:rsidP="00E51DC3">
            <w:pPr>
              <w:spacing w:after="0" w:line="240" w:lineRule="auto"/>
              <w:ind w:left="57"/>
              <w:rPr>
                <w:rFonts w:ascii="Times New Roman" w:eastAsia="Times New Roman" w:hAnsi="Times New Roman"/>
                <w:spacing w:val="-3"/>
                <w:sz w:val="24"/>
                <w:szCs w:val="24"/>
              </w:rPr>
            </w:pPr>
            <w:r w:rsidRPr="00BB1ECD">
              <w:rPr>
                <w:rFonts w:ascii="Times New Roman" w:eastAsia="Times New Roman" w:hAnsi="Times New Roman"/>
                <w:spacing w:val="-4"/>
                <w:sz w:val="24"/>
                <w:szCs w:val="24"/>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BB1ECD">
              <w:rPr>
                <w:rFonts w:ascii="Times New Roman" w:eastAsia="Times New Roman" w:hAnsi="Times New Roman"/>
                <w:spacing w:val="-4"/>
                <w:sz w:val="24"/>
                <w:szCs w:val="24"/>
              </w:rPr>
              <w:t>monetāropolitiku</w:t>
            </w:r>
            <w:proofErr w:type="spellEnd"/>
            <w:r w:rsidRPr="00BB1ECD">
              <w:rPr>
                <w:rFonts w:ascii="Times New Roman" w:eastAsia="Times New Roman" w:hAnsi="Times New Roman"/>
                <w:spacing w:val="-4"/>
                <w:sz w:val="24"/>
                <w:szCs w:val="24"/>
              </w:rPr>
              <w:t>) projektiem</w:t>
            </w:r>
          </w:p>
        </w:tc>
        <w:tc>
          <w:tcPr>
            <w:tcW w:w="3738" w:type="pct"/>
            <w:gridSpan w:val="5"/>
            <w:tcBorders>
              <w:top w:val="outset" w:sz="6" w:space="0" w:color="auto"/>
              <w:left w:val="outset" w:sz="6" w:space="0" w:color="auto"/>
              <w:bottom w:val="outset" w:sz="6" w:space="0" w:color="auto"/>
              <w:right w:val="outset" w:sz="6" w:space="0" w:color="auto"/>
            </w:tcBorders>
            <w:hideMark/>
          </w:tcPr>
          <w:p w14:paraId="4758B1C9" w14:textId="77777777" w:rsidR="00E51DC3" w:rsidRPr="00BB1ECD" w:rsidRDefault="00E51DC3" w:rsidP="00E51DC3">
            <w:pPr>
              <w:spacing w:after="0" w:line="240" w:lineRule="auto"/>
              <w:ind w:left="57"/>
              <w:rPr>
                <w:rFonts w:ascii="Times New Roman" w:eastAsia="Times New Roman" w:hAnsi="Times New Roman"/>
                <w:sz w:val="24"/>
                <w:szCs w:val="24"/>
              </w:rPr>
            </w:pPr>
            <w:r w:rsidRPr="00BB1ECD">
              <w:rPr>
                <w:rFonts w:ascii="Times New Roman" w:eastAsia="Times New Roman" w:hAnsi="Times New Roman"/>
                <w:sz w:val="24"/>
                <w:szCs w:val="24"/>
              </w:rPr>
              <w:t>Projekts šo jomu neskar</w:t>
            </w:r>
          </w:p>
        </w:tc>
      </w:tr>
      <w:tr w:rsidR="00E51DC3" w:rsidRPr="00D21CE4" w14:paraId="522C2FF0" w14:textId="77777777"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432"/>
        </w:trPr>
        <w:tc>
          <w:tcPr>
            <w:tcW w:w="1262" w:type="pct"/>
            <w:gridSpan w:val="2"/>
            <w:tcBorders>
              <w:top w:val="outset" w:sz="6" w:space="0" w:color="auto"/>
              <w:left w:val="outset" w:sz="6" w:space="0" w:color="auto"/>
              <w:bottom w:val="outset" w:sz="6" w:space="0" w:color="auto"/>
              <w:right w:val="outset" w:sz="6" w:space="0" w:color="auto"/>
            </w:tcBorders>
            <w:hideMark/>
          </w:tcPr>
          <w:p w14:paraId="66A534B7" w14:textId="77777777" w:rsidR="00E51DC3" w:rsidRPr="00D21CE4" w:rsidRDefault="00E51DC3" w:rsidP="00E51DC3">
            <w:pPr>
              <w:spacing w:after="0" w:line="240" w:lineRule="auto"/>
              <w:ind w:left="57"/>
              <w:rPr>
                <w:rFonts w:ascii="Times New Roman" w:eastAsia="Times New Roman" w:hAnsi="Times New Roman"/>
                <w:sz w:val="24"/>
                <w:szCs w:val="24"/>
              </w:rPr>
            </w:pPr>
            <w:r w:rsidRPr="00D21CE4">
              <w:rPr>
                <w:rFonts w:ascii="Times New Roman" w:eastAsia="Times New Roman" w:hAnsi="Times New Roman"/>
                <w:sz w:val="24"/>
                <w:szCs w:val="24"/>
              </w:rPr>
              <w:t>Cita informācija</w:t>
            </w:r>
          </w:p>
        </w:tc>
        <w:tc>
          <w:tcPr>
            <w:tcW w:w="3738" w:type="pct"/>
            <w:gridSpan w:val="5"/>
            <w:tcBorders>
              <w:top w:val="outset" w:sz="6" w:space="0" w:color="auto"/>
              <w:left w:val="outset" w:sz="6" w:space="0" w:color="auto"/>
              <w:bottom w:val="outset" w:sz="6" w:space="0" w:color="auto"/>
              <w:right w:val="outset" w:sz="6" w:space="0" w:color="auto"/>
            </w:tcBorders>
            <w:hideMark/>
          </w:tcPr>
          <w:p w14:paraId="6AE444B1" w14:textId="77777777" w:rsidR="00E51DC3" w:rsidRPr="00D21CE4" w:rsidRDefault="00E51DC3" w:rsidP="00E51DC3">
            <w:pPr>
              <w:spacing w:after="0" w:line="240" w:lineRule="auto"/>
              <w:jc w:val="both"/>
              <w:rPr>
                <w:rFonts w:ascii="Times New Roman" w:eastAsia="Times New Roman" w:hAnsi="Times New Roman"/>
                <w:sz w:val="24"/>
                <w:szCs w:val="24"/>
              </w:rPr>
            </w:pPr>
            <w:r>
              <w:rPr>
                <w:rFonts w:ascii="Times New Roman" w:hAnsi="Times New Roman"/>
                <w:iCs/>
                <w:sz w:val="24"/>
                <w:szCs w:val="24"/>
              </w:rPr>
              <w:t xml:space="preserve">Nav. </w:t>
            </w:r>
          </w:p>
        </w:tc>
      </w:tr>
      <w:tr w:rsidR="00E51DC3" w:rsidRPr="00D21CE4" w14:paraId="703C2650" w14:textId="77777777"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79"/>
        </w:trPr>
        <w:tc>
          <w:tcPr>
            <w:tcW w:w="5000" w:type="pct"/>
            <w:gridSpan w:val="7"/>
            <w:tcBorders>
              <w:top w:val="outset" w:sz="6" w:space="0" w:color="auto"/>
              <w:left w:val="outset" w:sz="6" w:space="0" w:color="auto"/>
              <w:bottom w:val="outset" w:sz="6" w:space="0" w:color="auto"/>
              <w:right w:val="outset" w:sz="6" w:space="0" w:color="auto"/>
            </w:tcBorders>
          </w:tcPr>
          <w:p w14:paraId="0437EAED" w14:textId="77777777" w:rsidR="00E51DC3" w:rsidRPr="00D21CE4" w:rsidRDefault="00E51DC3" w:rsidP="00E51DC3">
            <w:pPr>
              <w:spacing w:after="0" w:line="240" w:lineRule="auto"/>
              <w:jc w:val="center"/>
              <w:rPr>
                <w:rFonts w:ascii="Times New Roman" w:eastAsia="Times New Roman" w:hAnsi="Times New Roman"/>
                <w:sz w:val="24"/>
                <w:szCs w:val="24"/>
              </w:rPr>
            </w:pPr>
            <w:r w:rsidRPr="00D21CE4">
              <w:rPr>
                <w:rFonts w:ascii="Times New Roman" w:hAnsi="Times New Roman"/>
                <w:b/>
                <w:bCs/>
                <w:sz w:val="24"/>
                <w:szCs w:val="24"/>
                <w:shd w:val="clear" w:color="auto" w:fill="FFFFFF"/>
              </w:rPr>
              <w:t>2. tabula</w:t>
            </w:r>
            <w:r w:rsidRPr="00D21CE4">
              <w:rPr>
                <w:rFonts w:ascii="Times New Roman" w:hAnsi="Times New Roman"/>
                <w:b/>
                <w:bCs/>
                <w:sz w:val="24"/>
                <w:szCs w:val="24"/>
              </w:rPr>
              <w:br/>
            </w:r>
            <w:r w:rsidRPr="00D21CE4">
              <w:rPr>
                <w:rFonts w:ascii="Times New Roman" w:hAnsi="Times New Roman"/>
                <w:b/>
                <w:bCs/>
                <w:sz w:val="24"/>
                <w:szCs w:val="24"/>
                <w:shd w:val="clear" w:color="auto" w:fill="FFFFFF"/>
              </w:rPr>
              <w:t>Ar tiesību akta projektu izpildītās vai uzņemtās saistības, kas izriet no starptautiskajiem tiesību aktiem vai starptautiskas institūcijas vai organizācijas dokumentiem.</w:t>
            </w:r>
            <w:r w:rsidRPr="00D21CE4">
              <w:rPr>
                <w:rFonts w:ascii="Times New Roman" w:hAnsi="Times New Roman"/>
                <w:b/>
                <w:bCs/>
                <w:sz w:val="24"/>
                <w:szCs w:val="24"/>
              </w:rPr>
              <w:br/>
            </w:r>
            <w:r w:rsidRPr="00D21CE4">
              <w:rPr>
                <w:rFonts w:ascii="Times New Roman" w:hAnsi="Times New Roman"/>
                <w:b/>
                <w:bCs/>
                <w:sz w:val="24"/>
                <w:szCs w:val="24"/>
                <w:shd w:val="clear" w:color="auto" w:fill="FFFFFF"/>
              </w:rPr>
              <w:t>Pasākumi šo saistību izpildei.</w:t>
            </w:r>
          </w:p>
        </w:tc>
      </w:tr>
      <w:tr w:rsidR="00E51DC3" w:rsidRPr="00D21CE4" w14:paraId="0A9BFA78" w14:textId="77777777"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367"/>
        </w:trPr>
        <w:tc>
          <w:tcPr>
            <w:tcW w:w="5000" w:type="pct"/>
            <w:gridSpan w:val="7"/>
            <w:tcBorders>
              <w:top w:val="outset" w:sz="6" w:space="0" w:color="auto"/>
              <w:left w:val="outset" w:sz="6" w:space="0" w:color="auto"/>
              <w:bottom w:val="outset" w:sz="6" w:space="0" w:color="auto"/>
              <w:right w:val="outset" w:sz="6" w:space="0" w:color="auto"/>
            </w:tcBorders>
          </w:tcPr>
          <w:p w14:paraId="4E96CF4F" w14:textId="77777777" w:rsidR="00E51DC3" w:rsidRPr="00D21CE4" w:rsidRDefault="00E51DC3" w:rsidP="00E51DC3">
            <w:pPr>
              <w:spacing w:after="0" w:line="240" w:lineRule="auto"/>
              <w:jc w:val="center"/>
              <w:rPr>
                <w:rFonts w:ascii="Times New Roman" w:hAnsi="Times New Roman"/>
                <w:b/>
                <w:bCs/>
                <w:sz w:val="24"/>
                <w:szCs w:val="24"/>
                <w:shd w:val="clear" w:color="auto" w:fill="FFFFFF"/>
              </w:rPr>
            </w:pPr>
            <w:r w:rsidRPr="00D21CE4">
              <w:rPr>
                <w:rFonts w:ascii="Times New Roman" w:hAnsi="Times New Roman"/>
                <w:bCs/>
                <w:sz w:val="24"/>
                <w:szCs w:val="24"/>
              </w:rPr>
              <w:t>Projekts šo jomu neskar</w:t>
            </w:r>
            <w:r>
              <w:rPr>
                <w:rFonts w:ascii="Times New Roman" w:hAnsi="Times New Roman"/>
                <w:bCs/>
                <w:sz w:val="24"/>
                <w:szCs w:val="24"/>
              </w:rPr>
              <w:t>.</w:t>
            </w:r>
          </w:p>
        </w:tc>
      </w:tr>
      <w:tr w:rsidR="00E51DC3" w:rsidRPr="00BB1ECD" w14:paraId="48F25B57" w14:textId="77777777" w:rsidTr="00B512FF">
        <w:trPr>
          <w:cantSplit/>
          <w:trHeight w:val="323"/>
        </w:trPr>
        <w:tc>
          <w:tcPr>
            <w:tcW w:w="5000" w:type="pct"/>
            <w:gridSpan w:val="7"/>
            <w:vAlign w:val="center"/>
            <w:hideMark/>
          </w:tcPr>
          <w:p w14:paraId="0757A8C6" w14:textId="77777777" w:rsidR="00E51DC3" w:rsidRPr="00BB1ECD" w:rsidRDefault="00E51DC3" w:rsidP="00E51DC3">
            <w:pPr>
              <w:spacing w:after="0" w:line="240" w:lineRule="auto"/>
              <w:jc w:val="center"/>
              <w:rPr>
                <w:rFonts w:ascii="Times New Roman" w:hAnsi="Times New Roman"/>
                <w:b/>
                <w:bCs/>
                <w:sz w:val="24"/>
                <w:szCs w:val="24"/>
              </w:rPr>
            </w:pPr>
            <w:r w:rsidRPr="00BB1ECD">
              <w:rPr>
                <w:rFonts w:ascii="Times New Roman" w:hAnsi="Times New Roman"/>
                <w:b/>
                <w:bCs/>
                <w:sz w:val="24"/>
                <w:szCs w:val="24"/>
              </w:rPr>
              <w:t>VI. Sabiedrības līdzdalība un komunikācijas aktivitātes</w:t>
            </w:r>
          </w:p>
        </w:tc>
      </w:tr>
      <w:tr w:rsidR="00E51DC3" w:rsidRPr="00BB1ECD" w14:paraId="6BAE2032" w14:textId="77777777" w:rsidTr="00B512FF">
        <w:trPr>
          <w:cantSplit/>
        </w:trPr>
        <w:tc>
          <w:tcPr>
            <w:tcW w:w="301" w:type="pct"/>
            <w:hideMark/>
          </w:tcPr>
          <w:p w14:paraId="14A70747" w14:textId="77777777" w:rsidR="00E51DC3" w:rsidRPr="00E86332" w:rsidRDefault="00E51DC3" w:rsidP="00E51DC3">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32" w:type="pct"/>
            <w:gridSpan w:val="2"/>
            <w:hideMark/>
          </w:tcPr>
          <w:p w14:paraId="66CEED22" w14:textId="77777777" w:rsidR="00E51DC3" w:rsidRPr="00BB1ECD" w:rsidRDefault="00E51DC3" w:rsidP="00E51DC3">
            <w:pPr>
              <w:spacing w:after="0" w:line="240" w:lineRule="auto"/>
              <w:jc w:val="both"/>
              <w:rPr>
                <w:rFonts w:ascii="Times New Roman" w:hAnsi="Times New Roman"/>
                <w:sz w:val="24"/>
                <w:szCs w:val="24"/>
              </w:rPr>
            </w:pPr>
            <w:r w:rsidRPr="00BB1ECD">
              <w:rPr>
                <w:rFonts w:ascii="Times New Roman" w:hAnsi="Times New Roman"/>
                <w:sz w:val="24"/>
                <w:szCs w:val="24"/>
              </w:rPr>
              <w:t>Plānotās sabiedrības līdzdalības un komunikācijas aktivitātes saistībā ar projektu</w:t>
            </w:r>
          </w:p>
        </w:tc>
        <w:tc>
          <w:tcPr>
            <w:tcW w:w="3267" w:type="pct"/>
            <w:gridSpan w:val="4"/>
            <w:hideMark/>
          </w:tcPr>
          <w:p w14:paraId="2B6C0FFD" w14:textId="77777777" w:rsidR="00E51DC3" w:rsidRPr="00D26CF7" w:rsidRDefault="00E51DC3" w:rsidP="00E51DC3">
            <w:pPr>
              <w:autoSpaceDE w:val="0"/>
              <w:autoSpaceDN w:val="0"/>
              <w:adjustRightInd w:val="0"/>
              <w:spacing w:after="0" w:line="240" w:lineRule="auto"/>
              <w:jc w:val="both"/>
              <w:rPr>
                <w:rFonts w:ascii="Times New Roman" w:hAnsi="Times New Roman"/>
                <w:sz w:val="24"/>
                <w:szCs w:val="24"/>
              </w:rPr>
            </w:pPr>
            <w:r w:rsidRPr="00D26CF7">
              <w:rPr>
                <w:rFonts w:ascii="Times New Roman" w:hAnsi="Times New Roman"/>
                <w:sz w:val="24"/>
                <w:szCs w:val="24"/>
              </w:rPr>
              <w:t xml:space="preserve">Atbilstoši Ministru kabineta 2009. gada 25. augusta noteikumiem Nr. 970 "Sabiedrības līdzdalības kārtība attīstības plānošanas procesā", lai informētu sabiedrību par Ministru kabineta noteikumu projektu un dotu iespēju izteikt viedokli, informācija par Ministru kabineta noteikumu projektu ievietota </w:t>
            </w:r>
            <w:proofErr w:type="spellStart"/>
            <w:r w:rsidRPr="00D26CF7">
              <w:rPr>
                <w:rFonts w:ascii="Times New Roman" w:hAnsi="Times New Roman"/>
                <w:sz w:val="24"/>
                <w:szCs w:val="24"/>
              </w:rPr>
              <w:t>Iekšlietu</w:t>
            </w:r>
            <w:proofErr w:type="spellEnd"/>
            <w:r w:rsidRPr="00D26CF7">
              <w:rPr>
                <w:rFonts w:ascii="Times New Roman" w:hAnsi="Times New Roman"/>
                <w:sz w:val="24"/>
                <w:szCs w:val="24"/>
              </w:rPr>
              <w:t xml:space="preserve"> ministrijas un Valsts kancelejas tīmekļa vietnē.</w:t>
            </w:r>
          </w:p>
        </w:tc>
      </w:tr>
      <w:tr w:rsidR="00E51DC3" w:rsidRPr="00BB1ECD" w14:paraId="7CBF7144" w14:textId="77777777" w:rsidTr="00B512FF">
        <w:trPr>
          <w:cantSplit/>
        </w:trPr>
        <w:tc>
          <w:tcPr>
            <w:tcW w:w="301" w:type="pct"/>
            <w:hideMark/>
          </w:tcPr>
          <w:p w14:paraId="1215FC5A" w14:textId="77777777" w:rsidR="00E51DC3" w:rsidRPr="00E86332" w:rsidRDefault="00E51DC3" w:rsidP="00E51DC3">
            <w:pPr>
              <w:spacing w:after="0" w:line="240" w:lineRule="auto"/>
              <w:jc w:val="both"/>
              <w:rPr>
                <w:rFonts w:ascii="Times New Roman" w:hAnsi="Times New Roman"/>
                <w:sz w:val="24"/>
                <w:szCs w:val="24"/>
              </w:rPr>
            </w:pPr>
            <w:r w:rsidRPr="00E86332">
              <w:rPr>
                <w:rFonts w:ascii="Times New Roman" w:hAnsi="Times New Roman"/>
                <w:sz w:val="24"/>
                <w:szCs w:val="24"/>
              </w:rPr>
              <w:lastRenderedPageBreak/>
              <w:t>2.</w:t>
            </w:r>
          </w:p>
        </w:tc>
        <w:tc>
          <w:tcPr>
            <w:tcW w:w="1432" w:type="pct"/>
            <w:gridSpan w:val="2"/>
            <w:hideMark/>
          </w:tcPr>
          <w:p w14:paraId="707EC89B" w14:textId="77777777" w:rsidR="00E51DC3" w:rsidRPr="00BB1ECD" w:rsidRDefault="00E51DC3" w:rsidP="00E51DC3">
            <w:pPr>
              <w:spacing w:after="0" w:line="240" w:lineRule="auto"/>
              <w:jc w:val="both"/>
              <w:rPr>
                <w:rFonts w:ascii="Times New Roman" w:hAnsi="Times New Roman"/>
                <w:sz w:val="24"/>
                <w:szCs w:val="24"/>
              </w:rPr>
            </w:pPr>
            <w:r w:rsidRPr="00BB1ECD">
              <w:rPr>
                <w:rFonts w:ascii="Times New Roman" w:hAnsi="Times New Roman"/>
                <w:sz w:val="24"/>
                <w:szCs w:val="24"/>
              </w:rPr>
              <w:t>Sabiedrības līdzdalība projekta izstrādē</w:t>
            </w:r>
          </w:p>
        </w:tc>
        <w:tc>
          <w:tcPr>
            <w:tcW w:w="3267" w:type="pct"/>
            <w:gridSpan w:val="4"/>
          </w:tcPr>
          <w:p w14:paraId="4AE2E030" w14:textId="0BFF2CC6" w:rsidR="00E51DC3" w:rsidRPr="00D26CF7" w:rsidRDefault="00E51DC3" w:rsidP="00E51DC3">
            <w:pPr>
              <w:pStyle w:val="NoSpacing"/>
              <w:ind w:right="27"/>
              <w:jc w:val="both"/>
              <w:rPr>
                <w:rFonts w:ascii="Times New Roman" w:eastAsia="Times New Roman" w:hAnsi="Times New Roman"/>
                <w:sz w:val="24"/>
                <w:szCs w:val="24"/>
                <w:lang w:val="lv-LV"/>
              </w:rPr>
            </w:pPr>
            <w:r w:rsidRPr="00D26CF7">
              <w:rPr>
                <w:rFonts w:ascii="Times New Roman" w:hAnsi="Times New Roman"/>
                <w:sz w:val="24"/>
                <w:szCs w:val="24"/>
                <w:lang w:val="lv-LV"/>
              </w:rPr>
              <w:t xml:space="preserve">Lai nodrošinātu efektīvu, atklātu, ietverošu, savlaicīgu un atbildīgu sabiedrības līdzdalību un sabiedrības pārstāvjiem nodrošinātu iespēju rakstiski sniegt viedokli par Ministru kabineta </w:t>
            </w:r>
            <w:r w:rsidRPr="0091703B">
              <w:rPr>
                <w:rFonts w:ascii="Times New Roman" w:hAnsi="Times New Roman"/>
                <w:sz w:val="24"/>
                <w:szCs w:val="24"/>
                <w:lang w:val="lv-LV"/>
              </w:rPr>
              <w:t>noteikumu projektu</w:t>
            </w:r>
            <w:r w:rsidRPr="0091703B">
              <w:rPr>
                <w:rFonts w:ascii="Times New Roman" w:hAnsi="Times New Roman"/>
                <w:iCs/>
                <w:sz w:val="24"/>
                <w:szCs w:val="24"/>
                <w:lang w:val="lv-LV"/>
              </w:rPr>
              <w:t xml:space="preserve"> tā izstrādes stadijā, </w:t>
            </w:r>
            <w:r w:rsidRPr="0091703B">
              <w:rPr>
                <w:rFonts w:ascii="Times New Roman" w:hAnsi="Times New Roman"/>
                <w:sz w:val="24"/>
                <w:szCs w:val="24"/>
                <w:lang w:val="lv-LV"/>
              </w:rPr>
              <w:t xml:space="preserve">2020. gada </w:t>
            </w:r>
            <w:proofErr w:type="gramStart"/>
            <w:r w:rsidRPr="0091703B">
              <w:rPr>
                <w:rFonts w:ascii="Times New Roman" w:hAnsi="Times New Roman"/>
                <w:sz w:val="24"/>
                <w:szCs w:val="24"/>
                <w:lang w:val="lv-LV"/>
              </w:rPr>
              <w:t>29.septembrī</w:t>
            </w:r>
            <w:proofErr w:type="gramEnd"/>
            <w:r w:rsidRPr="0091703B">
              <w:rPr>
                <w:rFonts w:ascii="Times New Roman" w:hAnsi="Times New Roman"/>
                <w:sz w:val="24"/>
                <w:szCs w:val="24"/>
                <w:lang w:val="lv-LV"/>
              </w:rPr>
              <w:t xml:space="preserve"> informācija par Ministru kabineta noteikumu projektu ievietota </w:t>
            </w:r>
            <w:proofErr w:type="spellStart"/>
            <w:r w:rsidRPr="0091703B">
              <w:rPr>
                <w:rFonts w:ascii="Times New Roman" w:hAnsi="Times New Roman"/>
                <w:sz w:val="24"/>
                <w:szCs w:val="24"/>
                <w:lang w:val="lv-LV"/>
              </w:rPr>
              <w:t>Iekšlietu</w:t>
            </w:r>
            <w:proofErr w:type="spellEnd"/>
            <w:r w:rsidRPr="0091703B">
              <w:rPr>
                <w:rFonts w:ascii="Times New Roman" w:hAnsi="Times New Roman"/>
                <w:sz w:val="24"/>
                <w:szCs w:val="24"/>
                <w:lang w:val="lv-LV"/>
              </w:rPr>
              <w:t xml:space="preserve"> ministrijas tīmekļa vietnē (</w:t>
            </w:r>
            <w:hyperlink r:id="rId8" w:history="1">
              <w:r w:rsidRPr="0091703B">
                <w:rPr>
                  <w:rStyle w:val="Hyperlink"/>
                  <w:rFonts w:ascii="Times New Roman" w:hAnsi="Times New Roman"/>
                  <w:color w:val="auto"/>
                  <w:sz w:val="24"/>
                  <w:szCs w:val="24"/>
                  <w:lang w:val="lv-LV"/>
                </w:rPr>
                <w:t>https://www.iem.gov.lv/lv/likumprojekts-grozijumi-administrativo-sodu-likuma-par-parkapumiem-parvaldes-sabiedriskas-kartibas-un-valsts-valodas-lietosanas-joma</w:t>
              </w:r>
            </w:hyperlink>
            <w:r w:rsidRPr="0091703B">
              <w:rPr>
                <w:rFonts w:ascii="Times New Roman" w:hAnsi="Times New Roman"/>
                <w:sz w:val="24"/>
                <w:szCs w:val="24"/>
                <w:lang w:val="lv-LV"/>
              </w:rPr>
              <w:t>)</w:t>
            </w:r>
            <w:r w:rsidRPr="0091703B">
              <w:rPr>
                <w:rStyle w:val="Hyperlink"/>
                <w:rFonts w:ascii="Times New Roman" w:hAnsi="Times New Roman"/>
                <w:color w:val="auto"/>
                <w:sz w:val="24"/>
                <w:szCs w:val="24"/>
                <w:lang w:val="lv-LV"/>
              </w:rPr>
              <w:t xml:space="preserve">, </w:t>
            </w:r>
            <w:r w:rsidRPr="0091703B">
              <w:rPr>
                <w:rFonts w:ascii="Times New Roman" w:hAnsi="Times New Roman"/>
                <w:sz w:val="24"/>
                <w:szCs w:val="24"/>
                <w:lang w:val="lv-LV"/>
              </w:rPr>
              <w:t xml:space="preserve">aicinot sabiedrību viedokļus par Ministru kabineta noteikumu projektu sniegt līdz 2020. gada _.oktobrim. Vienlaikus </w:t>
            </w:r>
            <w:proofErr w:type="spellStart"/>
            <w:r w:rsidRPr="0091703B">
              <w:rPr>
                <w:rFonts w:ascii="Times New Roman" w:hAnsi="Times New Roman"/>
                <w:iCs/>
                <w:sz w:val="24"/>
                <w:szCs w:val="24"/>
                <w:lang w:val="lv-LV"/>
              </w:rPr>
              <w:t>Iekšlietu</w:t>
            </w:r>
            <w:proofErr w:type="spellEnd"/>
            <w:r w:rsidRPr="0091703B">
              <w:rPr>
                <w:rFonts w:ascii="Times New Roman" w:hAnsi="Times New Roman"/>
                <w:iCs/>
                <w:sz w:val="24"/>
                <w:szCs w:val="24"/>
                <w:lang w:val="lv-LV"/>
              </w:rPr>
              <w:t xml:space="preserve"> ministrija, izpildot Ministru kabineta 2009.gada 25.augusta noteikumu Nr.970 “Sabiedrības līdzdalības kārtība attīstības plānošanas procesā” 14.punktu, projektu  </w:t>
            </w:r>
            <w:r w:rsidRPr="0091703B">
              <w:rPr>
                <w:rFonts w:ascii="Times New Roman" w:hAnsi="Times New Roman"/>
                <w:sz w:val="24"/>
                <w:szCs w:val="24"/>
                <w:lang w:val="lv-LV"/>
              </w:rPr>
              <w:t xml:space="preserve">2020. gada 26.oktobrī </w:t>
            </w:r>
            <w:r w:rsidRPr="0091703B">
              <w:rPr>
                <w:rFonts w:ascii="Times New Roman" w:hAnsi="Times New Roman"/>
                <w:iCs/>
                <w:sz w:val="24"/>
                <w:szCs w:val="24"/>
                <w:lang w:val="lv-LV"/>
              </w:rPr>
              <w:t>nosūtīja Valsts kancelejai</w:t>
            </w:r>
            <w:r w:rsidRPr="0091703B">
              <w:rPr>
                <w:rFonts w:ascii="Times New Roman" w:hAnsi="Times New Roman"/>
                <w:sz w:val="24"/>
                <w:szCs w:val="24"/>
                <w:lang w:val="lv-LV"/>
              </w:rPr>
              <w:t xml:space="preserve"> publicēšanai tās tīmekļa vietnē (</w:t>
            </w:r>
            <w:hyperlink r:id="rId9" w:history="1">
              <w:r w:rsidRPr="0091703B">
                <w:rPr>
                  <w:rStyle w:val="Hyperlink"/>
                  <w:rFonts w:ascii="Times New Roman" w:hAnsi="Times New Roman"/>
                  <w:color w:val="auto"/>
                  <w:sz w:val="24"/>
                  <w:szCs w:val="24"/>
                  <w:lang w:val="lv-LV"/>
                </w:rPr>
                <w:t>https://mk.gov.lv/content/ministru-kabineta-diskusiju-dokumenti</w:t>
              </w:r>
            </w:hyperlink>
            <w:r w:rsidRPr="0091703B">
              <w:rPr>
                <w:rFonts w:ascii="Times New Roman" w:hAnsi="Times New Roman"/>
                <w:sz w:val="24"/>
                <w:szCs w:val="24"/>
                <w:lang w:val="lv-LV"/>
              </w:rPr>
              <w:t>).</w:t>
            </w:r>
          </w:p>
        </w:tc>
      </w:tr>
      <w:tr w:rsidR="00E51DC3" w:rsidRPr="00BB1ECD" w14:paraId="1FF4961E" w14:textId="77777777" w:rsidTr="00B512FF">
        <w:trPr>
          <w:cantSplit/>
        </w:trPr>
        <w:tc>
          <w:tcPr>
            <w:tcW w:w="301" w:type="pct"/>
            <w:hideMark/>
          </w:tcPr>
          <w:p w14:paraId="57694A1E" w14:textId="77777777" w:rsidR="00E51DC3" w:rsidRPr="00E86332" w:rsidRDefault="00E51DC3" w:rsidP="00E51DC3">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32" w:type="pct"/>
            <w:gridSpan w:val="2"/>
            <w:hideMark/>
          </w:tcPr>
          <w:p w14:paraId="7D4D4A05" w14:textId="77777777" w:rsidR="00E51DC3" w:rsidRPr="00BB1ECD" w:rsidRDefault="00E51DC3" w:rsidP="00E51DC3">
            <w:pPr>
              <w:spacing w:after="0" w:line="240" w:lineRule="auto"/>
              <w:jc w:val="both"/>
              <w:rPr>
                <w:rFonts w:ascii="Times New Roman" w:hAnsi="Times New Roman"/>
                <w:sz w:val="24"/>
                <w:szCs w:val="24"/>
              </w:rPr>
            </w:pPr>
            <w:r w:rsidRPr="00BB1ECD">
              <w:rPr>
                <w:rFonts w:ascii="Times New Roman" w:hAnsi="Times New Roman"/>
                <w:sz w:val="24"/>
                <w:szCs w:val="24"/>
              </w:rPr>
              <w:t>Sabiedrības līdzdalības rezultāti</w:t>
            </w:r>
          </w:p>
        </w:tc>
        <w:tc>
          <w:tcPr>
            <w:tcW w:w="3267" w:type="pct"/>
            <w:gridSpan w:val="4"/>
          </w:tcPr>
          <w:p w14:paraId="191D9BF4" w14:textId="7BEF1096" w:rsidR="00E51DC3" w:rsidRPr="008E61C9" w:rsidRDefault="00E51DC3" w:rsidP="00E51DC3">
            <w:pPr>
              <w:pStyle w:val="NoSpacing"/>
              <w:ind w:right="27"/>
              <w:jc w:val="both"/>
              <w:rPr>
                <w:rFonts w:ascii="Times New Roman" w:eastAsia="Times New Roman" w:hAnsi="Times New Roman"/>
                <w:sz w:val="24"/>
                <w:szCs w:val="24"/>
                <w:lang w:val="lv-LV"/>
              </w:rPr>
            </w:pPr>
            <w:r w:rsidRPr="008E61C9">
              <w:rPr>
                <w:rFonts w:ascii="Times New Roman" w:hAnsi="Times New Roman"/>
                <w:sz w:val="24"/>
                <w:szCs w:val="24"/>
                <w:lang w:val="lv-LV"/>
              </w:rPr>
              <w:t>Sabiedrības līdzdalības rezultātā priekšlikumi no sabiedrības locekļiem netika saņemti.</w:t>
            </w:r>
          </w:p>
        </w:tc>
      </w:tr>
      <w:tr w:rsidR="00E51DC3" w:rsidRPr="00BB1ECD" w14:paraId="6A1322F3" w14:textId="77777777" w:rsidTr="00B512FF">
        <w:trPr>
          <w:cantSplit/>
        </w:trPr>
        <w:tc>
          <w:tcPr>
            <w:tcW w:w="301" w:type="pct"/>
            <w:hideMark/>
          </w:tcPr>
          <w:p w14:paraId="052FB267" w14:textId="77777777" w:rsidR="00E51DC3" w:rsidRPr="00E86332" w:rsidRDefault="00E51DC3" w:rsidP="00E51DC3">
            <w:pPr>
              <w:spacing w:after="0" w:line="240" w:lineRule="auto"/>
              <w:jc w:val="both"/>
              <w:rPr>
                <w:rFonts w:ascii="Times New Roman" w:hAnsi="Times New Roman"/>
                <w:sz w:val="24"/>
                <w:szCs w:val="24"/>
              </w:rPr>
            </w:pPr>
            <w:r w:rsidRPr="00E86332">
              <w:rPr>
                <w:rFonts w:ascii="Times New Roman" w:hAnsi="Times New Roman"/>
                <w:sz w:val="24"/>
                <w:szCs w:val="24"/>
              </w:rPr>
              <w:t>4.</w:t>
            </w:r>
          </w:p>
        </w:tc>
        <w:tc>
          <w:tcPr>
            <w:tcW w:w="1432" w:type="pct"/>
            <w:gridSpan w:val="2"/>
            <w:hideMark/>
          </w:tcPr>
          <w:p w14:paraId="11DBC10F" w14:textId="77777777" w:rsidR="00E51DC3" w:rsidRPr="00BB1ECD" w:rsidRDefault="00E51DC3" w:rsidP="00E51DC3">
            <w:pPr>
              <w:spacing w:after="0" w:line="240" w:lineRule="auto"/>
              <w:jc w:val="both"/>
              <w:rPr>
                <w:rFonts w:ascii="Times New Roman" w:hAnsi="Times New Roman"/>
                <w:sz w:val="24"/>
                <w:szCs w:val="24"/>
              </w:rPr>
            </w:pPr>
            <w:r w:rsidRPr="00BB1ECD">
              <w:rPr>
                <w:rFonts w:ascii="Times New Roman" w:hAnsi="Times New Roman"/>
                <w:sz w:val="24"/>
                <w:szCs w:val="24"/>
              </w:rPr>
              <w:t>Cita informācija</w:t>
            </w:r>
          </w:p>
        </w:tc>
        <w:tc>
          <w:tcPr>
            <w:tcW w:w="3267" w:type="pct"/>
            <w:gridSpan w:val="4"/>
            <w:hideMark/>
          </w:tcPr>
          <w:p w14:paraId="368A134C" w14:textId="77777777" w:rsidR="00E51DC3" w:rsidRPr="00BB1ECD" w:rsidRDefault="00E51DC3" w:rsidP="00E51DC3">
            <w:pPr>
              <w:spacing w:after="0" w:line="240" w:lineRule="auto"/>
              <w:jc w:val="both"/>
              <w:rPr>
                <w:rFonts w:ascii="Times New Roman" w:hAnsi="Times New Roman"/>
                <w:sz w:val="24"/>
                <w:szCs w:val="24"/>
              </w:rPr>
            </w:pPr>
            <w:r w:rsidRPr="00BB1ECD">
              <w:rPr>
                <w:rFonts w:ascii="Times New Roman" w:hAnsi="Times New Roman"/>
                <w:sz w:val="24"/>
                <w:szCs w:val="24"/>
              </w:rPr>
              <w:t>Nav.</w:t>
            </w:r>
          </w:p>
        </w:tc>
      </w:tr>
    </w:tbl>
    <w:p w14:paraId="7B30A408" w14:textId="77777777" w:rsidR="00DA7279" w:rsidRPr="00E86332" w:rsidRDefault="00DA7279"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426FFF" w:rsidRPr="00E86332" w14:paraId="09D985DF" w14:textId="77777777" w:rsidTr="00533840">
        <w:trPr>
          <w:cantSplit/>
          <w:trHeight w:val="443"/>
        </w:trPr>
        <w:tc>
          <w:tcPr>
            <w:tcW w:w="5000" w:type="pct"/>
            <w:gridSpan w:val="3"/>
            <w:vAlign w:val="center"/>
            <w:hideMark/>
          </w:tcPr>
          <w:p w14:paraId="1411CC5B" w14:textId="77777777"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VII. Tiesību akta projekta izpildes nodrošināšana un tās ietekme uz institūcijām</w:t>
            </w:r>
          </w:p>
        </w:tc>
      </w:tr>
      <w:tr w:rsidR="00464086" w:rsidRPr="00E86332" w14:paraId="43ABDC9E" w14:textId="77777777" w:rsidTr="00533840">
        <w:trPr>
          <w:cantSplit/>
        </w:trPr>
        <w:tc>
          <w:tcPr>
            <w:tcW w:w="306" w:type="pct"/>
            <w:hideMark/>
          </w:tcPr>
          <w:p w14:paraId="78F16212" w14:textId="77777777"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55" w:type="pct"/>
            <w:hideMark/>
          </w:tcPr>
          <w:p w14:paraId="5F4C573B" w14:textId="77777777" w:rsidR="00464086" w:rsidRPr="009D74B8" w:rsidRDefault="00464086" w:rsidP="00E86332">
            <w:pPr>
              <w:spacing w:after="0" w:line="240" w:lineRule="auto"/>
              <w:jc w:val="both"/>
              <w:rPr>
                <w:rFonts w:ascii="Times New Roman" w:hAnsi="Times New Roman"/>
                <w:sz w:val="24"/>
                <w:szCs w:val="24"/>
              </w:rPr>
            </w:pPr>
            <w:r w:rsidRPr="009D74B8">
              <w:rPr>
                <w:rFonts w:ascii="Times New Roman" w:hAnsi="Times New Roman"/>
                <w:sz w:val="24"/>
                <w:szCs w:val="24"/>
              </w:rPr>
              <w:t>Projekta izpildē iesaistītās institūcijas</w:t>
            </w:r>
          </w:p>
        </w:tc>
        <w:tc>
          <w:tcPr>
            <w:tcW w:w="3239" w:type="pct"/>
            <w:hideMark/>
          </w:tcPr>
          <w:p w14:paraId="0EBB54AB" w14:textId="77777777" w:rsidR="00464086" w:rsidRPr="009D74B8" w:rsidRDefault="00E122E6" w:rsidP="00A44287">
            <w:pPr>
              <w:spacing w:after="0" w:line="240" w:lineRule="auto"/>
              <w:jc w:val="both"/>
              <w:rPr>
                <w:rFonts w:ascii="Times New Roman" w:hAnsi="Times New Roman"/>
                <w:sz w:val="24"/>
                <w:szCs w:val="24"/>
              </w:rPr>
            </w:pPr>
            <w:r w:rsidRPr="009D74B8">
              <w:rPr>
                <w:rFonts w:ascii="Times New Roman" w:hAnsi="Times New Roman"/>
                <w:sz w:val="24"/>
                <w:szCs w:val="24"/>
              </w:rPr>
              <w:t>Valsts policija</w:t>
            </w:r>
          </w:p>
        </w:tc>
      </w:tr>
      <w:tr w:rsidR="00464086" w:rsidRPr="00E86332" w14:paraId="57163F54" w14:textId="77777777" w:rsidTr="00533840">
        <w:trPr>
          <w:cantSplit/>
        </w:trPr>
        <w:tc>
          <w:tcPr>
            <w:tcW w:w="306" w:type="pct"/>
            <w:hideMark/>
          </w:tcPr>
          <w:p w14:paraId="333B7197" w14:textId="77777777"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55" w:type="pct"/>
            <w:hideMark/>
          </w:tcPr>
          <w:p w14:paraId="0A817FAE" w14:textId="77777777"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izpildes ietekme uz pārvaldes funkcijām un institucionālo struktūru.</w:t>
            </w:r>
            <w:r w:rsidRPr="00E86332">
              <w:rPr>
                <w:rFonts w:ascii="Times New Roman" w:hAnsi="Times New Roman"/>
                <w:sz w:val="24"/>
                <w:szCs w:val="24"/>
              </w:rPr>
              <w:br/>
              <w:t>Jaunu institūciju izveide, esošu institūciju likvidācija vai reorganizācija, to ietekme uz institūcijas cilvēkresursiem</w:t>
            </w:r>
          </w:p>
        </w:tc>
        <w:tc>
          <w:tcPr>
            <w:tcW w:w="3239" w:type="pct"/>
            <w:hideMark/>
          </w:tcPr>
          <w:p w14:paraId="250BF72D" w14:textId="77777777" w:rsidR="00464086" w:rsidRPr="00E86332" w:rsidRDefault="005D05FC" w:rsidP="00E86332">
            <w:pPr>
              <w:spacing w:after="0" w:line="240" w:lineRule="auto"/>
              <w:jc w:val="both"/>
              <w:rPr>
                <w:rFonts w:ascii="Times New Roman" w:hAnsi="Times New Roman"/>
                <w:sz w:val="24"/>
                <w:szCs w:val="24"/>
              </w:rPr>
            </w:pPr>
            <w:r w:rsidRPr="00D015E3">
              <w:rPr>
                <w:rFonts w:ascii="Times New Roman" w:hAnsi="Times New Roman"/>
                <w:sz w:val="24"/>
                <w:szCs w:val="24"/>
              </w:rPr>
              <w:t>Projekta izpildes rezultātā nav paredzēta esošu institūciju likvidācija vai reorganizācija. Iestāžu institucio</w:t>
            </w:r>
            <w:r>
              <w:rPr>
                <w:rFonts w:ascii="Times New Roman" w:hAnsi="Times New Roman"/>
                <w:sz w:val="24"/>
                <w:szCs w:val="24"/>
              </w:rPr>
              <w:t>nālā struktūra netiek ietekmēta</w:t>
            </w:r>
            <w:r w:rsidRPr="00487A7A">
              <w:rPr>
                <w:rFonts w:ascii="Times New Roman" w:hAnsi="Times New Roman"/>
                <w:sz w:val="24"/>
                <w:szCs w:val="24"/>
              </w:rPr>
              <w:t>.</w:t>
            </w:r>
          </w:p>
        </w:tc>
      </w:tr>
      <w:tr w:rsidR="00426FFF" w:rsidRPr="00E86332" w14:paraId="5687981A" w14:textId="77777777" w:rsidTr="00533840">
        <w:trPr>
          <w:cantSplit/>
        </w:trPr>
        <w:tc>
          <w:tcPr>
            <w:tcW w:w="306" w:type="pct"/>
            <w:hideMark/>
          </w:tcPr>
          <w:p w14:paraId="0B886C62"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55" w:type="pct"/>
            <w:hideMark/>
          </w:tcPr>
          <w:p w14:paraId="0BB2B08A"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14:paraId="612B55CE" w14:textId="77777777"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14:paraId="2AE2F63D" w14:textId="77777777" w:rsidR="00EF0342" w:rsidRPr="00E86332" w:rsidRDefault="00EF0342" w:rsidP="00E86332">
      <w:pPr>
        <w:spacing w:after="0" w:line="240" w:lineRule="auto"/>
        <w:jc w:val="both"/>
        <w:rPr>
          <w:rFonts w:ascii="Times New Roman" w:eastAsia="Times New Roman" w:hAnsi="Times New Roman"/>
          <w:sz w:val="24"/>
          <w:szCs w:val="24"/>
          <w:lang w:eastAsia="lv-LV"/>
        </w:rPr>
      </w:pPr>
    </w:p>
    <w:p w14:paraId="600D3F00" w14:textId="77777777" w:rsidR="00EF107A" w:rsidRPr="00E86332" w:rsidRDefault="00EF107A" w:rsidP="00E86332">
      <w:pPr>
        <w:spacing w:after="0" w:line="240" w:lineRule="auto"/>
        <w:jc w:val="both"/>
        <w:rPr>
          <w:rFonts w:ascii="Times New Roman" w:hAnsi="Times New Roman"/>
          <w:sz w:val="24"/>
          <w:szCs w:val="24"/>
        </w:rPr>
      </w:pPr>
    </w:p>
    <w:p w14:paraId="7736CFB8" w14:textId="07579605" w:rsidR="006D3B45" w:rsidRPr="00E86332" w:rsidRDefault="006D7CB1" w:rsidP="00E86332">
      <w:pPr>
        <w:spacing w:after="0" w:line="240" w:lineRule="auto"/>
        <w:jc w:val="both"/>
        <w:rPr>
          <w:rFonts w:ascii="Times New Roman" w:hAnsi="Times New Roman"/>
          <w:sz w:val="24"/>
          <w:szCs w:val="24"/>
        </w:rPr>
      </w:pPr>
      <w:proofErr w:type="spellStart"/>
      <w:r>
        <w:rPr>
          <w:rFonts w:ascii="Times New Roman" w:hAnsi="Times New Roman"/>
          <w:sz w:val="24"/>
          <w:szCs w:val="24"/>
        </w:rPr>
        <w:t>Iekšlietu</w:t>
      </w:r>
      <w:proofErr w:type="spellEnd"/>
      <w:r>
        <w:rPr>
          <w:rFonts w:ascii="Times New Roman" w:hAnsi="Times New Roman"/>
          <w:sz w:val="24"/>
          <w:szCs w:val="24"/>
        </w:rPr>
        <w:t xml:space="preserve"> ministre</w:t>
      </w:r>
      <w:r w:rsidR="006D3B45" w:rsidRPr="00E86332">
        <w:rPr>
          <w:rFonts w:ascii="Times New Roman" w:hAnsi="Times New Roman"/>
          <w:sz w:val="24"/>
          <w:szCs w:val="24"/>
        </w:rPr>
        <w:tab/>
      </w:r>
      <w:r w:rsidR="006D3B45" w:rsidRPr="00E86332">
        <w:rPr>
          <w:rFonts w:ascii="Times New Roman" w:hAnsi="Times New Roman"/>
          <w:sz w:val="24"/>
          <w:szCs w:val="24"/>
        </w:rPr>
        <w:tab/>
      </w:r>
      <w:r w:rsidR="006D3B45" w:rsidRPr="00E86332">
        <w:rPr>
          <w:rFonts w:ascii="Times New Roman" w:hAnsi="Times New Roman"/>
          <w:sz w:val="24"/>
          <w:szCs w:val="24"/>
        </w:rPr>
        <w:tab/>
      </w:r>
      <w:r w:rsidR="006D3B45" w:rsidRPr="00E86332">
        <w:rPr>
          <w:rFonts w:ascii="Times New Roman" w:hAnsi="Times New Roman"/>
          <w:sz w:val="24"/>
          <w:szCs w:val="24"/>
        </w:rPr>
        <w:tab/>
      </w:r>
      <w:r w:rsidR="006D3B45" w:rsidRPr="00E86332">
        <w:rPr>
          <w:rFonts w:ascii="Times New Roman" w:hAnsi="Times New Roman"/>
          <w:sz w:val="24"/>
          <w:szCs w:val="24"/>
        </w:rPr>
        <w:tab/>
      </w:r>
      <w:r w:rsidR="006D3B45" w:rsidRPr="00E86332">
        <w:rPr>
          <w:rFonts w:ascii="Times New Roman" w:hAnsi="Times New Roman"/>
          <w:sz w:val="24"/>
          <w:szCs w:val="24"/>
        </w:rPr>
        <w:tab/>
      </w:r>
      <w:r w:rsidR="006D3B45" w:rsidRPr="00E86332">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M.Golubeva</w:t>
      </w:r>
      <w:proofErr w:type="spellEnd"/>
    </w:p>
    <w:p w14:paraId="0CCBB531" w14:textId="77777777" w:rsidR="006D3B45" w:rsidRPr="00E86332" w:rsidRDefault="006D3B45" w:rsidP="00E86332">
      <w:pPr>
        <w:spacing w:after="0" w:line="240" w:lineRule="auto"/>
        <w:jc w:val="both"/>
        <w:rPr>
          <w:rFonts w:ascii="Times New Roman" w:eastAsia="SimSun" w:hAnsi="Times New Roman"/>
          <w:sz w:val="24"/>
          <w:szCs w:val="24"/>
          <w:lang w:eastAsia="zh-CN" w:bidi="he-IL"/>
        </w:rPr>
      </w:pPr>
    </w:p>
    <w:p w14:paraId="7DF2C947" w14:textId="77777777" w:rsidR="00EF0342" w:rsidRPr="00E86332" w:rsidRDefault="00EF0342" w:rsidP="00E86332">
      <w:pPr>
        <w:spacing w:after="0" w:line="240" w:lineRule="auto"/>
        <w:jc w:val="both"/>
        <w:rPr>
          <w:rFonts w:ascii="Times New Roman" w:eastAsia="SimSun" w:hAnsi="Times New Roman"/>
          <w:sz w:val="24"/>
          <w:szCs w:val="24"/>
          <w:lang w:eastAsia="zh-CN" w:bidi="he-IL"/>
        </w:rPr>
      </w:pPr>
    </w:p>
    <w:p w14:paraId="662096A3" w14:textId="77777777" w:rsidR="006D3B45" w:rsidRPr="00E86332" w:rsidRDefault="006D3B45" w:rsidP="00E86332">
      <w:pPr>
        <w:spacing w:after="0" w:line="240" w:lineRule="auto"/>
        <w:jc w:val="both"/>
        <w:rPr>
          <w:rFonts w:ascii="Times New Roman" w:eastAsia="SimSun" w:hAnsi="Times New Roman"/>
          <w:sz w:val="24"/>
          <w:szCs w:val="24"/>
          <w:lang w:eastAsia="zh-CN" w:bidi="he-IL"/>
        </w:rPr>
      </w:pPr>
      <w:r w:rsidRPr="00E86332">
        <w:rPr>
          <w:rFonts w:ascii="Times New Roman" w:eastAsia="SimSun" w:hAnsi="Times New Roman"/>
          <w:sz w:val="24"/>
          <w:szCs w:val="24"/>
          <w:lang w:eastAsia="zh-CN" w:bidi="he-IL"/>
        </w:rPr>
        <w:t>Vīza: Valsts sekretār</w:t>
      </w:r>
      <w:r w:rsidR="00DE743F" w:rsidRPr="00E86332">
        <w:rPr>
          <w:rFonts w:ascii="Times New Roman" w:eastAsia="SimSun" w:hAnsi="Times New Roman"/>
          <w:sz w:val="24"/>
          <w:szCs w:val="24"/>
          <w:lang w:eastAsia="zh-CN" w:bidi="he-IL"/>
        </w:rPr>
        <w:t>s</w:t>
      </w:r>
      <w:r w:rsidR="00DE743F"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proofErr w:type="spellStart"/>
      <w:r w:rsidR="007046EB" w:rsidRPr="00E86332">
        <w:rPr>
          <w:rFonts w:ascii="Times New Roman" w:eastAsia="SimSun" w:hAnsi="Times New Roman"/>
          <w:sz w:val="24"/>
          <w:szCs w:val="24"/>
          <w:lang w:eastAsia="zh-CN" w:bidi="he-IL"/>
        </w:rPr>
        <w:t>D.Trofimovs</w:t>
      </w:r>
      <w:proofErr w:type="spellEnd"/>
      <w:r w:rsidRPr="00E86332">
        <w:rPr>
          <w:rFonts w:ascii="Times New Roman" w:eastAsia="SimSun" w:hAnsi="Times New Roman"/>
          <w:sz w:val="24"/>
          <w:szCs w:val="24"/>
          <w:lang w:eastAsia="zh-CN" w:bidi="he-IL"/>
        </w:rPr>
        <w:t xml:space="preserve"> </w:t>
      </w:r>
    </w:p>
    <w:p w14:paraId="0B3FD026" w14:textId="77777777" w:rsidR="00EF0342" w:rsidRPr="00E86332" w:rsidRDefault="00EF0342" w:rsidP="00E86332">
      <w:pPr>
        <w:spacing w:after="0" w:line="240" w:lineRule="auto"/>
        <w:jc w:val="both"/>
        <w:rPr>
          <w:rFonts w:ascii="Times New Roman" w:eastAsia="SimSun" w:hAnsi="Times New Roman"/>
          <w:sz w:val="24"/>
          <w:szCs w:val="24"/>
          <w:lang w:eastAsia="zh-CN" w:bidi="he-IL"/>
        </w:rPr>
      </w:pPr>
    </w:p>
    <w:p w14:paraId="685D4F22" w14:textId="454D469D" w:rsidR="00D36DEC" w:rsidRDefault="00D36DEC" w:rsidP="00E86332">
      <w:pPr>
        <w:spacing w:after="0" w:line="240" w:lineRule="auto"/>
        <w:jc w:val="both"/>
        <w:rPr>
          <w:rFonts w:ascii="Times New Roman" w:eastAsia="SimSun" w:hAnsi="Times New Roman"/>
          <w:sz w:val="24"/>
          <w:szCs w:val="24"/>
          <w:lang w:eastAsia="zh-CN" w:bidi="he-IL"/>
        </w:rPr>
      </w:pPr>
    </w:p>
    <w:p w14:paraId="409ACA01" w14:textId="77777777" w:rsidR="00FB1E2B" w:rsidRPr="00AE089B" w:rsidRDefault="00FB1E2B" w:rsidP="00E86332">
      <w:pPr>
        <w:spacing w:after="0" w:line="240" w:lineRule="auto"/>
        <w:jc w:val="both"/>
        <w:rPr>
          <w:rFonts w:ascii="Times New Roman" w:eastAsia="SimSun" w:hAnsi="Times New Roman"/>
          <w:sz w:val="20"/>
          <w:szCs w:val="20"/>
          <w:lang w:eastAsia="zh-CN" w:bidi="he-IL"/>
        </w:rPr>
      </w:pPr>
    </w:p>
    <w:p w14:paraId="5EB1C27C" w14:textId="77777777" w:rsidR="00AE089B" w:rsidRPr="00AE089B" w:rsidRDefault="00AE089B" w:rsidP="00E86332">
      <w:pPr>
        <w:spacing w:after="0" w:line="240" w:lineRule="auto"/>
        <w:jc w:val="both"/>
        <w:rPr>
          <w:rFonts w:ascii="Times New Roman" w:eastAsia="SimSun" w:hAnsi="Times New Roman"/>
          <w:sz w:val="20"/>
          <w:szCs w:val="20"/>
          <w:lang w:eastAsia="zh-CN" w:bidi="he-IL"/>
        </w:rPr>
      </w:pPr>
      <w:r w:rsidRPr="00AE089B">
        <w:rPr>
          <w:rFonts w:ascii="Times New Roman" w:eastAsia="SimSun" w:hAnsi="Times New Roman"/>
          <w:sz w:val="20"/>
          <w:szCs w:val="20"/>
          <w:lang w:eastAsia="zh-CN" w:bidi="he-IL"/>
        </w:rPr>
        <w:t>Pavļuka, 67219584</w:t>
      </w:r>
    </w:p>
    <w:p w14:paraId="647F07E8" w14:textId="59803A69" w:rsidR="00E73BDF" w:rsidRDefault="00C709C4" w:rsidP="00E86332">
      <w:pPr>
        <w:spacing w:after="0" w:line="240" w:lineRule="auto"/>
        <w:jc w:val="both"/>
        <w:rPr>
          <w:rFonts w:ascii="Times New Roman" w:eastAsia="SimSun" w:hAnsi="Times New Roman"/>
          <w:sz w:val="20"/>
          <w:szCs w:val="20"/>
          <w:lang w:eastAsia="zh-CN" w:bidi="he-IL"/>
        </w:rPr>
      </w:pPr>
      <w:hyperlink r:id="rId10" w:history="1">
        <w:r w:rsidR="00762330" w:rsidRPr="00AE089B">
          <w:rPr>
            <w:rStyle w:val="Hyperlink"/>
            <w:rFonts w:ascii="Times New Roman" w:eastAsia="SimSun" w:hAnsi="Times New Roman"/>
            <w:color w:val="auto"/>
            <w:sz w:val="20"/>
            <w:szCs w:val="20"/>
            <w:u w:val="none"/>
            <w:lang w:eastAsia="zh-CN" w:bidi="he-IL"/>
          </w:rPr>
          <w:t>olesja.pavluka@iem.gov.lv</w:t>
        </w:r>
      </w:hyperlink>
      <w:r w:rsidR="00762330" w:rsidRPr="00AE089B">
        <w:rPr>
          <w:rFonts w:ascii="Times New Roman" w:eastAsia="SimSun" w:hAnsi="Times New Roman"/>
          <w:sz w:val="20"/>
          <w:szCs w:val="20"/>
          <w:lang w:eastAsia="zh-CN" w:bidi="he-IL"/>
        </w:rPr>
        <w:t xml:space="preserve"> </w:t>
      </w:r>
      <w:r w:rsidR="00381947" w:rsidRPr="00AE089B">
        <w:rPr>
          <w:rFonts w:ascii="Times New Roman" w:hAnsi="Times New Roman"/>
          <w:sz w:val="20"/>
          <w:szCs w:val="20"/>
        </w:rPr>
        <w:tab/>
      </w:r>
    </w:p>
    <w:p w14:paraId="26005CE2" w14:textId="572ECCDC" w:rsidR="00F819BE" w:rsidRPr="0091703B" w:rsidRDefault="0091703B" w:rsidP="0091703B">
      <w:pPr>
        <w:tabs>
          <w:tab w:val="left" w:pos="1755"/>
          <w:tab w:val="left" w:pos="2040"/>
        </w:tabs>
        <w:rPr>
          <w:rFonts w:ascii="Times New Roman" w:eastAsia="SimSun" w:hAnsi="Times New Roman"/>
          <w:sz w:val="20"/>
          <w:szCs w:val="20"/>
          <w:lang w:eastAsia="zh-CN" w:bidi="he-IL"/>
        </w:rPr>
      </w:pPr>
      <w:r>
        <w:rPr>
          <w:rFonts w:ascii="Times New Roman" w:eastAsia="SimSun" w:hAnsi="Times New Roman"/>
          <w:sz w:val="20"/>
          <w:szCs w:val="20"/>
          <w:lang w:eastAsia="zh-CN" w:bidi="he-IL"/>
        </w:rPr>
        <w:tab/>
      </w:r>
      <w:r>
        <w:rPr>
          <w:rFonts w:ascii="Times New Roman" w:eastAsia="SimSun" w:hAnsi="Times New Roman"/>
          <w:sz w:val="20"/>
          <w:szCs w:val="20"/>
          <w:lang w:eastAsia="zh-CN" w:bidi="he-IL"/>
        </w:rPr>
        <w:tab/>
      </w:r>
    </w:p>
    <w:sectPr w:rsidR="00F819BE" w:rsidRPr="0091703B" w:rsidSect="00102A09">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347D11" w16cid:durableId="23CE14A0"/>
  <w16cid:commentId w16cid:paraId="72FA174D" w16cid:durableId="23CE14A1"/>
  <w16cid:commentId w16cid:paraId="7438A94B" w16cid:durableId="23CE14A2"/>
  <w16cid:commentId w16cid:paraId="5EA2958A" w16cid:durableId="23CE14A3"/>
  <w16cid:commentId w16cid:paraId="2E68AC32" w16cid:durableId="23CE14A4"/>
  <w16cid:commentId w16cid:paraId="05475EAF" w16cid:durableId="23CE14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072C" w14:textId="77777777" w:rsidR="0060753E" w:rsidRDefault="0060753E">
      <w:pPr>
        <w:spacing w:after="0" w:line="240" w:lineRule="auto"/>
      </w:pPr>
      <w:r>
        <w:separator/>
      </w:r>
    </w:p>
  </w:endnote>
  <w:endnote w:type="continuationSeparator" w:id="0">
    <w:p w14:paraId="0EB5F304" w14:textId="77777777" w:rsidR="0060753E" w:rsidRDefault="0060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6B5C" w14:textId="27EE921A" w:rsidR="0060753E" w:rsidRPr="00FB6743" w:rsidRDefault="0060753E" w:rsidP="00FB6743">
    <w:pPr>
      <w:pStyle w:val="Footer"/>
      <w:jc w:val="both"/>
      <w:rPr>
        <w:rFonts w:ascii="Times New Roman" w:hAnsi="Times New Roman"/>
        <w:sz w:val="20"/>
        <w:szCs w:val="20"/>
      </w:rPr>
    </w:pPr>
    <w:r>
      <w:rPr>
        <w:rFonts w:ascii="Times New Roman" w:hAnsi="Times New Roman"/>
        <w:sz w:val="20"/>
        <w:szCs w:val="20"/>
      </w:rPr>
      <w:t>IE</w:t>
    </w:r>
    <w:r w:rsidRPr="00E526A7">
      <w:rPr>
        <w:rFonts w:ascii="Times New Roman" w:hAnsi="Times New Roman"/>
        <w:sz w:val="20"/>
        <w:szCs w:val="20"/>
      </w:rPr>
      <w:t>MAnot_</w:t>
    </w:r>
    <w:r>
      <w:rPr>
        <w:rFonts w:ascii="Times New Roman" w:hAnsi="Times New Roman"/>
        <w:sz w:val="20"/>
        <w:szCs w:val="20"/>
      </w:rPr>
      <w:t>14062021_prekursori</w:t>
    </w:r>
    <w:r w:rsidRPr="00E526A7">
      <w:rPr>
        <w:rFonts w:ascii="Times New Roman" w:hAnsi="Times New Roman"/>
        <w:sz w:val="20"/>
        <w:szCs w:val="20"/>
      </w:rPr>
      <w:t xml:space="preserve">; </w:t>
    </w:r>
    <w:r w:rsidRPr="00FE7429">
      <w:rPr>
        <w:rFonts w:ascii="Times New Roman" w:hAnsi="Times New Roman"/>
        <w:sz w:val="20"/>
        <w:szCs w:val="20"/>
      </w:rPr>
      <w:t>Likumprojekta „</w:t>
    </w:r>
    <w:r w:rsidRPr="00FB6743">
      <w:rPr>
        <w:rFonts w:ascii="Times New Roman" w:hAnsi="Times New Roman"/>
        <w:sz w:val="20"/>
        <w:szCs w:val="20"/>
      </w:rPr>
      <w:t>Grozījumi Administratīvo sodu likumā par pārkāpumiem pārvaldes, sabiedriskās kārtības un valsts valodas lietošanas jomā</w:t>
    </w:r>
    <w:r w:rsidRPr="00FE7429">
      <w:rPr>
        <w:rFonts w:ascii="Times New Roman" w:hAnsi="Times New Roman"/>
        <w:sz w:val="20"/>
        <w:szCs w:val="20"/>
      </w:rPr>
      <w:t xml:space="preserve">” </w:t>
    </w:r>
    <w:r w:rsidRPr="00E526A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E526A7">
        <w:rPr>
          <w:rFonts w:ascii="Times New Roman" w:hAnsi="Times New Roman"/>
          <w:bCs/>
          <w:sz w:val="20"/>
          <w:szCs w:val="20"/>
        </w:rPr>
        <w:t>ziņojums</w:t>
      </w:r>
    </w:smartTag>
    <w:r w:rsidRPr="00E526A7">
      <w:rPr>
        <w:rFonts w:ascii="Times New Roman" w:hAnsi="Times New Roman"/>
        <w:bCs/>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44AE" w14:textId="0667C850" w:rsidR="0060753E" w:rsidRPr="00DE743F" w:rsidRDefault="0060753E" w:rsidP="00DE743F">
    <w:pPr>
      <w:pStyle w:val="Footer"/>
      <w:jc w:val="both"/>
      <w:rPr>
        <w:rFonts w:ascii="Times New Roman" w:hAnsi="Times New Roman"/>
        <w:sz w:val="20"/>
        <w:szCs w:val="20"/>
      </w:rPr>
    </w:pPr>
    <w:r>
      <w:rPr>
        <w:rFonts w:ascii="Times New Roman" w:hAnsi="Times New Roman"/>
        <w:sz w:val="20"/>
        <w:szCs w:val="20"/>
      </w:rPr>
      <w:t>IE</w:t>
    </w:r>
    <w:r w:rsidRPr="00E526A7">
      <w:rPr>
        <w:rFonts w:ascii="Times New Roman" w:hAnsi="Times New Roman"/>
        <w:sz w:val="20"/>
        <w:szCs w:val="20"/>
      </w:rPr>
      <w:t>MAnot_</w:t>
    </w:r>
    <w:r>
      <w:rPr>
        <w:rFonts w:ascii="Times New Roman" w:hAnsi="Times New Roman"/>
        <w:sz w:val="20"/>
        <w:szCs w:val="20"/>
      </w:rPr>
      <w:t>14062021_prekursori</w:t>
    </w:r>
    <w:r w:rsidRPr="00E526A7">
      <w:rPr>
        <w:rFonts w:ascii="Times New Roman" w:hAnsi="Times New Roman"/>
        <w:sz w:val="20"/>
        <w:szCs w:val="20"/>
      </w:rPr>
      <w:t xml:space="preserve">; </w:t>
    </w:r>
    <w:r w:rsidRPr="00FE7429">
      <w:rPr>
        <w:rFonts w:ascii="Times New Roman" w:hAnsi="Times New Roman"/>
        <w:sz w:val="20"/>
        <w:szCs w:val="20"/>
      </w:rPr>
      <w:t>Likumprojekta „</w:t>
    </w:r>
    <w:r w:rsidRPr="00FB6743">
      <w:rPr>
        <w:rFonts w:ascii="Times New Roman" w:hAnsi="Times New Roman"/>
        <w:sz w:val="20"/>
        <w:szCs w:val="20"/>
      </w:rPr>
      <w:t>Grozījumi Administratīvo sodu likumā par pārkāpumiem pārvaldes, sabiedriskās kārtības un valsts valodas lietošanas jomā</w:t>
    </w:r>
    <w:r w:rsidRPr="00FE7429">
      <w:rPr>
        <w:rFonts w:ascii="Times New Roman" w:hAnsi="Times New Roman"/>
        <w:sz w:val="20"/>
        <w:szCs w:val="20"/>
      </w:rPr>
      <w:t xml:space="preserve">” </w:t>
    </w:r>
    <w:r w:rsidRPr="00E526A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E526A7">
        <w:rPr>
          <w:rFonts w:ascii="Times New Roman" w:hAnsi="Times New Roman"/>
          <w:bCs/>
          <w:sz w:val="20"/>
          <w:szCs w:val="20"/>
        </w:rPr>
        <w:t>ziņojums</w:t>
      </w:r>
    </w:smartTag>
    <w:r w:rsidRPr="00E526A7">
      <w:rPr>
        <w:rFonts w:ascii="Times New Roman" w:hAnsi="Times New Roman"/>
        <w:bCs/>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34F3" w14:textId="77777777" w:rsidR="0060753E" w:rsidRDefault="0060753E">
      <w:pPr>
        <w:spacing w:after="0" w:line="240" w:lineRule="auto"/>
      </w:pPr>
      <w:r>
        <w:separator/>
      </w:r>
    </w:p>
  </w:footnote>
  <w:footnote w:type="continuationSeparator" w:id="0">
    <w:p w14:paraId="44BD4DC3" w14:textId="77777777" w:rsidR="0060753E" w:rsidRDefault="0060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7355"/>
      <w:docPartObj>
        <w:docPartGallery w:val="Page Numbers (Top of Page)"/>
        <w:docPartUnique/>
      </w:docPartObj>
    </w:sdtPr>
    <w:sdtEndPr>
      <w:rPr>
        <w:noProof/>
      </w:rPr>
    </w:sdtEndPr>
    <w:sdtContent>
      <w:p w14:paraId="124D8379" w14:textId="5CE4D4A2" w:rsidR="0060753E" w:rsidRDefault="0060753E">
        <w:pPr>
          <w:pStyle w:val="Header"/>
          <w:jc w:val="center"/>
        </w:pPr>
        <w:r>
          <w:fldChar w:fldCharType="begin"/>
        </w:r>
        <w:r>
          <w:instrText xml:space="preserve"> PAGE   \* MERGEFORMAT </w:instrText>
        </w:r>
        <w:r>
          <w:fldChar w:fldCharType="separate"/>
        </w:r>
        <w:r w:rsidR="00C709C4">
          <w:rPr>
            <w:noProof/>
          </w:rPr>
          <w:t>4</w:t>
        </w:r>
        <w:r>
          <w:rPr>
            <w:noProof/>
          </w:rPr>
          <w:fldChar w:fldCharType="end"/>
        </w:r>
      </w:p>
    </w:sdtContent>
  </w:sdt>
  <w:p w14:paraId="29BB2B17" w14:textId="77777777" w:rsidR="0060753E" w:rsidRDefault="0060753E" w:rsidP="0089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6C8C"/>
    <w:multiLevelType w:val="hybridMultilevel"/>
    <w:tmpl w:val="7FBCE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5A5774"/>
    <w:multiLevelType w:val="hybridMultilevel"/>
    <w:tmpl w:val="744AAB7A"/>
    <w:lvl w:ilvl="0" w:tplc="CEC603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574B72"/>
    <w:multiLevelType w:val="hybridMultilevel"/>
    <w:tmpl w:val="C7A22136"/>
    <w:lvl w:ilvl="0" w:tplc="22A6BD90">
      <w:numFmt w:val="bullet"/>
      <w:lvlText w:val="-"/>
      <w:lvlJc w:val="left"/>
      <w:pPr>
        <w:ind w:left="1080" w:hanging="360"/>
      </w:pPr>
      <w:rPr>
        <w:rFonts w:ascii="Times New Roman" w:eastAsia="Calibri"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5"/>
    <w:rsid w:val="00014368"/>
    <w:rsid w:val="000239CD"/>
    <w:rsid w:val="00031DB7"/>
    <w:rsid w:val="000365DF"/>
    <w:rsid w:val="0003687F"/>
    <w:rsid w:val="00045EF5"/>
    <w:rsid w:val="00056302"/>
    <w:rsid w:val="00064B68"/>
    <w:rsid w:val="00065682"/>
    <w:rsid w:val="00071DD8"/>
    <w:rsid w:val="00074C0F"/>
    <w:rsid w:val="00082D09"/>
    <w:rsid w:val="000913D6"/>
    <w:rsid w:val="0009145F"/>
    <w:rsid w:val="000A2476"/>
    <w:rsid w:val="000A37CE"/>
    <w:rsid w:val="000A38C4"/>
    <w:rsid w:val="000A4C4F"/>
    <w:rsid w:val="000A6F21"/>
    <w:rsid w:val="000B4B08"/>
    <w:rsid w:val="000B4E9B"/>
    <w:rsid w:val="000B682A"/>
    <w:rsid w:val="000C1A66"/>
    <w:rsid w:val="000C683A"/>
    <w:rsid w:val="000D46E2"/>
    <w:rsid w:val="000F13B1"/>
    <w:rsid w:val="000F3423"/>
    <w:rsid w:val="000F544A"/>
    <w:rsid w:val="000F5CB7"/>
    <w:rsid w:val="000F7439"/>
    <w:rsid w:val="00102A09"/>
    <w:rsid w:val="001071F2"/>
    <w:rsid w:val="00110E23"/>
    <w:rsid w:val="0014765C"/>
    <w:rsid w:val="00147D4D"/>
    <w:rsid w:val="001526DE"/>
    <w:rsid w:val="001536A0"/>
    <w:rsid w:val="00161D1E"/>
    <w:rsid w:val="00174659"/>
    <w:rsid w:val="001857CC"/>
    <w:rsid w:val="00187C35"/>
    <w:rsid w:val="00197064"/>
    <w:rsid w:val="001A6B60"/>
    <w:rsid w:val="001B224A"/>
    <w:rsid w:val="001C6878"/>
    <w:rsid w:val="001D6D66"/>
    <w:rsid w:val="001E7F42"/>
    <w:rsid w:val="001F5532"/>
    <w:rsid w:val="002010DC"/>
    <w:rsid w:val="00204606"/>
    <w:rsid w:val="00204E4A"/>
    <w:rsid w:val="002072DB"/>
    <w:rsid w:val="00220799"/>
    <w:rsid w:val="0022182B"/>
    <w:rsid w:val="00224177"/>
    <w:rsid w:val="002276E9"/>
    <w:rsid w:val="002333C9"/>
    <w:rsid w:val="002343EA"/>
    <w:rsid w:val="00236BA1"/>
    <w:rsid w:val="002459D8"/>
    <w:rsid w:val="00255119"/>
    <w:rsid w:val="00262EDE"/>
    <w:rsid w:val="00267D2A"/>
    <w:rsid w:val="00271DFD"/>
    <w:rsid w:val="00275AE3"/>
    <w:rsid w:val="002A699B"/>
    <w:rsid w:val="002B5EB3"/>
    <w:rsid w:val="002B734B"/>
    <w:rsid w:val="002C29E0"/>
    <w:rsid w:val="002C39D6"/>
    <w:rsid w:val="002C6B29"/>
    <w:rsid w:val="002D0F93"/>
    <w:rsid w:val="002D50E5"/>
    <w:rsid w:val="002F0995"/>
    <w:rsid w:val="002F1E53"/>
    <w:rsid w:val="002F519F"/>
    <w:rsid w:val="002F6BB8"/>
    <w:rsid w:val="00315E35"/>
    <w:rsid w:val="00326C4C"/>
    <w:rsid w:val="00327603"/>
    <w:rsid w:val="00345187"/>
    <w:rsid w:val="00353365"/>
    <w:rsid w:val="003604E8"/>
    <w:rsid w:val="00361FEB"/>
    <w:rsid w:val="0037060A"/>
    <w:rsid w:val="00372D12"/>
    <w:rsid w:val="00381947"/>
    <w:rsid w:val="00390858"/>
    <w:rsid w:val="00390DD2"/>
    <w:rsid w:val="003A575B"/>
    <w:rsid w:val="003A6C2C"/>
    <w:rsid w:val="003C0D86"/>
    <w:rsid w:val="003C139D"/>
    <w:rsid w:val="003D2D0C"/>
    <w:rsid w:val="003D3E95"/>
    <w:rsid w:val="003D7D8A"/>
    <w:rsid w:val="00400415"/>
    <w:rsid w:val="0040131A"/>
    <w:rsid w:val="00414BD0"/>
    <w:rsid w:val="00417D14"/>
    <w:rsid w:val="00426FFF"/>
    <w:rsid w:val="00431697"/>
    <w:rsid w:val="0043356D"/>
    <w:rsid w:val="004344F3"/>
    <w:rsid w:val="00435A7C"/>
    <w:rsid w:val="0043694B"/>
    <w:rsid w:val="00445158"/>
    <w:rsid w:val="00453B07"/>
    <w:rsid w:val="00464086"/>
    <w:rsid w:val="00464F72"/>
    <w:rsid w:val="00473BDC"/>
    <w:rsid w:val="00481211"/>
    <w:rsid w:val="004830D9"/>
    <w:rsid w:val="004862E9"/>
    <w:rsid w:val="004B2A26"/>
    <w:rsid w:val="004C0DDA"/>
    <w:rsid w:val="004D0662"/>
    <w:rsid w:val="004D5661"/>
    <w:rsid w:val="004D6CCD"/>
    <w:rsid w:val="004F1727"/>
    <w:rsid w:val="004F5A42"/>
    <w:rsid w:val="00504586"/>
    <w:rsid w:val="0050639A"/>
    <w:rsid w:val="00513EC2"/>
    <w:rsid w:val="00520D3D"/>
    <w:rsid w:val="00526B45"/>
    <w:rsid w:val="00533840"/>
    <w:rsid w:val="0054056A"/>
    <w:rsid w:val="00587FF1"/>
    <w:rsid w:val="00594B92"/>
    <w:rsid w:val="005958E5"/>
    <w:rsid w:val="005970AF"/>
    <w:rsid w:val="0059771D"/>
    <w:rsid w:val="005A44F7"/>
    <w:rsid w:val="005A56ED"/>
    <w:rsid w:val="005A799C"/>
    <w:rsid w:val="005B01BE"/>
    <w:rsid w:val="005C2209"/>
    <w:rsid w:val="005C26BF"/>
    <w:rsid w:val="005C6225"/>
    <w:rsid w:val="005C6476"/>
    <w:rsid w:val="005D0031"/>
    <w:rsid w:val="005D05FC"/>
    <w:rsid w:val="005E7B15"/>
    <w:rsid w:val="005F31AF"/>
    <w:rsid w:val="005F3CC2"/>
    <w:rsid w:val="005F4909"/>
    <w:rsid w:val="006006A3"/>
    <w:rsid w:val="00600CA6"/>
    <w:rsid w:val="00600DB5"/>
    <w:rsid w:val="00601B5F"/>
    <w:rsid w:val="0060753E"/>
    <w:rsid w:val="006202A6"/>
    <w:rsid w:val="00633CC1"/>
    <w:rsid w:val="00642259"/>
    <w:rsid w:val="00642701"/>
    <w:rsid w:val="00647164"/>
    <w:rsid w:val="006474E4"/>
    <w:rsid w:val="00666002"/>
    <w:rsid w:val="00677352"/>
    <w:rsid w:val="00681C99"/>
    <w:rsid w:val="006858D9"/>
    <w:rsid w:val="006A245D"/>
    <w:rsid w:val="006B147B"/>
    <w:rsid w:val="006B4B53"/>
    <w:rsid w:val="006B5671"/>
    <w:rsid w:val="006D3B45"/>
    <w:rsid w:val="006D7CB1"/>
    <w:rsid w:val="006F46DF"/>
    <w:rsid w:val="00700C75"/>
    <w:rsid w:val="00700D32"/>
    <w:rsid w:val="007046EB"/>
    <w:rsid w:val="007069C9"/>
    <w:rsid w:val="007172B0"/>
    <w:rsid w:val="00721379"/>
    <w:rsid w:val="00722636"/>
    <w:rsid w:val="007269F9"/>
    <w:rsid w:val="00734D17"/>
    <w:rsid w:val="007412E4"/>
    <w:rsid w:val="00754BCF"/>
    <w:rsid w:val="007572FC"/>
    <w:rsid w:val="00762330"/>
    <w:rsid w:val="007666A3"/>
    <w:rsid w:val="0077781C"/>
    <w:rsid w:val="00790875"/>
    <w:rsid w:val="00792AF9"/>
    <w:rsid w:val="007A254D"/>
    <w:rsid w:val="007A3675"/>
    <w:rsid w:val="007B5450"/>
    <w:rsid w:val="007C37B6"/>
    <w:rsid w:val="007C53F9"/>
    <w:rsid w:val="007C6852"/>
    <w:rsid w:val="007E234B"/>
    <w:rsid w:val="007F45F0"/>
    <w:rsid w:val="00800856"/>
    <w:rsid w:val="00802914"/>
    <w:rsid w:val="00810185"/>
    <w:rsid w:val="008109CD"/>
    <w:rsid w:val="00830D5C"/>
    <w:rsid w:val="008367B7"/>
    <w:rsid w:val="008367D9"/>
    <w:rsid w:val="00850310"/>
    <w:rsid w:val="0085150B"/>
    <w:rsid w:val="008703F6"/>
    <w:rsid w:val="00871CF8"/>
    <w:rsid w:val="008734E7"/>
    <w:rsid w:val="0087521C"/>
    <w:rsid w:val="00882AC5"/>
    <w:rsid w:val="00886C1F"/>
    <w:rsid w:val="00886C2E"/>
    <w:rsid w:val="008904E4"/>
    <w:rsid w:val="00892978"/>
    <w:rsid w:val="008B3D98"/>
    <w:rsid w:val="008C7727"/>
    <w:rsid w:val="008C7ABB"/>
    <w:rsid w:val="008E61C9"/>
    <w:rsid w:val="008E77CB"/>
    <w:rsid w:val="008F3AAC"/>
    <w:rsid w:val="0090224A"/>
    <w:rsid w:val="00912CD8"/>
    <w:rsid w:val="009132C0"/>
    <w:rsid w:val="009137A8"/>
    <w:rsid w:val="0091703B"/>
    <w:rsid w:val="00932918"/>
    <w:rsid w:val="00933C12"/>
    <w:rsid w:val="00934FE1"/>
    <w:rsid w:val="00956D32"/>
    <w:rsid w:val="00966162"/>
    <w:rsid w:val="00974EF7"/>
    <w:rsid w:val="0097604D"/>
    <w:rsid w:val="0097611F"/>
    <w:rsid w:val="00995586"/>
    <w:rsid w:val="0099778F"/>
    <w:rsid w:val="009A47B5"/>
    <w:rsid w:val="009B01BF"/>
    <w:rsid w:val="009B389C"/>
    <w:rsid w:val="009B4250"/>
    <w:rsid w:val="009B52FA"/>
    <w:rsid w:val="009C6EE8"/>
    <w:rsid w:val="009D74B8"/>
    <w:rsid w:val="009D768F"/>
    <w:rsid w:val="009E1BEE"/>
    <w:rsid w:val="009E30AC"/>
    <w:rsid w:val="009F1864"/>
    <w:rsid w:val="009F1B0F"/>
    <w:rsid w:val="009F1D22"/>
    <w:rsid w:val="009F648F"/>
    <w:rsid w:val="00A00C3E"/>
    <w:rsid w:val="00A15B71"/>
    <w:rsid w:val="00A21D6A"/>
    <w:rsid w:val="00A262C0"/>
    <w:rsid w:val="00A300BC"/>
    <w:rsid w:val="00A308B4"/>
    <w:rsid w:val="00A3258A"/>
    <w:rsid w:val="00A44287"/>
    <w:rsid w:val="00A50DEA"/>
    <w:rsid w:val="00A55254"/>
    <w:rsid w:val="00A705CE"/>
    <w:rsid w:val="00A73D2A"/>
    <w:rsid w:val="00A865DE"/>
    <w:rsid w:val="00A878D8"/>
    <w:rsid w:val="00A90EA9"/>
    <w:rsid w:val="00A91FF3"/>
    <w:rsid w:val="00AA1B95"/>
    <w:rsid w:val="00AA7B27"/>
    <w:rsid w:val="00AB4E13"/>
    <w:rsid w:val="00AB555B"/>
    <w:rsid w:val="00AC0238"/>
    <w:rsid w:val="00AD155E"/>
    <w:rsid w:val="00AD2E12"/>
    <w:rsid w:val="00AD4AB0"/>
    <w:rsid w:val="00AE089B"/>
    <w:rsid w:val="00AE3A3E"/>
    <w:rsid w:val="00AF37A1"/>
    <w:rsid w:val="00B01C38"/>
    <w:rsid w:val="00B05308"/>
    <w:rsid w:val="00B25053"/>
    <w:rsid w:val="00B3367D"/>
    <w:rsid w:val="00B42BE4"/>
    <w:rsid w:val="00B443AD"/>
    <w:rsid w:val="00B46DE4"/>
    <w:rsid w:val="00B4756E"/>
    <w:rsid w:val="00B512FF"/>
    <w:rsid w:val="00B532E1"/>
    <w:rsid w:val="00B60AB3"/>
    <w:rsid w:val="00B74601"/>
    <w:rsid w:val="00B81CFE"/>
    <w:rsid w:val="00B906C3"/>
    <w:rsid w:val="00B92A39"/>
    <w:rsid w:val="00BA515D"/>
    <w:rsid w:val="00BB1ECD"/>
    <w:rsid w:val="00BB4AC6"/>
    <w:rsid w:val="00BC28FB"/>
    <w:rsid w:val="00BC696F"/>
    <w:rsid w:val="00BD0F4F"/>
    <w:rsid w:val="00BE1543"/>
    <w:rsid w:val="00BE2311"/>
    <w:rsid w:val="00BF33A7"/>
    <w:rsid w:val="00BF76B7"/>
    <w:rsid w:val="00C005FE"/>
    <w:rsid w:val="00C12F4F"/>
    <w:rsid w:val="00C177EF"/>
    <w:rsid w:val="00C2005F"/>
    <w:rsid w:val="00C2475D"/>
    <w:rsid w:val="00C36C1F"/>
    <w:rsid w:val="00C40C04"/>
    <w:rsid w:val="00C46F84"/>
    <w:rsid w:val="00C528BE"/>
    <w:rsid w:val="00C648D5"/>
    <w:rsid w:val="00C66FE3"/>
    <w:rsid w:val="00C709C4"/>
    <w:rsid w:val="00C70B72"/>
    <w:rsid w:val="00C810C1"/>
    <w:rsid w:val="00C90548"/>
    <w:rsid w:val="00C930FC"/>
    <w:rsid w:val="00C96120"/>
    <w:rsid w:val="00CA2366"/>
    <w:rsid w:val="00CC3734"/>
    <w:rsid w:val="00CD03B2"/>
    <w:rsid w:val="00CD25CB"/>
    <w:rsid w:val="00CD2DE5"/>
    <w:rsid w:val="00CD48D9"/>
    <w:rsid w:val="00CD58CB"/>
    <w:rsid w:val="00CE108B"/>
    <w:rsid w:val="00CE473F"/>
    <w:rsid w:val="00D01DE6"/>
    <w:rsid w:val="00D16840"/>
    <w:rsid w:val="00D267AF"/>
    <w:rsid w:val="00D26CF7"/>
    <w:rsid w:val="00D36DEC"/>
    <w:rsid w:val="00D37E5A"/>
    <w:rsid w:val="00D40955"/>
    <w:rsid w:val="00D440DA"/>
    <w:rsid w:val="00D6009B"/>
    <w:rsid w:val="00D638A7"/>
    <w:rsid w:val="00D742BA"/>
    <w:rsid w:val="00D81FC2"/>
    <w:rsid w:val="00D9455E"/>
    <w:rsid w:val="00D9522A"/>
    <w:rsid w:val="00D964E9"/>
    <w:rsid w:val="00DA7279"/>
    <w:rsid w:val="00DB192C"/>
    <w:rsid w:val="00DC1D00"/>
    <w:rsid w:val="00DD037C"/>
    <w:rsid w:val="00DD1222"/>
    <w:rsid w:val="00DE743F"/>
    <w:rsid w:val="00E0218D"/>
    <w:rsid w:val="00E122E6"/>
    <w:rsid w:val="00E25EF1"/>
    <w:rsid w:val="00E30BBA"/>
    <w:rsid w:val="00E42B13"/>
    <w:rsid w:val="00E510C3"/>
    <w:rsid w:val="00E51DC3"/>
    <w:rsid w:val="00E526A7"/>
    <w:rsid w:val="00E562D0"/>
    <w:rsid w:val="00E607C4"/>
    <w:rsid w:val="00E6186C"/>
    <w:rsid w:val="00E73BDF"/>
    <w:rsid w:val="00E741F0"/>
    <w:rsid w:val="00E817ED"/>
    <w:rsid w:val="00E81E62"/>
    <w:rsid w:val="00E842C9"/>
    <w:rsid w:val="00E86332"/>
    <w:rsid w:val="00E919AF"/>
    <w:rsid w:val="00E94499"/>
    <w:rsid w:val="00EA4017"/>
    <w:rsid w:val="00EB5815"/>
    <w:rsid w:val="00EB741D"/>
    <w:rsid w:val="00EB75DC"/>
    <w:rsid w:val="00EC60F9"/>
    <w:rsid w:val="00ED1A63"/>
    <w:rsid w:val="00ED3699"/>
    <w:rsid w:val="00ED4D7A"/>
    <w:rsid w:val="00EE29E0"/>
    <w:rsid w:val="00EE4333"/>
    <w:rsid w:val="00EF0342"/>
    <w:rsid w:val="00EF107A"/>
    <w:rsid w:val="00EF453F"/>
    <w:rsid w:val="00EF53DC"/>
    <w:rsid w:val="00EF5A56"/>
    <w:rsid w:val="00EF7F15"/>
    <w:rsid w:val="00F03080"/>
    <w:rsid w:val="00F03E98"/>
    <w:rsid w:val="00F14A52"/>
    <w:rsid w:val="00F23D9C"/>
    <w:rsid w:val="00F31042"/>
    <w:rsid w:val="00F32A51"/>
    <w:rsid w:val="00F409E2"/>
    <w:rsid w:val="00F51C0A"/>
    <w:rsid w:val="00F5308B"/>
    <w:rsid w:val="00F53A62"/>
    <w:rsid w:val="00F53A90"/>
    <w:rsid w:val="00F55D23"/>
    <w:rsid w:val="00F610C1"/>
    <w:rsid w:val="00F6237F"/>
    <w:rsid w:val="00F72996"/>
    <w:rsid w:val="00F76EB7"/>
    <w:rsid w:val="00F819BE"/>
    <w:rsid w:val="00FA1202"/>
    <w:rsid w:val="00FB1E2B"/>
    <w:rsid w:val="00FB5C89"/>
    <w:rsid w:val="00FB6743"/>
    <w:rsid w:val="00FC17F5"/>
    <w:rsid w:val="00FD2CD9"/>
    <w:rsid w:val="00FD32ED"/>
    <w:rsid w:val="00FD3D06"/>
    <w:rsid w:val="00FD7819"/>
    <w:rsid w:val="00FE0586"/>
    <w:rsid w:val="00FE1814"/>
    <w:rsid w:val="00FE7429"/>
    <w:rsid w:val="00FF0624"/>
    <w:rsid w:val="00FF57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08663064"/>
  <w15:chartTrackingRefBased/>
  <w15:docId w15:val="{6F8AF5E3-5909-48C4-B886-D5F897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C1"/>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4D5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415"/>
    <w:rPr>
      <w:rFonts w:ascii="Calibri" w:eastAsia="Calibri" w:hAnsi="Calibri" w:cs="Times New Roman"/>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4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4D5661"/>
    <w:rPr>
      <w:rFonts w:asciiTheme="majorHAnsi" w:eastAsiaTheme="majorEastAsia" w:hAnsiTheme="majorHAnsi" w:cstheme="majorBidi"/>
      <w:color w:val="1F4D78" w:themeColor="accent1" w:themeShade="7F"/>
      <w:sz w:val="24"/>
      <w:szCs w:val="24"/>
    </w:rPr>
  </w:style>
  <w:style w:type="paragraph" w:customStyle="1" w:styleId="CM1">
    <w:name w:val="CM1"/>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tvhtml">
    <w:name w:val="tv_html"/>
    <w:basedOn w:val="Normal"/>
    <w:rsid w:val="00F0308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03080"/>
  </w:style>
  <w:style w:type="character" w:styleId="Hyperlink">
    <w:name w:val="Hyperlink"/>
    <w:basedOn w:val="DefaultParagraphFont"/>
    <w:uiPriority w:val="99"/>
    <w:unhideWhenUsed/>
    <w:rsid w:val="00F03080"/>
    <w:rPr>
      <w:color w:val="0000FF"/>
      <w:u w:val="single"/>
    </w:rPr>
  </w:style>
  <w:style w:type="paragraph" w:styleId="Title">
    <w:name w:val="Title"/>
    <w:basedOn w:val="Normal"/>
    <w:link w:val="TitleChar"/>
    <w:qFormat/>
    <w:rsid w:val="00426FFF"/>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26FFF"/>
    <w:rPr>
      <w:rFonts w:ascii="Times New Roman" w:eastAsia="Times New Roman" w:hAnsi="Times New Roman" w:cs="Times New Roman"/>
      <w:sz w:val="28"/>
      <w:szCs w:val="20"/>
    </w:rPr>
  </w:style>
  <w:style w:type="character" w:styleId="FootnoteReference">
    <w:name w:val="footnote reference"/>
    <w:basedOn w:val="DefaultParagraphFont"/>
    <w:uiPriority w:val="99"/>
    <w:semiHidden/>
    <w:unhideWhenUsed/>
    <w:rsid w:val="00932918"/>
    <w:rPr>
      <w:vertAlign w:val="superscript"/>
    </w:rPr>
  </w:style>
  <w:style w:type="paragraph" w:styleId="ListParagraph">
    <w:name w:val="List Paragraph"/>
    <w:basedOn w:val="Normal"/>
    <w:uiPriority w:val="34"/>
    <w:qFormat/>
    <w:rsid w:val="00074C0F"/>
    <w:pPr>
      <w:ind w:left="720"/>
      <w:contextualSpacing/>
    </w:pPr>
  </w:style>
  <w:style w:type="character" w:styleId="CommentReference">
    <w:name w:val="annotation reference"/>
    <w:basedOn w:val="DefaultParagraphFont"/>
    <w:uiPriority w:val="99"/>
    <w:semiHidden/>
    <w:unhideWhenUsed/>
    <w:rsid w:val="00886C1F"/>
    <w:rPr>
      <w:sz w:val="16"/>
      <w:szCs w:val="16"/>
    </w:rPr>
  </w:style>
  <w:style w:type="character" w:styleId="FollowedHyperlink">
    <w:name w:val="FollowedHyperlink"/>
    <w:basedOn w:val="DefaultParagraphFont"/>
    <w:uiPriority w:val="99"/>
    <w:semiHidden/>
    <w:unhideWhenUsed/>
    <w:rsid w:val="00EF7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4303">
      <w:bodyDiv w:val="1"/>
      <w:marLeft w:val="0"/>
      <w:marRight w:val="0"/>
      <w:marTop w:val="0"/>
      <w:marBottom w:val="0"/>
      <w:divBdr>
        <w:top w:val="none" w:sz="0" w:space="0" w:color="auto"/>
        <w:left w:val="none" w:sz="0" w:space="0" w:color="auto"/>
        <w:bottom w:val="none" w:sz="0" w:space="0" w:color="auto"/>
        <w:right w:val="none" w:sz="0" w:space="0" w:color="auto"/>
      </w:divBdr>
    </w:div>
    <w:div w:id="1258246620">
      <w:bodyDiv w:val="1"/>
      <w:marLeft w:val="0"/>
      <w:marRight w:val="0"/>
      <w:marTop w:val="0"/>
      <w:marBottom w:val="0"/>
      <w:divBdr>
        <w:top w:val="none" w:sz="0" w:space="0" w:color="auto"/>
        <w:left w:val="none" w:sz="0" w:space="0" w:color="auto"/>
        <w:bottom w:val="none" w:sz="0" w:space="0" w:color="auto"/>
        <w:right w:val="none" w:sz="0" w:space="0" w:color="auto"/>
      </w:divBdr>
    </w:div>
    <w:div w:id="1390037681">
      <w:bodyDiv w:val="1"/>
      <w:marLeft w:val="0"/>
      <w:marRight w:val="0"/>
      <w:marTop w:val="0"/>
      <w:marBottom w:val="0"/>
      <w:divBdr>
        <w:top w:val="none" w:sz="0" w:space="0" w:color="auto"/>
        <w:left w:val="none" w:sz="0" w:space="0" w:color="auto"/>
        <w:bottom w:val="none" w:sz="0" w:space="0" w:color="auto"/>
        <w:right w:val="none" w:sz="0" w:space="0" w:color="auto"/>
      </w:divBdr>
    </w:div>
    <w:div w:id="1403867720">
      <w:bodyDiv w:val="1"/>
      <w:marLeft w:val="0"/>
      <w:marRight w:val="0"/>
      <w:marTop w:val="0"/>
      <w:marBottom w:val="0"/>
      <w:divBdr>
        <w:top w:val="none" w:sz="0" w:space="0" w:color="auto"/>
        <w:left w:val="none" w:sz="0" w:space="0" w:color="auto"/>
        <w:bottom w:val="none" w:sz="0" w:space="0" w:color="auto"/>
        <w:right w:val="none" w:sz="0" w:space="0" w:color="auto"/>
      </w:divBdr>
    </w:div>
    <w:div w:id="1719430420">
      <w:bodyDiv w:val="1"/>
      <w:marLeft w:val="0"/>
      <w:marRight w:val="0"/>
      <w:marTop w:val="0"/>
      <w:marBottom w:val="0"/>
      <w:divBdr>
        <w:top w:val="none" w:sz="0" w:space="0" w:color="auto"/>
        <w:left w:val="none" w:sz="0" w:space="0" w:color="auto"/>
        <w:bottom w:val="none" w:sz="0" w:space="0" w:color="auto"/>
        <w:right w:val="none" w:sz="0" w:space="0" w:color="auto"/>
      </w:divBdr>
    </w:div>
    <w:div w:id="1766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likumprojekts-grozijumi-administrativo-sodu-likuma-par-parkapumiem-parvaldes-sabiedriskas-kartibas-un-valsts-valodas-lietosanas-jo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esja.pavluka@ie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AE9E-C64D-4121-80D3-23D5A5D3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23700</Words>
  <Characters>13510</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„Par Latvijas Republikas valdības un Armēnijas Republikas valdības protokolu par Nolīguma starp Eiropas Savienību un Armēnijas Republiku par tādu personu atpakaļuzņemšanu, kuras uzturas neatļauti, īstenošanu” sākotnējā</vt:lpstr>
      <vt:lpstr>Ministru kabineta noteikumu projekta „Par Latvijas Republikas valdības un Armēnijas Republikas valdības protokolu par Nolīguma starp Eiropas Savienību un Armēnijas Republiku par tādu personu atpakaļuzņemšanu, kuras uzturas neatļauti, īstenošanu” sākotnējā</vt:lpstr>
    </vt:vector>
  </TitlesOfParts>
  <Company>IeM</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Armēnijas Republikas valdības protokolu par Nolīguma starp Eiropas Savienību un Armēnijas Republiku par tādu personu atpakaļuzņemšanu, kuras uzturas neatļauti, īstenošanu” sākotnējās ietekmes novērtējuma ziņojums (anotācija)</dc:title>
  <dc:subject>Anotācija</dc:subject>
  <dc:creator>Aleksejs Niščaks</dc:creator>
  <cp:keywords/>
  <dc:description>aleksejs.niscaks@iem.gov.lv; 67219179</dc:description>
  <cp:lastModifiedBy>Oļesja Pavļuka</cp:lastModifiedBy>
  <cp:revision>4</cp:revision>
  <cp:lastPrinted>2020-09-22T13:21:00Z</cp:lastPrinted>
  <dcterms:created xsi:type="dcterms:W3CDTF">2021-06-14T07:38:00Z</dcterms:created>
  <dcterms:modified xsi:type="dcterms:W3CDTF">2021-06-14T08:30:00Z</dcterms:modified>
</cp:coreProperties>
</file>