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185CA" w14:textId="77777777" w:rsidR="006C5D20" w:rsidRPr="00E2618E" w:rsidRDefault="006C5D20" w:rsidP="006C5D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618E">
        <w:rPr>
          <w:rFonts w:ascii="Times New Roman" w:hAnsi="Times New Roman" w:cs="Times New Roman"/>
          <w:b/>
          <w:bCs/>
          <w:sz w:val="28"/>
          <w:szCs w:val="28"/>
        </w:rPr>
        <w:t>Ministru kabineta rīkojuma projekta</w:t>
      </w:r>
    </w:p>
    <w:p w14:paraId="46267CBC" w14:textId="5910D8B5" w:rsidR="006C5D20" w:rsidRPr="00E2618E" w:rsidRDefault="006C5D20" w:rsidP="006C5D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618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E261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ģenerāļa speciālās dienesta pakāpes piešķiršanu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I.</w:t>
      </w:r>
      <w:r w:rsidR="00582AF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Ruskulim</w:t>
      </w:r>
      <w:r w:rsidRPr="00E2618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D8C16C8" w14:textId="77777777" w:rsidR="006C5D20" w:rsidRDefault="006C5D20" w:rsidP="006C5D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E2618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1252D25F" w14:textId="77777777" w:rsidR="006C5D20" w:rsidRPr="00E2618E" w:rsidRDefault="006C5D20" w:rsidP="006C5D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6C5D20" w:rsidRPr="002F6137" w14:paraId="2B695ADB" w14:textId="77777777" w:rsidTr="000A026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5D4694" w14:textId="77777777" w:rsidR="006C5D20" w:rsidRPr="002F6137" w:rsidRDefault="006C5D20" w:rsidP="000A026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F6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C5D20" w:rsidRPr="002F6137" w14:paraId="2C72C73E" w14:textId="77777777" w:rsidTr="000A026C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CF5B27" w14:textId="77777777" w:rsidR="006C5D20" w:rsidRPr="002F6137" w:rsidRDefault="006C5D20" w:rsidP="000A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F613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E8A79B" w14:textId="74AB08FB" w:rsidR="006C5D20" w:rsidRPr="002F6137" w:rsidRDefault="006C5D20" w:rsidP="000A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1DB4"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</w:t>
            </w:r>
            <w:r w:rsidRPr="006C5D20">
              <w:rPr>
                <w:rFonts w:ascii="Times New Roman" w:hAnsi="Times New Roman" w:cs="Times New Roman"/>
                <w:sz w:val="28"/>
                <w:szCs w:val="28"/>
              </w:rPr>
              <w:t>kabineta 2009. gada 15. decembra instrukcijas Nr.19 “</w:t>
            </w:r>
            <w:r w:rsidRPr="006C5D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Tiesību akta projekta sākotnējās ietekmes izvērtēšanas kārtība” 5.</w:t>
            </w:r>
            <w:r w:rsidRPr="006C5D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6C5D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punktu nav aizpildāms.</w:t>
            </w:r>
          </w:p>
        </w:tc>
      </w:tr>
    </w:tbl>
    <w:p w14:paraId="4A525882" w14:textId="77777777" w:rsidR="006C5D20" w:rsidRPr="00E2618E" w:rsidRDefault="006C5D20" w:rsidP="006C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2333"/>
        <w:gridCol w:w="6609"/>
      </w:tblGrid>
      <w:tr w:rsidR="006C5D20" w:rsidRPr="00E2618E" w14:paraId="12447D3F" w14:textId="77777777" w:rsidTr="000A026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541A5BE7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C5D20" w:rsidRPr="00E2618E" w14:paraId="3BF38938" w14:textId="77777777" w:rsidTr="000A026C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58292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F0D14" w14:textId="77777777" w:rsidR="006C5D20" w:rsidRPr="00E2618E" w:rsidRDefault="006C5D20" w:rsidP="000A026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1D5A3A3" w14:textId="331B0342" w:rsidR="006C5D20" w:rsidRPr="00E2618E" w:rsidRDefault="006C5D20" w:rsidP="006C5D20">
            <w:pPr>
              <w:spacing w:after="0" w:line="240" w:lineRule="auto"/>
              <w:ind w:left="80" w:right="14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Ministru kabineta rīkojuma projekts “</w:t>
            </w: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 ģenerāļa speciālās dienesta pakāpes piešķiršanu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I.</w:t>
            </w:r>
            <w:r w:rsidR="00582A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Ruskulim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” (turpmāk – Ministru kabineta rīkojuma projekts) sagatavots, lai saskaņā ar Iekšlietu ministrijas sistēmas iestāžu un Ieslodzījuma vietu pārvaldes amatpersonu ar speciālajām dienesta pakāpēm dienesta gaitas likuma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panta trešo daļu un 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panta pirmās daļas 11.punktu piešķirtu </w:t>
            </w:r>
            <w:r w:rsidRPr="00E2618E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>
              <w:rPr>
                <w:rFonts w:ascii="Times New Roman" w:hAnsi="Times New Roman"/>
                <w:sz w:val="28"/>
                <w:szCs w:val="28"/>
              </w:rPr>
              <w:t>robežsardzes priekšnieka vietniekam (dienesta organizācijas jautājumos)</w:t>
            </w:r>
            <w:r w:rsidRPr="00E2618E">
              <w:rPr>
                <w:rFonts w:ascii="Times New Roman" w:hAnsi="Times New Roman"/>
                <w:sz w:val="28"/>
                <w:szCs w:val="28"/>
              </w:rPr>
              <w:t xml:space="preserve"> pulkvedim </w:t>
            </w:r>
            <w:r>
              <w:rPr>
                <w:rFonts w:ascii="Times New Roman" w:hAnsi="Times New Roman"/>
                <w:sz w:val="28"/>
                <w:szCs w:val="28"/>
              </w:rPr>
              <w:t>Ivaram Ruskulim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ģenerāļa speciālo dienesta pakāpi.</w:t>
            </w:r>
          </w:p>
        </w:tc>
      </w:tr>
      <w:tr w:rsidR="006C5D20" w:rsidRPr="00E2618E" w14:paraId="078FAB42" w14:textId="77777777" w:rsidTr="000A026C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E3FD7E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07D94" w14:textId="77777777" w:rsidR="006C5D20" w:rsidRDefault="006C5D20" w:rsidP="000A026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55E5016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E33341B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0D62E107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255F8EB4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5DF25BF7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35BF04FF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C2F848C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45FCEDDD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33E0CA2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4E77520E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5293CD8F" w14:textId="77777777" w:rsidR="006C5D20" w:rsidRPr="00484B69" w:rsidRDefault="006C5D20" w:rsidP="000A026C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0B41C510" w14:textId="77777777" w:rsidR="006C5D20" w:rsidRPr="00484B69" w:rsidRDefault="006C5D20" w:rsidP="000A0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531AFAE" w14:textId="52811E3F" w:rsidR="006C5D20" w:rsidRPr="00E2618E" w:rsidRDefault="006C5D20" w:rsidP="000A026C">
            <w:pPr>
              <w:spacing w:after="0" w:line="240" w:lineRule="auto"/>
              <w:ind w:right="254" w:firstLine="53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1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Valsts </w:t>
            </w:r>
            <w:r>
              <w:rPr>
                <w:rFonts w:ascii="Times New Roman" w:hAnsi="Times New Roman"/>
                <w:sz w:val="28"/>
                <w:szCs w:val="28"/>
              </w:rPr>
              <w:t>robežsardzes priekšnieka vietniekam (dienesta organizācijas jautājumos)</w:t>
            </w:r>
            <w:r w:rsidRPr="00E2618E">
              <w:rPr>
                <w:rFonts w:ascii="Times New Roman" w:hAnsi="Times New Roman"/>
                <w:sz w:val="28"/>
                <w:szCs w:val="28"/>
              </w:rPr>
              <w:t xml:space="preserve"> pulkvedim </w:t>
            </w:r>
            <w:r>
              <w:rPr>
                <w:rFonts w:ascii="Times New Roman" w:hAnsi="Times New Roman"/>
                <w:sz w:val="28"/>
                <w:szCs w:val="28"/>
              </w:rPr>
              <w:t>Ivaram Ruskulim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speciālā dienesta pakāp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– 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pulkvedis ir piešķirta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5117" w:rsidRPr="007C3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. gada </w:t>
            </w:r>
            <w:r w:rsidR="00BB5117" w:rsidRPr="007C3E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117" w:rsidRPr="007C3E95">
              <w:rPr>
                <w:rFonts w:ascii="Times New Roman" w:hAnsi="Times New Roman" w:cs="Times New Roman"/>
                <w:sz w:val="28"/>
                <w:szCs w:val="28"/>
              </w:rPr>
              <w:t> februārī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Valsts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robežsardzes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priekšnieka vietnieka amatam saskaņā ar </w:t>
            </w:r>
            <w:r w:rsidRPr="00E261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Ministru kabineta 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gada 13. decembra </w:t>
            </w:r>
            <w:r w:rsidRPr="00E2618E">
              <w:rPr>
                <w:rFonts w:ascii="Times New Roman" w:hAnsi="Times New Roman" w:cs="Times New Roman"/>
                <w:bCs/>
                <w:sz w:val="28"/>
                <w:szCs w:val="28"/>
              </w:rPr>
              <w:t>noteikumiem Nr. 810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“Noteikumi par Iekšlietu ministrijas sistēmas iestāžu un Ieslodzījuma vietu pārvaldes amatpersonu ar speciālajām dienesta pakāpēm amatu klasifikāciju” ir noteikta amatam atbilstošā augstākā dienesta pakāpe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ģenerālis.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askaņā ar Iekšlietu ministrijas sistēmas iestāžu un Ieslodzījuma vietu pārvaldes amatpersonu ar speciālajām dienesta pakāpēm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ienesta gaitas likuma 22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panta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otro daļu kārtējo speciālo dienesta pakāpi ģenerālis piešķir pēc piecu gadu nodienēšanas pulkveža speciālajā dienesta pakāpē</w:t>
            </w:r>
          </w:p>
          <w:p w14:paraId="0E2DA13F" w14:textId="763053BC" w:rsidR="006C5D20" w:rsidRPr="00E2618E" w:rsidRDefault="006C5D20" w:rsidP="00F6597B">
            <w:pPr>
              <w:spacing w:after="0" w:line="240" w:lineRule="auto"/>
              <w:ind w:right="112" w:firstLine="53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Ņemot vērā, 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="00525C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Ruskulis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saskaņā ar Iekšlietu ministrijas sistēmas iestāžu un Ieslodzījuma vietu pārvaldes amatpersonu ar speciālajām dienesta pakāpēm dienesta gaitas likuma 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panta trešo daļu uz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1258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maiju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nodienējis pulkveža dienesta pakāpē „ģenerāļa” dienesta pakāpes piešķiršanas noteikto laiku – </w:t>
            </w:r>
            <w:r w:rsidR="00125855">
              <w:rPr>
                <w:rFonts w:ascii="Times New Roman" w:hAnsi="Times New Roman" w:cs="Times New Roman"/>
                <w:sz w:val="28"/>
                <w:szCs w:val="28"/>
              </w:rPr>
              <w:t>vairāk nekā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piecus gadus,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 Ruskuļa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izglītība pilnībā atbilst normatīvajos aktos </w:t>
            </w:r>
            <w:r w:rsidRPr="003D1A85">
              <w:rPr>
                <w:rFonts w:ascii="Times New Roman" w:hAnsi="Times New Roman" w:cs="Times New Roman"/>
                <w:sz w:val="28"/>
                <w:szCs w:val="28"/>
              </w:rPr>
              <w:t>izvirzītājām prasībām – iegū</w:t>
            </w:r>
            <w:r w:rsidR="003D1A85" w:rsidRPr="003D1A85">
              <w:rPr>
                <w:rFonts w:ascii="Times New Roman" w:hAnsi="Times New Roman" w:cs="Times New Roman"/>
                <w:sz w:val="28"/>
                <w:szCs w:val="28"/>
              </w:rPr>
              <w:t>ta profesionālā augstākā izgl</w:t>
            </w:r>
            <w:r w:rsidR="003D1A85">
              <w:rPr>
                <w:rFonts w:ascii="Times New Roman" w:hAnsi="Times New Roman" w:cs="Times New Roman"/>
                <w:sz w:val="28"/>
                <w:szCs w:val="28"/>
              </w:rPr>
              <w:t>ītī</w:t>
            </w:r>
            <w:r w:rsidR="003D1A85" w:rsidRPr="003D1A85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Pr="003D1A85">
              <w:rPr>
                <w:rFonts w:ascii="Times New Roman" w:hAnsi="Times New Roman" w:cs="Times New Roman"/>
                <w:sz w:val="28"/>
                <w:szCs w:val="28"/>
              </w:rPr>
              <w:t xml:space="preserve"> tiesību zin</w:t>
            </w:r>
            <w:r w:rsidR="003D1A85" w:rsidRPr="003D1A85">
              <w:rPr>
                <w:rFonts w:ascii="Times New Roman" w:hAnsi="Times New Roman" w:cs="Times New Roman"/>
                <w:sz w:val="28"/>
                <w:szCs w:val="28"/>
              </w:rPr>
              <w:t xml:space="preserve">ībās </w:t>
            </w:r>
            <w:r w:rsidRPr="003D1A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1A85" w:rsidRPr="003D1A85">
              <w:rPr>
                <w:rFonts w:ascii="Times New Roman" w:hAnsi="Times New Roman" w:cs="Times New Roman"/>
                <w:sz w:val="28"/>
                <w:szCs w:val="28"/>
              </w:rPr>
              <w:t>Baltijas Krievu institūts</w:t>
            </w:r>
            <w:r w:rsidRPr="003D1A8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amatpersonas darbības un tās rezultātu novērtējums ir A</w:t>
            </w:r>
            <w:r w:rsidR="00F65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“atbilst noteiktajām prasībām”, veselības stāvoklis un fiziskā sagatavotība ir atbilstošas normatīvo aktu prasībām,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="00525C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Ruskulim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 xml:space="preserve"> piešķirama nākošā kārtējā speciālā dienesta pakāpe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ģenerālis.</w:t>
            </w:r>
          </w:p>
        </w:tc>
      </w:tr>
      <w:tr w:rsidR="006C5D20" w:rsidRPr="00E2618E" w14:paraId="13928356" w14:textId="77777777" w:rsidTr="000A026C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9AD63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D8176" w14:textId="77777777" w:rsidR="006C5D20" w:rsidRPr="00E2618E" w:rsidRDefault="006C5D20" w:rsidP="000A026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10C652F" w14:textId="77777777" w:rsidR="006C5D20" w:rsidRPr="00E2618E" w:rsidRDefault="006C5D20" w:rsidP="000A026C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</w:rPr>
              <w:t>Iekšlietu ministrija</w:t>
            </w:r>
          </w:p>
        </w:tc>
      </w:tr>
      <w:tr w:rsidR="006C5D20" w:rsidRPr="00E2618E" w14:paraId="4BC41519" w14:textId="77777777" w:rsidTr="000A026C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523C0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96EB8" w14:textId="77777777" w:rsidR="006C5D20" w:rsidRPr="00E2618E" w:rsidRDefault="006C5D20" w:rsidP="000A026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31946F6" w14:textId="77777777" w:rsidR="006C5D20" w:rsidRPr="00E2618E" w:rsidRDefault="006C5D20" w:rsidP="000A026C">
            <w:pPr>
              <w:spacing w:after="0" w:line="240" w:lineRule="auto"/>
              <w:ind w:left="80" w:right="14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3C6A2FBB" w14:textId="77777777" w:rsidR="006C5D20" w:rsidRPr="00E2618E" w:rsidRDefault="006C5D20" w:rsidP="006C5D2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6C5D20" w:rsidRPr="00E2618E" w14:paraId="6FAB020A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B5F5FE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C5D20" w:rsidRPr="00E2618E" w14:paraId="7E69222F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7A21A3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22515937" w14:textId="77777777" w:rsidR="006C5D20" w:rsidRPr="00E2618E" w:rsidRDefault="006C5D20" w:rsidP="006C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6C5D20" w:rsidRPr="00E2618E" w14:paraId="7838A3F6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D85B70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III. Tiesību akta projekta ietekme uz valsts budžetu un pašvaldību budžetiem</w:t>
            </w:r>
          </w:p>
        </w:tc>
      </w:tr>
      <w:tr w:rsidR="006C5D20" w:rsidRPr="00E2618E" w14:paraId="3458BCBC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F71120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4B4D5668" w14:textId="77777777" w:rsidR="006C5D20" w:rsidRPr="00E2618E" w:rsidRDefault="006C5D20" w:rsidP="006C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6C5D20" w:rsidRPr="00E2618E" w14:paraId="0FF87520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F8B303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IV. Tiesību akta projekta ietekme uz spēkā esošo tiesību normu sistēmu</w:t>
            </w:r>
          </w:p>
        </w:tc>
      </w:tr>
      <w:tr w:rsidR="006C5D20" w:rsidRPr="00E2618E" w14:paraId="4E36260C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B209FE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0E5E6CDC" w14:textId="77777777" w:rsidR="006C5D20" w:rsidRPr="00E2618E" w:rsidRDefault="006C5D20" w:rsidP="006C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6C5D20" w:rsidRPr="00E2618E" w14:paraId="53DFE6A2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82E6DF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V. Tiesību akta projekta atbilstība Latvijas Republikas starptautiskajām saistībām</w:t>
            </w:r>
          </w:p>
        </w:tc>
      </w:tr>
      <w:tr w:rsidR="006C5D20" w:rsidRPr="00E2618E" w14:paraId="3A7F3F2C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9FA4B9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3EA75F64" w14:textId="77777777" w:rsidR="006C5D20" w:rsidRPr="00E2618E" w:rsidRDefault="006C5D20" w:rsidP="006C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6C5D20" w:rsidRPr="00E2618E" w14:paraId="360B4020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034217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VI. Sabiedrības līdzdalība un komunikācijas aktivitātes</w:t>
            </w:r>
          </w:p>
        </w:tc>
      </w:tr>
      <w:tr w:rsidR="006C5D20" w:rsidRPr="00E2618E" w14:paraId="0C8812FE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A7E84F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5B4D4A27" w14:textId="77777777" w:rsidR="006C5D20" w:rsidRPr="00E2618E" w:rsidRDefault="006C5D20" w:rsidP="006C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6C5D20" w:rsidRPr="00E2618E" w14:paraId="2CF97DE0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2296A1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261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VII. Tiesību akta projekta izpildes nodrošināšana un tās ietekme uz institūcijām</w:t>
            </w:r>
          </w:p>
        </w:tc>
      </w:tr>
      <w:tr w:rsidR="006C5D20" w:rsidRPr="00E2618E" w14:paraId="1E90A6BD" w14:textId="77777777" w:rsidTr="000A026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5EB69D" w14:textId="77777777" w:rsidR="006C5D20" w:rsidRPr="00E2618E" w:rsidRDefault="006C5D20" w:rsidP="000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261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2E596452" w14:textId="77777777" w:rsidR="006C5D20" w:rsidRPr="00E2618E" w:rsidRDefault="006C5D20" w:rsidP="006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A7874" w14:textId="77777777" w:rsidR="006C5D20" w:rsidRPr="00E2618E" w:rsidRDefault="006C5D20" w:rsidP="006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BCBBD" w14:textId="77777777" w:rsidR="006C5D20" w:rsidRPr="00E2618E" w:rsidRDefault="006C5D20" w:rsidP="006C5D20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18E">
        <w:rPr>
          <w:rFonts w:ascii="Times New Roman" w:hAnsi="Times New Roman" w:cs="Times New Roman"/>
          <w:sz w:val="28"/>
          <w:szCs w:val="28"/>
        </w:rPr>
        <w:t>Iekšlietu ministrs</w:t>
      </w:r>
      <w:r w:rsidRPr="00E2618E">
        <w:rPr>
          <w:rFonts w:ascii="Times New Roman" w:hAnsi="Times New Roman" w:cs="Times New Roman"/>
          <w:sz w:val="28"/>
          <w:szCs w:val="28"/>
        </w:rPr>
        <w:tab/>
        <w:t>S. Ģirģens</w:t>
      </w:r>
    </w:p>
    <w:p w14:paraId="4CE3E415" w14:textId="77777777" w:rsidR="006C5D20" w:rsidRPr="00E2618E" w:rsidRDefault="006C5D20" w:rsidP="006C5D20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EB0134" w14:textId="77777777" w:rsidR="006C5D20" w:rsidRPr="00E2618E" w:rsidRDefault="006C5D20" w:rsidP="006C5D20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18E">
        <w:rPr>
          <w:rFonts w:ascii="Times New Roman" w:hAnsi="Times New Roman" w:cs="Times New Roman"/>
          <w:sz w:val="28"/>
          <w:szCs w:val="28"/>
        </w:rPr>
        <w:t xml:space="preserve">Vīza: valsts sekretārs </w:t>
      </w:r>
      <w:r w:rsidRPr="00E2618E">
        <w:rPr>
          <w:rFonts w:ascii="Times New Roman" w:hAnsi="Times New Roman" w:cs="Times New Roman"/>
          <w:sz w:val="28"/>
          <w:szCs w:val="28"/>
        </w:rPr>
        <w:tab/>
        <w:t>D.Trofimovs</w:t>
      </w:r>
    </w:p>
    <w:p w14:paraId="3A99D107" w14:textId="77777777" w:rsidR="006C5D20" w:rsidRPr="00E2618E" w:rsidRDefault="006C5D20" w:rsidP="006C5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F4C8AB" w14:textId="0CB2C01D" w:rsidR="006C5D20" w:rsidRDefault="00F45AEC" w:rsidP="00F45AEC">
      <w:pPr>
        <w:tabs>
          <w:tab w:val="left" w:pos="2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C5D20" w:rsidSect="00B02964">
      <w:headerReference w:type="default" r:id="rId6"/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1C77" w14:textId="77777777" w:rsidR="006C5D20" w:rsidRDefault="006C5D20" w:rsidP="006C5D20">
      <w:pPr>
        <w:spacing w:after="0" w:line="240" w:lineRule="auto"/>
      </w:pPr>
      <w:r>
        <w:separator/>
      </w:r>
    </w:p>
  </w:endnote>
  <w:endnote w:type="continuationSeparator" w:id="0">
    <w:p w14:paraId="11B18113" w14:textId="77777777" w:rsidR="006C5D20" w:rsidRDefault="006C5D20" w:rsidP="006C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8DDB" w14:textId="09408BD8" w:rsidR="00C439EA" w:rsidRPr="004919C5" w:rsidRDefault="004B7742" w:rsidP="00C439EA">
    <w:pPr>
      <w:pStyle w:val="Footer"/>
      <w:jc w:val="both"/>
      <w:rPr>
        <w:rFonts w:ascii="Times New Roman" w:hAnsi="Times New Roman"/>
      </w:rPr>
    </w:pPr>
    <w:r w:rsidRPr="004919C5">
      <w:rPr>
        <w:rFonts w:ascii="Times New Roman" w:hAnsi="Times New Roman"/>
        <w:lang w:val="lv-LV"/>
      </w:rPr>
      <w:t>IEM</w:t>
    </w:r>
    <w:r w:rsidRPr="004919C5">
      <w:rPr>
        <w:rFonts w:ascii="Times New Roman" w:hAnsi="Times New Roman"/>
      </w:rPr>
      <w:t>Anot_</w:t>
    </w:r>
    <w:r w:rsidR="00F45AEC">
      <w:rPr>
        <w:rFonts w:ascii="Times New Roman" w:hAnsi="Times New Roman"/>
        <w:lang w:val="lv-LV"/>
      </w:rPr>
      <w:t>3105</w:t>
    </w:r>
    <w:r>
      <w:rPr>
        <w:rFonts w:ascii="Times New Roman" w:hAnsi="Times New Roman"/>
        <w:lang w:val="lv-LV"/>
      </w:rPr>
      <w:t>2021</w:t>
    </w:r>
    <w:r w:rsidR="00F45AEC">
      <w:rPr>
        <w:rFonts w:ascii="Times New Roman" w:hAnsi="Times New Roman"/>
        <w:lang w:val="lv-LV"/>
      </w:rPr>
      <w:t>_Ruskulis</w:t>
    </w:r>
    <w:r w:rsidRPr="004919C5">
      <w:rPr>
        <w:rFonts w:ascii="Times New Roman" w:hAnsi="Times New Roman"/>
        <w:lang w:val="lv-LV"/>
      </w:rPr>
      <w:t>.doc</w:t>
    </w:r>
    <w:r w:rsidRPr="004919C5">
      <w:rPr>
        <w:rFonts w:ascii="Times New Roman" w:hAnsi="Times New Roman"/>
      </w:rPr>
      <w:t>; Ministru kabineta rīkojuma projekta „</w:t>
    </w:r>
    <w:r w:rsidRPr="004919C5">
      <w:rPr>
        <w:rFonts w:ascii="Times New Roman" w:eastAsia="Times New Roman" w:hAnsi="Times New Roman"/>
        <w:lang w:val="lv-LV" w:eastAsia="lv-LV"/>
      </w:rPr>
      <w:t xml:space="preserve">Par ģenerāļa speciālās dienesta pakāpes piešķiršanu </w:t>
    </w:r>
    <w:r w:rsidR="00F45AEC">
      <w:rPr>
        <w:rFonts w:ascii="Times New Roman" w:eastAsia="Times New Roman" w:hAnsi="Times New Roman"/>
        <w:lang w:val="lv-LV" w:eastAsia="lv-LV"/>
      </w:rPr>
      <w:t>I.Ruskulim</w:t>
    </w:r>
    <w:r w:rsidRPr="004919C5">
      <w:rPr>
        <w:rFonts w:ascii="Times New Roman" w:hAnsi="Times New Roman"/>
      </w:rPr>
      <w:t xml:space="preserve">” sākotnējās ietekmes novērtējuma ziņojums </w:t>
    </w:r>
    <w:r w:rsidRPr="004919C5">
      <w:rPr>
        <w:rFonts w:ascii="Times New Roman" w:hAnsi="Times New Roman"/>
      </w:rPr>
      <w:t>(anotācija)</w:t>
    </w:r>
  </w:p>
  <w:p w14:paraId="3746E3B9" w14:textId="77777777" w:rsidR="00782D65" w:rsidRPr="00C439EA" w:rsidRDefault="004B7742" w:rsidP="00C43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3CBF" w14:textId="77777777" w:rsidR="00F45AEC" w:rsidRPr="004919C5" w:rsidRDefault="00F45AEC" w:rsidP="00F45AEC">
    <w:pPr>
      <w:pStyle w:val="Footer"/>
      <w:jc w:val="both"/>
      <w:rPr>
        <w:rFonts w:ascii="Times New Roman" w:hAnsi="Times New Roman"/>
      </w:rPr>
    </w:pPr>
    <w:r w:rsidRPr="004919C5">
      <w:rPr>
        <w:rFonts w:ascii="Times New Roman" w:hAnsi="Times New Roman"/>
        <w:lang w:val="lv-LV"/>
      </w:rPr>
      <w:t>IEM</w:t>
    </w:r>
    <w:r w:rsidRPr="004919C5">
      <w:rPr>
        <w:rFonts w:ascii="Times New Roman" w:hAnsi="Times New Roman"/>
      </w:rPr>
      <w:t>Anot_</w:t>
    </w:r>
    <w:r>
      <w:rPr>
        <w:rFonts w:ascii="Times New Roman" w:hAnsi="Times New Roman"/>
        <w:lang w:val="lv-LV"/>
      </w:rPr>
      <w:t>31052021_Ruskulis</w:t>
    </w:r>
    <w:r w:rsidRPr="004919C5">
      <w:rPr>
        <w:rFonts w:ascii="Times New Roman" w:hAnsi="Times New Roman"/>
        <w:lang w:val="lv-LV"/>
      </w:rPr>
      <w:t>.doc</w:t>
    </w:r>
    <w:r w:rsidRPr="004919C5">
      <w:rPr>
        <w:rFonts w:ascii="Times New Roman" w:hAnsi="Times New Roman"/>
      </w:rPr>
      <w:t>; Ministru kabineta rīkojuma projekta „</w:t>
    </w:r>
    <w:r w:rsidRPr="004919C5">
      <w:rPr>
        <w:rFonts w:ascii="Times New Roman" w:eastAsia="Times New Roman" w:hAnsi="Times New Roman"/>
        <w:lang w:val="lv-LV" w:eastAsia="lv-LV"/>
      </w:rPr>
      <w:t xml:space="preserve">Par ģenerāļa speciālās dienesta pakāpes piešķiršanu </w:t>
    </w:r>
    <w:r>
      <w:rPr>
        <w:rFonts w:ascii="Times New Roman" w:eastAsia="Times New Roman" w:hAnsi="Times New Roman"/>
        <w:lang w:val="lv-LV" w:eastAsia="lv-LV"/>
      </w:rPr>
      <w:t>I.Ruskulim</w:t>
    </w:r>
    <w:r w:rsidRPr="004919C5">
      <w:rPr>
        <w:rFonts w:ascii="Times New Roman" w:hAnsi="Times New Roman"/>
      </w:rPr>
      <w:t>” sākotnējās ietekmes novērtējuma ziņojums (anotācija)</w:t>
    </w:r>
  </w:p>
  <w:p w14:paraId="18BD75F2" w14:textId="0069845B" w:rsidR="00782D65" w:rsidRPr="00F45AEC" w:rsidRDefault="004B7742" w:rsidP="00F4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39D0" w14:textId="77777777" w:rsidR="006C5D20" w:rsidRDefault="006C5D20" w:rsidP="006C5D20">
      <w:pPr>
        <w:spacing w:after="0" w:line="240" w:lineRule="auto"/>
      </w:pPr>
      <w:r>
        <w:separator/>
      </w:r>
    </w:p>
  </w:footnote>
  <w:footnote w:type="continuationSeparator" w:id="0">
    <w:p w14:paraId="00D3F5AE" w14:textId="77777777" w:rsidR="006C5D20" w:rsidRDefault="006C5D20" w:rsidP="006C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12E4" w14:textId="2EAB793C" w:rsidR="00782D65" w:rsidRPr="00CF2FF2" w:rsidRDefault="004B7742" w:rsidP="00CF2FF2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CF2FF2">
      <w:rPr>
        <w:rStyle w:val="PageNumber"/>
        <w:rFonts w:ascii="Times New Roman" w:hAnsi="Times New Roman" w:cs="Times New Roman"/>
      </w:rPr>
      <w:fldChar w:fldCharType="begin"/>
    </w:r>
    <w:r w:rsidRPr="00CF2FF2">
      <w:rPr>
        <w:rStyle w:val="PageNumber"/>
        <w:rFonts w:ascii="Times New Roman" w:hAnsi="Times New Roman" w:cs="Times New Roman"/>
      </w:rPr>
      <w:instrText xml:space="preserve">PAGE  </w:instrText>
    </w:r>
    <w:r w:rsidRPr="00CF2FF2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CF2FF2">
      <w:rPr>
        <w:rStyle w:val="PageNumber"/>
        <w:rFonts w:ascii="Times New Roman" w:hAnsi="Times New Roman" w:cs="Times New Roman"/>
      </w:rPr>
      <w:fldChar w:fldCharType="end"/>
    </w:r>
  </w:p>
  <w:p w14:paraId="70669722" w14:textId="77777777" w:rsidR="00782D65" w:rsidRDefault="004B7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C"/>
    <w:rsid w:val="00125855"/>
    <w:rsid w:val="00252AEC"/>
    <w:rsid w:val="003954CA"/>
    <w:rsid w:val="003C6562"/>
    <w:rsid w:val="003D1A85"/>
    <w:rsid w:val="004B6221"/>
    <w:rsid w:val="004B7742"/>
    <w:rsid w:val="00525C78"/>
    <w:rsid w:val="00582AFE"/>
    <w:rsid w:val="006C5D20"/>
    <w:rsid w:val="007C3E95"/>
    <w:rsid w:val="00B05684"/>
    <w:rsid w:val="00BB5117"/>
    <w:rsid w:val="00DD044B"/>
    <w:rsid w:val="00E407C2"/>
    <w:rsid w:val="00F45AEC"/>
    <w:rsid w:val="00F6597B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3525"/>
  <w15:chartTrackingRefBased/>
  <w15:docId w15:val="{163342C2-219D-4251-AC9C-7730912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2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5D2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C5D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6C5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20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6C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Binovska</dc:creator>
  <cp:lastModifiedBy>Kristīne Pūre</cp:lastModifiedBy>
  <cp:revision>17</cp:revision>
  <dcterms:created xsi:type="dcterms:W3CDTF">2021-04-08T08:49:00Z</dcterms:created>
  <dcterms:modified xsi:type="dcterms:W3CDTF">2021-06-01T09:14:00Z</dcterms:modified>
</cp:coreProperties>
</file>