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811B7" w14:textId="004F3344" w:rsidR="00894C55" w:rsidRPr="001D7FB0" w:rsidRDefault="00BD4ED7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454D1D" w:rsidRPr="001D7FB0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lv-LV"/>
            </w:rPr>
            <w:t xml:space="preserve">Ministru kabineta noteikumu </w:t>
          </w:r>
          <w:r w:rsidR="00750AA4" w:rsidRPr="001D7FB0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lv-LV"/>
            </w:rPr>
            <w:t xml:space="preserve">projekta </w:t>
          </w:r>
          <w:r w:rsidR="00454D1D" w:rsidRPr="001D7FB0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lv-LV"/>
            </w:rPr>
            <w:t>„</w:t>
          </w:r>
          <w:r w:rsidR="001D7FB0" w:rsidRPr="001D7FB0">
            <w:rPr>
              <w:rFonts w:ascii="Times New Roman" w:hAnsi="Times New Roman" w:cs="Times New Roman"/>
              <w:b/>
              <w:color w:val="000000" w:themeColor="text1"/>
              <w:sz w:val="24"/>
              <w:szCs w:val="28"/>
            </w:rPr>
            <w:t>Grozījums</w:t>
          </w:r>
          <w:r w:rsidR="0040333F" w:rsidRPr="001D7FB0">
            <w:rPr>
              <w:rFonts w:ascii="Times New Roman" w:hAnsi="Times New Roman" w:cs="Times New Roman"/>
              <w:b/>
              <w:color w:val="000000" w:themeColor="text1"/>
              <w:sz w:val="24"/>
              <w:szCs w:val="28"/>
            </w:rPr>
            <w:t xml:space="preserve"> Ministru kabineta 2015. gada 28. jūlija noteikumos Nr.433 “</w:t>
          </w:r>
          <w:r w:rsidR="0040333F" w:rsidRPr="001D7FB0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8"/>
            </w:rPr>
            <w:t>Iekšējās drošības fonda un Patvēruma, migrācijas un integrācijas fonda 2014.-2020. gada plānošanas perioda pārvaldības un kontroles sistēmas izveides un finanšu vadības un kontroles kārtība</w:t>
          </w:r>
          <w:r w:rsidR="0040333F" w:rsidRPr="001D7FB0">
            <w:rPr>
              <w:rFonts w:ascii="Times New Roman" w:hAnsi="Times New Roman" w:cs="Times New Roman"/>
              <w:b/>
              <w:color w:val="000000" w:themeColor="text1"/>
              <w:sz w:val="24"/>
              <w:szCs w:val="28"/>
            </w:rPr>
            <w:t>”</w:t>
          </w:r>
          <w:r w:rsidR="00454D1D" w:rsidRPr="001D7FB0">
            <w:rPr>
              <w:rFonts w:ascii="Times New Roman" w:hAnsi="Times New Roman" w:cs="Times New Roman"/>
              <w:b/>
              <w:color w:val="000000" w:themeColor="text1"/>
              <w:sz w:val="24"/>
              <w:szCs w:val="28"/>
            </w:rPr>
            <w:t>”</w:t>
          </w:r>
          <w:r w:rsidR="00454D1D" w:rsidRPr="001D7FB0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lv-LV"/>
            </w:rPr>
            <w:t xml:space="preserve"> </w:t>
          </w:r>
        </w:sdtContent>
      </w:sdt>
      <w:r w:rsidR="00894C55" w:rsidRPr="001D7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</w:t>
      </w:r>
      <w:r w:rsidR="003B0BF9" w:rsidRPr="001D7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br/>
      </w:r>
      <w:r w:rsidR="00894C55" w:rsidRPr="001D7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sākotnējās ietekmes novērtējuma ziņojums (anotācija)</w:t>
      </w:r>
    </w:p>
    <w:p w14:paraId="65B11A29" w14:textId="77777777" w:rsidR="00BD79EC" w:rsidRPr="001D7FB0" w:rsidRDefault="00BD79EC" w:rsidP="00C86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1D7FB0" w:rsidRPr="001D7FB0" w14:paraId="458919D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58EEE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1D7FB0" w:rsidRPr="001D7FB0" w14:paraId="2450E437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18E6C" w14:textId="77777777" w:rsidR="00E5323B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BBFFA" w14:textId="30114161" w:rsidR="00096364" w:rsidRPr="00C11599" w:rsidRDefault="007635F5" w:rsidP="005E378D">
            <w:pPr>
              <w:pStyle w:val="Heading3"/>
              <w:spacing w:before="0" w:after="0" w:line="240" w:lineRule="auto"/>
              <w:ind w:right="13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D7F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</w:t>
            </w:r>
            <w:r w:rsidR="009E44B7" w:rsidRPr="001D7F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oteikumu projekta</w:t>
            </w:r>
            <w:r w:rsidR="008945BA" w:rsidRPr="001D7F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="009E44B7" w:rsidRPr="001D7F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mērķis ir </w:t>
            </w:r>
            <w:r w:rsidR="00B04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mazināt saistību atcelšanas riska iestāšanos</w:t>
            </w:r>
            <w:r w:rsidR="00AD233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Iekšējās drošības fonda un Patvēruma, migrācijas un integrācijas fonda (turpmāk – fondi) 2014.-2020.gada plānošanas perioda ietvaros</w:t>
            </w:r>
            <w:r w:rsidR="00B04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 nosakot, ka</w:t>
            </w:r>
            <w:r w:rsidR="00DF2DF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fondu</w:t>
            </w:r>
            <w:r w:rsidR="00B04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Gada atlikuma </w:t>
            </w:r>
            <w:r w:rsidR="00B046F1" w:rsidRPr="00B04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maksājuma pieprasījumos var iekļaut (deklarēt) arī fondu projektu ietvaros noslēgto iepirkumu līgumu summas pirms maksājumu par līguma izpildi veikšanas.</w:t>
            </w:r>
          </w:p>
        </w:tc>
      </w:tr>
    </w:tbl>
    <w:p w14:paraId="4E4FD856" w14:textId="77777777" w:rsidR="00E5323B" w:rsidRPr="001D7FB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1D7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1D7FB0" w:rsidRPr="001D7FB0" w14:paraId="5FD9332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B4A95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D7FB0" w:rsidRPr="001D7FB0" w14:paraId="1C42879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D71FC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A9735" w14:textId="77777777" w:rsidR="00E5323B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78ABF" w14:textId="1204B148" w:rsidR="00AA2929" w:rsidRPr="00C11599" w:rsidRDefault="00541019" w:rsidP="00C11599">
            <w:pPr>
              <w:pStyle w:val="CommentText"/>
            </w:pPr>
            <w:r w:rsidRPr="00A06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AC79E0" w:rsidRPr="00A06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oteikumu projekts ir sagatavots, </w:t>
            </w:r>
            <w:r w:rsidR="00D52548">
              <w:t xml:space="preserve">lai </w:t>
            </w:r>
            <w:r w:rsidR="00D525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mazinātu saistību atcelšanas riska iestāšanos fondu 2014.-2020.g</w:t>
            </w:r>
            <w:r w:rsidR="00C115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ada plānošanas perioda ietvaros.</w:t>
            </w:r>
          </w:p>
        </w:tc>
      </w:tr>
      <w:tr w:rsidR="001D7FB0" w:rsidRPr="001D7FB0" w14:paraId="29E9B59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8B3A0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FE00F" w14:textId="30CB2C08" w:rsidR="00BB0094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60CB474B" w14:textId="77777777" w:rsidR="00BB0094" w:rsidRPr="001D7FB0" w:rsidRDefault="00BB0094" w:rsidP="00223C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2DB70AF" w14:textId="77777777" w:rsidR="00BB0094" w:rsidRPr="001D7FB0" w:rsidRDefault="00BB0094" w:rsidP="00223C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06FC0FB" w14:textId="77777777" w:rsidR="00BB0094" w:rsidRPr="001D7FB0" w:rsidRDefault="00BB0094" w:rsidP="00223C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0AD8852" w14:textId="77777777" w:rsidR="00BB0094" w:rsidRPr="001D7FB0" w:rsidRDefault="00BB0094" w:rsidP="00223C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7B17FD0E" w14:textId="77777777" w:rsidR="00BB0094" w:rsidRPr="001D7FB0" w:rsidRDefault="00BB0094" w:rsidP="00223C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B2AEB2A" w14:textId="77777777" w:rsidR="00BB0094" w:rsidRPr="001D7FB0" w:rsidRDefault="00BB0094" w:rsidP="00223C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5332D38D" w14:textId="77777777" w:rsidR="00BB0094" w:rsidRPr="001D7FB0" w:rsidRDefault="00BB0094" w:rsidP="00223C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B60030E" w14:textId="77777777" w:rsidR="00BB0094" w:rsidRPr="001D7FB0" w:rsidRDefault="00BB0094" w:rsidP="00223C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77935EB4" w14:textId="77777777" w:rsidR="00BB0094" w:rsidRPr="001D7FB0" w:rsidRDefault="00BB0094" w:rsidP="00223C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36DF9161" w14:textId="77777777" w:rsidR="00BB0094" w:rsidRPr="001D7FB0" w:rsidRDefault="00BB0094" w:rsidP="00223C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7D6505D2" w14:textId="6BA5133A" w:rsidR="00E5323B" w:rsidRPr="001D7FB0" w:rsidRDefault="00E5323B" w:rsidP="00BB00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9F6ED" w14:textId="1EE90FAA" w:rsidR="00E84DEC" w:rsidRDefault="00E84DEC" w:rsidP="00E84DEC">
            <w:pPr>
              <w:pStyle w:val="CM1"/>
              <w:spacing w:after="20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4DEC">
              <w:rPr>
                <w:rFonts w:ascii="Times New Roman" w:eastAsia="Times New Roman" w:hAnsi="Times New Roman" w:cs="Times New Roman"/>
                <w:lang w:eastAsia="lv-LV"/>
              </w:rPr>
              <w:t xml:space="preserve">Pamatojoties uz Ministru kabineta 2015.gada 28.jūlija noteikumu Nr.433 “Iekšējās drošības fonda un Patvēruma, migrācijas un integrācijas fonda 2014.-2020. gada plānošanas perioda pārvaldības un kontroles sistēmas izveides un finanšu vadības un kontroles kārtība” IX. sadaļas “Ziņošanas kārtība Eiropas Komisijai” 80.1. apakšpunktu, Iekšlietu ministrija kā </w:t>
            </w:r>
            <w:r w:rsidR="0044644F">
              <w:rPr>
                <w:rFonts w:ascii="Times New Roman" w:eastAsia="Times New Roman" w:hAnsi="Times New Roman" w:cs="Times New Roman"/>
                <w:lang w:eastAsia="lv-LV"/>
              </w:rPr>
              <w:t>fondu</w:t>
            </w:r>
            <w:r w:rsidRPr="00E84DEC">
              <w:rPr>
                <w:rFonts w:ascii="Times New Roman" w:eastAsia="Times New Roman" w:hAnsi="Times New Roman" w:cs="Times New Roman"/>
                <w:lang w:eastAsia="lv-LV"/>
              </w:rPr>
              <w:t xml:space="preserve"> atbildīgā iestāde (turpmāk – atbildīgā iestāde) katru gadu līdz 15. februārim Eiropas Komisijai iesniedz </w:t>
            </w:r>
            <w:r w:rsidR="001911EE">
              <w:rPr>
                <w:rFonts w:ascii="Times New Roman" w:eastAsia="Times New Roman" w:hAnsi="Times New Roman" w:cs="Times New Roman"/>
                <w:lang w:eastAsia="lv-LV"/>
              </w:rPr>
              <w:t>G</w:t>
            </w:r>
            <w:r w:rsidRPr="00E84DEC">
              <w:rPr>
                <w:rFonts w:ascii="Times New Roman" w:eastAsia="Times New Roman" w:hAnsi="Times New Roman" w:cs="Times New Roman"/>
                <w:lang w:eastAsia="lv-LV"/>
              </w:rPr>
              <w:t>ada atlikuma maksājuma pieprasījumu, ko veido pārskats par izdevumiem, pārvaldības deklarācija un gada kopsavilkums par galīgajiem revīzijas ziņojumiem un veiktajām kontrolēm atbilstoši Regulas Nr. 514/2014 44. panta 1. punktam.</w:t>
            </w:r>
          </w:p>
          <w:p w14:paraId="536B1EE2" w14:textId="497EE4A5" w:rsidR="00E84DEC" w:rsidRDefault="00E84DEC" w:rsidP="00E84DEC">
            <w:pPr>
              <w:pStyle w:val="CM1"/>
              <w:spacing w:after="20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84DEC">
              <w:rPr>
                <w:rFonts w:ascii="Times New Roman" w:eastAsia="Times New Roman" w:hAnsi="Times New Roman" w:cs="Times New Roman"/>
                <w:lang w:eastAsia="lv-LV"/>
              </w:rPr>
              <w:t xml:space="preserve">Atbilstoši Eiropas Komisijas 2015. gada 2. marta Īstenošanas regulai Nr. 2015/377, ar ko izveido modeļus dokumentiem, kuri vajadzīgi gada atlikuma maksājumiem atbilstoši Eiropas Parlamenta un Padomes Regulai (ES) Nr. 514/2014, ar ko paredz vispārīgus noteikumus Patvēruma, migrācijas un integrācijas fondam un finansiālā atbalsta instrumentam policijas sadarbībai, noziedzības novēršanai un apkarošanai un krīžu pārvarēšanai (turpmāk - regula Nr. 2015/377), Gada atlikuma maksājuma pieprasījumu un galīgo atlikuma maksājuma pieprasījumu atbildīgā iestāde sagatavo, </w:t>
            </w:r>
            <w:r w:rsidRPr="00E84DEC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balstoties uz projektos veiktajiem maksājumiem, kas ir pārbaudīti un iegrāmatoti atbildīgās iestādes grāmatvedības uzskaitē kā saistības ārvalstu finanšu palīdzības fondu finansējuma atmaksai. Attiecībā uz 202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E84DEC">
              <w:rPr>
                <w:rFonts w:ascii="Times New Roman" w:eastAsia="Times New Roman" w:hAnsi="Times New Roman" w:cs="Times New Roman"/>
                <w:lang w:eastAsia="lv-LV"/>
              </w:rPr>
              <w:t>. finanšu gadu, lai nodrošinātu izdevumu iekļaušanu Gada atlikuma maksājuma pieprasījumā, tiem ir jābūt iegrāmatotiem atbildīgas iestādes grāmatvedības uzskaitē līdz 202</w:t>
            </w:r>
            <w:r w:rsidR="00006C2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E84DEC">
              <w:rPr>
                <w:rFonts w:ascii="Times New Roman" w:eastAsia="Times New Roman" w:hAnsi="Times New Roman" w:cs="Times New Roman"/>
                <w:lang w:eastAsia="lv-LV"/>
              </w:rPr>
              <w:t>.gada 15.oktobrim.</w:t>
            </w:r>
          </w:p>
          <w:p w14:paraId="0F9BA153" w14:textId="5C8802AB" w:rsidR="00E84DEC" w:rsidRPr="004C44B1" w:rsidRDefault="00E84DEC" w:rsidP="009B692B">
            <w:pPr>
              <w:pStyle w:val="CM1"/>
              <w:spacing w:after="20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4B1">
              <w:rPr>
                <w:rFonts w:ascii="Times New Roman" w:eastAsia="Times New Roman" w:hAnsi="Times New Roman" w:cs="Times New Roman"/>
                <w:lang w:eastAsia="lv-LV"/>
              </w:rPr>
              <w:t xml:space="preserve">Gadījumā, ja dalībvalsts nenodrošina attiecīgā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finanšu </w:t>
            </w:r>
            <w:r w:rsidRPr="004C44B1">
              <w:rPr>
                <w:rFonts w:ascii="Times New Roman" w:eastAsia="Times New Roman" w:hAnsi="Times New Roman" w:cs="Times New Roman"/>
                <w:lang w:eastAsia="lv-LV"/>
              </w:rPr>
              <w:t>gada ietvaros plānotā finansējuma apguvi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(iekļaušanu Gada atlikuma maksājuma pieprasījumā)</w:t>
            </w:r>
            <w:r w:rsidRPr="004C44B1">
              <w:rPr>
                <w:rFonts w:ascii="Times New Roman" w:eastAsia="Times New Roman" w:hAnsi="Times New Roman" w:cs="Times New Roman"/>
                <w:lang w:eastAsia="lv-LV"/>
              </w:rPr>
              <w:t xml:space="preserve">, Eiropas Komisija </w:t>
            </w:r>
            <w:r w:rsidRPr="004C44B1">
              <w:rPr>
                <w:rFonts w:ascii="Times New Roman" w:hAnsi="Times New Roman" w:cs="Times New Roman"/>
              </w:rPr>
              <w:t>pamatojoties uz Regulas Nr.514/2014 5.iedaļas “Saistību atcelšana” 50.pantu “Principi”, piemēro finanšu saistību atcelšanas procedūru,</w:t>
            </w:r>
            <w:r w:rsidRPr="004C44B1">
              <w:rPr>
                <w:rFonts w:ascii="Times New Roman" w:eastAsia="Times New Roman" w:hAnsi="Times New Roman" w:cs="Times New Roman"/>
                <w:lang w:eastAsia="lv-LV"/>
              </w:rPr>
              <w:t xml:space="preserve"> pilnīgi vai daļēji atceļot Eiropas Savienības līdzekļu ieguldījumu nacionālajā programmā un atgūstot tos no attiecīgās dalībvalsts.</w:t>
            </w:r>
          </w:p>
          <w:p w14:paraId="6088A340" w14:textId="7C5C7370" w:rsidR="00E84DEC" w:rsidRPr="00862E74" w:rsidRDefault="00E84DEC" w:rsidP="009B692B">
            <w:pPr>
              <w:pStyle w:val="CM1"/>
              <w:spacing w:before="200" w:after="200"/>
              <w:jc w:val="both"/>
            </w:pPr>
            <w:r w:rsidRPr="004C44B1">
              <w:rPr>
                <w:rFonts w:ascii="Times New Roman" w:eastAsia="Times New Roman" w:hAnsi="Times New Roman" w:cs="Times New Roman"/>
                <w:lang w:eastAsia="lv-LV"/>
              </w:rPr>
              <w:t xml:space="preserve">Saistību atcelšanas nolūkā Eiropas Komisija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atceļamo</w:t>
            </w:r>
            <w:r w:rsidRPr="004C44B1">
              <w:rPr>
                <w:rFonts w:ascii="Times New Roman" w:eastAsia="Times New Roman" w:hAnsi="Times New Roman" w:cs="Times New Roman"/>
                <w:lang w:eastAsia="lv-LV"/>
              </w:rPr>
              <w:t xml:space="preserve"> summu aprēķina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balstoties uz saistību atcelšanas simulācijas rezultātā noteikto minimālo izdevumu slieksni un </w:t>
            </w:r>
            <w:r w:rsidRPr="004C44B1">
              <w:rPr>
                <w:rFonts w:ascii="Times New Roman" w:eastAsia="Times New Roman" w:hAnsi="Times New Roman" w:cs="Times New Roman"/>
                <w:lang w:eastAsia="lv-LV"/>
              </w:rPr>
              <w:t xml:space="preserve">katru gadu informējot par to dalībvalstis. </w:t>
            </w:r>
            <w:r w:rsidRPr="00862E74">
              <w:rPr>
                <w:rFonts w:ascii="Times New Roman" w:eastAsia="Times New Roman" w:hAnsi="Times New Roman" w:cs="Times New Roman"/>
                <w:lang w:eastAsia="lv-LV"/>
              </w:rPr>
              <w:t>Ņemot vērā nepieciešamību katru gadu līdz 15.oktobrim deklarēt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vismaz minimālo izdevumu apjomu</w:t>
            </w:r>
            <w:r w:rsidRPr="00862E74">
              <w:rPr>
                <w:rFonts w:ascii="Times New Roman" w:eastAsia="Times New Roman" w:hAnsi="Times New Roman" w:cs="Times New Roman"/>
                <w:lang w:eastAsia="lv-LV"/>
              </w:rPr>
              <w:t>, Eiropas Savienības dalībvalstis, balstoties uz nacionāl</w:t>
            </w:r>
            <w:r w:rsidR="00DF2A3D">
              <w:rPr>
                <w:rFonts w:ascii="Times New Roman" w:eastAsia="Times New Roman" w:hAnsi="Times New Roman" w:cs="Times New Roman"/>
                <w:lang w:eastAsia="lv-LV"/>
              </w:rPr>
              <w:t>ajiem normatīvajiem aktiem</w:t>
            </w:r>
            <w:r w:rsidRPr="00862E74">
              <w:rPr>
                <w:rFonts w:ascii="Times New Roman" w:eastAsia="Times New Roman" w:hAnsi="Times New Roman" w:cs="Times New Roman"/>
                <w:lang w:eastAsia="lv-LV"/>
              </w:rPr>
              <w:t>, piemēro atšķirīgas metodikas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 w:rsidRPr="00862E74">
              <w:rPr>
                <w:rFonts w:ascii="Times New Roman" w:eastAsia="Times New Roman" w:hAnsi="Times New Roman" w:cs="Times New Roman"/>
                <w:lang w:eastAsia="lv-LV"/>
              </w:rPr>
              <w:t>nodrošinot izdevumu iekļaušanu Gada atlikuma maksājuma pieprasījumā</w:t>
            </w:r>
            <w:r w:rsidRPr="005C05AD">
              <w:rPr>
                <w:rFonts w:ascii="Times New Roman" w:hAnsi="Times New Roman" w:cs="Times New Roman"/>
              </w:rPr>
              <w:t xml:space="preserve">, piemērojot </w:t>
            </w:r>
            <w:r>
              <w:rPr>
                <w:rFonts w:ascii="Times New Roman" w:hAnsi="Times New Roman" w:cs="Times New Roman"/>
              </w:rPr>
              <w:t xml:space="preserve">kādu no </w:t>
            </w:r>
            <w:r w:rsidRPr="005C05AD">
              <w:rPr>
                <w:rFonts w:ascii="Times New Roman" w:hAnsi="Times New Roman" w:cs="Times New Roman"/>
              </w:rPr>
              <w:t>šāda veida procedūr</w:t>
            </w:r>
            <w:r>
              <w:rPr>
                <w:rFonts w:ascii="Times New Roman" w:hAnsi="Times New Roman" w:cs="Times New Roman"/>
              </w:rPr>
              <w:t>ām</w:t>
            </w:r>
            <w:r w:rsidRPr="005C05AD">
              <w:rPr>
                <w:rFonts w:ascii="Times New Roman" w:hAnsi="Times New Roman" w:cs="Times New Roman"/>
              </w:rPr>
              <w:t>:</w:t>
            </w:r>
          </w:p>
          <w:p w14:paraId="74EBADA1" w14:textId="77777777" w:rsidR="00E84DEC" w:rsidRDefault="00E84DEC" w:rsidP="00E84DEC">
            <w:pPr>
              <w:pStyle w:val="liknoteik"/>
              <w:numPr>
                <w:ilvl w:val="0"/>
                <w:numId w:val="6"/>
              </w:numPr>
              <w:spacing w:before="120" w:beforeAutospacing="0" w:after="0" w:afterAutospacing="0"/>
              <w:ind w:left="641" w:hanging="357"/>
              <w:jc w:val="both"/>
            </w:pPr>
            <w:r>
              <w:t xml:space="preserve">balstoties uz fonda ietvaros noslēgto granta līgumu ietvaros </w:t>
            </w:r>
            <w:r w:rsidRPr="004C44B1">
              <w:t xml:space="preserve">veiktajiem </w:t>
            </w:r>
            <w:r>
              <w:t>maksājumiem;</w:t>
            </w:r>
          </w:p>
          <w:p w14:paraId="10710276" w14:textId="248C782A" w:rsidR="00E84DEC" w:rsidRDefault="008B5DC9" w:rsidP="008B5DC9">
            <w:pPr>
              <w:pStyle w:val="liknoteik"/>
              <w:numPr>
                <w:ilvl w:val="0"/>
                <w:numId w:val="6"/>
              </w:numPr>
              <w:spacing w:before="120" w:beforeAutospacing="0" w:after="0" w:afterAutospacing="0"/>
              <w:jc w:val="both"/>
            </w:pPr>
            <w:r>
              <w:t xml:space="preserve">tiešās valsts pārvaldes iestādēm </w:t>
            </w:r>
            <w:r w:rsidR="00E84DEC">
              <w:t xml:space="preserve"> </w:t>
            </w:r>
            <w:r w:rsidR="00E84DEC" w:rsidRPr="00A849DD">
              <w:t>iekļau</w:t>
            </w:r>
            <w:r w:rsidR="00E84DEC">
              <w:t>jot</w:t>
            </w:r>
            <w:r w:rsidR="00E84DEC" w:rsidRPr="00166F00">
              <w:t xml:space="preserve"> (deklarējot</w:t>
            </w:r>
            <w:r w:rsidR="00E84DEC" w:rsidRPr="00A849DD">
              <w:t>) fonda projektu ietvaros noslēgto iepirkumu līgumu summas pirms maksājumu par līguma izpildi veikšanas</w:t>
            </w:r>
            <w:r w:rsidR="00E84DEC">
              <w:t>;</w:t>
            </w:r>
          </w:p>
          <w:p w14:paraId="5A781DD7" w14:textId="1DF81F26" w:rsidR="00E84DEC" w:rsidRDefault="008B5DC9" w:rsidP="008B5DC9">
            <w:pPr>
              <w:pStyle w:val="liknoteik"/>
              <w:numPr>
                <w:ilvl w:val="0"/>
                <w:numId w:val="6"/>
              </w:numPr>
              <w:spacing w:before="120" w:beforeAutospacing="0" w:after="0" w:afterAutospacing="0"/>
              <w:jc w:val="both"/>
            </w:pPr>
            <w:r>
              <w:t>tiešās valsts pārvaldes iestād</w:t>
            </w:r>
            <w:r w:rsidR="00C11599">
              <w:t>ēm</w:t>
            </w:r>
            <w:r w:rsidR="00E84DEC">
              <w:t xml:space="preserve"> iekļaujot (deklarējot) fondu projektu ietvaros noslēgto granta līgumu summas, kuras ir iekļautas kārtējā gada valsts budžetā, pirms maksājumu par līgumu izpildi veikšanas.</w:t>
            </w:r>
          </w:p>
          <w:p w14:paraId="7AADC2E5" w14:textId="3F8DEFD1" w:rsidR="009B692B" w:rsidRDefault="009B692B" w:rsidP="009B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Līdz šim Latvija fondu ietvaros Gada atlikuma maksājuma pieprasījumos ir iekļāvusi izdevumus balstoties uz fonda ietvaros noslēgto granta līgumu ietvaros veiktajiem maksājumiem.</w:t>
            </w:r>
          </w:p>
          <w:p w14:paraId="45B41DD8" w14:textId="2889D6AA" w:rsidR="00067E99" w:rsidRPr="001D7FB0" w:rsidRDefault="003E4E0E" w:rsidP="008B5D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mazinātu</w:t>
            </w:r>
            <w:r w:rsidRPr="003E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sais</w:t>
            </w:r>
            <w:r w:rsidR="00312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tību atcelšanas riska iestāšanos, kā arī</w:t>
            </w:r>
            <w:r w:rsidRPr="003E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ievērojot citu dalībvalstu pieredzi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noteikumu projekts paredz precizēt </w:t>
            </w:r>
            <w:r w:rsidR="00C1670D" w:rsidRPr="00C167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Ministru kabineta 2015. gada 28. jūlija </w:t>
            </w:r>
            <w:r w:rsidR="00C1670D" w:rsidRPr="00C167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noteikum</w:t>
            </w:r>
            <w:r w:rsidR="00C167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u</w:t>
            </w:r>
            <w:r w:rsidR="00C1670D" w:rsidRPr="00C167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Nr.433 “</w:t>
            </w:r>
            <w:r w:rsidR="00C1670D" w:rsidRPr="00C167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Iekšējās drošības fonda un Patvēruma, migrācijas un integrācijas fonda 2014.-2020. gada plānošanas perioda pārvaldības un kontroles sistēmas izveides un finanšu vadības un kontroles kārtība</w:t>
            </w:r>
            <w:r w:rsidR="00C1670D" w:rsidRPr="00C167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”</w:t>
            </w:r>
            <w:r w:rsidR="00C1670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26.punktu un noteikt, ka </w:t>
            </w:r>
            <w:r w:rsidRPr="003E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Gada </w:t>
            </w:r>
            <w:r w:rsidR="00B0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atlikuma </w:t>
            </w:r>
            <w:r w:rsidRPr="003E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maksājuma pieprasījum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 var </w:t>
            </w:r>
            <w:r w:rsidRPr="003E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iekļaut (deklarēt)</w:t>
            </w:r>
            <w:r w:rsidR="00312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arī</w:t>
            </w:r>
            <w:r w:rsidRPr="003E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56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projektu ietvaros noslēgto iepirkumu līgumu summas pirms maksājumu par līguma izpildi veikšanas</w:t>
            </w:r>
            <w:r w:rsidR="0056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74AF" w:rsidRPr="007A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(attiecas tikai uz </w:t>
            </w:r>
            <w:r w:rsidR="008B5DC9" w:rsidRPr="008B5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tiešās valsts pārvaldes iestā</w:t>
            </w:r>
            <w:r w:rsidR="008B5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žu </w:t>
            </w:r>
            <w:r w:rsidR="005674AF" w:rsidRPr="007A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projektiem)</w:t>
            </w:r>
            <w:r w:rsidRPr="007A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t xml:space="preserve"> </w:t>
            </w:r>
            <w:r w:rsidRPr="003E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Lai gūtu pārliecību par minēto līgumu ietvaros veicamo izdevumu atbilstību un attiecināmību, minētie iepirkumi ir pakļaujami iepirkumu dokumentācijas un iepirkumu norises </w:t>
            </w:r>
            <w:proofErr w:type="spellStart"/>
            <w:r w:rsidRPr="003E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pirmspārbaudēm</w:t>
            </w:r>
            <w:proofErr w:type="spellEnd"/>
            <w:r w:rsidRPr="003E4E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67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Šāda pieeja tika izmantota sagatavojot Gada atlikuma maksājuma pieprasījumu 2020.gadā. </w:t>
            </w:r>
            <w:r w:rsidR="008B5DC9" w:rsidRPr="008B5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Iekšlietu ministrijas sagatavotais informatīvais ziņojums “Par Iekšējās drošības fonda apguvi” izskatīts Ministru kabineta 2020.gada 15.septembra sēdē (protokols Nr.54, 47.§)</w:t>
            </w:r>
          </w:p>
        </w:tc>
      </w:tr>
      <w:tr w:rsidR="001D7FB0" w:rsidRPr="001D7FB0" w14:paraId="291B29BD" w14:textId="77777777" w:rsidTr="00511539">
        <w:trPr>
          <w:trHeight w:val="838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598D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8ED0F" w14:textId="434B32F2" w:rsidR="00E5323B" w:rsidRPr="001D7FB0" w:rsidRDefault="00E5323B" w:rsidP="000744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EABA2" w14:textId="30D9B2C6" w:rsidR="00926EE4" w:rsidRPr="001D7FB0" w:rsidRDefault="0007446C" w:rsidP="009C5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Iekšlietu ministrija kā atbildīgā iestāde, Kultūras ministrija kā deleģētā iestāde, Finanšu ministrija kā revīzijas iestāde</w:t>
            </w:r>
            <w:r w:rsidR="00AF48DA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1D7FB0" w:rsidRPr="001D7FB0" w14:paraId="4CA2343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D00DE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709E1" w14:textId="77777777" w:rsidR="00E5323B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D0628" w14:textId="01A4182D" w:rsidR="00E5323B" w:rsidRPr="001D7FB0" w:rsidRDefault="00F90048" w:rsidP="00E532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Nav.</w:t>
            </w:r>
          </w:p>
        </w:tc>
      </w:tr>
    </w:tbl>
    <w:p w14:paraId="05BA6D1D" w14:textId="40843A3C" w:rsidR="00E5323B" w:rsidRPr="001D7FB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1D7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p w14:paraId="2BBAD735" w14:textId="77777777" w:rsidR="00486DF6" w:rsidRPr="001D7FB0" w:rsidRDefault="00486DF6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1D7FB0" w:rsidRPr="001D7FB0" w14:paraId="6F54B97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B56B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D7FB0" w:rsidRPr="001D7FB0" w14:paraId="13FB0645" w14:textId="77777777" w:rsidTr="00D702D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AE949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46910" w14:textId="77777777" w:rsidR="00E5323B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380DD3" w14:textId="33E38980" w:rsidR="00520C85" w:rsidRPr="001D7FB0" w:rsidRDefault="00520C85" w:rsidP="0052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Iekšlietu ministriju kā atbildīg</w:t>
            </w:r>
            <w:r w:rsidR="00AF48DA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</w:t>
            </w: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iestād</w:t>
            </w:r>
            <w:r w:rsidR="00AF48DA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</w:p>
          <w:p w14:paraId="3825BCCB" w14:textId="238264C7" w:rsidR="00520C85" w:rsidRPr="001D7FB0" w:rsidRDefault="00520C85" w:rsidP="0052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Kultūras ministriju kā deleģēt</w:t>
            </w:r>
            <w:r w:rsidR="00AF48DA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</w:t>
            </w: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iestād</w:t>
            </w:r>
            <w:r w:rsidR="00AF48DA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</w:p>
          <w:p w14:paraId="2640B5BE" w14:textId="5C60E42F" w:rsidR="00E5323B" w:rsidRPr="001D7FB0" w:rsidRDefault="00520C85" w:rsidP="0052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Finanšu ministriju kā revīzijas iestād</w:t>
            </w:r>
            <w:r w:rsidR="00AF48DA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14:paraId="41F5F66A" w14:textId="11DC785B" w:rsidR="00520C85" w:rsidRPr="001D7FB0" w:rsidRDefault="00400EDF" w:rsidP="00400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Fondu finansējuma saņēmēj</w:t>
            </w:r>
            <w:r w:rsidR="00AF48DA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us</w:t>
            </w:r>
            <w:r w:rsidR="00A644C9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A644C9" w:rsidRPr="001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sadarbības partner</w:t>
            </w:r>
            <w:r w:rsidR="00AF48DA" w:rsidRPr="001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</w:t>
            </w: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1D7FB0" w:rsidRPr="001D7FB0" w14:paraId="7A9CAA7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C3CAA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0170E" w14:textId="77777777" w:rsidR="00E5323B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D99C0" w14:textId="6B03F25B" w:rsidR="009F5D76" w:rsidRPr="001D7FB0" w:rsidRDefault="00312C8D" w:rsidP="009F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F5D76" w:rsidRPr="001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dministratīvais slogs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netiek palielināts</w:t>
            </w:r>
            <w:r w:rsidR="009F5D76" w:rsidRPr="001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72D2977" w14:textId="15AEBC41" w:rsidR="009F5D76" w:rsidRPr="001D7FB0" w:rsidRDefault="009F5D76" w:rsidP="00322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D7FB0" w:rsidRPr="001D7FB0" w14:paraId="3F4A397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4C18A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1C664" w14:textId="77777777" w:rsidR="00E5323B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4996F" w14:textId="77777777" w:rsidR="001D7FB0" w:rsidRPr="001D7FB0" w:rsidRDefault="001D7FB0" w:rsidP="001D7F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projekts šo jomu nesakar. </w:t>
            </w:r>
          </w:p>
          <w:p w14:paraId="192F1BCD" w14:textId="6AB14B5A" w:rsidR="00FA7779" w:rsidRPr="001D7FB0" w:rsidRDefault="00FA7779" w:rsidP="0079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D7FB0" w:rsidRPr="001D7FB0" w14:paraId="148BC1D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AD08A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EF6DA" w14:textId="77777777" w:rsidR="00E5323B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0F64A" w14:textId="2E2CD9A2" w:rsidR="00073CF5" w:rsidRPr="001D7FB0" w:rsidRDefault="00D754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</w:t>
            </w:r>
            <w:r w:rsidR="00F051EA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oteikumu projekts šo jomu nesakar. </w:t>
            </w:r>
          </w:p>
          <w:p w14:paraId="44F560B4" w14:textId="1B6A4E51" w:rsidR="00E5323B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D7FB0" w:rsidRPr="001D7FB0" w14:paraId="6D520D4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836E3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E7DE0" w14:textId="77777777" w:rsidR="00E5323B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26BE5" w14:textId="3E53D00D" w:rsidR="00E5323B" w:rsidRPr="001D7FB0" w:rsidRDefault="001D55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32203F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7FD34103" w14:textId="77777777" w:rsidR="00E5323B" w:rsidRPr="001D7FB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1D7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D7FB0" w:rsidRPr="001D7FB0" w14:paraId="430A066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21E87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D7FB0" w:rsidRPr="001D7FB0" w14:paraId="027E738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4AEB1" w14:textId="1A368FB8" w:rsidR="001D7FB0" w:rsidRPr="001D7FB0" w:rsidRDefault="001D7FB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684EF7A" w14:textId="77777777" w:rsidR="00E5323B" w:rsidRPr="001D7FB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1D7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D7FB0" w:rsidRPr="001D7FB0" w14:paraId="67A89E6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3F12F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1D7FB0" w:rsidRPr="001D7FB0" w14:paraId="728FD32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07D9E" w14:textId="42C2FD48" w:rsidR="0069058C" w:rsidRPr="001D7FB0" w:rsidRDefault="0069058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D7AB51E" w14:textId="77777777" w:rsidR="00E5323B" w:rsidRPr="001D7FB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1D7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D7FB0" w:rsidRPr="001D7FB0" w14:paraId="3754C95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2FDF1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12C8D" w:rsidRPr="001D7FB0" w14:paraId="1094E32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FAFB7" w14:textId="3743EFD9" w:rsidR="00312C8D" w:rsidRPr="001D7FB0" w:rsidRDefault="00312C8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971CB25" w14:textId="77777777" w:rsidR="00E5323B" w:rsidRPr="001D7FB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1D7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p w14:paraId="048E06AE" w14:textId="77777777" w:rsidR="00E5323B" w:rsidRPr="001D7FB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1D7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"/>
        <w:gridCol w:w="1822"/>
        <w:gridCol w:w="6823"/>
      </w:tblGrid>
      <w:tr w:rsidR="001D7FB0" w:rsidRPr="001D7FB0" w14:paraId="21EDD179" w14:textId="77777777" w:rsidTr="00223C08">
        <w:trPr>
          <w:trHeight w:val="260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F715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D7FB0" w:rsidRPr="001D7FB0" w14:paraId="6393F286" w14:textId="77777777" w:rsidTr="000636FF">
        <w:trPr>
          <w:trHeight w:val="1817"/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9D790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F8987" w14:textId="77777777" w:rsidR="00E5323B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D656A" w14:textId="1305F85C" w:rsidR="00E5323B" w:rsidRPr="001D7FB0" w:rsidRDefault="00C5089B" w:rsidP="00A265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Noteikumu projekts </w:t>
            </w:r>
            <w:r w:rsidR="002628BA" w:rsidRPr="001D7FB0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regulē publiskās pārvaldes tiesiskās attiecības un attiecībā pret privāto sektoru izmaiņas neparedz.</w:t>
            </w:r>
            <w:r w:rsidR="00F717BE" w:rsidRPr="001D7FB0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375218F3" w14:textId="666CF4F6" w:rsidR="00BA106A" w:rsidRPr="001D7FB0" w:rsidRDefault="00A87A1D" w:rsidP="00312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Sabiedrības pārstāvji </w:t>
            </w:r>
            <w:r w:rsidR="00F717BE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var</w:t>
            </w:r>
            <w:r w:rsidR="00936D2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ēja</w:t>
            </w:r>
            <w:r w:rsidR="00F717BE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izteikt savus priekšlikumus M</w:t>
            </w:r>
            <w:r w:rsidR="00312C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inistru Kabineta </w:t>
            </w:r>
            <w:r w:rsidR="00F717BE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projekta izsludināšanas laikā Valsts sekretāru sanāksmē.</w:t>
            </w:r>
          </w:p>
        </w:tc>
      </w:tr>
      <w:tr w:rsidR="001D7FB0" w:rsidRPr="001D7FB0" w14:paraId="01C4F0D5" w14:textId="77777777" w:rsidTr="000636FF">
        <w:trPr>
          <w:trHeight w:val="1033"/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BED20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4B46C" w14:textId="77777777" w:rsidR="00E5323B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985F6" w14:textId="7BB4B322" w:rsidR="007F3C7E" w:rsidRPr="001D7FB0" w:rsidRDefault="00665C27" w:rsidP="00063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Iebildumi vai priekšlikumi netika saņemti.</w:t>
            </w:r>
          </w:p>
        </w:tc>
      </w:tr>
      <w:tr w:rsidR="001D7FB0" w:rsidRPr="001D7FB0" w14:paraId="3DA3CB91" w14:textId="77777777" w:rsidTr="000636FF">
        <w:trPr>
          <w:trHeight w:val="772"/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7D346" w14:textId="77777777" w:rsidR="000636FF" w:rsidRPr="001D7FB0" w:rsidRDefault="000636FF" w:rsidP="00063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1119A" w14:textId="77777777" w:rsidR="000636FF" w:rsidRPr="001D7FB0" w:rsidRDefault="000636FF" w:rsidP="00063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95236" w14:textId="4391DEEC" w:rsidR="000636FF" w:rsidRPr="001D7FB0" w:rsidRDefault="00C50028" w:rsidP="000636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Iebildumi vai priekšlikumi netika saņemti.</w:t>
            </w:r>
          </w:p>
        </w:tc>
      </w:tr>
      <w:tr w:rsidR="001D7FB0" w:rsidRPr="001D7FB0" w14:paraId="18029D35" w14:textId="77777777" w:rsidTr="000636FF">
        <w:trPr>
          <w:trHeight w:val="522"/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54D5F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60B3A" w14:textId="77777777" w:rsidR="00E5323B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14C8E" w14:textId="26E079AE" w:rsidR="00E5323B" w:rsidRPr="001D7FB0" w:rsidRDefault="002628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3755C7E1" w14:textId="77777777" w:rsidR="00E5323B" w:rsidRPr="001D7FB0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1D7F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530"/>
        <w:gridCol w:w="5944"/>
      </w:tblGrid>
      <w:tr w:rsidR="001D7FB0" w:rsidRPr="001D7FB0" w14:paraId="24E05F8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E378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D7FB0" w:rsidRPr="001D7FB0" w14:paraId="6F0A0308" w14:textId="77777777" w:rsidTr="004F63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E0F2B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8BCE2" w14:textId="77777777" w:rsidR="00E5323B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32942" w14:textId="561E9225" w:rsidR="00FC10A8" w:rsidRPr="001D7FB0" w:rsidRDefault="002B19B4" w:rsidP="00FC1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</w:t>
            </w:r>
            <w:r w:rsidR="00FC10A8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oteikumu projekta izpildi nodrošinās šādas institūcijas:</w:t>
            </w:r>
          </w:p>
          <w:p w14:paraId="1B2DC6DF" w14:textId="77777777" w:rsidR="00F2106C" w:rsidRPr="001D7FB0" w:rsidRDefault="000636FF" w:rsidP="00063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Iekšlietu ministrija kā atbildīgā iestāde</w:t>
            </w:r>
            <w:r w:rsidR="00F2106C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14:paraId="7E43367E" w14:textId="77777777" w:rsidR="00F2106C" w:rsidRPr="001D7FB0" w:rsidRDefault="000636FF" w:rsidP="00063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Kultūras ministrija kā deleģētā iestāde, </w:t>
            </w:r>
          </w:p>
          <w:p w14:paraId="611B4A9B" w14:textId="39CD787E" w:rsidR="00E5323B" w:rsidRPr="001D7FB0" w:rsidRDefault="000636FF" w:rsidP="000636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Finanšu ministrija kā revīzijas iestāde</w:t>
            </w:r>
            <w:r w:rsidR="0082412C"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1D7FB0" w:rsidRPr="001D7FB0" w14:paraId="08080B78" w14:textId="77777777" w:rsidTr="004F63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34B3B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A040D" w14:textId="77777777" w:rsidR="00E5323B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0BC64" w14:textId="4336428C" w:rsidR="00CD6956" w:rsidRPr="001D7FB0" w:rsidRDefault="002B19B4" w:rsidP="001D7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7A4F6A" w:rsidRPr="001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oteikum</w:t>
            </w:r>
            <w:r w:rsidR="00604422" w:rsidRPr="001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projekts</w:t>
            </w:r>
            <w:r w:rsidR="007A4F6A" w:rsidRPr="001D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nepalielina institūciju veicamo funkciju apjomu.</w:t>
            </w:r>
          </w:p>
        </w:tc>
      </w:tr>
      <w:tr w:rsidR="00E5323B" w:rsidRPr="001D7FB0" w14:paraId="5905D2A1" w14:textId="77777777" w:rsidTr="004F63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CBB79" w14:textId="77777777" w:rsidR="00655F2C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0E713" w14:textId="77777777" w:rsidR="00E5323B" w:rsidRPr="001D7FB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39848" w14:textId="339F648D" w:rsidR="00E5323B" w:rsidRPr="001D7FB0" w:rsidRDefault="00456EA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FB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F6E4779" w14:textId="77777777" w:rsidR="00C25B49" w:rsidRPr="001D7FB0" w:rsidRDefault="00C25B49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B8D6C1" w14:textId="74789A72" w:rsidR="00E5323B" w:rsidRPr="001D7FB0" w:rsidRDefault="00E5323B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88AC35" w14:textId="5994F24B" w:rsidR="00A36949" w:rsidRPr="001D7FB0" w:rsidRDefault="00334F47" w:rsidP="00CD4E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Iekšlietu ministre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CD4E51" w:rsidRPr="001D7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M.Golubeva</w:t>
      </w:r>
      <w:bookmarkStart w:id="0" w:name="_GoBack"/>
      <w:bookmarkEnd w:id="0"/>
    </w:p>
    <w:p w14:paraId="3150AAB1" w14:textId="37562EE2" w:rsidR="00CD4E51" w:rsidRPr="001D7FB0" w:rsidRDefault="00CD4E51" w:rsidP="00CD4E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A8752" w14:textId="0C08CFBA" w:rsidR="00CD4E51" w:rsidRPr="001D7FB0" w:rsidRDefault="00CD4E51" w:rsidP="00CD4E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FB0">
        <w:rPr>
          <w:rFonts w:ascii="Times New Roman" w:hAnsi="Times New Roman" w:cs="Times New Roman"/>
          <w:color w:val="000000" w:themeColor="text1"/>
          <w:sz w:val="28"/>
          <w:szCs w:val="28"/>
        </w:rPr>
        <w:t>Vīza:</w:t>
      </w:r>
    </w:p>
    <w:p w14:paraId="4915B736" w14:textId="78A76564" w:rsidR="00CD4E51" w:rsidRPr="001D7FB0" w:rsidRDefault="00CD4E51" w:rsidP="00CD4E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FB0">
        <w:rPr>
          <w:rFonts w:ascii="Times New Roman" w:hAnsi="Times New Roman" w:cs="Times New Roman"/>
          <w:color w:val="000000" w:themeColor="text1"/>
          <w:sz w:val="28"/>
          <w:szCs w:val="28"/>
        </w:rPr>
        <w:t>valsts sekretārs</w:t>
      </w:r>
      <w:r w:rsidRPr="001D7F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7F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7F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7F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7FB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Pr="001D7F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7F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7FB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proofErr w:type="spellStart"/>
      <w:r w:rsidRPr="001D7FB0">
        <w:rPr>
          <w:rFonts w:ascii="Times New Roman" w:hAnsi="Times New Roman" w:cs="Times New Roman"/>
          <w:color w:val="000000" w:themeColor="text1"/>
          <w:sz w:val="28"/>
          <w:szCs w:val="28"/>
        </w:rPr>
        <w:t>D.Trofimovs</w:t>
      </w:r>
      <w:proofErr w:type="spellEnd"/>
    </w:p>
    <w:p w14:paraId="61AF39AF" w14:textId="17684D3C" w:rsidR="00CD4E51" w:rsidRPr="001D7FB0" w:rsidRDefault="00CD4E51" w:rsidP="00CD4E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C9CE43" w14:textId="0F6041F0" w:rsidR="00CD4E51" w:rsidRPr="001D7FB0" w:rsidRDefault="00CD4E51" w:rsidP="00CD4E51">
      <w:pPr>
        <w:pStyle w:val="naisf"/>
        <w:tabs>
          <w:tab w:val="left" w:pos="5747"/>
        </w:tabs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1D7FB0">
        <w:rPr>
          <w:color w:val="000000" w:themeColor="text1"/>
          <w:sz w:val="20"/>
          <w:szCs w:val="20"/>
        </w:rPr>
        <w:fldChar w:fldCharType="begin"/>
      </w:r>
      <w:r w:rsidRPr="001D7FB0">
        <w:rPr>
          <w:color w:val="000000" w:themeColor="text1"/>
          <w:sz w:val="20"/>
          <w:szCs w:val="20"/>
        </w:rPr>
        <w:instrText xml:space="preserve"> DATE  \@ "dd.MM.yyyy HH:mm"  \* MERGEFORMAT </w:instrText>
      </w:r>
      <w:r w:rsidRPr="001D7FB0">
        <w:rPr>
          <w:color w:val="000000" w:themeColor="text1"/>
          <w:sz w:val="20"/>
          <w:szCs w:val="20"/>
        </w:rPr>
        <w:fldChar w:fldCharType="separate"/>
      </w:r>
      <w:r w:rsidR="00936D26">
        <w:rPr>
          <w:noProof/>
          <w:color w:val="000000" w:themeColor="text1"/>
          <w:sz w:val="20"/>
          <w:szCs w:val="20"/>
        </w:rPr>
        <w:t>13.06.2021 12:49</w:t>
      </w:r>
      <w:r w:rsidRPr="001D7FB0">
        <w:rPr>
          <w:color w:val="000000" w:themeColor="text1"/>
          <w:sz w:val="20"/>
          <w:szCs w:val="20"/>
        </w:rPr>
        <w:fldChar w:fldCharType="end"/>
      </w:r>
    </w:p>
    <w:p w14:paraId="61674082" w14:textId="61D17D49" w:rsidR="00CD4E51" w:rsidRPr="001D7FB0" w:rsidRDefault="00C11599" w:rsidP="00CD4E51">
      <w:pPr>
        <w:pStyle w:val="naisf"/>
        <w:tabs>
          <w:tab w:val="left" w:pos="5747"/>
        </w:tabs>
        <w:spacing w:before="0" w:beforeAutospacing="0" w:after="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</w:t>
      </w:r>
      <w:r w:rsidR="00334F47">
        <w:rPr>
          <w:color w:val="000000" w:themeColor="text1"/>
          <w:sz w:val="20"/>
          <w:szCs w:val="20"/>
        </w:rPr>
        <w:t>74</w:t>
      </w:r>
      <w:r w:rsidR="00CD4E51" w:rsidRPr="001D7FB0">
        <w:rPr>
          <w:color w:val="000000" w:themeColor="text1"/>
          <w:sz w:val="20"/>
          <w:szCs w:val="20"/>
        </w:rPr>
        <w:tab/>
      </w:r>
    </w:p>
    <w:p w14:paraId="5122B8CE" w14:textId="7B7C33EC" w:rsidR="00CD4E51" w:rsidRPr="001D7FB0" w:rsidRDefault="001D7FB0" w:rsidP="00CD4E51">
      <w:pPr>
        <w:pStyle w:val="naisf"/>
        <w:spacing w:before="0" w:beforeAutospacing="0" w:after="0" w:afterAutospacing="0"/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t>S.Balaško</w:t>
      </w:r>
    </w:p>
    <w:p w14:paraId="3C18A129" w14:textId="0700F6F3" w:rsidR="00CD4E51" w:rsidRPr="001D7FB0" w:rsidRDefault="00CD4E51" w:rsidP="00CD4E51">
      <w:pPr>
        <w:pStyle w:val="naisf"/>
        <w:spacing w:before="0" w:beforeAutospacing="0" w:after="0" w:afterAutospacing="0"/>
        <w:rPr>
          <w:noProof/>
          <w:color w:val="000000" w:themeColor="text1"/>
          <w:sz w:val="20"/>
          <w:szCs w:val="20"/>
        </w:rPr>
      </w:pPr>
      <w:r w:rsidRPr="001D7FB0">
        <w:rPr>
          <w:noProof/>
          <w:color w:val="000000" w:themeColor="text1"/>
          <w:sz w:val="20"/>
          <w:szCs w:val="20"/>
        </w:rPr>
        <w:t>6721</w:t>
      </w:r>
      <w:r w:rsidR="001D7FB0">
        <w:rPr>
          <w:noProof/>
          <w:color w:val="000000" w:themeColor="text1"/>
          <w:sz w:val="20"/>
          <w:szCs w:val="20"/>
        </w:rPr>
        <w:t>9500</w:t>
      </w:r>
      <w:r w:rsidRPr="001D7FB0">
        <w:rPr>
          <w:noProof/>
          <w:color w:val="000000" w:themeColor="text1"/>
          <w:sz w:val="20"/>
          <w:szCs w:val="20"/>
        </w:rPr>
        <w:t xml:space="preserve">, </w:t>
      </w:r>
      <w:hyperlink r:id="rId8" w:history="1">
        <w:r w:rsidR="001D7FB0" w:rsidRPr="000A7B95">
          <w:rPr>
            <w:rStyle w:val="Hyperlink"/>
            <w:noProof/>
            <w:sz w:val="20"/>
            <w:szCs w:val="20"/>
          </w:rPr>
          <w:t>santa.balasko@iem.gov.lv</w:t>
        </w:r>
      </w:hyperlink>
    </w:p>
    <w:p w14:paraId="7AC59259" w14:textId="77777777" w:rsidR="00456EA1" w:rsidRPr="001D7FB0" w:rsidRDefault="00456EA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  <w:highlight w:val="yellow"/>
        </w:rPr>
      </w:pPr>
    </w:p>
    <w:sectPr w:rsidR="00456EA1" w:rsidRPr="001D7FB0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7E78A" w14:textId="77777777" w:rsidR="00BD4ED7" w:rsidRDefault="00BD4ED7" w:rsidP="00894C55">
      <w:pPr>
        <w:spacing w:after="0" w:line="240" w:lineRule="auto"/>
      </w:pPr>
      <w:r>
        <w:separator/>
      </w:r>
    </w:p>
  </w:endnote>
  <w:endnote w:type="continuationSeparator" w:id="0">
    <w:p w14:paraId="529E0E8C" w14:textId="77777777" w:rsidR="00BD4ED7" w:rsidRDefault="00BD4ED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EUAlbertina">
    <w:altName w:val="Sitka Smal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A908E" w14:textId="556EE017" w:rsidR="00D60716" w:rsidRPr="00CD4E51" w:rsidRDefault="00E96228" w:rsidP="00511539">
    <w:pPr>
      <w:pStyle w:val="Footer"/>
      <w:tabs>
        <w:tab w:val="clear" w:pos="4153"/>
        <w:tab w:val="clear" w:pos="8306"/>
        <w:tab w:val="left" w:pos="1089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I</w:t>
    </w:r>
    <w:r w:rsidR="00C11599">
      <w:rPr>
        <w:rFonts w:ascii="Times New Roman" w:hAnsi="Times New Roman" w:cs="Times New Roman"/>
        <w:noProof/>
        <w:sz w:val="20"/>
        <w:szCs w:val="20"/>
      </w:rPr>
      <w:t>E</w:t>
    </w:r>
    <w:r>
      <w:rPr>
        <w:rFonts w:ascii="Times New Roman" w:hAnsi="Times New Roman" w:cs="Times New Roman"/>
        <w:noProof/>
        <w:sz w:val="20"/>
        <w:szCs w:val="20"/>
      </w:rPr>
      <w:t>Manot_mk433groz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817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C627EA5" w14:textId="7399089C" w:rsidR="00C11599" w:rsidRPr="00C11599" w:rsidRDefault="00C11599" w:rsidP="00C11599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34F47">
          <w:rPr>
            <w:rFonts w:ascii="Times New Roman" w:hAnsi="Times New Roman" w:cs="Times New Roman"/>
            <w:noProof/>
            <w:sz w:val="24"/>
            <w:szCs w:val="20"/>
          </w:rPr>
          <w:t>1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  <w:p w14:paraId="2F29B607" w14:textId="3D7396D9" w:rsidR="001D7FB0" w:rsidRPr="00C11599" w:rsidRDefault="00C11599" w:rsidP="00C11599">
    <w:pPr>
      <w:pStyle w:val="Footer"/>
      <w:tabs>
        <w:tab w:val="clear" w:pos="4153"/>
        <w:tab w:val="clear" w:pos="8306"/>
        <w:tab w:val="left" w:pos="1089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IEManot_mk433groz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14B0B" w14:textId="77777777" w:rsidR="00BD4ED7" w:rsidRDefault="00BD4ED7" w:rsidP="00894C55">
      <w:pPr>
        <w:spacing w:after="0" w:line="240" w:lineRule="auto"/>
      </w:pPr>
      <w:r>
        <w:separator/>
      </w:r>
    </w:p>
  </w:footnote>
  <w:footnote w:type="continuationSeparator" w:id="0">
    <w:p w14:paraId="7921D298" w14:textId="77777777" w:rsidR="00BD4ED7" w:rsidRDefault="00BD4ED7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CF03685" w14:textId="4E87B330" w:rsidR="00D60716" w:rsidRPr="00C25B49" w:rsidRDefault="00D60716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34F47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8CC"/>
    <w:multiLevelType w:val="hybridMultilevel"/>
    <w:tmpl w:val="892E2D50"/>
    <w:lvl w:ilvl="0" w:tplc="0426000F">
      <w:start w:val="1"/>
      <w:numFmt w:val="decimal"/>
      <w:lvlText w:val="%1."/>
      <w:lvlJc w:val="left"/>
      <w:pPr>
        <w:ind w:left="973" w:hanging="360"/>
      </w:pPr>
    </w:lvl>
    <w:lvl w:ilvl="1" w:tplc="04260019" w:tentative="1">
      <w:start w:val="1"/>
      <w:numFmt w:val="lowerLetter"/>
      <w:lvlText w:val="%2."/>
      <w:lvlJc w:val="left"/>
      <w:pPr>
        <w:ind w:left="1693" w:hanging="360"/>
      </w:pPr>
    </w:lvl>
    <w:lvl w:ilvl="2" w:tplc="0426001B" w:tentative="1">
      <w:start w:val="1"/>
      <w:numFmt w:val="lowerRoman"/>
      <w:lvlText w:val="%3."/>
      <w:lvlJc w:val="right"/>
      <w:pPr>
        <w:ind w:left="2413" w:hanging="180"/>
      </w:pPr>
    </w:lvl>
    <w:lvl w:ilvl="3" w:tplc="0426000F" w:tentative="1">
      <w:start w:val="1"/>
      <w:numFmt w:val="decimal"/>
      <w:lvlText w:val="%4."/>
      <w:lvlJc w:val="left"/>
      <w:pPr>
        <w:ind w:left="3133" w:hanging="360"/>
      </w:pPr>
    </w:lvl>
    <w:lvl w:ilvl="4" w:tplc="04260019" w:tentative="1">
      <w:start w:val="1"/>
      <w:numFmt w:val="lowerLetter"/>
      <w:lvlText w:val="%5."/>
      <w:lvlJc w:val="left"/>
      <w:pPr>
        <w:ind w:left="3853" w:hanging="360"/>
      </w:pPr>
    </w:lvl>
    <w:lvl w:ilvl="5" w:tplc="0426001B" w:tentative="1">
      <w:start w:val="1"/>
      <w:numFmt w:val="lowerRoman"/>
      <w:lvlText w:val="%6."/>
      <w:lvlJc w:val="right"/>
      <w:pPr>
        <w:ind w:left="4573" w:hanging="180"/>
      </w:pPr>
    </w:lvl>
    <w:lvl w:ilvl="6" w:tplc="0426000F" w:tentative="1">
      <w:start w:val="1"/>
      <w:numFmt w:val="decimal"/>
      <w:lvlText w:val="%7."/>
      <w:lvlJc w:val="left"/>
      <w:pPr>
        <w:ind w:left="5293" w:hanging="360"/>
      </w:pPr>
    </w:lvl>
    <w:lvl w:ilvl="7" w:tplc="04260019" w:tentative="1">
      <w:start w:val="1"/>
      <w:numFmt w:val="lowerLetter"/>
      <w:lvlText w:val="%8."/>
      <w:lvlJc w:val="left"/>
      <w:pPr>
        <w:ind w:left="6013" w:hanging="360"/>
      </w:pPr>
    </w:lvl>
    <w:lvl w:ilvl="8" w:tplc="0426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" w15:restartNumberingAfterBreak="0">
    <w:nsid w:val="1EBD6058"/>
    <w:multiLevelType w:val="hybridMultilevel"/>
    <w:tmpl w:val="1A0201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76D3"/>
    <w:multiLevelType w:val="hybridMultilevel"/>
    <w:tmpl w:val="404866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B7D71"/>
    <w:multiLevelType w:val="hybridMultilevel"/>
    <w:tmpl w:val="C05E6AFC"/>
    <w:lvl w:ilvl="0" w:tplc="042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C3BDA"/>
    <w:multiLevelType w:val="hybridMultilevel"/>
    <w:tmpl w:val="1B04E8F2"/>
    <w:lvl w:ilvl="0" w:tplc="BDECACA8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5" w:hanging="360"/>
      </w:pPr>
    </w:lvl>
    <w:lvl w:ilvl="2" w:tplc="0426001B" w:tentative="1">
      <w:start w:val="1"/>
      <w:numFmt w:val="lowerRoman"/>
      <w:lvlText w:val="%3."/>
      <w:lvlJc w:val="right"/>
      <w:pPr>
        <w:ind w:left="2195" w:hanging="180"/>
      </w:pPr>
    </w:lvl>
    <w:lvl w:ilvl="3" w:tplc="0426000F" w:tentative="1">
      <w:start w:val="1"/>
      <w:numFmt w:val="decimal"/>
      <w:lvlText w:val="%4."/>
      <w:lvlJc w:val="left"/>
      <w:pPr>
        <w:ind w:left="2915" w:hanging="360"/>
      </w:pPr>
    </w:lvl>
    <w:lvl w:ilvl="4" w:tplc="04260019" w:tentative="1">
      <w:start w:val="1"/>
      <w:numFmt w:val="lowerLetter"/>
      <w:lvlText w:val="%5."/>
      <w:lvlJc w:val="left"/>
      <w:pPr>
        <w:ind w:left="3635" w:hanging="360"/>
      </w:pPr>
    </w:lvl>
    <w:lvl w:ilvl="5" w:tplc="0426001B" w:tentative="1">
      <w:start w:val="1"/>
      <w:numFmt w:val="lowerRoman"/>
      <w:lvlText w:val="%6."/>
      <w:lvlJc w:val="right"/>
      <w:pPr>
        <w:ind w:left="4355" w:hanging="180"/>
      </w:pPr>
    </w:lvl>
    <w:lvl w:ilvl="6" w:tplc="0426000F" w:tentative="1">
      <w:start w:val="1"/>
      <w:numFmt w:val="decimal"/>
      <w:lvlText w:val="%7."/>
      <w:lvlJc w:val="left"/>
      <w:pPr>
        <w:ind w:left="5075" w:hanging="360"/>
      </w:pPr>
    </w:lvl>
    <w:lvl w:ilvl="7" w:tplc="04260019" w:tentative="1">
      <w:start w:val="1"/>
      <w:numFmt w:val="lowerLetter"/>
      <w:lvlText w:val="%8."/>
      <w:lvlJc w:val="left"/>
      <w:pPr>
        <w:ind w:left="5795" w:hanging="360"/>
      </w:pPr>
    </w:lvl>
    <w:lvl w:ilvl="8" w:tplc="0426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 w15:restartNumberingAfterBreak="0">
    <w:nsid w:val="72811175"/>
    <w:multiLevelType w:val="hybridMultilevel"/>
    <w:tmpl w:val="7934360A"/>
    <w:lvl w:ilvl="0" w:tplc="B440A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3A7E67"/>
    <w:multiLevelType w:val="hybridMultilevel"/>
    <w:tmpl w:val="09660E00"/>
    <w:lvl w:ilvl="0" w:tplc="63FAD6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5731"/>
    <w:rsid w:val="000061FD"/>
    <w:rsid w:val="00006C24"/>
    <w:rsid w:val="00010D09"/>
    <w:rsid w:val="00013079"/>
    <w:rsid w:val="0002028C"/>
    <w:rsid w:val="00024607"/>
    <w:rsid w:val="000505B6"/>
    <w:rsid w:val="000575BA"/>
    <w:rsid w:val="00060525"/>
    <w:rsid w:val="000615D5"/>
    <w:rsid w:val="00062E74"/>
    <w:rsid w:val="000636FF"/>
    <w:rsid w:val="00064B94"/>
    <w:rsid w:val="00067D9C"/>
    <w:rsid w:val="00067E99"/>
    <w:rsid w:val="00073CF5"/>
    <w:rsid w:val="00074173"/>
    <w:rsid w:val="0007446C"/>
    <w:rsid w:val="00080830"/>
    <w:rsid w:val="00094AC0"/>
    <w:rsid w:val="00096364"/>
    <w:rsid w:val="000B5010"/>
    <w:rsid w:val="000D1ABF"/>
    <w:rsid w:val="000F06EE"/>
    <w:rsid w:val="000F3B01"/>
    <w:rsid w:val="000F7E9B"/>
    <w:rsid w:val="00110EBB"/>
    <w:rsid w:val="001244F5"/>
    <w:rsid w:val="001337AE"/>
    <w:rsid w:val="00133914"/>
    <w:rsid w:val="00135813"/>
    <w:rsid w:val="0013672D"/>
    <w:rsid w:val="00141DD1"/>
    <w:rsid w:val="00143569"/>
    <w:rsid w:val="00147F31"/>
    <w:rsid w:val="00150CA2"/>
    <w:rsid w:val="00154CBE"/>
    <w:rsid w:val="00156A88"/>
    <w:rsid w:val="00175B8D"/>
    <w:rsid w:val="001911EE"/>
    <w:rsid w:val="00197DA8"/>
    <w:rsid w:val="001B1C6C"/>
    <w:rsid w:val="001B7294"/>
    <w:rsid w:val="001C18E7"/>
    <w:rsid w:val="001C48C5"/>
    <w:rsid w:val="001D1138"/>
    <w:rsid w:val="001D4AA8"/>
    <w:rsid w:val="001D553A"/>
    <w:rsid w:val="001D7FB0"/>
    <w:rsid w:val="001E4BAE"/>
    <w:rsid w:val="00204B5E"/>
    <w:rsid w:val="00213EAE"/>
    <w:rsid w:val="00223C08"/>
    <w:rsid w:val="00224386"/>
    <w:rsid w:val="002244DF"/>
    <w:rsid w:val="00234EE0"/>
    <w:rsid w:val="00240B49"/>
    <w:rsid w:val="00243426"/>
    <w:rsid w:val="00261155"/>
    <w:rsid w:val="002628BA"/>
    <w:rsid w:val="00272F1D"/>
    <w:rsid w:val="002B19B4"/>
    <w:rsid w:val="002C62E1"/>
    <w:rsid w:val="002E1C05"/>
    <w:rsid w:val="00302882"/>
    <w:rsid w:val="003117EC"/>
    <w:rsid w:val="00312C8D"/>
    <w:rsid w:val="00312EBF"/>
    <w:rsid w:val="00314002"/>
    <w:rsid w:val="0032203F"/>
    <w:rsid w:val="00322F81"/>
    <w:rsid w:val="0033265E"/>
    <w:rsid w:val="00334C25"/>
    <w:rsid w:val="00334F47"/>
    <w:rsid w:val="003403F2"/>
    <w:rsid w:val="00395461"/>
    <w:rsid w:val="0039557F"/>
    <w:rsid w:val="003B0307"/>
    <w:rsid w:val="003B0BF9"/>
    <w:rsid w:val="003D4E8F"/>
    <w:rsid w:val="003E0791"/>
    <w:rsid w:val="003E0AF6"/>
    <w:rsid w:val="003E26A2"/>
    <w:rsid w:val="003E2A09"/>
    <w:rsid w:val="003E4E0E"/>
    <w:rsid w:val="003E6749"/>
    <w:rsid w:val="003E7235"/>
    <w:rsid w:val="003F28AC"/>
    <w:rsid w:val="003F3F0F"/>
    <w:rsid w:val="00400EDF"/>
    <w:rsid w:val="0040333F"/>
    <w:rsid w:val="00406F9A"/>
    <w:rsid w:val="004223F8"/>
    <w:rsid w:val="00442312"/>
    <w:rsid w:val="004423D9"/>
    <w:rsid w:val="00442F20"/>
    <w:rsid w:val="004454FE"/>
    <w:rsid w:val="0044644F"/>
    <w:rsid w:val="00454D1D"/>
    <w:rsid w:val="00456E40"/>
    <w:rsid w:val="00456EA1"/>
    <w:rsid w:val="0046734C"/>
    <w:rsid w:val="00471F27"/>
    <w:rsid w:val="00474395"/>
    <w:rsid w:val="00481334"/>
    <w:rsid w:val="0048473F"/>
    <w:rsid w:val="00486DF6"/>
    <w:rsid w:val="004871D7"/>
    <w:rsid w:val="00490413"/>
    <w:rsid w:val="004B394E"/>
    <w:rsid w:val="004D1FEC"/>
    <w:rsid w:val="004D3D7E"/>
    <w:rsid w:val="004D46E8"/>
    <w:rsid w:val="004E3886"/>
    <w:rsid w:val="004F17B7"/>
    <w:rsid w:val="004F4890"/>
    <w:rsid w:val="004F6339"/>
    <w:rsid w:val="0050178F"/>
    <w:rsid w:val="00502179"/>
    <w:rsid w:val="005058CE"/>
    <w:rsid w:val="00511539"/>
    <w:rsid w:val="00520C85"/>
    <w:rsid w:val="005241E1"/>
    <w:rsid w:val="00533840"/>
    <w:rsid w:val="00533AAB"/>
    <w:rsid w:val="00541019"/>
    <w:rsid w:val="005624C1"/>
    <w:rsid w:val="00562784"/>
    <w:rsid w:val="005674AF"/>
    <w:rsid w:val="00571DC0"/>
    <w:rsid w:val="00574379"/>
    <w:rsid w:val="00574436"/>
    <w:rsid w:val="00591DC0"/>
    <w:rsid w:val="005A349D"/>
    <w:rsid w:val="005B080D"/>
    <w:rsid w:val="005B15A2"/>
    <w:rsid w:val="005B307E"/>
    <w:rsid w:val="005B57D4"/>
    <w:rsid w:val="005E378D"/>
    <w:rsid w:val="005E54BD"/>
    <w:rsid w:val="005F10CB"/>
    <w:rsid w:val="005F7B32"/>
    <w:rsid w:val="00604422"/>
    <w:rsid w:val="006063C0"/>
    <w:rsid w:val="006074F3"/>
    <w:rsid w:val="00611C3B"/>
    <w:rsid w:val="0061570E"/>
    <w:rsid w:val="00616EBB"/>
    <w:rsid w:val="006230DC"/>
    <w:rsid w:val="0062418A"/>
    <w:rsid w:val="006277A1"/>
    <w:rsid w:val="00631163"/>
    <w:rsid w:val="00644EF3"/>
    <w:rsid w:val="00647A0C"/>
    <w:rsid w:val="00655F2C"/>
    <w:rsid w:val="00665C27"/>
    <w:rsid w:val="00684D5E"/>
    <w:rsid w:val="00685005"/>
    <w:rsid w:val="0069058C"/>
    <w:rsid w:val="00693B38"/>
    <w:rsid w:val="00696B1A"/>
    <w:rsid w:val="006A3A79"/>
    <w:rsid w:val="006A6011"/>
    <w:rsid w:val="006B09CE"/>
    <w:rsid w:val="006E0605"/>
    <w:rsid w:val="006E1081"/>
    <w:rsid w:val="0071171A"/>
    <w:rsid w:val="00720585"/>
    <w:rsid w:val="0073091E"/>
    <w:rsid w:val="007501A2"/>
    <w:rsid w:val="007508E7"/>
    <w:rsid w:val="00750AA4"/>
    <w:rsid w:val="00755C53"/>
    <w:rsid w:val="007635F5"/>
    <w:rsid w:val="00773AF6"/>
    <w:rsid w:val="00795F71"/>
    <w:rsid w:val="00796921"/>
    <w:rsid w:val="007A49C3"/>
    <w:rsid w:val="007A4F6A"/>
    <w:rsid w:val="007A71C4"/>
    <w:rsid w:val="007B2443"/>
    <w:rsid w:val="007B6775"/>
    <w:rsid w:val="007E5F7A"/>
    <w:rsid w:val="007E73AB"/>
    <w:rsid w:val="007F3C7E"/>
    <w:rsid w:val="007F637B"/>
    <w:rsid w:val="00802A89"/>
    <w:rsid w:val="00803BE2"/>
    <w:rsid w:val="00814808"/>
    <w:rsid w:val="00815E5B"/>
    <w:rsid w:val="00816C11"/>
    <w:rsid w:val="0082412C"/>
    <w:rsid w:val="00837140"/>
    <w:rsid w:val="00844713"/>
    <w:rsid w:val="00846951"/>
    <w:rsid w:val="008532F8"/>
    <w:rsid w:val="00853C5C"/>
    <w:rsid w:val="008619EF"/>
    <w:rsid w:val="008630AB"/>
    <w:rsid w:val="00867254"/>
    <w:rsid w:val="00871414"/>
    <w:rsid w:val="00893319"/>
    <w:rsid w:val="008940B9"/>
    <w:rsid w:val="008945BA"/>
    <w:rsid w:val="00894C55"/>
    <w:rsid w:val="008B52C0"/>
    <w:rsid w:val="008B5DC9"/>
    <w:rsid w:val="008C78CC"/>
    <w:rsid w:val="008D4460"/>
    <w:rsid w:val="00902EC1"/>
    <w:rsid w:val="00911862"/>
    <w:rsid w:val="00913653"/>
    <w:rsid w:val="0091756A"/>
    <w:rsid w:val="009179F5"/>
    <w:rsid w:val="009205D2"/>
    <w:rsid w:val="00920779"/>
    <w:rsid w:val="00926EE4"/>
    <w:rsid w:val="00936D26"/>
    <w:rsid w:val="00965BA0"/>
    <w:rsid w:val="009902E4"/>
    <w:rsid w:val="009936DA"/>
    <w:rsid w:val="009941E1"/>
    <w:rsid w:val="009A2654"/>
    <w:rsid w:val="009A57DD"/>
    <w:rsid w:val="009B5CEF"/>
    <w:rsid w:val="009B692B"/>
    <w:rsid w:val="009C39EE"/>
    <w:rsid w:val="009C57B9"/>
    <w:rsid w:val="009C5F09"/>
    <w:rsid w:val="009D0480"/>
    <w:rsid w:val="009D562B"/>
    <w:rsid w:val="009E44B7"/>
    <w:rsid w:val="009F5D76"/>
    <w:rsid w:val="00A06351"/>
    <w:rsid w:val="00A10FC3"/>
    <w:rsid w:val="00A23E9E"/>
    <w:rsid w:val="00A26521"/>
    <w:rsid w:val="00A26AB2"/>
    <w:rsid w:val="00A30A99"/>
    <w:rsid w:val="00A340D8"/>
    <w:rsid w:val="00A36949"/>
    <w:rsid w:val="00A423E3"/>
    <w:rsid w:val="00A442C2"/>
    <w:rsid w:val="00A513CD"/>
    <w:rsid w:val="00A52175"/>
    <w:rsid w:val="00A536D9"/>
    <w:rsid w:val="00A6073E"/>
    <w:rsid w:val="00A62623"/>
    <w:rsid w:val="00A644C9"/>
    <w:rsid w:val="00A672D5"/>
    <w:rsid w:val="00A716F7"/>
    <w:rsid w:val="00A7798C"/>
    <w:rsid w:val="00A87A1D"/>
    <w:rsid w:val="00A9300A"/>
    <w:rsid w:val="00AA1459"/>
    <w:rsid w:val="00AA2929"/>
    <w:rsid w:val="00AC79E0"/>
    <w:rsid w:val="00AD1606"/>
    <w:rsid w:val="00AD233E"/>
    <w:rsid w:val="00AE1548"/>
    <w:rsid w:val="00AE1EC5"/>
    <w:rsid w:val="00AE5567"/>
    <w:rsid w:val="00AE7D78"/>
    <w:rsid w:val="00AF0AA1"/>
    <w:rsid w:val="00AF1239"/>
    <w:rsid w:val="00AF2DDF"/>
    <w:rsid w:val="00AF2E2A"/>
    <w:rsid w:val="00AF3A82"/>
    <w:rsid w:val="00AF48DA"/>
    <w:rsid w:val="00AF4D05"/>
    <w:rsid w:val="00AF55A2"/>
    <w:rsid w:val="00B046F1"/>
    <w:rsid w:val="00B16480"/>
    <w:rsid w:val="00B202C7"/>
    <w:rsid w:val="00B2165C"/>
    <w:rsid w:val="00B32B7D"/>
    <w:rsid w:val="00B331CF"/>
    <w:rsid w:val="00B66035"/>
    <w:rsid w:val="00B80113"/>
    <w:rsid w:val="00B80FB7"/>
    <w:rsid w:val="00B830CF"/>
    <w:rsid w:val="00B92028"/>
    <w:rsid w:val="00B9512A"/>
    <w:rsid w:val="00BA106A"/>
    <w:rsid w:val="00BA20AA"/>
    <w:rsid w:val="00BB0094"/>
    <w:rsid w:val="00BB4D11"/>
    <w:rsid w:val="00BB6DD7"/>
    <w:rsid w:val="00BD005E"/>
    <w:rsid w:val="00BD4425"/>
    <w:rsid w:val="00BD4ED7"/>
    <w:rsid w:val="00BD7036"/>
    <w:rsid w:val="00BD79EC"/>
    <w:rsid w:val="00BE037B"/>
    <w:rsid w:val="00BF3B56"/>
    <w:rsid w:val="00BF4F0F"/>
    <w:rsid w:val="00C11599"/>
    <w:rsid w:val="00C143B8"/>
    <w:rsid w:val="00C1670D"/>
    <w:rsid w:val="00C25B49"/>
    <w:rsid w:val="00C37B06"/>
    <w:rsid w:val="00C4062E"/>
    <w:rsid w:val="00C428E9"/>
    <w:rsid w:val="00C45A34"/>
    <w:rsid w:val="00C50028"/>
    <w:rsid w:val="00C5089B"/>
    <w:rsid w:val="00C53B97"/>
    <w:rsid w:val="00C67327"/>
    <w:rsid w:val="00C8313A"/>
    <w:rsid w:val="00C86C21"/>
    <w:rsid w:val="00C873C9"/>
    <w:rsid w:val="00C917B0"/>
    <w:rsid w:val="00C94A6B"/>
    <w:rsid w:val="00CA5DB3"/>
    <w:rsid w:val="00CB0BF3"/>
    <w:rsid w:val="00CC0D2D"/>
    <w:rsid w:val="00CC1FCD"/>
    <w:rsid w:val="00CC2746"/>
    <w:rsid w:val="00CD4E51"/>
    <w:rsid w:val="00CD6956"/>
    <w:rsid w:val="00CE2834"/>
    <w:rsid w:val="00CE5657"/>
    <w:rsid w:val="00CF0B19"/>
    <w:rsid w:val="00CF1060"/>
    <w:rsid w:val="00D12A1E"/>
    <w:rsid w:val="00D133F8"/>
    <w:rsid w:val="00D13DDB"/>
    <w:rsid w:val="00D14A3E"/>
    <w:rsid w:val="00D154DA"/>
    <w:rsid w:val="00D175FD"/>
    <w:rsid w:val="00D2493F"/>
    <w:rsid w:val="00D26F94"/>
    <w:rsid w:val="00D31079"/>
    <w:rsid w:val="00D52548"/>
    <w:rsid w:val="00D5594D"/>
    <w:rsid w:val="00D60716"/>
    <w:rsid w:val="00D702D2"/>
    <w:rsid w:val="00D71221"/>
    <w:rsid w:val="00D754E6"/>
    <w:rsid w:val="00DE189D"/>
    <w:rsid w:val="00DF2A3D"/>
    <w:rsid w:val="00DF2DFC"/>
    <w:rsid w:val="00DF3E98"/>
    <w:rsid w:val="00DF62FA"/>
    <w:rsid w:val="00DF7351"/>
    <w:rsid w:val="00E01336"/>
    <w:rsid w:val="00E06301"/>
    <w:rsid w:val="00E15A4A"/>
    <w:rsid w:val="00E17419"/>
    <w:rsid w:val="00E3106A"/>
    <w:rsid w:val="00E32AE5"/>
    <w:rsid w:val="00E3716B"/>
    <w:rsid w:val="00E4173D"/>
    <w:rsid w:val="00E5323B"/>
    <w:rsid w:val="00E6462D"/>
    <w:rsid w:val="00E662D5"/>
    <w:rsid w:val="00E67F28"/>
    <w:rsid w:val="00E84DEC"/>
    <w:rsid w:val="00E854E8"/>
    <w:rsid w:val="00E8749E"/>
    <w:rsid w:val="00E90C01"/>
    <w:rsid w:val="00E96228"/>
    <w:rsid w:val="00E97795"/>
    <w:rsid w:val="00EA486E"/>
    <w:rsid w:val="00EA6F79"/>
    <w:rsid w:val="00EB2BF2"/>
    <w:rsid w:val="00ED4175"/>
    <w:rsid w:val="00EF0AE5"/>
    <w:rsid w:val="00EF76A2"/>
    <w:rsid w:val="00F0252F"/>
    <w:rsid w:val="00F039B9"/>
    <w:rsid w:val="00F04FA0"/>
    <w:rsid w:val="00F051EA"/>
    <w:rsid w:val="00F16B0B"/>
    <w:rsid w:val="00F17461"/>
    <w:rsid w:val="00F2106C"/>
    <w:rsid w:val="00F24026"/>
    <w:rsid w:val="00F50121"/>
    <w:rsid w:val="00F5669B"/>
    <w:rsid w:val="00F57B0C"/>
    <w:rsid w:val="00F717BE"/>
    <w:rsid w:val="00F75122"/>
    <w:rsid w:val="00F831CA"/>
    <w:rsid w:val="00F83589"/>
    <w:rsid w:val="00F85149"/>
    <w:rsid w:val="00F90048"/>
    <w:rsid w:val="00F90068"/>
    <w:rsid w:val="00FA2AC8"/>
    <w:rsid w:val="00FA7779"/>
    <w:rsid w:val="00FB261C"/>
    <w:rsid w:val="00FB43A9"/>
    <w:rsid w:val="00FC10A8"/>
    <w:rsid w:val="00FC2F75"/>
    <w:rsid w:val="00FC397C"/>
    <w:rsid w:val="00FC72AE"/>
    <w:rsid w:val="00FD2E93"/>
    <w:rsid w:val="00FD3989"/>
    <w:rsid w:val="00FE21E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F6253"/>
  <w15:docId w15:val="{89E65879-CCDF-4D15-8E90-2E3C7804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2C2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442C2"/>
    <w:rPr>
      <w:rFonts w:ascii="Cambria" w:eastAsia="Times New Roman" w:hAnsi="Cambria" w:cs="Times New Roman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A442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2C2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qFormat/>
    <w:rsid w:val="00AE7D78"/>
    <w:rPr>
      <w:b/>
      <w:bCs/>
    </w:rPr>
  </w:style>
  <w:style w:type="paragraph" w:customStyle="1" w:styleId="Text3">
    <w:name w:val="Text 3"/>
    <w:basedOn w:val="Normal"/>
    <w:rsid w:val="00AE7D78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7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54E8"/>
    <w:pPr>
      <w:ind w:left="720"/>
      <w:contextualSpacing/>
    </w:pPr>
  </w:style>
  <w:style w:type="paragraph" w:customStyle="1" w:styleId="naisf">
    <w:name w:val="naisf"/>
    <w:basedOn w:val="Normal"/>
    <w:uiPriority w:val="99"/>
    <w:rsid w:val="00CD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1">
    <w:name w:val="CM1"/>
    <w:basedOn w:val="Normal"/>
    <w:next w:val="Normal"/>
    <w:uiPriority w:val="99"/>
    <w:rsid w:val="00E84DE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liknoteik">
    <w:name w:val="lik_noteik"/>
    <w:basedOn w:val="Normal"/>
    <w:rsid w:val="00E8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balasko@iem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EUAlbertina">
    <w:altName w:val="Sitka Smal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123606"/>
    <w:rsid w:val="001E3C94"/>
    <w:rsid w:val="00255E4A"/>
    <w:rsid w:val="00286375"/>
    <w:rsid w:val="002E0E05"/>
    <w:rsid w:val="002F1CBF"/>
    <w:rsid w:val="00344186"/>
    <w:rsid w:val="00404DA8"/>
    <w:rsid w:val="00413435"/>
    <w:rsid w:val="00414B38"/>
    <w:rsid w:val="0042006E"/>
    <w:rsid w:val="00446981"/>
    <w:rsid w:val="00472F39"/>
    <w:rsid w:val="0047381E"/>
    <w:rsid w:val="00482F93"/>
    <w:rsid w:val="004B7FB2"/>
    <w:rsid w:val="00523A63"/>
    <w:rsid w:val="00556C2C"/>
    <w:rsid w:val="00601558"/>
    <w:rsid w:val="006717A2"/>
    <w:rsid w:val="006C4A91"/>
    <w:rsid w:val="00741E82"/>
    <w:rsid w:val="007B22C8"/>
    <w:rsid w:val="00857841"/>
    <w:rsid w:val="008B623B"/>
    <w:rsid w:val="008C6D5D"/>
    <w:rsid w:val="008D39C9"/>
    <w:rsid w:val="009807D9"/>
    <w:rsid w:val="009C1B4C"/>
    <w:rsid w:val="00A07AD6"/>
    <w:rsid w:val="00A1724C"/>
    <w:rsid w:val="00AD4A2F"/>
    <w:rsid w:val="00B3767C"/>
    <w:rsid w:val="00C00671"/>
    <w:rsid w:val="00F045D7"/>
    <w:rsid w:val="00F95F73"/>
    <w:rsid w:val="00FF44F6"/>
    <w:rsid w:val="00FF5C6C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F6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C06B-0C3B-4FC1-AAB3-6DC37DB4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5277</Words>
  <Characters>3008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„Kārtība, kādā nodrošina revīzijas iestādes funkcijas Eiropas Ekonomikas zonas finanšu instrumenta un Norvēģijas finanšu instrumenta 2014.-2021.gada perioda vadībā”  projekta</vt:lpstr>
    </vt:vector>
  </TitlesOfParts>
  <Manager>Anda Štegmane</Manager>
  <Company>Finanšu ministrija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„Kārtība, kādā nodrošina revīzijas iestādes funkcijas Eiropas Ekonomikas zonas finanšu instrumenta un Norvēģijas finanšu instrumenta 2014.-2021.gada perioda vadībā”  projekta</dc:title>
  <dc:subject>Anotācija</dc:subject>
  <dc:creator>jelena.keirane@fm.gov.lv</dc:creator>
  <dc:description>67083926, jelena.keirane@fm.gov.lv</dc:description>
  <cp:lastModifiedBy>Santa Balaško</cp:lastModifiedBy>
  <cp:revision>20</cp:revision>
  <cp:lastPrinted>2021-03-08T10:17:00Z</cp:lastPrinted>
  <dcterms:created xsi:type="dcterms:W3CDTF">2021-03-08T11:04:00Z</dcterms:created>
  <dcterms:modified xsi:type="dcterms:W3CDTF">2021-06-13T09:55:00Z</dcterms:modified>
</cp:coreProperties>
</file>