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0271D3" w14:textId="77777777" w:rsidR="00BD2EB8" w:rsidRDefault="00BD2EB8" w:rsidP="00BD2EB8">
      <w:pPr>
        <w:spacing w:after="0" w:line="240" w:lineRule="auto"/>
        <w:jc w:val="center"/>
        <w:rPr>
          <w:rFonts w:ascii="Times New Roman" w:eastAsia="Times New Roman" w:hAnsi="Times New Roman"/>
          <w:b/>
          <w:bCs/>
          <w:sz w:val="24"/>
          <w:szCs w:val="24"/>
          <w:lang w:eastAsia="lv-LV"/>
        </w:rPr>
      </w:pPr>
      <w:bookmarkStart w:id="0" w:name="_GoBack"/>
      <w:bookmarkEnd w:id="0"/>
      <w:r>
        <w:rPr>
          <w:rFonts w:ascii="Times New Roman" w:eastAsia="Times New Roman" w:hAnsi="Times New Roman"/>
          <w:b/>
          <w:bCs/>
          <w:sz w:val="24"/>
          <w:szCs w:val="24"/>
          <w:lang w:eastAsia="lv-LV"/>
        </w:rPr>
        <w:t>Izziņa par atzinumos sniegtajiem iebildumiem</w:t>
      </w:r>
    </w:p>
    <w:p w14:paraId="24D5620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10188" w:type="dxa"/>
        <w:jc w:val="center"/>
        <w:tblCellMar>
          <w:left w:w="10" w:type="dxa"/>
          <w:right w:w="10" w:type="dxa"/>
        </w:tblCellMar>
        <w:tblLook w:val="04A0" w:firstRow="1" w:lastRow="0" w:firstColumn="1" w:lastColumn="0" w:noHBand="0" w:noVBand="1"/>
      </w:tblPr>
      <w:tblGrid>
        <w:gridCol w:w="10188"/>
      </w:tblGrid>
      <w:tr w:rsidR="00BD2EB8" w14:paraId="39C373E8" w14:textId="77777777" w:rsidTr="00FD4855">
        <w:trPr>
          <w:jc w:val="center"/>
        </w:trPr>
        <w:tc>
          <w:tcPr>
            <w:tcW w:w="10188" w:type="dxa"/>
            <w:tcBorders>
              <w:bottom w:val="single" w:sz="6" w:space="0" w:color="000000"/>
            </w:tcBorders>
            <w:shd w:val="clear" w:color="auto" w:fill="auto"/>
            <w:tcMar>
              <w:top w:w="0" w:type="dxa"/>
              <w:left w:w="108" w:type="dxa"/>
              <w:bottom w:w="0" w:type="dxa"/>
              <w:right w:w="108" w:type="dxa"/>
            </w:tcMar>
          </w:tcPr>
          <w:p w14:paraId="291F619E" w14:textId="77777777" w:rsidR="00BD2EB8" w:rsidRDefault="00BD2EB8" w:rsidP="00FD4855">
            <w:pPr>
              <w:spacing w:after="0" w:line="240" w:lineRule="auto"/>
              <w:rPr>
                <w:rFonts w:ascii="Times New Roman" w:eastAsia="Times New Roman" w:hAnsi="Times New Roman"/>
                <w:sz w:val="28"/>
                <w:szCs w:val="28"/>
                <w:lang w:eastAsia="lv-LV"/>
              </w:rPr>
            </w:pPr>
          </w:p>
          <w:p w14:paraId="530050EB" w14:textId="77777777" w:rsidR="00D16690" w:rsidRDefault="00BD2EB8" w:rsidP="00BD2EB8">
            <w:pPr>
              <w:spacing w:after="0" w:line="240" w:lineRule="auto"/>
              <w:jc w:val="center"/>
              <w:rPr>
                <w:rFonts w:ascii="Times New Roman" w:eastAsia="Times New Roman" w:hAnsi="Times New Roman"/>
                <w:b/>
                <w:sz w:val="28"/>
                <w:szCs w:val="28"/>
                <w:lang w:eastAsia="lv-LV"/>
              </w:rPr>
            </w:pPr>
            <w:bookmarkStart w:id="1" w:name="_Hlk518036942"/>
            <w:r>
              <w:rPr>
                <w:rFonts w:ascii="Times New Roman" w:eastAsia="Times New Roman" w:hAnsi="Times New Roman"/>
                <w:b/>
                <w:sz w:val="28"/>
                <w:szCs w:val="28"/>
                <w:lang w:eastAsia="lv-LV"/>
              </w:rPr>
              <w:t xml:space="preserve">Ministru kabineta </w:t>
            </w:r>
            <w:r w:rsidR="00D16690">
              <w:rPr>
                <w:rFonts w:ascii="Times New Roman" w:eastAsia="Times New Roman" w:hAnsi="Times New Roman"/>
                <w:b/>
                <w:sz w:val="28"/>
                <w:szCs w:val="28"/>
                <w:lang w:eastAsia="lv-LV"/>
              </w:rPr>
              <w:t>rīkojuma</w:t>
            </w:r>
            <w:r>
              <w:rPr>
                <w:rFonts w:ascii="Times New Roman" w:eastAsia="Times New Roman" w:hAnsi="Times New Roman"/>
                <w:b/>
                <w:sz w:val="28"/>
                <w:szCs w:val="28"/>
                <w:lang w:eastAsia="lv-LV"/>
              </w:rPr>
              <w:t xml:space="preserve"> projekts “</w:t>
            </w:r>
            <w:r w:rsidR="00D16690" w:rsidRPr="008B3001">
              <w:rPr>
                <w:rFonts w:ascii="Times New Roman" w:eastAsia="Times New Roman" w:hAnsi="Times New Roman"/>
                <w:b/>
                <w:bCs/>
                <w:sz w:val="24"/>
                <w:szCs w:val="24"/>
                <w:lang w:eastAsia="en-GB"/>
              </w:rPr>
              <w:t>Par Malnavas koledžas reorganizāciju</w:t>
            </w:r>
            <w:r>
              <w:rPr>
                <w:rFonts w:ascii="Times New Roman" w:eastAsia="Times New Roman" w:hAnsi="Times New Roman"/>
                <w:b/>
                <w:sz w:val="28"/>
                <w:szCs w:val="28"/>
                <w:lang w:eastAsia="lv-LV"/>
              </w:rPr>
              <w:t>”</w:t>
            </w:r>
            <w:bookmarkEnd w:id="1"/>
          </w:p>
          <w:p w14:paraId="1AEE0F08" w14:textId="0F76935F" w:rsidR="00BD2EB8" w:rsidRDefault="00BD2EB8" w:rsidP="00BD2EB8">
            <w:pPr>
              <w:spacing w:after="0" w:line="240" w:lineRule="auto"/>
              <w:jc w:val="center"/>
              <w:rPr>
                <w:rFonts w:ascii="Times New Roman" w:eastAsia="Times New Roman" w:hAnsi="Times New Roman"/>
                <w:b/>
                <w:sz w:val="28"/>
                <w:szCs w:val="28"/>
                <w:lang w:eastAsia="lv-LV"/>
              </w:rPr>
            </w:pPr>
            <w:r>
              <w:rPr>
                <w:rFonts w:ascii="Times New Roman" w:eastAsia="Times New Roman" w:hAnsi="Times New Roman"/>
                <w:b/>
                <w:sz w:val="28"/>
                <w:szCs w:val="28"/>
                <w:lang w:eastAsia="lv-LV"/>
              </w:rPr>
              <w:t>(turpmāk –projekts)</w:t>
            </w:r>
          </w:p>
        </w:tc>
      </w:tr>
    </w:tbl>
    <w:p w14:paraId="1A42687F" w14:textId="77777777" w:rsidR="00BD2EB8" w:rsidRDefault="00BD2EB8" w:rsidP="00BD2EB8">
      <w:pPr>
        <w:spacing w:after="0" w:line="240" w:lineRule="auto"/>
        <w:jc w:val="center"/>
      </w:pPr>
      <w:r>
        <w:rPr>
          <w:rFonts w:ascii="Times New Roman" w:eastAsia="Times New Roman" w:hAnsi="Times New Roman"/>
          <w:lang w:eastAsia="lv-LV"/>
        </w:rPr>
        <w:t>(</w:t>
      </w:r>
      <w:r>
        <w:rPr>
          <w:rFonts w:ascii="Times New Roman" w:eastAsia="Times New Roman" w:hAnsi="Times New Roman"/>
          <w:color w:val="808080"/>
          <w:lang w:eastAsia="lv-LV"/>
        </w:rPr>
        <w:t>dokumenta veids un nosaukums</w:t>
      </w:r>
      <w:r>
        <w:rPr>
          <w:rFonts w:ascii="Times New Roman" w:eastAsia="Times New Roman" w:hAnsi="Times New Roman"/>
          <w:lang w:eastAsia="lv-LV"/>
        </w:rPr>
        <w:t>)</w:t>
      </w:r>
    </w:p>
    <w:p w14:paraId="00AF821E"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681F724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 Jautājumi, par kuriem saskaņošanā vienošanās nav panākta</w:t>
      </w:r>
    </w:p>
    <w:p w14:paraId="19708655" w14:textId="77777777" w:rsidR="00BD2EB8" w:rsidRDefault="00BD2EB8" w:rsidP="00BD2EB8">
      <w:pPr>
        <w:spacing w:after="0" w:line="240" w:lineRule="auto"/>
        <w:jc w:val="center"/>
        <w:rPr>
          <w:rFonts w:ascii="Times New Roman" w:eastAsia="Times New Roman" w:hAnsi="Times New Roman"/>
          <w:b/>
          <w:sz w:val="24"/>
          <w:szCs w:val="24"/>
          <w:lang w:eastAsia="lv-LV"/>
        </w:rPr>
      </w:pPr>
    </w:p>
    <w:tbl>
      <w:tblPr>
        <w:tblW w:w="14160" w:type="dxa"/>
        <w:tblInd w:w="108" w:type="dxa"/>
        <w:tblLayout w:type="fixed"/>
        <w:tblCellMar>
          <w:left w:w="10" w:type="dxa"/>
          <w:right w:w="10" w:type="dxa"/>
        </w:tblCellMar>
        <w:tblLook w:val="04A0" w:firstRow="1" w:lastRow="0" w:firstColumn="1" w:lastColumn="0" w:noHBand="0" w:noVBand="1"/>
      </w:tblPr>
      <w:tblGrid>
        <w:gridCol w:w="709"/>
        <w:gridCol w:w="2977"/>
        <w:gridCol w:w="3969"/>
        <w:gridCol w:w="2435"/>
        <w:gridCol w:w="2150"/>
        <w:gridCol w:w="1920"/>
      </w:tblGrid>
      <w:tr w:rsidR="00BD2EB8" w14:paraId="2B3D823E" w14:textId="77777777" w:rsidTr="00FD485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0CDE3D14"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p.k.</w:t>
            </w: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44D9E5B5" w14:textId="77777777" w:rsidR="00BD2EB8" w:rsidRDefault="00BD2EB8" w:rsidP="00FD4855">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764E287E" w14:textId="77777777" w:rsidR="00BD2EB8" w:rsidRDefault="00BD2EB8" w:rsidP="00FD4855">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14:paraId="2F745E83" w14:textId="77777777" w:rsidR="00BD2EB8" w:rsidRDefault="00BD2EB8" w:rsidP="00FD4855">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Atbildīgās ministrijas pamatojums iebilduma noraidījumam</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AA16E"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Atzinuma sniedzēja uzturētais iebildums, ja tas atšķiras no atzinumā norādītā iebilduma pamatojuma</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FCAA3"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attiecīgā punkta (panta) galīgā redakcija</w:t>
            </w:r>
          </w:p>
        </w:tc>
      </w:tr>
      <w:tr w:rsidR="00BD2EB8" w14:paraId="000C1247" w14:textId="77777777" w:rsidTr="00FD4855">
        <w:trPr>
          <w:trHeight w:val="28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BA52BF"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p w14:paraId="14055B81" w14:textId="77777777" w:rsidR="00BD2EB8" w:rsidRDefault="00BD2EB8" w:rsidP="00FD4855">
            <w:pPr>
              <w:spacing w:after="0" w:line="240" w:lineRule="auto"/>
              <w:rPr>
                <w:rFonts w:ascii="Times New Roman" w:eastAsia="Times New Roman" w:hAnsi="Times New Roman"/>
                <w:sz w:val="20"/>
                <w:szCs w:val="20"/>
                <w:lang w:eastAsia="lv-LV"/>
              </w:rPr>
            </w:pPr>
          </w:p>
        </w:tc>
        <w:tc>
          <w:tcPr>
            <w:tcW w:w="297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2C942FEB"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p w14:paraId="4BFF0BDC"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96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1276C753"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243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14:paraId="71C96ACE"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34EC1"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C12DF0"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6</w:t>
            </w:r>
          </w:p>
        </w:tc>
      </w:tr>
      <w:tr w:rsidR="00BD2EB8" w14:paraId="0257C5AB" w14:textId="77777777" w:rsidTr="00FD4855">
        <w:trPr>
          <w:trHeight w:val="285"/>
        </w:trPr>
        <w:tc>
          <w:tcPr>
            <w:tcW w:w="70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A25E935" w14:textId="2DDF1EE7" w:rsidR="00BD2EB8" w:rsidRDefault="009128E1"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2977"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1BEC63CC"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1.</w:t>
            </w:r>
            <w:r w:rsidRPr="00A62AD8">
              <w:rPr>
                <w:rFonts w:ascii="Times New Roman" w:eastAsia="Times New Roman" w:hAnsi="Times New Roman"/>
                <w:sz w:val="24"/>
                <w:szCs w:val="24"/>
                <w:lang w:eastAsia="lv-LV"/>
              </w:rPr>
              <w:tab/>
              <w:t>Pieņemt iesniegto rīkojuma projektu.</w:t>
            </w:r>
          </w:p>
          <w:p w14:paraId="56BD36E4"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 xml:space="preserve"> </w:t>
            </w:r>
          </w:p>
          <w:p w14:paraId="33EFA1FE"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2.</w:t>
            </w:r>
            <w:r w:rsidRPr="00A62AD8">
              <w:rPr>
                <w:rFonts w:ascii="Times New Roman" w:eastAsia="Times New Roman" w:hAnsi="Times New Roman"/>
                <w:sz w:val="24"/>
                <w:szCs w:val="24"/>
                <w:lang w:eastAsia="lv-LV"/>
              </w:rPr>
              <w:tab/>
              <w:t>Valsts kancelejai sagatavot rīkojuma projektu parakstīšanai.</w:t>
            </w:r>
          </w:p>
          <w:p w14:paraId="0B266CF6"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p>
          <w:p w14:paraId="4B709808" w14:textId="5C2ECB1E" w:rsidR="00BD2EB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3.</w:t>
            </w:r>
            <w:r w:rsidRPr="00A62AD8">
              <w:rPr>
                <w:rFonts w:ascii="Times New Roman" w:eastAsia="Times New Roman" w:hAnsi="Times New Roman"/>
                <w:sz w:val="24"/>
                <w:szCs w:val="24"/>
                <w:lang w:eastAsia="lv-LV"/>
              </w:rPr>
              <w:tab/>
              <w:t xml:space="preserve">Lai nodrošinātu Malnavas koledžas reorganizāciju, Izglītības un zinātnes ministrijai un Zemkopības ministrijai </w:t>
            </w:r>
            <w:r w:rsidRPr="00A62AD8">
              <w:rPr>
                <w:rFonts w:ascii="Times New Roman" w:eastAsia="Times New Roman" w:hAnsi="Times New Roman"/>
                <w:sz w:val="24"/>
                <w:szCs w:val="24"/>
                <w:lang w:eastAsia="lv-LV"/>
              </w:rPr>
              <w:lastRenderedPageBreak/>
              <w:t>iesniegt Finanšu ministrijā priekšlikumus precizējumiem valsts pamatbudžeta bāzes izdevumos 2022.-2024.gadam, samazinot vispārējā kārtībā sadalāmo dotāciju no vispārējiem ieņēmumiem 2022.gadā un turpmāk ik gadu 1 177 797 euro apmērā Izglītības un zinātnes ministrijas valsts budžeta apakšprogrammā 02.01.00 “Profesionālās izglītības programmu īstenošana” (822 659  euro apmērā) un apakšprogrammā 03.11.00 „Koledžas” (355 138euro apmērā) un attiecīgi palielinot vispārējā kārtībā sadalāmo dotāciju no vispārējiem ieņēmumiem 2022.gadā un turpmāk ik gadu 1 177 797 euro apmērā Zemkopības ministrijas valsts budžeta apakšprogrammā 22.01.00 „Profesionālā izglītība”.</w:t>
            </w:r>
          </w:p>
        </w:tc>
        <w:tc>
          <w:tcPr>
            <w:tcW w:w="3969"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6C4518C5" w14:textId="77777777" w:rsidR="00BD2EB8" w:rsidRPr="009128E1" w:rsidRDefault="009128E1" w:rsidP="00FD4855">
            <w:pPr>
              <w:spacing w:after="0" w:line="240" w:lineRule="auto"/>
              <w:jc w:val="both"/>
              <w:rPr>
                <w:rFonts w:ascii="Times New Roman" w:eastAsia="Times New Roman" w:hAnsi="Times New Roman"/>
                <w:b/>
                <w:sz w:val="24"/>
                <w:szCs w:val="24"/>
                <w:lang w:eastAsia="lv-LV"/>
              </w:rPr>
            </w:pPr>
            <w:r w:rsidRPr="009128E1">
              <w:rPr>
                <w:rFonts w:ascii="Times New Roman" w:eastAsia="Times New Roman" w:hAnsi="Times New Roman"/>
                <w:b/>
                <w:sz w:val="24"/>
                <w:szCs w:val="24"/>
                <w:lang w:eastAsia="lv-LV"/>
              </w:rPr>
              <w:lastRenderedPageBreak/>
              <w:t>Zemkopības ministrija 29.06.2021 atzinums</w:t>
            </w:r>
          </w:p>
          <w:p w14:paraId="20062550" w14:textId="77777777" w:rsidR="009128E1" w:rsidRPr="00D46CE8" w:rsidRDefault="009128E1" w:rsidP="009128E1">
            <w:pPr>
              <w:spacing w:after="0"/>
              <w:ind w:firstLine="709"/>
              <w:contextualSpacing/>
              <w:jc w:val="both"/>
              <w:rPr>
                <w:rFonts w:ascii="Times New Roman" w:hAnsi="Times New Roman"/>
                <w:sz w:val="24"/>
                <w:szCs w:val="24"/>
              </w:rPr>
            </w:pPr>
            <w:r w:rsidRPr="00D46CE8">
              <w:rPr>
                <w:rFonts w:ascii="Times New Roman" w:hAnsi="Times New Roman"/>
                <w:sz w:val="24"/>
                <w:szCs w:val="24"/>
              </w:rPr>
              <w:t>Ņemot vērā no Izglītības un zinātnes ministrijas saņemto informāciju par ārkārtas remontdarbu nepieciešamību Malnavas koledžas katlumājai, kā arī ierobežoto periodu līdz apkures sezonas uzsākšanai, lūdzam sekojoši papildināt protokollēmumu:</w:t>
            </w:r>
          </w:p>
          <w:p w14:paraId="26D23F96" w14:textId="77777777" w:rsidR="009128E1" w:rsidRPr="00D46CE8" w:rsidRDefault="009128E1" w:rsidP="009128E1">
            <w:pPr>
              <w:spacing w:after="0"/>
              <w:ind w:firstLine="709"/>
              <w:contextualSpacing/>
              <w:jc w:val="both"/>
              <w:rPr>
                <w:rFonts w:ascii="Times New Roman" w:hAnsi="Times New Roman"/>
                <w:sz w:val="24"/>
                <w:szCs w:val="24"/>
              </w:rPr>
            </w:pPr>
            <w:r w:rsidRPr="00D46CE8">
              <w:rPr>
                <w:rFonts w:ascii="Times New Roman" w:hAnsi="Times New Roman"/>
                <w:sz w:val="24"/>
                <w:szCs w:val="24"/>
              </w:rPr>
              <w:t> </w:t>
            </w:r>
          </w:p>
          <w:p w14:paraId="6ADE28F1" w14:textId="77777777" w:rsidR="009128E1" w:rsidRPr="00D46CE8" w:rsidRDefault="009128E1" w:rsidP="009128E1">
            <w:pPr>
              <w:spacing w:after="0"/>
              <w:ind w:firstLine="709"/>
              <w:contextualSpacing/>
              <w:jc w:val="both"/>
              <w:rPr>
                <w:rFonts w:ascii="Times New Roman" w:hAnsi="Times New Roman"/>
                <w:sz w:val="24"/>
                <w:szCs w:val="24"/>
              </w:rPr>
            </w:pPr>
            <w:r w:rsidRPr="00D46CE8">
              <w:rPr>
                <w:rFonts w:ascii="Times New Roman" w:hAnsi="Times New Roman"/>
                <w:sz w:val="24"/>
                <w:szCs w:val="24"/>
              </w:rPr>
              <w:lastRenderedPageBreak/>
              <w:t>“4. Finanšu ministrijai no valsts budžeta programmas 02.00.00 "Līdzekļi neparedzētiem gadījumiem" piešķirt finansējumu Zemkopības ministrijai ne vairāk kā 300 000 euro, lai veiktu nepieciešamos ārkārtas remontdarbus Malnavas koledžas katlumājas darbības nodrošināšanai;</w:t>
            </w:r>
          </w:p>
          <w:p w14:paraId="67D5A261" w14:textId="77777777" w:rsidR="009128E1" w:rsidRPr="00D46CE8" w:rsidRDefault="009128E1" w:rsidP="009128E1">
            <w:pPr>
              <w:spacing w:after="0"/>
              <w:ind w:firstLine="709"/>
              <w:contextualSpacing/>
              <w:jc w:val="both"/>
              <w:rPr>
                <w:rFonts w:ascii="Times New Roman" w:hAnsi="Times New Roman"/>
                <w:sz w:val="24"/>
                <w:szCs w:val="24"/>
              </w:rPr>
            </w:pPr>
            <w:r w:rsidRPr="00D46CE8">
              <w:rPr>
                <w:rFonts w:ascii="Times New Roman" w:hAnsi="Times New Roman"/>
                <w:sz w:val="24"/>
                <w:szCs w:val="24"/>
              </w:rPr>
              <w:t>5. Zemkopības ministrijai pieprasīt finansējumu atbilstoši iepirkuma rezultātiem un faktiskajai nepieciešamībai, nodrošinot, lai Malnavas koledža pieprasīto finansējumu izmanto atbilstoši šā protokollēmuma 4. punktā minētajam mērķim līdz 2021. gada. 31. decembrim. ”</w:t>
            </w:r>
          </w:p>
          <w:p w14:paraId="39854319" w14:textId="4D2DACA5" w:rsidR="009128E1" w:rsidRDefault="009128E1" w:rsidP="00FD4855">
            <w:pPr>
              <w:spacing w:after="0" w:line="240" w:lineRule="auto"/>
              <w:jc w:val="both"/>
              <w:rPr>
                <w:rFonts w:ascii="Times New Roman" w:eastAsia="Times New Roman" w:hAnsi="Times New Roman"/>
                <w:sz w:val="24"/>
                <w:szCs w:val="24"/>
                <w:lang w:eastAsia="lv-LV"/>
              </w:rPr>
            </w:pPr>
          </w:p>
        </w:tc>
        <w:tc>
          <w:tcPr>
            <w:tcW w:w="2435" w:type="dxa"/>
            <w:tcBorders>
              <w:top w:val="single" w:sz="6" w:space="0" w:color="000000"/>
              <w:left w:val="single" w:sz="6" w:space="0" w:color="000000"/>
              <w:bottom w:val="single" w:sz="4" w:space="0" w:color="000000"/>
              <w:right w:val="single" w:sz="6" w:space="0" w:color="000000"/>
            </w:tcBorders>
            <w:shd w:val="clear" w:color="auto" w:fill="auto"/>
            <w:tcMar>
              <w:top w:w="0" w:type="dxa"/>
              <w:left w:w="108" w:type="dxa"/>
              <w:bottom w:w="0" w:type="dxa"/>
              <w:right w:w="108" w:type="dxa"/>
            </w:tcMar>
          </w:tcPr>
          <w:p w14:paraId="486BE7E7" w14:textId="61CB6CA8" w:rsidR="00BD2EB8" w:rsidRDefault="009128E1" w:rsidP="00FD4855">
            <w:pPr>
              <w:spacing w:after="0" w:line="240" w:lineRule="auto"/>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lastRenderedPageBreak/>
              <w:t>Minētais jautājums nav tieši saistīts ar reorganizāciju.  Jautājums par līdzekļu piešķiršanu remontdarbiem risināms vispārējā kārtībā pēc reorganizācijas</w:t>
            </w:r>
          </w:p>
        </w:tc>
        <w:tc>
          <w:tcPr>
            <w:tcW w:w="21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C703E"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19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F8695"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0"/>
                <w:szCs w:val="20"/>
                <w:lang w:eastAsia="lv-LV"/>
              </w:rPr>
              <w:t>1</w:t>
            </w:r>
            <w:r w:rsidRPr="00A62AD8">
              <w:rPr>
                <w:rFonts w:ascii="Times New Roman" w:eastAsia="Times New Roman" w:hAnsi="Times New Roman"/>
                <w:sz w:val="24"/>
                <w:szCs w:val="24"/>
                <w:lang w:eastAsia="lv-LV"/>
              </w:rPr>
              <w:t>.</w:t>
            </w:r>
            <w:r w:rsidRPr="00A62AD8">
              <w:rPr>
                <w:rFonts w:ascii="Times New Roman" w:eastAsia="Times New Roman" w:hAnsi="Times New Roman"/>
                <w:sz w:val="24"/>
                <w:szCs w:val="24"/>
                <w:lang w:eastAsia="lv-LV"/>
              </w:rPr>
              <w:tab/>
              <w:t>Pieņemt iesniegto rīkojuma projektu.</w:t>
            </w:r>
          </w:p>
          <w:p w14:paraId="648AD898"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 xml:space="preserve"> </w:t>
            </w:r>
          </w:p>
          <w:p w14:paraId="3DA43096"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r w:rsidRPr="00A62AD8">
              <w:rPr>
                <w:rFonts w:ascii="Times New Roman" w:eastAsia="Times New Roman" w:hAnsi="Times New Roman"/>
                <w:sz w:val="24"/>
                <w:szCs w:val="24"/>
                <w:lang w:eastAsia="lv-LV"/>
              </w:rPr>
              <w:t>2.</w:t>
            </w:r>
            <w:r w:rsidRPr="00A62AD8">
              <w:rPr>
                <w:rFonts w:ascii="Times New Roman" w:eastAsia="Times New Roman" w:hAnsi="Times New Roman"/>
                <w:sz w:val="24"/>
                <w:szCs w:val="24"/>
                <w:lang w:eastAsia="lv-LV"/>
              </w:rPr>
              <w:tab/>
              <w:t>Valsts kancelejai sagatavot rīkojuma projektu parakstīšanai.</w:t>
            </w:r>
          </w:p>
          <w:p w14:paraId="5EE8BD83" w14:textId="77777777" w:rsidR="00A62AD8" w:rsidRPr="00A62AD8" w:rsidRDefault="00A62AD8" w:rsidP="00A62AD8">
            <w:pPr>
              <w:spacing w:after="0" w:line="240" w:lineRule="auto"/>
              <w:jc w:val="both"/>
              <w:rPr>
                <w:rFonts w:ascii="Times New Roman" w:eastAsia="Times New Roman" w:hAnsi="Times New Roman"/>
                <w:sz w:val="24"/>
                <w:szCs w:val="24"/>
                <w:lang w:eastAsia="lv-LV"/>
              </w:rPr>
            </w:pPr>
          </w:p>
          <w:p w14:paraId="685AE6DE" w14:textId="21BB2E52" w:rsidR="00BD2EB8" w:rsidRDefault="00A62AD8" w:rsidP="00A62AD8">
            <w:pPr>
              <w:spacing w:after="0" w:line="240" w:lineRule="auto"/>
              <w:jc w:val="both"/>
              <w:rPr>
                <w:rFonts w:ascii="Times New Roman" w:eastAsia="Times New Roman" w:hAnsi="Times New Roman"/>
                <w:sz w:val="20"/>
                <w:szCs w:val="20"/>
                <w:lang w:eastAsia="lv-LV"/>
              </w:rPr>
            </w:pPr>
            <w:r w:rsidRPr="00A62AD8">
              <w:rPr>
                <w:rFonts w:ascii="Times New Roman" w:eastAsia="Times New Roman" w:hAnsi="Times New Roman"/>
                <w:sz w:val="24"/>
                <w:szCs w:val="24"/>
                <w:lang w:eastAsia="lv-LV"/>
              </w:rPr>
              <w:lastRenderedPageBreak/>
              <w:t>3.</w:t>
            </w:r>
            <w:r w:rsidRPr="00A62AD8">
              <w:rPr>
                <w:rFonts w:ascii="Times New Roman" w:eastAsia="Times New Roman" w:hAnsi="Times New Roman"/>
                <w:sz w:val="24"/>
                <w:szCs w:val="24"/>
                <w:lang w:eastAsia="lv-LV"/>
              </w:rPr>
              <w:tab/>
              <w:t xml:space="preserve">Lai nodrošinātu Malnavas koledžas reorganizāciju, Izglītības un zinātnes ministrijai un Zemkopības ministrijai iesniegt Finanšu ministrijā priekšlikumus precizējumiem valsts pamatbudžeta bāzes izdevumos 2022.-2024.gadam, samazinot vispārējā kārtībā sadalāmo dotāciju no vispārējiem ieņēmumiem 2022.gadā un turpmāk ik gadu 1 177 797 euro apmērā Izglītības un zinātnes </w:t>
            </w:r>
            <w:r w:rsidRPr="00A62AD8">
              <w:rPr>
                <w:rFonts w:ascii="Times New Roman" w:eastAsia="Times New Roman" w:hAnsi="Times New Roman"/>
                <w:sz w:val="24"/>
                <w:szCs w:val="24"/>
                <w:lang w:eastAsia="lv-LV"/>
              </w:rPr>
              <w:lastRenderedPageBreak/>
              <w:t xml:space="preserve">ministrijas valsts budžeta apakšprogrammā 02.01.00 “Profesionālās izglītības programmu īstenošana” (822 659  euro apmērā) un apakšprogrammā 03.11.00 „Koledžas” (355 138euro apmērā) un attiecīgi palielinot vispārējā kārtībā sadalāmo dotāciju no vispārējiem ieņēmumiem 2022.gadā un turpmāk ik gadu 1 177 797 euro apmērā Zemkopības ministrijas valsts budžeta apakšprogrammā 22.01.00 </w:t>
            </w:r>
            <w:r w:rsidRPr="00A62AD8">
              <w:rPr>
                <w:rFonts w:ascii="Times New Roman" w:eastAsia="Times New Roman" w:hAnsi="Times New Roman"/>
                <w:sz w:val="24"/>
                <w:szCs w:val="24"/>
                <w:lang w:eastAsia="lv-LV"/>
              </w:rPr>
              <w:lastRenderedPageBreak/>
              <w:t>„Profesionālā izglītība”.</w:t>
            </w:r>
          </w:p>
        </w:tc>
      </w:tr>
    </w:tbl>
    <w:p w14:paraId="7C46DDA0" w14:textId="31D42DCF" w:rsidR="00BD2EB8" w:rsidRDefault="00BD2EB8" w:rsidP="00BD2EB8">
      <w:pPr>
        <w:spacing w:after="0" w:line="240" w:lineRule="auto"/>
        <w:jc w:val="both"/>
        <w:rPr>
          <w:rFonts w:ascii="Times New Roman" w:eastAsia="Times New Roman" w:hAnsi="Times New Roman"/>
          <w:b/>
          <w:sz w:val="24"/>
          <w:szCs w:val="24"/>
          <w:lang w:eastAsia="lv-LV"/>
        </w:rPr>
      </w:pPr>
    </w:p>
    <w:p w14:paraId="45B13F49" w14:textId="77777777" w:rsidR="00BD2EB8" w:rsidRDefault="00BD2EB8" w:rsidP="00BD2EB8">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Informācija par starpministriju (starpinstitūciju) sanāksmi vai elektronisko saskaņošanu</w:t>
      </w:r>
    </w:p>
    <w:p w14:paraId="3BD59D2D" w14:textId="77777777" w:rsidR="00BD2EB8" w:rsidRDefault="00BD2EB8" w:rsidP="00BD2EB8">
      <w:pPr>
        <w:spacing w:after="0" w:line="240" w:lineRule="auto"/>
        <w:jc w:val="both"/>
        <w:rPr>
          <w:rFonts w:ascii="Times New Roman" w:eastAsia="Times New Roman" w:hAnsi="Times New Roman"/>
          <w:b/>
          <w:sz w:val="24"/>
          <w:szCs w:val="24"/>
          <w:lang w:eastAsia="lv-LV"/>
        </w:rPr>
      </w:pPr>
    </w:p>
    <w:tbl>
      <w:tblPr>
        <w:tblW w:w="12582" w:type="dxa"/>
        <w:tblCellMar>
          <w:left w:w="10" w:type="dxa"/>
          <w:right w:w="10" w:type="dxa"/>
        </w:tblCellMar>
        <w:tblLook w:val="04A0" w:firstRow="1" w:lastRow="0" w:firstColumn="1" w:lastColumn="0" w:noHBand="0" w:noVBand="1"/>
      </w:tblPr>
      <w:tblGrid>
        <w:gridCol w:w="6345"/>
        <w:gridCol w:w="363"/>
        <w:gridCol w:w="840"/>
        <w:gridCol w:w="5034"/>
      </w:tblGrid>
      <w:tr w:rsidR="00BD2EB8" w14:paraId="5B39D299" w14:textId="77777777" w:rsidTr="00FD4855">
        <w:tc>
          <w:tcPr>
            <w:tcW w:w="6345" w:type="dxa"/>
            <w:shd w:val="clear" w:color="auto" w:fill="auto"/>
            <w:tcMar>
              <w:top w:w="0" w:type="dxa"/>
              <w:left w:w="108" w:type="dxa"/>
              <w:bottom w:w="0" w:type="dxa"/>
              <w:right w:w="108" w:type="dxa"/>
            </w:tcMar>
          </w:tcPr>
          <w:p w14:paraId="0CFB9008" w14:textId="77777777" w:rsidR="00BD2EB8" w:rsidRDefault="00BD2EB8" w:rsidP="00FD4855">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Datums</w:t>
            </w:r>
          </w:p>
        </w:tc>
        <w:tc>
          <w:tcPr>
            <w:tcW w:w="6237" w:type="dxa"/>
            <w:gridSpan w:val="3"/>
            <w:tcBorders>
              <w:bottom w:val="single" w:sz="4" w:space="0" w:color="000000"/>
            </w:tcBorders>
            <w:shd w:val="clear" w:color="auto" w:fill="auto"/>
            <w:tcMar>
              <w:top w:w="0" w:type="dxa"/>
              <w:left w:w="108" w:type="dxa"/>
              <w:bottom w:w="0" w:type="dxa"/>
              <w:right w:w="108" w:type="dxa"/>
            </w:tcMar>
          </w:tcPr>
          <w:p w14:paraId="29D13DBA" w14:textId="2FE098BC" w:rsidR="00BD2EB8" w:rsidRDefault="009648AC"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22</w:t>
            </w:r>
            <w:r w:rsidR="00BD2EB8">
              <w:rPr>
                <w:rFonts w:ascii="Times New Roman" w:eastAsia="Times New Roman" w:hAnsi="Times New Roman"/>
                <w:sz w:val="24"/>
                <w:szCs w:val="24"/>
                <w:lang w:eastAsia="lv-LV"/>
              </w:rPr>
              <w:t>.06.2020.</w:t>
            </w:r>
          </w:p>
        </w:tc>
      </w:tr>
      <w:tr w:rsidR="00BD2EB8" w14:paraId="27D594DE" w14:textId="77777777" w:rsidTr="00FD4855">
        <w:tc>
          <w:tcPr>
            <w:tcW w:w="6345" w:type="dxa"/>
            <w:shd w:val="clear" w:color="auto" w:fill="auto"/>
            <w:tcMar>
              <w:top w:w="0" w:type="dxa"/>
              <w:left w:w="108" w:type="dxa"/>
              <w:bottom w:w="0" w:type="dxa"/>
              <w:right w:w="108" w:type="dxa"/>
            </w:tcMar>
          </w:tcPr>
          <w:p w14:paraId="5451231A" w14:textId="77777777" w:rsidR="00BD2EB8" w:rsidRDefault="00BD2EB8" w:rsidP="00FD4855">
            <w:pPr>
              <w:spacing w:after="0" w:line="240" w:lineRule="auto"/>
              <w:jc w:val="both"/>
              <w:rPr>
                <w:rFonts w:ascii="Times New Roman" w:eastAsia="Times New Roman" w:hAnsi="Times New Roman"/>
                <w:sz w:val="24"/>
                <w:szCs w:val="24"/>
                <w:lang w:eastAsia="lv-LV"/>
              </w:rPr>
            </w:pPr>
          </w:p>
        </w:tc>
        <w:tc>
          <w:tcPr>
            <w:tcW w:w="6237" w:type="dxa"/>
            <w:gridSpan w:val="3"/>
            <w:tcBorders>
              <w:top w:val="single" w:sz="4" w:space="0" w:color="000000"/>
            </w:tcBorders>
            <w:shd w:val="clear" w:color="auto" w:fill="auto"/>
            <w:tcMar>
              <w:top w:w="0" w:type="dxa"/>
              <w:left w:w="108" w:type="dxa"/>
              <w:bottom w:w="0" w:type="dxa"/>
              <w:right w:w="108" w:type="dxa"/>
            </w:tcMar>
          </w:tcPr>
          <w:p w14:paraId="47BC8F63"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76E213E8" w14:textId="77777777" w:rsidTr="00FD4855">
        <w:tc>
          <w:tcPr>
            <w:tcW w:w="6345" w:type="dxa"/>
            <w:shd w:val="clear" w:color="auto" w:fill="auto"/>
            <w:tcMar>
              <w:top w:w="0" w:type="dxa"/>
              <w:left w:w="108" w:type="dxa"/>
              <w:bottom w:w="0" w:type="dxa"/>
              <w:right w:w="108" w:type="dxa"/>
            </w:tcMar>
          </w:tcPr>
          <w:p w14:paraId="47BCE290"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Saskaņošanas dalībnieki</w:t>
            </w:r>
          </w:p>
        </w:tc>
        <w:tc>
          <w:tcPr>
            <w:tcW w:w="6237" w:type="dxa"/>
            <w:gridSpan w:val="3"/>
            <w:shd w:val="clear" w:color="auto" w:fill="auto"/>
            <w:tcMar>
              <w:top w:w="0" w:type="dxa"/>
              <w:left w:w="108" w:type="dxa"/>
              <w:bottom w:w="0" w:type="dxa"/>
              <w:right w:w="108" w:type="dxa"/>
            </w:tcMar>
          </w:tcPr>
          <w:p w14:paraId="344C86F4" w14:textId="484835F5"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Tieslietu ministrija, Finanšu ministrija, </w:t>
            </w:r>
            <w:r w:rsidR="00D16690">
              <w:rPr>
                <w:rFonts w:ascii="Times New Roman" w:eastAsia="Times New Roman" w:hAnsi="Times New Roman"/>
                <w:sz w:val="24"/>
                <w:szCs w:val="24"/>
                <w:lang w:eastAsia="lv-LV"/>
              </w:rPr>
              <w:t>Zemkopības ministrija, Vides aizsardzības un reģionālās attīstības ministrija</w:t>
            </w:r>
          </w:p>
        </w:tc>
      </w:tr>
      <w:tr w:rsidR="00BD2EB8" w14:paraId="5596E07F" w14:textId="77777777" w:rsidTr="00FD4855">
        <w:trPr>
          <w:trHeight w:val="285"/>
        </w:trPr>
        <w:tc>
          <w:tcPr>
            <w:tcW w:w="6345" w:type="dxa"/>
            <w:shd w:val="clear" w:color="auto" w:fill="auto"/>
            <w:tcMar>
              <w:top w:w="0" w:type="dxa"/>
              <w:left w:w="108" w:type="dxa"/>
              <w:bottom w:w="0" w:type="dxa"/>
              <w:right w:w="108" w:type="dxa"/>
            </w:tcMar>
          </w:tcPr>
          <w:p w14:paraId="5A22A03E" w14:textId="77777777" w:rsidR="00BD2EB8" w:rsidRDefault="00BD2EB8" w:rsidP="00FD4855">
            <w:pPr>
              <w:spacing w:after="0" w:line="240" w:lineRule="auto"/>
              <w:rPr>
                <w:rFonts w:ascii="Times New Roman" w:eastAsia="Times New Roman" w:hAnsi="Times New Roman"/>
                <w:sz w:val="24"/>
                <w:szCs w:val="24"/>
                <w:lang w:eastAsia="lv-LV"/>
              </w:rPr>
            </w:pPr>
          </w:p>
        </w:tc>
        <w:tc>
          <w:tcPr>
            <w:tcW w:w="1203" w:type="dxa"/>
            <w:gridSpan w:val="2"/>
            <w:shd w:val="clear" w:color="auto" w:fill="auto"/>
            <w:tcMar>
              <w:top w:w="0" w:type="dxa"/>
              <w:left w:w="108" w:type="dxa"/>
              <w:bottom w:w="0" w:type="dxa"/>
              <w:right w:w="108" w:type="dxa"/>
            </w:tcMar>
          </w:tcPr>
          <w:p w14:paraId="7D6A5930"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73EC9180" w14:textId="77777777" w:rsidR="00BD2EB8" w:rsidRDefault="00BD2EB8" w:rsidP="00FD4855">
            <w:pPr>
              <w:spacing w:after="0" w:line="240" w:lineRule="auto"/>
              <w:ind w:firstLine="12"/>
              <w:rPr>
                <w:rFonts w:ascii="Times New Roman" w:eastAsia="Times New Roman" w:hAnsi="Times New Roman"/>
                <w:sz w:val="24"/>
                <w:szCs w:val="24"/>
                <w:lang w:eastAsia="lv-LV"/>
              </w:rPr>
            </w:pPr>
          </w:p>
        </w:tc>
      </w:tr>
      <w:tr w:rsidR="00BD2EB8" w14:paraId="0EE54079" w14:textId="77777777" w:rsidTr="00D076D1">
        <w:trPr>
          <w:trHeight w:val="285"/>
        </w:trPr>
        <w:tc>
          <w:tcPr>
            <w:tcW w:w="6708" w:type="dxa"/>
            <w:gridSpan w:val="2"/>
            <w:shd w:val="clear" w:color="auto" w:fill="auto"/>
            <w:tcMar>
              <w:top w:w="0" w:type="dxa"/>
              <w:left w:w="108" w:type="dxa"/>
              <w:bottom w:w="0" w:type="dxa"/>
              <w:right w:w="108" w:type="dxa"/>
            </w:tcMar>
          </w:tcPr>
          <w:p w14:paraId="182F51DD" w14:textId="77777777" w:rsidR="00BD2EB8" w:rsidRPr="00BD2EB8" w:rsidRDefault="00BD2EB8" w:rsidP="00FD4855">
            <w:pPr>
              <w:rPr>
                <w:rFonts w:ascii="Times New Roman" w:eastAsia="Times New Roman" w:hAnsi="Times New Roman"/>
                <w:color w:val="5A5A5A"/>
                <w:spacing w:val="15"/>
                <w:sz w:val="24"/>
                <w:szCs w:val="24"/>
                <w:lang w:eastAsia="lv-LV"/>
              </w:rPr>
            </w:pPr>
            <w:r w:rsidRPr="00BD2EB8">
              <w:rPr>
                <w:rFonts w:ascii="Times New Roman" w:eastAsia="Times New Roman" w:hAnsi="Times New Roman"/>
                <w:spacing w:val="15"/>
                <w:sz w:val="24"/>
                <w:szCs w:val="24"/>
                <w:lang w:eastAsia="lv-LV"/>
              </w:rPr>
              <w:t>Saskaņošanas dalībnieki izskatīja šādu ministriju (citu institūciju) iebildumus</w:t>
            </w:r>
          </w:p>
        </w:tc>
        <w:tc>
          <w:tcPr>
            <w:tcW w:w="840" w:type="dxa"/>
            <w:shd w:val="clear" w:color="auto" w:fill="auto"/>
            <w:tcMar>
              <w:top w:w="0" w:type="dxa"/>
              <w:left w:w="108" w:type="dxa"/>
              <w:bottom w:w="0" w:type="dxa"/>
              <w:right w:w="108" w:type="dxa"/>
            </w:tcMar>
          </w:tcPr>
          <w:p w14:paraId="6A644A13"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c>
          <w:tcPr>
            <w:tcW w:w="5034" w:type="dxa"/>
            <w:shd w:val="clear" w:color="auto" w:fill="auto"/>
            <w:tcMar>
              <w:top w:w="0" w:type="dxa"/>
              <w:left w:w="108" w:type="dxa"/>
              <w:bottom w:w="0" w:type="dxa"/>
              <w:right w:w="108" w:type="dxa"/>
            </w:tcMar>
          </w:tcPr>
          <w:p w14:paraId="247A9CFC" w14:textId="6889E134"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Tieslietu  ministrija</w:t>
            </w:r>
            <w:r w:rsidR="00D076D1">
              <w:rPr>
                <w:rFonts w:ascii="Times New Roman" w:eastAsia="Times New Roman" w:hAnsi="Times New Roman"/>
                <w:sz w:val="24"/>
                <w:szCs w:val="24"/>
                <w:lang w:eastAsia="lv-LV"/>
              </w:rPr>
              <w:t>, Finanšu ministrija, Zemkopības ministrija, Vides aizsardzības un reģionālās attīstības ministrija</w:t>
            </w:r>
          </w:p>
        </w:tc>
      </w:tr>
      <w:tr w:rsidR="00BD2EB8" w14:paraId="5A1CBA67" w14:textId="77777777" w:rsidTr="00D076D1">
        <w:trPr>
          <w:trHeight w:val="465"/>
        </w:trPr>
        <w:tc>
          <w:tcPr>
            <w:tcW w:w="6708" w:type="dxa"/>
            <w:gridSpan w:val="2"/>
            <w:shd w:val="clear" w:color="auto" w:fill="auto"/>
            <w:tcMar>
              <w:top w:w="0" w:type="dxa"/>
              <w:left w:w="108" w:type="dxa"/>
              <w:bottom w:w="0" w:type="dxa"/>
              <w:right w:w="108" w:type="dxa"/>
            </w:tcMar>
          </w:tcPr>
          <w:p w14:paraId="0BE71C08"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shd w:val="clear" w:color="auto" w:fill="auto"/>
            <w:tcMar>
              <w:top w:w="0" w:type="dxa"/>
              <w:left w:w="108" w:type="dxa"/>
              <w:bottom w:w="0" w:type="dxa"/>
              <w:right w:w="108" w:type="dxa"/>
            </w:tcMar>
          </w:tcPr>
          <w:p w14:paraId="3C2B099E"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66467FCA" w14:textId="77777777" w:rsidTr="00FD4855">
        <w:trPr>
          <w:trHeight w:val="465"/>
        </w:trPr>
        <w:tc>
          <w:tcPr>
            <w:tcW w:w="12582" w:type="dxa"/>
            <w:gridSpan w:val="4"/>
            <w:shd w:val="clear" w:color="auto" w:fill="auto"/>
            <w:tcMar>
              <w:top w:w="0" w:type="dxa"/>
              <w:left w:w="108" w:type="dxa"/>
              <w:bottom w:w="0" w:type="dxa"/>
              <w:right w:w="108" w:type="dxa"/>
            </w:tcMar>
          </w:tcPr>
          <w:p w14:paraId="1B27F09D" w14:textId="77777777" w:rsidR="00BD2EB8" w:rsidRDefault="00BD2EB8" w:rsidP="00FD4855">
            <w:pPr>
              <w:spacing w:after="0" w:line="240" w:lineRule="auto"/>
              <w:ind w:left="4820" w:firstLine="720"/>
              <w:jc w:val="center"/>
              <w:rPr>
                <w:rFonts w:ascii="Times New Roman" w:eastAsia="Times New Roman" w:hAnsi="Times New Roman"/>
                <w:sz w:val="24"/>
                <w:szCs w:val="24"/>
                <w:lang w:eastAsia="lv-LV"/>
              </w:rPr>
            </w:pPr>
          </w:p>
        </w:tc>
      </w:tr>
      <w:tr w:rsidR="00BD2EB8" w14:paraId="6F65A1BE" w14:textId="77777777" w:rsidTr="00FD4855">
        <w:tc>
          <w:tcPr>
            <w:tcW w:w="6708" w:type="dxa"/>
            <w:gridSpan w:val="2"/>
            <w:shd w:val="clear" w:color="auto" w:fill="auto"/>
            <w:tcMar>
              <w:top w:w="0" w:type="dxa"/>
              <w:left w:w="108" w:type="dxa"/>
              <w:bottom w:w="0" w:type="dxa"/>
              <w:right w:w="108" w:type="dxa"/>
            </w:tcMar>
          </w:tcPr>
          <w:p w14:paraId="39A15089" w14:textId="77777777" w:rsidR="00BD2EB8" w:rsidRDefault="00BD2EB8"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Ministrijas (citas institūcijas), kuras nav ieradušās uz sanāksmi vai kuras nav atbildējušas uz uzaicinājumu piedalīties elektroniskajā saskaņošanā</w:t>
            </w:r>
          </w:p>
        </w:tc>
        <w:tc>
          <w:tcPr>
            <w:tcW w:w="5874" w:type="dxa"/>
            <w:gridSpan w:val="2"/>
            <w:shd w:val="clear" w:color="auto" w:fill="auto"/>
            <w:tcMar>
              <w:top w:w="0" w:type="dxa"/>
              <w:left w:w="108" w:type="dxa"/>
              <w:bottom w:w="0" w:type="dxa"/>
              <w:right w:w="108" w:type="dxa"/>
            </w:tcMar>
          </w:tcPr>
          <w:p w14:paraId="7C9B5DAD"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2454EAC7" w14:textId="77777777" w:rsidTr="00FD4855">
        <w:tc>
          <w:tcPr>
            <w:tcW w:w="6708" w:type="dxa"/>
            <w:gridSpan w:val="2"/>
            <w:shd w:val="clear" w:color="auto" w:fill="auto"/>
            <w:tcMar>
              <w:top w:w="0" w:type="dxa"/>
              <w:left w:w="108" w:type="dxa"/>
              <w:bottom w:w="0" w:type="dxa"/>
              <w:right w:w="108" w:type="dxa"/>
            </w:tcMar>
          </w:tcPr>
          <w:p w14:paraId="28FAE572"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top w:val="single" w:sz="6" w:space="0" w:color="000000"/>
              <w:bottom w:val="single" w:sz="6" w:space="0" w:color="000000"/>
            </w:tcBorders>
            <w:shd w:val="clear" w:color="auto" w:fill="auto"/>
            <w:tcMar>
              <w:top w:w="0" w:type="dxa"/>
              <w:left w:w="108" w:type="dxa"/>
              <w:bottom w:w="0" w:type="dxa"/>
              <w:right w:w="108" w:type="dxa"/>
            </w:tcMar>
          </w:tcPr>
          <w:p w14:paraId="3C40FDC9"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r w:rsidR="00BD2EB8" w14:paraId="5D16CD06" w14:textId="77777777" w:rsidTr="00FD4855">
        <w:tc>
          <w:tcPr>
            <w:tcW w:w="6708" w:type="dxa"/>
            <w:gridSpan w:val="2"/>
            <w:shd w:val="clear" w:color="auto" w:fill="auto"/>
            <w:tcMar>
              <w:top w:w="0" w:type="dxa"/>
              <w:left w:w="108" w:type="dxa"/>
              <w:bottom w:w="0" w:type="dxa"/>
              <w:right w:w="108" w:type="dxa"/>
            </w:tcMar>
          </w:tcPr>
          <w:p w14:paraId="68BF9734" w14:textId="77777777" w:rsidR="00BD2EB8" w:rsidRDefault="00BD2EB8"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tc>
        <w:tc>
          <w:tcPr>
            <w:tcW w:w="5874" w:type="dxa"/>
            <w:gridSpan w:val="2"/>
            <w:tcBorders>
              <w:bottom w:val="single" w:sz="6" w:space="0" w:color="000000"/>
            </w:tcBorders>
            <w:shd w:val="clear" w:color="auto" w:fill="auto"/>
            <w:tcMar>
              <w:top w:w="0" w:type="dxa"/>
              <w:left w:w="108" w:type="dxa"/>
              <w:bottom w:w="0" w:type="dxa"/>
              <w:right w:w="108" w:type="dxa"/>
            </w:tcMar>
          </w:tcPr>
          <w:p w14:paraId="1918879A" w14:textId="77777777" w:rsidR="00BD2EB8" w:rsidRDefault="00BD2EB8" w:rsidP="00FD4855">
            <w:pPr>
              <w:spacing w:after="0" w:line="240" w:lineRule="auto"/>
              <w:ind w:firstLine="720"/>
              <w:rPr>
                <w:rFonts w:ascii="Times New Roman" w:eastAsia="Times New Roman" w:hAnsi="Times New Roman"/>
                <w:sz w:val="24"/>
                <w:szCs w:val="24"/>
                <w:lang w:eastAsia="lv-LV"/>
              </w:rPr>
            </w:pPr>
          </w:p>
        </w:tc>
      </w:tr>
    </w:tbl>
    <w:p w14:paraId="4EC45438" w14:textId="77777777" w:rsidR="00BD2EB8" w:rsidRDefault="00BD2EB8" w:rsidP="00BD2EB8"/>
    <w:p w14:paraId="5CDFB78B" w14:textId="77777777" w:rsidR="00BD2EB8" w:rsidRDefault="00BD2EB8" w:rsidP="00BD2EB8">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II. Jautājumi, par kuriem saskaņošanā vienošanās ir panākta</w:t>
      </w:r>
    </w:p>
    <w:p w14:paraId="0D91291D"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tbl>
      <w:tblPr>
        <w:tblW w:w="23755" w:type="dxa"/>
        <w:tblInd w:w="-8" w:type="dxa"/>
        <w:tblLayout w:type="fixed"/>
        <w:tblCellMar>
          <w:left w:w="10" w:type="dxa"/>
          <w:right w:w="10" w:type="dxa"/>
        </w:tblCellMar>
        <w:tblLook w:val="04A0" w:firstRow="1" w:lastRow="0" w:firstColumn="1" w:lastColumn="0" w:noHBand="0" w:noVBand="1"/>
      </w:tblPr>
      <w:tblGrid>
        <w:gridCol w:w="40"/>
        <w:gridCol w:w="677"/>
        <w:gridCol w:w="3076"/>
        <w:gridCol w:w="1271"/>
        <w:gridCol w:w="3110"/>
        <w:gridCol w:w="3174"/>
        <w:gridCol w:w="2977"/>
        <w:gridCol w:w="10"/>
        <w:gridCol w:w="40"/>
        <w:gridCol w:w="3168"/>
        <w:gridCol w:w="50"/>
        <w:gridCol w:w="3028"/>
        <w:gridCol w:w="50"/>
        <w:gridCol w:w="3028"/>
        <w:gridCol w:w="56"/>
      </w:tblGrid>
      <w:tr w:rsidR="00BD2EB8" w14:paraId="4F3879AC" w14:textId="77777777" w:rsidTr="04C0BC5C">
        <w:trPr>
          <w:gridAfter w:val="1"/>
          <w:wAfter w:w="56" w:type="dxa"/>
        </w:trPr>
        <w:tc>
          <w:tcPr>
            <w:tcW w:w="40" w:type="dxa"/>
            <w:tcBorders>
              <w:right w:val="single" w:sz="4" w:space="0" w:color="auto"/>
            </w:tcBorders>
          </w:tcPr>
          <w:p w14:paraId="14E2FA4E"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2A941B9"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Nr. p. k.</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4B49AD" w14:textId="77777777" w:rsidR="00BD2EB8" w:rsidRDefault="00BD2EB8" w:rsidP="00FD4855">
            <w:pPr>
              <w:spacing w:after="0" w:line="240" w:lineRule="auto"/>
              <w:ind w:firstLine="1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Saskaņošanai nosūtītā projekta redakcija (konkrēta punkta (panta) redakcija)</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5621CD" w14:textId="77777777" w:rsidR="00BD2EB8" w:rsidRDefault="00BD2EB8" w:rsidP="00FD4855">
            <w:pPr>
              <w:spacing w:after="0" w:line="240" w:lineRule="auto"/>
              <w:ind w:right="3"/>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Atzinumā norādītais ministrijas (citas institūcijas) iebildums, kā arī saskaņošanā papildus izteiktais iebildums par projekta konkrēto punktu (pantu)</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B98E8" w14:textId="77777777" w:rsidR="00BD2EB8" w:rsidRDefault="00BD2EB8" w:rsidP="00FD4855">
            <w:pPr>
              <w:spacing w:after="0" w:line="240" w:lineRule="auto"/>
              <w:ind w:firstLine="21"/>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Atbildīgās ministrijas norāde par to, ka iebildums ir ņemts vērā, vai informācija par saskaņošanā panākto </w:t>
            </w:r>
            <w:r>
              <w:rPr>
                <w:rFonts w:ascii="Times New Roman" w:eastAsia="Times New Roman" w:hAnsi="Times New Roman"/>
                <w:sz w:val="24"/>
                <w:szCs w:val="24"/>
                <w:lang w:eastAsia="lv-LV"/>
              </w:rPr>
              <w:lastRenderedPageBreak/>
              <w:t>alternatīvo risinājumu</w:t>
            </w:r>
          </w:p>
        </w:tc>
        <w:tc>
          <w:tcPr>
            <w:tcW w:w="2977"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0105B142"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Projekta attiecīgā punkta (panta) galīgā redakcija</w:t>
            </w:r>
          </w:p>
        </w:tc>
        <w:tc>
          <w:tcPr>
            <w:tcW w:w="3218" w:type="dxa"/>
            <w:gridSpan w:val="3"/>
          </w:tcPr>
          <w:p w14:paraId="526DF490"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3078" w:type="dxa"/>
            <w:gridSpan w:val="2"/>
          </w:tcPr>
          <w:p w14:paraId="5F4C0C02" w14:textId="77777777" w:rsidR="00BD2EB8" w:rsidRDefault="00BD2EB8" w:rsidP="00FD4855">
            <w:pPr>
              <w:spacing w:after="0" w:line="240" w:lineRule="auto"/>
              <w:jc w:val="center"/>
              <w:rPr>
                <w:rFonts w:ascii="Times New Roman" w:eastAsia="Times New Roman" w:hAnsi="Times New Roman"/>
                <w:sz w:val="24"/>
                <w:szCs w:val="24"/>
                <w:lang w:eastAsia="lv-LV"/>
              </w:rPr>
            </w:pPr>
          </w:p>
        </w:tc>
        <w:tc>
          <w:tcPr>
            <w:tcW w:w="3078" w:type="dxa"/>
            <w:gridSpan w:val="2"/>
          </w:tcPr>
          <w:p w14:paraId="037589EA" w14:textId="77777777" w:rsidR="00BD2EB8" w:rsidRDefault="00BD2EB8" w:rsidP="00FD4855">
            <w:pPr>
              <w:spacing w:after="0" w:line="240" w:lineRule="auto"/>
              <w:jc w:val="center"/>
              <w:rPr>
                <w:rFonts w:ascii="Times New Roman" w:eastAsia="Times New Roman" w:hAnsi="Times New Roman"/>
                <w:sz w:val="24"/>
                <w:szCs w:val="24"/>
                <w:lang w:eastAsia="lv-LV"/>
              </w:rPr>
            </w:pPr>
          </w:p>
        </w:tc>
      </w:tr>
      <w:tr w:rsidR="00BD2EB8" w14:paraId="023AA6CF" w14:textId="77777777" w:rsidTr="04C0BC5C">
        <w:trPr>
          <w:gridAfter w:val="1"/>
          <w:wAfter w:w="56" w:type="dxa"/>
        </w:trPr>
        <w:tc>
          <w:tcPr>
            <w:tcW w:w="40" w:type="dxa"/>
            <w:tcBorders>
              <w:right w:val="single" w:sz="4" w:space="0" w:color="auto"/>
            </w:tcBorders>
          </w:tcPr>
          <w:p w14:paraId="44A0A702"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33C44D"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1</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FEB03C"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2</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BBEE13"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3</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A9278A" w14:textId="77777777" w:rsidR="00BD2EB8" w:rsidRDefault="00BD2EB8" w:rsidP="00FD4855">
            <w:pPr>
              <w:spacing w:after="0" w:line="240" w:lineRule="auto"/>
              <w:ind w:firstLine="720"/>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4</w:t>
            </w:r>
          </w:p>
        </w:tc>
        <w:tc>
          <w:tcPr>
            <w:tcW w:w="2977" w:type="dxa"/>
            <w:tcBorders>
              <w:top w:val="single" w:sz="4" w:space="0" w:color="000000" w:themeColor="text1"/>
              <w:left w:val="single" w:sz="4" w:space="0" w:color="auto"/>
              <w:bottom w:val="single" w:sz="4" w:space="0" w:color="auto"/>
              <w:right w:val="single" w:sz="4" w:space="0" w:color="000000" w:themeColor="text1"/>
            </w:tcBorders>
            <w:shd w:val="clear" w:color="auto" w:fill="auto"/>
            <w:tcMar>
              <w:top w:w="0" w:type="dxa"/>
              <w:left w:w="108" w:type="dxa"/>
              <w:bottom w:w="0" w:type="dxa"/>
              <w:right w:w="108" w:type="dxa"/>
            </w:tcMar>
          </w:tcPr>
          <w:p w14:paraId="235ED4C4" w14:textId="77777777" w:rsidR="00BD2EB8" w:rsidRDefault="00BD2EB8" w:rsidP="00FD4855">
            <w:pPr>
              <w:spacing w:after="0" w:line="240" w:lineRule="auto"/>
              <w:jc w:val="center"/>
              <w:rPr>
                <w:rFonts w:ascii="Times New Roman" w:eastAsia="Times New Roman" w:hAnsi="Times New Roman"/>
                <w:sz w:val="20"/>
                <w:szCs w:val="20"/>
                <w:lang w:eastAsia="lv-LV"/>
              </w:rPr>
            </w:pPr>
            <w:r>
              <w:rPr>
                <w:rFonts w:ascii="Times New Roman" w:eastAsia="Times New Roman" w:hAnsi="Times New Roman"/>
                <w:sz w:val="20"/>
                <w:szCs w:val="20"/>
                <w:lang w:eastAsia="lv-LV"/>
              </w:rPr>
              <w:t>5</w:t>
            </w:r>
          </w:p>
        </w:tc>
        <w:tc>
          <w:tcPr>
            <w:tcW w:w="3218" w:type="dxa"/>
            <w:gridSpan w:val="3"/>
          </w:tcPr>
          <w:p w14:paraId="081531F5"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078" w:type="dxa"/>
            <w:gridSpan w:val="2"/>
          </w:tcPr>
          <w:p w14:paraId="302A33CF" w14:textId="77777777" w:rsidR="00BD2EB8" w:rsidRDefault="00BD2EB8" w:rsidP="00FD4855">
            <w:pPr>
              <w:spacing w:after="0" w:line="240" w:lineRule="auto"/>
              <w:jc w:val="center"/>
              <w:rPr>
                <w:rFonts w:ascii="Times New Roman" w:eastAsia="Times New Roman" w:hAnsi="Times New Roman"/>
                <w:sz w:val="20"/>
                <w:szCs w:val="20"/>
                <w:lang w:eastAsia="lv-LV"/>
              </w:rPr>
            </w:pPr>
          </w:p>
        </w:tc>
        <w:tc>
          <w:tcPr>
            <w:tcW w:w="3078" w:type="dxa"/>
            <w:gridSpan w:val="2"/>
          </w:tcPr>
          <w:p w14:paraId="5E1261B1" w14:textId="77777777" w:rsidR="00BD2EB8" w:rsidRDefault="00BD2EB8" w:rsidP="00FD4855">
            <w:pPr>
              <w:spacing w:after="0" w:line="240" w:lineRule="auto"/>
              <w:jc w:val="center"/>
              <w:rPr>
                <w:rFonts w:ascii="Times New Roman" w:eastAsia="Times New Roman" w:hAnsi="Times New Roman"/>
                <w:sz w:val="20"/>
                <w:szCs w:val="20"/>
                <w:lang w:eastAsia="lv-LV"/>
              </w:rPr>
            </w:pPr>
          </w:p>
        </w:tc>
      </w:tr>
      <w:tr w:rsidR="00DE6849" w14:paraId="40E51A8A" w14:textId="77777777" w:rsidTr="04C0BC5C">
        <w:trPr>
          <w:gridAfter w:val="1"/>
          <w:wAfter w:w="56" w:type="dxa"/>
        </w:trPr>
        <w:tc>
          <w:tcPr>
            <w:tcW w:w="40" w:type="dxa"/>
            <w:tcBorders>
              <w:right w:val="single" w:sz="4" w:space="0" w:color="auto"/>
            </w:tcBorders>
          </w:tcPr>
          <w:p w14:paraId="28DBCB81" w14:textId="77777777" w:rsidR="00DE6849" w:rsidRDefault="00DE6849"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1AE936" w14:textId="6D28B644" w:rsidR="00DE6849" w:rsidRDefault="00DE6849" w:rsidP="00DA5D1B">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16BD3" w14:textId="2244A1AC" w:rsidR="006750C8" w:rsidRPr="00D076D1" w:rsidRDefault="04C0BC5C" w:rsidP="0E9F0752">
            <w:pPr>
              <w:spacing w:after="0" w:line="240" w:lineRule="auto"/>
              <w:jc w:val="both"/>
              <w:rPr>
                <w:rFonts w:ascii="Times New Roman" w:eastAsia="Times New Roman" w:hAnsi="Times New Roman"/>
                <w:sz w:val="24"/>
                <w:szCs w:val="24"/>
                <w:lang w:val="lv"/>
              </w:rPr>
            </w:pPr>
            <w:r w:rsidRPr="04C0BC5C">
              <w:rPr>
                <w:rFonts w:ascii="Times New Roman" w:eastAsia="Times New Roman" w:hAnsi="Times New Roman"/>
                <w:sz w:val="24"/>
                <w:szCs w:val="24"/>
                <w:lang w:val="lv"/>
              </w:rPr>
              <w:t xml:space="preserve">Anotācijas II sadaļa </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4A1AA6F" w14:textId="5863BD16" w:rsidR="008600CC" w:rsidRPr="008600CC" w:rsidRDefault="009648AC" w:rsidP="008600CC">
            <w:pPr>
              <w:widowControl w:val="0"/>
              <w:tabs>
                <w:tab w:val="left" w:pos="993"/>
              </w:tabs>
              <w:suppressAutoHyphens w:val="0"/>
              <w:autoSpaceDN/>
              <w:spacing w:after="0" w:line="240" w:lineRule="auto"/>
              <w:contextualSpacing/>
              <w:jc w:val="both"/>
              <w:textAlignment w:val="auto"/>
              <w:rPr>
                <w:rFonts w:ascii="Times New Roman" w:hAnsi="Times New Roman"/>
                <w:b/>
                <w:bCs/>
                <w:sz w:val="24"/>
                <w:szCs w:val="24"/>
              </w:rPr>
            </w:pPr>
            <w:r>
              <w:rPr>
                <w:rFonts w:ascii="Times New Roman" w:hAnsi="Times New Roman"/>
                <w:b/>
                <w:bCs/>
                <w:sz w:val="24"/>
                <w:szCs w:val="24"/>
              </w:rPr>
              <w:t>Vides aizsardzības un reģionālās attīstības ministrijas</w:t>
            </w:r>
            <w:r w:rsidR="008600CC" w:rsidRPr="008600CC">
              <w:rPr>
                <w:rFonts w:ascii="Times New Roman" w:hAnsi="Times New Roman"/>
                <w:b/>
                <w:bCs/>
                <w:sz w:val="24"/>
                <w:szCs w:val="24"/>
              </w:rPr>
              <w:t xml:space="preserve"> 1</w:t>
            </w:r>
            <w:r w:rsidR="006750C8">
              <w:rPr>
                <w:rFonts w:ascii="Times New Roman" w:hAnsi="Times New Roman"/>
                <w:b/>
                <w:bCs/>
                <w:sz w:val="24"/>
                <w:szCs w:val="24"/>
              </w:rPr>
              <w:t>6</w:t>
            </w:r>
            <w:r w:rsidR="008600CC" w:rsidRPr="008600CC">
              <w:rPr>
                <w:rFonts w:ascii="Times New Roman" w:hAnsi="Times New Roman"/>
                <w:b/>
                <w:bCs/>
                <w:sz w:val="24"/>
                <w:szCs w:val="24"/>
              </w:rPr>
              <w:t>.0</w:t>
            </w:r>
            <w:r>
              <w:rPr>
                <w:rFonts w:ascii="Times New Roman" w:hAnsi="Times New Roman"/>
                <w:b/>
                <w:bCs/>
                <w:sz w:val="24"/>
                <w:szCs w:val="24"/>
              </w:rPr>
              <w:t>6</w:t>
            </w:r>
            <w:r w:rsidR="008600CC" w:rsidRPr="008600CC">
              <w:rPr>
                <w:rFonts w:ascii="Times New Roman" w:hAnsi="Times New Roman"/>
                <w:b/>
                <w:bCs/>
                <w:sz w:val="24"/>
                <w:szCs w:val="24"/>
              </w:rPr>
              <w:t>.202</w:t>
            </w:r>
            <w:r>
              <w:rPr>
                <w:rFonts w:ascii="Times New Roman" w:hAnsi="Times New Roman"/>
                <w:b/>
                <w:bCs/>
                <w:sz w:val="24"/>
                <w:szCs w:val="24"/>
              </w:rPr>
              <w:t>1</w:t>
            </w:r>
            <w:r w:rsidR="008600CC" w:rsidRPr="008600CC">
              <w:rPr>
                <w:rFonts w:ascii="Times New Roman" w:hAnsi="Times New Roman"/>
                <w:b/>
                <w:bCs/>
                <w:sz w:val="24"/>
                <w:szCs w:val="24"/>
              </w:rPr>
              <w:t xml:space="preserve"> atzinums</w:t>
            </w:r>
          </w:p>
          <w:p w14:paraId="15AF28F4" w14:textId="77777777" w:rsidR="006750C8" w:rsidRDefault="0E9F0752" w:rsidP="0E9F0752">
            <w:pPr>
              <w:spacing w:after="0"/>
              <w:ind w:firstLine="709"/>
              <w:contextualSpacing/>
              <w:jc w:val="both"/>
              <w:rPr>
                <w:rFonts w:ascii="Times New Roman" w:hAnsi="Times New Roman"/>
                <w:sz w:val="24"/>
                <w:szCs w:val="24"/>
              </w:rPr>
            </w:pPr>
            <w:r w:rsidRPr="0E9F0752">
              <w:rPr>
                <w:rFonts w:ascii="Times New Roman" w:hAnsi="Times New Roman"/>
                <w:sz w:val="24"/>
                <w:szCs w:val="24"/>
              </w:rPr>
              <w:t>Ministrija savas kompetences ietvaros izvērtēja sagatavoto projektu un tā anotāciju, un atbalsta tā turpmāku virzību bez iebildumiem, izsakot šādu priekšlikumu:</w:t>
            </w:r>
          </w:p>
          <w:p w14:paraId="3C4241C3" w14:textId="7BC2C5E5" w:rsidR="00DE6849" w:rsidRDefault="0E9F0752" w:rsidP="0E9F0752">
            <w:pPr>
              <w:widowControl w:val="0"/>
              <w:spacing w:after="0" w:line="240" w:lineRule="auto"/>
              <w:jc w:val="both"/>
              <w:rPr>
                <w:rFonts w:ascii="Times New Roman" w:eastAsia="Times New Roman" w:hAnsi="Times New Roman"/>
                <w:b/>
                <w:bCs/>
                <w:sz w:val="24"/>
                <w:szCs w:val="24"/>
                <w:lang w:eastAsia="lv-LV"/>
              </w:rPr>
            </w:pPr>
            <w:r w:rsidRPr="0E9F0752">
              <w:rPr>
                <w:rFonts w:ascii="Times New Roman" w:hAnsi="Times New Roman"/>
                <w:sz w:val="24"/>
                <w:szCs w:val="24"/>
              </w:rPr>
              <w:t>Lūdzam papildināt anotācijas  II. sadaļas 7. paragrāfa  1.un 2.punktu  ar šādu norādi: “Zemes vienības uzturēšana un pārvaldīšana tiks nodrošināta no LVĢMC līdzekļiem”</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1E60B8" w14:textId="24BFC6C2" w:rsidR="004A3591" w:rsidRPr="00713A6D" w:rsidRDefault="0E9F0752" w:rsidP="0E9F0752">
            <w:pPr>
              <w:spacing w:after="0" w:line="240" w:lineRule="auto"/>
              <w:jc w:val="center"/>
              <w:rPr>
                <w:rFonts w:ascii="Times New Roman" w:eastAsia="Times New Roman" w:hAnsi="Times New Roman"/>
                <w:b/>
                <w:bCs/>
                <w:sz w:val="24"/>
                <w:szCs w:val="24"/>
                <w:lang w:eastAsia="lv-LV"/>
              </w:rPr>
            </w:pPr>
            <w:r w:rsidRPr="0E9F0752">
              <w:rPr>
                <w:rFonts w:ascii="Times New Roman" w:eastAsia="Times New Roman" w:hAnsi="Times New Roman"/>
                <w:b/>
                <w:bCs/>
                <w:sz w:val="24"/>
                <w:szCs w:val="24"/>
                <w:lang w:eastAsia="lv-LV"/>
              </w:rPr>
              <w:t xml:space="preserve">Ņemts vērā, </w:t>
            </w:r>
            <w:r w:rsidRPr="0E9F0752">
              <w:rPr>
                <w:rFonts w:ascii="Times New Roman" w:eastAsia="Times New Roman" w:hAnsi="Times New Roman"/>
                <w:sz w:val="24"/>
                <w:szCs w:val="24"/>
                <w:lang w:eastAsia="lv-LV"/>
              </w:rPr>
              <w:t>anotācija papildināta</w:t>
            </w:r>
            <w:r w:rsidRPr="0E9F0752">
              <w:rPr>
                <w:rFonts w:ascii="Times New Roman" w:eastAsia="Times New Roman" w:hAnsi="Times New Roman"/>
                <w:b/>
                <w:bCs/>
                <w:sz w:val="24"/>
                <w:szCs w:val="24"/>
                <w:lang w:eastAsia="lv-LV"/>
              </w:rPr>
              <w:t>.</w:t>
            </w:r>
          </w:p>
          <w:p w14:paraId="54E1B3F3" w14:textId="1A3B2404" w:rsidR="00DA1680" w:rsidRPr="00713A6D" w:rsidRDefault="00DA1680" w:rsidP="006750C8">
            <w:pPr>
              <w:spacing w:after="0" w:line="240" w:lineRule="auto"/>
              <w:jc w:val="both"/>
              <w:rPr>
                <w:rFonts w:ascii="Times New Roman" w:eastAsia="Times New Roman" w:hAnsi="Times New Roman"/>
                <w:bCs/>
                <w:sz w:val="24"/>
                <w:szCs w:val="24"/>
                <w:highlight w:val="yellow"/>
                <w:lang w:eastAsia="lv-LV"/>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62D9CE4" w14:textId="53215526" w:rsidR="04C0BC5C" w:rsidRPr="00BD1DFD" w:rsidRDefault="04C0BC5C" w:rsidP="04C0BC5C">
            <w:pPr>
              <w:spacing w:after="0" w:line="240" w:lineRule="auto"/>
              <w:ind w:right="108"/>
              <w:jc w:val="both"/>
              <w:rPr>
                <w:rFonts w:ascii="Times New Roman" w:eastAsia="Times New Roman" w:hAnsi="Times New Roman"/>
                <w:color w:val="000000" w:themeColor="text1"/>
                <w:sz w:val="24"/>
                <w:szCs w:val="24"/>
              </w:rPr>
            </w:pPr>
            <w:r w:rsidRPr="00BD1DFD">
              <w:rPr>
                <w:rFonts w:ascii="Times New Roman" w:eastAsia="Times New Roman" w:hAnsi="Times New Roman"/>
                <w:color w:val="000000" w:themeColor="text1"/>
                <w:sz w:val="24"/>
                <w:szCs w:val="24"/>
              </w:rPr>
              <w:t xml:space="preserve">Anotācijas II sadaļa papildināta ar tekstu šādā redakcija: </w:t>
            </w:r>
          </w:p>
          <w:p w14:paraId="099D22E6" w14:textId="7F35D917" w:rsidR="00DE6849" w:rsidRPr="00BD1DFD" w:rsidRDefault="04C0BC5C" w:rsidP="04C0BC5C">
            <w:pPr>
              <w:spacing w:after="0" w:line="240" w:lineRule="auto"/>
              <w:ind w:right="108"/>
              <w:jc w:val="both"/>
              <w:rPr>
                <w:rFonts w:ascii="Times New Roman" w:eastAsia="Times New Roman" w:hAnsi="Times New Roman"/>
                <w:color w:val="000000" w:themeColor="text1"/>
                <w:sz w:val="24"/>
                <w:szCs w:val="24"/>
              </w:rPr>
            </w:pPr>
            <w:r w:rsidRPr="00BD1DFD">
              <w:rPr>
                <w:rFonts w:ascii="Times New Roman" w:eastAsia="Times New Roman" w:hAnsi="Times New Roman"/>
                <w:color w:val="000000" w:themeColor="text1"/>
                <w:sz w:val="24"/>
                <w:szCs w:val="24"/>
              </w:rPr>
              <w:t>“Zemes vienības uzturēšana un pārvaldīšana tiks nodrošināta no LVĢMC līdzekļiem.”</w:t>
            </w:r>
          </w:p>
          <w:p w14:paraId="71C15082" w14:textId="56A5BAE4" w:rsidR="00DE6849" w:rsidRPr="00BD1DFD" w:rsidRDefault="00DE6849" w:rsidP="0E9F0752">
            <w:pPr>
              <w:spacing w:after="0" w:line="240" w:lineRule="auto"/>
              <w:ind w:firstLine="720"/>
              <w:jc w:val="both"/>
              <w:rPr>
                <w:sz w:val="24"/>
                <w:szCs w:val="24"/>
              </w:rPr>
            </w:pPr>
          </w:p>
        </w:tc>
        <w:tc>
          <w:tcPr>
            <w:tcW w:w="3218" w:type="dxa"/>
            <w:gridSpan w:val="3"/>
            <w:tcBorders>
              <w:left w:val="single" w:sz="4" w:space="0" w:color="auto"/>
            </w:tcBorders>
          </w:tcPr>
          <w:p w14:paraId="203A8643" w14:textId="77777777" w:rsidR="00DE6849" w:rsidRDefault="00DE6849"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003D75B6" w14:textId="77777777" w:rsidR="00DE6849" w:rsidRDefault="00DE6849"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50D97187" w14:textId="77777777" w:rsidR="00DE6849" w:rsidRDefault="00DE6849" w:rsidP="00FD4855">
            <w:pPr>
              <w:spacing w:after="0" w:line="240" w:lineRule="auto"/>
              <w:jc w:val="both"/>
              <w:rPr>
                <w:rFonts w:ascii="Times New Roman" w:eastAsia="Times New Roman" w:hAnsi="Times New Roman"/>
                <w:bCs/>
                <w:sz w:val="24"/>
                <w:szCs w:val="24"/>
                <w:lang w:eastAsia="lv-LV"/>
              </w:rPr>
            </w:pPr>
          </w:p>
        </w:tc>
      </w:tr>
      <w:tr w:rsidR="00BD2EB8" w14:paraId="20E8ED4F" w14:textId="77777777" w:rsidTr="04C0BC5C">
        <w:trPr>
          <w:gridAfter w:val="1"/>
          <w:wAfter w:w="56" w:type="dxa"/>
        </w:trPr>
        <w:tc>
          <w:tcPr>
            <w:tcW w:w="40" w:type="dxa"/>
            <w:tcBorders>
              <w:right w:val="single" w:sz="4" w:space="0" w:color="auto"/>
            </w:tcBorders>
          </w:tcPr>
          <w:p w14:paraId="1F1E0F12" w14:textId="77777777" w:rsidR="00BD2EB8" w:rsidRDefault="00BD2EB8"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4DE09" w14:textId="72DC43E2" w:rsidR="00BD2EB8" w:rsidRDefault="00DE6849" w:rsidP="00D076D1">
            <w:pPr>
              <w:spacing w:after="0" w:line="240" w:lineRule="auto"/>
              <w:ind w:firstLine="2"/>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r w:rsidR="00BD2EB8">
              <w:rPr>
                <w:rFonts w:ascii="Times New Roman" w:eastAsia="Times New Roman" w:hAnsi="Times New Roman"/>
                <w:sz w:val="24"/>
                <w:szCs w:val="24"/>
                <w:lang w:eastAsia="lv-LV"/>
              </w:rPr>
              <w:t>.</w:t>
            </w:r>
          </w:p>
          <w:p w14:paraId="0A36EE77" w14:textId="77777777" w:rsidR="00BD2EB8" w:rsidRDefault="00BD2EB8" w:rsidP="00FD4855">
            <w:pPr>
              <w:rPr>
                <w:rFonts w:ascii="Times New Roman" w:eastAsia="Times New Roman" w:hAnsi="Times New Roman"/>
                <w:sz w:val="24"/>
                <w:szCs w:val="24"/>
                <w:lang w:eastAsia="lv-LV"/>
              </w:rPr>
            </w:pP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B8A892" w14:textId="629272D8" w:rsidR="00D076D1" w:rsidRPr="00D076D1" w:rsidRDefault="00D076D1" w:rsidP="00FD4855">
            <w:pPr>
              <w:widowControl w:val="0"/>
              <w:spacing w:after="0" w:line="240" w:lineRule="auto"/>
              <w:jc w:val="both"/>
              <w:rPr>
                <w:rFonts w:ascii="Times New Roman" w:eastAsia="Times New Roman" w:hAnsi="Times New Roman"/>
                <w:sz w:val="24"/>
                <w:szCs w:val="24"/>
                <w:lang w:val="lv"/>
              </w:rPr>
            </w:pPr>
            <w:r w:rsidRPr="00D076D1">
              <w:rPr>
                <w:rFonts w:ascii="Times New Roman" w:eastAsia="Times New Roman" w:hAnsi="Times New Roman"/>
                <w:sz w:val="24"/>
                <w:szCs w:val="24"/>
                <w:lang w:val="lv"/>
              </w:rPr>
              <w:t>Par projektu kopumā</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C12B58" w14:textId="366DFD83" w:rsidR="00DE6849" w:rsidRDefault="006750C8" w:rsidP="00DE6849">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Tieslietu </w:t>
            </w:r>
            <w:r w:rsidR="00DE6849">
              <w:rPr>
                <w:rFonts w:ascii="Times New Roman" w:eastAsia="Times New Roman" w:hAnsi="Times New Roman"/>
                <w:b/>
                <w:sz w:val="24"/>
                <w:szCs w:val="24"/>
                <w:lang w:eastAsia="lv-LV"/>
              </w:rPr>
              <w:t>ministrijas 1</w:t>
            </w:r>
            <w:r>
              <w:rPr>
                <w:rFonts w:ascii="Times New Roman" w:eastAsia="Times New Roman" w:hAnsi="Times New Roman"/>
                <w:b/>
                <w:sz w:val="24"/>
                <w:szCs w:val="24"/>
                <w:lang w:eastAsia="lv-LV"/>
              </w:rPr>
              <w:t>9</w:t>
            </w:r>
            <w:r w:rsidR="00DE6849">
              <w:rPr>
                <w:rFonts w:ascii="Times New Roman" w:eastAsia="Times New Roman" w:hAnsi="Times New Roman"/>
                <w:b/>
                <w:sz w:val="24"/>
                <w:szCs w:val="24"/>
                <w:lang w:eastAsia="lv-LV"/>
              </w:rPr>
              <w:t>.0</w:t>
            </w:r>
            <w:r>
              <w:rPr>
                <w:rFonts w:ascii="Times New Roman" w:eastAsia="Times New Roman" w:hAnsi="Times New Roman"/>
                <w:b/>
                <w:sz w:val="24"/>
                <w:szCs w:val="24"/>
                <w:lang w:eastAsia="lv-LV"/>
              </w:rPr>
              <w:t>6</w:t>
            </w:r>
            <w:r w:rsidR="00DE6849">
              <w:rPr>
                <w:rFonts w:ascii="Times New Roman" w:eastAsia="Times New Roman" w:hAnsi="Times New Roman"/>
                <w:b/>
                <w:sz w:val="24"/>
                <w:szCs w:val="24"/>
                <w:lang w:eastAsia="lv-LV"/>
              </w:rPr>
              <w:t>.202</w:t>
            </w:r>
            <w:r>
              <w:rPr>
                <w:rFonts w:ascii="Times New Roman" w:eastAsia="Times New Roman" w:hAnsi="Times New Roman"/>
                <w:b/>
                <w:sz w:val="24"/>
                <w:szCs w:val="24"/>
                <w:lang w:eastAsia="lv-LV"/>
              </w:rPr>
              <w:t>1.</w:t>
            </w:r>
            <w:r w:rsidR="00DE6849">
              <w:rPr>
                <w:rFonts w:ascii="Times New Roman" w:eastAsia="Times New Roman" w:hAnsi="Times New Roman"/>
                <w:b/>
                <w:sz w:val="24"/>
                <w:szCs w:val="24"/>
                <w:lang w:eastAsia="lv-LV"/>
              </w:rPr>
              <w:t xml:space="preserve"> atzinums</w:t>
            </w:r>
          </w:p>
          <w:p w14:paraId="4A0E231F" w14:textId="12AB4936" w:rsidR="00BD2EB8" w:rsidRPr="00DA5D1B" w:rsidRDefault="006750C8" w:rsidP="00DA5D1B">
            <w:pPr>
              <w:suppressAutoHyphens w:val="0"/>
              <w:autoSpaceDN/>
              <w:spacing w:line="240" w:lineRule="auto"/>
              <w:jc w:val="both"/>
              <w:textAlignment w:val="auto"/>
              <w:rPr>
                <w:rFonts w:ascii="Times New Roman" w:eastAsia="Times New Roman" w:hAnsi="Times New Roman"/>
                <w:sz w:val="24"/>
                <w:szCs w:val="24"/>
                <w:lang w:val="lv"/>
              </w:rPr>
            </w:pPr>
            <w:r w:rsidRPr="00EF24CE">
              <w:rPr>
                <w:rFonts w:ascii="Times New Roman" w:eastAsia="Times New Roman" w:hAnsi="Times New Roman"/>
                <w:sz w:val="24"/>
                <w:szCs w:val="24"/>
                <w:lang w:val="lv"/>
              </w:rPr>
              <w:t xml:space="preserve">Ar minēto rīkojuma projektu tiek plānots nodot daļu valsts nekustamo īpašumu bez atlīdzības Latvijas Lauksaimniecības universitātei īpašumā, bet daļu Zemkopības ministrijas un Vides aizsardzības un reģionālās attīstības ministrijas valdījumā. Parasti rīkojuma projektiem, ar kuriem tiek nodoti nekustamie īpašumi atvasinātai publiskai personai bez atlīdzības, tiek pievienoti paskaidrojošie dokumenti, tomēr šim projektam nekustamā īpašuma raksturojošie dokumenti nav pievienoti </w:t>
            </w:r>
            <w:r w:rsidRPr="00EF24CE">
              <w:rPr>
                <w:rFonts w:ascii="Times New Roman" w:eastAsia="Times New Roman" w:hAnsi="Times New Roman"/>
                <w:sz w:val="24"/>
                <w:szCs w:val="24"/>
                <w:lang w:val="lv"/>
              </w:rPr>
              <w:lastRenderedPageBreak/>
              <w:t>(piemēram, ne informācija no zemesgrāmatas, ne no Nekustamā īpašuma valsts kadastra informācijas sistēmas). Tādējādi sniegtais viedoklis ir formāls, nevērtējot nekustamā īpašuma dokumentus. Lūdzam projektam pievienot paskaidrojošos dokumentus.</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92521" w14:textId="45F8D53C" w:rsidR="00BD2EB8" w:rsidRDefault="04C0BC5C" w:rsidP="04C0BC5C">
            <w:pPr>
              <w:spacing w:after="0" w:line="240" w:lineRule="auto"/>
              <w:jc w:val="center"/>
              <w:rPr>
                <w:rFonts w:ascii="Times New Roman" w:eastAsia="Times New Roman" w:hAnsi="Times New Roman"/>
                <w:sz w:val="24"/>
                <w:szCs w:val="24"/>
                <w:lang w:eastAsia="lv-LV"/>
              </w:rPr>
            </w:pPr>
            <w:r w:rsidRPr="04C0BC5C">
              <w:rPr>
                <w:rFonts w:ascii="Times New Roman" w:eastAsia="Times New Roman" w:hAnsi="Times New Roman"/>
                <w:b/>
                <w:bCs/>
                <w:sz w:val="24"/>
                <w:szCs w:val="24"/>
                <w:lang w:eastAsia="lv-LV"/>
              </w:rPr>
              <w:lastRenderedPageBreak/>
              <w:t>Ņemts vērā,</w:t>
            </w:r>
          </w:p>
          <w:p w14:paraId="1B66434A" w14:textId="56A732D0" w:rsidR="00BD2EB8" w:rsidRDefault="04C0BC5C" w:rsidP="0E9F0752">
            <w:pPr>
              <w:spacing w:after="0" w:line="240" w:lineRule="auto"/>
              <w:jc w:val="center"/>
              <w:rPr>
                <w:rFonts w:ascii="Times New Roman" w:eastAsia="Times New Roman" w:hAnsi="Times New Roman"/>
                <w:sz w:val="24"/>
                <w:szCs w:val="24"/>
                <w:lang w:eastAsia="lv-LV"/>
              </w:rPr>
            </w:pPr>
            <w:r w:rsidRPr="04C0BC5C">
              <w:rPr>
                <w:rFonts w:ascii="Times New Roman" w:eastAsia="Times New Roman" w:hAnsi="Times New Roman"/>
                <w:b/>
                <w:bCs/>
                <w:sz w:val="24"/>
                <w:szCs w:val="24"/>
                <w:lang w:eastAsia="lv-LV"/>
              </w:rPr>
              <w:t xml:space="preserve"> </w:t>
            </w:r>
            <w:r w:rsidRPr="04C0BC5C">
              <w:rPr>
                <w:rFonts w:ascii="Times New Roman" w:eastAsia="Times New Roman" w:hAnsi="Times New Roman"/>
                <w:sz w:val="24"/>
                <w:szCs w:val="24"/>
                <w:lang w:eastAsia="lv-LV"/>
              </w:rPr>
              <w:t>paskaidrojošie dokumenti pievienoti.</w:t>
            </w:r>
          </w:p>
          <w:p w14:paraId="3D303E5B" w14:textId="77777777" w:rsidR="00BD2EB8" w:rsidRDefault="00BD2EB8" w:rsidP="00FD4855">
            <w:pPr>
              <w:spacing w:after="0" w:line="240" w:lineRule="auto"/>
              <w:jc w:val="center"/>
              <w:rPr>
                <w:rFonts w:ascii="Times New Roman" w:eastAsia="Times New Roman" w:hAnsi="Times New Roman"/>
                <w:b/>
                <w:sz w:val="24"/>
                <w:szCs w:val="24"/>
                <w:lang w:eastAsia="lv-LV"/>
              </w:rPr>
            </w:pPr>
          </w:p>
          <w:p w14:paraId="56898C1E" w14:textId="0F7050D5" w:rsidR="00BD2EB8" w:rsidRPr="000C6991" w:rsidRDefault="00BD2EB8" w:rsidP="00FD4855">
            <w:pPr>
              <w:spacing w:after="0" w:line="240" w:lineRule="auto"/>
              <w:jc w:val="both"/>
              <w:rPr>
                <w:rFonts w:ascii="Times New Roman" w:eastAsia="Times New Roman" w:hAnsi="Times New Roman"/>
                <w:b/>
                <w:i/>
                <w:iCs/>
                <w:sz w:val="24"/>
                <w:szCs w:val="24"/>
                <w:lang w:eastAsia="lv-LV"/>
              </w:rPr>
            </w:pPr>
          </w:p>
        </w:tc>
        <w:tc>
          <w:tcPr>
            <w:tcW w:w="29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6514072" w14:textId="60C0CD85" w:rsidR="00BD2EB8" w:rsidRPr="00B3283C" w:rsidRDefault="00BD2EB8" w:rsidP="00FD4855">
            <w:pPr>
              <w:suppressAutoHyphens w:val="0"/>
              <w:autoSpaceDN/>
              <w:spacing w:after="0" w:line="240" w:lineRule="auto"/>
              <w:ind w:firstLine="709"/>
              <w:jc w:val="both"/>
              <w:textAlignment w:val="auto"/>
              <w:rPr>
                <w:rFonts w:ascii="Times New Roman" w:eastAsia="Times New Roman" w:hAnsi="Times New Roman"/>
                <w:bCs/>
                <w:sz w:val="24"/>
                <w:szCs w:val="24"/>
                <w:lang w:eastAsia="lv-LV"/>
              </w:rPr>
            </w:pPr>
          </w:p>
        </w:tc>
        <w:tc>
          <w:tcPr>
            <w:tcW w:w="3218" w:type="dxa"/>
            <w:gridSpan w:val="3"/>
            <w:tcBorders>
              <w:left w:val="single" w:sz="4" w:space="0" w:color="auto"/>
            </w:tcBorders>
          </w:tcPr>
          <w:p w14:paraId="462204EB"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2238B5B" w14:textId="77777777" w:rsidR="00BD2EB8" w:rsidRDefault="00BD2EB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48A5EFAF" w14:textId="77777777" w:rsidR="00BD2EB8" w:rsidRDefault="00BD2EB8" w:rsidP="00FD4855">
            <w:pPr>
              <w:spacing w:after="0" w:line="240" w:lineRule="auto"/>
              <w:jc w:val="both"/>
              <w:rPr>
                <w:rFonts w:ascii="Times New Roman" w:eastAsia="Times New Roman" w:hAnsi="Times New Roman"/>
                <w:bCs/>
                <w:sz w:val="24"/>
                <w:szCs w:val="24"/>
                <w:lang w:eastAsia="lv-LV"/>
              </w:rPr>
            </w:pPr>
          </w:p>
        </w:tc>
      </w:tr>
      <w:tr w:rsidR="008968C5" w14:paraId="5F4D12A2" w14:textId="77777777" w:rsidTr="04C0BC5C">
        <w:trPr>
          <w:gridAfter w:val="1"/>
          <w:wAfter w:w="56" w:type="dxa"/>
          <w:trHeight w:val="4955"/>
        </w:trPr>
        <w:tc>
          <w:tcPr>
            <w:tcW w:w="40" w:type="dxa"/>
            <w:tcBorders>
              <w:right w:val="single" w:sz="4" w:space="0" w:color="auto"/>
            </w:tcBorders>
          </w:tcPr>
          <w:p w14:paraId="3333B270" w14:textId="77777777" w:rsidR="008968C5" w:rsidRPr="00EF24CE" w:rsidRDefault="008968C5"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12FFA" w14:textId="036BF363" w:rsidR="008968C5" w:rsidRPr="00EF24CE" w:rsidRDefault="008968C5" w:rsidP="00814BC2">
            <w:pPr>
              <w:spacing w:after="0" w:line="240" w:lineRule="auto"/>
              <w:jc w:val="center"/>
              <w:rPr>
                <w:rFonts w:ascii="Times New Roman" w:eastAsia="Times New Roman" w:hAnsi="Times New Roman"/>
                <w:sz w:val="24"/>
                <w:szCs w:val="24"/>
                <w:lang w:eastAsia="lv-LV"/>
              </w:rPr>
            </w:pPr>
            <w:r w:rsidRPr="00EF24CE">
              <w:rPr>
                <w:rFonts w:ascii="Times New Roman" w:eastAsia="Times New Roman" w:hAnsi="Times New Roman"/>
                <w:sz w:val="24"/>
                <w:szCs w:val="24"/>
                <w:lang w:eastAsia="lv-LV"/>
              </w:rPr>
              <w:t>3.</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AA79FE" w14:textId="59D4FE80" w:rsidR="008968C5" w:rsidRPr="00EF24CE" w:rsidRDefault="00EF24CE" w:rsidP="00EF24CE">
            <w:pPr>
              <w:jc w:val="both"/>
              <w:rPr>
                <w:rFonts w:ascii="Times New Roman" w:hAnsi="Times New Roman"/>
                <w:sz w:val="24"/>
                <w:szCs w:val="24"/>
                <w:shd w:val="clear" w:color="auto" w:fill="FFFFFF"/>
              </w:rPr>
            </w:pPr>
            <w:r w:rsidRPr="008B3001">
              <w:rPr>
                <w:rFonts w:ascii="Times New Roman" w:eastAsia="Times New Roman" w:hAnsi="Times New Roman"/>
                <w:sz w:val="24"/>
                <w:szCs w:val="24"/>
                <w:lang w:val="lv"/>
              </w:rPr>
              <w:t xml:space="preserve">6. Saskaņā ar Publiskas personas mantas atsavināšanas likuma 5. panta pirmo daļu, 42. panta pirmo daļu un 43. pantu atļaut Izglītības un zinātnes ministrijai nodot bez atlīdzības Latvijas Lauksaimniecības universitātes īpašumā izglītības funkcijas īstenošanai valsts nekustamā īpašuma „Malnavas koledža” (nekustamā īpašuma kadastra Nr. 6868 009 0550) Malnavas pagastā, Kārsavas novadā, (turpmāk – valsts nekustamais īpašums) daļu – 11 zemes vienības 198,0402 ha kopplatībā (zemes vienību kadastra apzīmējumi 6868 </w:t>
            </w:r>
            <w:r w:rsidRPr="008B3001">
              <w:rPr>
                <w:rFonts w:ascii="Times New Roman" w:eastAsia="Times New Roman" w:hAnsi="Times New Roman"/>
                <w:sz w:val="24"/>
                <w:szCs w:val="24"/>
                <w:lang w:val="lv"/>
              </w:rPr>
              <w:lastRenderedPageBreak/>
              <w:t>007 0071, 6868 009 0316, 6868 009 0318, 6868 009 0546, 6868 009 0547, 6868 009 0661, 6868 009 0662, 6868 009 0635, 6868 009 0657, 6868 009 0658 un 6868 010 0157) un 20 būves (būvju kadastra apzīmējumi 6868 009 0317 001, 6868 009 0317 002, 6868 009 0318 001, 6868 009 0546 002, 6868 009 0546 003, 6868 009 0547 001, 6868 009 0547 002, 6868 009 0547 003, 6868 009 0547 005, 6868 009 0547 007, 6868 009 0550 001, 6868 009 0550 002, 6868 009 0550 006, 6868 009 0550 007, 6868 009 0550 008, 6868 009 0550 009, 6868 009 0550 015, 6868 009 0632 001, 6868 010 0158 005 un 6868 010 0158 006) (turpmāk – nekustamā īpašuma daļa).</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D3542C" w14:textId="77777777" w:rsidR="00EF24CE" w:rsidRDefault="00EF24CE" w:rsidP="00EF24CE">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Tieslietu ministrijas 19.06.2021. atzinums</w:t>
            </w:r>
          </w:p>
          <w:p w14:paraId="4C55A62A" w14:textId="5D246E54" w:rsidR="008968C5" w:rsidRPr="00EF24CE" w:rsidRDefault="008968C5" w:rsidP="00EF24CE">
            <w:pPr>
              <w:tabs>
                <w:tab w:val="left" w:pos="993"/>
              </w:tabs>
              <w:autoSpaceDN/>
              <w:spacing w:after="0" w:line="240" w:lineRule="auto"/>
              <w:jc w:val="both"/>
              <w:textAlignment w:val="auto"/>
              <w:rPr>
                <w:rFonts w:ascii="Times New Roman" w:hAnsi="Times New Roman"/>
                <w:color w:val="000000"/>
                <w:sz w:val="24"/>
                <w:szCs w:val="24"/>
              </w:rPr>
            </w:pPr>
            <w:r w:rsidRPr="00EF24CE">
              <w:rPr>
                <w:rFonts w:ascii="Times New Roman" w:hAnsi="Times New Roman"/>
                <w:color w:val="000000"/>
                <w:sz w:val="24"/>
                <w:szCs w:val="24"/>
              </w:rPr>
              <w:t>Lūdzam projekta 6. punktu papildināt ar informāciju, uz kādas institūcijas vārda ir nostiprinātas valsts īpašuma tiesības zemesgrāmatā uz rīkojuma projektā minēto valsts nekustamo īpašumu.</w:t>
            </w:r>
          </w:p>
          <w:p w14:paraId="6116B587" w14:textId="77777777" w:rsidR="008968C5" w:rsidRPr="00EF24CE" w:rsidRDefault="008968C5" w:rsidP="00EF24CE">
            <w:pPr>
              <w:widowControl w:val="0"/>
              <w:tabs>
                <w:tab w:val="left" w:pos="993"/>
              </w:tabs>
              <w:autoSpaceDN/>
              <w:spacing w:after="0" w:line="240" w:lineRule="auto"/>
              <w:jc w:val="both"/>
              <w:textAlignment w:val="auto"/>
              <w:rPr>
                <w:rFonts w:ascii="Times New Roman" w:hAnsi="Times New Roman"/>
                <w:color w:val="000000"/>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164D6E0" w14:textId="0D0C8514" w:rsidR="008968C5" w:rsidRDefault="04C0BC5C" w:rsidP="04C0BC5C">
            <w:pPr>
              <w:spacing w:after="0" w:line="240" w:lineRule="auto"/>
              <w:ind w:firstLine="720"/>
              <w:jc w:val="both"/>
              <w:rPr>
                <w:rFonts w:ascii="Times New Roman" w:eastAsia="Times New Roman" w:hAnsi="Times New Roman"/>
                <w:b/>
                <w:bCs/>
                <w:sz w:val="24"/>
                <w:szCs w:val="24"/>
                <w:lang w:eastAsia="lv-LV"/>
              </w:rPr>
            </w:pPr>
            <w:r w:rsidRPr="04C0BC5C">
              <w:rPr>
                <w:rFonts w:ascii="Times New Roman" w:eastAsia="Times New Roman" w:hAnsi="Times New Roman"/>
                <w:b/>
                <w:bCs/>
                <w:sz w:val="24"/>
                <w:szCs w:val="24"/>
                <w:lang w:eastAsia="lv-LV"/>
              </w:rPr>
              <w:t xml:space="preserve">Ņemts vērā. </w:t>
            </w:r>
          </w:p>
          <w:p w14:paraId="3F3ED4FC" w14:textId="4C73FCF9" w:rsidR="008968C5" w:rsidRDefault="04C0BC5C" w:rsidP="04C0BC5C">
            <w:pPr>
              <w:spacing w:after="0" w:line="240" w:lineRule="auto"/>
              <w:jc w:val="both"/>
              <w:rPr>
                <w:rFonts w:ascii="Times New Roman" w:eastAsia="Times New Roman" w:hAnsi="Times New Roman"/>
                <w:b/>
                <w:bCs/>
                <w:sz w:val="24"/>
                <w:szCs w:val="24"/>
                <w:lang w:eastAsia="lv-LV"/>
              </w:rPr>
            </w:pPr>
            <w:r w:rsidRPr="04C0BC5C">
              <w:rPr>
                <w:rFonts w:ascii="Times New Roman" w:eastAsia="Times New Roman" w:hAnsi="Times New Roman"/>
                <w:sz w:val="24"/>
                <w:szCs w:val="24"/>
                <w:lang w:eastAsia="lv-LV"/>
              </w:rPr>
              <w:t>Projekta 6.punkts papildināts.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7DA953" w14:textId="0725F794" w:rsidR="008968C5" w:rsidRPr="00BD1DFD" w:rsidRDefault="0E9F0752" w:rsidP="0E9F0752">
            <w:pPr>
              <w:spacing w:line="259" w:lineRule="auto"/>
              <w:jc w:val="both"/>
              <w:rPr>
                <w:rFonts w:ascii="Times New Roman" w:eastAsia="Times New Roman" w:hAnsi="Times New Roman"/>
                <w:color w:val="000000" w:themeColor="text1"/>
                <w:sz w:val="24"/>
                <w:szCs w:val="24"/>
              </w:rPr>
            </w:pPr>
            <w:r w:rsidRPr="00BD1DFD">
              <w:rPr>
                <w:rFonts w:ascii="Times New Roman" w:eastAsia="Times New Roman" w:hAnsi="Times New Roman"/>
                <w:color w:val="000000" w:themeColor="text1"/>
                <w:sz w:val="24"/>
                <w:szCs w:val="24"/>
              </w:rPr>
              <w:t xml:space="preserve">6. </w:t>
            </w:r>
            <w:r w:rsidRPr="00BD1DFD">
              <w:rPr>
                <w:rFonts w:ascii="Times New Roman" w:eastAsia="Times New Roman" w:hAnsi="Times New Roman"/>
                <w:color w:val="000000" w:themeColor="text1"/>
                <w:sz w:val="28"/>
                <w:szCs w:val="28"/>
                <w:lang w:val="lv"/>
              </w:rPr>
              <w:t xml:space="preserve"> </w:t>
            </w:r>
            <w:r w:rsidRPr="00BD1DFD">
              <w:rPr>
                <w:rFonts w:ascii="Times New Roman" w:eastAsia="Times New Roman" w:hAnsi="Times New Roman"/>
                <w:color w:val="000000" w:themeColor="text1"/>
                <w:sz w:val="24"/>
                <w:szCs w:val="24"/>
                <w:lang w:val="lv"/>
              </w:rPr>
              <w:t xml:space="preserve">Saskaņā ar Publiskas personas mantas atsavināšanas likuma 5. panta pirmo daļu, 42. panta pirmo daļu un 43. pantu atļaut Izglītības un zinātnes ministrijai nodot bez atlīdzības Latvijas Lauksaimniecības universitātes īpašumā izglītības funkcijas īstenošanai valsts nekustamā īpašuma „Malnavas koledža” (nekustamā īpašuma kadastra Nr. 6868 009 0550) Malnavas pagastā, Kārsavas novadā, (turpmāk – valsts nekustamais īpašums), kas ierakstīts zemesgrāmatā uz valsts vārda Izglītības un </w:t>
            </w:r>
            <w:r w:rsidRPr="00BD1DFD">
              <w:rPr>
                <w:rFonts w:ascii="Times New Roman" w:eastAsia="Times New Roman" w:hAnsi="Times New Roman"/>
                <w:color w:val="000000" w:themeColor="text1"/>
                <w:sz w:val="24"/>
                <w:szCs w:val="24"/>
                <w:lang w:val="lv"/>
              </w:rPr>
              <w:lastRenderedPageBreak/>
              <w:t xml:space="preserve">zinātnes ministrijas personā, daļu – 11 zemes vienības 198,0402 ha kopplatībā (zemes vienību kadastra apzīmējumi 6868 007 0071, 6868 009 0316, 6868 009 0318, 6868 009 0546, 6868 009 0547, 6868 009 0661, 6868 009 0662, 6868 009 0635, 6868 009 0657, 6868 009 0658 un 6868 010 0157) un 20 būves (būvju kadastra apzīmējumi 6868 009 0317 001, 6868 009 0317 002, 6868 009 0318 001, 6868 009 0546 002, 6868 009 0546 003, 6868 009 0547 001, 6868 009 0547 002, 6868 009 0547 003, 6868 009 0547 005, 6868 009 0547 007, 6868 009 0550 001, 6868 009 0550 002, 6868 009 0550 006, 6868 009 0550 007, 6868 009 0550 008, 6868 009 0550 009, 6868 009 0550 015, 6868 009 0632 001, 6868 010 0158 005 un </w:t>
            </w:r>
            <w:r w:rsidRPr="00BD1DFD">
              <w:rPr>
                <w:rFonts w:ascii="Times New Roman" w:eastAsia="Times New Roman" w:hAnsi="Times New Roman"/>
                <w:color w:val="000000" w:themeColor="text1"/>
                <w:sz w:val="24"/>
                <w:szCs w:val="24"/>
                <w:lang w:val="lv"/>
              </w:rPr>
              <w:lastRenderedPageBreak/>
              <w:t>6868 010 0158 006) (turpmāk – nekustamā īpašuma daļa).</w:t>
            </w:r>
          </w:p>
        </w:tc>
        <w:tc>
          <w:tcPr>
            <w:tcW w:w="3218" w:type="dxa"/>
            <w:gridSpan w:val="3"/>
          </w:tcPr>
          <w:p w14:paraId="37D5D6EE" w14:textId="77777777" w:rsidR="008968C5" w:rsidRDefault="008968C5"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1A33304" w14:textId="77777777" w:rsidR="008968C5" w:rsidRDefault="008968C5"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0CE8F008" w14:textId="77777777" w:rsidR="008968C5" w:rsidRDefault="008968C5" w:rsidP="00FD4855">
            <w:pPr>
              <w:spacing w:after="0" w:line="240" w:lineRule="auto"/>
              <w:jc w:val="both"/>
              <w:rPr>
                <w:rFonts w:ascii="Times New Roman" w:eastAsia="Times New Roman" w:hAnsi="Times New Roman"/>
                <w:bCs/>
                <w:sz w:val="24"/>
                <w:szCs w:val="24"/>
                <w:lang w:eastAsia="lv-LV"/>
              </w:rPr>
            </w:pPr>
          </w:p>
        </w:tc>
      </w:tr>
      <w:tr w:rsidR="00EF24CE" w14:paraId="1579F8F5" w14:textId="77777777" w:rsidTr="04C0BC5C">
        <w:trPr>
          <w:gridAfter w:val="1"/>
          <w:wAfter w:w="56" w:type="dxa"/>
          <w:trHeight w:val="1179"/>
        </w:trPr>
        <w:tc>
          <w:tcPr>
            <w:tcW w:w="40" w:type="dxa"/>
            <w:tcBorders>
              <w:right w:val="single" w:sz="4" w:space="0" w:color="auto"/>
            </w:tcBorders>
          </w:tcPr>
          <w:p w14:paraId="760409B7" w14:textId="77777777" w:rsidR="00EF24CE" w:rsidRDefault="00EF24CE"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F5BA61" w14:textId="2A88D3C0" w:rsidR="00EF24CE" w:rsidRPr="00EF24CE" w:rsidRDefault="00EF24CE" w:rsidP="00EF24CE">
            <w:pPr>
              <w:spacing w:after="0" w:line="240" w:lineRule="auto"/>
              <w:jc w:val="center"/>
              <w:rPr>
                <w:rFonts w:ascii="Times New Roman" w:eastAsia="Times New Roman" w:hAnsi="Times New Roman"/>
                <w:sz w:val="24"/>
                <w:szCs w:val="24"/>
                <w:lang w:eastAsia="lv-LV"/>
              </w:rPr>
            </w:pPr>
            <w:r w:rsidRPr="00EF24CE">
              <w:rPr>
                <w:rFonts w:ascii="Times New Roman" w:eastAsia="Times New Roman" w:hAnsi="Times New Roman"/>
                <w:sz w:val="24"/>
                <w:szCs w:val="24"/>
                <w:lang w:eastAsia="lv-LV"/>
              </w:rPr>
              <w:t>4.</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FD106C" w14:textId="77777777" w:rsidR="00EF24CE" w:rsidRPr="008B3001" w:rsidRDefault="00EF24CE" w:rsidP="00EF24CE">
            <w:pPr>
              <w:jc w:val="both"/>
              <w:rPr>
                <w:rFonts w:ascii="Times New Roman" w:hAnsi="Times New Roman"/>
                <w:sz w:val="24"/>
                <w:szCs w:val="24"/>
                <w:shd w:val="clear" w:color="auto" w:fill="FFFFFF"/>
              </w:rPr>
            </w:pPr>
            <w:r w:rsidRPr="008B3001">
              <w:rPr>
                <w:rFonts w:ascii="Times New Roman" w:hAnsi="Times New Roman"/>
                <w:sz w:val="24"/>
                <w:szCs w:val="24"/>
                <w:shd w:val="clear" w:color="auto" w:fill="FFFFFF"/>
              </w:rPr>
              <w:t xml:space="preserve">7. </w:t>
            </w:r>
            <w:r w:rsidRPr="008B3001">
              <w:rPr>
                <w:rFonts w:ascii="Times New Roman" w:eastAsia="Times New Roman" w:hAnsi="Times New Roman"/>
                <w:sz w:val="24"/>
                <w:szCs w:val="24"/>
                <w:lang w:val="lv"/>
              </w:rPr>
              <w:t xml:space="preserve"> Latvijas Lauksaimniecības universitātei normatīvajos aktos noteiktajā kārtībā līdz 2021.gada 31.jūlijam pārņemt no Izglītības un zinātnes ministrijas nekustamā īpašuma daļu un noslēgt ar Malnavas koledžu lietojuma līgumu par nekustamā īpašuma daļas lietošanu </w:t>
            </w:r>
            <w:r>
              <w:rPr>
                <w:rFonts w:ascii="Times New Roman" w:eastAsia="Times New Roman" w:hAnsi="Times New Roman"/>
                <w:sz w:val="24"/>
                <w:szCs w:val="24"/>
                <w:lang w:val="lv"/>
              </w:rPr>
              <w:t xml:space="preserve">bez atlīdzības </w:t>
            </w:r>
            <w:r w:rsidRPr="008B3001">
              <w:rPr>
                <w:rFonts w:ascii="Times New Roman" w:eastAsia="Times New Roman" w:hAnsi="Times New Roman"/>
                <w:sz w:val="24"/>
                <w:szCs w:val="24"/>
                <w:lang w:val="lv"/>
              </w:rPr>
              <w:t xml:space="preserve">līdz </w:t>
            </w:r>
            <w:r w:rsidRPr="008B3001">
              <w:rPr>
                <w:rFonts w:ascii="Times New Roman" w:eastAsia="Times New Roman" w:hAnsi="Times New Roman"/>
                <w:sz w:val="24"/>
                <w:szCs w:val="24"/>
                <w:lang w:val="lv"/>
              </w:rPr>
              <w:lastRenderedPageBreak/>
              <w:t>2021.gada 31.decembrim.</w:t>
            </w:r>
          </w:p>
          <w:p w14:paraId="54FBC951" w14:textId="77777777" w:rsidR="00EF24CE" w:rsidRPr="008600CC" w:rsidRDefault="00EF24CE" w:rsidP="008600CC">
            <w:pPr>
              <w:spacing w:line="242" w:lineRule="auto"/>
              <w:ind w:firstLine="720"/>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E95685" w14:textId="77777777" w:rsidR="00EF24CE" w:rsidRDefault="00EF24CE" w:rsidP="00EF24CE">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Tieslietu ministrijas 19.06.2021. atzinums</w:t>
            </w:r>
          </w:p>
          <w:p w14:paraId="2CCF0054" w14:textId="01B5B2AC" w:rsidR="00EF24CE" w:rsidRPr="00EF24CE" w:rsidRDefault="00EF24CE" w:rsidP="00EF24CE">
            <w:pPr>
              <w:jc w:val="both"/>
              <w:rPr>
                <w:rFonts w:ascii="Times New Roman" w:eastAsia="Times New Roman" w:hAnsi="Times New Roman"/>
                <w:sz w:val="24"/>
                <w:szCs w:val="24"/>
                <w:lang w:val="lv"/>
              </w:rPr>
            </w:pPr>
            <w:r w:rsidRPr="00EF24CE">
              <w:rPr>
                <w:rFonts w:ascii="Times New Roman" w:eastAsia="Times New Roman" w:hAnsi="Times New Roman"/>
                <w:sz w:val="24"/>
                <w:szCs w:val="24"/>
                <w:lang w:val="lv"/>
              </w:rPr>
              <w:t xml:space="preserve">Atbilstoši projekta 7. punktam Latvijas Lauksaimniecības universitātei līdz 2021.gada 31.jūlijam ir jāpārņem valsts nekustamā īpašuma daļa. Savukārt 9. punkts paredz, ka minētā universitāte īpašumtiesības nostiprinās zemesgrāmatā. Savukārt projekta 11. punkts paredz, ka izglītības ministrija līdz valsts nekustamā īpašuma daļas nodošanai Latvijas Lauksaimniecības universitātei valsts </w:t>
            </w:r>
            <w:r w:rsidRPr="00EF24CE">
              <w:rPr>
                <w:rFonts w:ascii="Times New Roman" w:eastAsia="Times New Roman" w:hAnsi="Times New Roman"/>
                <w:sz w:val="24"/>
                <w:szCs w:val="24"/>
                <w:lang w:val="lv"/>
              </w:rPr>
              <w:lastRenderedPageBreak/>
              <w:t xml:space="preserve">nekustamo īpašumu sadalīs atbilstoši rīkojuma projektā plānotajam. Līdz ar to secināms, ka atbilstoši rīkojuma projektam līdz 2021.gada 31.jūlijam valsts nekustamais īpašums tiks sadalīts un nodots Latvijas Lauksaimniecības universitātei, kura savas īpašuma tiesības uz pārņemto daļu var nostiprināt zemesgrāmatā. Ievērojot minēto, lūdzam skaidrot projekta 7.punkta mērķi. Proti, kādēļ Latvijas Lauksaimniecības universitātei ir nepieciešams noslēgt ar Malnavas koledžu lietojuma līgums par nekustamā īpašuma daļas lietošanu bez atlīdzības līdz 2021.gada 31.decembrim. Lūdzam minēto skaidrot, ņemot vērā, ka Malnavas koledža nav nekustamā īpašuma īpašniece. Tāpat lūdzam skaidrot, kādu līgumu ir paredzēts slēgt. Proti, vai ir domāta lietojuma tiesība Civillikuma 1190. panta izpratnē vai patapinājuma līgums Civillikuma 1947. panta izpratnē. Lūdzam minēto skaidrot un papildināt anotāciju ar nepieciešamo informāciju, kā arī nepieciešamības gadījumā precizēt projekta 7.punktu. Jānorāda, ka šāda prasība nav izvirzīta ne Zemkopības ministrijai, ne Vides aizsardzības un </w:t>
            </w:r>
            <w:r w:rsidRPr="00EF24CE">
              <w:rPr>
                <w:rFonts w:ascii="Times New Roman" w:eastAsia="Times New Roman" w:hAnsi="Times New Roman"/>
                <w:sz w:val="24"/>
                <w:szCs w:val="24"/>
                <w:lang w:val="lv"/>
              </w:rPr>
              <w:lastRenderedPageBreak/>
              <w:t>reģionālās attīstības ministrijai.</w:t>
            </w:r>
          </w:p>
          <w:p w14:paraId="5A671D76" w14:textId="77777777" w:rsidR="00EF24CE" w:rsidRDefault="00EF24CE" w:rsidP="00FD4855">
            <w:pPr>
              <w:widowControl w:val="0"/>
              <w:spacing w:after="0" w:line="240" w:lineRule="auto"/>
              <w:jc w:val="both"/>
              <w:rPr>
                <w:rFonts w:ascii="Times New Roman" w:eastAsia="Times New Roman" w:hAnsi="Times New Roman"/>
                <w:b/>
                <w:sz w:val="24"/>
                <w:szCs w:val="24"/>
                <w:lang w:eastAsia="lv-LV"/>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5F858D" w14:textId="4C301999" w:rsidR="00EF24CE" w:rsidRDefault="04C0BC5C" w:rsidP="04C0BC5C">
            <w:pPr>
              <w:spacing w:after="0" w:line="240" w:lineRule="auto"/>
              <w:ind w:firstLine="720"/>
              <w:jc w:val="both"/>
              <w:rPr>
                <w:rFonts w:ascii="Times New Roman" w:eastAsia="Times New Roman" w:hAnsi="Times New Roman"/>
                <w:sz w:val="24"/>
                <w:szCs w:val="24"/>
                <w:lang w:eastAsia="lv-LV"/>
              </w:rPr>
            </w:pPr>
            <w:r w:rsidRPr="04C0BC5C">
              <w:rPr>
                <w:rFonts w:ascii="Times New Roman" w:eastAsia="Times New Roman" w:hAnsi="Times New Roman"/>
                <w:b/>
                <w:bCs/>
                <w:sz w:val="24"/>
                <w:szCs w:val="24"/>
                <w:lang w:eastAsia="lv-LV"/>
              </w:rPr>
              <w:lastRenderedPageBreak/>
              <w:t>Ņemts vērā</w:t>
            </w:r>
          </w:p>
          <w:p w14:paraId="6908066D" w14:textId="5FF1A541" w:rsidR="00EF24CE" w:rsidRDefault="04C0BC5C" w:rsidP="04C0BC5C">
            <w:pPr>
              <w:spacing w:after="0" w:line="240" w:lineRule="auto"/>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Rīkojuma projekta 7.punkts precizēts.</w:t>
            </w:r>
          </w:p>
          <w:p w14:paraId="789CFC37" w14:textId="31F0BAAB" w:rsidR="0E9F0752" w:rsidRDefault="04C0BC5C" w:rsidP="04C0BC5C">
            <w:pPr>
              <w:spacing w:after="0" w:line="240" w:lineRule="auto"/>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Skaidrojums - ņemot vērā, ka valsts nekustamā īpašuma daļa LLU tiks nodota īpašumā un īpašuma tiesības zemesgrāmatā tiks pārreģistrētas jau līdz 2021.gada 31.jūlijam, bet Malnavas koledža kā izglītības iestāde LLU tiks </w:t>
            </w:r>
            <w:r w:rsidRPr="04C0BC5C">
              <w:rPr>
                <w:rFonts w:ascii="Times New Roman" w:eastAsia="Times New Roman" w:hAnsi="Times New Roman"/>
                <w:sz w:val="24"/>
                <w:szCs w:val="24"/>
                <w:lang w:eastAsia="lv-LV"/>
              </w:rPr>
              <w:lastRenderedPageBreak/>
              <w:t xml:space="preserve">nodota 2021.gada 31.decembrī, līdz tam tā joprojām būs Izglītības un zinātnes ministrijas padotības iestāde, tai būs nepieciešams līdz gada beigām lietot LLU īpašumā esošo valsts nekustamā īpašuma daļu. </w:t>
            </w:r>
          </w:p>
          <w:p w14:paraId="1F0C321E" w14:textId="102D29FA" w:rsidR="0E9F0752" w:rsidRDefault="0E9F0752" w:rsidP="0E9F0752">
            <w:pPr>
              <w:spacing w:after="0" w:line="240" w:lineRule="auto"/>
              <w:ind w:firstLine="720"/>
              <w:jc w:val="both"/>
              <w:rPr>
                <w:rFonts w:ascii="Times New Roman" w:eastAsia="Times New Roman" w:hAnsi="Times New Roman"/>
                <w:sz w:val="24"/>
                <w:szCs w:val="24"/>
                <w:lang w:eastAsia="lv-LV"/>
              </w:rPr>
            </w:pPr>
            <w:r w:rsidRPr="0E9F0752">
              <w:rPr>
                <w:rFonts w:ascii="Times New Roman" w:eastAsia="Times New Roman" w:hAnsi="Times New Roman"/>
                <w:sz w:val="24"/>
                <w:szCs w:val="24"/>
                <w:lang w:eastAsia="lv-LV"/>
              </w:rPr>
              <w:t>Valsts nekustamā īpašuma daļu LLU nodos Malnavas koledžas lietošanā.</w:t>
            </w:r>
          </w:p>
          <w:p w14:paraId="40E22D6E" w14:textId="77777777" w:rsidR="00EF24CE" w:rsidRDefault="00EF24CE" w:rsidP="0E9F0752">
            <w:pPr>
              <w:spacing w:after="0" w:line="240" w:lineRule="auto"/>
              <w:ind w:firstLine="720"/>
              <w:jc w:val="both"/>
              <w:rPr>
                <w:rFonts w:ascii="Times New Roman" w:eastAsia="Times New Roman" w:hAnsi="Times New Roman"/>
                <w:sz w:val="24"/>
                <w:szCs w:val="24"/>
                <w:lang w:eastAsia="lv-LV"/>
              </w:rPr>
            </w:pP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E268F2" w14:textId="042E03D2" w:rsidR="00EF24CE" w:rsidRPr="00BD1DFD" w:rsidRDefault="0E9F0752" w:rsidP="0E9F0752">
            <w:pPr>
              <w:spacing w:line="259" w:lineRule="auto"/>
              <w:jc w:val="both"/>
              <w:rPr>
                <w:rFonts w:ascii="Times New Roman" w:eastAsia="Times New Roman" w:hAnsi="Times New Roman"/>
                <w:color w:val="000000" w:themeColor="text1"/>
                <w:sz w:val="24"/>
                <w:szCs w:val="24"/>
              </w:rPr>
            </w:pPr>
            <w:r w:rsidRPr="00BD1DFD">
              <w:rPr>
                <w:rFonts w:ascii="Times New Roman" w:eastAsia="Times New Roman" w:hAnsi="Times New Roman"/>
                <w:color w:val="000000" w:themeColor="text1"/>
                <w:sz w:val="24"/>
                <w:szCs w:val="24"/>
              </w:rPr>
              <w:lastRenderedPageBreak/>
              <w:t xml:space="preserve">7. </w:t>
            </w:r>
            <w:r w:rsidRPr="00BD1DFD">
              <w:rPr>
                <w:rFonts w:ascii="Times New Roman" w:eastAsia="Times New Roman" w:hAnsi="Times New Roman"/>
                <w:color w:val="000000" w:themeColor="text1"/>
                <w:sz w:val="24"/>
                <w:szCs w:val="24"/>
                <w:lang w:val="lv"/>
              </w:rPr>
              <w:t xml:space="preserve"> Latvijas Lauksaimniecības universitātei normatīvajos aktos noteiktajā kārtībā līdz 2021.gada 31.jūlijam pārņemt no Izglītības un zinātnes ministrijas nekustamā īpašuma daļu un noslēgt līgumu ar Malnavas koledžu par nekustamā īpašuma daļas nodošanu </w:t>
            </w:r>
            <w:r w:rsidRPr="00BD1DFD">
              <w:rPr>
                <w:rFonts w:ascii="Times New Roman" w:eastAsia="Times New Roman" w:hAnsi="Times New Roman"/>
                <w:color w:val="000000" w:themeColor="text1"/>
                <w:sz w:val="24"/>
                <w:szCs w:val="24"/>
                <w:lang w:val="lv"/>
              </w:rPr>
              <w:lastRenderedPageBreak/>
              <w:t>Malnavas koledžas lietošanā bez atlīdzības līdz 2021.gada 31.decembrim.</w:t>
            </w:r>
          </w:p>
          <w:p w14:paraId="3FF5AE93" w14:textId="1D5E1F69" w:rsidR="00EF24CE" w:rsidRPr="00BD1DFD" w:rsidRDefault="00EF24CE" w:rsidP="0E9F0752">
            <w:pPr>
              <w:spacing w:after="0" w:line="240" w:lineRule="auto"/>
              <w:jc w:val="both"/>
              <w:rPr>
                <w:sz w:val="24"/>
                <w:szCs w:val="24"/>
                <w:lang w:eastAsia="lv-LV"/>
              </w:rPr>
            </w:pPr>
          </w:p>
        </w:tc>
        <w:tc>
          <w:tcPr>
            <w:tcW w:w="3218" w:type="dxa"/>
            <w:gridSpan w:val="3"/>
          </w:tcPr>
          <w:p w14:paraId="4F372088" w14:textId="77777777" w:rsidR="00EF24CE" w:rsidRDefault="00EF24CE"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10E7E729" w14:textId="77777777" w:rsidR="00EF24CE" w:rsidRDefault="00EF24CE"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B9BDCFF" w14:textId="77777777" w:rsidR="00EF24CE" w:rsidRDefault="00EF24CE" w:rsidP="00FD4855">
            <w:pPr>
              <w:spacing w:after="0" w:line="240" w:lineRule="auto"/>
              <w:jc w:val="both"/>
              <w:rPr>
                <w:rFonts w:ascii="Times New Roman" w:eastAsia="Times New Roman" w:hAnsi="Times New Roman"/>
                <w:bCs/>
                <w:sz w:val="24"/>
                <w:szCs w:val="24"/>
                <w:lang w:eastAsia="lv-LV"/>
              </w:rPr>
            </w:pPr>
          </w:p>
        </w:tc>
      </w:tr>
      <w:tr w:rsidR="00EF24CE" w14:paraId="55DAB67F" w14:textId="77777777" w:rsidTr="04C0BC5C">
        <w:trPr>
          <w:gridAfter w:val="1"/>
          <w:wAfter w:w="56" w:type="dxa"/>
          <w:trHeight w:val="2068"/>
        </w:trPr>
        <w:tc>
          <w:tcPr>
            <w:tcW w:w="40" w:type="dxa"/>
            <w:tcBorders>
              <w:right w:val="single" w:sz="4" w:space="0" w:color="auto"/>
            </w:tcBorders>
          </w:tcPr>
          <w:p w14:paraId="4EABC877" w14:textId="77777777" w:rsidR="00EF24CE" w:rsidRDefault="00EF24CE"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AE56DF" w14:textId="77777777" w:rsidR="008F0B50" w:rsidRPr="008F0B50" w:rsidRDefault="008F0B50" w:rsidP="008F0B50">
            <w:pPr>
              <w:spacing w:after="0" w:line="240" w:lineRule="auto"/>
              <w:jc w:val="center"/>
              <w:rPr>
                <w:rFonts w:ascii="Times New Roman" w:eastAsia="Times New Roman" w:hAnsi="Times New Roman"/>
                <w:sz w:val="24"/>
                <w:szCs w:val="24"/>
                <w:lang w:eastAsia="lv-LV"/>
              </w:rPr>
            </w:pPr>
            <w:r w:rsidRPr="008F0B50">
              <w:rPr>
                <w:rFonts w:ascii="Times New Roman" w:eastAsia="Times New Roman" w:hAnsi="Times New Roman"/>
                <w:sz w:val="24"/>
                <w:szCs w:val="24"/>
                <w:lang w:eastAsia="lv-LV"/>
              </w:rPr>
              <w:t>5.</w:t>
            </w:r>
          </w:p>
          <w:p w14:paraId="101DC2E5" w14:textId="77777777" w:rsidR="008F0B50" w:rsidRPr="008F0B50" w:rsidRDefault="008F0B50" w:rsidP="00EF24CE">
            <w:pPr>
              <w:spacing w:after="0" w:line="240" w:lineRule="auto"/>
              <w:ind w:firstLine="720"/>
              <w:jc w:val="center"/>
              <w:rPr>
                <w:rFonts w:ascii="Times New Roman" w:eastAsia="Times New Roman" w:hAnsi="Times New Roman"/>
                <w:sz w:val="24"/>
                <w:szCs w:val="24"/>
                <w:lang w:eastAsia="lv-LV"/>
              </w:rPr>
            </w:pPr>
          </w:p>
          <w:p w14:paraId="2F364D8E" w14:textId="7F6CE86E" w:rsidR="008F0B50" w:rsidRPr="008F0B50" w:rsidRDefault="008F0B50" w:rsidP="00EF24CE">
            <w:pPr>
              <w:spacing w:after="0" w:line="240" w:lineRule="auto"/>
              <w:ind w:firstLine="720"/>
              <w:jc w:val="center"/>
              <w:rPr>
                <w:rFonts w:ascii="Times New Roman" w:eastAsia="Times New Roman" w:hAnsi="Times New Roman"/>
                <w:sz w:val="24"/>
                <w:szCs w:val="24"/>
                <w:lang w:eastAsia="lv-LV"/>
              </w:rPr>
            </w:pP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4BA913F" w14:textId="595D2EBB" w:rsidR="04C0BC5C" w:rsidRDefault="04C0BC5C" w:rsidP="04C0BC5C">
            <w:pPr>
              <w:pStyle w:val="NormalWeb"/>
              <w:shd w:val="clear" w:color="auto" w:fill="FFFFFF" w:themeFill="background1"/>
              <w:spacing w:after="0" w:line="240" w:lineRule="auto"/>
              <w:jc w:val="both"/>
              <w:rPr>
                <w:rFonts w:eastAsia="Times New Roman"/>
                <w:lang w:eastAsia="lv-LV"/>
              </w:rPr>
            </w:pPr>
            <w:r w:rsidRPr="04C0BC5C">
              <w:rPr>
                <w:rFonts w:eastAsia="Times New Roman"/>
                <w:lang w:eastAsia="lv-LV"/>
              </w:rPr>
              <w:t xml:space="preserve">Anotācijas I sadaļas 2. punkts </w:t>
            </w:r>
          </w:p>
          <w:p w14:paraId="30424A3C" w14:textId="77777777" w:rsidR="008F0B50" w:rsidRPr="00F535F6" w:rsidRDefault="008F0B50" w:rsidP="008F0B50">
            <w:pPr>
              <w:pStyle w:val="NormalWeb"/>
              <w:shd w:val="clear" w:color="auto" w:fill="FFFFFF"/>
              <w:spacing w:after="0" w:line="240" w:lineRule="auto"/>
              <w:jc w:val="both"/>
              <w:rPr>
                <w:rFonts w:eastAsia="Times New Roman"/>
                <w:lang w:eastAsia="lv-LV"/>
              </w:rPr>
            </w:pPr>
            <w:r w:rsidRPr="00F535F6">
              <w:rPr>
                <w:rFonts w:eastAsia="Times New Roman"/>
                <w:lang w:eastAsia="lv-LV"/>
              </w:rPr>
              <w:t>Pēc reorganizācijas LLU pārņem saistības, ko koledža uzņēmusies darbības programmas ….</w:t>
            </w:r>
          </w:p>
          <w:p w14:paraId="514A0FA2" w14:textId="77777777" w:rsidR="00EF24CE" w:rsidRPr="008600CC" w:rsidRDefault="00EF24CE" w:rsidP="008600CC">
            <w:pPr>
              <w:spacing w:line="242" w:lineRule="auto"/>
              <w:ind w:firstLine="720"/>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9F1765" w14:textId="77777777" w:rsidR="008F0B50" w:rsidRDefault="008F0B50" w:rsidP="008F0B50">
            <w:pPr>
              <w:widowControl w:val="0"/>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Tieslietu ministrijas 19.06.2021. atzinums</w:t>
            </w:r>
          </w:p>
          <w:p w14:paraId="7C81EEE5" w14:textId="62F15D56" w:rsidR="008F0B50" w:rsidRPr="008F0B50" w:rsidRDefault="008F0B50" w:rsidP="008F0B50">
            <w:pPr>
              <w:jc w:val="both"/>
              <w:rPr>
                <w:rFonts w:ascii="Times New Roman" w:eastAsia="Times New Roman" w:hAnsi="Times New Roman"/>
                <w:sz w:val="24"/>
                <w:szCs w:val="24"/>
                <w:lang w:val="lv"/>
              </w:rPr>
            </w:pPr>
            <w:r w:rsidRPr="008F0B50">
              <w:rPr>
                <w:rFonts w:ascii="Times New Roman" w:eastAsia="Times New Roman" w:hAnsi="Times New Roman"/>
                <w:sz w:val="24"/>
                <w:szCs w:val="24"/>
                <w:lang w:val="lv"/>
              </w:rPr>
              <w:t>Lūdzam precizēt projekta anotācijas I sadaļas 2.punktu (8.lpp.), kurā nav pabeigts teikums: "Pēc reorganizācijas LLU pārņem saistības, ko koledža uzņēmusies darbības programmas…".</w:t>
            </w:r>
          </w:p>
          <w:p w14:paraId="2146ABE5" w14:textId="77777777" w:rsidR="00EF24CE" w:rsidRDefault="00EF24CE" w:rsidP="00FD4855">
            <w:pPr>
              <w:widowControl w:val="0"/>
              <w:spacing w:after="0" w:line="240" w:lineRule="auto"/>
              <w:jc w:val="both"/>
              <w:rPr>
                <w:rFonts w:ascii="Times New Roman" w:eastAsia="Times New Roman" w:hAnsi="Times New Roman"/>
                <w:b/>
                <w:sz w:val="24"/>
                <w:szCs w:val="24"/>
                <w:lang w:eastAsia="lv-LV"/>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E2ECB2" w14:textId="77777777" w:rsidR="008F0B50" w:rsidRPr="009E31E2" w:rsidRDefault="008F0B50" w:rsidP="009E31E2">
            <w:pPr>
              <w:spacing w:after="0" w:line="240" w:lineRule="auto"/>
              <w:ind w:firstLine="720"/>
              <w:jc w:val="both"/>
              <w:rPr>
                <w:rFonts w:ascii="Times New Roman" w:eastAsia="Times New Roman" w:hAnsi="Times New Roman"/>
                <w:b/>
                <w:bCs/>
                <w:sz w:val="24"/>
                <w:szCs w:val="24"/>
                <w:lang w:eastAsia="lv-LV"/>
              </w:rPr>
            </w:pPr>
            <w:r w:rsidRPr="009E31E2">
              <w:rPr>
                <w:rFonts w:ascii="Times New Roman" w:eastAsia="Times New Roman" w:hAnsi="Times New Roman"/>
                <w:b/>
                <w:bCs/>
                <w:sz w:val="24"/>
                <w:szCs w:val="24"/>
                <w:lang w:eastAsia="lv-LV"/>
              </w:rPr>
              <w:t>Ņemts vērā.</w:t>
            </w:r>
          </w:p>
          <w:p w14:paraId="2F3D3534" w14:textId="06B7E114" w:rsidR="00EF24CE" w:rsidRPr="009E31E2" w:rsidRDefault="009E31E2" w:rsidP="009E31E2">
            <w:pPr>
              <w:jc w:val="both"/>
              <w:rPr>
                <w:rFonts w:ascii="Times New Roman" w:eastAsia="Times New Roman" w:hAnsi="Times New Roman"/>
                <w:sz w:val="24"/>
                <w:szCs w:val="24"/>
                <w:lang w:val="lv"/>
              </w:rPr>
            </w:pPr>
            <w:r>
              <w:rPr>
                <w:rFonts w:ascii="Times New Roman" w:eastAsia="Times New Roman" w:hAnsi="Times New Roman"/>
                <w:sz w:val="24"/>
                <w:szCs w:val="24"/>
                <w:lang w:val="lv"/>
              </w:rPr>
              <w:t xml:space="preserve">Anotācijas I sadaļas </w:t>
            </w:r>
            <w:r w:rsidR="00D374BE">
              <w:rPr>
                <w:rFonts w:ascii="Times New Roman" w:eastAsia="Times New Roman" w:hAnsi="Times New Roman"/>
                <w:sz w:val="24"/>
                <w:szCs w:val="24"/>
                <w:lang w:val="lv"/>
              </w:rPr>
              <w:t>2</w:t>
            </w:r>
            <w:r w:rsidRPr="009E31E2">
              <w:rPr>
                <w:rFonts w:ascii="Times New Roman" w:eastAsia="Times New Roman" w:hAnsi="Times New Roman"/>
                <w:sz w:val="24"/>
                <w:szCs w:val="24"/>
                <w:lang w:val="lv"/>
              </w:rPr>
              <w:t>. punkts attiecīgais teikums precizēts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02F0E38" w14:textId="17A72420" w:rsidR="00EF24CE" w:rsidRPr="00BD1DFD" w:rsidRDefault="04C0BC5C" w:rsidP="04C0BC5C">
            <w:pPr>
              <w:shd w:val="clear" w:color="auto" w:fill="FFFFFF" w:themeFill="background1"/>
              <w:spacing w:after="0" w:line="240" w:lineRule="auto"/>
              <w:jc w:val="both"/>
              <w:rPr>
                <w:rFonts w:ascii="Times New Roman" w:eastAsia="Times New Roman" w:hAnsi="Times New Roman"/>
                <w:color w:val="000000" w:themeColor="text1"/>
                <w:sz w:val="24"/>
                <w:szCs w:val="24"/>
              </w:rPr>
            </w:pPr>
            <w:r w:rsidRPr="00BD1DFD">
              <w:rPr>
                <w:rFonts w:ascii="Times New Roman" w:eastAsia="Times New Roman" w:hAnsi="Times New Roman"/>
                <w:sz w:val="24"/>
                <w:szCs w:val="24"/>
                <w:lang w:eastAsia="lv-LV"/>
              </w:rPr>
              <w:t xml:space="preserve">Pēc reorganizācijas LLU pārņem saistības, ko koledža uzņēmusies darbības programmas </w:t>
            </w:r>
            <w:r w:rsidRPr="00BD1DFD">
              <w:rPr>
                <w:rFonts w:ascii="Times New Roman" w:eastAsia="Times New Roman" w:hAnsi="Times New Roman"/>
                <w:color w:val="000000" w:themeColor="text1"/>
                <w:sz w:val="24"/>
                <w:szCs w:val="24"/>
              </w:rPr>
              <w:t>“Izaugsme un nodarbinātība” 4.2.1. specifiskā atbalsta mērķa ”Veicināt energoefektivitātes paaugstināšanu valsts un dzīvojamās ēkās” 4.2.1.2. pasākuma ”Veicināt energoefektivitātes paaugstināšanu valsts ēkās” pirmās projektu iesniegumu atlases kārtas ietvaros un darbības programmas “Izaugsme un nodarbinātība” 8.5.2. specifiskā atbalsta mērķa "Nodrošināt profesionālās izglītības atbilstību Eiropas kvalifikācijas ietvarstruktūrai” projekta ietvaros,</w:t>
            </w:r>
          </w:p>
          <w:p w14:paraId="5A2ECA88" w14:textId="1B94BF81" w:rsidR="00EF24CE" w:rsidRPr="00BD1DFD" w:rsidRDefault="00EF24CE" w:rsidP="04C0BC5C">
            <w:pPr>
              <w:shd w:val="clear" w:color="auto" w:fill="FFFFFF" w:themeFill="background1"/>
              <w:spacing w:after="0" w:line="240" w:lineRule="auto"/>
              <w:jc w:val="both"/>
              <w:rPr>
                <w:color w:val="000000" w:themeColor="text1"/>
                <w:sz w:val="24"/>
                <w:szCs w:val="24"/>
              </w:rPr>
            </w:pPr>
          </w:p>
        </w:tc>
        <w:tc>
          <w:tcPr>
            <w:tcW w:w="3218" w:type="dxa"/>
            <w:gridSpan w:val="3"/>
          </w:tcPr>
          <w:p w14:paraId="501C978D" w14:textId="77777777" w:rsidR="00EF24CE" w:rsidRDefault="00EF24CE"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73EED562" w14:textId="77777777" w:rsidR="00EF24CE" w:rsidRDefault="00EF24CE"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C7D16A6" w14:textId="77777777" w:rsidR="00EF24CE" w:rsidRDefault="00EF24CE" w:rsidP="00FD4855">
            <w:pPr>
              <w:spacing w:after="0" w:line="240" w:lineRule="auto"/>
              <w:jc w:val="both"/>
              <w:rPr>
                <w:rFonts w:ascii="Times New Roman" w:eastAsia="Times New Roman" w:hAnsi="Times New Roman"/>
                <w:bCs/>
                <w:sz w:val="24"/>
                <w:szCs w:val="24"/>
                <w:lang w:eastAsia="lv-LV"/>
              </w:rPr>
            </w:pPr>
          </w:p>
        </w:tc>
      </w:tr>
      <w:tr w:rsidR="008F0B50" w14:paraId="1484CE10" w14:textId="77777777" w:rsidTr="04C0BC5C">
        <w:trPr>
          <w:gridAfter w:val="1"/>
          <w:wAfter w:w="56" w:type="dxa"/>
        </w:trPr>
        <w:tc>
          <w:tcPr>
            <w:tcW w:w="40" w:type="dxa"/>
            <w:tcBorders>
              <w:right w:val="single" w:sz="4" w:space="0" w:color="auto"/>
            </w:tcBorders>
          </w:tcPr>
          <w:p w14:paraId="327B23E4" w14:textId="77777777" w:rsidR="008F0B50" w:rsidRDefault="008F0B50"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1CAD22" w14:textId="210E214F" w:rsidR="008F0B50" w:rsidRPr="008F0B50" w:rsidRDefault="008F0B50" w:rsidP="008F0B50">
            <w:pPr>
              <w:spacing w:after="0" w:line="240" w:lineRule="auto"/>
              <w:ind w:firstLine="7"/>
              <w:jc w:val="center"/>
              <w:rPr>
                <w:rFonts w:ascii="Times New Roman" w:eastAsia="Times New Roman" w:hAnsi="Times New Roman"/>
                <w:sz w:val="24"/>
                <w:szCs w:val="24"/>
                <w:lang w:eastAsia="lv-LV"/>
              </w:rPr>
            </w:pPr>
            <w:r w:rsidRPr="008F0B50">
              <w:rPr>
                <w:rFonts w:ascii="Times New Roman" w:eastAsia="Times New Roman" w:hAnsi="Times New Roman"/>
                <w:sz w:val="24"/>
                <w:szCs w:val="24"/>
                <w:lang w:eastAsia="lv-LV"/>
              </w:rPr>
              <w:t>6.</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611173" w14:textId="5BC595C0" w:rsidR="04C0BC5C" w:rsidRDefault="04C0BC5C" w:rsidP="04C0BC5C">
            <w:pPr>
              <w:spacing w:line="242" w:lineRule="auto"/>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Anotācijas I sadaļas 4.punkts</w:t>
            </w:r>
          </w:p>
          <w:p w14:paraId="1C2AB9E2" w14:textId="20B9CBA4" w:rsidR="008F0B50" w:rsidRPr="008600CC" w:rsidRDefault="008F0B50" w:rsidP="008F0B50">
            <w:pPr>
              <w:spacing w:line="242" w:lineRule="auto"/>
              <w:jc w:val="both"/>
              <w:rPr>
                <w:rFonts w:ascii="Times New Roman" w:hAnsi="Times New Roman"/>
                <w:b/>
                <w:sz w:val="24"/>
                <w:szCs w:val="24"/>
                <w:lang w:eastAsia="lv-LV"/>
              </w:rPr>
            </w:pPr>
            <w:r w:rsidRPr="00EF0459">
              <w:rPr>
                <w:rFonts w:ascii="Times New Roman" w:eastAsia="Times New Roman" w:hAnsi="Times New Roman"/>
                <w:sz w:val="24"/>
                <w:szCs w:val="24"/>
                <w:lang w:eastAsia="lv-LV"/>
              </w:rPr>
              <w:t>Saskaņā ar Augstskolu likuma 11.panta otrās daļas otro teikumu Ministru kabineta rīkojuma projektam par augstskolas vai koledžas reorganizāciju vai likvidāciju pievienojams Augstākās izglītības padomes atzinums. Ministrija ir saņēmusi Augstākās izglītības padomes 2021. gada……. atzinumu Nr.….. par projektu, kurā Augstākās izglītības padome atbalsta projektu, …….</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F5A7A46" w14:textId="77777777" w:rsidR="008F0B50" w:rsidRPr="008F0B50" w:rsidRDefault="008F0B50" w:rsidP="008F0B50">
            <w:pPr>
              <w:widowControl w:val="0"/>
              <w:spacing w:after="0" w:line="240" w:lineRule="auto"/>
              <w:jc w:val="both"/>
              <w:rPr>
                <w:rFonts w:ascii="Times New Roman" w:eastAsia="Times New Roman" w:hAnsi="Times New Roman"/>
                <w:b/>
                <w:sz w:val="24"/>
                <w:szCs w:val="24"/>
                <w:lang w:eastAsia="lv-LV"/>
              </w:rPr>
            </w:pPr>
            <w:r w:rsidRPr="008F0B50">
              <w:rPr>
                <w:rFonts w:ascii="Times New Roman" w:eastAsia="Times New Roman" w:hAnsi="Times New Roman"/>
                <w:b/>
                <w:sz w:val="24"/>
                <w:szCs w:val="24"/>
                <w:lang w:eastAsia="lv-LV"/>
              </w:rPr>
              <w:t>Tieslietu ministrijas 19.06.2021. atzinums</w:t>
            </w:r>
          </w:p>
          <w:p w14:paraId="2E29E659" w14:textId="7A11FE2B" w:rsidR="008F0B50" w:rsidRPr="008F0B50" w:rsidRDefault="008F0B50" w:rsidP="008F0B50">
            <w:pPr>
              <w:jc w:val="both"/>
              <w:rPr>
                <w:rFonts w:ascii="Times New Roman" w:eastAsia="Times New Roman" w:hAnsi="Times New Roman"/>
                <w:sz w:val="24"/>
                <w:szCs w:val="24"/>
                <w:lang w:val="lv"/>
              </w:rPr>
            </w:pPr>
            <w:r w:rsidRPr="008F0B50">
              <w:rPr>
                <w:rFonts w:ascii="Times New Roman" w:eastAsia="Times New Roman" w:hAnsi="Times New Roman"/>
                <w:sz w:val="24"/>
                <w:szCs w:val="24"/>
                <w:lang w:val="lv"/>
              </w:rPr>
              <w:t>Saskaņā ar Augstskolu likuma 11. panta otro daļu lēmumu par valsts augstskolas un valsts koledžas reorganizāciju vai likvidāciju pieņem Ministru kabinets pēc izglītības un zinātnes ministra vai attiecīgās nozares ministra ierosinājuma. Ministru kabineta rīkojuma projektam par augstskolas vai koledžas reorganizāciju vai likvidāciju pievienojams Augstākās izglītības padomes atzinums. Vēršam uzmanību, ka projektam nav pievienots Augstākās izglītības padomes atzinums, kā arī anotācijā nav sniegta informācija, vai minētā padome atbalsta rīkojuma projektu. Projekta anotācijas I sadaļas 4.punktā ir sniegta tikai šāda informācija: "Ministrija ir saņēmusi Augstākās izglītības padomes 2021. gada……. atzinumu Nr.….. par projektu, kurā Augstākās izglītības padome atbalsta projektu, …….". Ņemot vērā minēto, lūdzam pievienot projektam Augstākās izglītības padomes atzinumu.</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62875B" w14:textId="77777777" w:rsidR="008F0B50" w:rsidRDefault="008F0B50" w:rsidP="008F0B50">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1876B69B" w14:textId="0EA046FC" w:rsidR="008F0B50" w:rsidRDefault="00D374BE"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sz w:val="24"/>
                <w:szCs w:val="24"/>
                <w:lang w:val="lv"/>
              </w:rPr>
              <w:t>Anotācijas I sadaļas 2</w:t>
            </w:r>
            <w:r w:rsidRPr="009E31E2">
              <w:rPr>
                <w:rFonts w:ascii="Times New Roman" w:eastAsia="Times New Roman" w:hAnsi="Times New Roman"/>
                <w:sz w:val="24"/>
                <w:szCs w:val="24"/>
                <w:lang w:val="lv"/>
              </w:rPr>
              <w:t>. punkts attiecīgais teikums precizēts</w:t>
            </w:r>
            <w:r>
              <w:rPr>
                <w:rFonts w:ascii="Times New Roman" w:eastAsia="Times New Roman" w:hAnsi="Times New Roman"/>
                <w:sz w:val="24"/>
                <w:szCs w:val="24"/>
                <w:lang w:val="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481CB8" w14:textId="380F9AF3" w:rsidR="008F0B50" w:rsidRPr="00BD1DFD" w:rsidRDefault="00D374BE" w:rsidP="00FD4855">
            <w:pPr>
              <w:spacing w:after="0" w:line="240" w:lineRule="auto"/>
              <w:jc w:val="both"/>
              <w:rPr>
                <w:rFonts w:ascii="Times New Roman" w:eastAsia="Times New Roman" w:hAnsi="Times New Roman"/>
                <w:bCs/>
                <w:sz w:val="24"/>
                <w:szCs w:val="24"/>
                <w:lang w:eastAsia="lv-LV"/>
              </w:rPr>
            </w:pPr>
            <w:r w:rsidRPr="00BD1DFD">
              <w:rPr>
                <w:rFonts w:ascii="Times New Roman" w:eastAsia="Times New Roman" w:hAnsi="Times New Roman"/>
                <w:sz w:val="24"/>
                <w:szCs w:val="24"/>
                <w:lang w:eastAsia="lv-LV"/>
              </w:rPr>
              <w:t>Saskaņā ar Augstskolu likuma 11.panta otrās daļas otro teikumu Ministru kabineta rīkojuma projektam par augstskolas vai koledžas reorganizāciju vai likvidāciju pievienojams Augstākās izglītības padomes atzinums. Ministrija ir saņēmusi Augstākās izglītības padomes 2020. gada 19. novembra. lēmumu Nr.1.10/81 par projektu, kurā Augstākās izglītības padome atbalsta Izglītības un zinātnes ministrijas padotībā esošās valsts izglītības iestādes – Malnavas koledžas reorganizāciju, nododot to atvasinātai publiskai personai – Latvijas Lauksaimniecības Universitātei, un nosaka, ka Malnavas koledžas turpina pastāvēt kā Latvijas Lauksaimniecības universitātes aģentūra.</w:t>
            </w:r>
          </w:p>
        </w:tc>
        <w:tc>
          <w:tcPr>
            <w:tcW w:w="3218" w:type="dxa"/>
            <w:gridSpan w:val="3"/>
          </w:tcPr>
          <w:p w14:paraId="72829276" w14:textId="77777777" w:rsidR="008F0B50" w:rsidRDefault="008F0B50"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1639ADFC" w14:textId="77777777" w:rsidR="008F0B50" w:rsidRDefault="008F0B50"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DD44C6D" w14:textId="77777777" w:rsidR="008F0B50" w:rsidRDefault="008F0B50" w:rsidP="00FD4855">
            <w:pPr>
              <w:spacing w:after="0" w:line="240" w:lineRule="auto"/>
              <w:jc w:val="both"/>
              <w:rPr>
                <w:rFonts w:ascii="Times New Roman" w:eastAsia="Times New Roman" w:hAnsi="Times New Roman"/>
                <w:bCs/>
                <w:sz w:val="24"/>
                <w:szCs w:val="24"/>
                <w:lang w:eastAsia="lv-LV"/>
              </w:rPr>
            </w:pPr>
          </w:p>
        </w:tc>
      </w:tr>
      <w:tr w:rsidR="00A855A3" w14:paraId="065DA017" w14:textId="77777777" w:rsidTr="04C0BC5C">
        <w:trPr>
          <w:gridAfter w:val="1"/>
          <w:wAfter w:w="56" w:type="dxa"/>
        </w:trPr>
        <w:tc>
          <w:tcPr>
            <w:tcW w:w="40" w:type="dxa"/>
            <w:tcBorders>
              <w:right w:val="single" w:sz="4" w:space="0" w:color="auto"/>
            </w:tcBorders>
          </w:tcPr>
          <w:p w14:paraId="16E77C9E" w14:textId="77777777" w:rsidR="00A855A3" w:rsidRDefault="00A855A3"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A46D53" w14:textId="02044D31" w:rsidR="00A855A3" w:rsidRPr="00814BC2" w:rsidRDefault="000D00DF" w:rsidP="00A855A3">
            <w:pPr>
              <w:spacing w:after="0" w:line="240" w:lineRule="auto"/>
              <w:ind w:right="37"/>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7.</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02DE45" w14:textId="7BF2C899" w:rsidR="00A855A3" w:rsidRPr="008600CC" w:rsidRDefault="00422C48" w:rsidP="00422C48">
            <w:pPr>
              <w:spacing w:line="242" w:lineRule="auto"/>
              <w:jc w:val="both"/>
              <w:rPr>
                <w:rFonts w:ascii="Times New Roman" w:hAnsi="Times New Roman"/>
                <w:b/>
                <w:sz w:val="24"/>
                <w:szCs w:val="24"/>
                <w:lang w:eastAsia="lv-LV"/>
              </w:rPr>
            </w:pPr>
            <w:r w:rsidRPr="008B3001">
              <w:rPr>
                <w:rFonts w:ascii="Times New Roman" w:eastAsia="Times New Roman" w:hAnsi="Times New Roman"/>
                <w:sz w:val="24"/>
                <w:szCs w:val="24"/>
                <w:lang w:val="lv"/>
              </w:rPr>
              <w:t xml:space="preserve">11. Izglītības un zinātnes </w:t>
            </w:r>
            <w:r w:rsidRPr="008B3001">
              <w:rPr>
                <w:rFonts w:ascii="Times New Roman" w:eastAsia="Times New Roman" w:hAnsi="Times New Roman"/>
                <w:sz w:val="24"/>
                <w:szCs w:val="24"/>
                <w:lang w:val="lv"/>
              </w:rPr>
              <w:lastRenderedPageBreak/>
              <w:t xml:space="preserve">ministrijai līdz valsts nekustamā īpašuma daļas nodošanai Latvijas Lauksaimniecības universitātei veikt nepieciešamās darbības, lai atdalītu atsevišķos </w:t>
            </w:r>
            <w:r>
              <w:rPr>
                <w:rFonts w:ascii="Times New Roman" w:eastAsia="Times New Roman" w:hAnsi="Times New Roman"/>
                <w:sz w:val="24"/>
                <w:szCs w:val="24"/>
                <w:lang w:val="lv"/>
              </w:rPr>
              <w:t xml:space="preserve">patstāvīgajos </w:t>
            </w:r>
            <w:r w:rsidRPr="008B3001">
              <w:rPr>
                <w:rFonts w:ascii="Times New Roman" w:eastAsia="Times New Roman" w:hAnsi="Times New Roman"/>
                <w:sz w:val="24"/>
                <w:szCs w:val="24"/>
                <w:lang w:val="lv"/>
              </w:rPr>
              <w:t>nekustamajos īpašumos trīs valsts nekustamā īpašuma sastāvā esošas zemes vienības (zemes vienību kadastra apzīmējumi 6868 007 0070, 6868 009 0660 un 6868 013 0109).</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7EEAC2" w14:textId="4DAF8CE3" w:rsidR="00422C48" w:rsidRPr="00422C48" w:rsidRDefault="00422C48" w:rsidP="00422C48">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lastRenderedPageBreak/>
              <w:t xml:space="preserve">Zemkopības ministrijas 18.06.2021. </w:t>
            </w:r>
            <w:r w:rsidRPr="00422C48">
              <w:rPr>
                <w:rFonts w:ascii="Times New Roman" w:eastAsia="Times New Roman" w:hAnsi="Times New Roman"/>
                <w:b/>
                <w:bCs/>
                <w:sz w:val="24"/>
                <w:szCs w:val="24"/>
              </w:rPr>
              <w:lastRenderedPageBreak/>
              <w:t>atzinums</w:t>
            </w:r>
          </w:p>
          <w:p w14:paraId="69530479" w14:textId="77777777" w:rsidR="00422C48" w:rsidRPr="00422C48" w:rsidRDefault="00422C48" w:rsidP="00422C48">
            <w:pPr>
              <w:pStyle w:val="ListParagraph"/>
              <w:ind w:left="0"/>
              <w:jc w:val="both"/>
              <w:rPr>
                <w:rFonts w:ascii="Times New Roman" w:eastAsia="Times New Roman" w:hAnsi="Times New Roman"/>
                <w:sz w:val="24"/>
                <w:szCs w:val="24"/>
              </w:rPr>
            </w:pPr>
            <w:r w:rsidRPr="00422C48">
              <w:rPr>
                <w:rFonts w:ascii="Times New Roman" w:eastAsia="Times New Roman" w:hAnsi="Times New Roman"/>
                <w:sz w:val="24"/>
                <w:szCs w:val="24"/>
              </w:rPr>
              <w:t xml:space="preserve">Ievērojot VZD NĪVKIS aktuālos datus, LLU īpašumā nododamā valsts īpašuma daļas sastāvā ietilpst divas būves ar kadastra apzīmējumiem 6868 010 0158 005 un 6868 010 0158 006, kas atrodas uz Kārsavas novada pašvaldībai piederošās zemes (zemes vienības kadastra apzīmējums 6868 010 0158), un tās nav saistītas ar valstij piederošo zemi. Tāpēc  Izglītības un zinātnes ministrijai līdz valsts nekustamā īpašuma daļas nodošanai LLU īpašumā nepieciešams nodrošināt patstāvīga būvju īpašuma izveidošanu un tā noteikšanu NĪVKIS  datos. </w:t>
            </w:r>
          </w:p>
          <w:p w14:paraId="30DF8946" w14:textId="77777777" w:rsidR="00422C48" w:rsidRPr="002A1384" w:rsidRDefault="00422C48" w:rsidP="00422C48">
            <w:pPr>
              <w:pStyle w:val="ListParagraph"/>
              <w:ind w:left="0"/>
              <w:jc w:val="both"/>
              <w:rPr>
                <w:rFonts w:ascii="Times New Roman" w:eastAsia="Times New Roman" w:hAnsi="Times New Roman"/>
                <w:sz w:val="24"/>
                <w:szCs w:val="24"/>
              </w:rPr>
            </w:pPr>
          </w:p>
          <w:p w14:paraId="0AA20AD0" w14:textId="579272E6" w:rsidR="00422C48" w:rsidRPr="002A1384" w:rsidRDefault="00422C48" w:rsidP="00422C48">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R</w:t>
            </w:r>
            <w:r w:rsidRPr="002A1384">
              <w:rPr>
                <w:rFonts w:ascii="Times New Roman" w:eastAsia="Times New Roman" w:hAnsi="Times New Roman"/>
                <w:sz w:val="24"/>
                <w:szCs w:val="24"/>
              </w:rPr>
              <w:t>īkojuma projekta 11.punktu papildināt un izteikt šādā redakcijā:</w:t>
            </w:r>
          </w:p>
          <w:p w14:paraId="3D15E418" w14:textId="58CA5271" w:rsidR="00A855A3" w:rsidRPr="00422C48" w:rsidRDefault="00422C48" w:rsidP="00422C48">
            <w:pPr>
              <w:pStyle w:val="ListParagraph"/>
              <w:ind w:left="0"/>
              <w:jc w:val="both"/>
              <w:rPr>
                <w:rFonts w:ascii="Times New Roman" w:eastAsia="Times New Roman" w:hAnsi="Times New Roman"/>
                <w:sz w:val="24"/>
                <w:szCs w:val="24"/>
              </w:rPr>
            </w:pPr>
            <w:r w:rsidRPr="00422C48">
              <w:rPr>
                <w:rFonts w:ascii="Times New Roman" w:eastAsia="Times New Roman" w:hAnsi="Times New Roman"/>
                <w:sz w:val="24"/>
                <w:szCs w:val="24"/>
              </w:rPr>
              <w:t xml:space="preserve">“11. Izglītības un zinātnes ministrijai līdz valsts nekustamā īpašuma daļas nodošanai Latvijas Lauksaimniecības universitātei veikt nepieciešamās darbības, lai atdalītu atsevišķos patstāvīgajos nekustamajos īpašumos trīs valsts nekustamā īpašuma sastāvā esošas zemes vienības (zemes vienību kadastra apzīmējumi 6868 007 0070, 6868 009 0660 un 6868 013 0109) </w:t>
            </w:r>
            <w:r w:rsidRPr="00422C48">
              <w:rPr>
                <w:rFonts w:ascii="Times New Roman" w:eastAsia="Times New Roman" w:hAnsi="Times New Roman"/>
                <w:sz w:val="24"/>
                <w:szCs w:val="24"/>
              </w:rPr>
              <w:lastRenderedPageBreak/>
              <w:t>un divas būves ar kadastra apzīmējumiem 6868 010 0158 005 un 6868 010 0158 006, kas atrodas uz Kārsavas novada pašvaldībai piederošās zemes (zemes vienības kadastra apzīmējums 6868 010 0158). ”</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10F6AE" w14:textId="2B7353B6" w:rsidR="00A855A3" w:rsidRDefault="0E9F0752" w:rsidP="0E9F0752">
            <w:pPr>
              <w:spacing w:after="0" w:line="240" w:lineRule="auto"/>
              <w:ind w:firstLine="720"/>
              <w:jc w:val="both"/>
              <w:rPr>
                <w:rFonts w:ascii="Times New Roman" w:eastAsia="Times New Roman" w:hAnsi="Times New Roman"/>
                <w:b/>
                <w:bCs/>
                <w:sz w:val="24"/>
                <w:szCs w:val="24"/>
                <w:lang w:eastAsia="lv-LV"/>
              </w:rPr>
            </w:pPr>
            <w:r w:rsidRPr="0E9F0752">
              <w:rPr>
                <w:rFonts w:ascii="Times New Roman" w:eastAsia="Times New Roman" w:hAnsi="Times New Roman"/>
                <w:b/>
                <w:bCs/>
                <w:sz w:val="24"/>
                <w:szCs w:val="24"/>
                <w:lang w:eastAsia="lv-LV"/>
              </w:rPr>
              <w:lastRenderedPageBreak/>
              <w:t>Nav ņemts vērā.</w:t>
            </w:r>
          </w:p>
          <w:p w14:paraId="548410EC" w14:textId="33B2871C" w:rsidR="00A855A3" w:rsidRDefault="0E9F0752" w:rsidP="0E9F0752">
            <w:pPr>
              <w:spacing w:after="0" w:line="240" w:lineRule="auto"/>
              <w:ind w:firstLine="720"/>
              <w:jc w:val="both"/>
              <w:rPr>
                <w:rFonts w:ascii="Times New Roman" w:eastAsia="Times New Roman" w:hAnsi="Times New Roman"/>
                <w:color w:val="000000" w:themeColor="text1"/>
                <w:sz w:val="24"/>
                <w:szCs w:val="24"/>
              </w:rPr>
            </w:pPr>
            <w:r w:rsidRPr="0E9F0752">
              <w:rPr>
                <w:rFonts w:ascii="Times New Roman" w:eastAsia="Times New Roman" w:hAnsi="Times New Roman"/>
                <w:sz w:val="24"/>
                <w:szCs w:val="24"/>
                <w:lang w:eastAsia="lv-LV"/>
              </w:rPr>
              <w:lastRenderedPageBreak/>
              <w:t xml:space="preserve">Ņemot vērā, ka </w:t>
            </w:r>
            <w:r w:rsidRPr="0E9F0752">
              <w:rPr>
                <w:rFonts w:ascii="Times New Roman" w:eastAsia="Times New Roman" w:hAnsi="Times New Roman"/>
                <w:color w:val="000000" w:themeColor="text1"/>
                <w:sz w:val="24"/>
                <w:szCs w:val="24"/>
              </w:rPr>
              <w:t xml:space="preserve">būves ar kadastra apzīmējumiem 6868 010 0158 005 un 6868 010 0158 006 atrodas valsts nekustamā īpašuma sastāvā, LLU jautājumu par būvju atdalīšanu atsevišķā īpašumā var risināt pēc īpašuma tiesību reģistrēšanas zemesgrāmatā. </w:t>
            </w:r>
          </w:p>
          <w:p w14:paraId="0BDC3D32" w14:textId="2EBAFE07" w:rsidR="00A855A3" w:rsidRDefault="00A855A3" w:rsidP="0E9F0752">
            <w:pPr>
              <w:spacing w:after="0" w:line="240" w:lineRule="auto"/>
              <w:ind w:firstLine="720"/>
              <w:jc w:val="both"/>
              <w:rPr>
                <w:b/>
                <w:bCs/>
                <w:sz w:val="24"/>
                <w:szCs w:val="24"/>
                <w:lang w:eastAsia="lv-LV"/>
              </w:rPr>
            </w:pP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9F8411" w14:textId="7BF2C899" w:rsidR="00A855A3" w:rsidRPr="00BD1DFD" w:rsidRDefault="04C0BC5C" w:rsidP="04C0BC5C">
            <w:pPr>
              <w:spacing w:after="0" w:line="242" w:lineRule="auto"/>
              <w:jc w:val="both"/>
              <w:rPr>
                <w:rFonts w:ascii="Times New Roman" w:hAnsi="Times New Roman"/>
                <w:b/>
                <w:bCs/>
                <w:sz w:val="24"/>
                <w:szCs w:val="24"/>
                <w:lang w:eastAsia="lv-LV"/>
              </w:rPr>
            </w:pPr>
            <w:r w:rsidRPr="00BD1DFD">
              <w:rPr>
                <w:rFonts w:ascii="Times New Roman" w:eastAsia="Times New Roman" w:hAnsi="Times New Roman"/>
                <w:sz w:val="24"/>
                <w:szCs w:val="24"/>
                <w:lang w:val="lv"/>
              </w:rPr>
              <w:lastRenderedPageBreak/>
              <w:t xml:space="preserve">11. Izglītības un zinātnes </w:t>
            </w:r>
            <w:r w:rsidRPr="00BD1DFD">
              <w:rPr>
                <w:rFonts w:ascii="Times New Roman" w:eastAsia="Times New Roman" w:hAnsi="Times New Roman"/>
                <w:sz w:val="24"/>
                <w:szCs w:val="24"/>
                <w:lang w:val="lv"/>
              </w:rPr>
              <w:lastRenderedPageBreak/>
              <w:t>ministrijai līdz valsts nekustamā īpašuma daļas nodošanai Latvijas Lauksaimniecības universitātei veikt nepieciešamās darbības, lai atdalītu atsevišķos patstāvīgajos nekustamajos īpašumos trīs valsts nekustamā īpašuma sastāvā esošas zemes vienības (zemes vienību kadastra apzīmējumi 6868 007 0070, 6868 009 0660 un 6868 013 0109).</w:t>
            </w:r>
          </w:p>
          <w:p w14:paraId="1B245DCA" w14:textId="364F21EC" w:rsidR="00A855A3" w:rsidRPr="00BD1DFD" w:rsidRDefault="00A855A3" w:rsidP="04C0BC5C">
            <w:pPr>
              <w:spacing w:after="0" w:line="240" w:lineRule="auto"/>
              <w:jc w:val="both"/>
              <w:rPr>
                <w:sz w:val="24"/>
                <w:szCs w:val="24"/>
                <w:lang w:eastAsia="lv-LV"/>
              </w:rPr>
            </w:pPr>
          </w:p>
        </w:tc>
        <w:tc>
          <w:tcPr>
            <w:tcW w:w="3218" w:type="dxa"/>
            <w:gridSpan w:val="3"/>
          </w:tcPr>
          <w:p w14:paraId="5D2ED1D1" w14:textId="77777777" w:rsidR="00A855A3" w:rsidRDefault="00A855A3"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68342B0C" w14:textId="77777777" w:rsidR="00A855A3" w:rsidRDefault="00A855A3"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4644952" w14:textId="77777777" w:rsidR="00A855A3" w:rsidRDefault="00A855A3" w:rsidP="00FD4855">
            <w:pPr>
              <w:spacing w:after="0" w:line="240" w:lineRule="auto"/>
              <w:jc w:val="both"/>
              <w:rPr>
                <w:rFonts w:ascii="Times New Roman" w:eastAsia="Times New Roman" w:hAnsi="Times New Roman"/>
                <w:bCs/>
                <w:sz w:val="24"/>
                <w:szCs w:val="24"/>
                <w:lang w:eastAsia="lv-LV"/>
              </w:rPr>
            </w:pPr>
          </w:p>
        </w:tc>
      </w:tr>
      <w:tr w:rsidR="00422C48" w14:paraId="30307FAF" w14:textId="77777777" w:rsidTr="04C0BC5C">
        <w:trPr>
          <w:gridAfter w:val="1"/>
          <w:wAfter w:w="56" w:type="dxa"/>
        </w:trPr>
        <w:tc>
          <w:tcPr>
            <w:tcW w:w="40" w:type="dxa"/>
            <w:tcBorders>
              <w:right w:val="single" w:sz="4" w:space="0" w:color="auto"/>
            </w:tcBorders>
          </w:tcPr>
          <w:p w14:paraId="5B7E3EBD" w14:textId="77777777" w:rsidR="00422C48" w:rsidRDefault="00422C48"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39B054" w14:textId="74AB632D" w:rsidR="00422C48" w:rsidRPr="00814BC2" w:rsidRDefault="00814BC2" w:rsidP="003B1ECE">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8.</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9487ED" w14:textId="77777777" w:rsidR="00422C48" w:rsidRPr="006A206C" w:rsidRDefault="00422C48" w:rsidP="00422C48">
            <w:pPr>
              <w:jc w:val="both"/>
              <w:rPr>
                <w:rFonts w:ascii="Times New Roman" w:hAnsi="Times New Roman"/>
                <w:sz w:val="24"/>
                <w:szCs w:val="24"/>
                <w:shd w:val="clear" w:color="auto" w:fill="FFFFFF"/>
              </w:rPr>
            </w:pPr>
            <w:bookmarkStart w:id="2" w:name="x__Hlk74243929"/>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 Noteikt, ka Latvijas Lauksaimniecības universitāte pēc reorganizācijas:</w:t>
            </w:r>
          </w:p>
          <w:bookmarkEnd w:id="2"/>
          <w:p w14:paraId="632F6D95" w14:textId="77777777" w:rsidR="00422C48" w:rsidRPr="006A206C" w:rsidRDefault="00422C48" w:rsidP="00422C48">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.1. nodrošina izglītojamo uzņemšanu šī rīkojuma 2. punktā minētajās programmās vēl trīs  gadus;</w:t>
            </w:r>
          </w:p>
          <w:p w14:paraId="2D8BC8D8" w14:textId="77777777" w:rsidR="00422C48" w:rsidRPr="006A206C" w:rsidRDefault="00422C48" w:rsidP="00422C48">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 xml:space="preserve">.2.pārņem saistības, ko koledža uzņēmusies darbības programmas “Izaugsme un nodarbinātība” 4.2.1. specifiskā atbalsta mērķa ”Veicināt energoefektivitātes paaugstināšanu valsts un dzīvojamās ēkās” 4.2.1.2. pasākuma ”Veicināt energoefektivitātes paaugstināšanu valsts ēkās” pirmās projektu iesniegumu atlases kārtas ietvaros un </w:t>
            </w:r>
            <w:r w:rsidRPr="00626896">
              <w:rPr>
                <w:rFonts w:ascii="Times New Roman" w:hAnsi="Times New Roman"/>
                <w:sz w:val="24"/>
                <w:szCs w:val="24"/>
                <w:shd w:val="clear" w:color="auto" w:fill="FFFFFF"/>
              </w:rPr>
              <w:lastRenderedPageBreak/>
              <w:t>darbības programmas “Izaugsme un nodarbinātība” 8.5.2. specifiskā atbalsta mērķa "Nodrošināt profesionālās izglītības atbilstību Eiropas kvalifikācijas ietvarstruktūrai" projekta ietvaros, kas izriet no minēto programmu regulējošiem normatīvajiem aktiem un no koledžas reorganizācijas dienā spēkā esošās vienošanās ar Centrālo finanšu un līgumu aģentūru par projekta īstenošanu;</w:t>
            </w:r>
          </w:p>
          <w:p w14:paraId="66A4C688" w14:textId="77777777" w:rsidR="00422C48" w:rsidRPr="006A206C" w:rsidRDefault="00422C48" w:rsidP="00422C48">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.3.  </w:t>
            </w:r>
            <w:r w:rsidRPr="006A206C">
              <w:rPr>
                <w:rFonts w:ascii="Times New Roman" w:hAnsi="Times New Roman"/>
                <w:sz w:val="24"/>
                <w:szCs w:val="24"/>
                <w:shd w:val="clear" w:color="auto" w:fill="FFFFFF"/>
              </w:rPr>
              <w:t>savā darbībā attiecībā uz koledžu ņem vērā Izglītības un zinātnes ministrijas apstiprināto koledžas investīciju un attīstības stratēģiju 2021. – 2027. gadam.</w:t>
            </w:r>
          </w:p>
          <w:p w14:paraId="612E4DEC" w14:textId="77777777" w:rsidR="00422C48" w:rsidRPr="008600CC" w:rsidRDefault="00422C48" w:rsidP="008600CC">
            <w:pPr>
              <w:spacing w:line="242" w:lineRule="auto"/>
              <w:ind w:firstLine="720"/>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B1A01C" w14:textId="77777777" w:rsidR="00422C48" w:rsidRDefault="04C0BC5C" w:rsidP="00422C48">
            <w:pPr>
              <w:pStyle w:val="ListParagraph"/>
              <w:ind w:left="0"/>
              <w:jc w:val="both"/>
              <w:rPr>
                <w:rFonts w:ascii="Times New Roman" w:eastAsia="Times New Roman" w:hAnsi="Times New Roman"/>
                <w:b/>
                <w:bCs/>
                <w:sz w:val="24"/>
                <w:szCs w:val="24"/>
              </w:rPr>
            </w:pPr>
            <w:r w:rsidRPr="04C0BC5C">
              <w:rPr>
                <w:rFonts w:ascii="Times New Roman" w:eastAsia="Times New Roman" w:hAnsi="Times New Roman"/>
                <w:b/>
                <w:bCs/>
                <w:sz w:val="24"/>
                <w:szCs w:val="24"/>
              </w:rPr>
              <w:lastRenderedPageBreak/>
              <w:t>Zemkopības ministrijas 18.06.2021. atzinums</w:t>
            </w:r>
          </w:p>
          <w:p w14:paraId="30A9E225" w14:textId="27AADB1B" w:rsidR="04C0BC5C" w:rsidRDefault="04C0BC5C" w:rsidP="04C0BC5C">
            <w:pPr>
              <w:pStyle w:val="ListParagraph"/>
              <w:ind w:left="0"/>
              <w:jc w:val="both"/>
              <w:rPr>
                <w:rFonts w:ascii="Times New Roman" w:eastAsia="Times New Roman" w:hAnsi="Times New Roman"/>
                <w:sz w:val="24"/>
                <w:szCs w:val="24"/>
              </w:rPr>
            </w:pPr>
            <w:r w:rsidRPr="04C0BC5C">
              <w:rPr>
                <w:rFonts w:ascii="Times New Roman" w:eastAsia="Times New Roman" w:hAnsi="Times New Roman"/>
                <w:sz w:val="24"/>
                <w:szCs w:val="24"/>
              </w:rPr>
              <w:t>Priekšlikums</w:t>
            </w:r>
          </w:p>
          <w:p w14:paraId="64C99A3B" w14:textId="452D8770" w:rsidR="00422C48" w:rsidRPr="00422C48" w:rsidRDefault="00422C48" w:rsidP="00422C48">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sz w:val="24"/>
                <w:szCs w:val="24"/>
              </w:rPr>
              <w:t>Lūdzam izteikt rīkojuma projekta 3. punktu sekojošā redakcijā, atbilstoši precizējot punktu numerāciju:   </w:t>
            </w:r>
          </w:p>
          <w:p w14:paraId="252EB9D4" w14:textId="77777777" w:rsidR="00422C48" w:rsidRPr="00422C48" w:rsidRDefault="00422C48" w:rsidP="00422C48">
            <w:pPr>
              <w:pStyle w:val="ListParagraph"/>
              <w:ind w:left="0"/>
              <w:jc w:val="both"/>
              <w:rPr>
                <w:rFonts w:ascii="Times New Roman" w:eastAsia="Times New Roman" w:hAnsi="Times New Roman"/>
                <w:sz w:val="24"/>
                <w:szCs w:val="24"/>
              </w:rPr>
            </w:pPr>
            <w:r w:rsidRPr="00422C48">
              <w:rPr>
                <w:rFonts w:ascii="Times New Roman" w:eastAsia="Times New Roman" w:hAnsi="Times New Roman"/>
                <w:sz w:val="24"/>
                <w:szCs w:val="24"/>
              </w:rPr>
              <w:t>“3. Valsts finansē aģentūras pirmā līmeņa profesionālās augstākās izglītības programmu, profesionālās vidējās izglītības programmu, arodizglītības programmu  īstenošanas izmaksas, ievērojot Ministru kabineta noteikto izglītības programmu īstenošanas izmaksu minimumu uz vienu izglītojamo un izglītojamo skaitu attiecīgajā izglītības programmā. Zemkopības ministrija nosaka valsts finansēto izglītojamo vietu skaitu aģentūras  pirmā līmeņa profesionālās augstākās izglītības, profesionālās vidējās izglītības un arodizglītības programmās. ”</w:t>
            </w:r>
          </w:p>
          <w:p w14:paraId="4870348B" w14:textId="77777777" w:rsidR="00422C48" w:rsidRPr="00422C48" w:rsidRDefault="00422C48" w:rsidP="00FD4855">
            <w:pPr>
              <w:widowControl w:val="0"/>
              <w:spacing w:after="0" w:line="240" w:lineRule="auto"/>
              <w:jc w:val="both"/>
              <w:rPr>
                <w:rFonts w:ascii="Times New Roman" w:eastAsia="Times New Roman" w:hAnsi="Times New Roman"/>
                <w:b/>
                <w:sz w:val="24"/>
                <w:szCs w:val="24"/>
                <w:lang w:eastAsia="lv-LV"/>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D2C1B19" w14:textId="77777777" w:rsidR="00422C48" w:rsidRPr="003C2089" w:rsidRDefault="003C2089" w:rsidP="04C0BC5C">
            <w:pPr>
              <w:spacing w:after="0" w:line="240" w:lineRule="auto"/>
              <w:ind w:firstLine="720"/>
              <w:jc w:val="both"/>
              <w:rPr>
                <w:rFonts w:ascii="Times New Roman" w:eastAsia="Times New Roman" w:hAnsi="Times New Roman"/>
                <w:b/>
                <w:bCs/>
                <w:sz w:val="24"/>
                <w:szCs w:val="24"/>
                <w:lang w:eastAsia="lv-LV"/>
              </w:rPr>
            </w:pPr>
            <w:r w:rsidRPr="003C2089">
              <w:rPr>
                <w:rFonts w:ascii="Times New Roman" w:eastAsia="Times New Roman" w:hAnsi="Times New Roman"/>
                <w:b/>
                <w:bCs/>
                <w:sz w:val="24"/>
                <w:szCs w:val="24"/>
                <w:lang w:eastAsia="lv-LV"/>
              </w:rPr>
              <w:t>Nav ņemts vērā.</w:t>
            </w:r>
          </w:p>
          <w:p w14:paraId="139CA239" w14:textId="6F6855C3" w:rsidR="003C2089" w:rsidRPr="003C2089" w:rsidRDefault="006579FD" w:rsidP="006579FD">
            <w:pPr>
              <w:spacing w:after="0" w:line="240" w:lineRule="auto"/>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Profesionālās vidējās izglītības iestāžu finansēšanas kārtību nosaka Izglītības likums un Augstskolu likums attiecīgi nosaka augstskolu finansēšanas kārtību. Atbilstoši šai kārtībai izglītības programmas tiks finansētas.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B97744" w14:textId="77777777" w:rsidR="006579FD" w:rsidRPr="006A206C" w:rsidRDefault="006579FD" w:rsidP="006579FD">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 Noteikt, ka Latvijas Lauksaimniecības universitāte pēc reorganizācijas:</w:t>
            </w:r>
          </w:p>
          <w:p w14:paraId="5221428B" w14:textId="77777777" w:rsidR="006579FD" w:rsidRPr="006A206C" w:rsidRDefault="006579FD" w:rsidP="006579FD">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.1. nodrošina izglītojamo uzņemšanu šī rīkojuma 2. punktā minētajās programmās vēl trīs  gadus;</w:t>
            </w:r>
          </w:p>
          <w:p w14:paraId="6102BC57" w14:textId="77777777" w:rsidR="006579FD" w:rsidRPr="006A206C" w:rsidRDefault="006579FD" w:rsidP="006579FD">
            <w:pPr>
              <w:jc w:val="both"/>
              <w:rPr>
                <w:rFonts w:ascii="Times New Roman" w:hAnsi="Times New Roman"/>
                <w:sz w:val="24"/>
                <w:szCs w:val="24"/>
                <w:shd w:val="clear" w:color="auto" w:fill="FFFFFF"/>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 xml:space="preserve">.2.pārņem saistības, ko koledža uzņēmusies darbības programmas “Izaugsme un nodarbinātība” 4.2.1. specifiskā atbalsta mērķa ”Veicināt energoefektivitātes paaugstināšanu valsts un dzīvojamās ēkās” 4.2.1.2. pasākuma ”Veicināt energoefektivitātes paaugstināšanu valsts ēkās” </w:t>
            </w:r>
            <w:r w:rsidRPr="00626896">
              <w:rPr>
                <w:rFonts w:ascii="Times New Roman" w:hAnsi="Times New Roman"/>
                <w:sz w:val="24"/>
                <w:szCs w:val="24"/>
                <w:shd w:val="clear" w:color="auto" w:fill="FFFFFF"/>
              </w:rPr>
              <w:lastRenderedPageBreak/>
              <w:t>pirmās projektu iesniegumu atlases kārtas ietvaros un darbības programmas “Izaugsme un nodarbinātība” 8.5.2. specifiskā atbalsta mērķa "Nodrošināt profesionālās izglītības atbilstību Eiropas kvalifikācijas ietvarstruktūrai" projekta ietvaros, kas izriet no minēto programmu regulējošiem normatīvajiem aktiem un no koledžas reorganizācijas dienā spēkā esošās vienošanās ar Centrālo finanšu un līgumu aģentūru par projekta īstenošanu;</w:t>
            </w:r>
          </w:p>
          <w:p w14:paraId="7B08237E" w14:textId="41003A62" w:rsidR="00422C48" w:rsidRPr="004A3591" w:rsidRDefault="006579FD" w:rsidP="006579FD">
            <w:pPr>
              <w:spacing w:after="0" w:line="240" w:lineRule="auto"/>
              <w:jc w:val="both"/>
              <w:rPr>
                <w:sz w:val="24"/>
                <w:szCs w:val="24"/>
                <w:lang w:eastAsia="lv-LV"/>
              </w:rPr>
            </w:pPr>
            <w:r>
              <w:rPr>
                <w:rFonts w:ascii="Times New Roman" w:hAnsi="Times New Roman"/>
                <w:sz w:val="24"/>
                <w:szCs w:val="24"/>
                <w:shd w:val="clear" w:color="auto" w:fill="FFFFFF"/>
              </w:rPr>
              <w:t>3</w:t>
            </w:r>
            <w:r w:rsidRPr="00626896">
              <w:rPr>
                <w:rFonts w:ascii="Times New Roman" w:hAnsi="Times New Roman"/>
                <w:sz w:val="24"/>
                <w:szCs w:val="24"/>
                <w:shd w:val="clear" w:color="auto" w:fill="FFFFFF"/>
              </w:rPr>
              <w:t>.3.  </w:t>
            </w:r>
            <w:r w:rsidRPr="006A206C">
              <w:rPr>
                <w:rFonts w:ascii="Times New Roman" w:hAnsi="Times New Roman"/>
                <w:sz w:val="24"/>
                <w:szCs w:val="24"/>
                <w:shd w:val="clear" w:color="auto" w:fill="FFFFFF"/>
              </w:rPr>
              <w:t>savā darbībā attiecībā uz koledžu ņem vērā Izglītības un zinātnes ministrijas apstiprināto koledžas investīciju un attīstības stratēģiju 2021. – 2027.</w:t>
            </w:r>
          </w:p>
        </w:tc>
        <w:tc>
          <w:tcPr>
            <w:tcW w:w="3218" w:type="dxa"/>
            <w:gridSpan w:val="3"/>
          </w:tcPr>
          <w:p w14:paraId="0246A139" w14:textId="77777777" w:rsidR="00422C48" w:rsidRDefault="00422C4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6AA3B257" w14:textId="77777777" w:rsidR="00422C48" w:rsidRDefault="00422C4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4FD9B03" w14:textId="77777777" w:rsidR="00422C48" w:rsidRDefault="00422C48" w:rsidP="00FD4855">
            <w:pPr>
              <w:spacing w:after="0" w:line="240" w:lineRule="auto"/>
              <w:jc w:val="both"/>
              <w:rPr>
                <w:rFonts w:ascii="Times New Roman" w:eastAsia="Times New Roman" w:hAnsi="Times New Roman"/>
                <w:bCs/>
                <w:sz w:val="24"/>
                <w:szCs w:val="24"/>
                <w:lang w:eastAsia="lv-LV"/>
              </w:rPr>
            </w:pPr>
          </w:p>
        </w:tc>
      </w:tr>
      <w:tr w:rsidR="00422C48" w14:paraId="22AEF8E3" w14:textId="77777777" w:rsidTr="04C0BC5C">
        <w:trPr>
          <w:gridAfter w:val="1"/>
          <w:wAfter w:w="56" w:type="dxa"/>
        </w:trPr>
        <w:tc>
          <w:tcPr>
            <w:tcW w:w="40" w:type="dxa"/>
            <w:tcBorders>
              <w:right w:val="single" w:sz="4" w:space="0" w:color="auto"/>
            </w:tcBorders>
          </w:tcPr>
          <w:p w14:paraId="073E61BA" w14:textId="77777777" w:rsidR="00422C48" w:rsidRDefault="00422C48"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37C614" w14:textId="482758F2" w:rsidR="00422C48" w:rsidRPr="00814BC2" w:rsidRDefault="00814BC2" w:rsidP="003B1ECE">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9.</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B6DF3C" w14:textId="6FD059C2" w:rsidR="00422C48" w:rsidRPr="003B1ECE" w:rsidRDefault="04C0BC5C" w:rsidP="04C0BC5C">
            <w:pPr>
              <w:spacing w:after="0" w:line="242" w:lineRule="auto"/>
              <w:jc w:val="both"/>
              <w:rPr>
                <w:rFonts w:ascii="Times New Roman" w:hAnsi="Times New Roman"/>
                <w:sz w:val="24"/>
                <w:szCs w:val="24"/>
                <w:lang w:eastAsia="lv-LV"/>
              </w:rPr>
            </w:pPr>
            <w:r w:rsidRPr="04C0BC5C">
              <w:rPr>
                <w:rFonts w:ascii="Times New Roman" w:hAnsi="Times New Roman"/>
                <w:sz w:val="24"/>
                <w:szCs w:val="24"/>
                <w:lang w:eastAsia="lv-LV"/>
              </w:rPr>
              <w:t>Par projekta noformējumu</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31B14A" w14:textId="77777777" w:rsidR="006753DA" w:rsidRDefault="006753DA" w:rsidP="006753DA">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t>Zemkopības ministrijas 18.06.2021. atzinums</w:t>
            </w:r>
          </w:p>
          <w:p w14:paraId="179EBEEA" w14:textId="47583D3A" w:rsidR="00422C48" w:rsidRDefault="00470846" w:rsidP="006753DA">
            <w:pPr>
              <w:pStyle w:val="ListParagraph"/>
              <w:ind w:left="0"/>
              <w:jc w:val="both"/>
              <w:rPr>
                <w:rFonts w:ascii="Times New Roman" w:eastAsia="Times New Roman" w:hAnsi="Times New Roman"/>
                <w:b/>
                <w:sz w:val="24"/>
                <w:szCs w:val="24"/>
                <w:lang w:eastAsia="lv-LV"/>
              </w:rPr>
            </w:pPr>
            <w:r>
              <w:rPr>
                <w:rFonts w:ascii="Times New Roman" w:eastAsia="Times New Roman" w:hAnsi="Times New Roman"/>
                <w:sz w:val="24"/>
                <w:szCs w:val="24"/>
              </w:rPr>
              <w:lastRenderedPageBreak/>
              <w:t>S</w:t>
            </w:r>
            <w:r w:rsidR="00422C48" w:rsidRPr="002A1384">
              <w:rPr>
                <w:rFonts w:ascii="Times New Roman" w:eastAsia="Times New Roman" w:hAnsi="Times New Roman"/>
                <w:sz w:val="24"/>
                <w:szCs w:val="24"/>
              </w:rPr>
              <w:t>ekojošo Ministru kabineta rīkojuma projektā “Par Malnavas koledžas reorganizāciju” nepieciešams pievienot parakstītāju.</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15D4BA" w14:textId="3210B85F" w:rsidR="003B1ECE" w:rsidRDefault="003B1ECE" w:rsidP="003B1ECE">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400EE0BD" w14:textId="77777777" w:rsidR="00422C48" w:rsidRDefault="00422C48" w:rsidP="003B1ECE">
            <w:pPr>
              <w:widowControl w:val="0"/>
              <w:spacing w:after="0" w:line="240" w:lineRule="auto"/>
              <w:jc w:val="both"/>
              <w:rPr>
                <w:rFonts w:ascii="Times New Roman" w:eastAsia="Times New Roman" w:hAnsi="Times New Roman"/>
                <w:b/>
                <w:sz w:val="24"/>
                <w:szCs w:val="24"/>
                <w:lang w:eastAsia="lv-LV"/>
              </w:rPr>
            </w:pP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5D08250" w14:textId="7ABB8CEA" w:rsidR="00422C48" w:rsidRPr="000F7F3B" w:rsidRDefault="04C0BC5C" w:rsidP="00FD4855">
            <w:pPr>
              <w:spacing w:after="0" w:line="240" w:lineRule="auto"/>
              <w:jc w:val="both"/>
              <w:rPr>
                <w:rFonts w:ascii="Times New Roman" w:eastAsia="Times New Roman" w:hAnsi="Times New Roman"/>
                <w:sz w:val="24"/>
                <w:szCs w:val="24"/>
              </w:rPr>
            </w:pPr>
            <w:r w:rsidRPr="04C0BC5C">
              <w:rPr>
                <w:rFonts w:ascii="Times New Roman" w:eastAsia="Times New Roman" w:hAnsi="Times New Roman"/>
                <w:sz w:val="24"/>
                <w:szCs w:val="24"/>
              </w:rPr>
              <w:t xml:space="preserve">Parakstītājs norādīts </w:t>
            </w:r>
          </w:p>
        </w:tc>
        <w:tc>
          <w:tcPr>
            <w:tcW w:w="3218" w:type="dxa"/>
            <w:gridSpan w:val="3"/>
          </w:tcPr>
          <w:p w14:paraId="7B23EDC2" w14:textId="77777777" w:rsidR="00422C48" w:rsidRDefault="00422C4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C651C3F" w14:textId="77777777" w:rsidR="00422C48" w:rsidRDefault="00422C48"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DF95E99" w14:textId="77777777" w:rsidR="00422C48" w:rsidRDefault="00422C48" w:rsidP="00FD4855">
            <w:pPr>
              <w:spacing w:after="0" w:line="240" w:lineRule="auto"/>
              <w:jc w:val="both"/>
              <w:rPr>
                <w:rFonts w:ascii="Times New Roman" w:eastAsia="Times New Roman" w:hAnsi="Times New Roman"/>
                <w:bCs/>
                <w:sz w:val="24"/>
                <w:szCs w:val="24"/>
                <w:lang w:eastAsia="lv-LV"/>
              </w:rPr>
            </w:pPr>
          </w:p>
        </w:tc>
      </w:tr>
      <w:tr w:rsidR="000F7F3B" w14:paraId="3AB423B0" w14:textId="77777777" w:rsidTr="04C0BC5C">
        <w:trPr>
          <w:gridAfter w:val="1"/>
          <w:wAfter w:w="56" w:type="dxa"/>
        </w:trPr>
        <w:tc>
          <w:tcPr>
            <w:tcW w:w="40" w:type="dxa"/>
            <w:tcBorders>
              <w:right w:val="single" w:sz="4" w:space="0" w:color="auto"/>
            </w:tcBorders>
          </w:tcPr>
          <w:p w14:paraId="51AA4319" w14:textId="77777777" w:rsidR="000F7F3B" w:rsidRDefault="000F7F3B"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D079A" w14:textId="528CA7D4" w:rsidR="000F7F3B" w:rsidRPr="00814BC2" w:rsidRDefault="0025486C" w:rsidP="003B1ECE">
            <w:pPr>
              <w:spacing w:after="0" w:line="240" w:lineRule="auto"/>
              <w:ind w:firstLine="5"/>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10</w:t>
            </w:r>
            <w:r w:rsidR="00814BC2"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31A50B" w14:textId="7FACF37A" w:rsidR="000F7F3B" w:rsidRPr="00F535F6" w:rsidRDefault="04C0BC5C" w:rsidP="000F7F3B">
            <w:pPr>
              <w:jc w:val="both"/>
              <w:rPr>
                <w:rFonts w:ascii="Times New Roman" w:eastAsia="Times New Roman" w:hAnsi="Times New Roman"/>
                <w:sz w:val="24"/>
                <w:szCs w:val="24"/>
                <w:lang w:val="lv"/>
              </w:rPr>
            </w:pPr>
            <w:r w:rsidRPr="04C0BC5C">
              <w:rPr>
                <w:rFonts w:ascii="Times New Roman" w:eastAsia="Times New Roman" w:hAnsi="Times New Roman"/>
                <w:sz w:val="24"/>
                <w:szCs w:val="24"/>
                <w:lang w:val="lv"/>
              </w:rPr>
              <w:t>11. Izglītības un zinātnes ministrijai līdz valsts nekustamā īpašuma daļas nodošanai Latvijas Lauksamniecības Univeristātei  veikt  nepieciešamās darbības,</w:t>
            </w:r>
            <w:r w:rsidRPr="04C0BC5C">
              <w:rPr>
                <w:rFonts w:cs="Calibri"/>
                <w:sz w:val="24"/>
                <w:szCs w:val="24"/>
                <w:lang w:val="lv"/>
              </w:rPr>
              <w:t xml:space="preserve"> </w:t>
            </w:r>
            <w:r w:rsidRPr="04C0BC5C">
              <w:rPr>
                <w:rFonts w:ascii="Times New Roman" w:eastAsia="Times New Roman" w:hAnsi="Times New Roman"/>
                <w:sz w:val="24"/>
                <w:szCs w:val="24"/>
                <w:lang w:val="lv"/>
              </w:rPr>
              <w:t>lai atdalītu atsevišķos patstāvīgajos nekustamajos īpašumos trīs valsts nekustamā īpašuma sastāvā esošas zemes vienības:</w:t>
            </w:r>
          </w:p>
          <w:p w14:paraId="3979598A" w14:textId="77777777" w:rsidR="000F7F3B" w:rsidRPr="000F7F3B" w:rsidRDefault="000F7F3B" w:rsidP="000F7F3B">
            <w:pPr>
              <w:spacing w:line="242" w:lineRule="auto"/>
              <w:jc w:val="both"/>
              <w:rPr>
                <w:rFonts w:ascii="Times New Roman" w:hAnsi="Times New Roman"/>
                <w:b/>
                <w:sz w:val="24"/>
                <w:szCs w:val="24"/>
                <w:lang w:val="lv"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E2F3D5" w14:textId="77777777" w:rsidR="006753DA" w:rsidRDefault="006753DA" w:rsidP="006753DA">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t>Zemkopības ministrijas 18.06.2021. atzinums</w:t>
            </w:r>
          </w:p>
          <w:p w14:paraId="687BAB7F" w14:textId="61BFEC8E" w:rsidR="000F7F3B" w:rsidRPr="002A1384" w:rsidRDefault="006753DA" w:rsidP="006753DA">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A</w:t>
            </w:r>
            <w:r w:rsidR="000F7F3B" w:rsidRPr="002A1384">
              <w:rPr>
                <w:rFonts w:ascii="Times New Roman" w:eastAsia="Times New Roman" w:hAnsi="Times New Roman"/>
                <w:sz w:val="24"/>
                <w:szCs w:val="24"/>
              </w:rPr>
              <w:t>notācijas 2.punktu papildināt (.5. un 6. lapa) ar šādu tekstu:</w:t>
            </w:r>
          </w:p>
          <w:p w14:paraId="6B6F0DDC"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 xml:space="preserve">“Projekta 11.punkts nosaka, ka Izglītības un zinātnes ministrijai līdz valsts nekustamā īpašuma daļas nodošanai LLU jāveic nepieciešamās darbības, lai atdalītu atsevišķos patstāvīgajos nekustamajos īpašumos trīs valsts nekustamā īpašuma sastāvā esošas zemes vienības un divas būves: </w:t>
            </w:r>
          </w:p>
          <w:p w14:paraId="1E73B240"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w:t>
            </w:r>
          </w:p>
          <w:p w14:paraId="578A0881"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 xml:space="preserve">4.Saskaņā ar Valsts zemes dienesta Nekustamā īpašuma valsts kadastra informācijas sistēmas datiem (turpmāk – NĪVKIS) būves ar kadastra apzīmējumiem </w:t>
            </w:r>
            <w:bookmarkStart w:id="3" w:name="_Hlk74733885"/>
            <w:r w:rsidRPr="000F7F3B">
              <w:rPr>
                <w:rFonts w:ascii="Times New Roman" w:eastAsia="Times New Roman" w:hAnsi="Times New Roman"/>
                <w:sz w:val="24"/>
                <w:szCs w:val="24"/>
              </w:rPr>
              <w:t xml:space="preserve">6868 010 0158 005 un 6868 010 0158 006 atrodas uz Kārsavas novada pašvaldībai piederošās zemes </w:t>
            </w:r>
            <w:bookmarkEnd w:id="3"/>
            <w:r w:rsidRPr="000F7F3B">
              <w:rPr>
                <w:rFonts w:ascii="Times New Roman" w:eastAsia="Times New Roman" w:hAnsi="Times New Roman"/>
                <w:sz w:val="24"/>
                <w:szCs w:val="24"/>
              </w:rPr>
              <w:t>Izglītības un zinātnes ministrija līdz valsts nekustamā īpašuma daļas nodošanai LLU īpašumā nodrošinās patstāvīga būvju īpašuma izveidošanu un tā noteikšanu NĪVKIS  datos.  ”</w:t>
            </w:r>
          </w:p>
          <w:p w14:paraId="7F6CDE9E"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54B49" w14:textId="1FBE0AB6" w:rsidR="000F7F3B" w:rsidRPr="006579FD" w:rsidRDefault="007177AA" w:rsidP="04C0BC5C">
            <w:pPr>
              <w:spacing w:after="0" w:line="240" w:lineRule="auto"/>
              <w:jc w:val="both"/>
              <w:rPr>
                <w:rFonts w:ascii="Times New Roman" w:eastAsia="Times New Roman" w:hAnsi="Times New Roman"/>
                <w:b/>
                <w:bCs/>
                <w:sz w:val="24"/>
                <w:szCs w:val="24"/>
                <w:lang w:eastAsia="lv-LV"/>
              </w:rPr>
            </w:pPr>
            <w:r>
              <w:rPr>
                <w:rFonts w:ascii="Times New Roman" w:eastAsia="Times New Roman" w:hAnsi="Times New Roman"/>
                <w:b/>
                <w:sz w:val="24"/>
                <w:szCs w:val="24"/>
                <w:lang w:eastAsia="lv-LV"/>
              </w:rPr>
              <w:t>S</w:t>
            </w:r>
            <w:r w:rsidR="04C0BC5C" w:rsidRPr="006579FD">
              <w:rPr>
                <w:rFonts w:ascii="Times New Roman" w:eastAsia="Times New Roman" w:hAnsi="Times New Roman"/>
                <w:b/>
                <w:sz w:val="24"/>
                <w:szCs w:val="24"/>
                <w:lang w:eastAsia="lv-LV"/>
              </w:rPr>
              <w:t>katīt izziņas 7.punktu</w:t>
            </w:r>
            <w:r>
              <w:rPr>
                <w:rFonts w:ascii="Times New Roman" w:eastAsia="Times New Roman" w:hAnsi="Times New Roman"/>
                <w:b/>
                <w:sz w:val="24"/>
                <w:szCs w:val="24"/>
                <w:lang w:eastAsia="lv-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645FAF8" w14:textId="77777777" w:rsidR="000F7F3B" w:rsidRPr="004A3591" w:rsidRDefault="000F7F3B" w:rsidP="00FD4855">
            <w:pPr>
              <w:spacing w:after="0" w:line="240" w:lineRule="auto"/>
              <w:jc w:val="both"/>
              <w:rPr>
                <w:rFonts w:ascii="Times New Roman" w:eastAsia="Times New Roman" w:hAnsi="Times New Roman"/>
                <w:bCs/>
                <w:sz w:val="24"/>
                <w:szCs w:val="24"/>
                <w:lang w:eastAsia="lv-LV"/>
              </w:rPr>
            </w:pPr>
          </w:p>
        </w:tc>
        <w:tc>
          <w:tcPr>
            <w:tcW w:w="3218" w:type="dxa"/>
            <w:gridSpan w:val="3"/>
          </w:tcPr>
          <w:p w14:paraId="75B9F8EC" w14:textId="77777777" w:rsidR="000F7F3B" w:rsidRDefault="000F7F3B"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7A8F673F" w14:textId="77777777" w:rsidR="000F7F3B" w:rsidRDefault="000F7F3B"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6A78E348" w14:textId="77777777" w:rsidR="000F7F3B" w:rsidRDefault="000F7F3B" w:rsidP="00FD4855">
            <w:pPr>
              <w:spacing w:after="0" w:line="240" w:lineRule="auto"/>
              <w:jc w:val="both"/>
              <w:rPr>
                <w:rFonts w:ascii="Times New Roman" w:eastAsia="Times New Roman" w:hAnsi="Times New Roman"/>
                <w:bCs/>
                <w:sz w:val="24"/>
                <w:szCs w:val="24"/>
                <w:lang w:eastAsia="lv-LV"/>
              </w:rPr>
            </w:pPr>
          </w:p>
        </w:tc>
      </w:tr>
      <w:tr w:rsidR="000F7F3B" w14:paraId="78C040A4" w14:textId="77777777" w:rsidTr="04C0BC5C">
        <w:trPr>
          <w:gridAfter w:val="1"/>
          <w:wAfter w:w="56" w:type="dxa"/>
        </w:trPr>
        <w:tc>
          <w:tcPr>
            <w:tcW w:w="40" w:type="dxa"/>
            <w:tcBorders>
              <w:right w:val="single" w:sz="4" w:space="0" w:color="auto"/>
            </w:tcBorders>
          </w:tcPr>
          <w:p w14:paraId="262C483D" w14:textId="77777777" w:rsidR="000F7F3B" w:rsidRDefault="000F7F3B"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BDC09C1" w14:textId="5CE70D54" w:rsidR="000F7F3B" w:rsidRPr="00814BC2" w:rsidRDefault="00814BC2" w:rsidP="0025486C">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1</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9D2B5E" w14:textId="4818FCF0" w:rsidR="04C0BC5C" w:rsidRDefault="04C0BC5C" w:rsidP="04C0BC5C">
            <w:pPr>
              <w:spacing w:after="0" w:line="240" w:lineRule="auto"/>
              <w:ind w:right="108"/>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Anotācijas I sadaļas 2.punkts </w:t>
            </w:r>
          </w:p>
          <w:p w14:paraId="31909E16" w14:textId="77777777" w:rsidR="000F7F3B" w:rsidRPr="00F535F6" w:rsidRDefault="000F7F3B" w:rsidP="000F7F3B">
            <w:pPr>
              <w:spacing w:after="0" w:line="240" w:lineRule="auto"/>
              <w:ind w:right="108"/>
              <w:jc w:val="both"/>
              <w:rPr>
                <w:rFonts w:ascii="Times New Roman" w:eastAsia="Times New Roman" w:hAnsi="Times New Roman"/>
                <w:sz w:val="24"/>
                <w:szCs w:val="24"/>
                <w:lang w:eastAsia="lv-LV"/>
              </w:rPr>
            </w:pPr>
            <w:r w:rsidRPr="00F535F6">
              <w:rPr>
                <w:rFonts w:ascii="Times New Roman" w:eastAsia="Times New Roman" w:hAnsi="Times New Roman"/>
                <w:sz w:val="24"/>
                <w:szCs w:val="24"/>
                <w:lang w:eastAsia="lv-LV"/>
              </w:rPr>
              <w:t>Koledža īsteno  pirmā līmeņa profesionālās augstākās izglītības programmas:</w:t>
            </w:r>
          </w:p>
          <w:p w14:paraId="140D7E1F" w14:textId="77777777" w:rsidR="000F7F3B" w:rsidRPr="00F535F6" w:rsidRDefault="000F7F3B" w:rsidP="000F7F3B">
            <w:pPr>
              <w:numPr>
                <w:ilvl w:val="0"/>
                <w:numId w:val="5"/>
              </w:numPr>
              <w:tabs>
                <w:tab w:val="clear" w:pos="720"/>
              </w:tabs>
              <w:suppressAutoHyphens w:val="0"/>
              <w:autoSpaceDN/>
              <w:spacing w:after="0" w:line="240" w:lineRule="auto"/>
              <w:ind w:left="0" w:firstLine="0"/>
              <w:textAlignment w:val="auto"/>
              <w:rPr>
                <w:rFonts w:ascii="Times New Roman" w:hAnsi="Times New Roman"/>
                <w:sz w:val="24"/>
                <w:szCs w:val="24"/>
              </w:rPr>
            </w:pPr>
            <w:r w:rsidRPr="00F535F6">
              <w:rPr>
                <w:rFonts w:ascii="Times New Roman" w:eastAsia="Times New Roman" w:hAnsi="Times New Roman"/>
                <w:sz w:val="24"/>
                <w:szCs w:val="24"/>
                <w:lang w:eastAsia="lv-LV"/>
              </w:rPr>
              <w:t>-</w:t>
            </w:r>
            <w:r w:rsidRPr="00F535F6">
              <w:rPr>
                <w:rFonts w:ascii="Times New Roman" w:hAnsi="Times New Roman"/>
                <w:sz w:val="24"/>
                <w:szCs w:val="24"/>
              </w:rPr>
              <w:t xml:space="preserve">"Autotransports "  (NEPs vēlas jaunu saturu un kvalifikāciju) </w:t>
            </w:r>
          </w:p>
          <w:p w14:paraId="64AC33B7" w14:textId="77777777" w:rsidR="000F7F3B" w:rsidRDefault="000F7F3B" w:rsidP="000F7F3B">
            <w:pPr>
              <w:numPr>
                <w:ilvl w:val="0"/>
                <w:numId w:val="5"/>
              </w:numPr>
              <w:tabs>
                <w:tab w:val="clear" w:pos="720"/>
              </w:tabs>
              <w:suppressAutoHyphens w:val="0"/>
              <w:autoSpaceDN/>
              <w:spacing w:line="240" w:lineRule="auto"/>
              <w:ind w:left="0" w:firstLine="0"/>
              <w:textAlignment w:val="auto"/>
              <w:rPr>
                <w:rFonts w:ascii="Times New Roman" w:hAnsi="Times New Roman"/>
                <w:sz w:val="24"/>
                <w:szCs w:val="24"/>
              </w:rPr>
            </w:pPr>
            <w:r w:rsidRPr="00F535F6">
              <w:rPr>
                <w:rFonts w:ascii="Times New Roman" w:hAnsi="Times New Roman"/>
                <w:sz w:val="24"/>
                <w:szCs w:val="24"/>
              </w:rPr>
              <w:t>"Uzņēmējdarbība lauksaimniecībā" (nosaukums būs atkarīgs no lauksaimnieku NEPa)</w:t>
            </w:r>
          </w:p>
          <w:p w14:paraId="136EF06E" w14:textId="77777777" w:rsidR="000F7F3B" w:rsidRPr="008600CC" w:rsidRDefault="000F7F3B" w:rsidP="00814BC2">
            <w:pPr>
              <w:spacing w:line="242" w:lineRule="auto"/>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9D7B04" w14:textId="77777777" w:rsidR="006753DA" w:rsidRDefault="006753DA" w:rsidP="006753DA">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t>Zemkopības ministrijas 18.06.2021. atzinums</w:t>
            </w:r>
          </w:p>
          <w:p w14:paraId="0D08C82F" w14:textId="1091635C" w:rsidR="000F7F3B" w:rsidRPr="006753DA" w:rsidRDefault="000F7F3B" w:rsidP="006753DA">
            <w:pPr>
              <w:pStyle w:val="ListParagraph"/>
              <w:ind w:left="0"/>
              <w:jc w:val="both"/>
              <w:rPr>
                <w:rFonts w:ascii="Times New Roman" w:eastAsia="Times New Roman" w:hAnsi="Times New Roman"/>
                <w:b/>
                <w:bCs/>
                <w:sz w:val="24"/>
                <w:szCs w:val="24"/>
              </w:rPr>
            </w:pPr>
            <w:r w:rsidRPr="002A1384">
              <w:rPr>
                <w:rFonts w:ascii="Times New Roman" w:eastAsia="Times New Roman" w:hAnsi="Times New Roman"/>
                <w:sz w:val="24"/>
                <w:szCs w:val="24"/>
              </w:rPr>
              <w:t xml:space="preserve">Anotācijas I sadaļas 2. punktā (1.lpp) precizēt redakciju sekojoši: </w:t>
            </w:r>
          </w:p>
          <w:p w14:paraId="4D5FD44B"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“Koledža īsteno  pirmā līmeņa profesionālās augstākās izglītības programmas:</w:t>
            </w:r>
          </w:p>
          <w:p w14:paraId="70601EFB" w14:textId="77777777"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 xml:space="preserve">1. "Autotransports "  (Metālapstrādes, mašīnbūves un mašīnzinību NEP vēlas jaunu kvalifikāciju) </w:t>
            </w:r>
          </w:p>
          <w:p w14:paraId="220A7219" w14:textId="329165F1" w:rsidR="000F7F3B" w:rsidRPr="000F7F3B" w:rsidRDefault="000F7F3B" w:rsidP="000F7F3B">
            <w:pPr>
              <w:widowControl w:val="0"/>
              <w:spacing w:after="0" w:line="240" w:lineRule="auto"/>
              <w:jc w:val="both"/>
              <w:rPr>
                <w:rFonts w:ascii="Times New Roman" w:eastAsia="Times New Roman" w:hAnsi="Times New Roman"/>
                <w:sz w:val="24"/>
                <w:szCs w:val="24"/>
              </w:rPr>
            </w:pPr>
            <w:r w:rsidRPr="000F7F3B">
              <w:rPr>
                <w:rFonts w:ascii="Times New Roman" w:eastAsia="Times New Roman" w:hAnsi="Times New Roman"/>
                <w:sz w:val="24"/>
                <w:szCs w:val="24"/>
              </w:rPr>
              <w:t>2. "Uzņēmējdarbība lauksaimniecībā" (nosaukums būs atkarīgs no Pārtikas rūpniecības un lauksaimniecības NEP lēmuma). ”</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B0E539" w14:textId="77777777" w:rsidR="000F7F3B" w:rsidRDefault="000F7F3B"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05C7DD29" w14:textId="51569C5D" w:rsidR="006579FD" w:rsidRDefault="006579FD" w:rsidP="006579FD">
            <w:pPr>
              <w:spacing w:after="0" w:line="240" w:lineRule="auto"/>
              <w:jc w:val="both"/>
              <w:rPr>
                <w:rFonts w:ascii="Times New Roman" w:eastAsia="Times New Roman" w:hAnsi="Times New Roman"/>
                <w:b/>
                <w:sz w:val="24"/>
                <w:szCs w:val="24"/>
                <w:lang w:eastAsia="lv-LV"/>
              </w:rPr>
            </w:pPr>
            <w:r w:rsidRPr="04C0BC5C">
              <w:rPr>
                <w:rFonts w:ascii="Times New Roman" w:eastAsia="Times New Roman" w:hAnsi="Times New Roman"/>
                <w:sz w:val="24"/>
                <w:szCs w:val="24"/>
              </w:rPr>
              <w:t>Anotācijas I sadaļas 2. punkts (1.lpp) precizēts teksts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6C16A8" w14:textId="77777777" w:rsidR="000F7F3B" w:rsidRPr="00BD1DFD" w:rsidRDefault="000F7F3B" w:rsidP="000F7F3B">
            <w:pPr>
              <w:widowControl w:val="0"/>
              <w:spacing w:after="0" w:line="240" w:lineRule="auto"/>
              <w:jc w:val="both"/>
              <w:rPr>
                <w:rFonts w:ascii="Times New Roman" w:eastAsia="Times New Roman" w:hAnsi="Times New Roman"/>
                <w:sz w:val="24"/>
                <w:szCs w:val="24"/>
              </w:rPr>
            </w:pPr>
            <w:r w:rsidRPr="00BD1DFD">
              <w:rPr>
                <w:rFonts w:ascii="Times New Roman" w:eastAsia="Times New Roman" w:hAnsi="Times New Roman"/>
                <w:sz w:val="24"/>
                <w:szCs w:val="24"/>
              </w:rPr>
              <w:t>Koledža īsteno  pirmā līmeņa profesionālās augstākās izglītības programmas:</w:t>
            </w:r>
          </w:p>
          <w:p w14:paraId="34ADD8AA" w14:textId="77777777" w:rsidR="000F7F3B" w:rsidRPr="00BD1DFD" w:rsidRDefault="000F7F3B" w:rsidP="000F7F3B">
            <w:pPr>
              <w:widowControl w:val="0"/>
              <w:spacing w:after="0" w:line="240" w:lineRule="auto"/>
              <w:jc w:val="both"/>
              <w:rPr>
                <w:rFonts w:ascii="Times New Roman" w:eastAsia="Times New Roman" w:hAnsi="Times New Roman"/>
                <w:sz w:val="24"/>
                <w:szCs w:val="24"/>
              </w:rPr>
            </w:pPr>
            <w:r w:rsidRPr="00BD1DFD">
              <w:rPr>
                <w:rFonts w:ascii="Times New Roman" w:eastAsia="Times New Roman" w:hAnsi="Times New Roman"/>
                <w:sz w:val="24"/>
                <w:szCs w:val="24"/>
              </w:rPr>
              <w:t xml:space="preserve">1. "Autotransports "  (Metālapstrādes, mašīnbūves un mašīnzinību NEP vēlas jaunu kvalifikāciju) </w:t>
            </w:r>
          </w:p>
          <w:p w14:paraId="5F7C2A96" w14:textId="0C5DBCFD" w:rsidR="000F7F3B" w:rsidRPr="00BD1DFD" w:rsidRDefault="000F7F3B" w:rsidP="000F7F3B">
            <w:pPr>
              <w:spacing w:after="0" w:line="240" w:lineRule="auto"/>
              <w:jc w:val="both"/>
              <w:rPr>
                <w:rFonts w:ascii="Times New Roman" w:eastAsia="Times New Roman" w:hAnsi="Times New Roman"/>
                <w:bCs/>
                <w:sz w:val="24"/>
                <w:szCs w:val="24"/>
                <w:lang w:eastAsia="lv-LV"/>
              </w:rPr>
            </w:pPr>
            <w:r w:rsidRPr="00BD1DFD">
              <w:rPr>
                <w:rFonts w:ascii="Times New Roman" w:eastAsia="Times New Roman" w:hAnsi="Times New Roman"/>
                <w:sz w:val="24"/>
                <w:szCs w:val="24"/>
              </w:rPr>
              <w:t>2. "Uzņēmējdarbība lauksaimniecībā" (nosaukums būs atkarīgs no Pārtikas rūpniecības un lauksaimniecības NEP lēmuma).</w:t>
            </w:r>
          </w:p>
        </w:tc>
        <w:tc>
          <w:tcPr>
            <w:tcW w:w="3218" w:type="dxa"/>
            <w:gridSpan w:val="3"/>
          </w:tcPr>
          <w:p w14:paraId="397A9B47" w14:textId="77777777" w:rsidR="000F7F3B" w:rsidRDefault="000F7F3B"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2FA3C404" w14:textId="77777777" w:rsidR="000F7F3B" w:rsidRDefault="000F7F3B"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8A3A366" w14:textId="77777777" w:rsidR="000F7F3B" w:rsidRDefault="000F7F3B" w:rsidP="00FD4855">
            <w:pPr>
              <w:spacing w:after="0" w:line="240" w:lineRule="auto"/>
              <w:jc w:val="both"/>
              <w:rPr>
                <w:rFonts w:ascii="Times New Roman" w:eastAsia="Times New Roman" w:hAnsi="Times New Roman"/>
                <w:bCs/>
                <w:sz w:val="24"/>
                <w:szCs w:val="24"/>
                <w:lang w:eastAsia="lv-LV"/>
              </w:rPr>
            </w:pPr>
          </w:p>
        </w:tc>
      </w:tr>
      <w:tr w:rsidR="006753DA" w14:paraId="6E271121" w14:textId="77777777" w:rsidTr="04C0BC5C">
        <w:trPr>
          <w:gridAfter w:val="1"/>
          <w:wAfter w:w="56" w:type="dxa"/>
        </w:trPr>
        <w:tc>
          <w:tcPr>
            <w:tcW w:w="40" w:type="dxa"/>
            <w:tcBorders>
              <w:right w:val="single" w:sz="4" w:space="0" w:color="auto"/>
            </w:tcBorders>
          </w:tcPr>
          <w:p w14:paraId="4B03384B" w14:textId="77777777" w:rsidR="006753DA" w:rsidRDefault="006753D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936F16" w14:textId="3015B43E" w:rsidR="006753DA" w:rsidRPr="00814BC2" w:rsidRDefault="0025486C" w:rsidP="003B1ECE">
            <w:pPr>
              <w:spacing w:after="0" w:line="240" w:lineRule="auto"/>
              <w:ind w:firstLine="5"/>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12</w:t>
            </w:r>
            <w:r w:rsidR="00814BC2"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C0DF83" w14:textId="57D5A211" w:rsidR="04C0BC5C" w:rsidRDefault="04C0BC5C" w:rsidP="04C0BC5C">
            <w:pPr>
              <w:pStyle w:val="NormalWeb"/>
              <w:shd w:val="clear" w:color="auto" w:fill="FFFFFF" w:themeFill="background1"/>
              <w:spacing w:after="0" w:line="240" w:lineRule="auto"/>
              <w:ind w:right="108"/>
              <w:jc w:val="both"/>
              <w:rPr>
                <w:rFonts w:eastAsia="Times New Roman"/>
                <w:lang w:eastAsia="lv-LV"/>
              </w:rPr>
            </w:pPr>
            <w:r w:rsidRPr="04C0BC5C">
              <w:rPr>
                <w:rFonts w:eastAsia="Times New Roman"/>
                <w:lang w:eastAsia="lv-LV"/>
              </w:rPr>
              <w:t>Anotācijas I sadaļas 2.punkts</w:t>
            </w:r>
          </w:p>
          <w:p w14:paraId="141970AB" w14:textId="2CB791C1" w:rsidR="006753DA" w:rsidRPr="008600CC" w:rsidRDefault="006753DA" w:rsidP="006753DA">
            <w:pPr>
              <w:pStyle w:val="NormalWeb"/>
              <w:shd w:val="clear" w:color="auto" w:fill="FFFFFF"/>
              <w:spacing w:after="0" w:line="240" w:lineRule="auto"/>
              <w:ind w:right="108"/>
              <w:jc w:val="both"/>
              <w:rPr>
                <w:b/>
                <w:lang w:eastAsia="lv-LV"/>
              </w:rPr>
            </w:pPr>
            <w:r w:rsidRPr="00F535F6">
              <w:rPr>
                <w:rFonts w:eastAsia="Times New Roman"/>
                <w:lang w:eastAsia="lv-LV"/>
              </w:rPr>
              <w:t xml:space="preserve">[6] </w:t>
            </w:r>
            <w:r w:rsidRPr="00F535F6">
              <w:t xml:space="preserve">Projekts paredz </w:t>
            </w:r>
            <w:r w:rsidRPr="00F535F6">
              <w:rPr>
                <w:rFonts w:eastAsia="Times New Roman"/>
                <w:lang w:eastAsia="lv-LV"/>
              </w:rPr>
              <w:t>ministrijai sagatavot un izglītības un zinātnes ministram līdz 2021.gada 1</w:t>
            </w:r>
            <w:r>
              <w:rPr>
                <w:rFonts w:eastAsia="Times New Roman"/>
                <w:lang w:eastAsia="lv-LV"/>
              </w:rPr>
              <w:t>.novem</w:t>
            </w:r>
            <w:r w:rsidRPr="00F535F6">
              <w:rPr>
                <w:rFonts w:eastAsia="Times New Roman"/>
                <w:lang w:eastAsia="lv-LV"/>
              </w:rPr>
              <w:t>b</w:t>
            </w:r>
            <w:r>
              <w:rPr>
                <w:rFonts w:eastAsia="Times New Roman"/>
                <w:lang w:eastAsia="lv-LV"/>
              </w:rPr>
              <w:t>r</w:t>
            </w:r>
            <w:r w:rsidRPr="00F535F6">
              <w:rPr>
                <w:rFonts w:eastAsia="Times New Roman"/>
                <w:lang w:eastAsia="lv-LV"/>
              </w:rPr>
              <w:t>im</w:t>
            </w:r>
            <w:r>
              <w:rPr>
                <w:rFonts w:eastAsia="Times New Roman"/>
                <w:lang w:eastAsia="lv-LV"/>
              </w:rPr>
              <w:t xml:space="preserve"> </w:t>
            </w:r>
            <w:r w:rsidRPr="00F535F6">
              <w:rPr>
                <w:rFonts w:eastAsia="Times New Roman"/>
                <w:lang w:eastAsia="lv-LV"/>
              </w:rPr>
              <w:t xml:space="preserve">iesniegt Ministru kabinetā ar koledžas reorganizāciju saistītos tiesību aktu projektus, proti, Ministru kabineta noteikumu projektus par grozījumiem Ministru kabineta 2006.gada 9.maija </w:t>
            </w:r>
            <w:r w:rsidRPr="00F535F6">
              <w:rPr>
                <w:rFonts w:eastAsia="Times New Roman"/>
                <w:lang w:eastAsia="lv-LV"/>
              </w:rPr>
              <w:lastRenderedPageBreak/>
              <w:t xml:space="preserve">noteikumos  Nr.367 “Malnavas koledžas nolikums” un Ministru kabineta 2013.gada 17.septembra noteikumos Nr.171 “Izglītības un zinātnes ministrijas padotībā esošo koledžu maksas pakalpojumu cenrādis” </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86F34" w14:textId="77777777" w:rsidR="006753DA" w:rsidRDefault="006753DA" w:rsidP="006753DA">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lastRenderedPageBreak/>
              <w:t>Zemkopības ministrijas 18.06.2021. atzinums</w:t>
            </w:r>
          </w:p>
          <w:p w14:paraId="6BC90C4E" w14:textId="62FB212F" w:rsidR="006753DA" w:rsidRPr="002A1384" w:rsidRDefault="04C0BC5C" w:rsidP="04C0BC5C">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Anotācijas I sadaļas 2. punktā “Pašreizējā situācija un problēmas, kuru risināšanai tiesību akta projekts izstrādāts, tiesiskā regulējuma mērķis un būtība”, lūdzam precizēt, vai papildināt 4.1. punktu, izsakot to  sekojoši: </w:t>
            </w:r>
          </w:p>
          <w:p w14:paraId="2F040326" w14:textId="51312D1D" w:rsidR="006753DA" w:rsidRPr="00814BC2" w:rsidRDefault="006753DA" w:rsidP="00814BC2">
            <w:pPr>
              <w:pStyle w:val="ListParagraph"/>
              <w:ind w:left="0" w:hanging="22"/>
              <w:jc w:val="both"/>
              <w:rPr>
                <w:rFonts w:ascii="Times New Roman" w:eastAsia="Times New Roman" w:hAnsi="Times New Roman"/>
                <w:sz w:val="24"/>
                <w:szCs w:val="24"/>
                <w:lang w:eastAsia="lv-LV"/>
              </w:rPr>
            </w:pPr>
            <w:r w:rsidRPr="002A1384">
              <w:rPr>
                <w:rFonts w:ascii="Times New Roman" w:eastAsia="Times New Roman" w:hAnsi="Times New Roman"/>
                <w:sz w:val="24"/>
                <w:szCs w:val="24"/>
                <w:lang w:eastAsia="lv-LV"/>
              </w:rPr>
              <w:t xml:space="preserve">[6] </w:t>
            </w:r>
            <w:r w:rsidRPr="002A1384">
              <w:rPr>
                <w:rFonts w:ascii="Times New Roman" w:eastAsia="Times New Roman" w:hAnsi="Times New Roman"/>
                <w:sz w:val="24"/>
                <w:szCs w:val="24"/>
              </w:rPr>
              <w:t xml:space="preserve">Projekts paredz </w:t>
            </w:r>
            <w:r w:rsidRPr="002A1384">
              <w:rPr>
                <w:rFonts w:ascii="Times New Roman" w:eastAsia="Times New Roman" w:hAnsi="Times New Roman"/>
                <w:sz w:val="24"/>
                <w:szCs w:val="24"/>
                <w:lang w:eastAsia="lv-LV"/>
              </w:rPr>
              <w:t xml:space="preserve">ministrijai sagatavot un izglītības un zinātnes ministram līdz 2021.gada 1.novembrim iesniegt Ministru kabinetā ar koledžas reorganizāciju saistītos tiesību aktu projektus, proti, Ministru kabineta noteikumu projektus par grozījumiem Ministru kabineta 2006.gada </w:t>
            </w:r>
            <w:r w:rsidRPr="002A1384">
              <w:rPr>
                <w:rFonts w:ascii="Times New Roman" w:eastAsia="Times New Roman" w:hAnsi="Times New Roman"/>
                <w:sz w:val="24"/>
                <w:szCs w:val="24"/>
                <w:lang w:eastAsia="lv-LV"/>
              </w:rPr>
              <w:lastRenderedPageBreak/>
              <w:t xml:space="preserve">9.maija noteikumos  Nr.367 “Malnavas koledžas nolikums” un Ministru kabineta </w:t>
            </w:r>
            <w:r w:rsidRPr="006753DA">
              <w:rPr>
                <w:rFonts w:ascii="Times New Roman" w:eastAsia="Times New Roman" w:hAnsi="Times New Roman"/>
                <w:sz w:val="24"/>
                <w:szCs w:val="24"/>
                <w:lang w:eastAsia="lv-LV"/>
              </w:rPr>
              <w:t>2021. gada 18. marta</w:t>
            </w:r>
            <w:r w:rsidRPr="002A1384">
              <w:rPr>
                <w:rFonts w:ascii="Times New Roman" w:eastAsia="Times New Roman" w:hAnsi="Times New Roman"/>
                <w:sz w:val="24"/>
                <w:szCs w:val="24"/>
              </w:rPr>
              <w:t xml:space="preserve"> </w:t>
            </w:r>
            <w:r w:rsidRPr="002A1384">
              <w:rPr>
                <w:rFonts w:ascii="Times New Roman" w:eastAsia="Times New Roman" w:hAnsi="Times New Roman"/>
                <w:sz w:val="24"/>
                <w:szCs w:val="24"/>
                <w:lang w:eastAsia="lv-LV"/>
              </w:rPr>
              <w:t xml:space="preserve">noteikumos Nr.171 “Izglītības un zinātnes ministrijas padotībā esošo koledžu maksas pakalpojumu cenrādis” </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61BDA" w14:textId="77777777" w:rsidR="006753DA" w:rsidRDefault="006753DA"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47F99708" w14:textId="2C7AC8EC" w:rsidR="006579FD" w:rsidRDefault="006579FD" w:rsidP="007177AA">
            <w:pPr>
              <w:spacing w:after="0" w:line="240" w:lineRule="auto"/>
              <w:jc w:val="both"/>
              <w:rPr>
                <w:rFonts w:ascii="Times New Roman" w:eastAsia="Times New Roman" w:hAnsi="Times New Roman"/>
                <w:b/>
                <w:sz w:val="24"/>
                <w:szCs w:val="24"/>
                <w:lang w:eastAsia="lv-LV"/>
              </w:rPr>
            </w:pPr>
            <w:r w:rsidRPr="04C0BC5C">
              <w:rPr>
                <w:rFonts w:ascii="Times New Roman" w:eastAsia="Times New Roman" w:hAnsi="Times New Roman"/>
                <w:sz w:val="24"/>
                <w:szCs w:val="24"/>
                <w:lang w:eastAsia="lv-LV"/>
              </w:rPr>
              <w:t>Anotācija</w:t>
            </w:r>
            <w:r>
              <w:rPr>
                <w:rFonts w:ascii="Times New Roman" w:eastAsia="Times New Roman" w:hAnsi="Times New Roman"/>
                <w:sz w:val="24"/>
                <w:szCs w:val="24"/>
                <w:lang w:eastAsia="lv-LV"/>
              </w:rPr>
              <w:t>s I sadaļas 2. punkts precizēts.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23D9A9" w14:textId="6ACC3F82" w:rsidR="006753DA" w:rsidRPr="00BD1DFD" w:rsidRDefault="006753DA" w:rsidP="00257C21">
            <w:pPr>
              <w:pStyle w:val="ListParagraph"/>
              <w:ind w:left="0" w:hanging="22"/>
              <w:jc w:val="both"/>
              <w:rPr>
                <w:rFonts w:ascii="Times New Roman" w:eastAsia="Times New Roman" w:hAnsi="Times New Roman"/>
                <w:sz w:val="24"/>
                <w:szCs w:val="24"/>
                <w:lang w:eastAsia="lv-LV"/>
              </w:rPr>
            </w:pPr>
            <w:r w:rsidRPr="00BD1DFD">
              <w:rPr>
                <w:rFonts w:ascii="Times New Roman" w:eastAsia="Times New Roman" w:hAnsi="Times New Roman"/>
                <w:sz w:val="24"/>
                <w:szCs w:val="24"/>
                <w:lang w:eastAsia="lv-LV"/>
              </w:rPr>
              <w:t xml:space="preserve">[6] </w:t>
            </w:r>
            <w:r w:rsidRPr="00BD1DFD">
              <w:rPr>
                <w:rFonts w:ascii="Times New Roman" w:eastAsia="Times New Roman" w:hAnsi="Times New Roman"/>
                <w:sz w:val="24"/>
                <w:szCs w:val="24"/>
              </w:rPr>
              <w:t xml:space="preserve">Projekts paredz </w:t>
            </w:r>
            <w:r w:rsidRPr="00BD1DFD">
              <w:rPr>
                <w:rFonts w:ascii="Times New Roman" w:eastAsia="Times New Roman" w:hAnsi="Times New Roman"/>
                <w:sz w:val="24"/>
                <w:szCs w:val="24"/>
                <w:lang w:eastAsia="lv-LV"/>
              </w:rPr>
              <w:t xml:space="preserve">ministrijai sagatavot un izglītības un zinātnes ministram līdz 2021.gada 1.novembrim iesniegt Ministru kabinetā ar koledžas reorganizāciju saistītos tiesību aktu projektus, proti, Ministru kabineta noteikumu projektus par grozījumiem Ministru kabineta 2006.gada 9.maija noteikumos  Nr.367 “Malnavas koledžas </w:t>
            </w:r>
            <w:r w:rsidRPr="00BD1DFD">
              <w:rPr>
                <w:rFonts w:ascii="Times New Roman" w:eastAsia="Times New Roman" w:hAnsi="Times New Roman"/>
                <w:sz w:val="24"/>
                <w:szCs w:val="24"/>
                <w:lang w:eastAsia="lv-LV"/>
              </w:rPr>
              <w:lastRenderedPageBreak/>
              <w:t>nolikums” un Ministru kabineta 2021. gada 18. marta</w:t>
            </w:r>
            <w:r w:rsidRPr="00BD1DFD">
              <w:rPr>
                <w:rFonts w:ascii="Times New Roman" w:eastAsia="Times New Roman" w:hAnsi="Times New Roman"/>
                <w:sz w:val="24"/>
                <w:szCs w:val="24"/>
              </w:rPr>
              <w:t xml:space="preserve"> </w:t>
            </w:r>
            <w:r w:rsidRPr="00BD1DFD">
              <w:rPr>
                <w:rFonts w:ascii="Times New Roman" w:eastAsia="Times New Roman" w:hAnsi="Times New Roman"/>
                <w:sz w:val="24"/>
                <w:szCs w:val="24"/>
                <w:lang w:eastAsia="lv-LV"/>
              </w:rPr>
              <w:t xml:space="preserve">noteikumos Nr.171 “Izglītības un zinātnes ministrijas padotībā esošo koledžu maksas pakalpojumu cenrādis” </w:t>
            </w:r>
          </w:p>
        </w:tc>
        <w:tc>
          <w:tcPr>
            <w:tcW w:w="3218" w:type="dxa"/>
            <w:gridSpan w:val="3"/>
          </w:tcPr>
          <w:p w14:paraId="7361F45E" w14:textId="77777777" w:rsidR="006753DA" w:rsidRDefault="006753D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0FE8C166" w14:textId="77777777" w:rsidR="006753DA" w:rsidRDefault="006753D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6F501448" w14:textId="77777777" w:rsidR="006753DA" w:rsidRDefault="006753DA" w:rsidP="00FD4855">
            <w:pPr>
              <w:spacing w:after="0" w:line="240" w:lineRule="auto"/>
              <w:jc w:val="both"/>
              <w:rPr>
                <w:rFonts w:ascii="Times New Roman" w:eastAsia="Times New Roman" w:hAnsi="Times New Roman"/>
                <w:bCs/>
                <w:sz w:val="24"/>
                <w:szCs w:val="24"/>
                <w:lang w:eastAsia="lv-LV"/>
              </w:rPr>
            </w:pPr>
          </w:p>
        </w:tc>
      </w:tr>
      <w:tr w:rsidR="006753DA" w14:paraId="3A8DBE5C" w14:textId="77777777" w:rsidTr="04C0BC5C">
        <w:trPr>
          <w:gridAfter w:val="1"/>
          <w:wAfter w:w="56" w:type="dxa"/>
        </w:trPr>
        <w:tc>
          <w:tcPr>
            <w:tcW w:w="40" w:type="dxa"/>
            <w:tcBorders>
              <w:right w:val="single" w:sz="4" w:space="0" w:color="auto"/>
            </w:tcBorders>
          </w:tcPr>
          <w:p w14:paraId="1E4D430E" w14:textId="77777777" w:rsidR="006753DA" w:rsidRPr="00814BC2" w:rsidRDefault="006753D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5123147" w14:textId="4DF92EA1" w:rsidR="006753DA" w:rsidRPr="00814BC2" w:rsidRDefault="009054BD" w:rsidP="003B1ECE">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3</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3052B3E" w14:textId="53A8CFFE" w:rsidR="04C0BC5C" w:rsidRDefault="04C0BC5C" w:rsidP="04C0BC5C">
            <w:pPr>
              <w:pStyle w:val="NormalWeb"/>
              <w:shd w:val="clear" w:color="auto" w:fill="FFFFFF" w:themeFill="background1"/>
              <w:spacing w:after="0" w:line="240" w:lineRule="auto"/>
              <w:ind w:right="108"/>
              <w:jc w:val="both"/>
              <w:rPr>
                <w:rFonts w:eastAsia="Times New Roman"/>
                <w:lang w:eastAsia="lv-LV"/>
              </w:rPr>
            </w:pPr>
            <w:r w:rsidRPr="04C0BC5C">
              <w:rPr>
                <w:rFonts w:eastAsia="Times New Roman"/>
                <w:lang w:eastAsia="lv-LV"/>
              </w:rPr>
              <w:t>Anotācijas I sadaļas 2. punkts</w:t>
            </w:r>
          </w:p>
          <w:p w14:paraId="75F92551" w14:textId="0213184D" w:rsidR="006753DA" w:rsidRPr="008600CC" w:rsidRDefault="00257C21" w:rsidP="00257C21">
            <w:pPr>
              <w:pStyle w:val="NormalWeb"/>
              <w:shd w:val="clear" w:color="auto" w:fill="FFFFFF"/>
              <w:spacing w:after="0" w:line="240" w:lineRule="auto"/>
              <w:ind w:right="108"/>
              <w:jc w:val="both"/>
              <w:rPr>
                <w:b/>
                <w:lang w:eastAsia="lv-LV"/>
              </w:rPr>
            </w:pPr>
            <w:r w:rsidRPr="00257C21">
              <w:rPr>
                <w:rFonts w:eastAsia="Times New Roman"/>
                <w:lang w:eastAsia="lv-LV"/>
              </w:rPr>
              <w:t>Pamatojoties uz Latvijas Lauksaimniecības universitātes Satversmes (apstiprināta ar 2018.gada 6.marta likumu “Par Latvijas Lauksaimniecības universitātes Satversmi”) 1.4.apakšpunktu un Augstskolu likuma 7.panta pirmo daļu, LLU ir atvasināta publiska persona.</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41E4F53" w14:textId="79D61950" w:rsidR="00257C21" w:rsidRPr="00257C21" w:rsidRDefault="04C0BC5C" w:rsidP="00257C21">
            <w:pPr>
              <w:pStyle w:val="ListParagraph"/>
              <w:ind w:left="0"/>
              <w:jc w:val="both"/>
              <w:rPr>
                <w:rFonts w:ascii="Times New Roman" w:eastAsia="Times New Roman" w:hAnsi="Times New Roman"/>
                <w:b/>
                <w:bCs/>
                <w:sz w:val="24"/>
                <w:szCs w:val="24"/>
              </w:rPr>
            </w:pPr>
            <w:r w:rsidRPr="04C0BC5C">
              <w:rPr>
                <w:rFonts w:ascii="Times New Roman" w:eastAsia="Times New Roman" w:hAnsi="Times New Roman"/>
                <w:b/>
                <w:bCs/>
                <w:sz w:val="24"/>
                <w:szCs w:val="24"/>
              </w:rPr>
              <w:t>Zemkopības ministrijas 18.06.2021. atzinums</w:t>
            </w:r>
          </w:p>
          <w:p w14:paraId="24536C6B" w14:textId="25B56227" w:rsidR="00257C21" w:rsidRPr="00257C21" w:rsidRDefault="04C0BC5C" w:rsidP="04C0BC5C">
            <w:pPr>
              <w:suppressAutoHyphens w:val="0"/>
              <w:autoSpaceDN/>
              <w:spacing w:after="0" w:line="240" w:lineRule="auto"/>
              <w:textAlignment w:val="auto"/>
              <w:rPr>
                <w:sz w:val="24"/>
                <w:szCs w:val="24"/>
                <w:lang w:eastAsia="lv-LV"/>
              </w:rPr>
            </w:pPr>
            <w:r w:rsidRPr="04C0BC5C">
              <w:rPr>
                <w:rFonts w:ascii="Times New Roman" w:eastAsia="Times New Roman" w:hAnsi="Times New Roman"/>
                <w:sz w:val="24"/>
                <w:szCs w:val="24"/>
                <w:lang w:eastAsia="lv-LV"/>
              </w:rPr>
              <w:t xml:space="preserve">Anotācijas I sadaļas 2. punktā “Pašreizējā situācija un problēmas, kuru risināšanai tiesību akta projekts izstrādāts, tiesiskā regulējuma mērķis un būtība”, lūdzam precizēt, vai papildināt 4.2. punktu, izsakot to   vai precizēt redakciju 6.lpp. sekojoši: </w:t>
            </w:r>
          </w:p>
          <w:p w14:paraId="72197AED" w14:textId="32DD9CB9" w:rsidR="006753DA" w:rsidRDefault="04C0BC5C" w:rsidP="04C0BC5C">
            <w:pPr>
              <w:widowControl w:val="0"/>
              <w:spacing w:after="0" w:line="240" w:lineRule="auto"/>
              <w:jc w:val="both"/>
              <w:rPr>
                <w:rFonts w:ascii="Times New Roman" w:eastAsia="Times New Roman" w:hAnsi="Times New Roman"/>
                <w:b/>
                <w:bCs/>
                <w:sz w:val="24"/>
                <w:szCs w:val="24"/>
                <w:lang w:eastAsia="lv-LV"/>
              </w:rPr>
            </w:pPr>
            <w:r w:rsidRPr="04C0BC5C">
              <w:rPr>
                <w:rFonts w:ascii="Times New Roman" w:eastAsia="Times New Roman" w:hAnsi="Times New Roman"/>
                <w:sz w:val="24"/>
                <w:szCs w:val="24"/>
                <w:lang w:eastAsia="lv-LV"/>
              </w:rPr>
              <w:t>“Pamatojoties uz Latvijas Lauksaimniecības universitātes Satversmes (apstiprināta ar 1998.gada 18.februāra likumu “Par Latvijas Lauksaimniecības universitātes Satversmi”) 1.4.apakšpunktu un Augstskolu likuma 7.panta pirmo daļu, LLU ir atvasināta publiska persona.”</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D131844" w14:textId="77777777" w:rsidR="006753DA" w:rsidRDefault="00257C21"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568DC285" w14:textId="2096BAAD" w:rsidR="007177AA" w:rsidRDefault="007177AA" w:rsidP="007177AA">
            <w:pPr>
              <w:spacing w:after="0" w:line="240" w:lineRule="auto"/>
              <w:jc w:val="both"/>
              <w:rPr>
                <w:rFonts w:ascii="Times New Roman" w:eastAsia="Times New Roman" w:hAnsi="Times New Roman"/>
                <w:b/>
                <w:sz w:val="24"/>
                <w:szCs w:val="24"/>
                <w:lang w:eastAsia="lv-LV"/>
              </w:rPr>
            </w:pPr>
            <w:r w:rsidRPr="04C0BC5C">
              <w:rPr>
                <w:rFonts w:ascii="Times New Roman" w:eastAsia="Times New Roman" w:hAnsi="Times New Roman"/>
                <w:sz w:val="24"/>
                <w:szCs w:val="24"/>
                <w:lang w:eastAsia="lv-LV"/>
              </w:rPr>
              <w:t>Anotācijas I sadaļas 2.punkts precizēts</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C3BDD" w14:textId="7F963DD4" w:rsidR="006753DA" w:rsidRPr="00BD1DFD" w:rsidRDefault="001E0293" w:rsidP="00FD4855">
            <w:pPr>
              <w:spacing w:after="0" w:line="240" w:lineRule="auto"/>
              <w:jc w:val="both"/>
              <w:rPr>
                <w:rFonts w:ascii="Times New Roman" w:eastAsia="Times New Roman" w:hAnsi="Times New Roman"/>
                <w:bCs/>
                <w:sz w:val="24"/>
                <w:szCs w:val="24"/>
                <w:lang w:eastAsia="lv-LV"/>
              </w:rPr>
            </w:pPr>
            <w:r w:rsidRPr="00BD1DFD">
              <w:rPr>
                <w:rFonts w:ascii="Times New Roman" w:eastAsia="Times New Roman" w:hAnsi="Times New Roman"/>
                <w:sz w:val="24"/>
                <w:szCs w:val="24"/>
                <w:lang w:eastAsia="lv-LV"/>
              </w:rPr>
              <w:t>Pamatojoties uz Latvijas Lauksaimniecības</w:t>
            </w:r>
            <w:r w:rsidRPr="00BD1DFD">
              <w:rPr>
                <w:rFonts w:ascii="Times New Roman" w:eastAsia="Times New Roman" w:hAnsi="Times New Roman"/>
                <w:sz w:val="24"/>
                <w:szCs w:val="24"/>
              </w:rPr>
              <w:t xml:space="preserve"> universitātes Satversmes (apstiprināta ar </w:t>
            </w:r>
            <w:r w:rsidRPr="00BD1DFD">
              <w:rPr>
                <w:rFonts w:ascii="Times New Roman" w:eastAsia="Times New Roman" w:hAnsi="Times New Roman"/>
                <w:sz w:val="24"/>
                <w:szCs w:val="24"/>
                <w:lang w:eastAsia="lv-LV"/>
              </w:rPr>
              <w:t>1998.gada 18.februāra</w:t>
            </w:r>
            <w:r w:rsidRPr="00BD1DFD">
              <w:rPr>
                <w:rFonts w:ascii="Times New Roman" w:eastAsia="Times New Roman" w:hAnsi="Times New Roman"/>
                <w:sz w:val="24"/>
                <w:szCs w:val="24"/>
              </w:rPr>
              <w:t xml:space="preserve"> likumu “Par Latvijas Lauksaimniecības universitātes Satversmi” ) 1.4.apakšpunktu un Augstskolu likuma 7.panta pirmo daļu, LLU ir atvasināta publiska persona.</w:t>
            </w:r>
          </w:p>
        </w:tc>
        <w:tc>
          <w:tcPr>
            <w:tcW w:w="3218" w:type="dxa"/>
            <w:gridSpan w:val="3"/>
          </w:tcPr>
          <w:p w14:paraId="2E415511" w14:textId="77777777" w:rsidR="006753DA" w:rsidRDefault="006753D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1B694778" w14:textId="77777777" w:rsidR="006753DA" w:rsidRDefault="006753D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0E7755A" w14:textId="77777777" w:rsidR="006753DA" w:rsidRDefault="006753DA" w:rsidP="00FD4855">
            <w:pPr>
              <w:spacing w:after="0" w:line="240" w:lineRule="auto"/>
              <w:jc w:val="both"/>
              <w:rPr>
                <w:rFonts w:ascii="Times New Roman" w:eastAsia="Times New Roman" w:hAnsi="Times New Roman"/>
                <w:bCs/>
                <w:sz w:val="24"/>
                <w:szCs w:val="24"/>
                <w:lang w:eastAsia="lv-LV"/>
              </w:rPr>
            </w:pPr>
          </w:p>
        </w:tc>
      </w:tr>
      <w:tr w:rsidR="007177AA" w14:paraId="231E9B94" w14:textId="77777777" w:rsidTr="04C0BC5C">
        <w:trPr>
          <w:gridAfter w:val="1"/>
          <w:wAfter w:w="56" w:type="dxa"/>
        </w:trPr>
        <w:tc>
          <w:tcPr>
            <w:tcW w:w="40" w:type="dxa"/>
            <w:tcBorders>
              <w:right w:val="single" w:sz="4" w:space="0" w:color="auto"/>
            </w:tcBorders>
          </w:tcPr>
          <w:p w14:paraId="644217FE"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69F481C" w14:textId="5B4F66DD" w:rsidR="007177AA" w:rsidRPr="00814BC2" w:rsidRDefault="0025486C" w:rsidP="003B1ECE">
            <w:pPr>
              <w:spacing w:after="0" w:line="240" w:lineRule="auto"/>
              <w:ind w:firstLine="5"/>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14</w:t>
            </w:r>
            <w:r w:rsidR="007177AA"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7EF699" w14:textId="248DE1D4" w:rsidR="007177AA" w:rsidRDefault="007177AA" w:rsidP="04C0BC5C">
            <w:pPr>
              <w:pStyle w:val="NormalWeb"/>
              <w:shd w:val="clear" w:color="auto" w:fill="FFFFFF" w:themeFill="background1"/>
              <w:spacing w:after="0" w:line="240" w:lineRule="auto"/>
              <w:jc w:val="both"/>
              <w:rPr>
                <w:rFonts w:eastAsia="Times New Roman"/>
                <w:lang w:eastAsia="lv-LV"/>
              </w:rPr>
            </w:pPr>
            <w:r w:rsidRPr="04C0BC5C">
              <w:rPr>
                <w:rFonts w:eastAsia="Times New Roman"/>
                <w:lang w:eastAsia="lv-LV"/>
              </w:rPr>
              <w:t>Anotācijas I sadaļas 2. punkts</w:t>
            </w:r>
          </w:p>
          <w:p w14:paraId="4E3C829D" w14:textId="77777777" w:rsidR="007177AA" w:rsidRPr="00F535F6" w:rsidRDefault="007177AA" w:rsidP="001E0293">
            <w:pPr>
              <w:pStyle w:val="NormalWeb"/>
              <w:shd w:val="clear" w:color="auto" w:fill="FFFFFF"/>
              <w:spacing w:after="0" w:line="240" w:lineRule="auto"/>
              <w:jc w:val="both"/>
              <w:rPr>
                <w:rFonts w:eastAsia="Times New Roman"/>
                <w:lang w:eastAsia="lv-LV"/>
              </w:rPr>
            </w:pPr>
            <w:r w:rsidRPr="00F535F6">
              <w:rPr>
                <w:rFonts w:eastAsia="Times New Roman"/>
                <w:lang w:eastAsia="lv-LV"/>
              </w:rPr>
              <w:t>Pēc reorganizācijas LLU pārņem saistības, ko koledža uzņēmusies darbības programmas ….</w:t>
            </w:r>
          </w:p>
          <w:p w14:paraId="379E3609" w14:textId="77777777" w:rsidR="007177AA" w:rsidRPr="008600CC" w:rsidRDefault="007177AA" w:rsidP="008600CC">
            <w:pPr>
              <w:spacing w:line="242" w:lineRule="auto"/>
              <w:ind w:firstLine="720"/>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283E7B" w14:textId="77777777" w:rsidR="007177AA" w:rsidRDefault="007177AA" w:rsidP="001E0293">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lastRenderedPageBreak/>
              <w:t>Zemkopības ministrijas 18.06.2021. atzinums</w:t>
            </w:r>
          </w:p>
          <w:p w14:paraId="4B8BC545" w14:textId="787EF274" w:rsidR="007177AA" w:rsidRPr="001E0293" w:rsidRDefault="007177AA" w:rsidP="001E0293">
            <w:pPr>
              <w:pStyle w:val="ListParagraph"/>
              <w:ind w:left="0"/>
              <w:jc w:val="both"/>
              <w:rPr>
                <w:rFonts w:ascii="Times New Roman" w:eastAsia="Times New Roman" w:hAnsi="Times New Roman"/>
                <w:b/>
                <w:bCs/>
                <w:sz w:val="24"/>
                <w:szCs w:val="24"/>
              </w:rPr>
            </w:pPr>
            <w:r w:rsidRPr="001E0293">
              <w:rPr>
                <w:rFonts w:ascii="Times New Roman" w:eastAsia="Times New Roman" w:hAnsi="Times New Roman"/>
                <w:sz w:val="24"/>
                <w:szCs w:val="24"/>
                <w:lang w:eastAsia="lv-LV"/>
              </w:rPr>
              <w:t>4.</w:t>
            </w:r>
            <w:r>
              <w:rPr>
                <w:rFonts w:ascii="Times New Roman" w:eastAsia="Times New Roman" w:hAnsi="Times New Roman"/>
                <w:sz w:val="24"/>
                <w:szCs w:val="24"/>
                <w:lang w:eastAsia="lv-LV"/>
              </w:rPr>
              <w:t xml:space="preserve">3. </w:t>
            </w:r>
            <w:r w:rsidRPr="001E0293">
              <w:rPr>
                <w:rFonts w:ascii="Times New Roman" w:eastAsia="Times New Roman" w:hAnsi="Times New Roman"/>
                <w:sz w:val="24"/>
                <w:szCs w:val="24"/>
                <w:lang w:eastAsia="lv-LV"/>
              </w:rPr>
              <w:t xml:space="preserve">8.lpp ir nepilnīga rindkopas redakcija, kuru atbilstoši papildināt vai svītrot:  “Pēc reorganizācijas LLU pārņem saistības, ko </w:t>
            </w:r>
            <w:r w:rsidRPr="001E0293">
              <w:rPr>
                <w:rFonts w:ascii="Times New Roman" w:eastAsia="Times New Roman" w:hAnsi="Times New Roman"/>
                <w:sz w:val="24"/>
                <w:szCs w:val="24"/>
                <w:lang w:eastAsia="lv-LV"/>
              </w:rPr>
              <w:lastRenderedPageBreak/>
              <w:t>koledža uzņēmusies darbības programmas</w:t>
            </w:r>
            <w:r w:rsidRPr="001E0293">
              <w:rPr>
                <w:rFonts w:ascii="Times New Roman" w:eastAsia="Times New Roman" w:hAnsi="Times New Roman"/>
                <w:color w:val="C55A11"/>
                <w:sz w:val="24"/>
                <w:szCs w:val="24"/>
                <w:lang w:eastAsia="lv-LV"/>
              </w:rPr>
              <w:t xml:space="preserve"> ….</w:t>
            </w:r>
            <w:r w:rsidRPr="001E0293">
              <w:rPr>
                <w:rFonts w:ascii="Times New Roman" w:eastAsia="Times New Roman" w:hAnsi="Times New Roman"/>
                <w:sz w:val="24"/>
                <w:szCs w:val="24"/>
                <w:lang w:eastAsia="lv-LV"/>
              </w:rPr>
              <w:t>”</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C1BC547" w14:textId="54BD0FF7" w:rsidR="007177AA" w:rsidRDefault="007177AA" w:rsidP="007177AA">
            <w:pPr>
              <w:pStyle w:val="ListParagraph"/>
              <w:ind w:left="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Skatīt izziņas 5</w:t>
            </w:r>
            <w:r w:rsidRPr="006579FD">
              <w:rPr>
                <w:rFonts w:ascii="Times New Roman" w:eastAsia="Times New Roman" w:hAnsi="Times New Roman"/>
                <w:b/>
                <w:sz w:val="24"/>
                <w:szCs w:val="24"/>
                <w:lang w:eastAsia="lv-LV"/>
              </w:rPr>
              <w:t>.punktu</w:t>
            </w:r>
            <w:r>
              <w:rPr>
                <w:rFonts w:ascii="Times New Roman" w:eastAsia="Times New Roman" w:hAnsi="Times New Roman"/>
                <w:b/>
                <w:sz w:val="24"/>
                <w:szCs w:val="24"/>
                <w:lang w:eastAsia="lv-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6C0D22" w14:textId="3BDA9CCC" w:rsidR="007177AA" w:rsidRPr="004A3591" w:rsidRDefault="007177AA" w:rsidP="04C0BC5C">
            <w:pPr>
              <w:shd w:val="clear" w:color="auto" w:fill="FFFFFF" w:themeFill="background1"/>
              <w:spacing w:after="0" w:line="240" w:lineRule="auto"/>
              <w:jc w:val="both"/>
              <w:rPr>
                <w:color w:val="000000" w:themeColor="text1"/>
                <w:sz w:val="24"/>
                <w:szCs w:val="24"/>
              </w:rPr>
            </w:pPr>
          </w:p>
        </w:tc>
        <w:tc>
          <w:tcPr>
            <w:tcW w:w="3218" w:type="dxa"/>
            <w:gridSpan w:val="3"/>
          </w:tcPr>
          <w:p w14:paraId="2C40B11D"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48D75E41"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0947D0B6" w14:textId="77777777" w:rsidR="007177AA" w:rsidRDefault="007177AA" w:rsidP="00FD4855">
            <w:pPr>
              <w:spacing w:after="0" w:line="240" w:lineRule="auto"/>
              <w:jc w:val="both"/>
              <w:rPr>
                <w:rFonts w:ascii="Times New Roman" w:eastAsia="Times New Roman" w:hAnsi="Times New Roman"/>
                <w:bCs/>
                <w:sz w:val="24"/>
                <w:szCs w:val="24"/>
                <w:lang w:eastAsia="lv-LV"/>
              </w:rPr>
            </w:pPr>
          </w:p>
        </w:tc>
      </w:tr>
      <w:tr w:rsidR="007177AA" w14:paraId="301758B9" w14:textId="77777777" w:rsidTr="04C0BC5C">
        <w:trPr>
          <w:gridAfter w:val="1"/>
          <w:wAfter w:w="56" w:type="dxa"/>
        </w:trPr>
        <w:tc>
          <w:tcPr>
            <w:tcW w:w="40" w:type="dxa"/>
            <w:tcBorders>
              <w:right w:val="single" w:sz="4" w:space="0" w:color="auto"/>
            </w:tcBorders>
          </w:tcPr>
          <w:p w14:paraId="3113FC03"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B7CF09" w14:textId="37F1C305" w:rsidR="007177AA" w:rsidRPr="00814BC2" w:rsidRDefault="007177AA" w:rsidP="0025486C">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5</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834A8B7" w14:textId="5E7848E4" w:rsidR="007177AA" w:rsidRDefault="007177AA" w:rsidP="04C0BC5C">
            <w:pPr>
              <w:spacing w:line="242" w:lineRule="auto"/>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Anotācijas I sadaļas 4. punkts </w:t>
            </w:r>
          </w:p>
          <w:p w14:paraId="348E8534" w14:textId="214D2647" w:rsidR="007177AA" w:rsidRPr="008600CC" w:rsidRDefault="007177AA" w:rsidP="001E0293">
            <w:pPr>
              <w:spacing w:line="242" w:lineRule="auto"/>
              <w:jc w:val="both"/>
              <w:rPr>
                <w:rFonts w:ascii="Times New Roman" w:hAnsi="Times New Roman"/>
                <w:b/>
                <w:sz w:val="24"/>
                <w:szCs w:val="24"/>
                <w:lang w:eastAsia="lv-LV"/>
              </w:rPr>
            </w:pPr>
            <w:r w:rsidRPr="00EF0459">
              <w:rPr>
                <w:rFonts w:ascii="Times New Roman" w:eastAsia="Times New Roman" w:hAnsi="Times New Roman"/>
                <w:sz w:val="24"/>
                <w:szCs w:val="24"/>
                <w:lang w:eastAsia="lv-LV"/>
              </w:rPr>
              <w:t>Saskaņā ar Augstskolu likuma 11.panta otrās daļas otro teikumu Ministru kabineta rīkojuma projektam par augstskolas vai koledžas reorganizāciju vai likvidāciju pievienojams Augstākās izglītības padomes atzinums. Ministrija ir saņēmusi Augstākās izglītības padomes 2021. gada……. atzinumu Nr.….. par projektu, kurā Augstākās izglītības padome atbalsta projektu, …….</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42A3AB" w14:textId="77777777" w:rsidR="007177AA" w:rsidRDefault="007177AA" w:rsidP="001E0293">
            <w:pPr>
              <w:pStyle w:val="ListParagraph"/>
              <w:ind w:left="0"/>
              <w:jc w:val="both"/>
              <w:rPr>
                <w:rFonts w:ascii="Times New Roman" w:eastAsia="Times New Roman" w:hAnsi="Times New Roman"/>
                <w:b/>
                <w:bCs/>
                <w:sz w:val="24"/>
                <w:szCs w:val="24"/>
              </w:rPr>
            </w:pPr>
            <w:r w:rsidRPr="00422C48">
              <w:rPr>
                <w:rFonts w:ascii="Times New Roman" w:eastAsia="Times New Roman" w:hAnsi="Times New Roman"/>
                <w:b/>
                <w:bCs/>
                <w:sz w:val="24"/>
                <w:szCs w:val="24"/>
              </w:rPr>
              <w:t>Zemkopības ministrijas 18.06.2021. atzinums</w:t>
            </w:r>
          </w:p>
          <w:p w14:paraId="5A98FC2C" w14:textId="79528198" w:rsidR="007177AA" w:rsidRPr="001E0293" w:rsidRDefault="007177AA" w:rsidP="001E0293">
            <w:pPr>
              <w:pStyle w:val="ListParagraph"/>
              <w:ind w:left="0"/>
              <w:jc w:val="both"/>
              <w:rPr>
                <w:rFonts w:ascii="Times New Roman" w:eastAsia="Times New Roman" w:hAnsi="Times New Roman"/>
                <w:b/>
                <w:bCs/>
                <w:sz w:val="24"/>
                <w:szCs w:val="24"/>
              </w:rPr>
            </w:pPr>
            <w:r w:rsidRPr="002A1384">
              <w:rPr>
                <w:rFonts w:ascii="Times New Roman" w:eastAsia="Times New Roman" w:hAnsi="Times New Roman"/>
                <w:sz w:val="24"/>
                <w:szCs w:val="24"/>
                <w:lang w:eastAsia="lv-LV"/>
              </w:rPr>
              <w:t>Anotācijas I sadaļas 4. punktā (anotācijas 9. lapa) nepieciešams norādīt Augstākās izglītības padomes atzinuma datumu un numuru.</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A0F0D7C" w14:textId="10F9A85F" w:rsidR="007177AA" w:rsidRDefault="007177AA" w:rsidP="007177AA">
            <w:pPr>
              <w:spacing w:after="0" w:line="240" w:lineRule="auto"/>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Skatīt izziņas 6</w:t>
            </w:r>
            <w:r w:rsidRPr="006579FD">
              <w:rPr>
                <w:rFonts w:ascii="Times New Roman" w:eastAsia="Times New Roman" w:hAnsi="Times New Roman"/>
                <w:b/>
                <w:sz w:val="24"/>
                <w:szCs w:val="24"/>
                <w:lang w:eastAsia="lv-LV"/>
              </w:rPr>
              <w:t>.punktu</w:t>
            </w:r>
            <w:r>
              <w:rPr>
                <w:rFonts w:ascii="Times New Roman" w:eastAsia="Times New Roman" w:hAnsi="Times New Roman"/>
                <w:b/>
                <w:sz w:val="24"/>
                <w:szCs w:val="24"/>
                <w:lang w:eastAsia="lv-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851E4B" w14:textId="1237215F" w:rsidR="007177AA" w:rsidRPr="004A3591" w:rsidRDefault="007177AA" w:rsidP="04C0BC5C">
            <w:pPr>
              <w:spacing w:after="0" w:line="240" w:lineRule="auto"/>
              <w:jc w:val="both"/>
              <w:rPr>
                <w:color w:val="000000" w:themeColor="text1"/>
                <w:sz w:val="24"/>
                <w:szCs w:val="24"/>
              </w:rPr>
            </w:pPr>
          </w:p>
        </w:tc>
        <w:tc>
          <w:tcPr>
            <w:tcW w:w="3218" w:type="dxa"/>
            <w:gridSpan w:val="3"/>
          </w:tcPr>
          <w:p w14:paraId="03E811B2"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78FB833F"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63E700D2" w14:textId="77777777" w:rsidR="007177AA" w:rsidRDefault="007177AA" w:rsidP="00FD4855">
            <w:pPr>
              <w:spacing w:after="0" w:line="240" w:lineRule="auto"/>
              <w:jc w:val="both"/>
              <w:rPr>
                <w:rFonts w:ascii="Times New Roman" w:eastAsia="Times New Roman" w:hAnsi="Times New Roman"/>
                <w:bCs/>
                <w:sz w:val="24"/>
                <w:szCs w:val="24"/>
                <w:lang w:eastAsia="lv-LV"/>
              </w:rPr>
            </w:pPr>
          </w:p>
        </w:tc>
      </w:tr>
      <w:tr w:rsidR="007177AA" w14:paraId="5376EB80" w14:textId="77777777" w:rsidTr="04C0BC5C">
        <w:trPr>
          <w:gridAfter w:val="1"/>
          <w:wAfter w:w="56" w:type="dxa"/>
        </w:trPr>
        <w:tc>
          <w:tcPr>
            <w:tcW w:w="40" w:type="dxa"/>
            <w:tcBorders>
              <w:right w:val="single" w:sz="4" w:space="0" w:color="auto"/>
            </w:tcBorders>
          </w:tcPr>
          <w:p w14:paraId="3E884FE6"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E08F8" w14:textId="5B3C6733" w:rsidR="007177AA" w:rsidRPr="00814BC2" w:rsidRDefault="007177AA" w:rsidP="0025486C">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6</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9541665" w14:textId="1CBB6820" w:rsidR="007177AA" w:rsidRDefault="007177AA" w:rsidP="04C0BC5C">
            <w:pPr>
              <w:spacing w:after="0" w:line="242" w:lineRule="auto"/>
              <w:jc w:val="both"/>
              <w:rPr>
                <w:sz w:val="24"/>
                <w:szCs w:val="24"/>
                <w:lang w:eastAsia="lv-LV"/>
              </w:rPr>
            </w:pPr>
            <w:r w:rsidRPr="04C0BC5C">
              <w:rPr>
                <w:rFonts w:ascii="Times New Roman" w:eastAsia="Times New Roman" w:hAnsi="Times New Roman"/>
                <w:sz w:val="24"/>
                <w:szCs w:val="24"/>
                <w:lang w:eastAsia="lv-LV"/>
              </w:rPr>
              <w:t xml:space="preserve">Anotācijas IV sadaļas 1. punkts </w:t>
            </w:r>
          </w:p>
          <w:p w14:paraId="2E5AC07A" w14:textId="71942339" w:rsidR="007177AA" w:rsidRPr="008600CC" w:rsidRDefault="007177AA" w:rsidP="001E0293">
            <w:pPr>
              <w:spacing w:line="242" w:lineRule="auto"/>
              <w:jc w:val="both"/>
              <w:rPr>
                <w:rFonts w:ascii="Times New Roman" w:hAnsi="Times New Roman"/>
                <w:b/>
                <w:sz w:val="24"/>
                <w:szCs w:val="24"/>
                <w:lang w:eastAsia="lv-LV"/>
              </w:rPr>
            </w:pPr>
            <w:r w:rsidRPr="00EF0459">
              <w:rPr>
                <w:rFonts w:ascii="Times New Roman" w:eastAsia="Times New Roman" w:hAnsi="Times New Roman"/>
                <w:sz w:val="24"/>
                <w:szCs w:val="24"/>
                <w:lang w:eastAsia="lv-LV"/>
              </w:rPr>
              <w:t>Ir nepieciešamas izdarīt grozījumus Ministru kabineta 2013.gada 17.septembra noteikumos Nr.171 “Izglītības un zinātnes ministrijas padotībā esošo koledžu maksas pakalpojumu cenrādis”.</w:t>
            </w: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330430" w14:textId="2134971B" w:rsidR="007177AA" w:rsidRDefault="007177AA" w:rsidP="001E0293">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0422C48">
              <w:rPr>
                <w:rFonts w:ascii="Times New Roman" w:eastAsia="Times New Roman" w:hAnsi="Times New Roman"/>
                <w:b/>
                <w:bCs/>
                <w:sz w:val="24"/>
                <w:szCs w:val="24"/>
              </w:rPr>
              <w:t>Zemkopības ministrijas 18.06.2021. atzinums</w:t>
            </w:r>
          </w:p>
          <w:p w14:paraId="53F3D08A" w14:textId="380418A9" w:rsidR="007177AA" w:rsidRDefault="007177AA" w:rsidP="001E0293">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Anotācijas IV sadaļas 1. punktā precizēt redakciju sekojoši:  </w:t>
            </w:r>
          </w:p>
          <w:p w14:paraId="6A96CC81" w14:textId="7E746FD9" w:rsidR="007177AA" w:rsidRPr="001E0293" w:rsidRDefault="007177AA" w:rsidP="001E0293">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02A1384">
              <w:rPr>
                <w:rFonts w:ascii="Times New Roman" w:eastAsia="Times New Roman" w:hAnsi="Times New Roman"/>
                <w:sz w:val="24"/>
                <w:szCs w:val="24"/>
                <w:lang w:eastAsia="lv-LV"/>
              </w:rPr>
              <w:t xml:space="preserve">Ir nepieciešamas izdarīt grozījumus Ministru kabineta </w:t>
            </w:r>
            <w:r w:rsidRPr="001E0293">
              <w:rPr>
                <w:rFonts w:ascii="Times New Roman" w:eastAsia="Times New Roman" w:hAnsi="Times New Roman"/>
                <w:sz w:val="24"/>
                <w:szCs w:val="24"/>
                <w:lang w:eastAsia="lv-LV"/>
              </w:rPr>
              <w:t>2021. gada 18. marta</w:t>
            </w:r>
            <w:r w:rsidRPr="002A1384">
              <w:rPr>
                <w:rFonts w:ascii="Times New Roman" w:eastAsia="Times New Roman" w:hAnsi="Times New Roman"/>
                <w:sz w:val="24"/>
                <w:szCs w:val="24"/>
              </w:rPr>
              <w:t xml:space="preserve"> </w:t>
            </w:r>
            <w:r w:rsidRPr="002A1384">
              <w:rPr>
                <w:rFonts w:ascii="Times New Roman" w:eastAsia="Times New Roman" w:hAnsi="Times New Roman"/>
                <w:sz w:val="24"/>
                <w:szCs w:val="24"/>
                <w:lang w:eastAsia="lv-LV"/>
              </w:rPr>
              <w:t>noteikumos Nr.171 “Izglītības un zinātnes ministrijas padotībā esošo koledžu maksas pakalpojumu cenrādis”.</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E26B3D6" w14:textId="77777777" w:rsidR="007177AA" w:rsidRDefault="007177AA"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Ņemts vērā.</w:t>
            </w:r>
          </w:p>
          <w:p w14:paraId="363055F1" w14:textId="4B0E12B9" w:rsidR="007177AA" w:rsidRDefault="007177AA" w:rsidP="007177AA">
            <w:pPr>
              <w:spacing w:after="0" w:line="240" w:lineRule="auto"/>
              <w:jc w:val="both"/>
              <w:rPr>
                <w:rFonts w:ascii="Times New Roman" w:eastAsia="Times New Roman" w:hAnsi="Times New Roman"/>
                <w:b/>
                <w:sz w:val="24"/>
                <w:szCs w:val="24"/>
                <w:lang w:eastAsia="lv-LV"/>
              </w:rPr>
            </w:pPr>
            <w:r w:rsidRPr="04C0BC5C">
              <w:rPr>
                <w:rFonts w:ascii="Times New Roman" w:eastAsia="Times New Roman" w:hAnsi="Times New Roman"/>
                <w:sz w:val="24"/>
                <w:szCs w:val="24"/>
                <w:lang w:eastAsia="lv-LV"/>
              </w:rPr>
              <w:t>Anotācijas IV sadaļas 1. punkts precizēts</w:t>
            </w:r>
            <w:r>
              <w:rPr>
                <w:rFonts w:ascii="Times New Roman" w:eastAsia="Times New Roman" w:hAnsi="Times New Roman"/>
                <w:sz w:val="24"/>
                <w:szCs w:val="24"/>
                <w:lang w:eastAsia="lv-LV"/>
              </w:rPr>
              <w:t>.</w:t>
            </w:r>
            <w:r w:rsidRPr="04C0BC5C">
              <w:rPr>
                <w:rFonts w:ascii="Times New Roman" w:eastAsia="Times New Roman" w:hAnsi="Times New Roman"/>
                <w:sz w:val="24"/>
                <w:szCs w:val="24"/>
                <w:lang w:eastAsia="lv-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5DD9A9" w14:textId="154BE067" w:rsidR="007177AA" w:rsidRPr="00BD1DFD" w:rsidRDefault="007177AA" w:rsidP="00FD4855">
            <w:pPr>
              <w:spacing w:after="0" w:line="240" w:lineRule="auto"/>
              <w:jc w:val="both"/>
              <w:rPr>
                <w:rFonts w:ascii="Times New Roman" w:eastAsia="Times New Roman" w:hAnsi="Times New Roman"/>
                <w:bCs/>
                <w:sz w:val="24"/>
                <w:szCs w:val="24"/>
                <w:lang w:eastAsia="lv-LV"/>
              </w:rPr>
            </w:pPr>
            <w:r w:rsidRPr="00BD1DFD">
              <w:rPr>
                <w:rFonts w:ascii="Times New Roman" w:eastAsia="Times New Roman" w:hAnsi="Times New Roman"/>
                <w:sz w:val="24"/>
                <w:szCs w:val="24"/>
                <w:lang w:eastAsia="lv-LV"/>
              </w:rPr>
              <w:t>Ir nepieciešamas izdarīt grozījumus Ministru kabineta 2021. gada 18. marta</w:t>
            </w:r>
            <w:r w:rsidRPr="00BD1DFD">
              <w:rPr>
                <w:rFonts w:ascii="Times New Roman" w:eastAsia="Times New Roman" w:hAnsi="Times New Roman"/>
                <w:sz w:val="24"/>
                <w:szCs w:val="24"/>
              </w:rPr>
              <w:t xml:space="preserve"> </w:t>
            </w:r>
            <w:r w:rsidRPr="00BD1DFD">
              <w:rPr>
                <w:rFonts w:ascii="Times New Roman" w:eastAsia="Times New Roman" w:hAnsi="Times New Roman"/>
                <w:sz w:val="24"/>
                <w:szCs w:val="24"/>
                <w:lang w:eastAsia="lv-LV"/>
              </w:rPr>
              <w:t>noteikumos Nr.171 “Izglītības un zinātnes ministrijas padotībā esošo koledžu maksas pakalpojumu cenrādis”.</w:t>
            </w:r>
          </w:p>
        </w:tc>
        <w:tc>
          <w:tcPr>
            <w:tcW w:w="3218" w:type="dxa"/>
            <w:gridSpan w:val="3"/>
          </w:tcPr>
          <w:p w14:paraId="667423CD"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108E4F9C"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3E90C8DF" w14:textId="77777777" w:rsidR="007177AA" w:rsidRDefault="007177AA" w:rsidP="00FD4855">
            <w:pPr>
              <w:spacing w:after="0" w:line="240" w:lineRule="auto"/>
              <w:jc w:val="both"/>
              <w:rPr>
                <w:rFonts w:ascii="Times New Roman" w:eastAsia="Times New Roman" w:hAnsi="Times New Roman"/>
                <w:bCs/>
                <w:sz w:val="24"/>
                <w:szCs w:val="24"/>
                <w:lang w:eastAsia="lv-LV"/>
              </w:rPr>
            </w:pPr>
          </w:p>
        </w:tc>
      </w:tr>
      <w:tr w:rsidR="007177AA" w14:paraId="65766B1A" w14:textId="77777777" w:rsidTr="04C0BC5C">
        <w:trPr>
          <w:gridAfter w:val="1"/>
          <w:wAfter w:w="56" w:type="dxa"/>
        </w:trPr>
        <w:tc>
          <w:tcPr>
            <w:tcW w:w="40" w:type="dxa"/>
            <w:tcBorders>
              <w:right w:val="single" w:sz="4" w:space="0" w:color="auto"/>
            </w:tcBorders>
          </w:tcPr>
          <w:p w14:paraId="7D68AF80"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21BF9B" w14:textId="1413DAA5" w:rsidR="007177AA" w:rsidRPr="00814BC2" w:rsidRDefault="007177AA" w:rsidP="0025486C">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7</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47C2FC" w14:textId="394DCBB5" w:rsidR="007177AA" w:rsidRDefault="007177AA" w:rsidP="04C0BC5C">
            <w:pPr>
              <w:spacing w:after="0" w:line="240" w:lineRule="auto"/>
              <w:ind w:right="108"/>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Anotācijas VII sadaļas 2. </w:t>
            </w:r>
            <w:r w:rsidRPr="04C0BC5C">
              <w:rPr>
                <w:rFonts w:ascii="Times New Roman" w:eastAsia="Times New Roman" w:hAnsi="Times New Roman"/>
                <w:sz w:val="24"/>
                <w:szCs w:val="24"/>
                <w:lang w:eastAsia="lv-LV"/>
              </w:rPr>
              <w:lastRenderedPageBreak/>
              <w:t xml:space="preserve">punkts </w:t>
            </w:r>
          </w:p>
          <w:p w14:paraId="7A81CA5D" w14:textId="77777777" w:rsidR="007177AA" w:rsidRPr="00EF0459" w:rsidRDefault="007177AA" w:rsidP="009054BD">
            <w:pPr>
              <w:spacing w:after="0" w:line="240" w:lineRule="auto"/>
              <w:ind w:right="108"/>
              <w:jc w:val="both"/>
              <w:rPr>
                <w:rFonts w:ascii="Times New Roman" w:eastAsia="Times New Roman" w:hAnsi="Times New Roman"/>
                <w:bCs/>
                <w:sz w:val="24"/>
                <w:szCs w:val="24"/>
                <w:lang w:eastAsia="lv-LV"/>
              </w:rPr>
            </w:pPr>
            <w:r w:rsidRPr="00EF0459">
              <w:rPr>
                <w:rFonts w:ascii="Times New Roman" w:eastAsia="Times New Roman" w:hAnsi="Times New Roman"/>
                <w:bCs/>
                <w:sz w:val="24"/>
                <w:szCs w:val="24"/>
                <w:lang w:eastAsia="lv-LV"/>
              </w:rPr>
              <w:t>Koledža turpinās pastāvēt …...</w:t>
            </w:r>
          </w:p>
          <w:p w14:paraId="0DC06BC3" w14:textId="77777777" w:rsidR="007177AA" w:rsidRPr="008600CC" w:rsidRDefault="007177AA" w:rsidP="009054BD">
            <w:pPr>
              <w:spacing w:line="242" w:lineRule="auto"/>
              <w:jc w:val="both"/>
              <w:rPr>
                <w:rFonts w:ascii="Times New Roman" w:hAnsi="Times New Roman"/>
                <w:b/>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E82B42" w14:textId="0DD069B5" w:rsidR="007177AA" w:rsidRDefault="007177AA" w:rsidP="00FD4855">
            <w:pPr>
              <w:widowControl w:val="0"/>
              <w:spacing w:after="0" w:line="240" w:lineRule="auto"/>
              <w:jc w:val="both"/>
              <w:rPr>
                <w:rFonts w:ascii="Times New Roman" w:eastAsia="Times New Roman" w:hAnsi="Times New Roman"/>
                <w:sz w:val="24"/>
                <w:szCs w:val="24"/>
                <w:lang w:eastAsia="lv-LV"/>
              </w:rPr>
            </w:pPr>
            <w:r w:rsidRPr="00422C48">
              <w:rPr>
                <w:rFonts w:ascii="Times New Roman" w:eastAsia="Times New Roman" w:hAnsi="Times New Roman"/>
                <w:b/>
                <w:bCs/>
                <w:sz w:val="24"/>
                <w:szCs w:val="24"/>
              </w:rPr>
              <w:lastRenderedPageBreak/>
              <w:t xml:space="preserve">Zemkopības ministrijas 18.06.2021. </w:t>
            </w:r>
            <w:r w:rsidRPr="00422C48">
              <w:rPr>
                <w:rFonts w:ascii="Times New Roman" w:eastAsia="Times New Roman" w:hAnsi="Times New Roman"/>
                <w:b/>
                <w:bCs/>
                <w:sz w:val="24"/>
                <w:szCs w:val="24"/>
              </w:rPr>
              <w:lastRenderedPageBreak/>
              <w:t>atzinums</w:t>
            </w:r>
          </w:p>
          <w:p w14:paraId="29F2D223" w14:textId="6E18CFC8" w:rsidR="007177AA" w:rsidRDefault="007177AA" w:rsidP="00FD4855">
            <w:pPr>
              <w:widowControl w:val="0"/>
              <w:spacing w:after="0" w:line="240" w:lineRule="auto"/>
              <w:jc w:val="both"/>
              <w:rPr>
                <w:rFonts w:ascii="Times New Roman" w:eastAsia="Times New Roman" w:hAnsi="Times New Roman"/>
                <w:b/>
                <w:sz w:val="24"/>
                <w:szCs w:val="24"/>
                <w:lang w:eastAsia="lv-LV"/>
              </w:rPr>
            </w:pPr>
            <w:r w:rsidRPr="002A1384">
              <w:rPr>
                <w:rFonts w:ascii="Times New Roman" w:eastAsia="Times New Roman" w:hAnsi="Times New Roman"/>
                <w:sz w:val="24"/>
                <w:szCs w:val="24"/>
                <w:lang w:eastAsia="lv-LV"/>
              </w:rPr>
              <w:t xml:space="preserve">Anotācijas VII sadaļas 2. punktā ir nepilnīga rindkopas redakcija, kuru atbilstoši papildināt vai svītrot: “Koledža turpinās pastāvēt </w:t>
            </w:r>
            <w:r w:rsidRPr="002A1384">
              <w:rPr>
                <w:rFonts w:ascii="Times New Roman" w:eastAsia="Times New Roman" w:hAnsi="Times New Roman"/>
                <w:sz w:val="24"/>
                <w:szCs w:val="24"/>
                <w:u w:val="single"/>
                <w:lang w:eastAsia="lv-LV"/>
              </w:rPr>
              <w:t>…...</w:t>
            </w:r>
            <w:r w:rsidRPr="002A1384">
              <w:rPr>
                <w:rFonts w:ascii="Times New Roman" w:eastAsia="Times New Roman" w:hAnsi="Times New Roman"/>
                <w:sz w:val="24"/>
                <w:szCs w:val="24"/>
                <w:lang w:eastAsia="lv-LV"/>
              </w:rPr>
              <w:t>”</w:t>
            </w: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631A85" w14:textId="77777777" w:rsidR="007177AA" w:rsidRDefault="007177AA" w:rsidP="00FD4855">
            <w:pPr>
              <w:spacing w:after="0" w:line="240" w:lineRule="auto"/>
              <w:ind w:firstLine="720"/>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28FD428D" w14:textId="633D1208" w:rsidR="007177AA" w:rsidRPr="004A3591" w:rsidRDefault="007177AA" w:rsidP="007177AA">
            <w:pPr>
              <w:spacing w:after="0" w:line="240" w:lineRule="auto"/>
              <w:jc w:val="both"/>
              <w:rPr>
                <w:rFonts w:ascii="Times New Roman" w:eastAsia="Times New Roman" w:hAnsi="Times New Roman"/>
                <w:color w:val="000000" w:themeColor="text1"/>
                <w:sz w:val="24"/>
                <w:szCs w:val="24"/>
              </w:rPr>
            </w:pPr>
            <w:r w:rsidRPr="04C0BC5C">
              <w:rPr>
                <w:rFonts w:ascii="Times New Roman" w:eastAsia="Times New Roman" w:hAnsi="Times New Roman"/>
                <w:color w:val="000000" w:themeColor="text1"/>
                <w:sz w:val="24"/>
                <w:szCs w:val="24"/>
              </w:rPr>
              <w:lastRenderedPageBreak/>
              <w:t>Anotācijas VII sadaļas 2. punkts precizēts</w:t>
            </w:r>
            <w:r>
              <w:rPr>
                <w:rFonts w:ascii="Times New Roman" w:eastAsia="Times New Roman" w:hAnsi="Times New Roman"/>
                <w:color w:val="000000" w:themeColor="text1"/>
                <w:sz w:val="24"/>
                <w:szCs w:val="24"/>
              </w:rPr>
              <w:t>.</w:t>
            </w:r>
          </w:p>
          <w:p w14:paraId="63744854" w14:textId="7D367CB5" w:rsidR="007177AA" w:rsidRDefault="007177AA" w:rsidP="00FD4855">
            <w:pPr>
              <w:spacing w:after="0" w:line="240" w:lineRule="auto"/>
              <w:ind w:firstLine="720"/>
              <w:jc w:val="both"/>
              <w:rPr>
                <w:rFonts w:ascii="Times New Roman" w:eastAsia="Times New Roman" w:hAnsi="Times New Roman"/>
                <w:b/>
                <w:sz w:val="24"/>
                <w:szCs w:val="24"/>
                <w:lang w:eastAsia="lv-LV"/>
              </w:rPr>
            </w:pP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07A085" w14:textId="0A3CB1D0" w:rsidR="007177AA" w:rsidRPr="004A3591" w:rsidRDefault="007177AA" w:rsidP="04C0BC5C">
            <w:pPr>
              <w:spacing w:after="0" w:line="240" w:lineRule="auto"/>
              <w:jc w:val="both"/>
              <w:rPr>
                <w:color w:val="000000" w:themeColor="text1"/>
                <w:sz w:val="24"/>
                <w:szCs w:val="24"/>
              </w:rPr>
            </w:pPr>
            <w:r w:rsidRPr="04C0BC5C">
              <w:rPr>
                <w:rFonts w:ascii="Times New Roman" w:eastAsia="Times New Roman" w:hAnsi="Times New Roman"/>
                <w:color w:val="000000" w:themeColor="text1"/>
                <w:sz w:val="24"/>
                <w:szCs w:val="24"/>
              </w:rPr>
              <w:lastRenderedPageBreak/>
              <w:t xml:space="preserve">Koledža turpinās pastāvēt </w:t>
            </w:r>
            <w:r w:rsidRPr="04C0BC5C">
              <w:rPr>
                <w:rFonts w:ascii="Times New Roman" w:eastAsia="Times New Roman" w:hAnsi="Times New Roman"/>
                <w:color w:val="000000" w:themeColor="text1"/>
                <w:sz w:val="24"/>
                <w:szCs w:val="24"/>
              </w:rPr>
              <w:lastRenderedPageBreak/>
              <w:t>kā  Latvijas Lauksaimniecības universitātes aģentūra “Latvijas Lauksaimniecības universitātes Malnavas koledža” .</w:t>
            </w:r>
          </w:p>
        </w:tc>
        <w:tc>
          <w:tcPr>
            <w:tcW w:w="3218" w:type="dxa"/>
            <w:gridSpan w:val="3"/>
          </w:tcPr>
          <w:p w14:paraId="62A5FEA2"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1526717C" w14:textId="77777777" w:rsidR="007177AA" w:rsidRDefault="007177AA" w:rsidP="00FD4855">
            <w:pPr>
              <w:spacing w:after="0" w:line="240" w:lineRule="auto"/>
              <w:jc w:val="both"/>
              <w:rPr>
                <w:rFonts w:ascii="Times New Roman" w:eastAsia="Times New Roman" w:hAnsi="Times New Roman"/>
                <w:bCs/>
                <w:sz w:val="24"/>
                <w:szCs w:val="24"/>
                <w:lang w:eastAsia="lv-LV"/>
              </w:rPr>
            </w:pPr>
          </w:p>
        </w:tc>
        <w:tc>
          <w:tcPr>
            <w:tcW w:w="3078" w:type="dxa"/>
            <w:gridSpan w:val="2"/>
          </w:tcPr>
          <w:p w14:paraId="7EDC5359" w14:textId="77777777" w:rsidR="007177AA" w:rsidRDefault="007177AA" w:rsidP="00FD4855">
            <w:pPr>
              <w:spacing w:after="0" w:line="240" w:lineRule="auto"/>
              <w:jc w:val="both"/>
              <w:rPr>
                <w:rFonts w:ascii="Times New Roman" w:eastAsia="Times New Roman" w:hAnsi="Times New Roman"/>
                <w:bCs/>
                <w:sz w:val="24"/>
                <w:szCs w:val="24"/>
                <w:lang w:eastAsia="lv-LV"/>
              </w:rPr>
            </w:pPr>
          </w:p>
        </w:tc>
      </w:tr>
      <w:tr w:rsidR="007177AA" w14:paraId="71BF08F6" w14:textId="77777777" w:rsidTr="04C0BC5C">
        <w:trPr>
          <w:gridAfter w:val="1"/>
          <w:wAfter w:w="56" w:type="dxa"/>
        </w:trPr>
        <w:tc>
          <w:tcPr>
            <w:tcW w:w="40" w:type="dxa"/>
            <w:tcBorders>
              <w:right w:val="single" w:sz="4" w:space="0" w:color="auto"/>
            </w:tcBorders>
          </w:tcPr>
          <w:p w14:paraId="663B1D24"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6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D9EC56" w14:textId="1931C91D" w:rsidR="007177AA" w:rsidRPr="00814BC2" w:rsidRDefault="007177AA" w:rsidP="0025486C">
            <w:pPr>
              <w:spacing w:after="0" w:line="240" w:lineRule="auto"/>
              <w:ind w:firstLine="5"/>
              <w:jc w:val="center"/>
              <w:rPr>
                <w:rFonts w:ascii="Times New Roman" w:eastAsia="Times New Roman" w:hAnsi="Times New Roman"/>
                <w:sz w:val="24"/>
                <w:szCs w:val="24"/>
                <w:lang w:eastAsia="lv-LV"/>
              </w:rPr>
            </w:pPr>
            <w:r w:rsidRPr="00814BC2">
              <w:rPr>
                <w:rFonts w:ascii="Times New Roman" w:eastAsia="Times New Roman" w:hAnsi="Times New Roman"/>
                <w:sz w:val="24"/>
                <w:szCs w:val="24"/>
                <w:lang w:eastAsia="lv-LV"/>
              </w:rPr>
              <w:t>1</w:t>
            </w:r>
            <w:r w:rsidR="0025486C">
              <w:rPr>
                <w:rFonts w:ascii="Times New Roman" w:eastAsia="Times New Roman" w:hAnsi="Times New Roman"/>
                <w:sz w:val="24"/>
                <w:szCs w:val="24"/>
                <w:lang w:eastAsia="lv-LV"/>
              </w:rPr>
              <w:t>8</w:t>
            </w:r>
            <w:r w:rsidRPr="00814BC2">
              <w:rPr>
                <w:rFonts w:ascii="Times New Roman" w:eastAsia="Times New Roman" w:hAnsi="Times New Roman"/>
                <w:sz w:val="24"/>
                <w:szCs w:val="24"/>
                <w:lang w:eastAsia="lv-LV"/>
              </w:rPr>
              <w:t>.</w:t>
            </w:r>
          </w:p>
        </w:tc>
        <w:tc>
          <w:tcPr>
            <w:tcW w:w="30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74C5531" w14:textId="4DDA4F57" w:rsidR="007177AA" w:rsidRPr="00EF0459" w:rsidRDefault="007177AA" w:rsidP="04C0BC5C">
            <w:pPr>
              <w:spacing w:after="0" w:line="240" w:lineRule="auto"/>
              <w:ind w:right="108"/>
              <w:jc w:val="both"/>
              <w:rPr>
                <w:rFonts w:ascii="Times New Roman" w:eastAsia="Times New Roman" w:hAnsi="Times New Roman"/>
                <w:sz w:val="24"/>
                <w:szCs w:val="24"/>
                <w:lang w:eastAsia="lv-LV"/>
              </w:rPr>
            </w:pPr>
          </w:p>
        </w:tc>
        <w:tc>
          <w:tcPr>
            <w:tcW w:w="438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060785" w14:textId="173970DD" w:rsidR="007177AA" w:rsidRPr="009054BD"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09054BD">
              <w:rPr>
                <w:rFonts w:ascii="Times New Roman" w:eastAsia="Times New Roman" w:hAnsi="Times New Roman"/>
                <w:sz w:val="24"/>
                <w:szCs w:val="24"/>
                <w:lang w:eastAsia="lv-LV"/>
              </w:rPr>
              <w:t>Finanšu ministrijas 18.06.2021. atzinums</w:t>
            </w:r>
          </w:p>
          <w:p w14:paraId="11AB8D87" w14:textId="7D613334" w:rsidR="007177AA"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r w:rsidRPr="009054BD">
              <w:rPr>
                <w:rFonts w:ascii="Times New Roman" w:eastAsia="Times New Roman" w:hAnsi="Times New Roman"/>
                <w:sz w:val="24"/>
                <w:szCs w:val="24"/>
                <w:lang w:eastAsia="lv-LV"/>
              </w:rPr>
              <w:t xml:space="preserve">Ņemot vērā, ka Malnavas koledžas reorganizācija ir plānota ar 2022.gada 1.janvāri, rīkojuma projektam ir pievienojams Ministru kabineta sēdes protokollēmuma projekts, kurā ir jāparedz uzdevums Izglītības un zinātnes ministrijai un Zemkopības ministrijai iesniegt Finanšu ministrijā savstarpēji saskaņotus priekšlikumus precizējumiem valsts pamatbudžeta bāzes izdevumos 2022.-2024.gadam, samazinot vispārējā kārtībā sadalāmo dotāciju no vispārējiem ieņēmumiem 2022.gadā un turpmāk ik gadu 1 372 409 euro apmērā Izglītības un zinātnes ministrijas budžeta apakšprogrammā 02.01.00 “Profesionālās izglītības programmu īstenošana” par 968 306 euro apmērā un apakšprogrammā 03.11.00 „Koledžas” par 404 103 euro apmērā un palielinot vispārējā kārtībā sadalāmo dotāciju no vispārējiem ieņēmumiem 2022.gadā un turpmāk ik gadu 1 177 797 euro apmērā Zemkopības </w:t>
            </w:r>
            <w:r w:rsidRPr="009054BD">
              <w:rPr>
                <w:rFonts w:ascii="Times New Roman" w:eastAsia="Times New Roman" w:hAnsi="Times New Roman"/>
                <w:sz w:val="24"/>
                <w:szCs w:val="24"/>
                <w:lang w:eastAsia="lv-LV"/>
              </w:rPr>
              <w:lastRenderedPageBreak/>
              <w:t>ministrijas budžeta apakšprogrammā 22.01.00 „Profesionālā izglītība” , lai nodrošinātu Malnavas koledžas reorganizāciju.</w:t>
            </w:r>
          </w:p>
          <w:p w14:paraId="066D0A40" w14:textId="77777777" w:rsidR="007177AA" w:rsidRPr="009054BD"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p>
        </w:tc>
        <w:tc>
          <w:tcPr>
            <w:tcW w:w="317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153B82" w14:textId="77777777" w:rsidR="007177AA" w:rsidRDefault="007177AA" w:rsidP="009054BD">
            <w:pPr>
              <w:pStyle w:val="ListParagraph"/>
              <w:suppressAutoHyphens w:val="0"/>
              <w:autoSpaceDN/>
              <w:spacing w:after="0" w:line="240" w:lineRule="auto"/>
              <w:ind w:left="0"/>
              <w:contextualSpacing w:val="0"/>
              <w:jc w:val="center"/>
              <w:textAlignment w:val="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Ņemts vērā.</w:t>
            </w:r>
          </w:p>
          <w:p w14:paraId="202EFDBD" w14:textId="7D5F068F" w:rsidR="007177AA" w:rsidRPr="009054BD" w:rsidRDefault="007177AA" w:rsidP="007177AA">
            <w:pPr>
              <w:pStyle w:val="ListParagraph"/>
              <w:suppressAutoHyphens w:val="0"/>
              <w:autoSpaceDN/>
              <w:spacing w:after="0" w:line="240" w:lineRule="auto"/>
              <w:ind w:left="0"/>
              <w:contextualSpacing w:val="0"/>
              <w:textAlignment w:val="auto"/>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Sagatavots un projektam pievienots  MK protokollēmums</w:t>
            </w:r>
            <w:r>
              <w:rPr>
                <w:rFonts w:ascii="Times New Roman" w:eastAsia="Times New Roman" w:hAnsi="Times New Roman"/>
                <w:sz w:val="24"/>
                <w:szCs w:val="24"/>
                <w:lang w:eastAsia="lv-LV"/>
              </w:rPr>
              <w:t>.</w:t>
            </w:r>
          </w:p>
        </w:tc>
        <w:tc>
          <w:tcPr>
            <w:tcW w:w="2977" w:type="dxa"/>
            <w:tcBorders>
              <w:top w:val="single" w:sz="4" w:space="0" w:color="auto"/>
              <w:left w:val="single" w:sz="4" w:space="0" w:color="auto"/>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92E7B" w14:textId="080E5F2F" w:rsidR="007177AA" w:rsidRDefault="007177AA" w:rsidP="04C0BC5C">
            <w:pPr>
              <w:pStyle w:val="ListParagraph"/>
              <w:spacing w:after="0" w:line="240" w:lineRule="auto"/>
              <w:ind w:left="0"/>
              <w:jc w:val="both"/>
              <w:rPr>
                <w:rFonts w:ascii="Times New Roman" w:eastAsia="Times New Roman" w:hAnsi="Times New Roman"/>
                <w:sz w:val="24"/>
                <w:szCs w:val="24"/>
                <w:lang w:eastAsia="lv-LV"/>
              </w:rPr>
            </w:pPr>
            <w:r w:rsidRPr="04C0BC5C">
              <w:rPr>
                <w:rFonts w:ascii="Times New Roman" w:eastAsia="Times New Roman" w:hAnsi="Times New Roman"/>
                <w:sz w:val="24"/>
                <w:szCs w:val="24"/>
                <w:lang w:eastAsia="lv-LV"/>
              </w:rPr>
              <w:t xml:space="preserve">MK protokollēmuma 3. punkts: </w:t>
            </w:r>
          </w:p>
          <w:p w14:paraId="666AA73E" w14:textId="77777777" w:rsidR="00EA3DE6" w:rsidRPr="00EA3DE6" w:rsidRDefault="00EA3DE6" w:rsidP="00EA3DE6">
            <w:pPr>
              <w:suppressAutoHyphens w:val="0"/>
              <w:autoSpaceDN/>
              <w:spacing w:before="120" w:after="120" w:line="240" w:lineRule="auto"/>
              <w:jc w:val="both"/>
              <w:textAlignment w:val="auto"/>
              <w:rPr>
                <w:rFonts w:ascii="Times New Roman" w:hAnsi="Times New Roman"/>
                <w:sz w:val="28"/>
                <w:szCs w:val="28"/>
              </w:rPr>
            </w:pPr>
            <w:r w:rsidRPr="00EA3DE6">
              <w:rPr>
                <w:rFonts w:ascii="Times New Roman" w:hAnsi="Times New Roman"/>
                <w:sz w:val="28"/>
                <w:szCs w:val="28"/>
              </w:rPr>
              <w:t xml:space="preserve">Lai nodrošinātu Malnavas koledžas reorganizāciju, Izglītības un zinātnes ministrijai un Zemkopības ministrijai iesniegt Finanšu ministrijā priekšlikumus precizējumiem valsts pamatbudžeta bāzes izdevumos 2022.-2024.gadam, samazinot vispārējā kārtībā sadalāmo dotāciju no vispārējiem ieņēmumiem 2022.gadā un turpmāk ik gadu 1 177 797 euro apmērā Izglītības un zinātnes </w:t>
            </w:r>
            <w:r w:rsidRPr="00EA3DE6">
              <w:rPr>
                <w:rFonts w:ascii="Times New Roman" w:hAnsi="Times New Roman"/>
                <w:sz w:val="28"/>
                <w:szCs w:val="28"/>
              </w:rPr>
              <w:lastRenderedPageBreak/>
              <w:t>ministrijas valsts budžeta apakšprogrammā 02.01.00 “Profesionālās izglītības programmu īstenošana” (822 659  euro apmērā) un apakšprogrammā 03.11.00 „Koledžas” (355 138euro apmērā) un attiecīgi palielinot vispārējā kārtībā sadalāmo dotāciju no vispārējiem ieņēmumiem 2022.gadā un turpmāk ik gadu 1 177 797 euro apmērā Zemkopības ministrijas valsts budžeta apakšprogrammā 22.01.00 „Profesionālā izglītība”.</w:t>
            </w:r>
          </w:p>
          <w:p w14:paraId="45C8EFE3" w14:textId="0A0E6CA5" w:rsidR="007177AA" w:rsidRPr="009054BD"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p>
        </w:tc>
        <w:tc>
          <w:tcPr>
            <w:tcW w:w="3218" w:type="dxa"/>
            <w:gridSpan w:val="3"/>
          </w:tcPr>
          <w:p w14:paraId="48A7A218" w14:textId="77777777" w:rsidR="007177AA" w:rsidRPr="009054BD"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p>
        </w:tc>
        <w:tc>
          <w:tcPr>
            <w:tcW w:w="3078" w:type="dxa"/>
            <w:gridSpan w:val="2"/>
          </w:tcPr>
          <w:p w14:paraId="62024942" w14:textId="77777777" w:rsidR="007177AA" w:rsidRPr="009054BD" w:rsidRDefault="007177AA" w:rsidP="009054BD">
            <w:pPr>
              <w:pStyle w:val="ListParagraph"/>
              <w:suppressAutoHyphens w:val="0"/>
              <w:autoSpaceDN/>
              <w:spacing w:after="0" w:line="240" w:lineRule="auto"/>
              <w:ind w:left="0"/>
              <w:contextualSpacing w:val="0"/>
              <w:jc w:val="both"/>
              <w:textAlignment w:val="auto"/>
              <w:rPr>
                <w:rFonts w:ascii="Times New Roman" w:eastAsia="Times New Roman" w:hAnsi="Times New Roman"/>
                <w:sz w:val="24"/>
                <w:szCs w:val="24"/>
                <w:lang w:eastAsia="lv-LV"/>
              </w:rPr>
            </w:pPr>
          </w:p>
        </w:tc>
        <w:tc>
          <w:tcPr>
            <w:tcW w:w="3078" w:type="dxa"/>
            <w:gridSpan w:val="2"/>
          </w:tcPr>
          <w:p w14:paraId="0CC16151" w14:textId="77777777" w:rsidR="007177AA" w:rsidRDefault="007177AA" w:rsidP="00FD4855">
            <w:pPr>
              <w:spacing w:after="0" w:line="240" w:lineRule="auto"/>
              <w:jc w:val="both"/>
              <w:rPr>
                <w:rFonts w:ascii="Times New Roman" w:eastAsia="Times New Roman" w:hAnsi="Times New Roman"/>
                <w:bCs/>
                <w:sz w:val="24"/>
                <w:szCs w:val="24"/>
                <w:lang w:eastAsia="lv-LV"/>
              </w:rPr>
            </w:pPr>
          </w:p>
        </w:tc>
      </w:tr>
      <w:tr w:rsidR="007177AA" w14:paraId="632671F3" w14:textId="77777777" w:rsidTr="04C0BC5C">
        <w:tc>
          <w:tcPr>
            <w:tcW w:w="5064" w:type="dxa"/>
            <w:gridSpan w:val="4"/>
            <w:shd w:val="clear" w:color="auto" w:fill="auto"/>
            <w:tcMar>
              <w:top w:w="0" w:type="dxa"/>
              <w:left w:w="108" w:type="dxa"/>
              <w:bottom w:w="0" w:type="dxa"/>
              <w:right w:w="108" w:type="dxa"/>
            </w:tcMar>
          </w:tcPr>
          <w:p w14:paraId="55F99A5A" w14:textId="669CA572" w:rsidR="007177AA" w:rsidRDefault="007177AA" w:rsidP="00FD4855">
            <w:pPr>
              <w:spacing w:after="0" w:line="240" w:lineRule="auto"/>
              <w:rPr>
                <w:rFonts w:ascii="Times New Roman" w:eastAsia="Times New Roman" w:hAnsi="Times New Roman"/>
                <w:sz w:val="24"/>
                <w:szCs w:val="24"/>
                <w:lang w:eastAsia="lv-LV"/>
              </w:rPr>
            </w:pPr>
          </w:p>
          <w:p w14:paraId="7FFBFB09" w14:textId="00DA7C7D" w:rsidR="007177AA" w:rsidRDefault="007177AA" w:rsidP="00FD4855">
            <w:pPr>
              <w:spacing w:after="0" w:line="240" w:lineRule="auto"/>
              <w:rPr>
                <w:rFonts w:ascii="Times New Roman" w:eastAsia="Times New Roman" w:hAnsi="Times New Roman"/>
                <w:sz w:val="24"/>
                <w:szCs w:val="24"/>
                <w:lang w:eastAsia="lv-LV"/>
              </w:rPr>
            </w:pPr>
          </w:p>
          <w:p w14:paraId="58E67065" w14:textId="1B72BA3F" w:rsidR="007177AA" w:rsidRDefault="007177AA" w:rsidP="00FD4855">
            <w:pPr>
              <w:spacing w:after="0" w:line="240" w:lineRule="auto"/>
              <w:rPr>
                <w:rFonts w:ascii="Times New Roman" w:eastAsia="Times New Roman" w:hAnsi="Times New Roman"/>
                <w:sz w:val="24"/>
                <w:szCs w:val="24"/>
                <w:lang w:eastAsia="lv-LV"/>
              </w:rPr>
            </w:pPr>
          </w:p>
          <w:p w14:paraId="1B5FC2E1" w14:textId="77777777" w:rsidR="007177AA" w:rsidRDefault="007177AA" w:rsidP="00FD4855">
            <w:pPr>
              <w:spacing w:after="0" w:line="240" w:lineRule="auto"/>
              <w:rPr>
                <w:rFonts w:ascii="Times New Roman" w:eastAsia="Times New Roman" w:hAnsi="Times New Roman"/>
                <w:sz w:val="24"/>
                <w:szCs w:val="24"/>
                <w:lang w:eastAsia="lv-LV"/>
              </w:rPr>
            </w:pPr>
          </w:p>
          <w:p w14:paraId="63A34AA1" w14:textId="77777777" w:rsidR="007177AA" w:rsidRDefault="007177AA" w:rsidP="00FD4855">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amatpersona</w:t>
            </w:r>
          </w:p>
        </w:tc>
        <w:tc>
          <w:tcPr>
            <w:tcW w:w="9271" w:type="dxa"/>
            <w:gridSpan w:val="4"/>
            <w:shd w:val="clear" w:color="auto" w:fill="auto"/>
            <w:tcMar>
              <w:top w:w="0" w:type="dxa"/>
              <w:left w:w="108" w:type="dxa"/>
              <w:bottom w:w="0" w:type="dxa"/>
              <w:right w:w="108" w:type="dxa"/>
            </w:tcMar>
          </w:tcPr>
          <w:p w14:paraId="0A72FDD3" w14:textId="77777777" w:rsidR="007177AA" w:rsidRDefault="007177AA" w:rsidP="00FD4855">
            <w:pPr>
              <w:spacing w:after="0" w:line="240" w:lineRule="auto"/>
              <w:ind w:firstLine="720"/>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w:t>
            </w:r>
          </w:p>
        </w:tc>
        <w:tc>
          <w:tcPr>
            <w:tcW w:w="3258" w:type="dxa"/>
            <w:gridSpan w:val="3"/>
            <w:shd w:val="clear" w:color="auto" w:fill="auto"/>
            <w:tcMar>
              <w:top w:w="0" w:type="dxa"/>
              <w:left w:w="108" w:type="dxa"/>
              <w:bottom w:w="0" w:type="dxa"/>
              <w:right w:w="108" w:type="dxa"/>
            </w:tcMar>
          </w:tcPr>
          <w:p w14:paraId="78803A60" w14:textId="77777777" w:rsidR="007177AA" w:rsidRDefault="007177AA" w:rsidP="00FD4855"/>
        </w:tc>
        <w:tc>
          <w:tcPr>
            <w:tcW w:w="3078" w:type="dxa"/>
            <w:gridSpan w:val="2"/>
            <w:shd w:val="clear" w:color="auto" w:fill="auto"/>
            <w:tcMar>
              <w:top w:w="0" w:type="dxa"/>
              <w:left w:w="108" w:type="dxa"/>
              <w:bottom w:w="0" w:type="dxa"/>
              <w:right w:w="108" w:type="dxa"/>
            </w:tcMar>
          </w:tcPr>
          <w:p w14:paraId="6A4C73F3" w14:textId="77777777" w:rsidR="007177AA" w:rsidRDefault="007177AA" w:rsidP="00FD4855"/>
        </w:tc>
        <w:tc>
          <w:tcPr>
            <w:tcW w:w="3084" w:type="dxa"/>
            <w:gridSpan w:val="2"/>
            <w:shd w:val="clear" w:color="auto" w:fill="auto"/>
            <w:tcMar>
              <w:top w:w="0" w:type="dxa"/>
              <w:left w:w="108" w:type="dxa"/>
              <w:bottom w:w="0" w:type="dxa"/>
              <w:right w:w="108" w:type="dxa"/>
            </w:tcMar>
          </w:tcPr>
          <w:p w14:paraId="120933E1" w14:textId="77777777" w:rsidR="007177AA" w:rsidRDefault="007177AA" w:rsidP="00FD4855">
            <w:pPr>
              <w:spacing w:after="0" w:line="240" w:lineRule="auto"/>
              <w:jc w:val="both"/>
            </w:pPr>
            <w:r>
              <w:rPr>
                <w:rFonts w:ascii="Times New Roman" w:eastAsia="Times New Roman" w:hAnsi="Times New Roman"/>
                <w:sz w:val="24"/>
                <w:szCs w:val="24"/>
                <w:lang w:eastAsia="lv-LV"/>
              </w:rPr>
              <w:t xml:space="preserve">60. Izglītības iestāde, pamatojoties uz Izglītības likumu, izstrādā izglītības </w:t>
            </w:r>
            <w:r>
              <w:rPr>
                <w:rFonts w:ascii="Times New Roman" w:eastAsia="Times New Roman" w:hAnsi="Times New Roman"/>
                <w:sz w:val="24"/>
                <w:szCs w:val="24"/>
                <w:lang w:eastAsia="lv-LV"/>
              </w:rPr>
              <w:lastRenderedPageBreak/>
              <w:t>iestādes nolikumu. Izglītības iestādes nolikumu apstiprina Ministru kabinets.</w:t>
            </w:r>
          </w:p>
          <w:p w14:paraId="06180939"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r>
      <w:tr w:rsidR="007177AA" w14:paraId="0CFF2BF4" w14:textId="77777777" w:rsidTr="04C0BC5C">
        <w:tc>
          <w:tcPr>
            <w:tcW w:w="5064" w:type="dxa"/>
            <w:gridSpan w:val="4"/>
            <w:shd w:val="clear" w:color="auto" w:fill="auto"/>
            <w:tcMar>
              <w:top w:w="0" w:type="dxa"/>
              <w:left w:w="108" w:type="dxa"/>
              <w:bottom w:w="0" w:type="dxa"/>
              <w:right w:w="108" w:type="dxa"/>
            </w:tcMar>
          </w:tcPr>
          <w:p w14:paraId="54EE517D" w14:textId="77777777" w:rsidR="007177AA" w:rsidRDefault="007177AA" w:rsidP="00FD4855">
            <w:pPr>
              <w:spacing w:after="0" w:line="240" w:lineRule="auto"/>
              <w:ind w:firstLine="720"/>
              <w:rPr>
                <w:rFonts w:ascii="Times New Roman" w:eastAsia="Times New Roman" w:hAnsi="Times New Roman"/>
                <w:sz w:val="24"/>
                <w:szCs w:val="24"/>
                <w:lang w:eastAsia="lv-LV"/>
              </w:rPr>
            </w:pPr>
          </w:p>
        </w:tc>
        <w:tc>
          <w:tcPr>
            <w:tcW w:w="9271" w:type="dxa"/>
            <w:gridSpan w:val="4"/>
            <w:tcBorders>
              <w:top w:val="single" w:sz="6" w:space="0" w:color="000000" w:themeColor="text1"/>
            </w:tcBorders>
            <w:shd w:val="clear" w:color="auto" w:fill="auto"/>
            <w:tcMar>
              <w:top w:w="0" w:type="dxa"/>
              <w:left w:w="108" w:type="dxa"/>
              <w:bottom w:w="0" w:type="dxa"/>
              <w:right w:w="108" w:type="dxa"/>
            </w:tcMar>
          </w:tcPr>
          <w:p w14:paraId="55B91CEC"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(paraksts*)</w:t>
            </w:r>
          </w:p>
        </w:tc>
        <w:tc>
          <w:tcPr>
            <w:tcW w:w="40" w:type="dxa"/>
          </w:tcPr>
          <w:p w14:paraId="399774E2"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3218" w:type="dxa"/>
            <w:gridSpan w:val="2"/>
          </w:tcPr>
          <w:p w14:paraId="026BD234"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3078" w:type="dxa"/>
            <w:gridSpan w:val="2"/>
          </w:tcPr>
          <w:p w14:paraId="7D6BCF08"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c>
          <w:tcPr>
            <w:tcW w:w="3084" w:type="dxa"/>
            <w:gridSpan w:val="2"/>
          </w:tcPr>
          <w:p w14:paraId="2BF26450" w14:textId="77777777" w:rsidR="007177AA" w:rsidRDefault="007177AA" w:rsidP="00FD4855">
            <w:pPr>
              <w:spacing w:after="0" w:line="240" w:lineRule="auto"/>
              <w:ind w:firstLine="720"/>
              <w:jc w:val="center"/>
              <w:rPr>
                <w:rFonts w:ascii="Times New Roman" w:eastAsia="Times New Roman" w:hAnsi="Times New Roman"/>
                <w:sz w:val="24"/>
                <w:szCs w:val="24"/>
                <w:lang w:eastAsia="lv-LV"/>
              </w:rPr>
            </w:pPr>
          </w:p>
        </w:tc>
      </w:tr>
    </w:tbl>
    <w:p w14:paraId="3445EFC8"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7A0C91B6"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Piezīme. * Dokumenta rekvizītu "paraksts" neaizpilda, ja elektroniskais dokuments ir sagatavots atbilstoši normatīvajiem aktiem par elektronisko dokumentu noformēšanu.</w:t>
      </w:r>
    </w:p>
    <w:p w14:paraId="4F3EECF3" w14:textId="77777777" w:rsidR="00BD2EB8" w:rsidRDefault="00BD2EB8" w:rsidP="00BD2EB8">
      <w:pPr>
        <w:spacing w:after="0" w:line="240" w:lineRule="auto"/>
        <w:ind w:firstLine="720"/>
        <w:jc w:val="both"/>
        <w:rPr>
          <w:rFonts w:ascii="Times New Roman" w:eastAsia="Times New Roman" w:hAnsi="Times New Roman"/>
          <w:sz w:val="24"/>
          <w:szCs w:val="24"/>
          <w:lang w:eastAsia="lv-LV"/>
        </w:rPr>
      </w:pPr>
    </w:p>
    <w:p w14:paraId="3C150D9B" w14:textId="77777777" w:rsidR="00BD2EB8" w:rsidRDefault="00BD2EB8" w:rsidP="00BD2EB8">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                                              Rūta Gintaute-Marihina</w:t>
      </w:r>
    </w:p>
    <w:tbl>
      <w:tblPr>
        <w:tblW w:w="8268" w:type="dxa"/>
        <w:tblCellMar>
          <w:left w:w="10" w:type="dxa"/>
          <w:right w:w="10" w:type="dxa"/>
        </w:tblCellMar>
        <w:tblLook w:val="04A0" w:firstRow="1" w:lastRow="0" w:firstColumn="1" w:lastColumn="0" w:noHBand="0" w:noVBand="1"/>
      </w:tblPr>
      <w:tblGrid>
        <w:gridCol w:w="8268"/>
      </w:tblGrid>
      <w:tr w:rsidR="00BD2EB8" w14:paraId="394C3EC0"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0EB7B94C"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(par projektu atbildīgās amatpersonas vārds un uzvārds)</w:t>
            </w:r>
          </w:p>
        </w:tc>
      </w:tr>
      <w:tr w:rsidR="00BD2EB8" w14:paraId="032E23F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010AF"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 xml:space="preserve">Izglītības un zinātnes ministrijas </w:t>
            </w:r>
          </w:p>
          <w:p w14:paraId="2C5CE79C"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Profesionālās un pieaugušo izglītības departamenta direktore</w:t>
            </w:r>
          </w:p>
        </w:tc>
      </w:tr>
      <w:tr w:rsidR="00BD2EB8" w14:paraId="66B80807"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1C2586FB"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(amats)</w:t>
            </w:r>
          </w:p>
        </w:tc>
      </w:tr>
      <w:tr w:rsidR="00BD2EB8" w14:paraId="7C397131"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3D18D1E7"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67047903</w:t>
            </w:r>
          </w:p>
        </w:tc>
      </w:tr>
      <w:tr w:rsidR="00BD2EB8" w14:paraId="36AE8D0C"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42B862AE" w14:textId="77777777" w:rsidR="00BD2EB8" w:rsidRDefault="00BD2EB8" w:rsidP="00FD4855">
            <w:pPr>
              <w:spacing w:after="12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(tālruņa un faksa numurs)</w:t>
            </w:r>
          </w:p>
        </w:tc>
      </w:tr>
      <w:tr w:rsidR="00BD2EB8" w14:paraId="18454656" w14:textId="77777777" w:rsidTr="00FD4855">
        <w:tc>
          <w:tcPr>
            <w:tcW w:w="8268" w:type="dxa"/>
            <w:tcBorders>
              <w:bottom w:val="single" w:sz="4" w:space="0" w:color="000000"/>
            </w:tcBorders>
            <w:shd w:val="clear" w:color="auto" w:fill="auto"/>
            <w:tcMar>
              <w:top w:w="0" w:type="dxa"/>
              <w:left w:w="108" w:type="dxa"/>
              <w:bottom w:w="0" w:type="dxa"/>
              <w:right w:w="108" w:type="dxa"/>
            </w:tcMar>
          </w:tcPr>
          <w:p w14:paraId="6165C50C" w14:textId="77777777" w:rsidR="00BD2EB8" w:rsidRDefault="00BD2EB8" w:rsidP="00FD4855">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Ruta.Gintaute-Marihina @izm.gov.lv</w:t>
            </w:r>
          </w:p>
        </w:tc>
      </w:tr>
      <w:tr w:rsidR="00BD2EB8" w14:paraId="2F8A18D5" w14:textId="77777777" w:rsidTr="00FD4855">
        <w:tc>
          <w:tcPr>
            <w:tcW w:w="8268" w:type="dxa"/>
            <w:tcBorders>
              <w:top w:val="single" w:sz="4" w:space="0" w:color="000000"/>
            </w:tcBorders>
            <w:shd w:val="clear" w:color="auto" w:fill="auto"/>
            <w:tcMar>
              <w:top w:w="0" w:type="dxa"/>
              <w:left w:w="108" w:type="dxa"/>
              <w:bottom w:w="0" w:type="dxa"/>
              <w:right w:w="108" w:type="dxa"/>
            </w:tcMar>
          </w:tcPr>
          <w:p w14:paraId="34A81714" w14:textId="77777777" w:rsidR="00BD2EB8" w:rsidRDefault="00BD2EB8" w:rsidP="00FD4855">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(e-pasta adrese)</w:t>
            </w:r>
          </w:p>
        </w:tc>
      </w:tr>
    </w:tbl>
    <w:p w14:paraId="5FE7708E" w14:textId="77777777" w:rsidR="00BD2EB8" w:rsidRDefault="00BD2EB8" w:rsidP="00BD2EB8">
      <w:pPr>
        <w:spacing w:after="0" w:line="240" w:lineRule="auto"/>
        <w:jc w:val="center"/>
        <w:rPr>
          <w:rFonts w:ascii="Times New Roman" w:eastAsia="Times New Roman" w:hAnsi="Times New Roman"/>
          <w:sz w:val="20"/>
          <w:szCs w:val="20"/>
          <w:lang w:eastAsia="lv-LV"/>
        </w:rPr>
      </w:pPr>
    </w:p>
    <w:p w14:paraId="64BEE6A7" w14:textId="77777777" w:rsidR="004D7183" w:rsidRDefault="004D7183"/>
    <w:sectPr w:rsidR="004D7183" w:rsidSect="00DA5D1B">
      <w:headerReference w:type="default" r:id="rId7"/>
      <w:footerReference w:type="default" r:id="rId8"/>
      <w:pgSz w:w="16838" w:h="11906" w:orient="landscape"/>
      <w:pgMar w:top="1800" w:right="1440" w:bottom="156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242F5" w14:textId="77777777" w:rsidR="00685FB0" w:rsidRDefault="00685FB0" w:rsidP="00BD2EB8">
      <w:pPr>
        <w:spacing w:after="0" w:line="240" w:lineRule="auto"/>
      </w:pPr>
      <w:r>
        <w:separator/>
      </w:r>
    </w:p>
  </w:endnote>
  <w:endnote w:type="continuationSeparator" w:id="0">
    <w:p w14:paraId="22F50664" w14:textId="77777777" w:rsidR="00685FB0" w:rsidRDefault="00685FB0" w:rsidP="00BD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DD6A9" w14:textId="71FD9798" w:rsidR="0042253A" w:rsidRDefault="00685FB0">
    <w:pPr>
      <w:pStyle w:val="Footer"/>
      <w:rPr>
        <w:rFonts w:ascii="Times New Roman" w:hAnsi="Times New Roman"/>
      </w:rPr>
    </w:pPr>
  </w:p>
  <w:p w14:paraId="0C90E89D" w14:textId="77777777" w:rsidR="0042253A" w:rsidRDefault="00685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BB768" w14:textId="77777777" w:rsidR="00685FB0" w:rsidRDefault="00685FB0" w:rsidP="00BD2EB8">
      <w:pPr>
        <w:spacing w:after="0" w:line="240" w:lineRule="auto"/>
      </w:pPr>
      <w:r>
        <w:separator/>
      </w:r>
    </w:p>
  </w:footnote>
  <w:footnote w:type="continuationSeparator" w:id="0">
    <w:p w14:paraId="0633D3ED" w14:textId="77777777" w:rsidR="00685FB0" w:rsidRDefault="00685FB0" w:rsidP="00BD2E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4991801"/>
      <w:docPartObj>
        <w:docPartGallery w:val="Page Numbers (Top of Page)"/>
        <w:docPartUnique/>
      </w:docPartObj>
    </w:sdtPr>
    <w:sdtEndPr>
      <w:rPr>
        <w:noProof/>
      </w:rPr>
    </w:sdtEndPr>
    <w:sdtContent>
      <w:p w14:paraId="59AD9069" w14:textId="33ACB3A7" w:rsidR="00D546D7" w:rsidRDefault="00D546D7">
        <w:pPr>
          <w:pStyle w:val="Header"/>
          <w:jc w:val="center"/>
        </w:pPr>
        <w:r>
          <w:fldChar w:fldCharType="begin"/>
        </w:r>
        <w:r>
          <w:instrText xml:space="preserve"> PAGE   \* MERGEFORMAT </w:instrText>
        </w:r>
        <w:r>
          <w:fldChar w:fldCharType="separate"/>
        </w:r>
        <w:r w:rsidR="005764CD">
          <w:rPr>
            <w:noProof/>
          </w:rPr>
          <w:t>2</w:t>
        </w:r>
        <w:r>
          <w:rPr>
            <w:noProof/>
          </w:rPr>
          <w:fldChar w:fldCharType="end"/>
        </w:r>
      </w:p>
    </w:sdtContent>
  </w:sdt>
  <w:p w14:paraId="5ED7DD92" w14:textId="77777777" w:rsidR="00D546D7" w:rsidRDefault="00D546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299D"/>
    <w:multiLevelType w:val="hybridMultilevel"/>
    <w:tmpl w:val="C7A8227A"/>
    <w:lvl w:ilvl="0" w:tplc="E938894C">
      <w:start w:val="1"/>
      <w:numFmt w:val="decimal"/>
      <w:lvlText w:val="%1."/>
      <w:lvlJc w:val="left"/>
      <w:pPr>
        <w:ind w:left="1069" w:hanging="360"/>
      </w:pPr>
      <w:rPr>
        <w:rFonts w:ascii="Times New Roman" w:hAnsi="Times New Roman" w:cs="Times New Roman" w:hint="default"/>
        <w:i w:val="0"/>
        <w:iCs w:val="0"/>
        <w:color w:val="auto"/>
        <w:sz w:val="26"/>
        <w:szCs w:val="26"/>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15B15D4"/>
    <w:multiLevelType w:val="hybridMultilevel"/>
    <w:tmpl w:val="D280F4FC"/>
    <w:lvl w:ilvl="0" w:tplc="178EF182">
      <w:start w:val="1"/>
      <w:numFmt w:val="decimal"/>
      <w:lvlText w:val="%1."/>
      <w:lvlJc w:val="left"/>
      <w:pPr>
        <w:ind w:left="389" w:hanging="360"/>
      </w:pPr>
      <w:rPr>
        <w:rFonts w:eastAsia="Times New Roman"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 w15:restartNumberingAfterBreak="0">
    <w:nsid w:val="1833097C"/>
    <w:multiLevelType w:val="hybridMultilevel"/>
    <w:tmpl w:val="96E2C27A"/>
    <w:lvl w:ilvl="0" w:tplc="242C050C">
      <w:start w:val="1"/>
      <w:numFmt w:val="decimal"/>
      <w:lvlText w:val="%1."/>
      <w:lvlJc w:val="left"/>
      <w:pPr>
        <w:ind w:left="720" w:hanging="360"/>
      </w:pPr>
    </w:lvl>
    <w:lvl w:ilvl="1" w:tplc="08FAA4A4">
      <w:start w:val="1"/>
      <w:numFmt w:val="lowerLetter"/>
      <w:lvlText w:val="%2."/>
      <w:lvlJc w:val="left"/>
      <w:pPr>
        <w:ind w:left="1440" w:hanging="360"/>
      </w:pPr>
    </w:lvl>
    <w:lvl w:ilvl="2" w:tplc="A5E48B84">
      <w:start w:val="1"/>
      <w:numFmt w:val="lowerRoman"/>
      <w:lvlText w:val="%3."/>
      <w:lvlJc w:val="right"/>
      <w:pPr>
        <w:ind w:left="2160" w:hanging="180"/>
      </w:pPr>
    </w:lvl>
    <w:lvl w:ilvl="3" w:tplc="B3622C50">
      <w:start w:val="1"/>
      <w:numFmt w:val="decimal"/>
      <w:lvlText w:val="%4."/>
      <w:lvlJc w:val="left"/>
      <w:pPr>
        <w:ind w:left="2880" w:hanging="360"/>
      </w:pPr>
    </w:lvl>
    <w:lvl w:ilvl="4" w:tplc="7AC202CA">
      <w:start w:val="1"/>
      <w:numFmt w:val="lowerLetter"/>
      <w:lvlText w:val="%5."/>
      <w:lvlJc w:val="left"/>
      <w:pPr>
        <w:ind w:left="3600" w:hanging="360"/>
      </w:pPr>
    </w:lvl>
    <w:lvl w:ilvl="5" w:tplc="6856148A">
      <w:start w:val="1"/>
      <w:numFmt w:val="lowerRoman"/>
      <w:lvlText w:val="%6."/>
      <w:lvlJc w:val="right"/>
      <w:pPr>
        <w:ind w:left="4320" w:hanging="180"/>
      </w:pPr>
    </w:lvl>
    <w:lvl w:ilvl="6" w:tplc="681C6B9E">
      <w:start w:val="1"/>
      <w:numFmt w:val="decimal"/>
      <w:lvlText w:val="%7."/>
      <w:lvlJc w:val="left"/>
      <w:pPr>
        <w:ind w:left="5040" w:hanging="360"/>
      </w:pPr>
    </w:lvl>
    <w:lvl w:ilvl="7" w:tplc="E724CE56">
      <w:start w:val="1"/>
      <w:numFmt w:val="lowerLetter"/>
      <w:lvlText w:val="%8."/>
      <w:lvlJc w:val="left"/>
      <w:pPr>
        <w:ind w:left="5760" w:hanging="360"/>
      </w:pPr>
    </w:lvl>
    <w:lvl w:ilvl="8" w:tplc="4FEC8224">
      <w:start w:val="1"/>
      <w:numFmt w:val="lowerRoman"/>
      <w:lvlText w:val="%9."/>
      <w:lvlJc w:val="right"/>
      <w:pPr>
        <w:ind w:left="6480" w:hanging="180"/>
      </w:pPr>
    </w:lvl>
  </w:abstractNum>
  <w:abstractNum w:abstractNumId="3" w15:restartNumberingAfterBreak="0">
    <w:nsid w:val="240C28BE"/>
    <w:multiLevelType w:val="hybridMultilevel"/>
    <w:tmpl w:val="5FC68550"/>
    <w:lvl w:ilvl="0" w:tplc="B52274FE">
      <w:start w:val="1"/>
      <w:numFmt w:val="decimal"/>
      <w:lvlText w:val="%1."/>
      <w:lvlJc w:val="left"/>
      <w:pPr>
        <w:ind w:left="720" w:hanging="360"/>
      </w:pPr>
    </w:lvl>
    <w:lvl w:ilvl="1" w:tplc="93CC928C">
      <w:start w:val="1"/>
      <w:numFmt w:val="lowerLetter"/>
      <w:lvlText w:val="%2."/>
      <w:lvlJc w:val="left"/>
      <w:pPr>
        <w:ind w:left="1440" w:hanging="360"/>
      </w:pPr>
    </w:lvl>
    <w:lvl w:ilvl="2" w:tplc="6CE8632C">
      <w:start w:val="1"/>
      <w:numFmt w:val="lowerRoman"/>
      <w:lvlText w:val="%3."/>
      <w:lvlJc w:val="right"/>
      <w:pPr>
        <w:ind w:left="2160" w:hanging="180"/>
      </w:pPr>
    </w:lvl>
    <w:lvl w:ilvl="3" w:tplc="F0989706">
      <w:start w:val="1"/>
      <w:numFmt w:val="decimal"/>
      <w:lvlText w:val="%4."/>
      <w:lvlJc w:val="left"/>
      <w:pPr>
        <w:ind w:left="2880" w:hanging="360"/>
      </w:pPr>
    </w:lvl>
    <w:lvl w:ilvl="4" w:tplc="50D0989C">
      <w:start w:val="1"/>
      <w:numFmt w:val="lowerLetter"/>
      <w:lvlText w:val="%5."/>
      <w:lvlJc w:val="left"/>
      <w:pPr>
        <w:ind w:left="3600" w:hanging="360"/>
      </w:pPr>
    </w:lvl>
    <w:lvl w:ilvl="5" w:tplc="34D64718">
      <w:start w:val="1"/>
      <w:numFmt w:val="lowerRoman"/>
      <w:lvlText w:val="%6."/>
      <w:lvlJc w:val="right"/>
      <w:pPr>
        <w:ind w:left="4320" w:hanging="180"/>
      </w:pPr>
    </w:lvl>
    <w:lvl w:ilvl="6" w:tplc="DACA3418">
      <w:start w:val="1"/>
      <w:numFmt w:val="decimal"/>
      <w:lvlText w:val="%7."/>
      <w:lvlJc w:val="left"/>
      <w:pPr>
        <w:ind w:left="5040" w:hanging="360"/>
      </w:pPr>
    </w:lvl>
    <w:lvl w:ilvl="7" w:tplc="C2C0C116">
      <w:start w:val="1"/>
      <w:numFmt w:val="lowerLetter"/>
      <w:lvlText w:val="%8."/>
      <w:lvlJc w:val="left"/>
      <w:pPr>
        <w:ind w:left="5760" w:hanging="360"/>
      </w:pPr>
    </w:lvl>
    <w:lvl w:ilvl="8" w:tplc="F4B2F816">
      <w:start w:val="1"/>
      <w:numFmt w:val="lowerRoman"/>
      <w:lvlText w:val="%9."/>
      <w:lvlJc w:val="right"/>
      <w:pPr>
        <w:ind w:left="6480" w:hanging="180"/>
      </w:pPr>
    </w:lvl>
  </w:abstractNum>
  <w:abstractNum w:abstractNumId="4" w15:restartNumberingAfterBreak="0">
    <w:nsid w:val="344A3FAE"/>
    <w:multiLevelType w:val="hybridMultilevel"/>
    <w:tmpl w:val="96E2C27A"/>
    <w:lvl w:ilvl="0" w:tplc="9A3C640E">
      <w:start w:val="1"/>
      <w:numFmt w:val="decimal"/>
      <w:lvlText w:val="%1."/>
      <w:lvlJc w:val="left"/>
      <w:pPr>
        <w:ind w:left="720" w:hanging="360"/>
      </w:pPr>
    </w:lvl>
    <w:lvl w:ilvl="1" w:tplc="E2CE91BE">
      <w:start w:val="1"/>
      <w:numFmt w:val="lowerLetter"/>
      <w:lvlText w:val="%2."/>
      <w:lvlJc w:val="left"/>
      <w:pPr>
        <w:ind w:left="1440" w:hanging="360"/>
      </w:pPr>
    </w:lvl>
    <w:lvl w:ilvl="2" w:tplc="9E1E81D6">
      <w:start w:val="1"/>
      <w:numFmt w:val="lowerRoman"/>
      <w:lvlText w:val="%3."/>
      <w:lvlJc w:val="right"/>
      <w:pPr>
        <w:ind w:left="2160" w:hanging="180"/>
      </w:pPr>
    </w:lvl>
    <w:lvl w:ilvl="3" w:tplc="63866C16">
      <w:start w:val="1"/>
      <w:numFmt w:val="decimal"/>
      <w:lvlText w:val="%4."/>
      <w:lvlJc w:val="left"/>
      <w:pPr>
        <w:ind w:left="2880" w:hanging="360"/>
      </w:pPr>
    </w:lvl>
    <w:lvl w:ilvl="4" w:tplc="F7AE71D6">
      <w:start w:val="1"/>
      <w:numFmt w:val="lowerLetter"/>
      <w:lvlText w:val="%5."/>
      <w:lvlJc w:val="left"/>
      <w:pPr>
        <w:ind w:left="3600" w:hanging="360"/>
      </w:pPr>
    </w:lvl>
    <w:lvl w:ilvl="5" w:tplc="BB72BD14">
      <w:start w:val="1"/>
      <w:numFmt w:val="lowerRoman"/>
      <w:lvlText w:val="%6."/>
      <w:lvlJc w:val="right"/>
      <w:pPr>
        <w:ind w:left="4320" w:hanging="180"/>
      </w:pPr>
    </w:lvl>
    <w:lvl w:ilvl="6" w:tplc="38D6BC24">
      <w:start w:val="1"/>
      <w:numFmt w:val="decimal"/>
      <w:lvlText w:val="%7."/>
      <w:lvlJc w:val="left"/>
      <w:pPr>
        <w:ind w:left="5040" w:hanging="360"/>
      </w:pPr>
    </w:lvl>
    <w:lvl w:ilvl="7" w:tplc="69A2C82A">
      <w:start w:val="1"/>
      <w:numFmt w:val="lowerLetter"/>
      <w:lvlText w:val="%8."/>
      <w:lvlJc w:val="left"/>
      <w:pPr>
        <w:ind w:left="5760" w:hanging="360"/>
      </w:pPr>
    </w:lvl>
    <w:lvl w:ilvl="8" w:tplc="A2D42E46">
      <w:start w:val="1"/>
      <w:numFmt w:val="lowerRoman"/>
      <w:lvlText w:val="%9."/>
      <w:lvlJc w:val="right"/>
      <w:pPr>
        <w:ind w:left="6480" w:hanging="180"/>
      </w:pPr>
    </w:lvl>
  </w:abstractNum>
  <w:abstractNum w:abstractNumId="5" w15:restartNumberingAfterBreak="0">
    <w:nsid w:val="3897326B"/>
    <w:multiLevelType w:val="multilevel"/>
    <w:tmpl w:val="F2CC0168"/>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C500F1C"/>
    <w:multiLevelType w:val="hybridMultilevel"/>
    <w:tmpl w:val="4DF8995C"/>
    <w:lvl w:ilvl="0" w:tplc="FBA22DE4">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F9C31B5"/>
    <w:multiLevelType w:val="multilevel"/>
    <w:tmpl w:val="3B024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D7B2643"/>
    <w:multiLevelType w:val="multilevel"/>
    <w:tmpl w:val="2AAC89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EB8"/>
    <w:rsid w:val="000D00DF"/>
    <w:rsid w:val="000F7F3B"/>
    <w:rsid w:val="00182FB6"/>
    <w:rsid w:val="001B420B"/>
    <w:rsid w:val="001C0F1C"/>
    <w:rsid w:val="001E0293"/>
    <w:rsid w:val="001E3606"/>
    <w:rsid w:val="0025486C"/>
    <w:rsid w:val="00257C21"/>
    <w:rsid w:val="00367E42"/>
    <w:rsid w:val="003B1ECE"/>
    <w:rsid w:val="003C2089"/>
    <w:rsid w:val="00413324"/>
    <w:rsid w:val="00422C48"/>
    <w:rsid w:val="00470846"/>
    <w:rsid w:val="004A3591"/>
    <w:rsid w:val="004D7183"/>
    <w:rsid w:val="00573BFA"/>
    <w:rsid w:val="005764CD"/>
    <w:rsid w:val="00611FB3"/>
    <w:rsid w:val="006579FD"/>
    <w:rsid w:val="00671D39"/>
    <w:rsid w:val="006750C8"/>
    <w:rsid w:val="006753DA"/>
    <w:rsid w:val="00685FB0"/>
    <w:rsid w:val="006A2C09"/>
    <w:rsid w:val="00702C56"/>
    <w:rsid w:val="00713A6D"/>
    <w:rsid w:val="007177AA"/>
    <w:rsid w:val="007D1A29"/>
    <w:rsid w:val="007D29C5"/>
    <w:rsid w:val="007F5230"/>
    <w:rsid w:val="00814BC2"/>
    <w:rsid w:val="008600CC"/>
    <w:rsid w:val="008968C5"/>
    <w:rsid w:val="008F0B50"/>
    <w:rsid w:val="009054BD"/>
    <w:rsid w:val="009128E1"/>
    <w:rsid w:val="009648AC"/>
    <w:rsid w:val="009B0FD0"/>
    <w:rsid w:val="009E31E2"/>
    <w:rsid w:val="00A62AD8"/>
    <w:rsid w:val="00A855A3"/>
    <w:rsid w:val="00B065A4"/>
    <w:rsid w:val="00B3283C"/>
    <w:rsid w:val="00B779D9"/>
    <w:rsid w:val="00B87975"/>
    <w:rsid w:val="00BD1DFD"/>
    <w:rsid w:val="00BD2EB8"/>
    <w:rsid w:val="00CF4136"/>
    <w:rsid w:val="00D076D1"/>
    <w:rsid w:val="00D16690"/>
    <w:rsid w:val="00D374BE"/>
    <w:rsid w:val="00D546D7"/>
    <w:rsid w:val="00D6249D"/>
    <w:rsid w:val="00DA1680"/>
    <w:rsid w:val="00DA5D1B"/>
    <w:rsid w:val="00DD1A7F"/>
    <w:rsid w:val="00DE6849"/>
    <w:rsid w:val="00E63EA6"/>
    <w:rsid w:val="00EA3DE6"/>
    <w:rsid w:val="00EF24CE"/>
    <w:rsid w:val="00F02080"/>
    <w:rsid w:val="00F0380E"/>
    <w:rsid w:val="00F0490F"/>
    <w:rsid w:val="04C0BC5C"/>
    <w:rsid w:val="0E9F0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FFB74"/>
  <w15:docId w15:val="{2B47E47A-FCC2-45C0-84A1-ABCEC9B1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EB8"/>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D2EB8"/>
    <w:pPr>
      <w:tabs>
        <w:tab w:val="center" w:pos="4153"/>
        <w:tab w:val="right" w:pos="8306"/>
      </w:tabs>
      <w:spacing w:after="0" w:line="240" w:lineRule="auto"/>
    </w:pPr>
  </w:style>
  <w:style w:type="character" w:customStyle="1" w:styleId="FooterChar">
    <w:name w:val="Footer Char"/>
    <w:basedOn w:val="DefaultParagraphFont"/>
    <w:link w:val="Footer"/>
    <w:rsid w:val="00BD2EB8"/>
    <w:rPr>
      <w:rFonts w:ascii="Calibri" w:eastAsia="Calibri" w:hAnsi="Calibri" w:cs="Times New Roman"/>
    </w:rPr>
  </w:style>
  <w:style w:type="paragraph" w:styleId="Header">
    <w:name w:val="header"/>
    <w:basedOn w:val="Normal"/>
    <w:link w:val="HeaderChar"/>
    <w:uiPriority w:val="99"/>
    <w:unhideWhenUsed/>
    <w:rsid w:val="00BD2EB8"/>
    <w:pPr>
      <w:tabs>
        <w:tab w:val="center" w:pos="4153"/>
        <w:tab w:val="right" w:pos="8306"/>
      </w:tabs>
      <w:spacing w:after="0" w:line="240" w:lineRule="auto"/>
    </w:pPr>
  </w:style>
  <w:style w:type="character" w:customStyle="1" w:styleId="HeaderChar">
    <w:name w:val="Header Char"/>
    <w:basedOn w:val="DefaultParagraphFont"/>
    <w:link w:val="Header"/>
    <w:uiPriority w:val="99"/>
    <w:rsid w:val="00BD2EB8"/>
    <w:rPr>
      <w:rFonts w:ascii="Calibri" w:eastAsia="Calibri" w:hAnsi="Calibri" w:cs="Times New Roman"/>
    </w:rPr>
  </w:style>
  <w:style w:type="paragraph" w:styleId="ListParagraph">
    <w:name w:val="List Paragraph"/>
    <w:basedOn w:val="Normal"/>
    <w:uiPriority w:val="34"/>
    <w:qFormat/>
    <w:rsid w:val="00DE6849"/>
    <w:pPr>
      <w:ind w:left="720"/>
      <w:contextualSpacing/>
    </w:pPr>
  </w:style>
  <w:style w:type="paragraph" w:styleId="NormalWeb">
    <w:name w:val="Normal (Web)"/>
    <w:basedOn w:val="Normal"/>
    <w:uiPriority w:val="99"/>
    <w:unhideWhenUsed/>
    <w:rsid w:val="008F0B50"/>
    <w:pPr>
      <w:suppressAutoHyphens w:val="0"/>
      <w:autoSpaceDN/>
      <w:spacing w:line="259" w:lineRule="auto"/>
      <w:textAlignment w:val="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779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18973</Words>
  <Characters>10816</Characters>
  <Application>Microsoft Office Word</Application>
  <DocSecurity>0</DocSecurity>
  <Lines>90</Lines>
  <Paragraphs>59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Sandra Obodova</cp:lastModifiedBy>
  <cp:revision>2</cp:revision>
  <dcterms:created xsi:type="dcterms:W3CDTF">2021-07-01T09:00:00Z</dcterms:created>
  <dcterms:modified xsi:type="dcterms:W3CDTF">2021-07-01T09:00:00Z</dcterms:modified>
</cp:coreProperties>
</file>