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0FEB" w:rsidR="0093163B" w:rsidP="009B70F7" w:rsidRDefault="0093163B" w14:paraId="0C5E63CE" w14:textId="498C619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</w:pPr>
      <w:r w:rsidRPr="003C0FE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  <w:t xml:space="preserve">Ministru kabineta </w:t>
      </w:r>
      <w:r w:rsidRPr="003C0FEB" w:rsidR="00FA0A1A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  <w:t>noteikumu</w:t>
      </w:r>
      <w:r w:rsidRPr="003C0FE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lv-LV"/>
        </w:rPr>
        <w:t xml:space="preserve"> projekta</w:t>
      </w:r>
    </w:p>
    <w:p w:rsidRPr="003C0FEB" w:rsidR="00297062" w:rsidP="009B70F7" w:rsidRDefault="00D95179" w14:paraId="47C5902B" w14:textId="6D0B021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 w:rsidRPr="003C0FE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„</w:t>
      </w:r>
      <w:r w:rsidRPr="003C0FEB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Grozījum</w:t>
      </w:r>
      <w:r w:rsidRPr="003C0FEB" w:rsidR="00965209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s</w:t>
      </w:r>
      <w:r w:rsidRPr="003C0FEB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Ministru kabineta 2020.gada </w:t>
      </w:r>
      <w:r w:rsidRPr="003C0FEB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9</w:t>
      </w:r>
      <w:r w:rsidRPr="003C0FEB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.</w:t>
      </w:r>
      <w:r w:rsidRPr="003C0FEB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jūnija</w:t>
      </w:r>
      <w:r w:rsidRPr="003C0FEB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3C0FEB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noteikumos </w:t>
      </w:r>
      <w:r w:rsidRPr="003C0FEB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Nr.</w:t>
      </w:r>
      <w:r w:rsidRPr="003C0FEB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360</w:t>
      </w:r>
      <w:r w:rsidRPr="003C0FEB" w:rsidR="005140E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„</w:t>
      </w:r>
      <w:r w:rsidRPr="003C0FEB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Epidemioloģiskās drošības pasākumi Covid-19 infekcijas izplatības ierobežošanai</w:t>
      </w:r>
      <w:r w:rsidRPr="003C0FE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”</w:t>
      </w:r>
      <w:r w:rsidRPr="003C0FEB" w:rsidR="00FA0A1A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”</w:t>
      </w:r>
      <w:r w:rsidRPr="003C0FEB" w:rsidR="00E309B8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3C0FE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sākotnējās ietekmes novērtējuma </w:t>
      </w:r>
    </w:p>
    <w:p w:rsidRPr="003C0FEB" w:rsidR="0093163B" w:rsidP="009B70F7" w:rsidRDefault="00D95179" w14:paraId="1C27887D" w14:textId="47DB6B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3C0FE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ziņojums </w:t>
      </w:r>
      <w:r w:rsidRPr="003C0FEB" w:rsidR="0093163B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(anotācija)</w:t>
      </w:r>
    </w:p>
    <w:p w:rsidRPr="003C0FEB" w:rsidR="00385FF0" w:rsidP="009B70F7" w:rsidRDefault="00385FF0" w14:paraId="33ABF528" w14:textId="77777777">
      <w:pPr>
        <w:pStyle w:val="Paraststmeklis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8"/>
        <w:gridCol w:w="5437"/>
      </w:tblGrid>
      <w:tr w:rsidRPr="003C0FEB" w:rsidR="007325B4" w:rsidTr="00744692" w14:paraId="0EE1F7EF" w14:textId="77777777">
        <w:trPr>
          <w:tblCellSpacing w:w="15" w:type="dxa"/>
        </w:trPr>
        <w:tc>
          <w:tcPr>
            <w:tcW w:w="496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655F2C" w:rsidP="009B70F7" w:rsidRDefault="00E5323B" w14:paraId="66E8DF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3C0FEB" w:rsidR="007325B4" w:rsidTr="00744692" w14:paraId="6B7EEB4A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FC6EDA" w:rsidP="009B70F7" w:rsidRDefault="00665B25" w14:paraId="0DF157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5950A1" w:rsidP="009B70F7" w:rsidRDefault="00D95179" w14:paraId="5F9B7FB3" w14:textId="43C5D10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Ministru kabineta</w:t>
            </w:r>
            <w:r w:rsidRPr="003C0FEB" w:rsidR="00FA0A1A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noteikumu projekta „Grozījum</w:t>
            </w:r>
            <w:r w:rsidRPr="003C0FEB" w:rsidR="00965209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3C0FEB" w:rsidR="00FA0A1A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Ministru kabineta 2020.gada 9.jūnija noteikumos Nr.360 „Epidemioloģiskās drošības pasākumi Covid-19 infekcijas izplatības ierobežošanai””</w:t>
            </w: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(turpmāk – Projekts) </w:t>
            </w:r>
            <w:r w:rsidRPr="003C0FEB" w:rsidR="00E52478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</w:t>
            </w:r>
            <w:r w:rsidRPr="003C0FEB" w:rsidR="0029706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3C0FEB" w:rsidR="00E52478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ir</w:t>
            </w:r>
            <w:r w:rsidRPr="003C0FEB" w:rsidR="00E4664A"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3C0FEB" w:rsidR="00E4664A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precizēt epidemioloģiskās drošības pasākumus Covid-19 infekcijas izplatības ierobežošanai attiecībā uz </w:t>
            </w:r>
            <w:r w:rsidRPr="003C0FEB" w:rsidR="005467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pasākumu</w:t>
            </w:r>
            <w:r w:rsidRPr="003C0FEB" w:rsidR="00A50CC9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norisi</w:t>
            </w:r>
            <w:r w:rsidRPr="003C0FEB" w:rsidR="005467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kur</w:t>
            </w:r>
            <w:r w:rsidRPr="003C0FEB" w:rsidR="00C2214F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</w:t>
            </w:r>
            <w:r w:rsidRPr="003C0FEB" w:rsidR="005467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 apmeklētāji </w:t>
            </w:r>
            <w:r w:rsidRPr="003C0FEB" w:rsidR="00C2214F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kontrolētā veidā apmeklē klātienē ar </w:t>
            </w:r>
            <w:proofErr w:type="spellStart"/>
            <w:r w:rsidRPr="003C0FEB" w:rsidR="00C2214F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sadarbspējīgu</w:t>
            </w:r>
            <w:proofErr w:type="spellEnd"/>
            <w:r w:rsidRPr="003C0FEB" w:rsidR="00C2214F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testēšanas sertifikātu, vienlaicīgi ar skatītājiem, kuriem ir </w:t>
            </w:r>
            <w:proofErr w:type="spellStart"/>
            <w:r w:rsidRPr="003C0FEB" w:rsidR="00C2214F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sadarbspējīgs</w:t>
            </w:r>
            <w:proofErr w:type="spellEnd"/>
            <w:r w:rsidRPr="003C0FEB" w:rsidR="00C2214F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vakcinācijas pret Covid-19 vai Covid-19 pārslimošanas sertifikāts, ja tiek nodrošināts, ka to plūsma nepārklājas.</w:t>
            </w:r>
          </w:p>
        </w:tc>
      </w:tr>
    </w:tbl>
    <w:p w:rsidRPr="003C0FEB" w:rsidR="00E5323B" w:rsidP="009B70F7" w:rsidRDefault="00E5323B" w14:paraId="7F1559FC" w14:textId="77777777">
      <w:pPr>
        <w:spacing w:after="0" w:line="240" w:lineRule="auto"/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3C0FEB" w:rsidR="007325B4" w:rsidTr="00E5323B" w14:paraId="7521653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655F2C" w:rsidP="009B70F7" w:rsidRDefault="00E5323B" w14:paraId="712A0C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3C0FEB" w:rsidR="007325B4" w:rsidTr="00497DA6" w14:paraId="131987F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655F2C" w:rsidP="009B70F7" w:rsidRDefault="00E5323B" w14:paraId="1D351D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4664A" w:rsidP="009B70F7" w:rsidRDefault="00E5323B" w14:paraId="19CA5F20" w14:textId="2E2BBC6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CA45A1" w:rsidP="009B70F7" w:rsidRDefault="003C5459" w14:paraId="03B0076D" w14:textId="5EE77DB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Projekts sagatavots</w:t>
            </w:r>
            <w:r w:rsidRPr="003C0FEB" w:rsidR="007C7E7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pamatojoties uz</w:t>
            </w:r>
            <w:r w:rsidRPr="003C0FEB" w:rsidR="003E17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C0FEB" w:rsidR="00213F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Epidemioloģiskās drošības likuma 3.panta otro daļu un Covid-19 infekcijas izplatības pārvaldības likuma 4.panta 1., 2., 3.</w:t>
            </w:r>
            <w:r w:rsidRPr="003C0FEB" w:rsidR="00F96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un</w:t>
            </w:r>
            <w:r w:rsidRPr="003C0FEB" w:rsidR="00213F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7.</w:t>
            </w:r>
            <w:r w:rsidRPr="003C0FEB" w:rsidR="00F96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punktu</w:t>
            </w:r>
            <w:r w:rsidRPr="003C0FEB" w:rsidR="00743D4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Pr="003C0FEB" w:rsidR="007325B4" w:rsidTr="00497DA6" w14:paraId="62E560F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655F2C" w:rsidP="009B70F7" w:rsidRDefault="00E5323B" w14:paraId="5580C3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395641" w:rsidP="009B70F7" w:rsidRDefault="00E5323B" w14:paraId="47D9D481" w14:textId="2F1A564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3C0FEB" w:rsidP="009B70F7" w:rsidRDefault="00743D4B" w14:paraId="431286EF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0FEB">
              <w:rPr>
                <w:rFonts w:ascii="Times New Roman" w:hAnsi="Times New Roman" w:cs="Times New Roman"/>
                <w:iCs/>
                <w:sz w:val="28"/>
                <w:szCs w:val="28"/>
              </w:rPr>
              <w:t>Ministru kabineta 2020.gada 9.jūnija noteikum</w:t>
            </w:r>
            <w:r w:rsidRPr="003C0FEB" w:rsidR="00B2477F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3C0F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Nr.360 „Epidemioloģiskās drošības pasākumi Covid-19 infekcijas izplatības ierobežošanai” (turpmāk – MK noteikumi Nr.360)</w:t>
            </w:r>
            <w:r w:rsidRPr="003C0FEB" w:rsidR="00E036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nosaka epidemioloģiskās drošības pasākumus, kas veicami, lai ierobežotu Covid-19 infekcijas izplatību.</w:t>
            </w:r>
          </w:p>
          <w:p w:rsidR="009B70F7" w:rsidP="009B70F7" w:rsidRDefault="003C0FEB" w14:paraId="7DCE651D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MK noteikum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u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Nr.360 38.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eastAsia="lv-LV"/>
              </w:rPr>
              <w:t>27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un 38.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eastAsia="lv-LV"/>
              </w:rPr>
              <w:t>31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eastAsia="lv-LV"/>
              </w:rPr>
              <w:t> 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punkts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paredz, ka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personām ar </w:t>
            </w:r>
            <w:proofErr w:type="spellStart"/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sadarbspējīgu</w:t>
            </w:r>
            <w:proofErr w:type="spellEnd"/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vakcinācijas pret Covid-19 vai Covid-19 pārslimošanas sertifikātu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ir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tiesības klātienē apmeklēt publiskos pasākumus.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Savukārt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MK n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oteikumu Nr.360 38.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eastAsia="lv-LV"/>
              </w:rPr>
              <w:t xml:space="preserve">34 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punkts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nosaka, ka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klātienē apmeklēt publiskos 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lastRenderedPageBreak/>
              <w:t xml:space="preserve">pasākumus 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var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person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as</w:t>
            </w:r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ar </w:t>
            </w:r>
            <w:proofErr w:type="spellStart"/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sadarbspējīgu</w:t>
            </w:r>
            <w:proofErr w:type="spellEnd"/>
            <w:r w:rsidRPr="003C0FE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testēšanas sertifikātu.</w:t>
            </w:r>
          </w:p>
          <w:p w:rsidRPr="009B70F7" w:rsidR="009B70F7" w:rsidP="009B70F7" w:rsidRDefault="009B70F7" w14:paraId="14DA3B16" w14:textId="6DAF4A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Ņemot vērā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to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, ka </w:t>
            </w:r>
            <w:r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pasākumus </w:t>
            </w:r>
            <w:r w:rsidR="005049D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var </w:t>
            </w:r>
            <w:r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vienlaicīgi apmeklēt gan </w:t>
            </w:r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person</w:t>
            </w:r>
            <w:r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as</w:t>
            </w:r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ar </w:t>
            </w:r>
            <w:proofErr w:type="spellStart"/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sadarbspējīgu</w:t>
            </w:r>
            <w:proofErr w:type="spellEnd"/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vakcinācijas pret Covid-19 vai Covid-19 pārslimošanas sertifikātu</w:t>
            </w:r>
            <w:r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, gan </w:t>
            </w:r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personas ar </w:t>
            </w:r>
            <w:proofErr w:type="spellStart"/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sadarbspējīgu</w:t>
            </w:r>
            <w:proofErr w:type="spellEnd"/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testēšanas sertifikātu</w:t>
            </w:r>
            <w:r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, 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ir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nepieciešams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noteikt, ka 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ārtelpās paredzēt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u pasākumu</w:t>
            </w:r>
            <w:r w:rsidR="005049D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organizētā un kontrolētā veidā klātienē </w:t>
            </w:r>
            <w:r w:rsidRP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var 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apmeklēt </w:t>
            </w:r>
            <w:r w:rsidRP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gan 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skatītāji, kuriem </w:t>
            </w:r>
            <w:r w:rsidRP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ir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sadarbspējīgs</w:t>
            </w:r>
            <w:proofErr w:type="spellEnd"/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testēšanas sertifikāts, </w:t>
            </w:r>
            <w:r w:rsidRP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gan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skatītāji, kuriem </w:t>
            </w:r>
            <w:r w:rsidRP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ir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sadarbspējīgs</w:t>
            </w:r>
            <w:proofErr w:type="spellEnd"/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vakcinācijas pret Covid-19 vai Covid-19 pārslimošanas sertifikāts,</w:t>
            </w:r>
            <w:r w:rsidRPr="0031703B" w:rsidR="0031703B">
              <w:rPr>
                <w:rFonts w:ascii="Times New Roman" w:hAnsi="Times New Roman" w:cs="Times New Roman"/>
                <w:sz w:val="28"/>
                <w:szCs w:val="28"/>
              </w:rPr>
              <w:t xml:space="preserve"> nosakot, ka</w:t>
            </w:r>
            <w:r w:rsidRPr="0031703B" w:rsidR="0031703B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 xml:space="preserve"> tiek nodrošināts, ka to plūsma nepārklājas</w:t>
            </w:r>
            <w:r w:rsidRPr="009B70F7">
              <w:rPr>
                <w:rFonts w:ascii="Times New Roman" w:hAnsi="Times New Roman" w:eastAsia="Calibri" w:cs="Times New Roman"/>
                <w:sz w:val="28"/>
                <w:szCs w:val="28"/>
                <w:lang w:eastAsia="lv-LV"/>
              </w:rPr>
              <w:t>.</w:t>
            </w:r>
          </w:p>
          <w:p w:rsidRPr="003C0FEB" w:rsidR="00973F6B" w:rsidP="009B70F7" w:rsidRDefault="00546752" w14:paraId="644FC27F" w14:textId="69429247">
            <w:pPr>
              <w:shd w:val="clear" w:color="auto" w:fill="FFFFFF"/>
              <w:spacing w:after="0" w:line="240" w:lineRule="auto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F7">
              <w:rPr>
                <w:rFonts w:ascii="Times New Roman" w:hAnsi="Times New Roman" w:cs="Times New Roman"/>
                <w:iCs/>
                <w:sz w:val="28"/>
                <w:szCs w:val="28"/>
              </w:rPr>
              <w:t>Projekt</w:t>
            </w:r>
            <w:r w:rsidRPr="009B70F7" w:rsidR="00965209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9B70F7" w:rsidR="00D63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B70F7" w:rsidR="00965209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 w:rsidRPr="009B70F7">
              <w:rPr>
                <w:rFonts w:ascii="Times New Roman" w:hAnsi="Times New Roman" w:cs="Times New Roman"/>
                <w:iCs/>
                <w:sz w:val="28"/>
                <w:szCs w:val="28"/>
              </w:rPr>
              <w:t>aredz p</w:t>
            </w:r>
            <w:r w:rsidRPr="009B70F7" w:rsidR="00965209">
              <w:rPr>
                <w:rFonts w:ascii="Times New Roman" w:hAnsi="Times New Roman" w:cs="Times New Roman"/>
                <w:iCs/>
                <w:sz w:val="28"/>
                <w:szCs w:val="28"/>
              </w:rPr>
              <w:t>apildināt</w:t>
            </w:r>
            <w:r w:rsidRPr="009B70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MK</w:t>
            </w:r>
            <w:r w:rsidRPr="009B70F7" w:rsidR="00D6323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9B70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noteikumu Nr.360 </w:t>
            </w:r>
            <w:r w:rsidRPr="009B70F7" w:rsidR="00EF5DFF">
              <w:rPr>
                <w:rFonts w:ascii="Times New Roman" w:hAnsi="Times New Roman" w:cs="Times New Roman"/>
                <w:iCs/>
                <w:sz w:val="28"/>
                <w:szCs w:val="28"/>
              </w:rPr>
              <w:t>38.</w:t>
            </w:r>
            <w:r w:rsidRPr="009B70F7" w:rsidR="00EF5DF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34</w:t>
            </w:r>
            <w:r w:rsidR="00744692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 </w:t>
            </w:r>
            <w:r w:rsidRPr="009B70F7" w:rsidR="00EF5DFF">
              <w:rPr>
                <w:rFonts w:ascii="Times New Roman" w:hAnsi="Times New Roman" w:cs="Times New Roman"/>
                <w:iCs/>
                <w:sz w:val="28"/>
                <w:szCs w:val="28"/>
              </w:rPr>
              <w:t>punktu ar 11.apakšpunktu</w:t>
            </w:r>
            <w:r w:rsidRPr="009B70F7" w:rsidR="002E6A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kas </w:t>
            </w:r>
            <w:r w:rsidRPr="003C0FEB" w:rsidR="002E6A1F">
              <w:rPr>
                <w:rFonts w:ascii="Times New Roman" w:hAnsi="Times New Roman" w:cs="Times New Roman"/>
                <w:iCs/>
                <w:sz w:val="28"/>
                <w:szCs w:val="28"/>
              </w:rPr>
              <w:t>paredz</w:t>
            </w:r>
            <w:r w:rsidRPr="003C0FEB" w:rsidR="00E139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ka </w:t>
            </w:r>
            <w:r w:rsidRPr="003C0FEB" w:rsidR="00E1391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pasākumā atsevišķā skatītāju zonā atrodas MK noteikumu</w:t>
            </w:r>
            <w:r w:rsidRPr="003C0FEB" w:rsidR="00E1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FEB" w:rsidR="00E1391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Nr.360 </w:t>
            </w:r>
            <w:hyperlink w:history="1" w:anchor="p38.27" r:id="rId8">
              <w:r w:rsidRPr="003C0FEB" w:rsidR="00E13919">
                <w:rPr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  <w:lang w:eastAsia="lv-LV"/>
                </w:rPr>
                <w:t>38.</w:t>
              </w:r>
              <w:r w:rsidRPr="003C0FEB" w:rsidR="00E13919">
                <w:rPr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  <w:vertAlign w:val="superscript"/>
                  <w:lang w:eastAsia="lv-LV"/>
                </w:rPr>
                <w:t>27</w:t>
              </w:r>
            </w:hyperlink>
            <w:r w:rsidRPr="003C0FEB" w:rsidR="00E13919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lv-LV"/>
              </w:rPr>
              <w:t> punkta ievaddaļā minētās personas, kuras netiek ieskaitītas MK noteikumu Nr.360 38.</w:t>
            </w:r>
            <w:r w:rsidRPr="003C0FEB" w:rsidR="00E13919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vertAlign w:val="superscript"/>
                <w:lang w:eastAsia="lv-LV"/>
              </w:rPr>
              <w:t>34 </w:t>
            </w:r>
            <w:r w:rsidRPr="003C0FEB" w:rsidR="00E13919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  <w:lang w:eastAsia="lv-LV"/>
              </w:rPr>
              <w:t>10.apakšpunktā minētajā personu skaitā, kā arī tiek nodrošināts, ka to plūsma nepārklājas.</w:t>
            </w:r>
          </w:p>
        </w:tc>
      </w:tr>
      <w:tr w:rsidRPr="003C0FEB" w:rsidR="007325B4" w:rsidTr="00497DA6" w14:paraId="472A8074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655F2C" w:rsidP="009B70F7" w:rsidRDefault="00E5323B" w14:paraId="14C6FD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E5323B" w14:paraId="30ECF4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385FF0" w14:paraId="0D59C014" w14:textId="4AE5EC5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4469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3C0FEB" w:rsidR="007325B4" w:rsidTr="00497DA6" w14:paraId="11E06258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655F2C" w:rsidP="009B70F7" w:rsidRDefault="00E5323B" w14:paraId="448EBD0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E5323B" w14:paraId="32F69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7E1517" w14:paraId="39CD3E6B" w14:textId="77777777">
            <w:pPr>
              <w:pStyle w:val="xxparasts1"/>
              <w:jc w:val="both"/>
              <w:rPr>
                <w:rFonts w:eastAsia="Times New Roman"/>
                <w:iCs/>
                <w:color w:val="000000" w:themeColor="text1"/>
                <w:sz w:val="28"/>
                <w:szCs w:val="28"/>
              </w:rPr>
            </w:pPr>
            <w:r w:rsidRPr="003C0FEB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Pr="003C0FEB" w:rsidR="00E5323B" w:rsidP="009B70F7" w:rsidRDefault="00E5323B" w14:paraId="68298AC8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  <w:r w:rsidRPr="003C0FEB"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3C0FEB" w:rsidR="007325B4" w:rsidTr="00B61C9C" w14:paraId="3F08D5E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B61C9C" w:rsidP="009B70F7" w:rsidRDefault="00B61C9C" w14:paraId="1CBDF9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3C0FEB" w:rsidR="007325B4" w:rsidTr="00B61C9C" w14:paraId="267483E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510382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0EC256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6F17A6" w14:paraId="507B54E4" w14:textId="033FC66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Projekta tiesiskais regulējums attiecas </w:t>
            </w:r>
            <w:r w:rsidRPr="003C0FEB" w:rsidR="00B47174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uz</w:t>
            </w:r>
            <w:r w:rsidRPr="003C0FEB" w:rsidR="0054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pasākumu </w:t>
            </w:r>
            <w:r w:rsidRPr="003C0FEB" w:rsidR="00546752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rīkotājiem </w:t>
            </w:r>
            <w:r w:rsidRPr="003C0FEB" w:rsidR="00976AA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un apmeklētājiem</w:t>
            </w:r>
            <w:r w:rsidRPr="003C0FEB" w:rsidR="009E03A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Pr="003C0FEB" w:rsidR="007325B4" w:rsidTr="00B61C9C" w14:paraId="331ED7B0" w14:textId="77777777">
        <w:trPr>
          <w:trHeight w:val="133"/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5EF3E2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FC048D" w14:paraId="4D34A122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771671F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3C0FEB" w:rsidR="007325B4" w:rsidTr="00B61C9C" w14:paraId="152ADD1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414555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1BE926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0FEB" w:rsidR="00B61C9C" w:rsidP="009B70F7" w:rsidRDefault="00B61C9C" w14:paraId="5A87573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3C0FEB" w:rsidR="007325B4" w:rsidTr="00B61C9C" w14:paraId="34C6F21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287151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1E41A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0FEB" w:rsidR="00B61C9C" w:rsidP="009B70F7" w:rsidRDefault="00B61C9C" w14:paraId="588300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3C0FEB" w:rsidR="00B61C9C" w:rsidTr="00B61C9C" w14:paraId="61C8F3A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4F432B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5EFA4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B61C9C" w:rsidP="009B70F7" w:rsidRDefault="00B61C9C" w14:paraId="424EBD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3C0FEB" w:rsidR="008B14D3" w:rsidP="009B70F7" w:rsidRDefault="008B14D3" w14:paraId="753815D2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7"/>
      </w:tblGrid>
      <w:tr w:rsidRPr="003C0FEB" w:rsidR="007325B4" w:rsidTr="002347A0" w14:paraId="2F2AEDE6" w14:textId="77777777">
        <w:trPr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38508D" w:rsidP="009B70F7" w:rsidRDefault="0038508D" w14:paraId="03AA166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3C0FE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III. Tiesību akta projekta ietekme uz </w:t>
            </w:r>
            <w:r w:rsidRPr="003C0FEB" w:rsidR="00F01134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valsts budžetu un pašvaldību budžetiem</w:t>
            </w:r>
          </w:p>
        </w:tc>
      </w:tr>
      <w:tr w:rsidRPr="003C0FEB" w:rsidR="007325B4" w:rsidTr="002347A0" w14:paraId="0C982688" w14:textId="77777777">
        <w:trPr>
          <w:trHeight w:val="304"/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38508D" w:rsidP="009B70F7" w:rsidRDefault="0038508D" w14:paraId="1CF5610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3C0FEB" w:rsidR="00CA45A1" w:rsidP="009B70F7" w:rsidRDefault="00CA45A1" w14:paraId="2D69BBC5" w14:textId="4C5548C9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3C0FEB" w:rsidR="007325B4" w:rsidTr="00CF1040" w14:paraId="44E86B2F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CA45A1" w:rsidP="009B70F7" w:rsidRDefault="00CA45A1" w14:paraId="68E8C55D" w14:textId="7EBC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3C0FEB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Pr="003C0FEB" w:rsidR="00CA45A1" w:rsidTr="00CF1040" w14:paraId="6B553E55" w14:textId="77777777">
        <w:trPr>
          <w:trHeight w:val="304"/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CA45A1" w:rsidP="009B70F7" w:rsidRDefault="00CA45A1" w14:paraId="2364C13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3C0FEB" w:rsidR="00B47174" w:rsidP="009B70F7" w:rsidRDefault="00B47174" w14:paraId="2C4479FD" w14:textId="5A089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3C0FEB" w:rsidR="007325B4" w:rsidTr="00CF1040" w14:paraId="530ECE8A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655F2C" w:rsidP="009B70F7" w:rsidRDefault="00E5323B" w14:paraId="079AA7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3C0FEB" w:rsidR="00C565CE" w:rsidTr="00CF1040" w14:paraId="45E97919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C565CE" w:rsidP="009B70F7" w:rsidRDefault="00C565CE" w14:paraId="7A1655E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3C0FEB" w:rsidR="004F4B3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3C0FEB" w:rsidR="00CA45A1" w:rsidP="009B70F7" w:rsidRDefault="00CA45A1" w14:paraId="46C6A835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3C0FEB" w:rsidR="007325B4" w:rsidTr="00CF1040" w14:paraId="6E16834E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655F2C" w:rsidP="009B70F7" w:rsidRDefault="00E5323B" w14:paraId="28D77E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3C0FEB" w:rsidR="009A262D" w:rsidTr="00CF1040" w14:paraId="64C6371B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9A262D" w:rsidP="009B70F7" w:rsidRDefault="009A262D" w14:paraId="70B82D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3C0FEB" w:rsidR="004F4B3D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3C0FEB" w:rsidR="00064C7A" w:rsidP="009B70F7" w:rsidRDefault="00064C7A" w14:paraId="1232B83D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48"/>
        <w:gridCol w:w="5580"/>
      </w:tblGrid>
      <w:tr w:rsidRPr="003C0FEB" w:rsidR="007325B4" w:rsidTr="00CF1040" w14:paraId="08823E43" w14:textId="77777777">
        <w:trPr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C0FEB" w:rsidR="00655F2C" w:rsidP="009B70F7" w:rsidRDefault="00E5323B" w14:paraId="76BE95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3C0FEB" w:rsidR="007325B4" w:rsidTr="00CF1040" w14:paraId="209BF0B7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655F2C" w:rsidP="009B70F7" w:rsidRDefault="00E5323B" w14:paraId="079B4D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E5323B" w14:paraId="6BF56A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E454CD" w14:paraId="40F20AFA" w14:textId="3E6EC81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FE583E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, </w:t>
            </w:r>
            <w:r w:rsidRPr="003C0FEB" w:rsidR="00714E5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Veselības ministrija, Slimību profilakses un kontroles centrs.</w:t>
            </w:r>
          </w:p>
        </w:tc>
      </w:tr>
      <w:tr w:rsidRPr="003C0FEB" w:rsidR="007325B4" w:rsidTr="00CF1040" w14:paraId="116AEBE6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655F2C" w:rsidP="009B70F7" w:rsidRDefault="00E5323B" w14:paraId="196E52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3E0DBF" w:rsidP="009B70F7" w:rsidRDefault="00E5323B" w14:paraId="385D1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3C0FEB" w:rsidR="00E5323B" w:rsidP="009B70F7" w:rsidRDefault="00E5323B" w14:paraId="6657DB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9A262D" w14:paraId="53918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3C0FEB" w:rsidR="00E5323B" w:rsidTr="00CF1040" w14:paraId="1B0864EA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655F2C" w:rsidP="009B70F7" w:rsidRDefault="00E5323B" w14:paraId="4DE886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E5323B" w14:paraId="6C85AC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0FEB" w:rsidR="00E5323B" w:rsidP="009B70F7" w:rsidRDefault="009A262D" w14:paraId="5F2EA1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C0FEB">
              <w:rPr>
                <w:rFonts w:ascii="Times New Roman" w:hAnsi="Times New Roman" w:eastAsia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Pr="003C0FEB" w:rsidR="00EC263D" w:rsidP="009B70F7" w:rsidRDefault="00EC263D" w14:paraId="2F7FC836" w14:textId="260B5A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3C0FEB" w:rsidR="00B23E5D" w:rsidP="009B70F7" w:rsidRDefault="00B23E5D" w14:paraId="29924C6F" w14:textId="6B531815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</w:pPr>
      <w:r w:rsidRPr="003C0FE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Kultūras min</w:t>
      </w:r>
      <w:r w:rsidRPr="003C0FEB" w:rsidR="0028408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istrs</w:t>
      </w:r>
      <w:r w:rsidRPr="003C0FE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3C0FEB" w:rsidR="0028408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N.Puntulis</w:t>
      </w:r>
    </w:p>
    <w:p w:rsidRPr="003C0FEB" w:rsidR="003D5CEF" w:rsidP="009B70F7" w:rsidRDefault="003D5CEF" w14:paraId="6C8B16D0" w14:textId="4DBBCC00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</w:pPr>
    </w:p>
    <w:p w:rsidRPr="003C0FEB" w:rsidR="00B23E5D" w:rsidP="009B70F7" w:rsidRDefault="00D24072" w14:paraId="2EF71742" w14:textId="6DCFD583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</w:pPr>
      <w:r w:rsidRPr="003C0FE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Vīza: Valsts sekretāre</w:t>
      </w:r>
      <w:r w:rsidRPr="003C0FEB" w:rsidR="00B23E5D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3C0FEB" w:rsidR="00B23E5D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3C0FEB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lv-LV"/>
        </w:rPr>
        <w:t>D.Vilsone</w:t>
      </w:r>
    </w:p>
    <w:p w:rsidRPr="003C0FEB" w:rsidR="002C5163" w:rsidP="009B70F7" w:rsidRDefault="002C5163" w14:paraId="2BB285D8" w14:textId="701A4EDE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3F7B02" w:rsidP="009B70F7" w:rsidRDefault="003F7B02" w14:paraId="3C5088F2" w14:textId="78A26DC6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3F7B02" w:rsidP="009B70F7" w:rsidRDefault="003F7B02" w14:paraId="548D1F3A" w14:textId="593EF468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C5240D" w:rsidP="009B70F7" w:rsidRDefault="00C5240D" w14:paraId="2E9F705A" w14:textId="1E072AEA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965209" w:rsidP="009B70F7" w:rsidRDefault="00965209" w14:paraId="140612A0" w14:textId="48053FC5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965209" w:rsidP="009B70F7" w:rsidRDefault="00965209" w14:paraId="0C6C3286" w14:textId="2DDAFCDF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965209" w:rsidP="009B70F7" w:rsidRDefault="00965209" w14:paraId="4523C7B6" w14:textId="08B15CA6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965209" w:rsidP="009B70F7" w:rsidRDefault="00965209" w14:paraId="173C0361" w14:textId="745A671E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965209" w:rsidP="009B70F7" w:rsidRDefault="00965209" w14:paraId="4B32E3A8" w14:textId="7A548450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965209" w:rsidP="009B70F7" w:rsidRDefault="00965209" w14:paraId="1764DA90" w14:textId="13219690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965209" w:rsidP="009B70F7" w:rsidRDefault="00965209" w14:paraId="0A99DA66" w14:textId="77777777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C5240D" w:rsidP="009B70F7" w:rsidRDefault="00C5240D" w14:paraId="3BB79A11" w14:textId="0D9E4330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C5240D" w:rsidP="009B70F7" w:rsidRDefault="00C5240D" w14:paraId="0B844715" w14:textId="6CA79E68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3C0FEB" w:rsidR="00C5240D" w:rsidP="009B70F7" w:rsidRDefault="00C5240D" w14:paraId="7574FB4E" w14:textId="77777777">
      <w:pPr>
        <w:pStyle w:val="Galve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Pr="00965209" w:rsidR="00965209" w:rsidP="009B70F7" w:rsidRDefault="00965209" w14:paraId="40DFC703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US" w:eastAsia="lv-LV"/>
        </w:rPr>
      </w:pPr>
      <w:r w:rsidRPr="00965209">
        <w:rPr>
          <w:rFonts w:ascii="Times New Roman" w:hAnsi="Times New Roman" w:eastAsia="Times New Roman" w:cs="Times New Roman"/>
          <w:sz w:val="20"/>
          <w:szCs w:val="20"/>
          <w:lang w:val="en-US" w:eastAsia="lv-LV"/>
        </w:rPr>
        <w:t>Zariņš 67330255</w:t>
      </w:r>
    </w:p>
    <w:p w:rsidRPr="003C0FEB" w:rsidR="009B70F7" w:rsidRDefault="00744692" w14:paraId="03A0C2D0" w14:textId="270FA331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w:history="1" r:id="rId9">
        <w:r w:rsidRPr="00965209" w:rsidR="00965209">
          <w:rPr>
            <w:rFonts w:ascii="Times New Roman" w:hAnsi="Times New Roman" w:eastAsia="Times New Roman" w:cs="Times New Roman"/>
            <w:color w:val="0000FF"/>
            <w:sz w:val="20"/>
            <w:szCs w:val="20"/>
            <w:u w:val="single"/>
            <w:lang w:val="en-US" w:eastAsia="lv-LV"/>
          </w:rPr>
          <w:t>Uldis.Zarins@km.gov.lv</w:t>
        </w:r>
      </w:hyperlink>
    </w:p>
    <w:sectPr w:rsidRPr="003C0FEB" w:rsidR="009B70F7" w:rsidSect="00823166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E3A4" w14:textId="77777777" w:rsidR="003C4C0C" w:rsidRDefault="003C4C0C" w:rsidP="00894C55">
      <w:pPr>
        <w:spacing w:after="0" w:line="240" w:lineRule="auto"/>
      </w:pPr>
      <w:r>
        <w:separator/>
      </w:r>
    </w:p>
  </w:endnote>
  <w:endnote w:type="continuationSeparator" w:id="0">
    <w:p w14:paraId="0FBCF81E" w14:textId="77777777" w:rsidR="003C4C0C" w:rsidRDefault="003C4C0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FF87" w14:textId="46BB60B6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r w:rsidRPr="00FA0A1A">
      <w:rPr>
        <w:rFonts w:ascii="Times New Roman" w:hAnsi="Times New Roman" w:cs="Times New Roman"/>
        <w:sz w:val="20"/>
        <w:szCs w:val="20"/>
      </w:rPr>
      <w:t>KMAnot_</w:t>
    </w:r>
    <w:r w:rsidR="00965209">
      <w:rPr>
        <w:rFonts w:ascii="Times New Roman" w:hAnsi="Times New Roman" w:cs="Times New Roman"/>
        <w:sz w:val="20"/>
        <w:szCs w:val="20"/>
      </w:rPr>
      <w:t>28</w:t>
    </w:r>
    <w:r w:rsidR="00E4664A">
      <w:rPr>
        <w:rFonts w:ascii="Times New Roman" w:hAnsi="Times New Roman" w:cs="Times New Roman"/>
        <w:sz w:val="20"/>
        <w:szCs w:val="20"/>
      </w:rPr>
      <w:t>0</w:t>
    </w:r>
    <w:r w:rsidR="001A16BD">
      <w:rPr>
        <w:rFonts w:ascii="Times New Roman" w:hAnsi="Times New Roman" w:cs="Times New Roman"/>
        <w:sz w:val="20"/>
        <w:szCs w:val="20"/>
      </w:rPr>
      <w:t>6</w:t>
    </w:r>
    <w:r w:rsidRPr="00FA0A1A">
      <w:rPr>
        <w:rFonts w:ascii="Times New Roman" w:hAnsi="Times New Roman" w:cs="Times New Roman"/>
        <w:sz w:val="20"/>
        <w:szCs w:val="20"/>
      </w:rPr>
      <w:t>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CB89" w14:textId="0762C0AA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bookmarkStart w:id="0" w:name="_Hlk69117559"/>
    <w:bookmarkStart w:id="1" w:name="_Hlk69117560"/>
    <w:r w:rsidRPr="00FA0A1A">
      <w:rPr>
        <w:rFonts w:ascii="Times New Roman" w:hAnsi="Times New Roman" w:cs="Times New Roman"/>
        <w:sz w:val="20"/>
        <w:szCs w:val="20"/>
      </w:rPr>
      <w:t>KMAnot_</w:t>
    </w:r>
    <w:r w:rsidR="00965209">
      <w:rPr>
        <w:rFonts w:ascii="Times New Roman" w:hAnsi="Times New Roman" w:cs="Times New Roman"/>
        <w:sz w:val="20"/>
        <w:szCs w:val="20"/>
      </w:rPr>
      <w:t>28</w:t>
    </w:r>
    <w:r w:rsidR="00714E5B">
      <w:rPr>
        <w:rFonts w:ascii="Times New Roman" w:hAnsi="Times New Roman" w:cs="Times New Roman"/>
        <w:sz w:val="20"/>
        <w:szCs w:val="20"/>
      </w:rPr>
      <w:t>0</w:t>
    </w:r>
    <w:r w:rsidR="000971AB">
      <w:rPr>
        <w:rFonts w:ascii="Times New Roman" w:hAnsi="Times New Roman" w:cs="Times New Roman"/>
        <w:sz w:val="20"/>
        <w:szCs w:val="20"/>
      </w:rPr>
      <w:t>6</w:t>
    </w:r>
    <w:r w:rsidR="00714E5B" w:rsidRPr="00FA0A1A">
      <w:rPr>
        <w:rFonts w:ascii="Times New Roman" w:hAnsi="Times New Roman" w:cs="Times New Roman"/>
        <w:sz w:val="20"/>
        <w:szCs w:val="20"/>
      </w:rPr>
      <w:t>21</w:t>
    </w:r>
    <w:r w:rsidRPr="00FA0A1A">
      <w:rPr>
        <w:rFonts w:ascii="Times New Roman" w:hAnsi="Times New Roman" w:cs="Times New Roman"/>
        <w:sz w:val="20"/>
        <w:szCs w:val="20"/>
      </w:rPr>
      <w:t>_groz_360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FB3B" w14:textId="77777777" w:rsidR="003C4C0C" w:rsidRDefault="003C4C0C" w:rsidP="00894C55">
      <w:pPr>
        <w:spacing w:after="0" w:line="240" w:lineRule="auto"/>
      </w:pPr>
      <w:r>
        <w:separator/>
      </w:r>
    </w:p>
  </w:footnote>
  <w:footnote w:type="continuationSeparator" w:id="0">
    <w:p w14:paraId="2FAE750D" w14:textId="77777777" w:rsidR="003C4C0C" w:rsidRDefault="003C4C0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744692" w:rsidR="001A4A2E" w:rsidRDefault="001A4A2E" w14:paraId="66DD025E" w14:textId="0B1E1C7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6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46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46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44692" w:rsidR="007325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446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964"/>
    <w:multiLevelType w:val="hybridMultilevel"/>
    <w:tmpl w:val="4F04DCA6"/>
    <w:lvl w:ilvl="0" w:tplc="3C9471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33EC4"/>
    <w:multiLevelType w:val="hybridMultilevel"/>
    <w:tmpl w:val="8BC80058"/>
    <w:lvl w:ilvl="0" w:tplc="1C4E63F0">
      <w:start w:val="1"/>
      <w:numFmt w:val="decimal"/>
      <w:lvlText w:val="%1)"/>
      <w:lvlJc w:val="left"/>
      <w:pPr>
        <w:ind w:left="840" w:hanging="48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5FC"/>
    <w:multiLevelType w:val="hybridMultilevel"/>
    <w:tmpl w:val="779C34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7EC"/>
    <w:multiLevelType w:val="hybridMultilevel"/>
    <w:tmpl w:val="A90835BE"/>
    <w:lvl w:ilvl="0" w:tplc="236645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022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7742" w:hanging="360"/>
      </w:pPr>
    </w:lvl>
    <w:lvl w:ilvl="2" w:tplc="0426001B" w:tentative="1">
      <w:start w:val="1"/>
      <w:numFmt w:val="lowerRoman"/>
      <w:lvlText w:val="%3."/>
      <w:lvlJc w:val="right"/>
      <w:pPr>
        <w:ind w:left="8462" w:hanging="180"/>
      </w:pPr>
    </w:lvl>
    <w:lvl w:ilvl="3" w:tplc="0426000F" w:tentative="1">
      <w:start w:val="1"/>
      <w:numFmt w:val="decimal"/>
      <w:lvlText w:val="%4."/>
      <w:lvlJc w:val="left"/>
      <w:pPr>
        <w:ind w:left="9182" w:hanging="360"/>
      </w:pPr>
    </w:lvl>
    <w:lvl w:ilvl="4" w:tplc="04260019" w:tentative="1">
      <w:start w:val="1"/>
      <w:numFmt w:val="lowerLetter"/>
      <w:lvlText w:val="%5."/>
      <w:lvlJc w:val="left"/>
      <w:pPr>
        <w:ind w:left="9902" w:hanging="360"/>
      </w:pPr>
    </w:lvl>
    <w:lvl w:ilvl="5" w:tplc="0426001B" w:tentative="1">
      <w:start w:val="1"/>
      <w:numFmt w:val="lowerRoman"/>
      <w:lvlText w:val="%6."/>
      <w:lvlJc w:val="right"/>
      <w:pPr>
        <w:ind w:left="10622" w:hanging="180"/>
      </w:pPr>
    </w:lvl>
    <w:lvl w:ilvl="6" w:tplc="0426000F" w:tentative="1">
      <w:start w:val="1"/>
      <w:numFmt w:val="decimal"/>
      <w:lvlText w:val="%7."/>
      <w:lvlJc w:val="left"/>
      <w:pPr>
        <w:ind w:left="11342" w:hanging="360"/>
      </w:pPr>
    </w:lvl>
    <w:lvl w:ilvl="7" w:tplc="04260019" w:tentative="1">
      <w:start w:val="1"/>
      <w:numFmt w:val="lowerLetter"/>
      <w:lvlText w:val="%8."/>
      <w:lvlJc w:val="left"/>
      <w:pPr>
        <w:ind w:left="12062" w:hanging="360"/>
      </w:pPr>
    </w:lvl>
    <w:lvl w:ilvl="8" w:tplc="0426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9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37FF69CA"/>
    <w:multiLevelType w:val="hybridMultilevel"/>
    <w:tmpl w:val="DAAEE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3AD1"/>
    <w:multiLevelType w:val="hybridMultilevel"/>
    <w:tmpl w:val="697C2C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7256"/>
    <w:multiLevelType w:val="hybridMultilevel"/>
    <w:tmpl w:val="CADCEA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3C47"/>
    <w:multiLevelType w:val="hybridMultilevel"/>
    <w:tmpl w:val="8636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534DE"/>
    <w:multiLevelType w:val="hybridMultilevel"/>
    <w:tmpl w:val="72DC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065C"/>
    <w:multiLevelType w:val="hybridMultilevel"/>
    <w:tmpl w:val="E2D6E714"/>
    <w:lvl w:ilvl="0" w:tplc="042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7FC7"/>
    <w:multiLevelType w:val="hybridMultilevel"/>
    <w:tmpl w:val="BC58F930"/>
    <w:lvl w:ilvl="0" w:tplc="93B28DD6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874F77"/>
    <w:multiLevelType w:val="hybridMultilevel"/>
    <w:tmpl w:val="7F6A9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17FF8"/>
    <w:multiLevelType w:val="hybridMultilevel"/>
    <w:tmpl w:val="A768D5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5BB5"/>
    <w:multiLevelType w:val="multilevel"/>
    <w:tmpl w:val="3FB69F5A"/>
    <w:numStyleLink w:val="Numbered"/>
  </w:abstractNum>
  <w:abstractNum w:abstractNumId="24" w15:restartNumberingAfterBreak="0">
    <w:nsid w:val="5A8B3D67"/>
    <w:multiLevelType w:val="multilevel"/>
    <w:tmpl w:val="3FB69F5A"/>
    <w:styleLink w:val="Numbered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BD3B04"/>
    <w:multiLevelType w:val="hybridMultilevel"/>
    <w:tmpl w:val="10DABC60"/>
    <w:lvl w:ilvl="0" w:tplc="A8069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1E5D"/>
    <w:multiLevelType w:val="hybridMultilevel"/>
    <w:tmpl w:val="D1705708"/>
    <w:lvl w:ilvl="0" w:tplc="0426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0CA4A0E"/>
    <w:multiLevelType w:val="hybridMultilevel"/>
    <w:tmpl w:val="BA666F5E"/>
    <w:lvl w:ilvl="0" w:tplc="46D01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34F55"/>
    <w:multiLevelType w:val="hybridMultilevel"/>
    <w:tmpl w:val="E0106CAC"/>
    <w:lvl w:ilvl="0" w:tplc="7A70C14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7E221FBC"/>
    <w:multiLevelType w:val="hybridMultilevel"/>
    <w:tmpl w:val="3A3201E2"/>
    <w:lvl w:ilvl="0" w:tplc="5EF40C4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5"/>
  </w:num>
  <w:num w:numId="5">
    <w:abstractNumId w:val="25"/>
  </w:num>
  <w:num w:numId="6">
    <w:abstractNumId w:val="2"/>
  </w:num>
  <w:num w:numId="7">
    <w:abstractNumId w:val="10"/>
  </w:num>
  <w:num w:numId="8">
    <w:abstractNumId w:val="31"/>
  </w:num>
  <w:num w:numId="9">
    <w:abstractNumId w:val="6"/>
  </w:num>
  <w:num w:numId="10">
    <w:abstractNumId w:val="20"/>
  </w:num>
  <w:num w:numId="11">
    <w:abstractNumId w:val="29"/>
  </w:num>
  <w:num w:numId="12">
    <w:abstractNumId w:val="9"/>
  </w:num>
  <w:num w:numId="13">
    <w:abstractNumId w:val="17"/>
  </w:num>
  <w:num w:numId="14">
    <w:abstractNumId w:val="26"/>
  </w:num>
  <w:num w:numId="15">
    <w:abstractNumId w:val="33"/>
  </w:num>
  <w:num w:numId="16">
    <w:abstractNumId w:val="1"/>
  </w:num>
  <w:num w:numId="17">
    <w:abstractNumId w:val="8"/>
  </w:num>
  <w:num w:numId="18">
    <w:abstractNumId w:val="32"/>
  </w:num>
  <w:num w:numId="19">
    <w:abstractNumId w:val="27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3"/>
  </w:num>
  <w:num w:numId="25">
    <w:abstractNumId w:val="22"/>
  </w:num>
  <w:num w:numId="26">
    <w:abstractNumId w:val="14"/>
  </w:num>
  <w:num w:numId="27">
    <w:abstractNumId w:val="24"/>
  </w:num>
  <w:num w:numId="28">
    <w:abstractNumId w:val="23"/>
  </w:num>
  <w:num w:numId="29">
    <w:abstractNumId w:val="4"/>
  </w:num>
  <w:num w:numId="30">
    <w:abstractNumId w:val="16"/>
  </w:num>
  <w:num w:numId="31">
    <w:abstractNumId w:val="12"/>
  </w:num>
  <w:num w:numId="32">
    <w:abstractNumId w:val="18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5C6D"/>
    <w:rsid w:val="0000624E"/>
    <w:rsid w:val="00022F2F"/>
    <w:rsid w:val="000239AE"/>
    <w:rsid w:val="00024E26"/>
    <w:rsid w:val="0002708B"/>
    <w:rsid w:val="00030EB1"/>
    <w:rsid w:val="00033D7E"/>
    <w:rsid w:val="00036235"/>
    <w:rsid w:val="00037942"/>
    <w:rsid w:val="00040DA3"/>
    <w:rsid w:val="00041623"/>
    <w:rsid w:val="0004370B"/>
    <w:rsid w:val="0005473D"/>
    <w:rsid w:val="00055582"/>
    <w:rsid w:val="00064C7A"/>
    <w:rsid w:val="00067288"/>
    <w:rsid w:val="00075B18"/>
    <w:rsid w:val="00081706"/>
    <w:rsid w:val="00085703"/>
    <w:rsid w:val="00093490"/>
    <w:rsid w:val="00095591"/>
    <w:rsid w:val="0009630E"/>
    <w:rsid w:val="000971AB"/>
    <w:rsid w:val="000A2399"/>
    <w:rsid w:val="000A63EC"/>
    <w:rsid w:val="000A668A"/>
    <w:rsid w:val="000A6E9C"/>
    <w:rsid w:val="000B22E5"/>
    <w:rsid w:val="000B297C"/>
    <w:rsid w:val="000B7A96"/>
    <w:rsid w:val="000B7E3F"/>
    <w:rsid w:val="000C2FF0"/>
    <w:rsid w:val="000C63F9"/>
    <w:rsid w:val="000D06A2"/>
    <w:rsid w:val="000D128F"/>
    <w:rsid w:val="000D4FAD"/>
    <w:rsid w:val="000D56BE"/>
    <w:rsid w:val="000D587E"/>
    <w:rsid w:val="000D6FD3"/>
    <w:rsid w:val="000E1F68"/>
    <w:rsid w:val="000E4B02"/>
    <w:rsid w:val="000E61BA"/>
    <w:rsid w:val="000E73AD"/>
    <w:rsid w:val="00103C22"/>
    <w:rsid w:val="00104DB3"/>
    <w:rsid w:val="00104EE7"/>
    <w:rsid w:val="00113AB7"/>
    <w:rsid w:val="00113C84"/>
    <w:rsid w:val="00122BC6"/>
    <w:rsid w:val="0012352E"/>
    <w:rsid w:val="0012465D"/>
    <w:rsid w:val="00125120"/>
    <w:rsid w:val="00126B8B"/>
    <w:rsid w:val="00131B7A"/>
    <w:rsid w:val="001463DA"/>
    <w:rsid w:val="00147553"/>
    <w:rsid w:val="001479F6"/>
    <w:rsid w:val="0015063E"/>
    <w:rsid w:val="001536DA"/>
    <w:rsid w:val="001567BF"/>
    <w:rsid w:val="001667E8"/>
    <w:rsid w:val="001728A8"/>
    <w:rsid w:val="00176BB5"/>
    <w:rsid w:val="001778B6"/>
    <w:rsid w:val="001828B7"/>
    <w:rsid w:val="0018499E"/>
    <w:rsid w:val="00184E1C"/>
    <w:rsid w:val="001A16BD"/>
    <w:rsid w:val="001A482C"/>
    <w:rsid w:val="001A4A2E"/>
    <w:rsid w:val="001B1A4A"/>
    <w:rsid w:val="001B4016"/>
    <w:rsid w:val="001C1FF5"/>
    <w:rsid w:val="001C3358"/>
    <w:rsid w:val="001C59B7"/>
    <w:rsid w:val="001C5A2A"/>
    <w:rsid w:val="001D24E3"/>
    <w:rsid w:val="001F5667"/>
    <w:rsid w:val="001F7240"/>
    <w:rsid w:val="001F7512"/>
    <w:rsid w:val="001F78FE"/>
    <w:rsid w:val="00207D12"/>
    <w:rsid w:val="00210474"/>
    <w:rsid w:val="00211FEF"/>
    <w:rsid w:val="00213FAA"/>
    <w:rsid w:val="00220CB2"/>
    <w:rsid w:val="00223E57"/>
    <w:rsid w:val="00224688"/>
    <w:rsid w:val="00226B6D"/>
    <w:rsid w:val="00232A89"/>
    <w:rsid w:val="0023313D"/>
    <w:rsid w:val="0023549C"/>
    <w:rsid w:val="00236670"/>
    <w:rsid w:val="00241A84"/>
    <w:rsid w:val="00243426"/>
    <w:rsid w:val="00244AFA"/>
    <w:rsid w:val="00247F7D"/>
    <w:rsid w:val="00252698"/>
    <w:rsid w:val="00255173"/>
    <w:rsid w:val="002603D7"/>
    <w:rsid w:val="0026588C"/>
    <w:rsid w:val="00270966"/>
    <w:rsid w:val="00272A0C"/>
    <w:rsid w:val="0027515C"/>
    <w:rsid w:val="00280629"/>
    <w:rsid w:val="00282C43"/>
    <w:rsid w:val="0028408B"/>
    <w:rsid w:val="0028670F"/>
    <w:rsid w:val="00286E9B"/>
    <w:rsid w:val="002915CF"/>
    <w:rsid w:val="00291DB6"/>
    <w:rsid w:val="00297062"/>
    <w:rsid w:val="002975AA"/>
    <w:rsid w:val="002A0D2F"/>
    <w:rsid w:val="002A3794"/>
    <w:rsid w:val="002A524F"/>
    <w:rsid w:val="002B2943"/>
    <w:rsid w:val="002B5C48"/>
    <w:rsid w:val="002B5C78"/>
    <w:rsid w:val="002B67F8"/>
    <w:rsid w:val="002C2ABD"/>
    <w:rsid w:val="002C5163"/>
    <w:rsid w:val="002D085B"/>
    <w:rsid w:val="002D6045"/>
    <w:rsid w:val="002E058D"/>
    <w:rsid w:val="002E112B"/>
    <w:rsid w:val="002E1C05"/>
    <w:rsid w:val="002E249E"/>
    <w:rsid w:val="002E47D0"/>
    <w:rsid w:val="002E6A1F"/>
    <w:rsid w:val="002E6E91"/>
    <w:rsid w:val="002E6EA7"/>
    <w:rsid w:val="002E7B86"/>
    <w:rsid w:val="002F3B85"/>
    <w:rsid w:val="002F6CAB"/>
    <w:rsid w:val="00301364"/>
    <w:rsid w:val="00305EA1"/>
    <w:rsid w:val="00311B9B"/>
    <w:rsid w:val="00312768"/>
    <w:rsid w:val="0031703B"/>
    <w:rsid w:val="00321852"/>
    <w:rsid w:val="00321ABA"/>
    <w:rsid w:val="00333BD0"/>
    <w:rsid w:val="00335591"/>
    <w:rsid w:val="003431EC"/>
    <w:rsid w:val="00343FFB"/>
    <w:rsid w:val="003546FC"/>
    <w:rsid w:val="003552CE"/>
    <w:rsid w:val="0036204A"/>
    <w:rsid w:val="00365131"/>
    <w:rsid w:val="00366158"/>
    <w:rsid w:val="0036699F"/>
    <w:rsid w:val="003718B1"/>
    <w:rsid w:val="003729A6"/>
    <w:rsid w:val="00375025"/>
    <w:rsid w:val="00375203"/>
    <w:rsid w:val="0037635A"/>
    <w:rsid w:val="00381728"/>
    <w:rsid w:val="0038446C"/>
    <w:rsid w:val="0038508D"/>
    <w:rsid w:val="00385FF0"/>
    <w:rsid w:val="003866B1"/>
    <w:rsid w:val="003946B5"/>
    <w:rsid w:val="00395641"/>
    <w:rsid w:val="003A1BF0"/>
    <w:rsid w:val="003A27FD"/>
    <w:rsid w:val="003A6985"/>
    <w:rsid w:val="003A6DF1"/>
    <w:rsid w:val="003B0BF9"/>
    <w:rsid w:val="003C0081"/>
    <w:rsid w:val="003C0FEB"/>
    <w:rsid w:val="003C4321"/>
    <w:rsid w:val="003C4C0C"/>
    <w:rsid w:val="003C5459"/>
    <w:rsid w:val="003D11DB"/>
    <w:rsid w:val="003D1C57"/>
    <w:rsid w:val="003D3C25"/>
    <w:rsid w:val="003D5CEF"/>
    <w:rsid w:val="003D7CF6"/>
    <w:rsid w:val="003E011A"/>
    <w:rsid w:val="003E0791"/>
    <w:rsid w:val="003E0DBF"/>
    <w:rsid w:val="003E177C"/>
    <w:rsid w:val="003E211A"/>
    <w:rsid w:val="003E239C"/>
    <w:rsid w:val="003E3294"/>
    <w:rsid w:val="003E67C1"/>
    <w:rsid w:val="003F211E"/>
    <w:rsid w:val="003F28AC"/>
    <w:rsid w:val="003F3514"/>
    <w:rsid w:val="003F36A4"/>
    <w:rsid w:val="003F7B02"/>
    <w:rsid w:val="0041142F"/>
    <w:rsid w:val="004124D2"/>
    <w:rsid w:val="00413567"/>
    <w:rsid w:val="00416B51"/>
    <w:rsid w:val="004205BA"/>
    <w:rsid w:val="00420F95"/>
    <w:rsid w:val="00424E6C"/>
    <w:rsid w:val="004361AC"/>
    <w:rsid w:val="0044014A"/>
    <w:rsid w:val="00440A20"/>
    <w:rsid w:val="00441B79"/>
    <w:rsid w:val="004454FE"/>
    <w:rsid w:val="00450A67"/>
    <w:rsid w:val="00453E65"/>
    <w:rsid w:val="00456E40"/>
    <w:rsid w:val="00463951"/>
    <w:rsid w:val="00463FAF"/>
    <w:rsid w:val="00467E20"/>
    <w:rsid w:val="00471F27"/>
    <w:rsid w:val="00472899"/>
    <w:rsid w:val="004751AA"/>
    <w:rsid w:val="00477C8E"/>
    <w:rsid w:val="0048349F"/>
    <w:rsid w:val="00483739"/>
    <w:rsid w:val="004850C1"/>
    <w:rsid w:val="00487834"/>
    <w:rsid w:val="00490A1D"/>
    <w:rsid w:val="004911E9"/>
    <w:rsid w:val="00491A01"/>
    <w:rsid w:val="00493C57"/>
    <w:rsid w:val="004950B4"/>
    <w:rsid w:val="00497DA6"/>
    <w:rsid w:val="004A598B"/>
    <w:rsid w:val="004B127E"/>
    <w:rsid w:val="004B2557"/>
    <w:rsid w:val="004B2CAD"/>
    <w:rsid w:val="004D1CBF"/>
    <w:rsid w:val="004E4E28"/>
    <w:rsid w:val="004E5036"/>
    <w:rsid w:val="004E5758"/>
    <w:rsid w:val="004E63EE"/>
    <w:rsid w:val="004E6641"/>
    <w:rsid w:val="004E72CD"/>
    <w:rsid w:val="004F2DD6"/>
    <w:rsid w:val="004F4B3D"/>
    <w:rsid w:val="0050178F"/>
    <w:rsid w:val="0050181C"/>
    <w:rsid w:val="00501E95"/>
    <w:rsid w:val="0050375F"/>
    <w:rsid w:val="005049D7"/>
    <w:rsid w:val="00506FDF"/>
    <w:rsid w:val="0051050D"/>
    <w:rsid w:val="00511D43"/>
    <w:rsid w:val="005140ED"/>
    <w:rsid w:val="005234C5"/>
    <w:rsid w:val="0052591C"/>
    <w:rsid w:val="0053178E"/>
    <w:rsid w:val="0053196A"/>
    <w:rsid w:val="005337EB"/>
    <w:rsid w:val="00537448"/>
    <w:rsid w:val="005407B6"/>
    <w:rsid w:val="00541F8D"/>
    <w:rsid w:val="005430E6"/>
    <w:rsid w:val="00546752"/>
    <w:rsid w:val="00553215"/>
    <w:rsid w:val="00554D59"/>
    <w:rsid w:val="00554F7E"/>
    <w:rsid w:val="00555658"/>
    <w:rsid w:val="00556DE7"/>
    <w:rsid w:val="005578D0"/>
    <w:rsid w:val="00564AAD"/>
    <w:rsid w:val="00570619"/>
    <w:rsid w:val="005708E4"/>
    <w:rsid w:val="00572911"/>
    <w:rsid w:val="00573DF9"/>
    <w:rsid w:val="005765F8"/>
    <w:rsid w:val="00577735"/>
    <w:rsid w:val="0058169A"/>
    <w:rsid w:val="00592143"/>
    <w:rsid w:val="00594723"/>
    <w:rsid w:val="005950A1"/>
    <w:rsid w:val="005975F6"/>
    <w:rsid w:val="005A5049"/>
    <w:rsid w:val="005A5066"/>
    <w:rsid w:val="005B31EC"/>
    <w:rsid w:val="005B53CD"/>
    <w:rsid w:val="005B5FDD"/>
    <w:rsid w:val="005C2152"/>
    <w:rsid w:val="005D44BE"/>
    <w:rsid w:val="005F036C"/>
    <w:rsid w:val="005F211D"/>
    <w:rsid w:val="00600EB5"/>
    <w:rsid w:val="00607062"/>
    <w:rsid w:val="0061033E"/>
    <w:rsid w:val="00614D18"/>
    <w:rsid w:val="006230C2"/>
    <w:rsid w:val="0062314E"/>
    <w:rsid w:val="00625AD2"/>
    <w:rsid w:val="00633A93"/>
    <w:rsid w:val="006360B2"/>
    <w:rsid w:val="00652978"/>
    <w:rsid w:val="006544F9"/>
    <w:rsid w:val="00655540"/>
    <w:rsid w:val="00655F2C"/>
    <w:rsid w:val="00665B25"/>
    <w:rsid w:val="00670C9D"/>
    <w:rsid w:val="006762B0"/>
    <w:rsid w:val="006775DC"/>
    <w:rsid w:val="00680493"/>
    <w:rsid w:val="0068190B"/>
    <w:rsid w:val="00684079"/>
    <w:rsid w:val="006910CD"/>
    <w:rsid w:val="00692D48"/>
    <w:rsid w:val="006A0D04"/>
    <w:rsid w:val="006A334A"/>
    <w:rsid w:val="006A4B8F"/>
    <w:rsid w:val="006A7370"/>
    <w:rsid w:val="006B1164"/>
    <w:rsid w:val="006C43A4"/>
    <w:rsid w:val="006C5A75"/>
    <w:rsid w:val="006C66EC"/>
    <w:rsid w:val="006D70AC"/>
    <w:rsid w:val="006E0BB0"/>
    <w:rsid w:val="006E1081"/>
    <w:rsid w:val="006E23A2"/>
    <w:rsid w:val="006E41A0"/>
    <w:rsid w:val="006E6AE5"/>
    <w:rsid w:val="006F17A6"/>
    <w:rsid w:val="006F2569"/>
    <w:rsid w:val="007043DE"/>
    <w:rsid w:val="00714819"/>
    <w:rsid w:val="00714E5B"/>
    <w:rsid w:val="00720585"/>
    <w:rsid w:val="0072336E"/>
    <w:rsid w:val="0072487F"/>
    <w:rsid w:val="007325B4"/>
    <w:rsid w:val="007337B8"/>
    <w:rsid w:val="00733EB5"/>
    <w:rsid w:val="00736F69"/>
    <w:rsid w:val="00737339"/>
    <w:rsid w:val="007406F8"/>
    <w:rsid w:val="00743D4B"/>
    <w:rsid w:val="00744692"/>
    <w:rsid w:val="00745360"/>
    <w:rsid w:val="007575E7"/>
    <w:rsid w:val="0076143B"/>
    <w:rsid w:val="00766DF3"/>
    <w:rsid w:val="00767A40"/>
    <w:rsid w:val="00773AF6"/>
    <w:rsid w:val="00773C3A"/>
    <w:rsid w:val="00774024"/>
    <w:rsid w:val="007748AA"/>
    <w:rsid w:val="0077497D"/>
    <w:rsid w:val="00776BE3"/>
    <w:rsid w:val="00780EAA"/>
    <w:rsid w:val="00783E69"/>
    <w:rsid w:val="0078693C"/>
    <w:rsid w:val="00795F71"/>
    <w:rsid w:val="00797E8A"/>
    <w:rsid w:val="007A37C2"/>
    <w:rsid w:val="007B017C"/>
    <w:rsid w:val="007B26EF"/>
    <w:rsid w:val="007B5ADF"/>
    <w:rsid w:val="007B7FA9"/>
    <w:rsid w:val="007C063F"/>
    <w:rsid w:val="007C7E78"/>
    <w:rsid w:val="007D0830"/>
    <w:rsid w:val="007D10BC"/>
    <w:rsid w:val="007D6BAD"/>
    <w:rsid w:val="007D6ED4"/>
    <w:rsid w:val="007E0AC2"/>
    <w:rsid w:val="007E1517"/>
    <w:rsid w:val="007E3ED8"/>
    <w:rsid w:val="007E5F7A"/>
    <w:rsid w:val="007E73AB"/>
    <w:rsid w:val="007F0ED6"/>
    <w:rsid w:val="007F32E7"/>
    <w:rsid w:val="007F6C27"/>
    <w:rsid w:val="00803DC6"/>
    <w:rsid w:val="00810915"/>
    <w:rsid w:val="008139BF"/>
    <w:rsid w:val="008162DD"/>
    <w:rsid w:val="00816C11"/>
    <w:rsid w:val="00816D19"/>
    <w:rsid w:val="00817EAB"/>
    <w:rsid w:val="00821671"/>
    <w:rsid w:val="00823166"/>
    <w:rsid w:val="00826B02"/>
    <w:rsid w:val="008319BF"/>
    <w:rsid w:val="0083323A"/>
    <w:rsid w:val="00837AFE"/>
    <w:rsid w:val="00841737"/>
    <w:rsid w:val="008466F2"/>
    <w:rsid w:val="00851988"/>
    <w:rsid w:val="008624B6"/>
    <w:rsid w:val="00863F5D"/>
    <w:rsid w:val="008647E0"/>
    <w:rsid w:val="00866AF9"/>
    <w:rsid w:val="00866D0B"/>
    <w:rsid w:val="00872484"/>
    <w:rsid w:val="00882AB6"/>
    <w:rsid w:val="0088543A"/>
    <w:rsid w:val="00893F97"/>
    <w:rsid w:val="0089414E"/>
    <w:rsid w:val="00894816"/>
    <w:rsid w:val="00894C55"/>
    <w:rsid w:val="00895BFA"/>
    <w:rsid w:val="00895C46"/>
    <w:rsid w:val="008A03B3"/>
    <w:rsid w:val="008B14D3"/>
    <w:rsid w:val="008B67EC"/>
    <w:rsid w:val="008B6FB0"/>
    <w:rsid w:val="008C021F"/>
    <w:rsid w:val="008C3F2D"/>
    <w:rsid w:val="008C4847"/>
    <w:rsid w:val="008C6391"/>
    <w:rsid w:val="008D0C3A"/>
    <w:rsid w:val="008D35C5"/>
    <w:rsid w:val="008D7083"/>
    <w:rsid w:val="008E295A"/>
    <w:rsid w:val="008E3EB6"/>
    <w:rsid w:val="008F2051"/>
    <w:rsid w:val="008F23EB"/>
    <w:rsid w:val="008F599A"/>
    <w:rsid w:val="008F7CFA"/>
    <w:rsid w:val="009003C5"/>
    <w:rsid w:val="0090106B"/>
    <w:rsid w:val="0090119D"/>
    <w:rsid w:val="00916E21"/>
    <w:rsid w:val="00922659"/>
    <w:rsid w:val="00926789"/>
    <w:rsid w:val="00930BF7"/>
    <w:rsid w:val="00931369"/>
    <w:rsid w:val="0093163B"/>
    <w:rsid w:val="0093231C"/>
    <w:rsid w:val="00940EB8"/>
    <w:rsid w:val="00941407"/>
    <w:rsid w:val="0094450F"/>
    <w:rsid w:val="009470D3"/>
    <w:rsid w:val="00950248"/>
    <w:rsid w:val="009542AE"/>
    <w:rsid w:val="00955250"/>
    <w:rsid w:val="0095590B"/>
    <w:rsid w:val="009635DF"/>
    <w:rsid w:val="009651C8"/>
    <w:rsid w:val="00965209"/>
    <w:rsid w:val="00973F6B"/>
    <w:rsid w:val="00975736"/>
    <w:rsid w:val="00975891"/>
    <w:rsid w:val="00976AAB"/>
    <w:rsid w:val="009774C7"/>
    <w:rsid w:val="00992C2E"/>
    <w:rsid w:val="00993B53"/>
    <w:rsid w:val="009960D5"/>
    <w:rsid w:val="00997F8F"/>
    <w:rsid w:val="009A0741"/>
    <w:rsid w:val="009A262D"/>
    <w:rsid w:val="009A2654"/>
    <w:rsid w:val="009A4B66"/>
    <w:rsid w:val="009A4E37"/>
    <w:rsid w:val="009B2BDD"/>
    <w:rsid w:val="009B385E"/>
    <w:rsid w:val="009B70F7"/>
    <w:rsid w:val="009C3EA4"/>
    <w:rsid w:val="009C6178"/>
    <w:rsid w:val="009D1BEC"/>
    <w:rsid w:val="009D2DF0"/>
    <w:rsid w:val="009D4CB0"/>
    <w:rsid w:val="009D5349"/>
    <w:rsid w:val="009E0363"/>
    <w:rsid w:val="009E03AB"/>
    <w:rsid w:val="009E0E25"/>
    <w:rsid w:val="009F514A"/>
    <w:rsid w:val="00A00422"/>
    <w:rsid w:val="00A02FEE"/>
    <w:rsid w:val="00A03AC7"/>
    <w:rsid w:val="00A07B60"/>
    <w:rsid w:val="00A10BDB"/>
    <w:rsid w:val="00A10FC3"/>
    <w:rsid w:val="00A12082"/>
    <w:rsid w:val="00A133D1"/>
    <w:rsid w:val="00A20DCC"/>
    <w:rsid w:val="00A21178"/>
    <w:rsid w:val="00A23E0A"/>
    <w:rsid w:val="00A24E09"/>
    <w:rsid w:val="00A3306C"/>
    <w:rsid w:val="00A36265"/>
    <w:rsid w:val="00A369DC"/>
    <w:rsid w:val="00A37DB4"/>
    <w:rsid w:val="00A401FE"/>
    <w:rsid w:val="00A50CC9"/>
    <w:rsid w:val="00A53A7C"/>
    <w:rsid w:val="00A54C39"/>
    <w:rsid w:val="00A56E14"/>
    <w:rsid w:val="00A6073E"/>
    <w:rsid w:val="00A615B8"/>
    <w:rsid w:val="00A63E8B"/>
    <w:rsid w:val="00A6461C"/>
    <w:rsid w:val="00A667AB"/>
    <w:rsid w:val="00A67172"/>
    <w:rsid w:val="00A70DC1"/>
    <w:rsid w:val="00A72BC8"/>
    <w:rsid w:val="00A76095"/>
    <w:rsid w:val="00A77BD1"/>
    <w:rsid w:val="00A84DB0"/>
    <w:rsid w:val="00A859C0"/>
    <w:rsid w:val="00A9254D"/>
    <w:rsid w:val="00A9511B"/>
    <w:rsid w:val="00A97030"/>
    <w:rsid w:val="00AA19AB"/>
    <w:rsid w:val="00AB3A96"/>
    <w:rsid w:val="00AB440B"/>
    <w:rsid w:val="00AC1A90"/>
    <w:rsid w:val="00AC6847"/>
    <w:rsid w:val="00AC7C2A"/>
    <w:rsid w:val="00AD1B5D"/>
    <w:rsid w:val="00AD63A5"/>
    <w:rsid w:val="00AD6734"/>
    <w:rsid w:val="00AE485C"/>
    <w:rsid w:val="00AE5567"/>
    <w:rsid w:val="00AF1239"/>
    <w:rsid w:val="00AF49E9"/>
    <w:rsid w:val="00AF6158"/>
    <w:rsid w:val="00AF6B7B"/>
    <w:rsid w:val="00AF758E"/>
    <w:rsid w:val="00B04C84"/>
    <w:rsid w:val="00B05BEC"/>
    <w:rsid w:val="00B06CF6"/>
    <w:rsid w:val="00B16480"/>
    <w:rsid w:val="00B17A27"/>
    <w:rsid w:val="00B20DFE"/>
    <w:rsid w:val="00B2165C"/>
    <w:rsid w:val="00B23E5D"/>
    <w:rsid w:val="00B2404A"/>
    <w:rsid w:val="00B2477F"/>
    <w:rsid w:val="00B27BE3"/>
    <w:rsid w:val="00B300D0"/>
    <w:rsid w:val="00B304F3"/>
    <w:rsid w:val="00B318C7"/>
    <w:rsid w:val="00B40315"/>
    <w:rsid w:val="00B47174"/>
    <w:rsid w:val="00B52E82"/>
    <w:rsid w:val="00B565C9"/>
    <w:rsid w:val="00B61C9C"/>
    <w:rsid w:val="00B63AAB"/>
    <w:rsid w:val="00B64563"/>
    <w:rsid w:val="00B70A34"/>
    <w:rsid w:val="00B75EE1"/>
    <w:rsid w:val="00B75F28"/>
    <w:rsid w:val="00B7757D"/>
    <w:rsid w:val="00B81B63"/>
    <w:rsid w:val="00B87687"/>
    <w:rsid w:val="00B96171"/>
    <w:rsid w:val="00BA20AA"/>
    <w:rsid w:val="00BA2587"/>
    <w:rsid w:val="00BA3AA5"/>
    <w:rsid w:val="00BB194F"/>
    <w:rsid w:val="00BC384E"/>
    <w:rsid w:val="00BC3DF1"/>
    <w:rsid w:val="00BD3F9A"/>
    <w:rsid w:val="00BD4425"/>
    <w:rsid w:val="00BD7440"/>
    <w:rsid w:val="00BE010E"/>
    <w:rsid w:val="00BE25A4"/>
    <w:rsid w:val="00BF3B9E"/>
    <w:rsid w:val="00BF3DD1"/>
    <w:rsid w:val="00C02518"/>
    <w:rsid w:val="00C04788"/>
    <w:rsid w:val="00C070A4"/>
    <w:rsid w:val="00C13A3E"/>
    <w:rsid w:val="00C144CB"/>
    <w:rsid w:val="00C172DA"/>
    <w:rsid w:val="00C2214F"/>
    <w:rsid w:val="00C2237D"/>
    <w:rsid w:val="00C22441"/>
    <w:rsid w:val="00C227D8"/>
    <w:rsid w:val="00C23CC5"/>
    <w:rsid w:val="00C24046"/>
    <w:rsid w:val="00C2475D"/>
    <w:rsid w:val="00C25B49"/>
    <w:rsid w:val="00C27344"/>
    <w:rsid w:val="00C3021A"/>
    <w:rsid w:val="00C35712"/>
    <w:rsid w:val="00C3601C"/>
    <w:rsid w:val="00C45F34"/>
    <w:rsid w:val="00C46F14"/>
    <w:rsid w:val="00C5240D"/>
    <w:rsid w:val="00C52EC7"/>
    <w:rsid w:val="00C565CE"/>
    <w:rsid w:val="00C56B92"/>
    <w:rsid w:val="00C64B86"/>
    <w:rsid w:val="00C667BA"/>
    <w:rsid w:val="00C67AAB"/>
    <w:rsid w:val="00C715EB"/>
    <w:rsid w:val="00C71873"/>
    <w:rsid w:val="00C75708"/>
    <w:rsid w:val="00C8349F"/>
    <w:rsid w:val="00C866BC"/>
    <w:rsid w:val="00CA068A"/>
    <w:rsid w:val="00CA45A1"/>
    <w:rsid w:val="00CA58F2"/>
    <w:rsid w:val="00CA73A7"/>
    <w:rsid w:val="00CB0850"/>
    <w:rsid w:val="00CB1425"/>
    <w:rsid w:val="00CB6737"/>
    <w:rsid w:val="00CB7139"/>
    <w:rsid w:val="00CC0D2D"/>
    <w:rsid w:val="00CC32AB"/>
    <w:rsid w:val="00CC683D"/>
    <w:rsid w:val="00CD17D8"/>
    <w:rsid w:val="00CD2EFE"/>
    <w:rsid w:val="00CD49A9"/>
    <w:rsid w:val="00CD7366"/>
    <w:rsid w:val="00CD7FEA"/>
    <w:rsid w:val="00CE5657"/>
    <w:rsid w:val="00CF1040"/>
    <w:rsid w:val="00CF3474"/>
    <w:rsid w:val="00CF5BC5"/>
    <w:rsid w:val="00D03196"/>
    <w:rsid w:val="00D055C0"/>
    <w:rsid w:val="00D102B0"/>
    <w:rsid w:val="00D12E3C"/>
    <w:rsid w:val="00D13000"/>
    <w:rsid w:val="00D133F8"/>
    <w:rsid w:val="00D139F1"/>
    <w:rsid w:val="00D14A3E"/>
    <w:rsid w:val="00D15C90"/>
    <w:rsid w:val="00D1630D"/>
    <w:rsid w:val="00D17143"/>
    <w:rsid w:val="00D22734"/>
    <w:rsid w:val="00D24072"/>
    <w:rsid w:val="00D32F95"/>
    <w:rsid w:val="00D35E55"/>
    <w:rsid w:val="00D40FE2"/>
    <w:rsid w:val="00D41891"/>
    <w:rsid w:val="00D45128"/>
    <w:rsid w:val="00D465A1"/>
    <w:rsid w:val="00D52C28"/>
    <w:rsid w:val="00D576AE"/>
    <w:rsid w:val="00D60D0B"/>
    <w:rsid w:val="00D6323A"/>
    <w:rsid w:val="00D756FD"/>
    <w:rsid w:val="00D77E38"/>
    <w:rsid w:val="00D77F6A"/>
    <w:rsid w:val="00D80644"/>
    <w:rsid w:val="00D84943"/>
    <w:rsid w:val="00D84C1C"/>
    <w:rsid w:val="00D918DF"/>
    <w:rsid w:val="00D91E8E"/>
    <w:rsid w:val="00D93283"/>
    <w:rsid w:val="00D949BC"/>
    <w:rsid w:val="00D95179"/>
    <w:rsid w:val="00D979B9"/>
    <w:rsid w:val="00DA1F7E"/>
    <w:rsid w:val="00DB264D"/>
    <w:rsid w:val="00DB2C0F"/>
    <w:rsid w:val="00DC4435"/>
    <w:rsid w:val="00DC470A"/>
    <w:rsid w:val="00DC5D43"/>
    <w:rsid w:val="00DD3C0C"/>
    <w:rsid w:val="00DD72B7"/>
    <w:rsid w:val="00DE03A8"/>
    <w:rsid w:val="00DE2DFC"/>
    <w:rsid w:val="00DE509C"/>
    <w:rsid w:val="00DE5603"/>
    <w:rsid w:val="00DF62E8"/>
    <w:rsid w:val="00E02D9E"/>
    <w:rsid w:val="00E03607"/>
    <w:rsid w:val="00E06F75"/>
    <w:rsid w:val="00E1219D"/>
    <w:rsid w:val="00E12DE3"/>
    <w:rsid w:val="00E134B7"/>
    <w:rsid w:val="00E13919"/>
    <w:rsid w:val="00E20E77"/>
    <w:rsid w:val="00E30910"/>
    <w:rsid w:val="00E309B8"/>
    <w:rsid w:val="00E34DBB"/>
    <w:rsid w:val="00E3589A"/>
    <w:rsid w:val="00E3662B"/>
    <w:rsid w:val="00E3716B"/>
    <w:rsid w:val="00E40780"/>
    <w:rsid w:val="00E42764"/>
    <w:rsid w:val="00E454CD"/>
    <w:rsid w:val="00E45E36"/>
    <w:rsid w:val="00E46171"/>
    <w:rsid w:val="00E4664A"/>
    <w:rsid w:val="00E50A35"/>
    <w:rsid w:val="00E5154C"/>
    <w:rsid w:val="00E52478"/>
    <w:rsid w:val="00E5323B"/>
    <w:rsid w:val="00E54A4E"/>
    <w:rsid w:val="00E625C6"/>
    <w:rsid w:val="00E63F2E"/>
    <w:rsid w:val="00E67227"/>
    <w:rsid w:val="00E72FD2"/>
    <w:rsid w:val="00E80C02"/>
    <w:rsid w:val="00E80E23"/>
    <w:rsid w:val="00E8232D"/>
    <w:rsid w:val="00E836A7"/>
    <w:rsid w:val="00E83818"/>
    <w:rsid w:val="00E8749E"/>
    <w:rsid w:val="00E90C01"/>
    <w:rsid w:val="00E9447B"/>
    <w:rsid w:val="00EA486E"/>
    <w:rsid w:val="00EB10B1"/>
    <w:rsid w:val="00EB1F3A"/>
    <w:rsid w:val="00EB6023"/>
    <w:rsid w:val="00EC263D"/>
    <w:rsid w:val="00EC2A40"/>
    <w:rsid w:val="00ED0A7B"/>
    <w:rsid w:val="00ED30B5"/>
    <w:rsid w:val="00ED659D"/>
    <w:rsid w:val="00EE2AF0"/>
    <w:rsid w:val="00EE5992"/>
    <w:rsid w:val="00EF0844"/>
    <w:rsid w:val="00EF3972"/>
    <w:rsid w:val="00EF596D"/>
    <w:rsid w:val="00EF5DFF"/>
    <w:rsid w:val="00EF7E5B"/>
    <w:rsid w:val="00F00390"/>
    <w:rsid w:val="00F01134"/>
    <w:rsid w:val="00F059D9"/>
    <w:rsid w:val="00F11290"/>
    <w:rsid w:val="00F17D91"/>
    <w:rsid w:val="00F256A3"/>
    <w:rsid w:val="00F25FDC"/>
    <w:rsid w:val="00F379A0"/>
    <w:rsid w:val="00F42E68"/>
    <w:rsid w:val="00F50DFD"/>
    <w:rsid w:val="00F53DAC"/>
    <w:rsid w:val="00F57B0C"/>
    <w:rsid w:val="00F64B97"/>
    <w:rsid w:val="00F65710"/>
    <w:rsid w:val="00F80B22"/>
    <w:rsid w:val="00F81B31"/>
    <w:rsid w:val="00F83E17"/>
    <w:rsid w:val="00F90738"/>
    <w:rsid w:val="00F9602F"/>
    <w:rsid w:val="00FA0A1A"/>
    <w:rsid w:val="00FA168D"/>
    <w:rsid w:val="00FA2491"/>
    <w:rsid w:val="00FA3840"/>
    <w:rsid w:val="00FA4006"/>
    <w:rsid w:val="00FA4F6E"/>
    <w:rsid w:val="00FA4FA5"/>
    <w:rsid w:val="00FA7FFB"/>
    <w:rsid w:val="00FB4C1C"/>
    <w:rsid w:val="00FB65BD"/>
    <w:rsid w:val="00FB67EC"/>
    <w:rsid w:val="00FC048D"/>
    <w:rsid w:val="00FC3F1B"/>
    <w:rsid w:val="00FC4C95"/>
    <w:rsid w:val="00FC5AD7"/>
    <w:rsid w:val="00FC613A"/>
    <w:rsid w:val="00FC6EDA"/>
    <w:rsid w:val="00FC7598"/>
    <w:rsid w:val="00FD4735"/>
    <w:rsid w:val="00FE14B0"/>
    <w:rsid w:val="00FE2700"/>
    <w:rsid w:val="00FE3183"/>
    <w:rsid w:val="00FE3FB2"/>
    <w:rsid w:val="00FE4D5C"/>
    <w:rsid w:val="00FE54EC"/>
    <w:rsid w:val="00FE5560"/>
    <w:rsid w:val="00FE583E"/>
    <w:rsid w:val="00FE73AD"/>
    <w:rsid w:val="00FE7F13"/>
    <w:rsid w:val="00FF2BC0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C46AF"/>
  <w15:docId w15:val="{320D631F-D10B-4D74-A170-6240762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45A1"/>
  </w:style>
  <w:style w:type="paragraph" w:styleId="Virsraksts3">
    <w:name w:val="heading 3"/>
    <w:basedOn w:val="Parasts"/>
    <w:link w:val="Virsraksts3Rakstz"/>
    <w:uiPriority w:val="9"/>
    <w:qFormat/>
    <w:rsid w:val="0017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74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74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74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74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7448"/>
    <w:rPr>
      <w:b/>
      <w:bCs/>
      <w:sz w:val="20"/>
      <w:szCs w:val="20"/>
    </w:rPr>
  </w:style>
  <w:style w:type="paragraph" w:customStyle="1" w:styleId="Default">
    <w:name w:val="Default"/>
    <w:rsid w:val="00C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76B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F2051"/>
    <w:rPr>
      <w:color w:val="605E5C"/>
      <w:shd w:val="clear" w:color="auto" w:fill="E1DFDD"/>
    </w:rPr>
  </w:style>
  <w:style w:type="numbering" w:customStyle="1" w:styleId="Numbered">
    <w:name w:val="Numbered"/>
    <w:rsid w:val="00EE5992"/>
    <w:pPr>
      <w:numPr>
        <w:numId w:val="27"/>
      </w:numPr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1A16BD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dis.Zarins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1B96-85F4-42F6-8F73-9B8B046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2915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Tiesību akta nosaukums</vt:lpstr>
    </vt:vector>
  </TitlesOfParts>
  <Company>Iestādes nosaukums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Inese Duļķe</cp:lastModifiedBy>
  <cp:revision>15</cp:revision>
  <cp:lastPrinted>2020-01-20T14:48:00Z</cp:lastPrinted>
  <dcterms:created xsi:type="dcterms:W3CDTF">2021-06-28T11:58:00Z</dcterms:created>
  <dcterms:modified xsi:type="dcterms:W3CDTF">2021-06-28T13:03:00Z</dcterms:modified>
</cp:coreProperties>
</file>