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1345" w:rsidR="002869DF" w:rsidP="00C01345" w:rsidRDefault="002869DF" w14:paraId="5BDAF3F4" w14:textId="13A3FB6F">
      <w:pPr>
        <w:shd w:val="clear" w:color="auto" w:fill="FFFFFF"/>
        <w:spacing w:after="0" w:line="240" w:lineRule="auto"/>
        <w:jc w:val="center"/>
        <w:rPr>
          <w:rFonts w:ascii="Times New Roman" w:hAnsi="Times New Roman" w:eastAsia="Times New Roman" w:cs="Times New Roman"/>
          <w:b/>
          <w:bCs/>
          <w:lang w:eastAsia="lv-LV"/>
        </w:rPr>
      </w:pPr>
      <w:bookmarkStart w:name="_GoBack" w:id="0"/>
      <w:bookmarkEnd w:id="0"/>
      <w:r w:rsidRPr="00C01345">
        <w:rPr>
          <w:rFonts w:ascii="Times New Roman" w:hAnsi="Times New Roman" w:eastAsia="Times New Roman" w:cs="Times New Roman"/>
          <w:b/>
          <w:bCs/>
          <w:lang w:eastAsia="lv-LV"/>
        </w:rPr>
        <w:t>Izziņa par atzinumos sniegtajiem iebildumiem</w:t>
      </w:r>
    </w:p>
    <w:p w:rsidR="00BF171E" w:rsidP="00C01345" w:rsidRDefault="002869DF" w14:paraId="5482CE19" w14:textId="500A998B">
      <w:pPr>
        <w:spacing w:after="0" w:line="240" w:lineRule="auto"/>
        <w:jc w:val="center"/>
        <w:rPr>
          <w:rFonts w:ascii="Times New Roman" w:hAnsi="Times New Roman" w:eastAsia="Times New Roman" w:cs="Times New Roman"/>
          <w:b/>
          <w:bCs/>
        </w:rPr>
      </w:pPr>
      <w:r w:rsidRPr="00C01345">
        <w:rPr>
          <w:rFonts w:ascii="Times New Roman" w:hAnsi="Times New Roman" w:eastAsia="Times New Roman" w:cs="Times New Roman"/>
          <w:b/>
          <w:bCs/>
          <w:lang w:eastAsia="lv-LV"/>
        </w:rPr>
        <w:t xml:space="preserve">par </w:t>
      </w:r>
      <w:bookmarkStart w:name="_Hlk57296029" w:id="1"/>
      <w:r w:rsidR="00C01345">
        <w:rPr>
          <w:rFonts w:ascii="Times New Roman" w:hAnsi="Times New Roman" w:cs="Times New Roman"/>
          <w:b/>
          <w:bCs/>
        </w:rPr>
        <w:t>i</w:t>
      </w:r>
      <w:r w:rsidRPr="00C01345" w:rsidR="00CD633B">
        <w:rPr>
          <w:rFonts w:ascii="Times New Roman" w:hAnsi="Times New Roman" w:cs="Times New Roman"/>
          <w:b/>
          <w:bCs/>
        </w:rPr>
        <w:t>nformatīv</w:t>
      </w:r>
      <w:r w:rsidR="00C01345">
        <w:rPr>
          <w:rFonts w:ascii="Times New Roman" w:hAnsi="Times New Roman" w:cs="Times New Roman"/>
          <w:b/>
          <w:bCs/>
        </w:rPr>
        <w:t>o</w:t>
      </w:r>
      <w:r w:rsidRPr="00C01345" w:rsidR="00CD633B">
        <w:rPr>
          <w:rFonts w:ascii="Times New Roman" w:hAnsi="Times New Roman" w:cs="Times New Roman"/>
          <w:b/>
          <w:bCs/>
        </w:rPr>
        <w:t xml:space="preserve"> </w:t>
      </w:r>
      <w:r w:rsidRPr="00C01345" w:rsidR="00C01345">
        <w:rPr>
          <w:rFonts w:ascii="Times New Roman" w:hAnsi="Times New Roman" w:cs="Times New Roman"/>
          <w:b/>
          <w:bCs/>
        </w:rPr>
        <w:t>ziņojum</w:t>
      </w:r>
      <w:r w:rsidR="00C01345">
        <w:rPr>
          <w:rFonts w:ascii="Times New Roman" w:hAnsi="Times New Roman" w:cs="Times New Roman"/>
          <w:b/>
          <w:bCs/>
        </w:rPr>
        <w:t xml:space="preserve">u </w:t>
      </w:r>
      <w:r w:rsidRPr="00C01345" w:rsidR="00CD633B">
        <w:rPr>
          <w:rFonts w:ascii="Times New Roman" w:hAnsi="Times New Roman" w:cs="Times New Roman"/>
          <w:b/>
          <w:bCs/>
        </w:rPr>
        <w:t>„</w:t>
      </w:r>
      <w:bookmarkStart w:name="_Hlk65759844" w:id="2"/>
      <w:r w:rsidRPr="00C01345" w:rsidR="00CD633B">
        <w:rPr>
          <w:rFonts w:ascii="Times New Roman" w:hAnsi="Times New Roman" w:cs="Times New Roman"/>
          <w:b/>
          <w:bCs/>
        </w:rPr>
        <w:t xml:space="preserve">Par atbalsta programmas </w:t>
      </w:r>
      <w:r w:rsidRPr="00C01345" w:rsidR="00CD633B">
        <w:rPr>
          <w:rFonts w:ascii="Times New Roman" w:hAnsi="Times New Roman" w:eastAsia="Times New Roman" w:cs="Times New Roman"/>
          <w:b/>
          <w:bCs/>
        </w:rPr>
        <w:t xml:space="preserve">„Par atbalsta pasākumu Covid-19 krīzes </w:t>
      </w:r>
    </w:p>
    <w:p w:rsidRPr="00C01345" w:rsidR="00CD633B" w:rsidP="00C01345" w:rsidRDefault="00CD633B" w14:paraId="76750A64" w14:textId="613BF715">
      <w:pPr>
        <w:spacing w:after="0" w:line="240" w:lineRule="auto"/>
        <w:jc w:val="center"/>
        <w:rPr>
          <w:rFonts w:ascii="Times New Roman" w:hAnsi="Times New Roman" w:cs="Times New Roman"/>
          <w:b/>
          <w:bCs/>
        </w:rPr>
      </w:pPr>
      <w:r w:rsidRPr="00C01345">
        <w:rPr>
          <w:rFonts w:ascii="Times New Roman" w:hAnsi="Times New Roman" w:eastAsia="Times New Roman" w:cs="Times New Roman"/>
          <w:b/>
          <w:bCs/>
        </w:rPr>
        <w:t>ietekmētajiem kultūras pasākumu rīkotājiem</w:t>
      </w:r>
      <w:r w:rsidRPr="00C01345">
        <w:rPr>
          <w:rFonts w:ascii="Times New Roman" w:hAnsi="Times New Roman" w:cs="Times New Roman"/>
          <w:b/>
          <w:bCs/>
        </w:rPr>
        <w:t>” pagarinājumu</w:t>
      </w:r>
      <w:bookmarkEnd w:id="2"/>
      <w:r w:rsidRPr="00C01345">
        <w:rPr>
          <w:rFonts w:ascii="Times New Roman" w:hAnsi="Times New Roman" w:cs="Times New Roman"/>
          <w:b/>
          <w:bCs/>
        </w:rPr>
        <w:t xml:space="preserve">” </w:t>
      </w:r>
    </w:p>
    <w:bookmarkEnd w:id="1"/>
    <w:p w:rsidRPr="00C01345" w:rsidR="002869DF" w:rsidP="00C01345" w:rsidRDefault="002869DF" w14:paraId="14F198CF" w14:textId="57DAE1BA">
      <w:pPr>
        <w:shd w:val="clear" w:color="auto" w:fill="FFFFFF"/>
        <w:spacing w:after="0" w:line="240" w:lineRule="auto"/>
        <w:jc w:val="center"/>
        <w:rPr>
          <w:rFonts w:ascii="Times New Roman" w:hAnsi="Times New Roman" w:eastAsia="Times New Roman" w:cs="Times New Roman"/>
          <w:b/>
          <w:bCs/>
          <w:lang w:eastAsia="lv-LV"/>
        </w:rPr>
      </w:pPr>
    </w:p>
    <w:p w:rsidR="002869DF" w:rsidP="0060038C" w:rsidRDefault="002869DF" w14:paraId="165A9298" w14:textId="57F1EF2F">
      <w:pPr>
        <w:pStyle w:val="Sarakstarindkopa"/>
        <w:numPr>
          <w:ilvl w:val="0"/>
          <w:numId w:val="9"/>
        </w:numPr>
        <w:shd w:val="clear" w:color="auto" w:fill="FFFFFF"/>
        <w:spacing w:after="0" w:line="240" w:lineRule="auto"/>
        <w:ind w:left="284" w:hanging="284"/>
        <w:jc w:val="center"/>
        <w:rPr>
          <w:rFonts w:ascii="Times New Roman" w:hAnsi="Times New Roman" w:eastAsia="Times New Roman" w:cs="Times New Roman"/>
          <w:b/>
          <w:bCs/>
          <w:lang w:eastAsia="lv-LV"/>
        </w:rPr>
      </w:pPr>
      <w:r w:rsidRPr="00C01345">
        <w:rPr>
          <w:rFonts w:ascii="Times New Roman" w:hAnsi="Times New Roman" w:eastAsia="Times New Roman" w:cs="Times New Roman"/>
          <w:b/>
          <w:bCs/>
          <w:lang w:eastAsia="lv-LV"/>
        </w:rPr>
        <w:t>Jautājumi, par kuriem saskaņošanā vienošanās nav panākta</w:t>
      </w:r>
    </w:p>
    <w:p w:rsidRPr="00C01345" w:rsidR="00BF171E" w:rsidP="00295C33" w:rsidRDefault="00BF171E" w14:paraId="7771BBBB" w14:textId="77777777">
      <w:pPr>
        <w:pStyle w:val="Sarakstarindkopa"/>
        <w:shd w:val="clear" w:color="auto" w:fill="FFFFFF"/>
        <w:spacing w:after="0" w:line="240" w:lineRule="auto"/>
        <w:ind w:left="284"/>
        <w:rPr>
          <w:rFonts w:ascii="Times New Roman" w:hAnsi="Times New Roman" w:eastAsia="Times New Roman" w:cs="Times New Roman"/>
          <w:b/>
          <w:bCs/>
          <w:lang w:eastAsia="lv-LV"/>
        </w:rPr>
      </w:pPr>
    </w:p>
    <w:tbl>
      <w:tblPr>
        <w:tblW w:w="1402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59"/>
        <w:gridCol w:w="2410"/>
        <w:gridCol w:w="2835"/>
        <w:gridCol w:w="2977"/>
        <w:gridCol w:w="2693"/>
        <w:gridCol w:w="2552"/>
      </w:tblGrid>
      <w:tr w:rsidRPr="00C01345" w:rsidR="00C01345" w:rsidTr="00F5375B" w14:paraId="37F73C83" w14:textId="77777777">
        <w:tc>
          <w:tcPr>
            <w:tcW w:w="559" w:type="dxa"/>
            <w:tcBorders>
              <w:top w:val="single" w:color="000000" w:sz="6" w:space="0"/>
              <w:left w:val="single" w:color="000000" w:sz="6" w:space="0"/>
              <w:bottom w:val="single" w:color="000000" w:sz="6" w:space="0"/>
              <w:right w:val="single" w:color="000000" w:sz="6" w:space="0"/>
            </w:tcBorders>
            <w:vAlign w:val="center"/>
          </w:tcPr>
          <w:p w:rsidRPr="00C01345" w:rsidR="00C01345" w:rsidP="00C01345" w:rsidRDefault="00C01345" w14:paraId="02A0E021" w14:textId="77777777">
            <w:pPr>
              <w:spacing w:after="0" w:line="240" w:lineRule="auto"/>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Nr. p.k.</w:t>
            </w:r>
          </w:p>
        </w:tc>
        <w:tc>
          <w:tcPr>
            <w:tcW w:w="2410" w:type="dxa"/>
            <w:tcBorders>
              <w:top w:val="single" w:color="000000" w:sz="6" w:space="0"/>
              <w:left w:val="single" w:color="000000" w:sz="6" w:space="0"/>
              <w:bottom w:val="single" w:color="000000" w:sz="6" w:space="0"/>
              <w:right w:val="single" w:color="000000" w:sz="6" w:space="0"/>
            </w:tcBorders>
            <w:vAlign w:val="center"/>
          </w:tcPr>
          <w:p w:rsidRPr="00C01345" w:rsidR="00C01345" w:rsidP="00C01345" w:rsidRDefault="00C01345" w14:paraId="70C2F760" w14:textId="77777777">
            <w:pPr>
              <w:spacing w:after="0" w:line="240" w:lineRule="auto"/>
              <w:ind w:firstLine="12"/>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Saskaņošanai nosūtītā projekta redakcija (konkrēta punkta (panta) redakcija)</w:t>
            </w:r>
          </w:p>
        </w:tc>
        <w:tc>
          <w:tcPr>
            <w:tcW w:w="2835" w:type="dxa"/>
            <w:tcBorders>
              <w:top w:val="single" w:color="000000" w:sz="6" w:space="0"/>
              <w:left w:val="single" w:color="000000" w:sz="6" w:space="0"/>
              <w:bottom w:val="single" w:color="000000" w:sz="6" w:space="0"/>
              <w:right w:val="single" w:color="000000" w:sz="6" w:space="0"/>
            </w:tcBorders>
            <w:vAlign w:val="center"/>
          </w:tcPr>
          <w:p w:rsidRPr="00C01345" w:rsidR="00C01345" w:rsidP="00C01345" w:rsidRDefault="00C01345" w14:paraId="02991039" w14:textId="77777777">
            <w:pPr>
              <w:spacing w:after="0" w:line="240" w:lineRule="auto"/>
              <w:ind w:right="3"/>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C01345" w:rsidR="00C01345" w:rsidP="00C01345" w:rsidRDefault="00C01345" w14:paraId="451005F1" w14:textId="77777777">
            <w:pPr>
              <w:spacing w:after="0" w:line="240" w:lineRule="auto"/>
              <w:ind w:firstLine="21"/>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Atbildīgās ministrijas pamatojums iebilduma noraidījumam</w:t>
            </w:r>
          </w:p>
        </w:tc>
        <w:tc>
          <w:tcPr>
            <w:tcW w:w="2693" w:type="dxa"/>
            <w:tcBorders>
              <w:top w:val="single" w:color="auto" w:sz="4" w:space="0"/>
              <w:left w:val="single" w:color="auto" w:sz="4" w:space="0"/>
              <w:bottom w:val="single" w:color="auto" w:sz="4" w:space="0"/>
              <w:right w:val="single" w:color="auto" w:sz="4" w:space="0"/>
            </w:tcBorders>
            <w:vAlign w:val="center"/>
          </w:tcPr>
          <w:p w:rsidRPr="00C01345" w:rsidR="00C01345" w:rsidP="00C01345" w:rsidRDefault="00C01345" w14:paraId="12C0C0FA" w14:textId="77777777">
            <w:pPr>
              <w:spacing w:after="0" w:line="240" w:lineRule="auto"/>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Atzinuma sniedzēja uzturētais iebildums, ja tas atšķiras no atzinumā norādītā iebilduma pamatojuma</w:t>
            </w:r>
          </w:p>
        </w:tc>
        <w:tc>
          <w:tcPr>
            <w:tcW w:w="2552" w:type="dxa"/>
            <w:tcBorders>
              <w:top w:val="single" w:color="auto" w:sz="4" w:space="0"/>
              <w:left w:val="single" w:color="auto" w:sz="4" w:space="0"/>
              <w:bottom w:val="single" w:color="auto" w:sz="4" w:space="0"/>
            </w:tcBorders>
            <w:vAlign w:val="center"/>
          </w:tcPr>
          <w:p w:rsidRPr="00C01345" w:rsidR="00C01345" w:rsidP="00C01345" w:rsidRDefault="00C01345" w14:paraId="07B7F9CF" w14:textId="77777777">
            <w:pPr>
              <w:spacing w:after="0" w:line="240" w:lineRule="auto"/>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Projekta attiecīgā punkta (panta) galīgā redakcija</w:t>
            </w:r>
          </w:p>
        </w:tc>
      </w:tr>
      <w:tr w:rsidRPr="00C01345" w:rsidR="00C01345" w:rsidTr="00F5375B" w14:paraId="10600ACF" w14:textId="77777777">
        <w:tc>
          <w:tcPr>
            <w:tcW w:w="559" w:type="dxa"/>
            <w:tcBorders>
              <w:top w:val="single" w:color="000000" w:sz="6" w:space="0"/>
              <w:left w:val="single" w:color="000000" w:sz="6" w:space="0"/>
              <w:bottom w:val="single" w:color="000000" w:sz="6" w:space="0"/>
              <w:right w:val="single" w:color="000000" w:sz="6" w:space="0"/>
            </w:tcBorders>
          </w:tcPr>
          <w:p w:rsidRPr="00C01345" w:rsidR="00C01345" w:rsidP="00C01345" w:rsidRDefault="00C01345" w14:paraId="22D93DEA" w14:textId="77777777">
            <w:pPr>
              <w:spacing w:after="0" w:line="240" w:lineRule="auto"/>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1</w:t>
            </w:r>
          </w:p>
        </w:tc>
        <w:tc>
          <w:tcPr>
            <w:tcW w:w="2410" w:type="dxa"/>
            <w:tcBorders>
              <w:top w:val="single" w:color="000000" w:sz="6" w:space="0"/>
              <w:left w:val="single" w:color="000000" w:sz="6" w:space="0"/>
              <w:bottom w:val="single" w:color="000000" w:sz="6" w:space="0"/>
              <w:right w:val="single" w:color="000000" w:sz="6" w:space="0"/>
            </w:tcBorders>
          </w:tcPr>
          <w:p w:rsidRPr="00C01345" w:rsidR="00C01345" w:rsidP="00C01345" w:rsidRDefault="00C01345" w14:paraId="03290910" w14:textId="77777777">
            <w:pPr>
              <w:spacing w:after="0" w:line="240" w:lineRule="auto"/>
              <w:ind w:firstLine="720"/>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2</w:t>
            </w:r>
          </w:p>
        </w:tc>
        <w:tc>
          <w:tcPr>
            <w:tcW w:w="2835" w:type="dxa"/>
            <w:tcBorders>
              <w:top w:val="single" w:color="000000" w:sz="6" w:space="0"/>
              <w:left w:val="single" w:color="000000" w:sz="6" w:space="0"/>
              <w:bottom w:val="single" w:color="000000" w:sz="6" w:space="0"/>
              <w:right w:val="single" w:color="000000" w:sz="6" w:space="0"/>
            </w:tcBorders>
          </w:tcPr>
          <w:p w:rsidRPr="00C01345" w:rsidR="00C01345" w:rsidP="00C01345" w:rsidRDefault="00C01345" w14:paraId="584D5020" w14:textId="77777777">
            <w:pPr>
              <w:spacing w:after="0" w:line="240" w:lineRule="auto"/>
              <w:ind w:firstLine="720"/>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3</w:t>
            </w:r>
          </w:p>
        </w:tc>
        <w:tc>
          <w:tcPr>
            <w:tcW w:w="2977" w:type="dxa"/>
            <w:tcBorders>
              <w:top w:val="single" w:color="000000" w:sz="6" w:space="0"/>
              <w:left w:val="single" w:color="000000" w:sz="6" w:space="0"/>
              <w:bottom w:val="single" w:color="000000" w:sz="6" w:space="0"/>
              <w:right w:val="single" w:color="000000" w:sz="6" w:space="0"/>
            </w:tcBorders>
          </w:tcPr>
          <w:p w:rsidRPr="00C01345" w:rsidR="00C01345" w:rsidP="00C01345" w:rsidRDefault="00C01345" w14:paraId="2907C700" w14:textId="77777777">
            <w:pPr>
              <w:spacing w:after="0" w:line="240" w:lineRule="auto"/>
              <w:ind w:firstLine="720"/>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4</w:t>
            </w:r>
          </w:p>
        </w:tc>
        <w:tc>
          <w:tcPr>
            <w:tcW w:w="2693" w:type="dxa"/>
            <w:tcBorders>
              <w:top w:val="single" w:color="auto" w:sz="4" w:space="0"/>
              <w:left w:val="single" w:color="auto" w:sz="4" w:space="0"/>
              <w:bottom w:val="single" w:color="auto" w:sz="4" w:space="0"/>
              <w:right w:val="single" w:color="auto" w:sz="4" w:space="0"/>
            </w:tcBorders>
          </w:tcPr>
          <w:p w:rsidRPr="00C01345" w:rsidR="00C01345" w:rsidP="00C01345" w:rsidRDefault="00C01345" w14:paraId="2A6A20A5" w14:textId="77777777">
            <w:pPr>
              <w:spacing w:after="0" w:line="240" w:lineRule="auto"/>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5</w:t>
            </w:r>
          </w:p>
        </w:tc>
        <w:tc>
          <w:tcPr>
            <w:tcW w:w="2552" w:type="dxa"/>
            <w:tcBorders>
              <w:top w:val="single" w:color="auto" w:sz="4" w:space="0"/>
              <w:left w:val="single" w:color="auto" w:sz="4" w:space="0"/>
              <w:bottom w:val="single" w:color="auto" w:sz="4" w:space="0"/>
            </w:tcBorders>
          </w:tcPr>
          <w:p w:rsidRPr="00C01345" w:rsidR="00C01345" w:rsidP="00C01345" w:rsidRDefault="00C01345" w14:paraId="44732505" w14:textId="77777777">
            <w:pPr>
              <w:spacing w:after="0" w:line="240" w:lineRule="auto"/>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6</w:t>
            </w:r>
          </w:p>
        </w:tc>
      </w:tr>
      <w:tr w:rsidRPr="00C01345" w:rsidR="00C01345" w:rsidTr="00F5375B" w14:paraId="273A3F09" w14:textId="77777777">
        <w:tc>
          <w:tcPr>
            <w:tcW w:w="559" w:type="dxa"/>
            <w:tcBorders>
              <w:left w:val="single" w:color="000000" w:sz="6" w:space="0"/>
              <w:bottom w:val="single" w:color="auto" w:sz="4" w:space="0"/>
              <w:right w:val="single" w:color="000000" w:sz="6" w:space="0"/>
            </w:tcBorders>
          </w:tcPr>
          <w:p w:rsidRPr="00C01345" w:rsidR="00C01345" w:rsidP="00C01345" w:rsidRDefault="00C01345" w14:paraId="4F8B6072" w14:textId="77777777">
            <w:pPr>
              <w:spacing w:after="0" w:line="240" w:lineRule="auto"/>
              <w:jc w:val="center"/>
              <w:rPr>
                <w:rFonts w:ascii="Times New Roman" w:hAnsi="Times New Roman" w:eastAsia="Times New Roman" w:cs="Times New Roman"/>
                <w:lang w:eastAsia="lv-LV"/>
              </w:rPr>
            </w:pPr>
          </w:p>
        </w:tc>
        <w:tc>
          <w:tcPr>
            <w:tcW w:w="2410" w:type="dxa"/>
            <w:tcBorders>
              <w:left w:val="single" w:color="000000" w:sz="6" w:space="0"/>
              <w:bottom w:val="single" w:color="auto" w:sz="4" w:space="0"/>
              <w:right w:val="single" w:color="000000" w:sz="6" w:space="0"/>
            </w:tcBorders>
          </w:tcPr>
          <w:p w:rsidRPr="00C01345" w:rsidR="00C01345" w:rsidP="00C01345" w:rsidRDefault="00C01345" w14:paraId="30FFC690" w14:textId="77777777">
            <w:pPr>
              <w:spacing w:after="0" w:line="240" w:lineRule="auto"/>
              <w:jc w:val="both"/>
              <w:rPr>
                <w:rFonts w:ascii="Times New Roman" w:hAnsi="Times New Roman" w:eastAsia="Times New Roman" w:cs="Times New Roman"/>
                <w:lang w:eastAsia="lv-LV"/>
              </w:rPr>
            </w:pPr>
          </w:p>
        </w:tc>
        <w:tc>
          <w:tcPr>
            <w:tcW w:w="2835" w:type="dxa"/>
            <w:tcBorders>
              <w:left w:val="single" w:color="000000" w:sz="6" w:space="0"/>
              <w:bottom w:val="single" w:color="auto" w:sz="4" w:space="0"/>
              <w:right w:val="single" w:color="000000" w:sz="6" w:space="0"/>
            </w:tcBorders>
          </w:tcPr>
          <w:p w:rsidRPr="00C01345" w:rsidR="00C01345" w:rsidP="00C01345" w:rsidRDefault="00C01345" w14:paraId="5F715149" w14:textId="77777777">
            <w:pPr>
              <w:spacing w:after="0" w:line="240" w:lineRule="auto"/>
              <w:jc w:val="both"/>
              <w:rPr>
                <w:rFonts w:ascii="Times New Roman" w:hAnsi="Times New Roman" w:eastAsia="Times New Roman" w:cs="Times New Roman"/>
                <w:lang w:eastAsia="lv-LV"/>
              </w:rPr>
            </w:pPr>
          </w:p>
        </w:tc>
        <w:tc>
          <w:tcPr>
            <w:tcW w:w="2977" w:type="dxa"/>
            <w:tcBorders>
              <w:left w:val="single" w:color="000000" w:sz="6" w:space="0"/>
              <w:bottom w:val="single" w:color="auto" w:sz="4" w:space="0"/>
              <w:right w:val="single" w:color="000000" w:sz="6" w:space="0"/>
            </w:tcBorders>
          </w:tcPr>
          <w:p w:rsidRPr="00C01345" w:rsidR="00C01345" w:rsidP="00C01345" w:rsidRDefault="00C01345" w14:paraId="19484898" w14:textId="77777777">
            <w:pPr>
              <w:spacing w:after="0" w:line="240" w:lineRule="auto"/>
              <w:jc w:val="both"/>
              <w:rPr>
                <w:rFonts w:ascii="Times New Roman" w:hAnsi="Times New Roman" w:eastAsia="Times New Roman" w:cs="Times New Roman"/>
                <w:lang w:eastAsia="lv-LV"/>
              </w:rPr>
            </w:pPr>
          </w:p>
        </w:tc>
        <w:tc>
          <w:tcPr>
            <w:tcW w:w="2693" w:type="dxa"/>
            <w:tcBorders>
              <w:left w:val="single" w:color="auto" w:sz="4" w:space="0"/>
              <w:bottom w:val="single" w:color="auto" w:sz="4" w:space="0"/>
              <w:right w:val="single" w:color="auto" w:sz="4" w:space="0"/>
            </w:tcBorders>
          </w:tcPr>
          <w:p w:rsidRPr="00C01345" w:rsidR="00C01345" w:rsidP="00C01345" w:rsidRDefault="00C01345" w14:paraId="0515B85A" w14:textId="77777777">
            <w:pPr>
              <w:spacing w:after="0" w:line="240" w:lineRule="auto"/>
              <w:jc w:val="both"/>
              <w:rPr>
                <w:rFonts w:ascii="Times New Roman" w:hAnsi="Times New Roman" w:eastAsia="Times New Roman" w:cs="Times New Roman"/>
                <w:lang w:eastAsia="lv-LV"/>
              </w:rPr>
            </w:pPr>
          </w:p>
        </w:tc>
        <w:tc>
          <w:tcPr>
            <w:tcW w:w="2552" w:type="dxa"/>
            <w:tcBorders>
              <w:top w:val="single" w:color="auto" w:sz="4" w:space="0"/>
              <w:left w:val="single" w:color="auto" w:sz="4" w:space="0"/>
              <w:bottom w:val="single" w:color="auto" w:sz="4" w:space="0"/>
            </w:tcBorders>
          </w:tcPr>
          <w:p w:rsidRPr="00C01345" w:rsidR="00C01345" w:rsidP="00C01345" w:rsidRDefault="00C01345" w14:paraId="2D4E12F6" w14:textId="77777777">
            <w:pPr>
              <w:spacing w:after="0" w:line="240" w:lineRule="auto"/>
              <w:jc w:val="both"/>
              <w:rPr>
                <w:rFonts w:ascii="Times New Roman" w:hAnsi="Times New Roman" w:eastAsia="Times New Roman" w:cs="Times New Roman"/>
                <w:lang w:eastAsia="lv-LV"/>
              </w:rPr>
            </w:pPr>
          </w:p>
        </w:tc>
      </w:tr>
    </w:tbl>
    <w:p w:rsidR="00C01345" w:rsidP="00C01345" w:rsidRDefault="00C01345" w14:paraId="3375D05C" w14:textId="78A1DD35">
      <w:pPr>
        <w:pStyle w:val="Sarakstarindkopa"/>
        <w:shd w:val="clear" w:color="auto" w:fill="FFFFFF"/>
        <w:spacing w:after="0" w:line="240" w:lineRule="auto"/>
        <w:ind w:left="1020"/>
        <w:rPr>
          <w:rFonts w:ascii="Times New Roman" w:hAnsi="Times New Roman" w:eastAsia="Times New Roman" w:cs="Times New Roman"/>
          <w:b/>
          <w:bCs/>
          <w:lang w:eastAsia="lv-LV"/>
        </w:rPr>
      </w:pPr>
    </w:p>
    <w:p w:rsidR="002869DF" w:rsidP="00295C33" w:rsidRDefault="00BF171E" w14:paraId="61496A7D" w14:textId="04DD26F6">
      <w:pPr>
        <w:shd w:val="clear" w:color="auto" w:fill="FFFFFF"/>
        <w:spacing w:after="0" w:line="240" w:lineRule="auto"/>
        <w:rPr>
          <w:rFonts w:ascii="Times New Roman" w:hAnsi="Times New Roman" w:eastAsia="Times New Roman" w:cs="Times New Roman"/>
          <w:b/>
          <w:bCs/>
          <w:lang w:eastAsia="lv-LV"/>
        </w:rPr>
      </w:pPr>
      <w:r>
        <w:rPr>
          <w:rFonts w:ascii="Times New Roman" w:hAnsi="Times New Roman" w:eastAsia="Times New Roman" w:cs="Times New Roman"/>
          <w:b/>
          <w:bCs/>
          <w:lang w:eastAsia="lv-LV"/>
        </w:rPr>
        <w:t>  </w:t>
      </w:r>
      <w:r w:rsidRPr="00C01345" w:rsidR="002869DF">
        <w:rPr>
          <w:rFonts w:ascii="Times New Roman" w:hAnsi="Times New Roman" w:eastAsia="Times New Roman" w:cs="Times New Roman"/>
          <w:b/>
          <w:bCs/>
          <w:lang w:eastAsia="lv-LV"/>
        </w:rPr>
        <w:t>Informācija par starpministriju (starpinstitūciju) sanāksmi vai elektronisko saskaņošanu</w:t>
      </w:r>
    </w:p>
    <w:p w:rsidR="0060038C" w:rsidP="00C01345" w:rsidRDefault="0060038C" w14:paraId="281AD16F" w14:textId="27E154DC">
      <w:pPr>
        <w:shd w:val="clear" w:color="auto" w:fill="FFFFFF"/>
        <w:spacing w:after="0" w:line="240" w:lineRule="auto"/>
        <w:ind w:firstLine="300"/>
        <w:rPr>
          <w:rFonts w:ascii="Times New Roman" w:hAnsi="Times New Roman" w:eastAsia="Times New Roman" w:cs="Times New Roman"/>
          <w:b/>
          <w:bCs/>
          <w:lang w:eastAsia="lv-LV"/>
        </w:rPr>
      </w:pPr>
    </w:p>
    <w:tbl>
      <w:tblPr>
        <w:tblW w:w="14104" w:type="dxa"/>
        <w:tblCellMar>
          <w:left w:w="85" w:type="dxa"/>
          <w:right w:w="85" w:type="dxa"/>
        </w:tblCellMar>
        <w:tblLook w:val="00A0" w:firstRow="1" w:lastRow="0" w:firstColumn="1" w:lastColumn="0" w:noHBand="0" w:noVBand="0"/>
      </w:tblPr>
      <w:tblGrid>
        <w:gridCol w:w="6379"/>
        <w:gridCol w:w="7618"/>
        <w:gridCol w:w="107"/>
      </w:tblGrid>
      <w:tr w:rsidRPr="0060038C" w:rsidR="0060038C" w:rsidTr="00F5375B" w14:paraId="21B5406E" w14:textId="77777777">
        <w:trPr>
          <w:gridAfter w:val="1"/>
          <w:wAfter w:w="107" w:type="dxa"/>
        </w:trPr>
        <w:tc>
          <w:tcPr>
            <w:tcW w:w="6379" w:type="dxa"/>
          </w:tcPr>
          <w:p w:rsidRPr="0060038C" w:rsidR="0060038C" w:rsidP="0060038C" w:rsidRDefault="0060038C" w14:paraId="0BFE2F77" w14:textId="77777777">
            <w:pPr>
              <w:spacing w:after="0" w:line="240" w:lineRule="auto"/>
              <w:jc w:val="both"/>
              <w:rPr>
                <w:rFonts w:ascii="Times New Roman" w:hAnsi="Times New Roman" w:eastAsia="Times New Roman" w:cs="Times New Roman"/>
                <w:lang w:eastAsia="lv-LV"/>
              </w:rPr>
            </w:pPr>
            <w:r w:rsidRPr="0060038C">
              <w:rPr>
                <w:rFonts w:ascii="Times New Roman" w:hAnsi="Times New Roman" w:eastAsia="Times New Roman" w:cs="Times New Roman"/>
                <w:lang w:eastAsia="lv-LV"/>
              </w:rPr>
              <w:t>Datums:</w:t>
            </w:r>
          </w:p>
        </w:tc>
        <w:tc>
          <w:tcPr>
            <w:tcW w:w="7618" w:type="dxa"/>
            <w:tcBorders>
              <w:bottom w:val="single" w:color="auto" w:sz="4" w:space="0"/>
            </w:tcBorders>
          </w:tcPr>
          <w:p w:rsidRPr="0060038C" w:rsidR="0060038C" w:rsidP="0060038C" w:rsidRDefault="0060038C" w14:paraId="316F9BB5" w14:textId="26ECBA3C">
            <w:pPr>
              <w:spacing w:after="0" w:line="240" w:lineRule="auto"/>
              <w:rPr>
                <w:rFonts w:ascii="Times New Roman" w:hAnsi="Times New Roman" w:eastAsia="Times New Roman" w:cs="Times New Roman"/>
                <w:lang w:eastAsia="lv-LV"/>
              </w:rPr>
            </w:pPr>
            <w:proofErr w:type="gramStart"/>
            <w:r w:rsidRPr="0060038C">
              <w:rPr>
                <w:rFonts w:ascii="Times New Roman" w:hAnsi="Times New Roman" w:eastAsia="Times New Roman" w:cs="Times New Roman"/>
                <w:lang w:eastAsia="lv-LV"/>
              </w:rPr>
              <w:t>2021.gada</w:t>
            </w:r>
            <w:proofErr w:type="gramEnd"/>
            <w:r w:rsidRPr="0060038C">
              <w:rPr>
                <w:rFonts w:ascii="Times New Roman" w:hAnsi="Times New Roman" w:eastAsia="Times New Roman" w:cs="Times New Roman"/>
                <w:lang w:eastAsia="lv-LV"/>
              </w:rPr>
              <w:t xml:space="preserve"> </w:t>
            </w:r>
            <w:r>
              <w:rPr>
                <w:rFonts w:ascii="Times New Roman" w:hAnsi="Times New Roman" w:eastAsia="Times New Roman" w:cs="Times New Roman"/>
                <w:lang w:eastAsia="lv-LV"/>
              </w:rPr>
              <w:t>2.jūnijā</w:t>
            </w:r>
          </w:p>
        </w:tc>
      </w:tr>
      <w:tr w:rsidRPr="0060038C" w:rsidR="0060038C" w:rsidTr="00F5375B" w14:paraId="2D384078" w14:textId="77777777">
        <w:trPr>
          <w:gridAfter w:val="1"/>
          <w:wAfter w:w="107" w:type="dxa"/>
        </w:trPr>
        <w:tc>
          <w:tcPr>
            <w:tcW w:w="6379" w:type="dxa"/>
          </w:tcPr>
          <w:p w:rsidRPr="0060038C" w:rsidR="0060038C" w:rsidP="0060038C" w:rsidRDefault="0060038C" w14:paraId="41756EFD" w14:textId="77777777">
            <w:pPr>
              <w:spacing w:after="0" w:line="240" w:lineRule="auto"/>
              <w:jc w:val="both"/>
              <w:rPr>
                <w:rFonts w:ascii="Times New Roman" w:hAnsi="Times New Roman" w:eastAsia="Times New Roman" w:cs="Times New Roman"/>
                <w:lang w:eastAsia="lv-LV"/>
              </w:rPr>
            </w:pPr>
          </w:p>
        </w:tc>
        <w:tc>
          <w:tcPr>
            <w:tcW w:w="7618" w:type="dxa"/>
            <w:tcBorders>
              <w:top w:val="single" w:color="auto" w:sz="4" w:space="0"/>
            </w:tcBorders>
          </w:tcPr>
          <w:p w:rsidRPr="0060038C" w:rsidR="0060038C" w:rsidP="0060038C" w:rsidRDefault="0060038C" w14:paraId="512FAE22" w14:textId="77777777">
            <w:pPr>
              <w:spacing w:after="0" w:line="240" w:lineRule="auto"/>
              <w:rPr>
                <w:rFonts w:ascii="Times New Roman" w:hAnsi="Times New Roman" w:eastAsia="Times New Roman" w:cs="Times New Roman"/>
                <w:lang w:eastAsia="lv-LV"/>
              </w:rPr>
            </w:pPr>
          </w:p>
        </w:tc>
      </w:tr>
      <w:tr w:rsidRPr="0060038C" w:rsidR="0060038C" w:rsidTr="00F5375B" w14:paraId="30A4CE41" w14:textId="77777777">
        <w:trPr>
          <w:gridAfter w:val="1"/>
          <w:wAfter w:w="107" w:type="dxa"/>
          <w:trHeight w:val="428"/>
        </w:trPr>
        <w:tc>
          <w:tcPr>
            <w:tcW w:w="6379" w:type="dxa"/>
          </w:tcPr>
          <w:p w:rsidRPr="0060038C" w:rsidR="0060038C" w:rsidP="0060038C" w:rsidRDefault="0060038C" w14:paraId="620E0792" w14:textId="77777777">
            <w:pPr>
              <w:spacing w:after="0" w:line="240" w:lineRule="auto"/>
              <w:rPr>
                <w:rFonts w:ascii="Times New Roman" w:hAnsi="Times New Roman" w:eastAsia="Times New Roman" w:cs="Times New Roman"/>
                <w:lang w:eastAsia="lv-LV"/>
              </w:rPr>
            </w:pPr>
            <w:r w:rsidRPr="0060038C">
              <w:rPr>
                <w:rFonts w:ascii="Times New Roman" w:hAnsi="Times New Roman" w:eastAsia="Times New Roman" w:cs="Times New Roman"/>
                <w:lang w:eastAsia="lv-LV"/>
              </w:rPr>
              <w:t>Saskaņošanas dalībnieki:</w:t>
            </w:r>
          </w:p>
        </w:tc>
        <w:tc>
          <w:tcPr>
            <w:tcW w:w="7618" w:type="dxa"/>
            <w:tcBorders>
              <w:bottom w:val="single" w:color="auto" w:sz="4" w:space="0"/>
            </w:tcBorders>
          </w:tcPr>
          <w:p w:rsidR="00FD0303" w:rsidP="0060038C" w:rsidRDefault="00FD0303" w14:paraId="3BBDCB02" w14:textId="77777777">
            <w:pPr>
              <w:spacing w:after="0" w:line="240" w:lineRule="auto"/>
              <w:jc w:val="both"/>
              <w:rPr>
                <w:rFonts w:ascii="Times New Roman" w:hAnsi="Times New Roman" w:eastAsia="Times New Roman" w:cs="Times New Roman"/>
                <w:lang w:eastAsia="lv-LV"/>
              </w:rPr>
            </w:pPr>
          </w:p>
          <w:p w:rsidRPr="0060038C" w:rsidR="0060038C" w:rsidP="0060038C" w:rsidRDefault="0060038C" w14:paraId="4F454CEC" w14:textId="620D8540">
            <w:pPr>
              <w:spacing w:after="0" w:line="240" w:lineRule="auto"/>
              <w:jc w:val="both"/>
              <w:rPr>
                <w:rFonts w:ascii="Times New Roman" w:hAnsi="Times New Roman" w:eastAsia="Times New Roman" w:cs="Times New Roman"/>
                <w:lang w:eastAsia="lv-LV"/>
              </w:rPr>
            </w:pPr>
            <w:r w:rsidRPr="0060038C">
              <w:rPr>
                <w:rFonts w:ascii="Times New Roman" w:hAnsi="Times New Roman" w:eastAsia="Times New Roman" w:cs="Times New Roman"/>
                <w:lang w:eastAsia="lv-LV"/>
              </w:rPr>
              <w:t xml:space="preserve">Tieslietu ministrija, </w:t>
            </w:r>
            <w:r>
              <w:rPr>
                <w:rFonts w:ascii="Times New Roman" w:hAnsi="Times New Roman" w:eastAsia="Times New Roman" w:cs="Times New Roman"/>
                <w:lang w:eastAsia="lv-LV"/>
              </w:rPr>
              <w:t>Finanšu ministrija</w:t>
            </w:r>
          </w:p>
        </w:tc>
      </w:tr>
      <w:tr w:rsidRPr="0060038C" w:rsidR="0060038C" w:rsidTr="00F5375B" w14:paraId="5B97D40E" w14:textId="77777777">
        <w:trPr>
          <w:gridAfter w:val="1"/>
          <w:wAfter w:w="107" w:type="dxa"/>
          <w:trHeight w:val="185"/>
        </w:trPr>
        <w:tc>
          <w:tcPr>
            <w:tcW w:w="13997" w:type="dxa"/>
            <w:gridSpan w:val="2"/>
          </w:tcPr>
          <w:p w:rsidRPr="0060038C" w:rsidR="0060038C" w:rsidP="0060038C" w:rsidRDefault="0060038C" w14:paraId="3D896942" w14:textId="77777777">
            <w:pPr>
              <w:spacing w:after="0" w:line="240" w:lineRule="auto"/>
              <w:rPr>
                <w:rFonts w:ascii="Times New Roman" w:hAnsi="Times New Roman" w:eastAsia="Times New Roman" w:cs="Times New Roman"/>
                <w:lang w:eastAsia="lv-LV"/>
              </w:rPr>
            </w:pPr>
          </w:p>
        </w:tc>
      </w:tr>
      <w:tr w:rsidRPr="0060038C" w:rsidR="0060038C" w:rsidTr="00F5375B" w14:paraId="4470D6A2" w14:textId="77777777">
        <w:tc>
          <w:tcPr>
            <w:tcW w:w="6379" w:type="dxa"/>
            <w:tcBorders>
              <w:top w:val="nil"/>
              <w:left w:val="nil"/>
              <w:bottom w:val="nil"/>
              <w:right w:val="nil"/>
            </w:tcBorders>
          </w:tcPr>
          <w:p w:rsidRPr="0060038C" w:rsidR="0060038C" w:rsidP="0060038C" w:rsidRDefault="0060038C" w14:paraId="6AAEF713" w14:textId="77777777">
            <w:pPr>
              <w:spacing w:after="0" w:line="240" w:lineRule="auto"/>
              <w:rPr>
                <w:rFonts w:ascii="Times New Roman" w:hAnsi="Times New Roman" w:eastAsia="Times New Roman" w:cs="Times New Roman"/>
                <w:lang w:eastAsia="lv-LV"/>
              </w:rPr>
            </w:pPr>
            <w:r w:rsidRPr="0060038C">
              <w:rPr>
                <w:rFonts w:ascii="Times New Roman" w:hAnsi="Times New Roman" w:eastAsia="Times New Roman" w:cs="Times New Roman"/>
                <w:lang w:eastAsia="lv-LV"/>
              </w:rPr>
              <w:t>Saskaņošanas dalībnieki izskatīja šādu ministriju (citu institūciju) iebildumus:</w:t>
            </w:r>
          </w:p>
        </w:tc>
        <w:tc>
          <w:tcPr>
            <w:tcW w:w="7725" w:type="dxa"/>
            <w:gridSpan w:val="2"/>
            <w:tcBorders>
              <w:top w:val="nil"/>
              <w:left w:val="nil"/>
              <w:bottom w:val="single" w:color="auto" w:sz="4" w:space="0"/>
              <w:right w:val="nil"/>
            </w:tcBorders>
          </w:tcPr>
          <w:p w:rsidRPr="0060038C" w:rsidR="0060038C" w:rsidP="0060038C" w:rsidRDefault="0060038C" w14:paraId="55497383" w14:textId="77777777">
            <w:pPr>
              <w:spacing w:after="0" w:line="240" w:lineRule="auto"/>
              <w:jc w:val="both"/>
              <w:rPr>
                <w:rFonts w:ascii="Times New Roman" w:hAnsi="Times New Roman" w:eastAsia="Times New Roman" w:cs="Times New Roman"/>
                <w:lang w:eastAsia="lv-LV"/>
              </w:rPr>
            </w:pPr>
          </w:p>
          <w:p w:rsidRPr="0060038C" w:rsidR="0060038C" w:rsidP="0060038C" w:rsidRDefault="00351CC3" w14:paraId="7DE139BC" w14:textId="00DE26E7">
            <w:pPr>
              <w:spacing w:after="0" w:line="240" w:lineRule="auto"/>
              <w:jc w:val="both"/>
              <w:rPr>
                <w:rFonts w:ascii="Times New Roman" w:hAnsi="Times New Roman" w:eastAsia="Times New Roman" w:cs="Times New Roman"/>
                <w:lang w:eastAsia="lv-LV"/>
              </w:rPr>
            </w:pPr>
            <w:r w:rsidRPr="0060038C">
              <w:rPr>
                <w:rFonts w:ascii="Times New Roman" w:hAnsi="Times New Roman" w:eastAsia="Times New Roman" w:cs="Times New Roman"/>
                <w:lang w:eastAsia="lv-LV"/>
              </w:rPr>
              <w:t xml:space="preserve">Tieslietu ministrija, </w:t>
            </w:r>
            <w:r>
              <w:rPr>
                <w:rFonts w:ascii="Times New Roman" w:hAnsi="Times New Roman" w:eastAsia="Times New Roman" w:cs="Times New Roman"/>
                <w:lang w:eastAsia="lv-LV"/>
              </w:rPr>
              <w:t>Finanšu ministrija</w:t>
            </w:r>
          </w:p>
        </w:tc>
      </w:tr>
      <w:tr w:rsidRPr="0060038C" w:rsidR="0060038C" w:rsidTr="00F5375B" w14:paraId="3194DFF8" w14:textId="77777777">
        <w:trPr>
          <w:gridAfter w:val="1"/>
          <w:wAfter w:w="107" w:type="dxa"/>
        </w:trPr>
        <w:tc>
          <w:tcPr>
            <w:tcW w:w="13997" w:type="dxa"/>
            <w:gridSpan w:val="2"/>
            <w:tcBorders>
              <w:top w:val="nil"/>
              <w:left w:val="nil"/>
              <w:right w:val="nil"/>
            </w:tcBorders>
          </w:tcPr>
          <w:p w:rsidRPr="0060038C" w:rsidR="0060038C" w:rsidP="0060038C" w:rsidRDefault="0060038C" w14:paraId="37E6F013" w14:textId="77777777">
            <w:pPr>
              <w:spacing w:after="0" w:line="240" w:lineRule="auto"/>
              <w:ind w:right="-483"/>
              <w:rPr>
                <w:rFonts w:ascii="Times New Roman" w:hAnsi="Times New Roman" w:eastAsia="Times New Roman" w:cs="Times New Roman"/>
                <w:lang w:eastAsia="lv-LV"/>
              </w:rPr>
            </w:pPr>
          </w:p>
        </w:tc>
      </w:tr>
      <w:tr w:rsidRPr="0060038C" w:rsidR="0060038C" w:rsidTr="00F5375B" w14:paraId="6FCC81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7" w:type="dxa"/>
        </w:trPr>
        <w:tc>
          <w:tcPr>
            <w:tcW w:w="6379" w:type="dxa"/>
            <w:tcBorders>
              <w:top w:val="nil"/>
              <w:left w:val="nil"/>
              <w:bottom w:val="nil"/>
              <w:right w:val="nil"/>
            </w:tcBorders>
            <w:vAlign w:val="bottom"/>
          </w:tcPr>
          <w:p w:rsidRPr="0060038C" w:rsidR="0060038C" w:rsidP="0060038C" w:rsidRDefault="0060038C" w14:paraId="3761097B" w14:textId="77777777">
            <w:pPr>
              <w:spacing w:after="0" w:line="240" w:lineRule="auto"/>
              <w:rPr>
                <w:rFonts w:ascii="Times New Roman" w:hAnsi="Times New Roman" w:eastAsia="Times New Roman" w:cs="Times New Roman"/>
                <w:lang w:eastAsia="lv-LV"/>
              </w:rPr>
            </w:pPr>
            <w:r w:rsidRPr="0060038C">
              <w:rPr>
                <w:rFonts w:ascii="Times New Roman" w:hAnsi="Times New Roman" w:eastAsia="Times New Roman" w:cs="Times New Roman"/>
                <w:lang w:eastAsia="lv-LV"/>
              </w:rPr>
              <w:t>Ministrijas (citas institūcijas), kuras nav ieradušās uz sanāksmi vai kuras nav atbildējušas uz uzaicinājumu piedalīties elektroniskajā saskaņošanā:</w:t>
            </w:r>
          </w:p>
        </w:tc>
        <w:tc>
          <w:tcPr>
            <w:tcW w:w="7618" w:type="dxa"/>
            <w:tcBorders>
              <w:top w:val="nil"/>
              <w:left w:val="nil"/>
              <w:right w:val="nil"/>
            </w:tcBorders>
          </w:tcPr>
          <w:p w:rsidRPr="0060038C" w:rsidR="0060038C" w:rsidP="0060038C" w:rsidRDefault="0060038C" w14:paraId="20B58C1A" w14:textId="77777777">
            <w:pPr>
              <w:spacing w:after="0" w:line="240" w:lineRule="auto"/>
              <w:rPr>
                <w:rFonts w:ascii="Times New Roman" w:hAnsi="Times New Roman" w:eastAsia="Times New Roman" w:cs="Times New Roman"/>
                <w:lang w:eastAsia="lv-LV"/>
              </w:rPr>
            </w:pPr>
          </w:p>
        </w:tc>
      </w:tr>
    </w:tbl>
    <w:p w:rsidR="0060038C" w:rsidP="00C01345" w:rsidRDefault="0060038C" w14:paraId="0A8144FB" w14:textId="1C40087C">
      <w:pPr>
        <w:shd w:val="clear" w:color="auto" w:fill="FFFFFF"/>
        <w:spacing w:after="0" w:line="240" w:lineRule="auto"/>
        <w:ind w:firstLine="300"/>
        <w:rPr>
          <w:rFonts w:ascii="Times New Roman" w:hAnsi="Times New Roman" w:eastAsia="Times New Roman" w:cs="Times New Roman"/>
          <w:b/>
          <w:bCs/>
          <w:lang w:eastAsia="lv-LV"/>
        </w:rPr>
      </w:pPr>
    </w:p>
    <w:p w:rsidR="0060038C" w:rsidP="00C01345" w:rsidRDefault="0060038C" w14:paraId="36949CE7" w14:textId="77777777">
      <w:pPr>
        <w:shd w:val="clear" w:color="auto" w:fill="FFFFFF"/>
        <w:spacing w:after="0" w:line="240" w:lineRule="auto"/>
        <w:ind w:firstLine="300"/>
        <w:jc w:val="center"/>
        <w:rPr>
          <w:rFonts w:ascii="Times New Roman" w:hAnsi="Times New Roman" w:eastAsia="Times New Roman" w:cs="Times New Roman"/>
          <w:b/>
          <w:bCs/>
          <w:lang w:eastAsia="lv-LV"/>
        </w:rPr>
      </w:pPr>
    </w:p>
    <w:p w:rsidR="0060038C" w:rsidP="00C01345" w:rsidRDefault="0060038C" w14:paraId="7AB374C0" w14:textId="77777777">
      <w:pPr>
        <w:shd w:val="clear" w:color="auto" w:fill="FFFFFF"/>
        <w:spacing w:after="0" w:line="240" w:lineRule="auto"/>
        <w:ind w:firstLine="300"/>
        <w:jc w:val="center"/>
        <w:rPr>
          <w:rFonts w:ascii="Times New Roman" w:hAnsi="Times New Roman" w:eastAsia="Times New Roman" w:cs="Times New Roman"/>
          <w:b/>
          <w:bCs/>
          <w:lang w:eastAsia="lv-LV"/>
        </w:rPr>
      </w:pPr>
    </w:p>
    <w:p w:rsidR="0060038C" w:rsidP="00C01345" w:rsidRDefault="0060038C" w14:paraId="0DA17652" w14:textId="77777777">
      <w:pPr>
        <w:shd w:val="clear" w:color="auto" w:fill="FFFFFF"/>
        <w:spacing w:after="0" w:line="240" w:lineRule="auto"/>
        <w:ind w:firstLine="300"/>
        <w:jc w:val="center"/>
        <w:rPr>
          <w:rFonts w:ascii="Times New Roman" w:hAnsi="Times New Roman" w:eastAsia="Times New Roman" w:cs="Times New Roman"/>
          <w:b/>
          <w:bCs/>
          <w:lang w:eastAsia="lv-LV"/>
        </w:rPr>
      </w:pPr>
    </w:p>
    <w:p w:rsidR="0060038C" w:rsidP="00C01345" w:rsidRDefault="0060038C" w14:paraId="1A8E3206" w14:textId="77777777">
      <w:pPr>
        <w:shd w:val="clear" w:color="auto" w:fill="FFFFFF"/>
        <w:spacing w:after="0" w:line="240" w:lineRule="auto"/>
        <w:ind w:firstLine="300"/>
        <w:jc w:val="center"/>
        <w:rPr>
          <w:rFonts w:ascii="Times New Roman" w:hAnsi="Times New Roman" w:eastAsia="Times New Roman" w:cs="Times New Roman"/>
          <w:b/>
          <w:bCs/>
          <w:lang w:eastAsia="lv-LV"/>
        </w:rPr>
      </w:pPr>
    </w:p>
    <w:p w:rsidR="0060038C" w:rsidP="00C01345" w:rsidRDefault="0060038C" w14:paraId="196112EB" w14:textId="16462F5E">
      <w:pPr>
        <w:shd w:val="clear" w:color="auto" w:fill="FFFFFF"/>
        <w:spacing w:after="0" w:line="240" w:lineRule="auto"/>
        <w:ind w:firstLine="300"/>
        <w:jc w:val="center"/>
        <w:rPr>
          <w:rFonts w:ascii="Times New Roman" w:hAnsi="Times New Roman" w:eastAsia="Times New Roman" w:cs="Times New Roman"/>
          <w:b/>
          <w:bCs/>
          <w:lang w:eastAsia="lv-LV"/>
        </w:rPr>
      </w:pPr>
    </w:p>
    <w:p w:rsidR="00A81C1E" w:rsidP="00C01345" w:rsidRDefault="00A81C1E" w14:paraId="1D93F61A" w14:textId="77777777">
      <w:pPr>
        <w:shd w:val="clear" w:color="auto" w:fill="FFFFFF"/>
        <w:spacing w:after="0" w:line="240" w:lineRule="auto"/>
        <w:ind w:firstLine="300"/>
        <w:jc w:val="center"/>
        <w:rPr>
          <w:rFonts w:ascii="Times New Roman" w:hAnsi="Times New Roman" w:eastAsia="Times New Roman" w:cs="Times New Roman"/>
          <w:b/>
          <w:bCs/>
          <w:lang w:eastAsia="lv-LV"/>
        </w:rPr>
      </w:pPr>
    </w:p>
    <w:p w:rsidR="007476AE" w:rsidP="00C01345" w:rsidRDefault="007476AE" w14:paraId="72094D47" w14:textId="77777777">
      <w:pPr>
        <w:shd w:val="clear" w:color="auto" w:fill="FFFFFF"/>
        <w:spacing w:after="0" w:line="240" w:lineRule="auto"/>
        <w:ind w:firstLine="300"/>
        <w:jc w:val="center"/>
        <w:rPr>
          <w:rFonts w:ascii="Times New Roman" w:hAnsi="Times New Roman" w:eastAsia="Times New Roman" w:cs="Times New Roman"/>
          <w:b/>
          <w:bCs/>
          <w:lang w:eastAsia="lv-LV"/>
        </w:rPr>
      </w:pPr>
    </w:p>
    <w:p w:rsidR="0060038C" w:rsidP="00C01345" w:rsidRDefault="0060038C" w14:paraId="1E59946E" w14:textId="77777777">
      <w:pPr>
        <w:shd w:val="clear" w:color="auto" w:fill="FFFFFF"/>
        <w:spacing w:after="0" w:line="240" w:lineRule="auto"/>
        <w:ind w:firstLine="300"/>
        <w:jc w:val="center"/>
        <w:rPr>
          <w:rFonts w:ascii="Times New Roman" w:hAnsi="Times New Roman" w:eastAsia="Times New Roman" w:cs="Times New Roman"/>
          <w:b/>
          <w:bCs/>
          <w:lang w:eastAsia="lv-LV"/>
        </w:rPr>
      </w:pPr>
    </w:p>
    <w:p w:rsidRPr="0060038C" w:rsidR="002869DF" w:rsidP="00295C33" w:rsidRDefault="002869DF" w14:paraId="126F3DC4" w14:textId="41A872BD">
      <w:pPr>
        <w:pStyle w:val="Sarakstarindkopa"/>
        <w:numPr>
          <w:ilvl w:val="0"/>
          <w:numId w:val="9"/>
        </w:numPr>
        <w:shd w:val="clear" w:color="auto" w:fill="FFFFFF"/>
        <w:spacing w:after="0" w:line="240" w:lineRule="auto"/>
        <w:ind w:left="284" w:hanging="284"/>
        <w:jc w:val="center"/>
        <w:rPr>
          <w:rFonts w:ascii="Times New Roman" w:hAnsi="Times New Roman" w:eastAsia="Times New Roman" w:cs="Times New Roman"/>
          <w:b/>
          <w:bCs/>
          <w:lang w:eastAsia="lv-LV"/>
        </w:rPr>
      </w:pPr>
      <w:r w:rsidRPr="0060038C">
        <w:rPr>
          <w:rFonts w:ascii="Times New Roman" w:hAnsi="Times New Roman" w:eastAsia="Times New Roman" w:cs="Times New Roman"/>
          <w:b/>
          <w:bCs/>
          <w:lang w:eastAsia="lv-LV"/>
        </w:rPr>
        <w:lastRenderedPageBreak/>
        <w:t>Jautājumi, par kuriem saskaņošanā vienošanās ir panākta</w:t>
      </w:r>
    </w:p>
    <w:p w:rsidRPr="0060038C" w:rsidR="0060038C" w:rsidP="00FD0303" w:rsidRDefault="0060038C" w14:paraId="6F91A65F" w14:textId="77777777">
      <w:pPr>
        <w:pStyle w:val="Sarakstarindkopa"/>
        <w:shd w:val="clear" w:color="auto" w:fill="FFFFFF"/>
        <w:spacing w:after="0" w:line="240" w:lineRule="auto"/>
        <w:ind w:left="1020"/>
        <w:rPr>
          <w:rFonts w:ascii="Times New Roman" w:hAnsi="Times New Roman" w:eastAsia="Times New Roman" w:cs="Times New Roman"/>
          <w:b/>
          <w:bCs/>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782"/>
        <w:gridCol w:w="3039"/>
        <w:gridCol w:w="3262"/>
        <w:gridCol w:w="3116"/>
        <w:gridCol w:w="3221"/>
      </w:tblGrid>
      <w:tr w:rsidRPr="00C01345" w:rsidR="00EB5F38" w:rsidTr="00946DF2" w14:paraId="3DFCCBF9" w14:textId="77777777">
        <w:tc>
          <w:tcPr>
            <w:tcW w:w="291" w:type="pct"/>
            <w:tcBorders>
              <w:top w:val="outset" w:color="414142" w:sz="6" w:space="0"/>
              <w:left w:val="outset" w:color="414142" w:sz="6" w:space="0"/>
              <w:bottom w:val="outset" w:color="414142" w:sz="6" w:space="0"/>
              <w:right w:val="outset" w:color="414142" w:sz="6" w:space="0"/>
            </w:tcBorders>
            <w:noWrap/>
            <w:vAlign w:val="center"/>
            <w:hideMark/>
          </w:tcPr>
          <w:p w:rsidRPr="00C01345" w:rsidR="002869DF" w:rsidP="00EB5F38" w:rsidRDefault="002869DF" w14:paraId="50A1322A"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Nr.p.k.</w:t>
            </w:r>
          </w:p>
        </w:tc>
        <w:tc>
          <w:tcPr>
            <w:tcW w:w="1132" w:type="pct"/>
            <w:tcBorders>
              <w:top w:val="outset" w:color="414142" w:sz="6" w:space="0"/>
              <w:left w:val="outset" w:color="414142" w:sz="6" w:space="0"/>
              <w:bottom w:val="outset" w:color="414142" w:sz="6" w:space="0"/>
              <w:right w:val="outset" w:color="414142" w:sz="6" w:space="0"/>
            </w:tcBorders>
            <w:vAlign w:val="center"/>
            <w:hideMark/>
          </w:tcPr>
          <w:p w:rsidRPr="00C01345" w:rsidR="002869DF" w:rsidP="00EB5F38" w:rsidRDefault="002869DF" w14:paraId="530E444E"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Saskaņošanai nosūtītā projekta redakcija (konkrēta punkta (panta) redakcija)</w:t>
            </w:r>
          </w:p>
        </w:tc>
        <w:tc>
          <w:tcPr>
            <w:tcW w:w="1215" w:type="pct"/>
            <w:tcBorders>
              <w:top w:val="outset" w:color="414142" w:sz="6" w:space="0"/>
              <w:left w:val="outset" w:color="414142" w:sz="6" w:space="0"/>
              <w:bottom w:val="outset" w:color="414142" w:sz="6" w:space="0"/>
              <w:right w:val="outset" w:color="414142" w:sz="6" w:space="0"/>
            </w:tcBorders>
            <w:vAlign w:val="center"/>
            <w:hideMark/>
          </w:tcPr>
          <w:p w:rsidRPr="00C01345" w:rsidR="002869DF" w:rsidP="00EB5F38" w:rsidRDefault="002869DF" w14:paraId="655F5660"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Atzinumā norādītais ministrijas (citas institūcijas) iebildums, kā arī saskaņošanā papildus izteiktais iebildums par projekta konkrēto punktu (pantu)</w:t>
            </w:r>
          </w:p>
        </w:tc>
        <w:tc>
          <w:tcPr>
            <w:tcW w:w="1161" w:type="pct"/>
            <w:tcBorders>
              <w:top w:val="outset" w:color="414142" w:sz="6" w:space="0"/>
              <w:left w:val="outset" w:color="414142" w:sz="6" w:space="0"/>
              <w:bottom w:val="outset" w:color="414142" w:sz="6" w:space="0"/>
              <w:right w:val="outset" w:color="414142" w:sz="6" w:space="0"/>
            </w:tcBorders>
            <w:vAlign w:val="center"/>
            <w:hideMark/>
          </w:tcPr>
          <w:p w:rsidRPr="00C01345" w:rsidR="002869DF" w:rsidP="00EB5F38" w:rsidRDefault="002869DF" w14:paraId="15818C40"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Atbildīgās ministrijas norāde par to, ka iebildums ir ņemts vērā, vai informācija par saskaņošanā panākto alternatīvo risinājumu</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C01345" w:rsidR="002869DF" w:rsidP="00EB5F38" w:rsidRDefault="002869DF" w14:paraId="25EE31E4"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Projekta attiecīgā punkta (panta) galīgā redakcija</w:t>
            </w:r>
          </w:p>
        </w:tc>
      </w:tr>
      <w:tr w:rsidRPr="00C01345" w:rsidR="00EB5F38" w:rsidTr="00946DF2" w14:paraId="4B8C6635" w14:textId="77777777">
        <w:tc>
          <w:tcPr>
            <w:tcW w:w="291" w:type="pct"/>
            <w:tcBorders>
              <w:top w:val="outset" w:color="414142" w:sz="6" w:space="0"/>
              <w:left w:val="outset" w:color="414142" w:sz="6" w:space="0"/>
              <w:bottom w:val="outset" w:color="414142" w:sz="6" w:space="0"/>
              <w:right w:val="outset" w:color="414142" w:sz="6" w:space="0"/>
            </w:tcBorders>
            <w:hideMark/>
          </w:tcPr>
          <w:p w:rsidRPr="00C01345" w:rsidR="002869DF" w:rsidP="00EB5F38" w:rsidRDefault="002869DF" w14:paraId="2629E8A0"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1</w:t>
            </w:r>
          </w:p>
        </w:tc>
        <w:tc>
          <w:tcPr>
            <w:tcW w:w="1132" w:type="pct"/>
            <w:tcBorders>
              <w:top w:val="outset" w:color="414142" w:sz="6" w:space="0"/>
              <w:left w:val="outset" w:color="414142" w:sz="6" w:space="0"/>
              <w:bottom w:val="outset" w:color="414142" w:sz="6" w:space="0"/>
              <w:right w:val="outset" w:color="414142" w:sz="6" w:space="0"/>
            </w:tcBorders>
            <w:hideMark/>
          </w:tcPr>
          <w:p w:rsidRPr="00C01345" w:rsidR="002869DF" w:rsidP="00EB5F38" w:rsidRDefault="002869DF" w14:paraId="30CDFB72"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2</w:t>
            </w:r>
          </w:p>
        </w:tc>
        <w:tc>
          <w:tcPr>
            <w:tcW w:w="1215" w:type="pct"/>
            <w:tcBorders>
              <w:top w:val="outset" w:color="414142" w:sz="6" w:space="0"/>
              <w:left w:val="outset" w:color="414142" w:sz="6" w:space="0"/>
              <w:bottom w:val="outset" w:color="414142" w:sz="6" w:space="0"/>
              <w:right w:val="outset" w:color="414142" w:sz="6" w:space="0"/>
            </w:tcBorders>
            <w:hideMark/>
          </w:tcPr>
          <w:p w:rsidRPr="00C01345" w:rsidR="002869DF" w:rsidP="00EB5F38" w:rsidRDefault="002869DF" w14:paraId="69341C87"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3</w:t>
            </w:r>
          </w:p>
        </w:tc>
        <w:tc>
          <w:tcPr>
            <w:tcW w:w="1161" w:type="pct"/>
            <w:tcBorders>
              <w:top w:val="outset" w:color="414142" w:sz="6" w:space="0"/>
              <w:left w:val="outset" w:color="414142" w:sz="6" w:space="0"/>
              <w:bottom w:val="outset" w:color="414142" w:sz="6" w:space="0"/>
              <w:right w:val="outset" w:color="414142" w:sz="6" w:space="0"/>
            </w:tcBorders>
            <w:hideMark/>
          </w:tcPr>
          <w:p w:rsidRPr="00C01345" w:rsidR="002869DF" w:rsidP="00EB5F38" w:rsidRDefault="002869DF" w14:paraId="0F375843"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4</w:t>
            </w:r>
          </w:p>
        </w:tc>
        <w:tc>
          <w:tcPr>
            <w:tcW w:w="1200" w:type="pct"/>
            <w:tcBorders>
              <w:top w:val="outset" w:color="414142" w:sz="6" w:space="0"/>
              <w:left w:val="outset" w:color="414142" w:sz="6" w:space="0"/>
              <w:bottom w:val="outset" w:color="414142" w:sz="6" w:space="0"/>
              <w:right w:val="outset" w:color="414142" w:sz="6" w:space="0"/>
            </w:tcBorders>
            <w:hideMark/>
          </w:tcPr>
          <w:p w:rsidRPr="00C01345" w:rsidR="002869DF" w:rsidP="00EB5F38" w:rsidRDefault="002869DF" w14:paraId="5941C76C" w14:textId="77777777">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5</w:t>
            </w:r>
          </w:p>
        </w:tc>
      </w:tr>
      <w:tr w:rsidRPr="00C01345" w:rsidR="00EB5F38" w:rsidTr="00946DF2" w14:paraId="3C53537B" w14:textId="77777777">
        <w:trPr>
          <w:trHeight w:val="1521"/>
        </w:trPr>
        <w:tc>
          <w:tcPr>
            <w:tcW w:w="291" w:type="pct"/>
            <w:tcBorders>
              <w:top w:val="outset" w:color="414142" w:sz="6" w:space="0"/>
              <w:left w:val="outset" w:color="414142" w:sz="6" w:space="0"/>
              <w:bottom w:val="outset" w:color="414142" w:sz="6" w:space="0"/>
              <w:right w:val="outset" w:color="414142" w:sz="6" w:space="0"/>
            </w:tcBorders>
            <w:hideMark/>
          </w:tcPr>
          <w:p w:rsidRPr="00C01345" w:rsidR="002869DF" w:rsidP="00EB5F38" w:rsidRDefault="002869DF" w14:paraId="6439CF47" w14:textId="6834C8A6">
            <w:pPr>
              <w:spacing w:after="0" w:line="240" w:lineRule="auto"/>
              <w:ind w:left="57" w:right="57"/>
              <w:jc w:val="center"/>
              <w:rPr>
                <w:rFonts w:ascii="Times New Roman" w:hAnsi="Times New Roman" w:eastAsia="Times New Roman" w:cs="Times New Roman"/>
                <w:lang w:eastAsia="lv-LV"/>
              </w:rPr>
            </w:pPr>
            <w:r w:rsidRPr="00C01345">
              <w:rPr>
                <w:rFonts w:ascii="Times New Roman" w:hAnsi="Times New Roman" w:eastAsia="Times New Roman" w:cs="Times New Roman"/>
                <w:lang w:eastAsia="lv-LV"/>
              </w:rPr>
              <w:t>1.</w:t>
            </w:r>
          </w:p>
        </w:tc>
        <w:tc>
          <w:tcPr>
            <w:tcW w:w="1132" w:type="pct"/>
            <w:tcBorders>
              <w:top w:val="outset" w:color="414142" w:sz="6" w:space="0"/>
              <w:left w:val="outset" w:color="414142" w:sz="6" w:space="0"/>
              <w:bottom w:val="outset" w:color="414142" w:sz="6" w:space="0"/>
              <w:right w:val="outset" w:color="414142" w:sz="6" w:space="0"/>
            </w:tcBorders>
          </w:tcPr>
          <w:p w:rsidR="00CD633B" w:rsidP="00EB5F38" w:rsidRDefault="00EB5F38" w14:paraId="37080FCF" w14:textId="09C4D614">
            <w:pPr>
              <w:pStyle w:val="paragraph"/>
              <w:spacing w:before="0" w:beforeAutospacing="0" w:after="0" w:afterAutospacing="0"/>
              <w:ind w:left="57" w:right="57"/>
              <w:jc w:val="both"/>
              <w:textAlignment w:val="baseline"/>
              <w:rPr>
                <w:iCs/>
                <w:sz w:val="22"/>
                <w:szCs w:val="22"/>
              </w:rPr>
            </w:pPr>
            <w:r w:rsidRPr="00C01345">
              <w:rPr>
                <w:iCs/>
                <w:sz w:val="22"/>
                <w:szCs w:val="22"/>
              </w:rPr>
              <w:t>Informatīv</w:t>
            </w:r>
            <w:r>
              <w:rPr>
                <w:iCs/>
                <w:sz w:val="22"/>
                <w:szCs w:val="22"/>
              </w:rPr>
              <w:t>ā</w:t>
            </w:r>
            <w:r w:rsidRPr="00C01345">
              <w:rPr>
                <w:iCs/>
                <w:sz w:val="22"/>
                <w:szCs w:val="22"/>
              </w:rPr>
              <w:t xml:space="preserve"> ziņojum</w:t>
            </w:r>
            <w:r>
              <w:rPr>
                <w:iCs/>
                <w:sz w:val="22"/>
                <w:szCs w:val="22"/>
              </w:rPr>
              <w:t xml:space="preserve">a </w:t>
            </w:r>
            <w:r w:rsidRPr="00EB5F38">
              <w:rPr>
                <w:iCs/>
                <w:sz w:val="22"/>
                <w:szCs w:val="22"/>
              </w:rPr>
              <w:t>„Par atbalsta programmas „Par atbalsta pasākumu Covid-19 krīzes ietekmētajiem kultūras pasākumu rīkotājiem” pagarinājumu”</w:t>
            </w:r>
            <w:r>
              <w:rPr>
                <w:iCs/>
                <w:sz w:val="22"/>
                <w:szCs w:val="22"/>
              </w:rPr>
              <w:t xml:space="preserve"> (turpmāk –</w:t>
            </w:r>
            <w:r>
              <w:t xml:space="preserve"> </w:t>
            </w:r>
            <w:r>
              <w:rPr>
                <w:iCs/>
                <w:sz w:val="22"/>
                <w:szCs w:val="22"/>
              </w:rPr>
              <w:t>informatīvais ziņojums) 2.punkts</w:t>
            </w:r>
            <w:r w:rsidRPr="00C01345" w:rsidR="00CD633B">
              <w:rPr>
                <w:iCs/>
                <w:sz w:val="22"/>
                <w:szCs w:val="22"/>
              </w:rPr>
              <w:t>:</w:t>
            </w:r>
          </w:p>
          <w:p w:rsidRPr="00C01345" w:rsidR="00BF171E" w:rsidP="00EB5F38" w:rsidRDefault="00BF171E" w14:paraId="397E20B6" w14:textId="77777777">
            <w:pPr>
              <w:pStyle w:val="paragraph"/>
              <w:spacing w:before="0" w:beforeAutospacing="0" w:after="0" w:afterAutospacing="0"/>
              <w:ind w:left="57" w:right="57"/>
              <w:jc w:val="both"/>
              <w:textAlignment w:val="baseline"/>
              <w:rPr>
                <w:iCs/>
                <w:sz w:val="22"/>
                <w:szCs w:val="22"/>
              </w:rPr>
            </w:pPr>
          </w:p>
          <w:p w:rsidR="00CD633B" w:rsidP="00EB5F38" w:rsidRDefault="00EB5F38" w14:paraId="198E945C" w14:textId="36B9BF48">
            <w:pPr>
              <w:pStyle w:val="paragraph"/>
              <w:spacing w:before="0" w:beforeAutospacing="0" w:after="0" w:afterAutospacing="0"/>
              <w:ind w:left="57" w:right="57"/>
              <w:jc w:val="both"/>
              <w:textAlignment w:val="baseline"/>
              <w:rPr>
                <w:sz w:val="22"/>
                <w:szCs w:val="22"/>
              </w:rPr>
            </w:pPr>
            <w:r w:rsidRPr="00EB5F38">
              <w:rPr>
                <w:iCs/>
                <w:sz w:val="22"/>
                <w:szCs w:val="22"/>
              </w:rPr>
              <w:t>„</w:t>
            </w:r>
            <w:r w:rsidRPr="00C01345" w:rsidR="00CD633B">
              <w:rPr>
                <w:iCs/>
                <w:sz w:val="22"/>
                <w:szCs w:val="22"/>
              </w:rPr>
              <w:t>2.</w:t>
            </w:r>
            <w:r w:rsidR="00BF171E">
              <w:rPr>
                <w:iCs/>
                <w:sz w:val="22"/>
                <w:szCs w:val="22"/>
              </w:rPr>
              <w:t xml:space="preserve"> </w:t>
            </w:r>
            <w:r w:rsidRPr="00C01345" w:rsidR="00CD633B">
              <w:rPr>
                <w:iCs/>
                <w:sz w:val="22"/>
                <w:szCs w:val="22"/>
              </w:rPr>
              <w:t xml:space="preserve">Valsts </w:t>
            </w:r>
            <w:proofErr w:type="gramStart"/>
            <w:r w:rsidRPr="00C01345" w:rsidR="00CD633B">
              <w:rPr>
                <w:iCs/>
                <w:sz w:val="22"/>
                <w:szCs w:val="22"/>
              </w:rPr>
              <w:t>kultūrkapitāla fondam</w:t>
            </w:r>
            <w:proofErr w:type="gramEnd"/>
            <w:r w:rsidRPr="00C01345" w:rsidR="00CD633B">
              <w:rPr>
                <w:iCs/>
                <w:sz w:val="22"/>
                <w:szCs w:val="22"/>
              </w:rPr>
              <w:t xml:space="preserve"> veikt publisko iepirkumu par </w:t>
            </w:r>
            <w:r w:rsidRPr="00C01345" w:rsidR="00CD633B">
              <w:rPr>
                <w:sz w:val="22"/>
                <w:szCs w:val="22"/>
              </w:rPr>
              <w:t xml:space="preserve">Programmas izvērtēšanas pakalpojuma sniegšanu, paredzot, ka pakalpojuma apmaksa tiek veikta par viena projekta pieteikuma vērtēšanu un pēc attiecīgās kārtas pieteikumu kompensācijas piešķiršanas no valsts budžeta programmas 02.00.00 </w:t>
            </w:r>
            <w:r w:rsidRPr="00C01345" w:rsidR="00CD633B">
              <w:rPr>
                <w:iCs/>
                <w:sz w:val="22"/>
                <w:szCs w:val="22"/>
              </w:rPr>
              <w:t>„</w:t>
            </w:r>
            <w:r w:rsidRPr="00C01345" w:rsidR="00CD633B">
              <w:rPr>
                <w:sz w:val="22"/>
                <w:szCs w:val="22"/>
              </w:rPr>
              <w:t>Līdzekļi neparedzētiem gadījumiem”</w:t>
            </w:r>
            <w:r>
              <w:rPr>
                <w:sz w:val="22"/>
                <w:szCs w:val="22"/>
              </w:rPr>
              <w:t>”</w:t>
            </w:r>
            <w:r w:rsidRPr="00C01345" w:rsidR="00CD633B">
              <w:rPr>
                <w:sz w:val="22"/>
                <w:szCs w:val="22"/>
              </w:rPr>
              <w:t>.</w:t>
            </w:r>
          </w:p>
          <w:p w:rsidRPr="00C01345" w:rsidR="00EB5F38" w:rsidP="00EB5F38" w:rsidRDefault="00EB5F38" w14:paraId="26C838F9" w14:textId="77777777">
            <w:pPr>
              <w:pStyle w:val="paragraph"/>
              <w:spacing w:before="0" w:beforeAutospacing="0" w:after="0" w:afterAutospacing="0"/>
              <w:ind w:left="57" w:right="57"/>
              <w:jc w:val="both"/>
              <w:textAlignment w:val="baseline"/>
              <w:rPr>
                <w:iCs/>
                <w:sz w:val="22"/>
                <w:szCs w:val="22"/>
              </w:rPr>
            </w:pPr>
          </w:p>
          <w:p w:rsidR="00CD633B" w:rsidP="00EB5F38" w:rsidRDefault="00EB5F38" w14:paraId="4F8417B7" w14:textId="4CB7C30F">
            <w:pPr>
              <w:pStyle w:val="paragraph"/>
              <w:spacing w:before="0" w:beforeAutospacing="0" w:after="0" w:afterAutospacing="0"/>
              <w:ind w:left="57" w:right="57"/>
              <w:jc w:val="both"/>
              <w:textAlignment w:val="baseline"/>
              <w:rPr>
                <w:iCs/>
                <w:sz w:val="22"/>
                <w:szCs w:val="22"/>
              </w:rPr>
            </w:pPr>
            <w:r w:rsidRPr="00EB5F38">
              <w:rPr>
                <w:iCs/>
                <w:sz w:val="22"/>
                <w:szCs w:val="22"/>
              </w:rPr>
              <w:t>Ministru kabineta sēdes protokollēmuma projekt</w:t>
            </w:r>
            <w:r>
              <w:rPr>
                <w:iCs/>
                <w:sz w:val="22"/>
                <w:szCs w:val="22"/>
              </w:rPr>
              <w:t>a</w:t>
            </w:r>
            <w:r w:rsidR="00BF171E">
              <w:rPr>
                <w:iCs/>
                <w:sz w:val="22"/>
                <w:szCs w:val="22"/>
              </w:rPr>
              <w:t xml:space="preserve"> </w:t>
            </w:r>
            <w:r w:rsidRPr="00EB5F38">
              <w:rPr>
                <w:iCs/>
                <w:sz w:val="22"/>
                <w:szCs w:val="22"/>
              </w:rPr>
              <w:t xml:space="preserve">„Informatīvais ziņojums „Par atbalsta programmas „Par atbalsta pasākumu Covid-19 krīzes ietekmētajiem kultūras pasākumu rīkotājiem” </w:t>
            </w:r>
            <w:r w:rsidRPr="00EB5F38">
              <w:rPr>
                <w:iCs/>
                <w:sz w:val="22"/>
                <w:szCs w:val="22"/>
              </w:rPr>
              <w:lastRenderedPageBreak/>
              <w:t>pagarinājumu””</w:t>
            </w:r>
            <w:r>
              <w:rPr>
                <w:iCs/>
                <w:sz w:val="22"/>
                <w:szCs w:val="22"/>
              </w:rPr>
              <w:t xml:space="preserve"> (turpmāk – protokollēmuma projekts) 3.punkts</w:t>
            </w:r>
            <w:r w:rsidRPr="00C01345" w:rsidR="00CD633B">
              <w:rPr>
                <w:iCs/>
                <w:sz w:val="22"/>
                <w:szCs w:val="22"/>
              </w:rPr>
              <w:t>:</w:t>
            </w:r>
          </w:p>
          <w:p w:rsidRPr="00C01345" w:rsidR="00BF171E" w:rsidP="00EB5F38" w:rsidRDefault="00BF171E" w14:paraId="12383CAB" w14:textId="77777777">
            <w:pPr>
              <w:pStyle w:val="paragraph"/>
              <w:spacing w:before="0" w:beforeAutospacing="0" w:after="0" w:afterAutospacing="0"/>
              <w:ind w:left="57" w:right="57"/>
              <w:jc w:val="both"/>
              <w:textAlignment w:val="baseline"/>
              <w:rPr>
                <w:iCs/>
                <w:sz w:val="22"/>
                <w:szCs w:val="22"/>
              </w:rPr>
            </w:pPr>
          </w:p>
          <w:p w:rsidRPr="00C01345" w:rsidR="002869DF" w:rsidP="00EB5F38" w:rsidRDefault="00EB5F38" w14:paraId="18D1B056" w14:textId="40C30651">
            <w:pPr>
              <w:pStyle w:val="paragraph"/>
              <w:spacing w:before="0" w:beforeAutospacing="0" w:after="0" w:afterAutospacing="0"/>
              <w:ind w:left="57" w:right="57"/>
              <w:jc w:val="both"/>
              <w:textAlignment w:val="baseline"/>
              <w:rPr>
                <w:sz w:val="22"/>
                <w:szCs w:val="22"/>
              </w:rPr>
            </w:pPr>
            <w:r w:rsidRPr="00EB5F38">
              <w:rPr>
                <w:iCs/>
                <w:sz w:val="22"/>
                <w:szCs w:val="22"/>
              </w:rPr>
              <w:t>„</w:t>
            </w:r>
            <w:r w:rsidRPr="00C01345" w:rsidR="00CD633B">
              <w:rPr>
                <w:iCs/>
                <w:sz w:val="22"/>
                <w:szCs w:val="22"/>
              </w:rPr>
              <w:t>3.</w:t>
            </w:r>
            <w:r w:rsidR="00BF171E">
              <w:rPr>
                <w:iCs/>
                <w:sz w:val="22"/>
                <w:szCs w:val="22"/>
              </w:rPr>
              <w:t xml:space="preserve"> </w:t>
            </w:r>
            <w:r w:rsidRPr="00C01345" w:rsidR="00CD633B">
              <w:rPr>
                <w:iCs/>
                <w:sz w:val="22"/>
                <w:szCs w:val="22"/>
              </w:rPr>
              <w:t xml:space="preserve">Valsts </w:t>
            </w:r>
            <w:proofErr w:type="gramStart"/>
            <w:r w:rsidRPr="00C01345" w:rsidR="00CD633B">
              <w:rPr>
                <w:iCs/>
                <w:sz w:val="22"/>
                <w:szCs w:val="22"/>
              </w:rPr>
              <w:t>kultūrkapitāla fondam</w:t>
            </w:r>
            <w:proofErr w:type="gramEnd"/>
            <w:r w:rsidRPr="00C01345" w:rsidR="00CD633B">
              <w:rPr>
                <w:iCs/>
                <w:sz w:val="22"/>
                <w:szCs w:val="22"/>
              </w:rPr>
              <w:t xml:space="preserve"> veikt publisko iepirkumu par </w:t>
            </w:r>
            <w:r w:rsidRPr="00C01345" w:rsidR="00CD633B">
              <w:rPr>
                <w:sz w:val="22"/>
                <w:szCs w:val="22"/>
              </w:rPr>
              <w:t>mērķprogrammas „Kultūras pasākumu rīkotāju biļešu kompensācija” izvērtēšanas pakalpojuma sniegšanu, paredzot, ka pakalpojuma apmaksa tiek veikta par viena projekta pieteikuma vērtēšanu un pēc attiecīgās kārtas pieteikumu kompensācijas piešķiršanas no valsts budžeta programmas 02.00.00 „Līdzekļi neparedzētiem gadījumiem”</w:t>
            </w:r>
            <w:r>
              <w:rPr>
                <w:sz w:val="22"/>
                <w:szCs w:val="22"/>
              </w:rPr>
              <w:t>”</w:t>
            </w:r>
            <w:r w:rsidRPr="00C01345" w:rsidR="00CD633B">
              <w:rPr>
                <w:sz w:val="22"/>
                <w:szCs w:val="22"/>
              </w:rPr>
              <w:t>.</w:t>
            </w:r>
          </w:p>
        </w:tc>
        <w:tc>
          <w:tcPr>
            <w:tcW w:w="1215" w:type="pct"/>
            <w:tcBorders>
              <w:top w:val="outset" w:color="414142" w:sz="6" w:space="0"/>
              <w:left w:val="outset" w:color="414142" w:sz="6" w:space="0"/>
              <w:bottom w:val="outset" w:color="414142" w:sz="6" w:space="0"/>
              <w:right w:val="outset" w:color="414142" w:sz="6" w:space="0"/>
            </w:tcBorders>
          </w:tcPr>
          <w:p w:rsidRPr="00EB5F38" w:rsidR="00FD0303" w:rsidP="00EB5F38" w:rsidRDefault="00FD0303" w14:paraId="3E88AA07" w14:textId="2F67FD82">
            <w:pPr>
              <w:spacing w:after="0" w:line="240" w:lineRule="auto"/>
              <w:ind w:left="57" w:right="57"/>
              <w:jc w:val="both"/>
              <w:rPr>
                <w:rFonts w:ascii="Times New Roman" w:hAnsi="Times New Roman" w:cs="Times New Roman"/>
                <w:b/>
                <w:bCs/>
              </w:rPr>
            </w:pPr>
            <w:r w:rsidRPr="00EB5F38">
              <w:rPr>
                <w:rFonts w:ascii="Times New Roman" w:hAnsi="Times New Roman" w:cs="Times New Roman"/>
                <w:b/>
                <w:bCs/>
              </w:rPr>
              <w:lastRenderedPageBreak/>
              <w:t>Finanšu ministrija:</w:t>
            </w:r>
          </w:p>
          <w:p w:rsidRPr="00C01345" w:rsidR="002869DF" w:rsidP="00EB5F38" w:rsidRDefault="00CD633B" w14:paraId="3F66890B" w14:textId="14D63289">
            <w:pPr>
              <w:spacing w:after="0" w:line="240" w:lineRule="auto"/>
              <w:ind w:left="57" w:right="57"/>
              <w:jc w:val="both"/>
              <w:rPr>
                <w:rFonts w:ascii="Times New Roman" w:hAnsi="Times New Roman" w:eastAsia="Times New Roman" w:cs="Times New Roman"/>
                <w:lang w:eastAsia="lv-LV"/>
              </w:rPr>
            </w:pPr>
            <w:r w:rsidRPr="00C01345">
              <w:rPr>
                <w:rFonts w:ascii="Times New Roman" w:hAnsi="Times New Roman" w:cs="Times New Roman"/>
              </w:rPr>
              <w:t>Ņemot vērā, ka Ministru kabinets pieņem lēmumus attiecībā uz iepirkumiem tikai normatīvajos aktos īpaši noteiktos gadījumos, savukārt pārējos gadījumos iepirkumu jautājumi ir paša pasūtītāja atbildība un kompetence, lūdzam izslēgt Informatīvā ziņojuma 2.punktu un Protokollēmuma 3.punktu.</w:t>
            </w:r>
          </w:p>
        </w:tc>
        <w:tc>
          <w:tcPr>
            <w:tcW w:w="1161" w:type="pct"/>
            <w:tcBorders>
              <w:top w:val="outset" w:color="414142" w:sz="6" w:space="0"/>
              <w:left w:val="outset" w:color="414142" w:sz="6" w:space="0"/>
              <w:bottom w:val="outset" w:color="414142" w:sz="6" w:space="0"/>
              <w:right w:val="outset" w:color="414142" w:sz="6" w:space="0"/>
            </w:tcBorders>
            <w:hideMark/>
          </w:tcPr>
          <w:p w:rsidRPr="00EB5F38" w:rsidR="002869DF" w:rsidP="00EB5F38" w:rsidRDefault="00EB5F38" w14:paraId="5BA42E81" w14:textId="785D74D4">
            <w:pPr>
              <w:spacing w:after="0" w:line="240" w:lineRule="auto"/>
              <w:ind w:left="57" w:right="57"/>
              <w:jc w:val="center"/>
              <w:rPr>
                <w:rFonts w:ascii="Times New Roman" w:hAnsi="Times New Roman" w:eastAsia="Times New Roman" w:cs="Times New Roman"/>
                <w:b/>
                <w:bCs/>
                <w:lang w:eastAsia="lv-LV"/>
              </w:rPr>
            </w:pPr>
            <w:r w:rsidRPr="00EB5F38">
              <w:rPr>
                <w:rFonts w:ascii="Times New Roman" w:hAnsi="Times New Roman" w:eastAsia="Times New Roman" w:cs="Times New Roman"/>
                <w:b/>
                <w:bCs/>
                <w:lang w:eastAsia="lv-LV"/>
              </w:rPr>
              <w:t>Ņ</w:t>
            </w:r>
            <w:r w:rsidRPr="00EB5F38" w:rsidR="00CD633B">
              <w:rPr>
                <w:rFonts w:ascii="Times New Roman" w:hAnsi="Times New Roman" w:eastAsia="Times New Roman" w:cs="Times New Roman"/>
                <w:b/>
                <w:bCs/>
                <w:lang w:eastAsia="lv-LV"/>
              </w:rPr>
              <w:t>emts vērā</w:t>
            </w:r>
          </w:p>
        </w:tc>
        <w:tc>
          <w:tcPr>
            <w:tcW w:w="1200" w:type="pct"/>
            <w:tcBorders>
              <w:top w:val="outset" w:color="414142" w:sz="6" w:space="0"/>
              <w:left w:val="outset" w:color="414142" w:sz="6" w:space="0"/>
              <w:bottom w:val="outset" w:color="414142" w:sz="6" w:space="0"/>
              <w:right w:val="outset" w:color="414142" w:sz="6" w:space="0"/>
            </w:tcBorders>
            <w:hideMark/>
          </w:tcPr>
          <w:p w:rsidRPr="008E354D" w:rsidR="002869DF" w:rsidP="00EB5F38" w:rsidRDefault="00F416DD" w14:paraId="4498FDF4" w14:textId="03BFCF4F">
            <w:pPr>
              <w:spacing w:after="0" w:line="240" w:lineRule="auto"/>
              <w:ind w:left="57" w:right="57"/>
              <w:jc w:val="both"/>
              <w:rPr>
                <w:rFonts w:ascii="Times New Roman" w:hAnsi="Times New Roman" w:eastAsia="Times New Roman" w:cs="Times New Roman"/>
                <w:lang w:eastAsia="lv-LV"/>
              </w:rPr>
            </w:pPr>
            <w:r w:rsidRPr="008E354D">
              <w:rPr>
                <w:rFonts w:ascii="Times New Roman" w:hAnsi="Times New Roman" w:eastAsia="Times New Roman" w:cs="Times New Roman"/>
                <w:lang w:eastAsia="lv-LV"/>
              </w:rPr>
              <w:t>Svītrots</w:t>
            </w:r>
            <w:r w:rsidRPr="008E354D" w:rsidR="00EB5F38">
              <w:rPr>
                <w:rFonts w:ascii="Times New Roman" w:hAnsi="Times New Roman" w:eastAsia="Times New Roman" w:cs="Times New Roman"/>
                <w:lang w:eastAsia="lv-LV"/>
              </w:rPr>
              <w:t xml:space="preserve"> i</w:t>
            </w:r>
            <w:r w:rsidRPr="008E354D" w:rsidR="00CD633B">
              <w:rPr>
                <w:rFonts w:ascii="Times New Roman" w:hAnsi="Times New Roman" w:eastAsia="Times New Roman" w:cs="Times New Roman"/>
                <w:lang w:eastAsia="lv-LV"/>
              </w:rPr>
              <w:t xml:space="preserve">nformatīvā </w:t>
            </w:r>
            <w:r w:rsidRPr="008E354D" w:rsidR="00EB5F38">
              <w:rPr>
                <w:rFonts w:ascii="Times New Roman" w:hAnsi="Times New Roman" w:eastAsia="Times New Roman" w:cs="Times New Roman"/>
                <w:lang w:eastAsia="lv-LV"/>
              </w:rPr>
              <w:t>ziņojuma 2.punkts un</w:t>
            </w:r>
            <w:r w:rsidRPr="008E354D" w:rsidR="00CD633B">
              <w:rPr>
                <w:rFonts w:ascii="Times New Roman" w:hAnsi="Times New Roman" w:eastAsia="Times New Roman" w:cs="Times New Roman"/>
                <w:lang w:eastAsia="lv-LV"/>
              </w:rPr>
              <w:t xml:space="preserve"> </w:t>
            </w:r>
            <w:r w:rsidRPr="008E354D" w:rsidR="00EB5F38">
              <w:rPr>
                <w:rFonts w:ascii="Times New Roman" w:hAnsi="Times New Roman" w:eastAsia="Times New Roman" w:cs="Times New Roman"/>
                <w:lang w:eastAsia="lv-LV"/>
              </w:rPr>
              <w:t xml:space="preserve">protokollēmuma projekta </w:t>
            </w:r>
            <w:r w:rsidRPr="008E354D" w:rsidR="00CD633B">
              <w:rPr>
                <w:rFonts w:ascii="Times New Roman" w:hAnsi="Times New Roman" w:eastAsia="Times New Roman" w:cs="Times New Roman"/>
                <w:lang w:eastAsia="lv-LV"/>
              </w:rPr>
              <w:t>3.punkts</w:t>
            </w:r>
            <w:r w:rsidRPr="008E354D" w:rsidR="00EB5F38">
              <w:rPr>
                <w:rFonts w:ascii="Times New Roman" w:hAnsi="Times New Roman" w:eastAsia="Times New Roman" w:cs="Times New Roman"/>
                <w:lang w:eastAsia="lv-LV"/>
              </w:rPr>
              <w:t>.</w:t>
            </w:r>
          </w:p>
        </w:tc>
      </w:tr>
      <w:tr w:rsidRPr="00C01345" w:rsidR="008E354D" w:rsidTr="00946DF2" w14:paraId="58F40C80" w14:textId="77777777">
        <w:trPr>
          <w:trHeight w:val="240"/>
        </w:trPr>
        <w:tc>
          <w:tcPr>
            <w:tcW w:w="291" w:type="pct"/>
            <w:tcBorders>
              <w:top w:val="outset" w:color="414142" w:sz="6" w:space="0"/>
              <w:left w:val="outset" w:color="414142" w:sz="6" w:space="0"/>
              <w:bottom w:val="outset" w:color="414142" w:sz="6" w:space="0"/>
              <w:right w:val="outset" w:color="414142" w:sz="6" w:space="0"/>
            </w:tcBorders>
          </w:tcPr>
          <w:p w:rsidRPr="00C01345" w:rsidR="008E354D" w:rsidP="00EB5F38" w:rsidRDefault="008E354D" w14:paraId="7C77CB4E" w14:textId="696472E0">
            <w:pPr>
              <w:spacing w:after="0" w:line="240" w:lineRule="auto"/>
              <w:ind w:left="57" w:right="57"/>
              <w:jc w:val="center"/>
              <w:rPr>
                <w:rFonts w:ascii="Times New Roman" w:hAnsi="Times New Roman" w:eastAsia="Times New Roman" w:cs="Times New Roman"/>
                <w:lang w:eastAsia="lv-LV"/>
              </w:rPr>
            </w:pPr>
            <w:r>
              <w:rPr>
                <w:rFonts w:ascii="Times New Roman" w:hAnsi="Times New Roman" w:eastAsia="Times New Roman" w:cs="Times New Roman"/>
                <w:lang w:eastAsia="lv-LV"/>
              </w:rPr>
              <w:t>2.</w:t>
            </w:r>
          </w:p>
        </w:tc>
        <w:tc>
          <w:tcPr>
            <w:tcW w:w="1132" w:type="pct"/>
            <w:tcBorders>
              <w:top w:val="outset" w:color="414142" w:sz="6" w:space="0"/>
              <w:left w:val="outset" w:color="414142" w:sz="6" w:space="0"/>
              <w:bottom w:val="outset" w:color="414142" w:sz="6" w:space="0"/>
              <w:right w:val="outset" w:color="414142" w:sz="6" w:space="0"/>
            </w:tcBorders>
          </w:tcPr>
          <w:p w:rsidR="008E354D" w:rsidP="008E354D" w:rsidRDefault="008E354D" w14:paraId="4F97EB76" w14:textId="0AFBA7F9">
            <w:pPr>
              <w:pStyle w:val="paragraph"/>
              <w:spacing w:before="0" w:beforeAutospacing="0" w:after="0" w:afterAutospacing="0"/>
              <w:ind w:left="57" w:right="57"/>
              <w:jc w:val="both"/>
              <w:textAlignment w:val="baseline"/>
              <w:rPr>
                <w:iCs/>
                <w:sz w:val="22"/>
                <w:szCs w:val="22"/>
              </w:rPr>
            </w:pPr>
            <w:r>
              <w:rPr>
                <w:iCs/>
                <w:sz w:val="22"/>
                <w:szCs w:val="22"/>
              </w:rPr>
              <w:t>Protokollēmuma projekta 3.punkts</w:t>
            </w:r>
            <w:r w:rsidRPr="00C01345">
              <w:rPr>
                <w:iCs/>
                <w:sz w:val="22"/>
                <w:szCs w:val="22"/>
              </w:rPr>
              <w:t>:</w:t>
            </w:r>
          </w:p>
          <w:p w:rsidRPr="00C01345" w:rsidR="008E354D" w:rsidP="008E354D" w:rsidRDefault="008E354D" w14:paraId="1230EE61" w14:textId="77777777">
            <w:pPr>
              <w:pStyle w:val="paragraph"/>
              <w:spacing w:before="0" w:beforeAutospacing="0" w:after="0" w:afterAutospacing="0"/>
              <w:ind w:left="57" w:right="57"/>
              <w:jc w:val="both"/>
              <w:textAlignment w:val="baseline"/>
              <w:rPr>
                <w:iCs/>
                <w:sz w:val="22"/>
                <w:szCs w:val="22"/>
              </w:rPr>
            </w:pPr>
          </w:p>
          <w:p w:rsidR="008E354D" w:rsidP="008E354D" w:rsidRDefault="008E354D" w14:paraId="1ABF6606" w14:textId="7A35B0EA">
            <w:pPr>
              <w:pStyle w:val="paragraph"/>
              <w:spacing w:before="0" w:beforeAutospacing="0" w:after="0" w:afterAutospacing="0"/>
              <w:ind w:left="57" w:right="57"/>
              <w:jc w:val="both"/>
              <w:textAlignment w:val="baseline"/>
              <w:rPr>
                <w:snapToGrid w:val="0"/>
                <w:sz w:val="22"/>
                <w:szCs w:val="22"/>
              </w:rPr>
            </w:pPr>
            <w:r w:rsidRPr="00EB5F38">
              <w:rPr>
                <w:iCs/>
                <w:sz w:val="22"/>
                <w:szCs w:val="22"/>
              </w:rPr>
              <w:t>„</w:t>
            </w:r>
            <w:r w:rsidRPr="00C01345">
              <w:rPr>
                <w:iCs/>
                <w:sz w:val="22"/>
                <w:szCs w:val="22"/>
              </w:rPr>
              <w:t>3.</w:t>
            </w:r>
            <w:r>
              <w:rPr>
                <w:iCs/>
                <w:sz w:val="22"/>
                <w:szCs w:val="22"/>
              </w:rPr>
              <w:t xml:space="preserve"> </w:t>
            </w:r>
            <w:r w:rsidRPr="00C01345">
              <w:rPr>
                <w:iCs/>
                <w:sz w:val="22"/>
                <w:szCs w:val="22"/>
              </w:rPr>
              <w:t xml:space="preserve">Valsts </w:t>
            </w:r>
            <w:proofErr w:type="gramStart"/>
            <w:r w:rsidRPr="00C01345">
              <w:rPr>
                <w:iCs/>
                <w:sz w:val="22"/>
                <w:szCs w:val="22"/>
              </w:rPr>
              <w:t>kultūrkapitāla fondam</w:t>
            </w:r>
            <w:proofErr w:type="gramEnd"/>
            <w:r w:rsidRPr="00C01345">
              <w:rPr>
                <w:iCs/>
                <w:sz w:val="22"/>
                <w:szCs w:val="22"/>
              </w:rPr>
              <w:t xml:space="preserve"> veikt publisko iepirkumu par </w:t>
            </w:r>
            <w:r w:rsidRPr="00C01345">
              <w:rPr>
                <w:sz w:val="22"/>
                <w:szCs w:val="22"/>
              </w:rPr>
              <w:t>mērķprogrammas „Kultūras pasākumu rīkotāju biļešu kompensācija” izvērtēšanas pakalpojuma sniegšanu, paredzot, ka pakalpojuma apmaksa tiek veikta par viena projekta pieteikuma vērtēšanu un pēc attiecīgās kārtas pieteikumu kompensācijas piešķiršanas no valsts budžeta programmas 02.00.00 „Līdzekļi neparedzētiem gadījumiem”</w:t>
            </w:r>
            <w:r>
              <w:rPr>
                <w:sz w:val="22"/>
                <w:szCs w:val="22"/>
              </w:rPr>
              <w:t>”</w:t>
            </w:r>
            <w:r w:rsidRPr="00C01345">
              <w:rPr>
                <w:sz w:val="22"/>
                <w:szCs w:val="22"/>
              </w:rPr>
              <w:t>.</w:t>
            </w:r>
          </w:p>
        </w:tc>
        <w:tc>
          <w:tcPr>
            <w:tcW w:w="1215" w:type="pct"/>
            <w:tcBorders>
              <w:top w:val="outset" w:color="414142" w:sz="6" w:space="0"/>
              <w:left w:val="outset" w:color="414142" w:sz="6" w:space="0"/>
              <w:bottom w:val="outset" w:color="414142" w:sz="6" w:space="0"/>
              <w:right w:val="outset" w:color="414142" w:sz="6" w:space="0"/>
            </w:tcBorders>
          </w:tcPr>
          <w:p w:rsidRPr="00F5375B" w:rsidR="008E354D" w:rsidP="008E354D" w:rsidRDefault="008E354D" w14:paraId="611D7D53" w14:textId="0C2D7EA2">
            <w:pPr>
              <w:spacing w:after="0" w:line="240" w:lineRule="auto"/>
              <w:ind w:left="57" w:right="57"/>
              <w:jc w:val="both"/>
              <w:rPr>
                <w:rFonts w:ascii="Times New Roman" w:hAnsi="Times New Roman" w:cs="Times New Roman"/>
                <w:b/>
                <w:bCs/>
              </w:rPr>
            </w:pPr>
            <w:r>
              <w:rPr>
                <w:rFonts w:ascii="Times New Roman" w:hAnsi="Times New Roman" w:cs="Times New Roman"/>
                <w:b/>
                <w:bCs/>
              </w:rPr>
              <w:t>Tieslietu</w:t>
            </w:r>
            <w:r w:rsidRPr="00F5375B">
              <w:rPr>
                <w:rFonts w:ascii="Times New Roman" w:hAnsi="Times New Roman" w:cs="Times New Roman"/>
                <w:b/>
                <w:bCs/>
              </w:rPr>
              <w:t xml:space="preserve"> ministrija:</w:t>
            </w:r>
          </w:p>
          <w:p w:rsidRPr="00946DF2" w:rsidR="008E354D" w:rsidP="00EB5F38" w:rsidRDefault="008E354D" w14:paraId="3BB9C33B" w14:textId="783B464A">
            <w:pPr>
              <w:spacing w:after="0" w:line="240" w:lineRule="auto"/>
              <w:ind w:left="57" w:right="57"/>
              <w:jc w:val="both"/>
              <w:rPr>
                <w:rFonts w:ascii="Times New Roman" w:hAnsi="Times New Roman" w:cs="Times New Roman"/>
              </w:rPr>
            </w:pPr>
            <w:r w:rsidRPr="00946DF2">
              <w:rPr>
                <w:rFonts w:ascii="Times New Roman" w:hAnsi="Times New Roman" w:cs="Times New Roman"/>
              </w:rPr>
              <w:t xml:space="preserve">Vēršam uzmanību, ka ar Ministru kabineta sēdes protokollēmumu var noteikt saistošus pienākumus un uzdevumus vienīgi tiešās pārvaldes iestādēm, bet, ciktāl to neparedz ārējie normatīvie tiesību akti, ar Ministru kabineta sēdes protokollēmumu nevar noteikt saistošus pienākumus un uzdevumus privātpersonām vai tādām valsts institūcijām, kas nav Ministru kabineta vai tā locekļu padotībā, kā arī atvasinātām publiskām personām. Saistībā ar minēto norādām, ka Valsts kultūrkapitāla fonds atbilstoši Valsts kultūrkapitāla fonda likuma 2. panta otrajai daļai ir publisko </w:t>
            </w:r>
            <w:r w:rsidRPr="00946DF2">
              <w:rPr>
                <w:rFonts w:ascii="Times New Roman" w:hAnsi="Times New Roman" w:cs="Times New Roman"/>
              </w:rPr>
              <w:lastRenderedPageBreak/>
              <w:t>tiesību juridiskā persona (tātad tā ir atvasināta publiska persona), tādēļ ar lēmuma projektu Valsts kultūrkapitāla fondam nevar uzlikt saistošus pienākumus. Attiecīgi lūdzam izvērtēt un atbilstoši precizēt lēmuma projekta 3. punktu, nodrošinot, ka ar to minētajai personai netiek uzlikti pienākumi</w:t>
            </w:r>
            <w:r>
              <w:rPr>
                <w:rFonts w:ascii="Times New Roman" w:hAnsi="Times New Roman" w:cs="Times New Roman"/>
              </w:rPr>
              <w:t>.</w:t>
            </w:r>
          </w:p>
        </w:tc>
        <w:tc>
          <w:tcPr>
            <w:tcW w:w="1161" w:type="pct"/>
            <w:tcBorders>
              <w:top w:val="outset" w:color="414142" w:sz="6" w:space="0"/>
              <w:left w:val="outset" w:color="414142" w:sz="6" w:space="0"/>
              <w:bottom w:val="outset" w:color="414142" w:sz="6" w:space="0"/>
              <w:right w:val="outset" w:color="414142" w:sz="6" w:space="0"/>
            </w:tcBorders>
          </w:tcPr>
          <w:p w:rsidRPr="00D96C87" w:rsidR="008E354D" w:rsidP="00EB5F38" w:rsidRDefault="008E354D" w14:paraId="60837A1C" w14:textId="2C7F4894">
            <w:pPr>
              <w:spacing w:after="0" w:line="240" w:lineRule="auto"/>
              <w:ind w:left="57" w:right="57"/>
              <w:jc w:val="center"/>
              <w:rPr>
                <w:rFonts w:ascii="Times New Roman" w:hAnsi="Times New Roman" w:eastAsia="Times New Roman" w:cs="Times New Roman"/>
                <w:b/>
                <w:bCs/>
                <w:lang w:eastAsia="lv-LV"/>
              </w:rPr>
            </w:pPr>
            <w:r>
              <w:rPr>
                <w:rFonts w:ascii="Times New Roman" w:hAnsi="Times New Roman" w:eastAsia="Times New Roman" w:cs="Times New Roman"/>
                <w:b/>
                <w:bCs/>
                <w:lang w:eastAsia="lv-LV"/>
              </w:rPr>
              <w:lastRenderedPageBreak/>
              <w:t>Ņemts vērā</w:t>
            </w:r>
          </w:p>
        </w:tc>
        <w:tc>
          <w:tcPr>
            <w:tcW w:w="1200" w:type="pct"/>
            <w:tcBorders>
              <w:top w:val="outset" w:color="414142" w:sz="6" w:space="0"/>
              <w:left w:val="outset" w:color="414142" w:sz="6" w:space="0"/>
              <w:bottom w:val="outset" w:color="414142" w:sz="6" w:space="0"/>
              <w:right w:val="outset" w:color="414142" w:sz="6" w:space="0"/>
            </w:tcBorders>
          </w:tcPr>
          <w:p w:rsidRPr="008E354D" w:rsidR="008E354D" w:rsidDel="00BF171E" w:rsidP="00EB5F38" w:rsidRDefault="008E354D" w14:paraId="2EF06F8C" w14:textId="17329B70">
            <w:pPr>
              <w:pStyle w:val="paragraph"/>
              <w:spacing w:before="0" w:beforeAutospacing="0" w:after="0" w:afterAutospacing="0"/>
              <w:ind w:left="57" w:right="57"/>
              <w:jc w:val="both"/>
              <w:textAlignment w:val="baseline"/>
              <w:rPr>
                <w:sz w:val="22"/>
                <w:szCs w:val="22"/>
              </w:rPr>
            </w:pPr>
            <w:r w:rsidRPr="00946DF2">
              <w:rPr>
                <w:sz w:val="22"/>
                <w:szCs w:val="22"/>
              </w:rPr>
              <w:t>Svītrots informatīvā ziņojuma 2.punkts un protokollēmuma projekta 3.punkts.</w:t>
            </w:r>
          </w:p>
        </w:tc>
      </w:tr>
      <w:tr w:rsidRPr="00C01345" w:rsidR="00EB5F38" w:rsidTr="00946DF2" w14:paraId="26B11F42" w14:textId="77777777">
        <w:trPr>
          <w:trHeight w:val="240"/>
        </w:trPr>
        <w:tc>
          <w:tcPr>
            <w:tcW w:w="291" w:type="pct"/>
            <w:tcBorders>
              <w:top w:val="outset" w:color="414142" w:sz="6" w:space="0"/>
              <w:left w:val="outset" w:color="414142" w:sz="6" w:space="0"/>
              <w:bottom w:val="outset" w:color="414142" w:sz="6" w:space="0"/>
              <w:right w:val="outset" w:color="414142" w:sz="6" w:space="0"/>
            </w:tcBorders>
            <w:hideMark/>
          </w:tcPr>
          <w:p w:rsidRPr="00C01345" w:rsidR="002869DF" w:rsidP="00EB5F38" w:rsidRDefault="008E354D" w14:paraId="63B6675B" w14:textId="7080A92B">
            <w:pPr>
              <w:spacing w:after="0" w:line="240" w:lineRule="auto"/>
              <w:ind w:left="57" w:right="57"/>
              <w:jc w:val="center"/>
              <w:rPr>
                <w:rFonts w:ascii="Times New Roman" w:hAnsi="Times New Roman" w:eastAsia="Times New Roman" w:cs="Times New Roman"/>
                <w:lang w:eastAsia="lv-LV"/>
              </w:rPr>
            </w:pPr>
            <w:r>
              <w:rPr>
                <w:rFonts w:ascii="Times New Roman" w:hAnsi="Times New Roman" w:eastAsia="Times New Roman" w:cs="Times New Roman"/>
                <w:lang w:eastAsia="lv-LV"/>
              </w:rPr>
              <w:t>3</w:t>
            </w:r>
            <w:r w:rsidRPr="00C01345" w:rsidR="002869DF">
              <w:rPr>
                <w:rFonts w:ascii="Times New Roman" w:hAnsi="Times New Roman" w:eastAsia="Times New Roman" w:cs="Times New Roman"/>
                <w:lang w:eastAsia="lv-LV"/>
              </w:rPr>
              <w:t>.</w:t>
            </w:r>
          </w:p>
        </w:tc>
        <w:tc>
          <w:tcPr>
            <w:tcW w:w="1132" w:type="pct"/>
            <w:tcBorders>
              <w:top w:val="outset" w:color="414142" w:sz="6" w:space="0"/>
              <w:left w:val="outset" w:color="414142" w:sz="6" w:space="0"/>
              <w:bottom w:val="outset" w:color="414142" w:sz="6" w:space="0"/>
              <w:right w:val="outset" w:color="414142" w:sz="6" w:space="0"/>
            </w:tcBorders>
          </w:tcPr>
          <w:p w:rsidR="00EB5F38" w:rsidP="00EB5F38" w:rsidRDefault="00EB5F38" w14:paraId="23D6C3E4" w14:textId="6FE4D0F4">
            <w:pPr>
              <w:pStyle w:val="paragraph"/>
              <w:spacing w:before="0" w:beforeAutospacing="0" w:after="0" w:afterAutospacing="0"/>
              <w:ind w:left="57" w:right="57"/>
              <w:jc w:val="both"/>
              <w:textAlignment w:val="baseline"/>
              <w:rPr>
                <w:snapToGrid w:val="0"/>
                <w:sz w:val="22"/>
                <w:szCs w:val="22"/>
              </w:rPr>
            </w:pPr>
            <w:r>
              <w:rPr>
                <w:snapToGrid w:val="0"/>
                <w:sz w:val="22"/>
                <w:szCs w:val="22"/>
              </w:rPr>
              <w:t>Informatīvais ziņojums:</w:t>
            </w:r>
          </w:p>
          <w:p w:rsidR="00BF171E" w:rsidP="00EB5F38" w:rsidRDefault="00BF171E" w14:paraId="38311F1F" w14:textId="77777777">
            <w:pPr>
              <w:pStyle w:val="paragraph"/>
              <w:spacing w:before="0" w:beforeAutospacing="0" w:after="0" w:afterAutospacing="0"/>
              <w:ind w:left="57" w:right="57"/>
              <w:jc w:val="both"/>
              <w:textAlignment w:val="baseline"/>
              <w:rPr>
                <w:snapToGrid w:val="0"/>
                <w:sz w:val="22"/>
                <w:szCs w:val="22"/>
              </w:rPr>
            </w:pPr>
          </w:p>
          <w:p w:rsidRPr="00C01345" w:rsidR="002869DF" w:rsidP="00EB5F38" w:rsidRDefault="00EB5F38" w14:paraId="67A7E772" w14:textId="38B5DD79">
            <w:pPr>
              <w:pStyle w:val="paragraph"/>
              <w:spacing w:before="0" w:beforeAutospacing="0" w:after="0" w:afterAutospacing="0"/>
              <w:ind w:left="57" w:right="57"/>
              <w:jc w:val="both"/>
              <w:textAlignment w:val="baseline"/>
              <w:rPr>
                <w:sz w:val="22"/>
                <w:szCs w:val="22"/>
              </w:rPr>
            </w:pPr>
            <w:r w:rsidRPr="00EB5F38">
              <w:rPr>
                <w:iCs/>
                <w:sz w:val="22"/>
                <w:szCs w:val="22"/>
              </w:rPr>
              <w:t>„</w:t>
            </w:r>
            <w:r w:rsidRPr="00C01345" w:rsidR="001F606F">
              <w:rPr>
                <w:snapToGrid w:val="0"/>
                <w:sz w:val="22"/>
                <w:szCs w:val="22"/>
              </w:rPr>
              <w:t xml:space="preserve">Valsts </w:t>
            </w:r>
            <w:proofErr w:type="gramStart"/>
            <w:r w:rsidRPr="00C01345" w:rsidR="001F606F">
              <w:rPr>
                <w:snapToGrid w:val="0"/>
                <w:sz w:val="22"/>
                <w:szCs w:val="22"/>
              </w:rPr>
              <w:t>kultūrkapitāla fonds</w:t>
            </w:r>
            <w:proofErr w:type="gramEnd"/>
            <w:r w:rsidRPr="00C01345" w:rsidR="001F606F">
              <w:rPr>
                <w:snapToGrid w:val="0"/>
                <w:sz w:val="22"/>
                <w:szCs w:val="22"/>
              </w:rPr>
              <w:t xml:space="preserve"> Programmu īsteno, izsludinot pieteikumu iesniegšanu konkursa kārtībā trīs kārtās. Programmas 1.kārta ir noslēgusies, kopā sniedzot atbalstu 27 pieteicējiem par kopējo summu 680 219,98 </w:t>
            </w:r>
            <w:r w:rsidRPr="00C01345" w:rsidR="001F606F">
              <w:rPr>
                <w:i/>
                <w:iCs/>
                <w:snapToGrid w:val="0"/>
                <w:sz w:val="22"/>
                <w:szCs w:val="22"/>
              </w:rPr>
              <w:t>euro</w:t>
            </w:r>
            <w:r w:rsidRPr="00C01345" w:rsidR="001F606F">
              <w:rPr>
                <w:snapToGrid w:val="0"/>
                <w:sz w:val="22"/>
                <w:szCs w:val="22"/>
              </w:rPr>
              <w:t xml:space="preserve">. Arī Programmas 2.kārta ir noslēgusies, kuras ietvaros sniegts atbalsts 32 pieteicējiem par kopējo summu 354 012,12 </w:t>
            </w:r>
            <w:r w:rsidRPr="00C01345" w:rsidR="001F606F">
              <w:rPr>
                <w:i/>
                <w:iCs/>
                <w:snapToGrid w:val="0"/>
                <w:sz w:val="22"/>
                <w:szCs w:val="22"/>
              </w:rPr>
              <w:t>euro</w:t>
            </w:r>
            <w:r w:rsidRPr="00C01345" w:rsidR="001F606F">
              <w:rPr>
                <w:snapToGrid w:val="0"/>
                <w:sz w:val="22"/>
                <w:szCs w:val="22"/>
              </w:rPr>
              <w:t xml:space="preserve">. Savukārt Programmas 3.kārtā pieteikumu iesniegšana turpinās līdz </w:t>
            </w:r>
            <w:proofErr w:type="gramStart"/>
            <w:r w:rsidRPr="00C01345" w:rsidR="001F606F">
              <w:rPr>
                <w:snapToGrid w:val="0"/>
                <w:sz w:val="22"/>
                <w:szCs w:val="22"/>
              </w:rPr>
              <w:t>2021.gada</w:t>
            </w:r>
            <w:proofErr w:type="gramEnd"/>
            <w:r w:rsidRPr="00C01345" w:rsidR="001F606F">
              <w:rPr>
                <w:snapToGrid w:val="0"/>
                <w:sz w:val="22"/>
                <w:szCs w:val="22"/>
              </w:rPr>
              <w:t xml:space="preserve"> 14.jūnijam.</w:t>
            </w:r>
            <w:r>
              <w:rPr>
                <w:sz w:val="22"/>
                <w:szCs w:val="22"/>
              </w:rPr>
              <w:t>”</w:t>
            </w:r>
          </w:p>
        </w:tc>
        <w:tc>
          <w:tcPr>
            <w:tcW w:w="1215" w:type="pct"/>
            <w:tcBorders>
              <w:top w:val="outset" w:color="414142" w:sz="6" w:space="0"/>
              <w:left w:val="outset" w:color="414142" w:sz="6" w:space="0"/>
              <w:bottom w:val="outset" w:color="414142" w:sz="6" w:space="0"/>
              <w:right w:val="outset" w:color="414142" w:sz="6" w:space="0"/>
            </w:tcBorders>
          </w:tcPr>
          <w:p w:rsidRPr="00F5375B" w:rsidR="00FD0303" w:rsidP="00EB5F38" w:rsidRDefault="00FD0303" w14:paraId="5A764536" w14:textId="77777777">
            <w:pPr>
              <w:spacing w:after="0" w:line="240" w:lineRule="auto"/>
              <w:ind w:left="57" w:right="57"/>
              <w:jc w:val="both"/>
              <w:rPr>
                <w:rFonts w:ascii="Times New Roman" w:hAnsi="Times New Roman" w:cs="Times New Roman"/>
                <w:b/>
                <w:bCs/>
              </w:rPr>
            </w:pPr>
            <w:r w:rsidRPr="00F5375B">
              <w:rPr>
                <w:rFonts w:ascii="Times New Roman" w:hAnsi="Times New Roman" w:cs="Times New Roman"/>
                <w:b/>
                <w:bCs/>
              </w:rPr>
              <w:t>Finanšu ministrija:</w:t>
            </w:r>
          </w:p>
          <w:p w:rsidRPr="00C01345" w:rsidR="00CD633B" w:rsidP="00EB5F38" w:rsidRDefault="00CD633B" w14:paraId="0A1BC2C6" w14:textId="00EF857A">
            <w:pPr>
              <w:spacing w:after="0" w:line="240" w:lineRule="auto"/>
              <w:ind w:left="57" w:right="57"/>
              <w:jc w:val="both"/>
              <w:rPr>
                <w:rFonts w:ascii="Times New Roman" w:hAnsi="Times New Roman" w:cs="Times New Roman"/>
              </w:rPr>
            </w:pPr>
            <w:r w:rsidRPr="00C01345">
              <w:rPr>
                <w:rFonts w:ascii="Times New Roman" w:hAnsi="Times New Roman" w:cs="Times New Roman"/>
              </w:rPr>
              <w:t xml:space="preserve">Informatīvā ziņojuma 2.lpp. otrā rindkopa ir papildināma ar informāciju par Valsts </w:t>
            </w:r>
            <w:proofErr w:type="gramStart"/>
            <w:r w:rsidRPr="00C01345">
              <w:rPr>
                <w:rFonts w:ascii="Times New Roman" w:hAnsi="Times New Roman" w:cs="Times New Roman"/>
              </w:rPr>
              <w:t>kultūrkapitāla fonda</w:t>
            </w:r>
            <w:proofErr w:type="gramEnd"/>
            <w:r w:rsidRPr="00C01345">
              <w:rPr>
                <w:rFonts w:ascii="Times New Roman" w:hAnsi="Times New Roman" w:cs="Times New Roman"/>
              </w:rPr>
              <w:t xml:space="preserve"> mērķprogrammas "Kultūras pasākumu rīkotāju biļešu kompensācija" (turpmāk – mērķprogramma) 1., 2. un 3.kārtai paredzēto un izlietoto valsts budžeta finansējumu un to sasaisti/pamatojumu ar papildu nepieciešamo finansējumu 2 982 745 </w:t>
            </w:r>
            <w:r w:rsidRPr="00295C33">
              <w:rPr>
                <w:rFonts w:ascii="Times New Roman" w:hAnsi="Times New Roman" w:cs="Times New Roman"/>
                <w:i/>
                <w:iCs/>
              </w:rPr>
              <w:t>euro</w:t>
            </w:r>
            <w:r w:rsidRPr="00C01345">
              <w:rPr>
                <w:rFonts w:ascii="Times New Roman" w:hAnsi="Times New Roman" w:cs="Times New Roman"/>
              </w:rPr>
              <w:t xml:space="preserve"> apmērā.</w:t>
            </w:r>
          </w:p>
          <w:p w:rsidRPr="00C01345" w:rsidR="00D23767" w:rsidP="00EB5F38" w:rsidRDefault="00D23767" w14:paraId="2F66F501" w14:textId="4A9984CC">
            <w:pPr>
              <w:spacing w:after="0" w:line="240" w:lineRule="auto"/>
              <w:ind w:left="57" w:right="57"/>
              <w:jc w:val="both"/>
              <w:rPr>
                <w:rFonts w:ascii="Times New Roman" w:hAnsi="Times New Roman" w:eastAsia="Times New Roman" w:cs="Times New Roman"/>
                <w:lang w:eastAsia="lv-LV"/>
              </w:rPr>
            </w:pPr>
          </w:p>
        </w:tc>
        <w:tc>
          <w:tcPr>
            <w:tcW w:w="1161" w:type="pct"/>
            <w:tcBorders>
              <w:top w:val="outset" w:color="414142" w:sz="6" w:space="0"/>
              <w:left w:val="outset" w:color="414142" w:sz="6" w:space="0"/>
              <w:bottom w:val="outset" w:color="414142" w:sz="6" w:space="0"/>
              <w:right w:val="outset" w:color="414142" w:sz="6" w:space="0"/>
            </w:tcBorders>
            <w:hideMark/>
          </w:tcPr>
          <w:p w:rsidRPr="00D96C87" w:rsidR="002869DF" w:rsidP="00EB5F38" w:rsidRDefault="00EB5F38" w14:paraId="1BD1F31E" w14:textId="33FE4F36">
            <w:pPr>
              <w:spacing w:after="0" w:line="240" w:lineRule="auto"/>
              <w:ind w:left="57" w:right="57"/>
              <w:jc w:val="center"/>
              <w:rPr>
                <w:rFonts w:ascii="Times New Roman" w:hAnsi="Times New Roman" w:eastAsia="Times New Roman" w:cs="Times New Roman"/>
                <w:b/>
                <w:bCs/>
                <w:lang w:eastAsia="lv-LV"/>
              </w:rPr>
            </w:pPr>
            <w:r w:rsidRPr="00D96C87">
              <w:rPr>
                <w:rFonts w:ascii="Times New Roman" w:hAnsi="Times New Roman" w:eastAsia="Times New Roman" w:cs="Times New Roman"/>
                <w:b/>
                <w:bCs/>
                <w:lang w:eastAsia="lv-LV"/>
              </w:rPr>
              <w:t>Ņemts vērā</w:t>
            </w:r>
          </w:p>
        </w:tc>
        <w:tc>
          <w:tcPr>
            <w:tcW w:w="1200" w:type="pct"/>
            <w:tcBorders>
              <w:top w:val="outset" w:color="414142" w:sz="6" w:space="0"/>
              <w:left w:val="outset" w:color="414142" w:sz="6" w:space="0"/>
              <w:bottom w:val="outset" w:color="414142" w:sz="6" w:space="0"/>
              <w:right w:val="outset" w:color="414142" w:sz="6" w:space="0"/>
            </w:tcBorders>
            <w:hideMark/>
          </w:tcPr>
          <w:p w:rsidRPr="00295C33" w:rsidR="00EB5F38" w:rsidP="00EB5F38" w:rsidRDefault="00BF171E" w14:paraId="1B14C482" w14:textId="3E31A5CE">
            <w:pPr>
              <w:pStyle w:val="paragraph"/>
              <w:spacing w:before="0" w:beforeAutospacing="0" w:after="0" w:afterAutospacing="0"/>
              <w:ind w:left="57" w:right="57"/>
              <w:jc w:val="both"/>
              <w:textAlignment w:val="baseline"/>
              <w:rPr>
                <w:sz w:val="22"/>
                <w:szCs w:val="22"/>
              </w:rPr>
            </w:pPr>
            <w:r w:rsidRPr="00295C33">
              <w:rPr>
                <w:sz w:val="22"/>
                <w:szCs w:val="22"/>
              </w:rPr>
              <w:t>I</w:t>
            </w:r>
            <w:r w:rsidRPr="00295C33" w:rsidR="00EB5F38">
              <w:rPr>
                <w:sz w:val="22"/>
                <w:szCs w:val="22"/>
              </w:rPr>
              <w:t xml:space="preserve">nformatīvais ziņojums </w:t>
            </w:r>
            <w:r w:rsidRPr="00295C33">
              <w:rPr>
                <w:sz w:val="22"/>
                <w:szCs w:val="22"/>
              </w:rPr>
              <w:t xml:space="preserve">papildināts </w:t>
            </w:r>
            <w:r w:rsidRPr="00295C33" w:rsidR="00EB5F38">
              <w:rPr>
                <w:sz w:val="22"/>
                <w:szCs w:val="22"/>
              </w:rPr>
              <w:t>ar šādu informāciju:</w:t>
            </w:r>
          </w:p>
          <w:p w:rsidRPr="00295C33" w:rsidR="00BF171E" w:rsidP="00EB5F38" w:rsidRDefault="00BF171E" w14:paraId="743AA3A8" w14:textId="77777777">
            <w:pPr>
              <w:pStyle w:val="paragraph"/>
              <w:spacing w:before="0" w:beforeAutospacing="0" w:after="0" w:afterAutospacing="0"/>
              <w:ind w:left="57" w:right="57"/>
              <w:jc w:val="both"/>
              <w:textAlignment w:val="baseline"/>
              <w:rPr>
                <w:sz w:val="22"/>
                <w:szCs w:val="22"/>
              </w:rPr>
            </w:pPr>
          </w:p>
          <w:p w:rsidRPr="00295C33" w:rsidR="00BF171E" w:rsidP="00295C33" w:rsidRDefault="00EB5F38" w14:paraId="076386FA" w14:textId="4616D06F">
            <w:pPr>
              <w:pStyle w:val="paragraph"/>
              <w:keepNext/>
              <w:spacing w:before="0" w:beforeAutospacing="0" w:after="0" w:afterAutospacing="0"/>
              <w:ind w:firstLine="567"/>
              <w:jc w:val="both"/>
              <w:textAlignment w:val="baseline"/>
              <w:rPr>
                <w:snapToGrid w:val="0"/>
                <w:sz w:val="22"/>
                <w:szCs w:val="22"/>
              </w:rPr>
            </w:pPr>
            <w:r w:rsidRPr="00295C33">
              <w:rPr>
                <w:iCs/>
                <w:sz w:val="22"/>
                <w:szCs w:val="22"/>
              </w:rPr>
              <w:t>„</w:t>
            </w:r>
            <w:r w:rsidRPr="00295C33" w:rsidR="00BF171E">
              <w:rPr>
                <w:snapToGrid w:val="0"/>
                <w:sz w:val="22"/>
                <w:szCs w:val="22"/>
              </w:rPr>
              <w:t xml:space="preserve">Ņemot vērā, ka arī pēc ārkārtējās situācijas beigām publiskie pasākumi nevar notikt, tad ir jāpalielina arī kopējais atbalsta apmērs par atcelto publisko pasākumu biļešu kompensācijām. Saskaņā ar indikatīvajiem biļešu tirgotāju datiem laika par publiskajiem pasākumiem, kas plānoti periodā no </w:t>
            </w:r>
            <w:proofErr w:type="gramStart"/>
            <w:r w:rsidRPr="00295C33" w:rsidR="00BF171E">
              <w:rPr>
                <w:snapToGrid w:val="0"/>
                <w:sz w:val="22"/>
                <w:szCs w:val="22"/>
              </w:rPr>
              <w:t>2021.gada</w:t>
            </w:r>
            <w:proofErr w:type="gramEnd"/>
            <w:r w:rsidRPr="00295C33" w:rsidR="00BF171E">
              <w:rPr>
                <w:snapToGrid w:val="0"/>
                <w:sz w:val="22"/>
                <w:szCs w:val="22"/>
              </w:rPr>
              <w:t xml:space="preserve"> 6.aprīļa līdz 2021.gada 30.jūnijam pārdoto biļešu apmērs ir 895 485,66</w:t>
            </w:r>
            <w:r w:rsidR="00BF171E">
              <w:rPr>
                <w:snapToGrid w:val="0"/>
                <w:sz w:val="22"/>
                <w:szCs w:val="22"/>
              </w:rPr>
              <w:t> </w:t>
            </w:r>
            <w:r w:rsidRPr="00295C33" w:rsidR="00BF171E">
              <w:rPr>
                <w:i/>
                <w:snapToGrid w:val="0"/>
                <w:sz w:val="22"/>
                <w:szCs w:val="22"/>
              </w:rPr>
              <w:t>euro</w:t>
            </w:r>
            <w:r w:rsidRPr="00295C33" w:rsidR="00BF171E">
              <w:rPr>
                <w:iCs/>
                <w:snapToGrid w:val="0"/>
                <w:sz w:val="22"/>
                <w:szCs w:val="22"/>
              </w:rPr>
              <w:t>,</w:t>
            </w:r>
            <w:r w:rsidRPr="00295C33" w:rsidR="00BF171E">
              <w:rPr>
                <w:snapToGrid w:val="0"/>
                <w:sz w:val="22"/>
                <w:szCs w:val="22"/>
              </w:rPr>
              <w:t xml:space="preserve"> un uz publiskajiem pasākumiem, kuru norise plānota no 2021.gada 1.jūlija līdz 2021.gada 31.decembrim pārdoto biļešu apmērs ir 2 832 944,79</w:t>
            </w:r>
            <w:r w:rsidR="00BF171E">
              <w:rPr>
                <w:snapToGrid w:val="0"/>
                <w:sz w:val="22"/>
                <w:szCs w:val="22"/>
              </w:rPr>
              <w:t> </w:t>
            </w:r>
            <w:r w:rsidRPr="00295C33" w:rsidR="00BF171E">
              <w:rPr>
                <w:i/>
                <w:iCs/>
                <w:snapToGrid w:val="0"/>
                <w:sz w:val="22"/>
                <w:szCs w:val="22"/>
              </w:rPr>
              <w:t>euro</w:t>
            </w:r>
            <w:r w:rsidRPr="00295C33" w:rsidR="00BF171E">
              <w:rPr>
                <w:snapToGrid w:val="0"/>
                <w:sz w:val="22"/>
                <w:szCs w:val="22"/>
              </w:rPr>
              <w:t xml:space="preserve">, kopumā veidojot summu 3 728 430,45 </w:t>
            </w:r>
            <w:r w:rsidRPr="00295C33" w:rsidR="00BF171E">
              <w:rPr>
                <w:i/>
                <w:iCs/>
                <w:snapToGrid w:val="0"/>
                <w:sz w:val="22"/>
                <w:szCs w:val="22"/>
              </w:rPr>
              <w:t>euro</w:t>
            </w:r>
            <w:r w:rsidRPr="00295C33" w:rsidR="00BF171E">
              <w:rPr>
                <w:snapToGrid w:val="0"/>
                <w:sz w:val="22"/>
                <w:szCs w:val="22"/>
              </w:rPr>
              <w:t xml:space="preserve"> apmērā,</w:t>
            </w:r>
            <w:r w:rsidRPr="00295C33" w:rsidR="00BF171E">
              <w:rPr>
                <w:i/>
                <w:iCs/>
                <w:snapToGrid w:val="0"/>
                <w:sz w:val="22"/>
                <w:szCs w:val="22"/>
              </w:rPr>
              <w:t xml:space="preserve"> </w:t>
            </w:r>
            <w:r w:rsidRPr="00295C33" w:rsidR="00BF171E">
              <w:rPr>
                <w:snapToGrid w:val="0"/>
                <w:sz w:val="22"/>
                <w:szCs w:val="22"/>
              </w:rPr>
              <w:t xml:space="preserve">kur 80% no visa pārdoto biļešu apmēra ir 2 982 744,36 </w:t>
            </w:r>
            <w:r w:rsidRPr="00295C33" w:rsidR="00BF171E">
              <w:rPr>
                <w:i/>
                <w:snapToGrid w:val="0"/>
                <w:sz w:val="22"/>
                <w:szCs w:val="22"/>
              </w:rPr>
              <w:t>euro</w:t>
            </w:r>
            <w:r w:rsidRPr="00295C33" w:rsidR="00BF171E">
              <w:rPr>
                <w:snapToGrid w:val="0"/>
                <w:sz w:val="22"/>
                <w:szCs w:val="22"/>
              </w:rPr>
              <w:t xml:space="preserve">. Daļai no šajā periodā plānotajiem publiskajiem pasākumiem biļetes jau bija pārdotas 2019. vai </w:t>
            </w:r>
            <w:r w:rsidRPr="00295C33" w:rsidR="00BF171E">
              <w:rPr>
                <w:snapToGrid w:val="0"/>
                <w:sz w:val="22"/>
                <w:szCs w:val="22"/>
              </w:rPr>
              <w:lastRenderedPageBreak/>
              <w:t>2020.gadā, kā arī šajā periodā ir plānota tādu publisku pasākumu norise, kuri ir pārcelti no 2020.gada, kad tie nevarēja notikt, ņemot vērā epidemioloģiskās drošības prasības.</w:t>
            </w:r>
          </w:p>
          <w:p w:rsidRPr="00295C33" w:rsidR="00716745" w:rsidP="00295C33" w:rsidRDefault="00716745" w14:paraId="613F8991" w14:textId="4011BB0B">
            <w:pPr>
              <w:pStyle w:val="paragraph"/>
              <w:spacing w:before="0" w:beforeAutospacing="0" w:after="0" w:afterAutospacing="0"/>
              <w:ind w:left="57" w:right="57" w:firstLine="567"/>
              <w:jc w:val="both"/>
              <w:textAlignment w:val="baseline"/>
              <w:rPr>
                <w:snapToGrid w:val="0"/>
                <w:sz w:val="22"/>
                <w:szCs w:val="22"/>
              </w:rPr>
            </w:pPr>
            <w:r w:rsidRPr="00295C33">
              <w:rPr>
                <w:snapToGrid w:val="0"/>
                <w:sz w:val="22"/>
                <w:szCs w:val="22"/>
              </w:rPr>
              <w:t xml:space="preserve">Valsts </w:t>
            </w:r>
            <w:proofErr w:type="gramStart"/>
            <w:r w:rsidRPr="00295C33">
              <w:rPr>
                <w:snapToGrid w:val="0"/>
                <w:sz w:val="22"/>
                <w:szCs w:val="22"/>
              </w:rPr>
              <w:t>kultūrkapitāla fonds</w:t>
            </w:r>
            <w:proofErr w:type="gramEnd"/>
            <w:r w:rsidRPr="00295C33">
              <w:rPr>
                <w:snapToGrid w:val="0"/>
                <w:sz w:val="22"/>
                <w:szCs w:val="22"/>
              </w:rPr>
              <w:t xml:space="preserve"> Programmu īsteno, izsludinot pieteikumu iesniegšanu konkursa kārtībā šobrīd ir bijušas izsludinātas trīs kārtās. Programmas 1.kārta ir noslēgusies, kopā sniedzot atbalstu 25 pieteicējiem par kopējo summu 680 220 </w:t>
            </w:r>
            <w:r w:rsidRPr="00295C33">
              <w:rPr>
                <w:i/>
                <w:iCs/>
                <w:snapToGrid w:val="0"/>
                <w:sz w:val="22"/>
                <w:szCs w:val="22"/>
              </w:rPr>
              <w:t>euro</w:t>
            </w:r>
            <w:r w:rsidRPr="00295C33" w:rsidR="00BF171E">
              <w:rPr>
                <w:snapToGrid w:val="0"/>
                <w:sz w:val="22"/>
                <w:szCs w:val="22"/>
              </w:rPr>
              <w:t xml:space="preserve">, kas ir </w:t>
            </w:r>
            <w:r w:rsidRPr="00295C33">
              <w:rPr>
                <w:snapToGrid w:val="0"/>
                <w:sz w:val="22"/>
                <w:szCs w:val="22"/>
              </w:rPr>
              <w:t>arī izmaksāta</w:t>
            </w:r>
            <w:r w:rsidRPr="00295C33" w:rsidR="00BF171E">
              <w:rPr>
                <w:snapToGrid w:val="0"/>
                <w:sz w:val="22"/>
                <w:szCs w:val="22"/>
              </w:rPr>
              <w:t>.</w:t>
            </w:r>
            <w:r w:rsidRPr="00295C33">
              <w:rPr>
                <w:snapToGrid w:val="0"/>
                <w:sz w:val="22"/>
                <w:szCs w:val="22"/>
              </w:rPr>
              <w:t xml:space="preserve"> </w:t>
            </w:r>
            <w:r w:rsidRPr="00295C33" w:rsidR="00BF171E">
              <w:rPr>
                <w:snapToGrid w:val="0"/>
                <w:sz w:val="22"/>
                <w:szCs w:val="22"/>
              </w:rPr>
              <w:t>Noslēgusies ir a</w:t>
            </w:r>
            <w:r w:rsidRPr="00295C33">
              <w:rPr>
                <w:snapToGrid w:val="0"/>
                <w:sz w:val="22"/>
                <w:szCs w:val="22"/>
              </w:rPr>
              <w:t xml:space="preserve">rī Programmas 2.kārta, kuras ietvaros sniegts atbalsts 30 pieteicējiem par kopējo summu 354 013 </w:t>
            </w:r>
            <w:r w:rsidRPr="00295C33">
              <w:rPr>
                <w:i/>
                <w:iCs/>
                <w:snapToGrid w:val="0"/>
                <w:sz w:val="22"/>
                <w:szCs w:val="22"/>
              </w:rPr>
              <w:t>euro</w:t>
            </w:r>
            <w:r w:rsidRPr="00295C33">
              <w:rPr>
                <w:snapToGrid w:val="0"/>
                <w:sz w:val="22"/>
                <w:szCs w:val="22"/>
              </w:rPr>
              <w:t xml:space="preserve">. </w:t>
            </w:r>
            <w:r w:rsidRPr="00295C33" w:rsidR="00BF171E">
              <w:rPr>
                <w:snapToGrid w:val="0"/>
                <w:sz w:val="22"/>
                <w:szCs w:val="22"/>
              </w:rPr>
              <w:t>Programmas a</w:t>
            </w:r>
            <w:r w:rsidRPr="00295C33">
              <w:rPr>
                <w:snapToGrid w:val="0"/>
                <w:sz w:val="22"/>
                <w:szCs w:val="22"/>
              </w:rPr>
              <w:t xml:space="preserve">bu kārtu pieteikumu izmaksai finansējums tika piesaistīts saskaņā ar </w:t>
            </w:r>
            <w:r w:rsidRPr="00295C33">
              <w:rPr>
                <w:sz w:val="22"/>
                <w:szCs w:val="22"/>
              </w:rPr>
              <w:t xml:space="preserve">Ministru kabineta </w:t>
            </w:r>
            <w:proofErr w:type="gramStart"/>
            <w:r w:rsidRPr="00295C33">
              <w:rPr>
                <w:sz w:val="22"/>
                <w:szCs w:val="22"/>
              </w:rPr>
              <w:t>2021.gada</w:t>
            </w:r>
            <w:proofErr w:type="gramEnd"/>
            <w:r w:rsidRPr="00295C33">
              <w:rPr>
                <w:sz w:val="22"/>
                <w:szCs w:val="22"/>
              </w:rPr>
              <w:t xml:space="preserve"> 22.marta rīkojum</w:t>
            </w:r>
            <w:r w:rsidRPr="00295C33" w:rsidR="00D96C87">
              <w:rPr>
                <w:sz w:val="22"/>
                <w:szCs w:val="22"/>
              </w:rPr>
              <w:t>u</w:t>
            </w:r>
            <w:r w:rsidRPr="00295C33">
              <w:rPr>
                <w:sz w:val="22"/>
                <w:szCs w:val="22"/>
              </w:rPr>
              <w:t xml:space="preserve"> Nr.181 „Par apropriācijas pārdali starp Kultūras ministrijas budžeta apakšprogrammām”</w:t>
            </w:r>
            <w:r w:rsidRPr="00295C33" w:rsidR="00D96C87">
              <w:rPr>
                <w:sz w:val="22"/>
                <w:szCs w:val="22"/>
              </w:rPr>
              <w:t>,</w:t>
            </w:r>
            <w:r w:rsidRPr="00295C33">
              <w:rPr>
                <w:sz w:val="22"/>
                <w:szCs w:val="22"/>
              </w:rPr>
              <w:t xml:space="preserve"> </w:t>
            </w:r>
            <w:r w:rsidRPr="00295C33">
              <w:rPr>
                <w:snapToGrid w:val="0"/>
                <w:sz w:val="22"/>
                <w:szCs w:val="22"/>
              </w:rPr>
              <w:t xml:space="preserve">veicot apropriācijas pārdali </w:t>
            </w:r>
            <w:r w:rsidRPr="00295C33" w:rsidR="00D96C87">
              <w:rPr>
                <w:snapToGrid w:val="0"/>
                <w:sz w:val="22"/>
                <w:szCs w:val="22"/>
              </w:rPr>
              <w:t xml:space="preserve">872 978 </w:t>
            </w:r>
            <w:r w:rsidRPr="00295C33" w:rsidR="00D96C87">
              <w:rPr>
                <w:i/>
                <w:snapToGrid w:val="0"/>
                <w:sz w:val="22"/>
                <w:szCs w:val="22"/>
              </w:rPr>
              <w:t xml:space="preserve">euro </w:t>
            </w:r>
            <w:r w:rsidRPr="00295C33" w:rsidR="00D96C87">
              <w:rPr>
                <w:iCs/>
                <w:snapToGrid w:val="0"/>
                <w:sz w:val="22"/>
                <w:szCs w:val="22"/>
              </w:rPr>
              <w:t xml:space="preserve">apmērā </w:t>
            </w:r>
            <w:r w:rsidRPr="00295C33">
              <w:rPr>
                <w:snapToGrid w:val="0"/>
                <w:sz w:val="22"/>
                <w:szCs w:val="22"/>
              </w:rPr>
              <w:t xml:space="preserve">Kultūras ministrijas esošo valsts budžeta līdzekļu ietvaros (t.sk. 847 084 </w:t>
            </w:r>
            <w:r w:rsidRPr="00295C33">
              <w:rPr>
                <w:i/>
                <w:snapToGrid w:val="0"/>
                <w:sz w:val="22"/>
                <w:szCs w:val="22"/>
              </w:rPr>
              <w:t>euro</w:t>
            </w:r>
            <w:r w:rsidRPr="00295C33">
              <w:rPr>
                <w:rFonts w:eastAsia="Calibri"/>
                <w:color w:val="000000" w:themeColor="text1"/>
                <w:sz w:val="22"/>
                <w:szCs w:val="22"/>
              </w:rPr>
              <w:t xml:space="preserve">, </w:t>
            </w:r>
            <w:r w:rsidRPr="00295C33">
              <w:rPr>
                <w:bCs/>
                <w:color w:val="000000" w:themeColor="text1"/>
                <w:sz w:val="22"/>
                <w:szCs w:val="22"/>
              </w:rPr>
              <w:t>lai nodrošinātu kultūras pasākumu rīkotājiem biļešu kompensāciju 80% apmērā par ārkārtējās situācijas laikā atceltajiem pasākumiem,</w:t>
            </w:r>
            <w:r w:rsidRPr="00295C33">
              <w:rPr>
                <w:rFonts w:eastAsia="Calibri"/>
                <w:color w:val="000000" w:themeColor="text1"/>
                <w:sz w:val="22"/>
                <w:szCs w:val="22"/>
              </w:rPr>
              <w:t xml:space="preserve"> un 25 894 </w:t>
            </w:r>
            <w:r w:rsidRPr="00295C33">
              <w:rPr>
                <w:rFonts w:eastAsia="Calibri"/>
                <w:i/>
                <w:iCs/>
                <w:color w:val="000000" w:themeColor="text1"/>
                <w:sz w:val="22"/>
                <w:szCs w:val="22"/>
              </w:rPr>
              <w:t>euro</w:t>
            </w:r>
            <w:r w:rsidRPr="00295C33">
              <w:rPr>
                <w:rFonts w:eastAsia="Calibri"/>
                <w:color w:val="000000" w:themeColor="text1"/>
                <w:sz w:val="22"/>
                <w:szCs w:val="22"/>
              </w:rPr>
              <w:t xml:space="preserve">, lai nodrošinātu </w:t>
            </w:r>
            <w:r w:rsidRPr="00295C33">
              <w:rPr>
                <w:color w:val="000000" w:themeColor="text1"/>
                <w:sz w:val="22"/>
                <w:szCs w:val="22"/>
              </w:rPr>
              <w:t xml:space="preserve">Valsts kultūrkapitāla fonda </w:t>
            </w:r>
            <w:r w:rsidRPr="00295C33">
              <w:rPr>
                <w:rFonts w:eastAsia="Calibri"/>
                <w:color w:val="000000" w:themeColor="text1"/>
                <w:sz w:val="22"/>
                <w:szCs w:val="22"/>
              </w:rPr>
              <w:t>p</w:t>
            </w:r>
            <w:r w:rsidRPr="00295C33">
              <w:rPr>
                <w:color w:val="000000" w:themeColor="text1"/>
                <w:sz w:val="22"/>
                <w:szCs w:val="22"/>
              </w:rPr>
              <w:t>amatojošo dokumentu izvērtēšanas pakalpojumu)</w:t>
            </w:r>
            <w:r w:rsidRPr="00295C33" w:rsidR="00D96C87">
              <w:rPr>
                <w:color w:val="000000" w:themeColor="text1"/>
                <w:sz w:val="22"/>
                <w:szCs w:val="22"/>
              </w:rPr>
              <w:t>,</w:t>
            </w:r>
            <w:r w:rsidRPr="00295C33">
              <w:rPr>
                <w:snapToGrid w:val="0"/>
                <w:sz w:val="22"/>
                <w:szCs w:val="22"/>
              </w:rPr>
              <w:t xml:space="preserve"> un saskaņā ar </w:t>
            </w:r>
            <w:r w:rsidRPr="00295C33">
              <w:rPr>
                <w:snapToGrid w:val="0"/>
                <w:sz w:val="22"/>
                <w:szCs w:val="22"/>
              </w:rPr>
              <w:lastRenderedPageBreak/>
              <w:t xml:space="preserve">Ministru kabineta 2021.gada 28.aprīļa rīkojumu Nr.279 </w:t>
            </w:r>
            <w:r w:rsidRPr="00295C33" w:rsidR="00D96C87">
              <w:rPr>
                <w:iCs/>
                <w:sz w:val="22"/>
                <w:szCs w:val="22"/>
              </w:rPr>
              <w:t>„</w:t>
            </w:r>
            <w:r w:rsidRPr="00295C33">
              <w:rPr>
                <w:snapToGrid w:val="0"/>
                <w:sz w:val="22"/>
                <w:szCs w:val="22"/>
              </w:rPr>
              <w:t xml:space="preserve">Par finanšu līdzekļu </w:t>
            </w:r>
            <w:r w:rsidRPr="00295C33" w:rsidR="00D96C87">
              <w:rPr>
                <w:snapToGrid w:val="0"/>
                <w:sz w:val="22"/>
                <w:szCs w:val="22"/>
              </w:rPr>
              <w:t xml:space="preserve">piešķiršanu </w:t>
            </w:r>
            <w:r w:rsidRPr="00295C33">
              <w:rPr>
                <w:snapToGrid w:val="0"/>
                <w:sz w:val="22"/>
                <w:szCs w:val="22"/>
              </w:rPr>
              <w:t xml:space="preserve">no valsts budžeta programmas </w:t>
            </w:r>
            <w:r w:rsidRPr="00295C33" w:rsidR="00D96C87">
              <w:rPr>
                <w:iCs/>
                <w:sz w:val="22"/>
                <w:szCs w:val="22"/>
              </w:rPr>
              <w:t>„</w:t>
            </w:r>
            <w:r w:rsidRPr="00295C33">
              <w:rPr>
                <w:snapToGrid w:val="0"/>
                <w:sz w:val="22"/>
                <w:szCs w:val="22"/>
              </w:rPr>
              <w:t>Līdzekļi neparedzētiem gadījumiem”</w:t>
            </w:r>
            <w:r w:rsidRPr="00295C33" w:rsidR="00D96C87">
              <w:rPr>
                <w:snapToGrid w:val="0"/>
                <w:sz w:val="22"/>
                <w:szCs w:val="22"/>
              </w:rPr>
              <w:t>”</w:t>
            </w:r>
            <w:r w:rsidRPr="00295C33">
              <w:rPr>
                <w:snapToGrid w:val="0"/>
                <w:sz w:val="22"/>
                <w:szCs w:val="22"/>
              </w:rPr>
              <w:t xml:space="preserve"> piešķirot papildus finansējumu 187 149 </w:t>
            </w:r>
            <w:r w:rsidRPr="00295C33">
              <w:rPr>
                <w:i/>
                <w:snapToGrid w:val="0"/>
                <w:sz w:val="22"/>
                <w:szCs w:val="22"/>
              </w:rPr>
              <w:t xml:space="preserve">euro </w:t>
            </w:r>
            <w:r w:rsidRPr="00295C33">
              <w:rPr>
                <w:snapToGrid w:val="0"/>
                <w:sz w:val="22"/>
                <w:szCs w:val="22"/>
              </w:rPr>
              <w:t xml:space="preserve">apmērā. Līdz ar to viss </w:t>
            </w:r>
            <w:r w:rsidRPr="00295C33" w:rsidR="00BF171E">
              <w:rPr>
                <w:snapToGrid w:val="0"/>
                <w:sz w:val="22"/>
                <w:szCs w:val="22"/>
              </w:rPr>
              <w:t xml:space="preserve">biļešu kompensācijai </w:t>
            </w:r>
            <w:r w:rsidRPr="00295C33">
              <w:rPr>
                <w:snapToGrid w:val="0"/>
                <w:sz w:val="22"/>
                <w:szCs w:val="22"/>
              </w:rPr>
              <w:t xml:space="preserve">piešķirtais finansējums ir izlietots. Savukārt Programmas 3.kārtā pieteikumu iesniegšana turpinās līdz 2021.gada 14.jūnijam, potenciālā pieteikumu summa vēl nav zināma, jo nav zināms </w:t>
            </w:r>
            <w:r w:rsidRPr="00295C33" w:rsidR="00BF171E">
              <w:rPr>
                <w:snapToGrid w:val="0"/>
                <w:sz w:val="22"/>
                <w:szCs w:val="22"/>
              </w:rPr>
              <w:t>atgrieztās naudas apmērs par pārdotajām biļetēm uz atceltajiem pasākumiem</w:t>
            </w:r>
            <w:r w:rsidRPr="00295C33">
              <w:rPr>
                <w:snapToGrid w:val="0"/>
                <w:sz w:val="22"/>
                <w:szCs w:val="22"/>
              </w:rPr>
              <w:t>, kā arī šajā</w:t>
            </w:r>
            <w:r w:rsidRPr="00295C33" w:rsidR="00BF171E">
              <w:rPr>
                <w:snapToGrid w:val="0"/>
                <w:sz w:val="22"/>
                <w:szCs w:val="22"/>
              </w:rPr>
              <w:t xml:space="preserve"> Programmas</w:t>
            </w:r>
            <w:r w:rsidRPr="00295C33">
              <w:rPr>
                <w:snapToGrid w:val="0"/>
                <w:sz w:val="22"/>
                <w:szCs w:val="22"/>
              </w:rPr>
              <w:t xml:space="preserve"> kārtā var tikt saņemti pieteikumi par periodu pēc 2021.gada 6.aprīļ</w:t>
            </w:r>
            <w:r w:rsidRPr="00295C33" w:rsidR="00BF171E">
              <w:rPr>
                <w:snapToGrid w:val="0"/>
                <w:sz w:val="22"/>
                <w:szCs w:val="22"/>
              </w:rPr>
              <w:t>a</w:t>
            </w:r>
            <w:r w:rsidRPr="00295C33">
              <w:rPr>
                <w:snapToGrid w:val="0"/>
                <w:sz w:val="22"/>
                <w:szCs w:val="22"/>
              </w:rPr>
              <w:t xml:space="preserve">. </w:t>
            </w:r>
          </w:p>
          <w:p w:rsidRPr="00295C33" w:rsidR="002869DF" w:rsidP="00D96C87" w:rsidRDefault="00716745" w14:paraId="606891E0" w14:textId="56F73D9D">
            <w:pPr>
              <w:pStyle w:val="paragraph"/>
              <w:spacing w:before="0" w:beforeAutospacing="0" w:after="0" w:afterAutospacing="0"/>
              <w:ind w:left="57" w:right="57" w:firstLine="567"/>
              <w:jc w:val="both"/>
              <w:textAlignment w:val="baseline"/>
              <w:rPr>
                <w:sz w:val="22"/>
                <w:szCs w:val="22"/>
              </w:rPr>
            </w:pPr>
            <w:r w:rsidRPr="00295C33">
              <w:rPr>
                <w:bCs/>
                <w:sz w:val="22"/>
                <w:szCs w:val="22"/>
              </w:rPr>
              <w:t xml:space="preserve">Sagatavojot Ziņojumus, tika aplēsts, lai veiktu biļešu kompensāciju izmaksu par publiskajiem pasākumiem, kas bija plānoti </w:t>
            </w:r>
            <w:bookmarkStart w:name="_Hlk65834717" w:id="3"/>
            <w:r w:rsidRPr="00295C33">
              <w:rPr>
                <w:bCs/>
                <w:sz w:val="22"/>
                <w:szCs w:val="22"/>
              </w:rPr>
              <w:t>no</w:t>
            </w:r>
            <w:bookmarkEnd w:id="3"/>
            <w:r w:rsidRPr="00295C33">
              <w:rPr>
                <w:sz w:val="22"/>
                <w:szCs w:val="22"/>
              </w:rPr>
              <w:t xml:space="preserve"> </w:t>
            </w:r>
            <w:proofErr w:type="gramStart"/>
            <w:r w:rsidRPr="00295C33">
              <w:rPr>
                <w:snapToGrid w:val="0"/>
                <w:sz w:val="22"/>
                <w:szCs w:val="22"/>
              </w:rPr>
              <w:t>2020.gada</w:t>
            </w:r>
            <w:proofErr w:type="gramEnd"/>
            <w:r w:rsidRPr="00295C33">
              <w:rPr>
                <w:snapToGrid w:val="0"/>
                <w:sz w:val="22"/>
                <w:szCs w:val="22"/>
              </w:rPr>
              <w:t xml:space="preserve"> 9.novembra līdz 2021.gada 6.aprīlim uz publiskajiem pasākumiem pārdoto biļešu apmērs ir 2 585 520 </w:t>
            </w:r>
            <w:r w:rsidRPr="00295C33">
              <w:rPr>
                <w:i/>
                <w:snapToGrid w:val="0"/>
                <w:sz w:val="22"/>
                <w:szCs w:val="22"/>
              </w:rPr>
              <w:t>euro</w:t>
            </w:r>
            <w:r w:rsidRPr="00295C33">
              <w:rPr>
                <w:snapToGrid w:val="0"/>
                <w:sz w:val="22"/>
                <w:szCs w:val="22"/>
              </w:rPr>
              <w:t xml:space="preserve"> un 80% no visa pārdoto biļešu apmēra ir 2 068 416 </w:t>
            </w:r>
            <w:r w:rsidRPr="00295C33">
              <w:rPr>
                <w:i/>
                <w:snapToGrid w:val="0"/>
                <w:sz w:val="22"/>
                <w:szCs w:val="22"/>
              </w:rPr>
              <w:t>euro</w:t>
            </w:r>
            <w:r w:rsidRPr="00295C33">
              <w:rPr>
                <w:iCs/>
                <w:snapToGrid w:val="0"/>
                <w:sz w:val="22"/>
                <w:szCs w:val="22"/>
              </w:rPr>
              <w:t>.</w:t>
            </w:r>
            <w:r w:rsidRPr="00295C33" w:rsidR="00D96C87">
              <w:rPr>
                <w:iCs/>
                <w:snapToGrid w:val="0"/>
                <w:sz w:val="22"/>
                <w:szCs w:val="22"/>
              </w:rPr>
              <w:t>”</w:t>
            </w:r>
          </w:p>
        </w:tc>
      </w:tr>
      <w:tr w:rsidRPr="00C01345" w:rsidR="00EB5F38" w:rsidTr="00946DF2" w14:paraId="3766F0C8" w14:textId="77777777">
        <w:trPr>
          <w:trHeight w:val="240"/>
        </w:trPr>
        <w:tc>
          <w:tcPr>
            <w:tcW w:w="291" w:type="pct"/>
            <w:tcBorders>
              <w:top w:val="outset" w:color="414142" w:sz="6" w:space="0"/>
              <w:left w:val="outset" w:color="414142" w:sz="6" w:space="0"/>
              <w:bottom w:val="outset" w:color="414142" w:sz="6" w:space="0"/>
              <w:right w:val="outset" w:color="414142" w:sz="6" w:space="0"/>
            </w:tcBorders>
          </w:tcPr>
          <w:p w:rsidRPr="00C01345" w:rsidR="002869DF" w:rsidP="00EB5F38" w:rsidRDefault="008E354D" w14:paraId="03C141EC" w14:textId="660394D0">
            <w:pPr>
              <w:spacing w:after="0" w:line="240" w:lineRule="auto"/>
              <w:ind w:left="57" w:right="57"/>
              <w:jc w:val="center"/>
              <w:rPr>
                <w:rFonts w:ascii="Times New Roman" w:hAnsi="Times New Roman" w:eastAsia="Times New Roman" w:cs="Times New Roman"/>
                <w:lang w:eastAsia="lv-LV"/>
              </w:rPr>
            </w:pPr>
            <w:r>
              <w:rPr>
                <w:rFonts w:ascii="Times New Roman" w:hAnsi="Times New Roman" w:eastAsia="Times New Roman" w:cs="Times New Roman"/>
                <w:lang w:eastAsia="lv-LV"/>
              </w:rPr>
              <w:lastRenderedPageBreak/>
              <w:t>4</w:t>
            </w:r>
            <w:r w:rsidRPr="00C01345" w:rsidR="002869DF">
              <w:rPr>
                <w:rFonts w:ascii="Times New Roman" w:hAnsi="Times New Roman" w:eastAsia="Times New Roman" w:cs="Times New Roman"/>
                <w:lang w:eastAsia="lv-LV"/>
              </w:rPr>
              <w:t>.</w:t>
            </w:r>
          </w:p>
        </w:tc>
        <w:tc>
          <w:tcPr>
            <w:tcW w:w="1132" w:type="pct"/>
            <w:tcBorders>
              <w:top w:val="outset" w:color="414142" w:sz="6" w:space="0"/>
              <w:left w:val="outset" w:color="414142" w:sz="6" w:space="0"/>
              <w:bottom w:val="outset" w:color="414142" w:sz="6" w:space="0"/>
              <w:right w:val="outset" w:color="414142" w:sz="6" w:space="0"/>
            </w:tcBorders>
          </w:tcPr>
          <w:p w:rsidR="00D96C87" w:rsidP="00D96C87" w:rsidRDefault="00D96C87" w14:paraId="2EEF2FD8" w14:textId="5D0F5273">
            <w:pPr>
              <w:pStyle w:val="paragraph"/>
              <w:spacing w:before="0" w:beforeAutospacing="0" w:after="0" w:afterAutospacing="0"/>
              <w:ind w:left="57" w:right="57"/>
              <w:jc w:val="both"/>
              <w:textAlignment w:val="baseline"/>
              <w:rPr>
                <w:snapToGrid w:val="0"/>
                <w:sz w:val="22"/>
                <w:szCs w:val="22"/>
              </w:rPr>
            </w:pPr>
            <w:r>
              <w:rPr>
                <w:snapToGrid w:val="0"/>
                <w:sz w:val="22"/>
                <w:szCs w:val="22"/>
              </w:rPr>
              <w:t>Informatīvais ziņojums:</w:t>
            </w:r>
          </w:p>
          <w:p w:rsidR="00BF171E" w:rsidP="00D96C87" w:rsidRDefault="00BF171E" w14:paraId="2FDAFE43" w14:textId="77777777">
            <w:pPr>
              <w:pStyle w:val="paragraph"/>
              <w:spacing w:before="0" w:beforeAutospacing="0" w:after="0" w:afterAutospacing="0"/>
              <w:ind w:left="57" w:right="57"/>
              <w:jc w:val="both"/>
              <w:textAlignment w:val="baseline"/>
              <w:rPr>
                <w:snapToGrid w:val="0"/>
                <w:sz w:val="22"/>
                <w:szCs w:val="22"/>
              </w:rPr>
            </w:pPr>
          </w:p>
          <w:p w:rsidRPr="00C01345" w:rsidR="002869DF" w:rsidP="008C6B13" w:rsidRDefault="00D96C87" w14:paraId="280AA033" w14:textId="2DAE91C9">
            <w:pPr>
              <w:pStyle w:val="paragraph"/>
              <w:spacing w:before="0" w:beforeAutospacing="0" w:after="0" w:afterAutospacing="0"/>
              <w:ind w:left="57" w:right="57"/>
              <w:jc w:val="both"/>
              <w:textAlignment w:val="baseline"/>
            </w:pPr>
            <w:r w:rsidRPr="00EB5F38">
              <w:rPr>
                <w:iCs/>
                <w:sz w:val="22"/>
                <w:szCs w:val="22"/>
              </w:rPr>
              <w:t>„</w:t>
            </w:r>
            <w:r w:rsidRPr="00C01345" w:rsidR="00716745">
              <w:rPr>
                <w:snapToGrid w:val="0"/>
                <w:sz w:val="22"/>
                <w:szCs w:val="22"/>
              </w:rPr>
              <w:t xml:space="preserve">Ņemot vērā, ka arī pēc ārkārtējās situācijas beigām publiskie pasākumi nevar notikt, tad ir jāpalielina arī kopējais </w:t>
            </w:r>
            <w:r w:rsidRPr="00C01345" w:rsidR="00716745">
              <w:rPr>
                <w:snapToGrid w:val="0"/>
                <w:sz w:val="22"/>
                <w:szCs w:val="22"/>
              </w:rPr>
              <w:lastRenderedPageBreak/>
              <w:t xml:space="preserve">atbalsta apmērs par atcelto publisko pasākumu biļešu kompensācijām. Saskaņā ar indikatīvajiem biļešu tirgotāju datiem laika periodā no </w:t>
            </w:r>
            <w:proofErr w:type="gramStart"/>
            <w:r w:rsidRPr="00C01345" w:rsidR="00716745">
              <w:rPr>
                <w:snapToGrid w:val="0"/>
                <w:sz w:val="22"/>
                <w:szCs w:val="22"/>
              </w:rPr>
              <w:t>2021.gada</w:t>
            </w:r>
            <w:proofErr w:type="gramEnd"/>
            <w:r w:rsidRPr="00C01345" w:rsidR="00716745">
              <w:rPr>
                <w:snapToGrid w:val="0"/>
                <w:sz w:val="22"/>
                <w:szCs w:val="22"/>
              </w:rPr>
              <w:t xml:space="preserve"> 6.aprīļa līdz 2021.gada 30.jūnijam uz publiskajiem pasākumiem pārdoto biļešu apmērs ir 895 485,66 </w:t>
            </w:r>
            <w:r w:rsidRPr="00C01345" w:rsidR="00716745">
              <w:rPr>
                <w:i/>
                <w:snapToGrid w:val="0"/>
                <w:sz w:val="22"/>
                <w:szCs w:val="22"/>
              </w:rPr>
              <w:t>euro</w:t>
            </w:r>
            <w:r w:rsidRPr="00C01345" w:rsidR="00716745">
              <w:rPr>
                <w:iCs/>
                <w:snapToGrid w:val="0"/>
                <w:sz w:val="22"/>
                <w:szCs w:val="22"/>
              </w:rPr>
              <w:t>,</w:t>
            </w:r>
            <w:r w:rsidRPr="00C01345" w:rsidR="00716745">
              <w:rPr>
                <w:snapToGrid w:val="0"/>
                <w:sz w:val="22"/>
                <w:szCs w:val="22"/>
              </w:rPr>
              <w:t xml:space="preserve"> un no 2021.gada 1.jūlija līdz 31.decembrim uz publiskajiem pasākumiem pārdoto biļešu apmērs ir  2 832 944,79 </w:t>
            </w:r>
            <w:r w:rsidRPr="00C01345" w:rsidR="00716745">
              <w:rPr>
                <w:i/>
                <w:iCs/>
                <w:snapToGrid w:val="0"/>
                <w:sz w:val="22"/>
                <w:szCs w:val="22"/>
              </w:rPr>
              <w:t>euro</w:t>
            </w:r>
            <w:r w:rsidRPr="00C01345" w:rsidR="00716745">
              <w:rPr>
                <w:snapToGrid w:val="0"/>
                <w:sz w:val="22"/>
                <w:szCs w:val="22"/>
              </w:rPr>
              <w:t xml:space="preserve">, kopumā veidojot summu 3 728 430,45 </w:t>
            </w:r>
            <w:r w:rsidRPr="00C01345" w:rsidR="00716745">
              <w:rPr>
                <w:i/>
                <w:iCs/>
                <w:snapToGrid w:val="0"/>
                <w:sz w:val="22"/>
                <w:szCs w:val="22"/>
              </w:rPr>
              <w:t>euro</w:t>
            </w:r>
            <w:r w:rsidRPr="00C01345" w:rsidR="00716745">
              <w:rPr>
                <w:snapToGrid w:val="0"/>
                <w:sz w:val="22"/>
                <w:szCs w:val="22"/>
              </w:rPr>
              <w:t xml:space="preserve"> apmērā,</w:t>
            </w:r>
            <w:r w:rsidRPr="00C01345" w:rsidR="00716745">
              <w:rPr>
                <w:i/>
                <w:iCs/>
                <w:snapToGrid w:val="0"/>
                <w:sz w:val="22"/>
                <w:szCs w:val="22"/>
              </w:rPr>
              <w:t xml:space="preserve"> </w:t>
            </w:r>
            <w:r w:rsidRPr="00C01345" w:rsidR="00716745">
              <w:rPr>
                <w:snapToGrid w:val="0"/>
                <w:sz w:val="22"/>
                <w:szCs w:val="22"/>
              </w:rPr>
              <w:t xml:space="preserve">kur  80% no visa pārdoto biļešu apmēra ir 2 982 744,36 </w:t>
            </w:r>
            <w:r w:rsidRPr="00C01345" w:rsidR="00716745">
              <w:rPr>
                <w:i/>
                <w:snapToGrid w:val="0"/>
                <w:sz w:val="22"/>
                <w:szCs w:val="22"/>
              </w:rPr>
              <w:t>euro</w:t>
            </w:r>
            <w:r w:rsidRPr="00C01345" w:rsidR="00716745">
              <w:rPr>
                <w:snapToGrid w:val="0"/>
                <w:sz w:val="22"/>
                <w:szCs w:val="22"/>
              </w:rPr>
              <w:t>.</w:t>
            </w:r>
          </w:p>
        </w:tc>
        <w:tc>
          <w:tcPr>
            <w:tcW w:w="1215" w:type="pct"/>
            <w:tcBorders>
              <w:top w:val="outset" w:color="414142" w:sz="6" w:space="0"/>
              <w:left w:val="outset" w:color="414142" w:sz="6" w:space="0"/>
              <w:bottom w:val="outset" w:color="414142" w:sz="6" w:space="0"/>
              <w:right w:val="outset" w:color="414142" w:sz="6" w:space="0"/>
            </w:tcBorders>
          </w:tcPr>
          <w:p w:rsidRPr="00F5375B" w:rsidR="00FD0303" w:rsidP="00EB5F38" w:rsidRDefault="00FD0303" w14:paraId="24D172E9" w14:textId="77777777">
            <w:pPr>
              <w:spacing w:after="0" w:line="240" w:lineRule="auto"/>
              <w:ind w:left="57" w:right="57"/>
              <w:jc w:val="both"/>
              <w:rPr>
                <w:rFonts w:ascii="Times New Roman" w:hAnsi="Times New Roman" w:cs="Times New Roman"/>
                <w:b/>
                <w:bCs/>
              </w:rPr>
            </w:pPr>
            <w:r w:rsidRPr="00F5375B">
              <w:rPr>
                <w:rFonts w:ascii="Times New Roman" w:hAnsi="Times New Roman" w:cs="Times New Roman"/>
                <w:b/>
                <w:bCs/>
              </w:rPr>
              <w:lastRenderedPageBreak/>
              <w:t>Finanšu ministrija:</w:t>
            </w:r>
          </w:p>
          <w:p w:rsidRPr="00C01345" w:rsidR="002869DF" w:rsidP="00382C6A" w:rsidRDefault="00CD633B" w14:paraId="3AB09779" w14:textId="487541B8">
            <w:pPr>
              <w:spacing w:after="0" w:line="240" w:lineRule="auto"/>
              <w:ind w:left="57" w:right="57"/>
              <w:jc w:val="both"/>
              <w:rPr>
                <w:rFonts w:ascii="Times New Roman" w:hAnsi="Times New Roman" w:eastAsia="Times New Roman" w:cs="Times New Roman"/>
                <w:lang w:eastAsia="lv-LV"/>
              </w:rPr>
            </w:pPr>
            <w:r w:rsidRPr="00C01345">
              <w:rPr>
                <w:rFonts w:ascii="Times New Roman" w:hAnsi="Times New Roman" w:cs="Times New Roman"/>
              </w:rPr>
              <w:t>Lūdzam papildināt informatīvā ziņojuma 1.lpp. piekto rindkopu,</w:t>
            </w:r>
            <w:r w:rsidRPr="00C01345" w:rsidR="00BF171E">
              <w:rPr>
                <w:rFonts w:ascii="Times New Roman" w:hAnsi="Times New Roman" w:cs="Times New Roman"/>
              </w:rPr>
              <w:t xml:space="preserve"> </w:t>
            </w:r>
            <w:r w:rsidRPr="00C01345">
              <w:rPr>
                <w:rFonts w:ascii="Times New Roman" w:hAnsi="Times New Roman" w:cs="Times New Roman"/>
              </w:rPr>
              <w:t xml:space="preserve">skaidrojot pamatojumu biļešu pārdošanai pēc š.g. 6.aprīļa, ņemot vērā </w:t>
            </w:r>
            <w:proofErr w:type="gramStart"/>
            <w:r w:rsidRPr="00C01345">
              <w:rPr>
                <w:rFonts w:ascii="Times New Roman" w:hAnsi="Times New Roman" w:cs="Times New Roman"/>
              </w:rPr>
              <w:t>2020.gada</w:t>
            </w:r>
            <w:proofErr w:type="gramEnd"/>
            <w:r w:rsidRPr="00C01345">
              <w:rPr>
                <w:rFonts w:ascii="Times New Roman" w:hAnsi="Times New Roman" w:cs="Times New Roman"/>
              </w:rPr>
              <w:t xml:space="preserve"> 9.jūnija Ministru </w:t>
            </w:r>
            <w:r w:rsidRPr="00C01345">
              <w:rPr>
                <w:rFonts w:ascii="Times New Roman" w:hAnsi="Times New Roman" w:cs="Times New Roman"/>
              </w:rPr>
              <w:lastRenderedPageBreak/>
              <w:t>kabineta noteikumos Nr.360 „Epidemioloģiskās drošības pasākumi Covid-19 infekcijas izplatības ierobežošanai” paredzētos ierobežojumus publisku pasākumu rīkošanai.</w:t>
            </w:r>
          </w:p>
        </w:tc>
        <w:tc>
          <w:tcPr>
            <w:tcW w:w="1161" w:type="pct"/>
            <w:tcBorders>
              <w:top w:val="outset" w:color="414142" w:sz="6" w:space="0"/>
              <w:left w:val="outset" w:color="414142" w:sz="6" w:space="0"/>
              <w:bottom w:val="outset" w:color="414142" w:sz="6" w:space="0"/>
              <w:right w:val="outset" w:color="414142" w:sz="6" w:space="0"/>
            </w:tcBorders>
          </w:tcPr>
          <w:p w:rsidRPr="00C01345" w:rsidR="002869DF" w:rsidP="00EB5F38" w:rsidRDefault="00D96C87" w14:paraId="23AFD9B8" w14:textId="02DB90C4">
            <w:pPr>
              <w:spacing w:after="0" w:line="240" w:lineRule="auto"/>
              <w:ind w:left="57" w:right="57"/>
              <w:jc w:val="center"/>
              <w:rPr>
                <w:rFonts w:ascii="Times New Roman" w:hAnsi="Times New Roman" w:eastAsia="Times New Roman" w:cs="Times New Roman"/>
                <w:lang w:eastAsia="lv-LV"/>
              </w:rPr>
            </w:pPr>
            <w:r w:rsidRPr="00D96C87">
              <w:rPr>
                <w:rFonts w:ascii="Times New Roman" w:hAnsi="Times New Roman" w:eastAsia="Times New Roman" w:cs="Times New Roman"/>
                <w:b/>
                <w:bCs/>
                <w:lang w:eastAsia="lv-LV"/>
              </w:rPr>
              <w:lastRenderedPageBreak/>
              <w:t>Ņemts vērā</w:t>
            </w:r>
          </w:p>
        </w:tc>
        <w:tc>
          <w:tcPr>
            <w:tcW w:w="1200" w:type="pct"/>
            <w:tcBorders>
              <w:top w:val="outset" w:color="414142" w:sz="6" w:space="0"/>
              <w:left w:val="outset" w:color="414142" w:sz="6" w:space="0"/>
              <w:bottom w:val="outset" w:color="414142" w:sz="6" w:space="0"/>
              <w:right w:val="outset" w:color="414142" w:sz="6" w:space="0"/>
            </w:tcBorders>
          </w:tcPr>
          <w:p w:rsidR="00D96C87" w:rsidP="00D96C87" w:rsidRDefault="00BF171E" w14:paraId="39734426" w14:textId="556715AC">
            <w:pPr>
              <w:pStyle w:val="paragraph"/>
              <w:spacing w:before="0" w:beforeAutospacing="0" w:after="0" w:afterAutospacing="0"/>
              <w:ind w:left="57" w:right="57"/>
              <w:jc w:val="both"/>
              <w:textAlignment w:val="baseline"/>
              <w:rPr>
                <w:sz w:val="22"/>
                <w:szCs w:val="22"/>
              </w:rPr>
            </w:pPr>
            <w:r>
              <w:rPr>
                <w:sz w:val="22"/>
                <w:szCs w:val="22"/>
              </w:rPr>
              <w:t>I</w:t>
            </w:r>
            <w:r w:rsidRPr="00C01345" w:rsidR="00D96C87">
              <w:rPr>
                <w:sz w:val="22"/>
                <w:szCs w:val="22"/>
              </w:rPr>
              <w:t>nformatīv</w:t>
            </w:r>
            <w:r w:rsidR="00D96C87">
              <w:rPr>
                <w:sz w:val="22"/>
                <w:szCs w:val="22"/>
              </w:rPr>
              <w:t>ais</w:t>
            </w:r>
            <w:r w:rsidRPr="00C01345" w:rsidR="00D96C87">
              <w:rPr>
                <w:sz w:val="22"/>
                <w:szCs w:val="22"/>
              </w:rPr>
              <w:t xml:space="preserve"> ziņojum</w:t>
            </w:r>
            <w:r w:rsidR="00D96C87">
              <w:rPr>
                <w:sz w:val="22"/>
                <w:szCs w:val="22"/>
              </w:rPr>
              <w:t xml:space="preserve">s </w:t>
            </w:r>
            <w:r>
              <w:rPr>
                <w:sz w:val="22"/>
                <w:szCs w:val="22"/>
              </w:rPr>
              <w:t>p</w:t>
            </w:r>
            <w:r w:rsidRPr="00C01345">
              <w:rPr>
                <w:sz w:val="22"/>
                <w:szCs w:val="22"/>
              </w:rPr>
              <w:t xml:space="preserve">apildināts </w:t>
            </w:r>
            <w:r w:rsidR="00D96C87">
              <w:rPr>
                <w:sz w:val="22"/>
                <w:szCs w:val="22"/>
              </w:rPr>
              <w:t>ar šādu informāciju:</w:t>
            </w:r>
          </w:p>
          <w:p w:rsidR="00BF171E" w:rsidP="00D96C87" w:rsidRDefault="00BF171E" w14:paraId="44ACD3C7" w14:textId="77777777">
            <w:pPr>
              <w:pStyle w:val="paragraph"/>
              <w:spacing w:before="0" w:beforeAutospacing="0" w:after="0" w:afterAutospacing="0"/>
              <w:ind w:left="57" w:right="57"/>
              <w:jc w:val="both"/>
              <w:textAlignment w:val="baseline"/>
              <w:rPr>
                <w:sz w:val="22"/>
                <w:szCs w:val="22"/>
              </w:rPr>
            </w:pPr>
          </w:p>
          <w:p w:rsidRPr="00C01345" w:rsidR="002869DF" w:rsidP="00295C33" w:rsidRDefault="00D96C87" w14:paraId="2C403CBD" w14:textId="68421A7A">
            <w:pPr>
              <w:pStyle w:val="paragraph"/>
              <w:spacing w:before="0" w:beforeAutospacing="0" w:after="0" w:afterAutospacing="0"/>
              <w:ind w:right="57"/>
              <w:jc w:val="both"/>
              <w:textAlignment w:val="baseline"/>
            </w:pPr>
            <w:r w:rsidRPr="00EB5F38">
              <w:rPr>
                <w:iCs/>
                <w:sz w:val="22"/>
                <w:szCs w:val="22"/>
              </w:rPr>
              <w:t>„</w:t>
            </w:r>
            <w:r w:rsidRPr="00C01345" w:rsidR="00716745">
              <w:rPr>
                <w:snapToGrid w:val="0"/>
                <w:sz w:val="22"/>
                <w:szCs w:val="22"/>
              </w:rPr>
              <w:t xml:space="preserve">Ņemot vērā, ka arī pēc ārkārtējās situācijas beigām publiskie pasākumi nevar notikt, tad ir </w:t>
            </w:r>
            <w:r w:rsidRPr="00C01345" w:rsidR="00716745">
              <w:rPr>
                <w:snapToGrid w:val="0"/>
                <w:sz w:val="22"/>
                <w:szCs w:val="22"/>
              </w:rPr>
              <w:lastRenderedPageBreak/>
              <w:t xml:space="preserve">jāpalielina arī kopējais atbalsta apmērs par atcelto publisko pasākumu biļešu kompensācijām. Saskaņā ar indikatīvajiem biļešu tirgotāju datiem laika par publiskajiem pasākumiem, kas plānoti periodā no </w:t>
            </w:r>
            <w:proofErr w:type="gramStart"/>
            <w:r w:rsidRPr="00C01345" w:rsidR="00716745">
              <w:rPr>
                <w:snapToGrid w:val="0"/>
                <w:sz w:val="22"/>
                <w:szCs w:val="22"/>
              </w:rPr>
              <w:t>2021.gada</w:t>
            </w:r>
            <w:proofErr w:type="gramEnd"/>
            <w:r w:rsidRPr="00C01345" w:rsidR="00716745">
              <w:rPr>
                <w:snapToGrid w:val="0"/>
                <w:sz w:val="22"/>
                <w:szCs w:val="22"/>
              </w:rPr>
              <w:t xml:space="preserve"> 6.aprīļa līdz 2021.gada 30.jūnijam pārdoto biļešu apmērs ir 895 485,66 </w:t>
            </w:r>
            <w:r w:rsidRPr="00C01345" w:rsidR="00716745">
              <w:rPr>
                <w:i/>
                <w:snapToGrid w:val="0"/>
                <w:sz w:val="22"/>
                <w:szCs w:val="22"/>
              </w:rPr>
              <w:t>euro</w:t>
            </w:r>
            <w:r w:rsidRPr="00C01345" w:rsidR="00716745">
              <w:rPr>
                <w:iCs/>
                <w:snapToGrid w:val="0"/>
                <w:sz w:val="22"/>
                <w:szCs w:val="22"/>
              </w:rPr>
              <w:t>,</w:t>
            </w:r>
            <w:r w:rsidRPr="00C01345" w:rsidR="00716745">
              <w:rPr>
                <w:snapToGrid w:val="0"/>
                <w:sz w:val="22"/>
                <w:szCs w:val="22"/>
              </w:rPr>
              <w:t xml:space="preserve"> un uz publiskajiem pasākumiem, kuru norise plānota no 2021.gada 1.jūlija līdz </w:t>
            </w:r>
            <w:r w:rsidR="00BF171E">
              <w:rPr>
                <w:snapToGrid w:val="0"/>
                <w:sz w:val="22"/>
                <w:szCs w:val="22"/>
              </w:rPr>
              <w:t xml:space="preserve">2021.gada </w:t>
            </w:r>
            <w:r w:rsidRPr="00C01345" w:rsidR="00716745">
              <w:rPr>
                <w:snapToGrid w:val="0"/>
                <w:sz w:val="22"/>
                <w:szCs w:val="22"/>
              </w:rPr>
              <w:t xml:space="preserve">31.decembrim pārdoto biļešu apmērs ir  2 832 944,79 </w:t>
            </w:r>
            <w:r w:rsidRPr="00C01345" w:rsidR="00716745">
              <w:rPr>
                <w:i/>
                <w:iCs/>
                <w:snapToGrid w:val="0"/>
                <w:sz w:val="22"/>
                <w:szCs w:val="22"/>
              </w:rPr>
              <w:t>euro</w:t>
            </w:r>
            <w:r w:rsidRPr="00C01345" w:rsidR="00716745">
              <w:rPr>
                <w:snapToGrid w:val="0"/>
                <w:sz w:val="22"/>
                <w:szCs w:val="22"/>
              </w:rPr>
              <w:t xml:space="preserve">, kopumā veidojot summu 3 728 430,45 </w:t>
            </w:r>
            <w:r w:rsidRPr="00C01345" w:rsidR="00716745">
              <w:rPr>
                <w:i/>
                <w:iCs/>
                <w:snapToGrid w:val="0"/>
                <w:sz w:val="22"/>
                <w:szCs w:val="22"/>
              </w:rPr>
              <w:t>euro</w:t>
            </w:r>
            <w:r w:rsidRPr="00C01345" w:rsidR="00716745">
              <w:rPr>
                <w:snapToGrid w:val="0"/>
                <w:sz w:val="22"/>
                <w:szCs w:val="22"/>
              </w:rPr>
              <w:t xml:space="preserve"> apmērā,</w:t>
            </w:r>
            <w:r w:rsidRPr="00C01345" w:rsidR="00716745">
              <w:rPr>
                <w:i/>
                <w:iCs/>
                <w:snapToGrid w:val="0"/>
                <w:sz w:val="22"/>
                <w:szCs w:val="22"/>
              </w:rPr>
              <w:t xml:space="preserve"> </w:t>
            </w:r>
            <w:r w:rsidRPr="00C01345" w:rsidR="00716745">
              <w:rPr>
                <w:snapToGrid w:val="0"/>
                <w:sz w:val="22"/>
                <w:szCs w:val="22"/>
              </w:rPr>
              <w:t xml:space="preserve">kur80% no visa pārdoto biļešu apmēra ir 2 982 744,36 </w:t>
            </w:r>
            <w:r w:rsidRPr="00C01345" w:rsidR="00716745">
              <w:rPr>
                <w:i/>
                <w:snapToGrid w:val="0"/>
                <w:sz w:val="22"/>
                <w:szCs w:val="22"/>
              </w:rPr>
              <w:t>euro</w:t>
            </w:r>
            <w:r w:rsidRPr="00C01345" w:rsidR="00716745">
              <w:rPr>
                <w:snapToGrid w:val="0"/>
                <w:sz w:val="22"/>
                <w:szCs w:val="22"/>
              </w:rPr>
              <w:t>.</w:t>
            </w:r>
            <w:r w:rsidR="00BF171E">
              <w:rPr>
                <w:snapToGrid w:val="0"/>
                <w:sz w:val="22"/>
                <w:szCs w:val="22"/>
              </w:rPr>
              <w:t xml:space="preserve"> </w:t>
            </w:r>
            <w:r w:rsidRPr="0004355A" w:rsidR="00BF171E">
              <w:rPr>
                <w:snapToGrid w:val="0"/>
                <w:sz w:val="22"/>
                <w:szCs w:val="22"/>
              </w:rPr>
              <w:t>Daļai no šajā periodā plānotajiem publiskajiem pasākumiem biļetes jau bija pārdotas 2019. vai 2020.gadā, kā arī šajā periodā ir plānota tādu publisku pasākumu norise, kuri ir pārcelti no 2020.gada, kad tie nevarēja notikt, ņemot vērā epidemioloģiskās drošības prasības</w:t>
            </w:r>
            <w:r w:rsidR="00BF171E">
              <w:rPr>
                <w:snapToGrid w:val="0"/>
                <w:sz w:val="22"/>
                <w:szCs w:val="22"/>
              </w:rPr>
              <w:t>.</w:t>
            </w:r>
            <w:r>
              <w:rPr>
                <w:snapToGrid w:val="0"/>
                <w:sz w:val="22"/>
                <w:szCs w:val="22"/>
              </w:rPr>
              <w:t>”</w:t>
            </w:r>
          </w:p>
        </w:tc>
      </w:tr>
      <w:tr w:rsidRPr="00C01345" w:rsidR="00EB5F38" w:rsidTr="00946DF2" w14:paraId="1260F96C" w14:textId="77777777">
        <w:trPr>
          <w:trHeight w:val="240"/>
        </w:trPr>
        <w:tc>
          <w:tcPr>
            <w:tcW w:w="291" w:type="pct"/>
            <w:tcBorders>
              <w:top w:val="outset" w:color="414142" w:sz="6" w:space="0"/>
              <w:left w:val="outset" w:color="414142" w:sz="6" w:space="0"/>
              <w:bottom w:val="outset" w:color="414142" w:sz="6" w:space="0"/>
              <w:right w:val="outset" w:color="414142" w:sz="6" w:space="0"/>
            </w:tcBorders>
          </w:tcPr>
          <w:p w:rsidRPr="00C01345" w:rsidR="002869DF" w:rsidP="00EB5F38" w:rsidRDefault="008E354D" w14:paraId="0330057F" w14:textId="4AFEAAF0">
            <w:pPr>
              <w:spacing w:after="0" w:line="240" w:lineRule="auto"/>
              <w:ind w:left="57" w:right="57"/>
              <w:jc w:val="center"/>
              <w:rPr>
                <w:rFonts w:ascii="Times New Roman" w:hAnsi="Times New Roman" w:eastAsia="Times New Roman" w:cs="Times New Roman"/>
                <w:lang w:eastAsia="lv-LV"/>
              </w:rPr>
            </w:pPr>
            <w:r>
              <w:rPr>
                <w:rFonts w:ascii="Times New Roman" w:hAnsi="Times New Roman" w:eastAsia="Times New Roman" w:cs="Times New Roman"/>
                <w:lang w:eastAsia="lv-LV"/>
              </w:rPr>
              <w:lastRenderedPageBreak/>
              <w:t>5</w:t>
            </w:r>
            <w:r w:rsidRPr="00C01345" w:rsidR="002869DF">
              <w:rPr>
                <w:rFonts w:ascii="Times New Roman" w:hAnsi="Times New Roman" w:eastAsia="Times New Roman" w:cs="Times New Roman"/>
                <w:lang w:eastAsia="lv-LV"/>
              </w:rPr>
              <w:t>.</w:t>
            </w:r>
          </w:p>
        </w:tc>
        <w:tc>
          <w:tcPr>
            <w:tcW w:w="1132" w:type="pct"/>
            <w:tcBorders>
              <w:top w:val="outset" w:color="414142" w:sz="6" w:space="0"/>
              <w:left w:val="outset" w:color="414142" w:sz="6" w:space="0"/>
              <w:bottom w:val="outset" w:color="414142" w:sz="6" w:space="0"/>
              <w:right w:val="outset" w:color="414142" w:sz="6" w:space="0"/>
            </w:tcBorders>
          </w:tcPr>
          <w:p w:rsidR="00D96C87" w:rsidP="008C6B13" w:rsidRDefault="00D96C87" w14:paraId="083F601A" w14:textId="4C7BD193">
            <w:pPr>
              <w:pStyle w:val="paragraph"/>
              <w:spacing w:before="0" w:beforeAutospacing="0" w:after="0" w:afterAutospacing="0"/>
              <w:ind w:left="57" w:right="57"/>
              <w:jc w:val="both"/>
              <w:textAlignment w:val="baseline"/>
              <w:rPr>
                <w:iCs/>
                <w:sz w:val="22"/>
                <w:szCs w:val="22"/>
              </w:rPr>
            </w:pPr>
            <w:r>
              <w:rPr>
                <w:iCs/>
                <w:sz w:val="22"/>
                <w:szCs w:val="22"/>
              </w:rPr>
              <w:t>Protokollēmuma projekta 2.punkts:</w:t>
            </w:r>
          </w:p>
          <w:p w:rsidR="007476AE" w:rsidP="008C6B13" w:rsidRDefault="007476AE" w14:paraId="4523D655" w14:textId="77777777">
            <w:pPr>
              <w:pStyle w:val="paragraph"/>
              <w:spacing w:before="0" w:beforeAutospacing="0" w:after="0" w:afterAutospacing="0"/>
              <w:ind w:left="57" w:right="57"/>
              <w:jc w:val="both"/>
              <w:textAlignment w:val="baseline"/>
              <w:rPr>
                <w:iCs/>
                <w:sz w:val="22"/>
                <w:szCs w:val="22"/>
              </w:rPr>
            </w:pPr>
          </w:p>
          <w:p w:rsidRPr="00C01345" w:rsidR="002869DF" w:rsidP="008C6B13" w:rsidRDefault="00D96C87" w14:paraId="644F8EA2" w14:textId="764DE4D3">
            <w:pPr>
              <w:pStyle w:val="paragraph"/>
              <w:spacing w:before="0" w:beforeAutospacing="0" w:after="0" w:afterAutospacing="0"/>
              <w:ind w:left="57" w:right="57"/>
              <w:jc w:val="both"/>
              <w:textAlignment w:val="baseline"/>
            </w:pPr>
            <w:r w:rsidRPr="00EB5F38">
              <w:rPr>
                <w:iCs/>
                <w:sz w:val="22"/>
                <w:szCs w:val="22"/>
              </w:rPr>
              <w:t>„</w:t>
            </w:r>
            <w:r>
              <w:rPr>
                <w:iCs/>
                <w:sz w:val="22"/>
                <w:szCs w:val="22"/>
              </w:rPr>
              <w:t xml:space="preserve">2. </w:t>
            </w:r>
            <w:r w:rsidRPr="00C01345" w:rsidR="00716745">
              <w:rPr>
                <w:iCs/>
                <w:sz w:val="22"/>
                <w:szCs w:val="22"/>
              </w:rPr>
              <w:t xml:space="preserve">Atbalstīt Kultūras ministrijas priekšlikumu par </w:t>
            </w:r>
            <w:r w:rsidRPr="00C01345" w:rsidR="00716745">
              <w:rPr>
                <w:sz w:val="22"/>
                <w:szCs w:val="22"/>
              </w:rPr>
              <w:t xml:space="preserve">Valsts kultūrkapitāla fonda </w:t>
            </w:r>
            <w:r w:rsidRPr="007476AE" w:rsidR="007476AE">
              <w:rPr>
                <w:sz w:val="22"/>
                <w:szCs w:val="22"/>
              </w:rPr>
              <w:t>mērķprogrammas „Kultūras pasākumu rīkotāju biļešu kompensācija”</w:t>
            </w:r>
            <w:r w:rsidR="007476AE">
              <w:rPr>
                <w:sz w:val="22"/>
                <w:szCs w:val="22"/>
              </w:rPr>
              <w:t xml:space="preserve"> </w:t>
            </w:r>
            <w:r w:rsidRPr="00C01345" w:rsidR="00716745">
              <w:rPr>
                <w:iCs/>
                <w:sz w:val="22"/>
                <w:szCs w:val="22"/>
              </w:rPr>
              <w:t xml:space="preserve">turpināšanu līdz </w:t>
            </w:r>
            <w:proofErr w:type="gramStart"/>
            <w:r w:rsidRPr="00C01345" w:rsidR="00716745">
              <w:rPr>
                <w:iCs/>
                <w:sz w:val="22"/>
                <w:szCs w:val="22"/>
              </w:rPr>
              <w:t>2021.gada</w:t>
            </w:r>
            <w:proofErr w:type="gramEnd"/>
            <w:r w:rsidRPr="00C01345" w:rsidR="00716745">
              <w:rPr>
                <w:iCs/>
                <w:sz w:val="22"/>
                <w:szCs w:val="22"/>
              </w:rPr>
              <w:t xml:space="preserve"> 31.decembrim.</w:t>
            </w:r>
            <w:r>
              <w:rPr>
                <w:sz w:val="22"/>
                <w:szCs w:val="22"/>
              </w:rPr>
              <w:t>”</w:t>
            </w:r>
          </w:p>
        </w:tc>
        <w:tc>
          <w:tcPr>
            <w:tcW w:w="1215" w:type="pct"/>
            <w:tcBorders>
              <w:top w:val="outset" w:color="414142" w:sz="6" w:space="0"/>
              <w:left w:val="outset" w:color="414142" w:sz="6" w:space="0"/>
              <w:bottom w:val="outset" w:color="414142" w:sz="6" w:space="0"/>
              <w:right w:val="outset" w:color="414142" w:sz="6" w:space="0"/>
            </w:tcBorders>
          </w:tcPr>
          <w:p w:rsidRPr="00F5375B" w:rsidR="00FD0303" w:rsidP="00EB5F38" w:rsidRDefault="00FD0303" w14:paraId="5DFB4EF6" w14:textId="77777777">
            <w:pPr>
              <w:spacing w:after="0" w:line="240" w:lineRule="auto"/>
              <w:ind w:left="57" w:right="57"/>
              <w:jc w:val="both"/>
              <w:rPr>
                <w:rFonts w:ascii="Times New Roman" w:hAnsi="Times New Roman" w:cs="Times New Roman"/>
                <w:b/>
                <w:bCs/>
              </w:rPr>
            </w:pPr>
            <w:r w:rsidRPr="00F5375B">
              <w:rPr>
                <w:rFonts w:ascii="Times New Roman" w:hAnsi="Times New Roman" w:cs="Times New Roman"/>
                <w:b/>
                <w:bCs/>
              </w:rPr>
              <w:t>Finanšu ministrija:</w:t>
            </w:r>
          </w:p>
          <w:p w:rsidRPr="00C01345" w:rsidR="00D23767" w:rsidP="00382C6A" w:rsidRDefault="00CD633B" w14:paraId="5B1FD137" w14:textId="2550660B">
            <w:pPr>
              <w:spacing w:after="0" w:line="240" w:lineRule="auto"/>
              <w:ind w:left="57" w:right="57"/>
              <w:jc w:val="both"/>
              <w:rPr>
                <w:rFonts w:ascii="Times New Roman" w:hAnsi="Times New Roman" w:eastAsia="Times New Roman" w:cs="Times New Roman"/>
                <w:lang w:eastAsia="lv-LV"/>
              </w:rPr>
            </w:pPr>
            <w:r w:rsidRPr="00C01345">
              <w:rPr>
                <w:rFonts w:ascii="Times New Roman" w:hAnsi="Times New Roman" w:cs="Times New Roman"/>
              </w:rPr>
              <w:t xml:space="preserve">Ņemot vērā, ka Protokollēmuma 2.punkts paredz atbalstīt Valsts kultūrkapitāla fonda mērķprogrammas „Kultūras pasākumu rīkotāju biļešu kompensācija” turpināšanu līdz </w:t>
            </w:r>
            <w:proofErr w:type="gramStart"/>
            <w:r w:rsidRPr="00C01345">
              <w:rPr>
                <w:rFonts w:ascii="Times New Roman" w:hAnsi="Times New Roman" w:cs="Times New Roman"/>
              </w:rPr>
              <w:t>2021.gada</w:t>
            </w:r>
            <w:proofErr w:type="gramEnd"/>
            <w:r w:rsidRPr="00C01345">
              <w:rPr>
                <w:rFonts w:ascii="Times New Roman" w:hAnsi="Times New Roman" w:cs="Times New Roman"/>
              </w:rPr>
              <w:t xml:space="preserve"> 31.decembrim, savukārt finansējumu mērķprogrammas nodrošināšanai tiek paredzēts </w:t>
            </w:r>
            <w:r w:rsidRPr="00C01345">
              <w:rPr>
                <w:rFonts w:ascii="Times New Roman" w:hAnsi="Times New Roman" w:cs="Times New Roman"/>
              </w:rPr>
              <w:lastRenderedPageBreak/>
              <w:t xml:space="preserve">piešķirt no valsts budžeta programmas 02.00.00 „Līdzekļi neparedzētiem gadījumiem” pēc kārtas noslēgšanas, t.i. pēc 2021.gada 31.decembra, atbilstoši faktiski nepieciešamajam, izvērtējot visus pieteikumus kompensēšanas saņemšanai, vēršam uzmanību, ka līdzekļi no valsts budžeta programmas 02.00.00 „Līdzekļi neparedzētiem gadījumiem” tiek piešķirti vienreizējiem terminētiem pasākumiem un ir izlietojami līdz saimnieciska gada beigām, t.i. līdz 2021.gada 31.decembrim, nodrošinot attiecīgā mērķa izpildi, kuram pieprasīti līdzekļi. Līdz ar to, lai nodrošinātu līdzekļu savlaicīgu izmantošanu paredzētajam mērķim, Kultūras ministrijai ir jāizvērtē minētās mērķprogrammas īstenošanas un nepieciešamo līdzekļu piešķiršanas termiņus, lai varētu nodrošināt savlaicīgu kompensāciju izmaksu kultūras pasākumu rīkotājiem, attiecīgi pārskatot/precizējot </w:t>
            </w:r>
            <w:r w:rsidRPr="00C01345" w:rsidR="00716745">
              <w:rPr>
                <w:rFonts w:ascii="Times New Roman" w:hAnsi="Times New Roman" w:cs="Times New Roman"/>
              </w:rPr>
              <w:t>p</w:t>
            </w:r>
            <w:r w:rsidRPr="00C01345">
              <w:rPr>
                <w:rFonts w:ascii="Times New Roman" w:hAnsi="Times New Roman" w:cs="Times New Roman"/>
              </w:rPr>
              <w:t>rotokollēmuma 2.punktā un informatīvā ziņojumā noteikto termiņu, līdz kuram minētā mērķprogramma īstenojama.</w:t>
            </w:r>
          </w:p>
        </w:tc>
        <w:tc>
          <w:tcPr>
            <w:tcW w:w="1161" w:type="pct"/>
            <w:tcBorders>
              <w:top w:val="outset" w:color="414142" w:sz="6" w:space="0"/>
              <w:left w:val="outset" w:color="414142" w:sz="6" w:space="0"/>
              <w:bottom w:val="outset" w:color="414142" w:sz="6" w:space="0"/>
              <w:right w:val="outset" w:color="414142" w:sz="6" w:space="0"/>
            </w:tcBorders>
          </w:tcPr>
          <w:p w:rsidR="00681C4C" w:rsidP="00EB5F38" w:rsidRDefault="005D2A4F" w14:paraId="69683493" w14:textId="77777777">
            <w:pPr>
              <w:spacing w:after="0" w:line="240" w:lineRule="auto"/>
              <w:ind w:left="57" w:right="57"/>
              <w:jc w:val="center"/>
              <w:rPr>
                <w:rFonts w:ascii="Times New Roman" w:hAnsi="Times New Roman" w:eastAsia="Times New Roman" w:cs="Times New Roman"/>
                <w:b/>
                <w:bCs/>
                <w:lang w:eastAsia="lv-LV"/>
              </w:rPr>
            </w:pPr>
            <w:r w:rsidRPr="008C6B13">
              <w:rPr>
                <w:rFonts w:ascii="Times New Roman" w:hAnsi="Times New Roman" w:eastAsia="Times New Roman" w:cs="Times New Roman"/>
                <w:b/>
                <w:bCs/>
                <w:lang w:eastAsia="lv-LV"/>
              </w:rPr>
              <w:lastRenderedPageBreak/>
              <w:t>Ņemts vērā</w:t>
            </w:r>
          </w:p>
          <w:p w:rsidRPr="008C6B13" w:rsidR="002869DF" w:rsidP="00295C33" w:rsidRDefault="00681C4C" w14:paraId="6EAA1F31" w14:textId="0E64339C">
            <w:pPr>
              <w:spacing w:after="0" w:line="240" w:lineRule="auto"/>
              <w:ind w:left="57" w:right="57"/>
              <w:jc w:val="both"/>
              <w:rPr>
                <w:rFonts w:ascii="Times New Roman" w:hAnsi="Times New Roman" w:eastAsia="Times New Roman" w:cs="Times New Roman"/>
                <w:b/>
                <w:bCs/>
                <w:lang w:eastAsia="lv-LV"/>
              </w:rPr>
            </w:pPr>
            <w:bookmarkStart w:name="_Hlk73537481" w:id="4"/>
            <w:r w:rsidRPr="008C6B13">
              <w:rPr>
                <w:rFonts w:ascii="Times New Roman" w:hAnsi="Times New Roman" w:eastAsia="Times New Roman" w:cs="Times New Roman"/>
                <w:bCs/>
                <w:lang w:eastAsia="lv-LV"/>
              </w:rPr>
              <w:t xml:space="preserve">Kultūras ministrija </w:t>
            </w:r>
            <w:r w:rsidR="007476AE">
              <w:rPr>
                <w:rFonts w:ascii="Times New Roman" w:hAnsi="Times New Roman" w:eastAsia="Times New Roman" w:cs="Times New Roman"/>
                <w:bCs/>
                <w:lang w:eastAsia="lv-LV"/>
              </w:rPr>
              <w:t>pa</w:t>
            </w:r>
            <w:r w:rsidRPr="008C6B13">
              <w:rPr>
                <w:rFonts w:ascii="Times New Roman" w:hAnsi="Times New Roman" w:eastAsia="Times New Roman" w:cs="Times New Roman"/>
                <w:bCs/>
                <w:lang w:eastAsia="lv-LV"/>
              </w:rPr>
              <w:t xml:space="preserve">skaidro, </w:t>
            </w:r>
            <w:r>
              <w:rPr>
                <w:rFonts w:ascii="Times New Roman" w:hAnsi="Times New Roman" w:eastAsia="Times New Roman" w:cs="Times New Roman"/>
                <w:bCs/>
                <w:lang w:eastAsia="lv-LV"/>
              </w:rPr>
              <w:t xml:space="preserve">lai nodrošinātu biļešu kompensāciju apmaksu par </w:t>
            </w:r>
            <w:r w:rsidR="007A32A6">
              <w:rPr>
                <w:rFonts w:ascii="Times New Roman" w:hAnsi="Times New Roman" w:eastAsia="Times New Roman" w:cs="Times New Roman"/>
                <w:bCs/>
                <w:lang w:eastAsia="lv-LV"/>
              </w:rPr>
              <w:t xml:space="preserve">publiskajiem </w:t>
            </w:r>
            <w:r>
              <w:rPr>
                <w:rFonts w:ascii="Times New Roman" w:hAnsi="Times New Roman" w:eastAsia="Times New Roman" w:cs="Times New Roman"/>
                <w:bCs/>
                <w:lang w:eastAsia="lv-LV"/>
              </w:rPr>
              <w:t xml:space="preserve">pasākumiem, kuri bija plānoti līdz </w:t>
            </w:r>
            <w:proofErr w:type="gramStart"/>
            <w:r>
              <w:rPr>
                <w:rFonts w:ascii="Times New Roman" w:hAnsi="Times New Roman" w:eastAsia="Times New Roman" w:cs="Times New Roman"/>
                <w:bCs/>
                <w:lang w:eastAsia="lv-LV"/>
              </w:rPr>
              <w:t>2021.gada</w:t>
            </w:r>
            <w:proofErr w:type="gramEnd"/>
            <w:r>
              <w:rPr>
                <w:rFonts w:ascii="Times New Roman" w:hAnsi="Times New Roman" w:eastAsia="Times New Roman" w:cs="Times New Roman"/>
                <w:bCs/>
                <w:lang w:eastAsia="lv-LV"/>
              </w:rPr>
              <w:t xml:space="preserve"> 31.decembri</w:t>
            </w:r>
            <w:r w:rsidR="00382C6A">
              <w:rPr>
                <w:rFonts w:ascii="Times New Roman" w:hAnsi="Times New Roman" w:eastAsia="Times New Roman" w:cs="Times New Roman"/>
                <w:bCs/>
                <w:lang w:eastAsia="lv-LV"/>
              </w:rPr>
              <w:t>m,</w:t>
            </w:r>
            <w:r>
              <w:rPr>
                <w:rFonts w:ascii="Times New Roman" w:hAnsi="Times New Roman" w:eastAsia="Times New Roman" w:cs="Times New Roman"/>
                <w:bCs/>
                <w:lang w:eastAsia="lv-LV"/>
              </w:rPr>
              <w:t xml:space="preserve"> </w:t>
            </w:r>
            <w:r w:rsidR="00382C6A">
              <w:rPr>
                <w:rFonts w:ascii="Times New Roman" w:hAnsi="Times New Roman" w:eastAsia="Times New Roman" w:cs="Times New Roman"/>
                <w:bCs/>
                <w:lang w:eastAsia="lv-LV"/>
              </w:rPr>
              <w:t>tiem</w:t>
            </w:r>
            <w:r>
              <w:rPr>
                <w:rFonts w:ascii="Times New Roman" w:hAnsi="Times New Roman" w:eastAsia="Times New Roman" w:cs="Times New Roman"/>
                <w:bCs/>
                <w:lang w:eastAsia="lv-LV"/>
              </w:rPr>
              <w:t xml:space="preserve"> jābūt atceltiem un </w:t>
            </w:r>
            <w:r w:rsidRPr="007476AE" w:rsidR="007476AE">
              <w:rPr>
                <w:rFonts w:ascii="Times New Roman" w:hAnsi="Times New Roman" w:eastAsia="Times New Roman" w:cs="Times New Roman"/>
                <w:bCs/>
                <w:lang w:eastAsia="lv-LV"/>
              </w:rPr>
              <w:t xml:space="preserve">finansējumam par pārdotajām biļetēm uz atceltajiem </w:t>
            </w:r>
            <w:r w:rsidRPr="007476AE" w:rsidR="007476AE">
              <w:rPr>
                <w:rFonts w:ascii="Times New Roman" w:hAnsi="Times New Roman" w:eastAsia="Times New Roman" w:cs="Times New Roman"/>
                <w:bCs/>
                <w:lang w:eastAsia="lv-LV"/>
              </w:rPr>
              <w:lastRenderedPageBreak/>
              <w:t xml:space="preserve">pasākumiem </w:t>
            </w:r>
            <w:r>
              <w:rPr>
                <w:rFonts w:ascii="Times New Roman" w:hAnsi="Times New Roman" w:eastAsia="Times New Roman" w:cs="Times New Roman"/>
                <w:bCs/>
                <w:lang w:eastAsia="lv-LV"/>
              </w:rPr>
              <w:t xml:space="preserve">atgrieztam </w:t>
            </w:r>
            <w:r w:rsidR="00382C6A">
              <w:rPr>
                <w:rFonts w:ascii="Times New Roman" w:hAnsi="Times New Roman" w:eastAsia="Times New Roman" w:cs="Times New Roman"/>
                <w:bCs/>
                <w:lang w:eastAsia="lv-LV"/>
              </w:rPr>
              <w:t>ne vēlāk kā līdz 2021.gada novembrim</w:t>
            </w:r>
            <w:bookmarkEnd w:id="4"/>
            <w:r>
              <w:rPr>
                <w:rFonts w:ascii="Times New Roman" w:hAnsi="Times New Roman" w:eastAsia="Times New Roman" w:cs="Times New Roman"/>
                <w:bCs/>
                <w:lang w:eastAsia="lv-LV"/>
              </w:rPr>
              <w:t>.</w:t>
            </w:r>
            <w:r w:rsidR="007A32A6">
              <w:rPr>
                <w:rFonts w:ascii="Times New Roman" w:hAnsi="Times New Roman" w:eastAsia="Times New Roman" w:cs="Times New Roman"/>
                <w:bCs/>
                <w:lang w:eastAsia="lv-LV"/>
              </w:rPr>
              <w:t xml:space="preserve"> </w:t>
            </w:r>
          </w:p>
        </w:tc>
        <w:tc>
          <w:tcPr>
            <w:tcW w:w="1200" w:type="pct"/>
            <w:tcBorders>
              <w:top w:val="outset" w:color="414142" w:sz="6" w:space="0"/>
              <w:left w:val="outset" w:color="414142" w:sz="6" w:space="0"/>
              <w:bottom w:val="outset" w:color="414142" w:sz="6" w:space="0"/>
              <w:right w:val="outset" w:color="414142" w:sz="6" w:space="0"/>
            </w:tcBorders>
          </w:tcPr>
          <w:p w:rsidR="00382C6A" w:rsidP="00382C6A" w:rsidRDefault="00382C6A" w14:paraId="2331E194" w14:textId="0AE2643B">
            <w:pPr>
              <w:spacing w:after="0" w:line="240" w:lineRule="auto"/>
              <w:ind w:left="57" w:right="57"/>
              <w:jc w:val="both"/>
              <w:rPr>
                <w:rFonts w:ascii="Times New Roman" w:hAnsi="Times New Roman" w:eastAsia="Times New Roman" w:cs="Times New Roman"/>
                <w:lang w:eastAsia="lv-LV"/>
              </w:rPr>
            </w:pPr>
            <w:r w:rsidRPr="00382C6A">
              <w:rPr>
                <w:rFonts w:ascii="Times New Roman" w:hAnsi="Times New Roman" w:eastAsia="Times New Roman" w:cs="Times New Roman"/>
                <w:lang w:eastAsia="lv-LV"/>
              </w:rPr>
              <w:lastRenderedPageBreak/>
              <w:t>Protokollēmuma projekta 2.punkts:</w:t>
            </w:r>
          </w:p>
          <w:p w:rsidRPr="00382C6A" w:rsidR="007476AE" w:rsidP="00382C6A" w:rsidRDefault="007476AE" w14:paraId="2A2BEDBF" w14:textId="77777777">
            <w:pPr>
              <w:spacing w:after="0" w:line="240" w:lineRule="auto"/>
              <w:ind w:left="57" w:right="57"/>
              <w:jc w:val="both"/>
              <w:rPr>
                <w:rFonts w:ascii="Times New Roman" w:hAnsi="Times New Roman" w:eastAsia="Times New Roman" w:cs="Times New Roman"/>
                <w:lang w:eastAsia="lv-LV"/>
              </w:rPr>
            </w:pPr>
          </w:p>
          <w:p w:rsidRPr="00C01345" w:rsidR="002869DF" w:rsidP="00382C6A" w:rsidRDefault="00382C6A" w14:paraId="0F7B9071" w14:textId="351C9980">
            <w:pPr>
              <w:spacing w:after="0" w:line="240" w:lineRule="auto"/>
              <w:ind w:left="57" w:right="57"/>
              <w:jc w:val="both"/>
              <w:rPr>
                <w:rFonts w:ascii="Times New Roman" w:hAnsi="Times New Roman" w:eastAsia="Times New Roman" w:cs="Times New Roman"/>
                <w:lang w:eastAsia="lv-LV"/>
              </w:rPr>
            </w:pPr>
            <w:r w:rsidRPr="00382C6A">
              <w:rPr>
                <w:rFonts w:ascii="Times New Roman" w:hAnsi="Times New Roman" w:eastAsia="Times New Roman" w:cs="Times New Roman"/>
                <w:lang w:eastAsia="lv-LV"/>
              </w:rPr>
              <w:t xml:space="preserve">„2. Atbalstīt Kultūras ministrijas priekšlikumu par Valsts kultūrkapitāla fonda </w:t>
            </w:r>
            <w:r w:rsidRPr="007476AE" w:rsidR="007476AE">
              <w:rPr>
                <w:rFonts w:ascii="Times New Roman" w:hAnsi="Times New Roman" w:eastAsia="Times New Roman" w:cs="Times New Roman"/>
                <w:lang w:eastAsia="lv-LV"/>
              </w:rPr>
              <w:t>mērķprogrammas „Kultūras pasākumu rīkotāju biļešu kompensācija”</w:t>
            </w:r>
            <w:r w:rsidRPr="00382C6A">
              <w:rPr>
                <w:rFonts w:ascii="Times New Roman" w:hAnsi="Times New Roman" w:eastAsia="Times New Roman" w:cs="Times New Roman"/>
                <w:lang w:eastAsia="lv-LV"/>
              </w:rPr>
              <w:t xml:space="preserve"> turpināšanu līdz </w:t>
            </w:r>
            <w:proofErr w:type="gramStart"/>
            <w:r w:rsidRPr="00382C6A">
              <w:rPr>
                <w:rFonts w:ascii="Times New Roman" w:hAnsi="Times New Roman" w:eastAsia="Times New Roman" w:cs="Times New Roman"/>
                <w:lang w:eastAsia="lv-LV"/>
              </w:rPr>
              <w:t>2021.gada</w:t>
            </w:r>
            <w:proofErr w:type="gramEnd"/>
            <w:r w:rsidRPr="00382C6A">
              <w:rPr>
                <w:rFonts w:ascii="Times New Roman" w:hAnsi="Times New Roman" w:eastAsia="Times New Roman" w:cs="Times New Roman"/>
                <w:lang w:eastAsia="lv-LV"/>
              </w:rPr>
              <w:t xml:space="preserve"> 31.decembrim.”</w:t>
            </w:r>
          </w:p>
        </w:tc>
      </w:tr>
      <w:tr w:rsidRPr="00C01345" w:rsidR="008E354D" w:rsidTr="00946DF2" w14:paraId="1D1BFA1B" w14:textId="77777777">
        <w:trPr>
          <w:trHeight w:val="240"/>
        </w:trPr>
        <w:tc>
          <w:tcPr>
            <w:tcW w:w="291" w:type="pct"/>
            <w:tcBorders>
              <w:top w:val="outset" w:color="414142" w:sz="6" w:space="0"/>
              <w:left w:val="outset" w:color="414142" w:sz="6" w:space="0"/>
              <w:bottom w:val="outset" w:color="414142" w:sz="6" w:space="0"/>
              <w:right w:val="outset" w:color="414142" w:sz="6" w:space="0"/>
            </w:tcBorders>
          </w:tcPr>
          <w:p w:rsidRPr="00C01345" w:rsidR="008E354D" w:rsidDel="008E354D" w:rsidP="00EB5F38" w:rsidRDefault="008E354D" w14:paraId="409C8147" w14:textId="3773BBFF">
            <w:pPr>
              <w:spacing w:after="0" w:line="240" w:lineRule="auto"/>
              <w:ind w:left="57" w:right="57"/>
              <w:jc w:val="center"/>
              <w:rPr>
                <w:rFonts w:ascii="Times New Roman" w:hAnsi="Times New Roman" w:eastAsia="Times New Roman" w:cs="Times New Roman"/>
                <w:lang w:eastAsia="lv-LV"/>
              </w:rPr>
            </w:pPr>
            <w:r>
              <w:rPr>
                <w:rFonts w:ascii="Times New Roman" w:hAnsi="Times New Roman" w:eastAsia="Times New Roman" w:cs="Times New Roman"/>
                <w:lang w:eastAsia="lv-LV"/>
              </w:rPr>
              <w:t>6.</w:t>
            </w:r>
          </w:p>
        </w:tc>
        <w:tc>
          <w:tcPr>
            <w:tcW w:w="1132" w:type="pct"/>
            <w:tcBorders>
              <w:top w:val="outset" w:color="414142" w:sz="6" w:space="0"/>
              <w:left w:val="outset" w:color="414142" w:sz="6" w:space="0"/>
              <w:bottom w:val="outset" w:color="414142" w:sz="6" w:space="0"/>
              <w:right w:val="outset" w:color="414142" w:sz="6" w:space="0"/>
            </w:tcBorders>
          </w:tcPr>
          <w:p w:rsidR="008E354D" w:rsidP="008C6B13" w:rsidRDefault="00946DF2" w14:paraId="1F63694A" w14:textId="6EC26C25">
            <w:pPr>
              <w:pStyle w:val="paragraph"/>
              <w:spacing w:before="0" w:beforeAutospacing="0" w:after="0" w:afterAutospacing="0"/>
              <w:ind w:left="57" w:right="57"/>
              <w:jc w:val="both"/>
              <w:textAlignment w:val="baseline"/>
              <w:rPr>
                <w:iCs/>
                <w:sz w:val="22"/>
                <w:szCs w:val="22"/>
              </w:rPr>
            </w:pPr>
            <w:r>
              <w:rPr>
                <w:iCs/>
                <w:sz w:val="22"/>
                <w:szCs w:val="22"/>
              </w:rPr>
              <w:t>Informatīvais ziņojums un protokollēmuma</w:t>
            </w:r>
            <w:r w:rsidR="00226461">
              <w:rPr>
                <w:iCs/>
                <w:sz w:val="22"/>
                <w:szCs w:val="22"/>
              </w:rPr>
              <w:t xml:space="preserve"> projekta</w:t>
            </w:r>
            <w:r>
              <w:rPr>
                <w:iCs/>
                <w:sz w:val="22"/>
                <w:szCs w:val="22"/>
              </w:rPr>
              <w:t xml:space="preserve"> 2. un 6.punkts:</w:t>
            </w:r>
          </w:p>
          <w:p w:rsidR="00946DF2" w:rsidP="008C6B13" w:rsidRDefault="00946DF2" w14:paraId="5DD9F0BC" w14:textId="3FFCB177">
            <w:pPr>
              <w:pStyle w:val="paragraph"/>
              <w:spacing w:before="0" w:beforeAutospacing="0" w:after="0" w:afterAutospacing="0"/>
              <w:ind w:left="57" w:right="57"/>
              <w:jc w:val="both"/>
              <w:textAlignment w:val="baseline"/>
              <w:rPr>
                <w:iCs/>
                <w:sz w:val="22"/>
                <w:szCs w:val="22"/>
              </w:rPr>
            </w:pPr>
          </w:p>
          <w:p w:rsidR="00946DF2" w:rsidP="00946DF2" w:rsidRDefault="00946DF2" w14:paraId="293EE79A" w14:textId="5DF89FEE">
            <w:pPr>
              <w:pStyle w:val="paragraph"/>
              <w:spacing w:before="0" w:beforeAutospacing="0" w:after="0" w:afterAutospacing="0"/>
              <w:ind w:left="57" w:right="57"/>
              <w:jc w:val="both"/>
              <w:textAlignment w:val="baseline"/>
              <w:rPr>
                <w:iCs/>
                <w:sz w:val="22"/>
                <w:szCs w:val="22"/>
              </w:rPr>
            </w:pPr>
            <w:r w:rsidRPr="00EB5F38">
              <w:rPr>
                <w:iCs/>
                <w:sz w:val="22"/>
                <w:szCs w:val="22"/>
              </w:rPr>
              <w:lastRenderedPageBreak/>
              <w:t>„</w:t>
            </w:r>
            <w:r>
              <w:rPr>
                <w:iCs/>
                <w:sz w:val="22"/>
                <w:szCs w:val="22"/>
              </w:rPr>
              <w:t xml:space="preserve">2. </w:t>
            </w:r>
            <w:r w:rsidRPr="00C01345">
              <w:rPr>
                <w:iCs/>
                <w:sz w:val="22"/>
                <w:szCs w:val="22"/>
              </w:rPr>
              <w:t xml:space="preserve">Atbalstīt Kultūras ministrijas priekšlikumu par </w:t>
            </w:r>
            <w:r w:rsidRPr="00C01345">
              <w:rPr>
                <w:sz w:val="22"/>
                <w:szCs w:val="22"/>
              </w:rPr>
              <w:t xml:space="preserve">Valsts kultūrkapitāla fonda </w:t>
            </w:r>
            <w:r w:rsidRPr="007476AE">
              <w:rPr>
                <w:sz w:val="22"/>
                <w:szCs w:val="22"/>
              </w:rPr>
              <w:t>mērķprogrammas „Kultūras pasākumu rīkotāju biļešu kompensācija”</w:t>
            </w:r>
            <w:r>
              <w:rPr>
                <w:sz w:val="22"/>
                <w:szCs w:val="22"/>
              </w:rPr>
              <w:t xml:space="preserve"> </w:t>
            </w:r>
            <w:r w:rsidRPr="00C01345">
              <w:rPr>
                <w:iCs/>
                <w:sz w:val="22"/>
                <w:szCs w:val="22"/>
              </w:rPr>
              <w:t xml:space="preserve">turpināšanu līdz </w:t>
            </w:r>
            <w:proofErr w:type="gramStart"/>
            <w:r w:rsidRPr="00C01345">
              <w:rPr>
                <w:iCs/>
                <w:sz w:val="22"/>
                <w:szCs w:val="22"/>
              </w:rPr>
              <w:t>2021.gada</w:t>
            </w:r>
            <w:proofErr w:type="gramEnd"/>
            <w:r w:rsidRPr="00C01345">
              <w:rPr>
                <w:iCs/>
                <w:sz w:val="22"/>
                <w:szCs w:val="22"/>
              </w:rPr>
              <w:t xml:space="preserve"> 31.decembrim.</w:t>
            </w:r>
            <w:r>
              <w:rPr>
                <w:iCs/>
                <w:sz w:val="22"/>
                <w:szCs w:val="22"/>
              </w:rPr>
              <w:t>”</w:t>
            </w:r>
          </w:p>
          <w:p w:rsidR="00946DF2" w:rsidP="00946DF2" w:rsidRDefault="00946DF2" w14:paraId="261C4BF3" w14:textId="269A5EA1">
            <w:pPr>
              <w:pStyle w:val="paragraph"/>
              <w:spacing w:before="0" w:beforeAutospacing="0" w:after="0" w:afterAutospacing="0"/>
              <w:ind w:left="57" w:right="57"/>
              <w:jc w:val="both"/>
              <w:textAlignment w:val="baseline"/>
              <w:rPr>
                <w:iCs/>
                <w:sz w:val="22"/>
                <w:szCs w:val="22"/>
              </w:rPr>
            </w:pPr>
          </w:p>
          <w:p w:rsidR="00946DF2" w:rsidP="00946DF2" w:rsidRDefault="00946DF2" w14:paraId="0B2D068E" w14:textId="26A60E87">
            <w:pPr>
              <w:pStyle w:val="paragraph"/>
              <w:spacing w:before="0" w:beforeAutospacing="0" w:after="0" w:afterAutospacing="0"/>
              <w:ind w:left="57" w:right="57"/>
              <w:jc w:val="both"/>
              <w:textAlignment w:val="baseline"/>
              <w:rPr>
                <w:iCs/>
                <w:sz w:val="22"/>
                <w:szCs w:val="22"/>
              </w:rPr>
            </w:pPr>
            <w:r w:rsidRPr="00EB5F38">
              <w:rPr>
                <w:iCs/>
                <w:sz w:val="22"/>
                <w:szCs w:val="22"/>
              </w:rPr>
              <w:t>„</w:t>
            </w:r>
            <w:r>
              <w:rPr>
                <w:iCs/>
                <w:sz w:val="22"/>
                <w:szCs w:val="22"/>
              </w:rPr>
              <w:t>6.</w:t>
            </w:r>
            <w:r w:rsidR="00A81C1E">
              <w:rPr>
                <w:iCs/>
              </w:rPr>
              <w:t> </w:t>
            </w:r>
            <w:r w:rsidRPr="00946DF2">
              <w:rPr>
                <w:iCs/>
                <w:sz w:val="22"/>
                <w:szCs w:val="22"/>
              </w:rPr>
              <w:t xml:space="preserve">Kultūras ministrijai līdz </w:t>
            </w:r>
            <w:proofErr w:type="gramStart"/>
            <w:r w:rsidRPr="00946DF2">
              <w:rPr>
                <w:iCs/>
                <w:sz w:val="22"/>
                <w:szCs w:val="22"/>
              </w:rPr>
              <w:t>2021.gada</w:t>
            </w:r>
            <w:proofErr w:type="gramEnd"/>
            <w:r w:rsidRPr="00946DF2">
              <w:rPr>
                <w:iCs/>
                <w:sz w:val="22"/>
                <w:szCs w:val="22"/>
              </w:rPr>
              <w:t xml:space="preserve"> 20.jūnijam sagatavot un  iesniegt vienkāršoto paziņojumu „Par grozījumiem lietā SA.60528” Eiropas Komisijai lēmuma saņemšanai</w:t>
            </w:r>
            <w:r>
              <w:rPr>
                <w:iCs/>
                <w:sz w:val="22"/>
                <w:szCs w:val="22"/>
              </w:rPr>
              <w:t>.”</w:t>
            </w:r>
          </w:p>
          <w:p w:rsidR="00946DF2" w:rsidP="008C6B13" w:rsidRDefault="00946DF2" w14:paraId="4F1869EB" w14:textId="43CB005E">
            <w:pPr>
              <w:pStyle w:val="paragraph"/>
              <w:spacing w:before="0" w:beforeAutospacing="0" w:after="0" w:afterAutospacing="0"/>
              <w:ind w:left="57" w:right="57"/>
              <w:jc w:val="both"/>
              <w:textAlignment w:val="baseline"/>
              <w:rPr>
                <w:iCs/>
                <w:sz w:val="22"/>
                <w:szCs w:val="22"/>
              </w:rPr>
            </w:pPr>
          </w:p>
        </w:tc>
        <w:tc>
          <w:tcPr>
            <w:tcW w:w="1215" w:type="pct"/>
            <w:tcBorders>
              <w:top w:val="outset" w:color="414142" w:sz="6" w:space="0"/>
              <w:left w:val="outset" w:color="414142" w:sz="6" w:space="0"/>
              <w:bottom w:val="outset" w:color="414142" w:sz="6" w:space="0"/>
              <w:right w:val="outset" w:color="414142" w:sz="6" w:space="0"/>
            </w:tcBorders>
          </w:tcPr>
          <w:p w:rsidR="008E354D" w:rsidP="00EB5F38" w:rsidRDefault="008E354D" w14:paraId="5C9F3B62" w14:textId="77777777">
            <w:pPr>
              <w:spacing w:after="0" w:line="240" w:lineRule="auto"/>
              <w:ind w:left="57" w:right="57"/>
              <w:jc w:val="both"/>
              <w:rPr>
                <w:rFonts w:ascii="Times New Roman" w:hAnsi="Times New Roman" w:cs="Times New Roman"/>
                <w:b/>
                <w:bCs/>
              </w:rPr>
            </w:pPr>
            <w:r>
              <w:rPr>
                <w:rFonts w:ascii="Times New Roman" w:hAnsi="Times New Roman" w:cs="Times New Roman"/>
                <w:b/>
                <w:bCs/>
              </w:rPr>
              <w:lastRenderedPageBreak/>
              <w:t>Tieslietu ministrija:</w:t>
            </w:r>
          </w:p>
          <w:p w:rsidRPr="00946DF2" w:rsidR="008E354D" w:rsidP="00EB5F38" w:rsidRDefault="008E354D" w14:paraId="76A43023" w14:textId="17740A36">
            <w:pPr>
              <w:spacing w:after="0" w:line="240" w:lineRule="auto"/>
              <w:ind w:left="57" w:right="57"/>
              <w:jc w:val="both"/>
              <w:rPr>
                <w:rFonts w:ascii="Times New Roman" w:hAnsi="Times New Roman" w:cs="Times New Roman"/>
              </w:rPr>
            </w:pPr>
            <w:r w:rsidRPr="00946DF2">
              <w:rPr>
                <w:rFonts w:ascii="Times New Roman" w:hAnsi="Times New Roman" w:cs="Times New Roman"/>
              </w:rPr>
              <w:t xml:space="preserve">Lūdzam sniegt pamatotu skaidrojumu, nepieciešamības gadījumā papildinot lēmuma projektu, kā tiek nodrošināts, ka </w:t>
            </w:r>
            <w:r w:rsidRPr="00946DF2">
              <w:rPr>
                <w:rFonts w:ascii="Times New Roman" w:hAnsi="Times New Roman" w:cs="Times New Roman"/>
              </w:rPr>
              <w:lastRenderedPageBreak/>
              <w:t xml:space="preserve">atbilstoši lēmuma projekta 2. punktam Valsts </w:t>
            </w:r>
            <w:proofErr w:type="gramStart"/>
            <w:r w:rsidRPr="00946DF2">
              <w:rPr>
                <w:rFonts w:ascii="Times New Roman" w:hAnsi="Times New Roman" w:cs="Times New Roman"/>
              </w:rPr>
              <w:t>kultūrkapitāla fonda</w:t>
            </w:r>
            <w:proofErr w:type="gramEnd"/>
            <w:r w:rsidRPr="00946DF2">
              <w:rPr>
                <w:rFonts w:ascii="Times New Roman" w:hAnsi="Times New Roman" w:cs="Times New Roman"/>
              </w:rPr>
              <w:t xml:space="preserve"> mērķprogramma "Kultūras pasākumu rīkotāju biļešu kompensācija" pēc 2021. gada 30. jūnija tiek turpināta vienīgi gadījumā, ja saskaņā ar lēmuma projekta 6.punktu grozījumus attiecībā uz konkrētā komercdarbības atbalsta piešķiršanu apstiprina Eiropas Komisija (t.i., Eiropas Komisija pieņem atbilstošu lēmumu par grozījumiem lietā SA.60528). Kā arī lūdzam izvērtēt un nepieciešamības gadījumā lēmuma projektā atrunāt atbildīgo institūciju uzdevumus gadījumā, ja Eiropas Komisija grozījumus lietā SA.60528 neapstiprina.</w:t>
            </w:r>
          </w:p>
        </w:tc>
        <w:tc>
          <w:tcPr>
            <w:tcW w:w="1161" w:type="pct"/>
            <w:tcBorders>
              <w:top w:val="outset" w:color="414142" w:sz="6" w:space="0"/>
              <w:left w:val="outset" w:color="414142" w:sz="6" w:space="0"/>
              <w:bottom w:val="outset" w:color="414142" w:sz="6" w:space="0"/>
              <w:right w:val="outset" w:color="414142" w:sz="6" w:space="0"/>
            </w:tcBorders>
          </w:tcPr>
          <w:p w:rsidR="008E354D" w:rsidP="00EB5F38" w:rsidRDefault="00946DF2" w14:paraId="5E0625F1" w14:textId="77777777">
            <w:pPr>
              <w:spacing w:after="0" w:line="240" w:lineRule="auto"/>
              <w:ind w:left="57" w:right="57"/>
              <w:jc w:val="center"/>
              <w:rPr>
                <w:rFonts w:ascii="Times New Roman" w:hAnsi="Times New Roman" w:eastAsia="Times New Roman" w:cs="Times New Roman"/>
                <w:b/>
                <w:bCs/>
                <w:lang w:eastAsia="lv-LV"/>
              </w:rPr>
            </w:pPr>
            <w:r>
              <w:rPr>
                <w:rFonts w:ascii="Times New Roman" w:hAnsi="Times New Roman" w:eastAsia="Times New Roman" w:cs="Times New Roman"/>
                <w:b/>
                <w:bCs/>
                <w:lang w:eastAsia="lv-LV"/>
              </w:rPr>
              <w:lastRenderedPageBreak/>
              <w:t>Ņemts vērā</w:t>
            </w:r>
          </w:p>
          <w:p w:rsidRPr="00A81C1E" w:rsidR="00A81C1E" w:rsidP="00A81C1E" w:rsidRDefault="00A81C1E" w14:paraId="13D7B1C4" w14:textId="57F7232D">
            <w:pPr>
              <w:spacing w:after="0" w:line="240" w:lineRule="auto"/>
              <w:ind w:left="57" w:right="57"/>
              <w:jc w:val="both"/>
              <w:rPr>
                <w:rFonts w:ascii="Times New Roman" w:hAnsi="Times New Roman" w:cs="Times New Roman"/>
              </w:rPr>
            </w:pPr>
            <w:r w:rsidRPr="008C6B13">
              <w:rPr>
                <w:rFonts w:ascii="Times New Roman" w:hAnsi="Times New Roman" w:eastAsia="Times New Roman" w:cs="Times New Roman"/>
                <w:bCs/>
                <w:lang w:eastAsia="lv-LV"/>
              </w:rPr>
              <w:t xml:space="preserve">Kultūras ministrija </w:t>
            </w:r>
            <w:r>
              <w:rPr>
                <w:rFonts w:ascii="Times New Roman" w:hAnsi="Times New Roman" w:eastAsia="Times New Roman" w:cs="Times New Roman"/>
                <w:bCs/>
                <w:lang w:eastAsia="lv-LV"/>
              </w:rPr>
              <w:t>pa</w:t>
            </w:r>
            <w:r w:rsidRPr="008C6B13">
              <w:rPr>
                <w:rFonts w:ascii="Times New Roman" w:hAnsi="Times New Roman" w:eastAsia="Times New Roman" w:cs="Times New Roman"/>
                <w:bCs/>
                <w:lang w:eastAsia="lv-LV"/>
              </w:rPr>
              <w:t>skaidro</w:t>
            </w:r>
            <w:r>
              <w:rPr>
                <w:rFonts w:ascii="Times New Roman" w:hAnsi="Times New Roman" w:cs="Times New Roman"/>
              </w:rPr>
              <w:t>, ka a</w:t>
            </w:r>
            <w:r w:rsidRPr="00917294">
              <w:rPr>
                <w:rFonts w:ascii="Times New Roman" w:hAnsi="Times New Roman" w:cs="Times New Roman"/>
              </w:rPr>
              <w:t xml:space="preserve">tbalsta pasākums tiek pagarināts, ievērojot Eiropas Komisijas </w:t>
            </w:r>
            <w:proofErr w:type="gramStart"/>
            <w:r w:rsidRPr="00917294">
              <w:rPr>
                <w:rFonts w:ascii="Times New Roman" w:hAnsi="Times New Roman" w:cs="Times New Roman"/>
              </w:rPr>
              <w:t>2020.gada</w:t>
            </w:r>
            <w:proofErr w:type="gramEnd"/>
            <w:r w:rsidRPr="00917294">
              <w:rPr>
                <w:rFonts w:ascii="Times New Roman" w:hAnsi="Times New Roman" w:cs="Times New Roman"/>
              </w:rPr>
              <w:t xml:space="preserve"> 19.marta paziņojuma </w:t>
            </w:r>
            <w:r w:rsidRPr="00A81C1E">
              <w:rPr>
                <w:rFonts w:ascii="Times New Roman" w:hAnsi="Times New Roman" w:cs="Times New Roman"/>
              </w:rPr>
              <w:lastRenderedPageBreak/>
              <w:t>„</w:t>
            </w:r>
            <w:r w:rsidRPr="00917294">
              <w:rPr>
                <w:rFonts w:ascii="Times New Roman" w:hAnsi="Times New Roman" w:cs="Times New Roman"/>
              </w:rPr>
              <w:t>Pagaidu regulējums valsts atbalsta pasākumiem, ar ko atbalsta ekonomiku pašreizējā Covid-19 uzliesmojuma situācijā</w:t>
            </w:r>
            <w:r>
              <w:rPr>
                <w:rFonts w:ascii="Times New Roman" w:hAnsi="Times New Roman" w:cs="Times New Roman"/>
              </w:rPr>
              <w:t>”</w:t>
            </w:r>
            <w:r w:rsidRPr="00917294">
              <w:rPr>
                <w:rFonts w:ascii="Times New Roman" w:hAnsi="Times New Roman" w:cs="Times New Roman"/>
              </w:rPr>
              <w:t xml:space="preserve"> (C(2020)1863) </w:t>
            </w:r>
            <w:r>
              <w:rPr>
                <w:rFonts w:ascii="Times New Roman" w:hAnsi="Times New Roman" w:cs="Times New Roman"/>
              </w:rPr>
              <w:t xml:space="preserve">(turpmāk – </w:t>
            </w:r>
            <w:r w:rsidRPr="00917294">
              <w:rPr>
                <w:rFonts w:ascii="Times New Roman" w:hAnsi="Times New Roman" w:cs="Times New Roman"/>
              </w:rPr>
              <w:t>Pagaidu regulējum</w:t>
            </w:r>
            <w:r>
              <w:rPr>
                <w:rFonts w:ascii="Times New Roman" w:hAnsi="Times New Roman" w:cs="Times New Roman"/>
              </w:rPr>
              <w:t xml:space="preserve">s) </w:t>
            </w:r>
            <w:r w:rsidRPr="00917294">
              <w:rPr>
                <w:rFonts w:ascii="Times New Roman" w:hAnsi="Times New Roman" w:cs="Times New Roman"/>
              </w:rPr>
              <w:t>spēkā esamības beigu termiņu</w:t>
            </w:r>
            <w:r>
              <w:rPr>
                <w:rFonts w:ascii="Times New Roman" w:hAnsi="Times New Roman" w:cs="Times New Roman"/>
              </w:rPr>
              <w:t>,</w:t>
            </w:r>
            <w:r w:rsidRPr="00917294">
              <w:rPr>
                <w:rFonts w:ascii="Times New Roman" w:hAnsi="Times New Roman" w:cs="Times New Roman"/>
              </w:rPr>
              <w:t xml:space="preserve"> t.i.</w:t>
            </w:r>
            <w:r>
              <w:rPr>
                <w:rFonts w:ascii="Times New Roman" w:hAnsi="Times New Roman" w:cs="Times New Roman"/>
              </w:rPr>
              <w:t>,</w:t>
            </w:r>
            <w:r w:rsidRPr="00917294">
              <w:rPr>
                <w:rFonts w:ascii="Times New Roman" w:hAnsi="Times New Roman" w:cs="Times New Roman"/>
              </w:rPr>
              <w:t xml:space="preserve"> līdz 2021.gad</w:t>
            </w:r>
            <w:r>
              <w:rPr>
                <w:rFonts w:ascii="Times New Roman" w:hAnsi="Times New Roman" w:cs="Times New Roman"/>
              </w:rPr>
              <w:t>a</w:t>
            </w:r>
            <w:r w:rsidRPr="00917294">
              <w:rPr>
                <w:rFonts w:ascii="Times New Roman" w:hAnsi="Times New Roman" w:cs="Times New Roman"/>
              </w:rPr>
              <w:t xml:space="preserve"> 31.decembrim.</w:t>
            </w:r>
            <w:r>
              <w:rPr>
                <w:rFonts w:ascii="Times New Roman" w:hAnsi="Times New Roman" w:cs="Times New Roman"/>
              </w:rPr>
              <w:t xml:space="preserve"> </w:t>
            </w:r>
            <w:r w:rsidRPr="00917294">
              <w:rPr>
                <w:rFonts w:ascii="Times New Roman" w:hAnsi="Times New Roman" w:cs="Times New Roman"/>
              </w:rPr>
              <w:t>Gadījumā, ja Eiropas Komisija grozījumus lietā SA.60528 neapstiprina, atbalsts nevar tiks sniegts, bet</w:t>
            </w:r>
            <w:r>
              <w:rPr>
                <w:rFonts w:ascii="Times New Roman" w:hAnsi="Times New Roman" w:cs="Times New Roman"/>
              </w:rPr>
              <w:t xml:space="preserve"> </w:t>
            </w:r>
            <w:r w:rsidRPr="00917294">
              <w:rPr>
                <w:rFonts w:ascii="Times New Roman" w:hAnsi="Times New Roman" w:cs="Times New Roman"/>
              </w:rPr>
              <w:t>šāds risks ir minimāls, ņemot vērā, ka</w:t>
            </w:r>
            <w:r>
              <w:rPr>
                <w:rFonts w:ascii="Times New Roman" w:hAnsi="Times New Roman" w:cs="Times New Roman"/>
              </w:rPr>
              <w:t xml:space="preserve"> Eiropas Komisija šādu atbalstu jau ir saskaņojusi,</w:t>
            </w:r>
            <w:r w:rsidRPr="00917294">
              <w:rPr>
                <w:rFonts w:ascii="Times New Roman" w:hAnsi="Times New Roman" w:cs="Times New Roman"/>
              </w:rPr>
              <w:t xml:space="preserve"> </w:t>
            </w:r>
            <w:r>
              <w:rPr>
                <w:rFonts w:ascii="Times New Roman" w:hAnsi="Times New Roman" w:cs="Times New Roman"/>
              </w:rPr>
              <w:t xml:space="preserve">grozījumi pēc būtības attiecas tikai uz </w:t>
            </w:r>
            <w:r w:rsidRPr="00917294">
              <w:rPr>
                <w:rFonts w:ascii="Times New Roman" w:hAnsi="Times New Roman" w:cs="Times New Roman"/>
              </w:rPr>
              <w:t xml:space="preserve">atbalsta termiņa </w:t>
            </w:r>
            <w:r>
              <w:rPr>
                <w:rFonts w:ascii="Times New Roman" w:hAnsi="Times New Roman" w:cs="Times New Roman"/>
              </w:rPr>
              <w:t xml:space="preserve">pagarinājumu, </w:t>
            </w:r>
            <w:r w:rsidRPr="00917294">
              <w:rPr>
                <w:rFonts w:ascii="Times New Roman" w:hAnsi="Times New Roman" w:cs="Times New Roman"/>
              </w:rPr>
              <w:t xml:space="preserve">grozījumi tiek saskaņoti kā vienkāršotais paziņojums </w:t>
            </w:r>
            <w:r>
              <w:rPr>
                <w:rFonts w:ascii="Times New Roman" w:hAnsi="Times New Roman" w:cs="Times New Roman"/>
              </w:rPr>
              <w:t xml:space="preserve">Eiropas Komisijas </w:t>
            </w:r>
            <w:r w:rsidRPr="00917294">
              <w:rPr>
                <w:rFonts w:ascii="Times New Roman" w:hAnsi="Times New Roman" w:cs="Times New Roman"/>
              </w:rPr>
              <w:t>elektronisk</w:t>
            </w:r>
            <w:r>
              <w:rPr>
                <w:rFonts w:ascii="Times New Roman" w:hAnsi="Times New Roman" w:cs="Times New Roman"/>
              </w:rPr>
              <w:t>ajā</w:t>
            </w:r>
            <w:r w:rsidRPr="00917294">
              <w:rPr>
                <w:rFonts w:ascii="Times New Roman" w:hAnsi="Times New Roman" w:cs="Times New Roman"/>
              </w:rPr>
              <w:t xml:space="preserve"> sistēmā SANI2, turklāt atbalsta sniegšanas termiņš nepārsniedz Pagaidu regulējumā noteikto termiņu</w:t>
            </w:r>
            <w:r>
              <w:rPr>
                <w:rFonts w:ascii="Times New Roman" w:hAnsi="Times New Roman" w:cs="Times New Roman"/>
              </w:rPr>
              <w:t>.</w:t>
            </w:r>
          </w:p>
        </w:tc>
        <w:tc>
          <w:tcPr>
            <w:tcW w:w="1200" w:type="pct"/>
            <w:tcBorders>
              <w:top w:val="outset" w:color="414142" w:sz="6" w:space="0"/>
              <w:left w:val="outset" w:color="414142" w:sz="6" w:space="0"/>
              <w:bottom w:val="outset" w:color="414142" w:sz="6" w:space="0"/>
              <w:right w:val="outset" w:color="414142" w:sz="6" w:space="0"/>
            </w:tcBorders>
          </w:tcPr>
          <w:p w:rsidR="00A81C1E" w:rsidP="00A81C1E" w:rsidRDefault="00A81C1E" w14:paraId="38E9B08E" w14:textId="2CBDB2B1">
            <w:pPr>
              <w:pStyle w:val="paragraph"/>
              <w:spacing w:before="0" w:beforeAutospacing="0" w:after="0" w:afterAutospacing="0"/>
              <w:ind w:left="57" w:right="57"/>
              <w:jc w:val="both"/>
              <w:textAlignment w:val="baseline"/>
              <w:rPr>
                <w:iCs/>
                <w:sz w:val="22"/>
                <w:szCs w:val="22"/>
              </w:rPr>
            </w:pPr>
            <w:r>
              <w:rPr>
                <w:iCs/>
                <w:sz w:val="22"/>
                <w:szCs w:val="22"/>
              </w:rPr>
              <w:lastRenderedPageBreak/>
              <w:t>Informatīvais ziņojums un protokollēmuma projekta 2. un 5.punkts:</w:t>
            </w:r>
          </w:p>
          <w:p w:rsidR="00A81C1E" w:rsidP="00A81C1E" w:rsidRDefault="00A81C1E" w14:paraId="782702F6" w14:textId="77777777">
            <w:pPr>
              <w:pStyle w:val="paragraph"/>
              <w:spacing w:before="0" w:beforeAutospacing="0" w:after="0" w:afterAutospacing="0"/>
              <w:ind w:left="57" w:right="57"/>
              <w:jc w:val="both"/>
              <w:textAlignment w:val="baseline"/>
              <w:rPr>
                <w:iCs/>
                <w:sz w:val="22"/>
                <w:szCs w:val="22"/>
              </w:rPr>
            </w:pPr>
          </w:p>
          <w:p w:rsidR="00A81C1E" w:rsidP="00A81C1E" w:rsidRDefault="00A81C1E" w14:paraId="0BA98D3C" w14:textId="77777777">
            <w:pPr>
              <w:pStyle w:val="paragraph"/>
              <w:spacing w:before="0" w:beforeAutospacing="0" w:after="0" w:afterAutospacing="0"/>
              <w:ind w:left="57" w:right="57"/>
              <w:jc w:val="both"/>
              <w:textAlignment w:val="baseline"/>
              <w:rPr>
                <w:iCs/>
                <w:sz w:val="22"/>
                <w:szCs w:val="22"/>
              </w:rPr>
            </w:pPr>
            <w:r w:rsidRPr="00EB5F38">
              <w:rPr>
                <w:iCs/>
                <w:sz w:val="22"/>
                <w:szCs w:val="22"/>
              </w:rPr>
              <w:lastRenderedPageBreak/>
              <w:t>„</w:t>
            </w:r>
            <w:r>
              <w:rPr>
                <w:iCs/>
                <w:sz w:val="22"/>
                <w:szCs w:val="22"/>
              </w:rPr>
              <w:t xml:space="preserve">2. </w:t>
            </w:r>
            <w:r w:rsidRPr="00C01345">
              <w:rPr>
                <w:iCs/>
                <w:sz w:val="22"/>
                <w:szCs w:val="22"/>
              </w:rPr>
              <w:t xml:space="preserve">Atbalstīt Kultūras ministrijas priekšlikumu par </w:t>
            </w:r>
            <w:r w:rsidRPr="00C01345">
              <w:rPr>
                <w:sz w:val="22"/>
                <w:szCs w:val="22"/>
              </w:rPr>
              <w:t xml:space="preserve">Valsts kultūrkapitāla fonda </w:t>
            </w:r>
            <w:r w:rsidRPr="007476AE">
              <w:rPr>
                <w:sz w:val="22"/>
                <w:szCs w:val="22"/>
              </w:rPr>
              <w:t>mērķprogrammas „Kultūras pasākumu rīkotāju biļešu kompensācija”</w:t>
            </w:r>
            <w:r>
              <w:rPr>
                <w:sz w:val="22"/>
                <w:szCs w:val="22"/>
              </w:rPr>
              <w:t xml:space="preserve"> </w:t>
            </w:r>
            <w:r w:rsidRPr="00C01345">
              <w:rPr>
                <w:iCs/>
                <w:sz w:val="22"/>
                <w:szCs w:val="22"/>
              </w:rPr>
              <w:t xml:space="preserve">turpināšanu līdz </w:t>
            </w:r>
            <w:proofErr w:type="gramStart"/>
            <w:r w:rsidRPr="00C01345">
              <w:rPr>
                <w:iCs/>
                <w:sz w:val="22"/>
                <w:szCs w:val="22"/>
              </w:rPr>
              <w:t>2021.gada</w:t>
            </w:r>
            <w:proofErr w:type="gramEnd"/>
            <w:r w:rsidRPr="00C01345">
              <w:rPr>
                <w:iCs/>
                <w:sz w:val="22"/>
                <w:szCs w:val="22"/>
              </w:rPr>
              <w:t xml:space="preserve"> 31.decembrim.</w:t>
            </w:r>
            <w:r>
              <w:rPr>
                <w:iCs/>
                <w:sz w:val="22"/>
                <w:szCs w:val="22"/>
              </w:rPr>
              <w:t>”</w:t>
            </w:r>
          </w:p>
          <w:p w:rsidR="00A81C1E" w:rsidP="00A81C1E" w:rsidRDefault="00A81C1E" w14:paraId="029BDFA3" w14:textId="77777777">
            <w:pPr>
              <w:pStyle w:val="paragraph"/>
              <w:spacing w:before="0" w:beforeAutospacing="0" w:after="0" w:afterAutospacing="0"/>
              <w:ind w:left="57" w:right="57"/>
              <w:jc w:val="both"/>
              <w:textAlignment w:val="baseline"/>
              <w:rPr>
                <w:iCs/>
                <w:sz w:val="22"/>
                <w:szCs w:val="22"/>
              </w:rPr>
            </w:pPr>
          </w:p>
          <w:p w:rsidR="00A81C1E" w:rsidP="00A81C1E" w:rsidRDefault="00A81C1E" w14:paraId="30DF2378" w14:textId="7C4AEEF2">
            <w:pPr>
              <w:pStyle w:val="paragraph"/>
              <w:spacing w:before="0" w:beforeAutospacing="0" w:after="0" w:afterAutospacing="0"/>
              <w:ind w:left="57" w:right="57"/>
              <w:jc w:val="both"/>
              <w:textAlignment w:val="baseline"/>
              <w:rPr>
                <w:iCs/>
                <w:sz w:val="22"/>
                <w:szCs w:val="22"/>
              </w:rPr>
            </w:pPr>
            <w:r w:rsidRPr="00EB5F38">
              <w:rPr>
                <w:iCs/>
                <w:sz w:val="22"/>
                <w:szCs w:val="22"/>
              </w:rPr>
              <w:t>„</w:t>
            </w:r>
            <w:r>
              <w:rPr>
                <w:iCs/>
                <w:sz w:val="22"/>
                <w:szCs w:val="22"/>
              </w:rPr>
              <w:t>5.</w:t>
            </w:r>
            <w:r>
              <w:rPr>
                <w:iCs/>
              </w:rPr>
              <w:t> </w:t>
            </w:r>
            <w:r w:rsidRPr="00946DF2">
              <w:rPr>
                <w:iCs/>
                <w:sz w:val="22"/>
                <w:szCs w:val="22"/>
              </w:rPr>
              <w:t xml:space="preserve">Kultūras ministrijai </w:t>
            </w:r>
            <w:r w:rsidRPr="00A81C1E">
              <w:rPr>
                <w:iCs/>
                <w:sz w:val="22"/>
                <w:szCs w:val="22"/>
              </w:rPr>
              <w:t xml:space="preserve">trīs darba dienu laikā pēc informatīvā ziņojuma izskatīšanas Ministru kabinetā </w:t>
            </w:r>
            <w:r w:rsidRPr="00946DF2">
              <w:rPr>
                <w:iCs/>
                <w:sz w:val="22"/>
                <w:szCs w:val="22"/>
              </w:rPr>
              <w:t>sagatavot un iesniegt vienkāršoto paziņojumu „Par grozījumiem lietā SA.60528” Eiropas Komisijai lēmuma saņemšanai</w:t>
            </w:r>
            <w:r>
              <w:rPr>
                <w:iCs/>
                <w:sz w:val="22"/>
                <w:szCs w:val="22"/>
              </w:rPr>
              <w:t>.”</w:t>
            </w:r>
          </w:p>
          <w:p w:rsidRPr="00917294" w:rsidR="008E354D" w:rsidP="00A81C1E" w:rsidRDefault="008E354D" w14:paraId="54CB7A34" w14:textId="70F06BC9">
            <w:pPr>
              <w:spacing w:after="0" w:line="240" w:lineRule="auto"/>
              <w:ind w:left="57" w:right="57"/>
              <w:jc w:val="both"/>
              <w:rPr>
                <w:rFonts w:ascii="Times New Roman" w:hAnsi="Times New Roman" w:eastAsia="Times New Roman" w:cs="Times New Roman"/>
                <w:lang w:eastAsia="lv-LV"/>
              </w:rPr>
            </w:pPr>
          </w:p>
        </w:tc>
      </w:tr>
    </w:tbl>
    <w:p w:rsidR="002869DF" w:rsidP="00C01345" w:rsidRDefault="002869DF" w14:paraId="7408FB7E" w14:textId="0BB190B5">
      <w:pPr>
        <w:shd w:val="clear" w:color="auto" w:fill="FFFFFF"/>
        <w:spacing w:after="0" w:line="240" w:lineRule="auto"/>
        <w:rPr>
          <w:rFonts w:ascii="Times New Roman" w:hAnsi="Times New Roman" w:eastAsia="Times New Roman" w:cs="Times New Roman"/>
          <w:lang w:eastAsia="lv-LV"/>
        </w:rPr>
      </w:pPr>
    </w:p>
    <w:p w:rsidR="00A81C1E" w:rsidP="00C01345" w:rsidRDefault="00A81C1E" w14:paraId="36091A64" w14:textId="77777777">
      <w:pPr>
        <w:shd w:val="clear" w:color="auto" w:fill="FFFFFF"/>
        <w:spacing w:after="0" w:line="240" w:lineRule="auto"/>
        <w:rPr>
          <w:rFonts w:ascii="Times New Roman" w:hAnsi="Times New Roman" w:eastAsia="Times New Roman" w:cs="Times New Roman"/>
          <w:lang w:eastAsia="lv-LV"/>
        </w:rPr>
      </w:pPr>
    </w:p>
    <w:p w:rsidRPr="00FD0303" w:rsidR="00FD0303" w:rsidP="00FD0303" w:rsidRDefault="00FD0303" w14:paraId="3898AF44" w14:textId="1F1296ED">
      <w:pPr>
        <w:spacing w:after="0" w:line="240" w:lineRule="auto"/>
        <w:jc w:val="both"/>
        <w:rPr>
          <w:rFonts w:ascii="Times New Roman" w:hAnsi="Times New Roman" w:eastAsia="Times New Roman" w:cs="Times New Roman"/>
          <w:sz w:val="20"/>
          <w:szCs w:val="20"/>
          <w:lang w:eastAsia="lv-LV"/>
        </w:rPr>
      </w:pPr>
      <w:r w:rsidRPr="00FD0303">
        <w:rPr>
          <w:rFonts w:ascii="Times New Roman" w:hAnsi="Times New Roman" w:eastAsia="Times New Roman" w:cs="Times New Roman"/>
          <w:sz w:val="20"/>
          <w:szCs w:val="20"/>
          <w:lang w:eastAsia="lv-LV"/>
        </w:rPr>
        <w:t>Baiba Zakevica</w:t>
      </w:r>
    </w:p>
    <w:p w:rsidRPr="00FD0303" w:rsidR="00FD0303" w:rsidP="00FD0303" w:rsidRDefault="00FD0303" w14:paraId="54889D9E" w14:textId="77777777">
      <w:pPr>
        <w:shd w:val="clear" w:color="auto" w:fill="FFFFFF"/>
        <w:spacing w:after="0" w:line="240" w:lineRule="auto"/>
        <w:rPr>
          <w:rFonts w:ascii="Times New Roman" w:hAnsi="Times New Roman" w:eastAsia="Times New Roman" w:cs="Times New Roman"/>
          <w:sz w:val="20"/>
          <w:szCs w:val="20"/>
          <w:lang w:eastAsia="lv-LV"/>
        </w:rPr>
      </w:pPr>
      <w:r w:rsidRPr="00FD0303">
        <w:rPr>
          <w:rFonts w:ascii="Times New Roman" w:hAnsi="Times New Roman" w:eastAsia="Times New Roman" w:cs="Times New Roman"/>
          <w:sz w:val="20"/>
          <w:szCs w:val="20"/>
          <w:lang w:eastAsia="lv-LV"/>
        </w:rPr>
        <w:t xml:space="preserve">Kultūras ministrijas </w:t>
      </w:r>
    </w:p>
    <w:p w:rsidR="00BF171E" w:rsidP="00FD0303" w:rsidRDefault="00985736" w14:paraId="40CDE5BA" w14:textId="25399553">
      <w:pPr>
        <w:shd w:val="clear" w:color="auto" w:fill="FFFFFF"/>
        <w:spacing w:after="0" w:line="240" w:lineRule="auto"/>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v</w:t>
      </w:r>
      <w:r w:rsidRPr="00FD0303" w:rsidR="00FD0303">
        <w:rPr>
          <w:rFonts w:ascii="Times New Roman" w:hAnsi="Times New Roman" w:eastAsia="Times New Roman" w:cs="Times New Roman"/>
          <w:sz w:val="20"/>
          <w:szCs w:val="20"/>
          <w:lang w:eastAsia="lv-LV"/>
        </w:rPr>
        <w:t xml:space="preserve">alsts sekretāra vietniece </w:t>
      </w:r>
    </w:p>
    <w:p w:rsidRPr="00FD0303" w:rsidR="00FD0303" w:rsidP="00FD0303" w:rsidRDefault="00FD0303" w14:paraId="416347E7" w14:textId="7AAC588C">
      <w:pPr>
        <w:shd w:val="clear" w:color="auto" w:fill="FFFFFF"/>
        <w:spacing w:after="0" w:line="240" w:lineRule="auto"/>
        <w:rPr>
          <w:rFonts w:ascii="Times New Roman" w:hAnsi="Times New Roman" w:eastAsia="Times New Roman" w:cs="Times New Roman"/>
          <w:sz w:val="20"/>
          <w:szCs w:val="20"/>
          <w:lang w:eastAsia="lv-LV"/>
        </w:rPr>
      </w:pPr>
      <w:r w:rsidRPr="00FD0303">
        <w:rPr>
          <w:rFonts w:ascii="Times New Roman" w:hAnsi="Times New Roman" w:eastAsia="Times New Roman" w:cs="Times New Roman"/>
          <w:sz w:val="20"/>
          <w:szCs w:val="20"/>
          <w:lang w:eastAsia="lv-LV"/>
        </w:rPr>
        <w:t>attīstības un finanšu jautājumos</w:t>
      </w:r>
    </w:p>
    <w:p w:rsidRPr="00BF171E" w:rsidR="00FD0303" w:rsidP="008C6B13" w:rsidRDefault="00FD0303" w14:paraId="30BDC4D7" w14:textId="35F2D595">
      <w:pPr>
        <w:tabs>
          <w:tab w:val="center" w:pos="4153"/>
          <w:tab w:val="right" w:pos="8306"/>
        </w:tabs>
        <w:spacing w:after="0" w:line="240" w:lineRule="auto"/>
        <w:rPr>
          <w:rFonts w:ascii="Times New Roman" w:hAnsi="Times New Roman" w:eastAsia="Times New Roman" w:cs="Times New Roman"/>
          <w:vanish/>
          <w:sz w:val="20"/>
          <w:szCs w:val="20"/>
          <w:lang w:eastAsia="lv-LV"/>
        </w:rPr>
      </w:pPr>
      <w:r w:rsidRPr="00FD0303">
        <w:rPr>
          <w:rFonts w:ascii="Times New Roman" w:hAnsi="Times New Roman" w:eastAsia="Times New Roman" w:cs="Times New Roman"/>
          <w:sz w:val="20"/>
          <w:szCs w:val="20"/>
          <w:lang w:eastAsia="lv-LV"/>
        </w:rPr>
        <w:t>Tālr.</w:t>
      </w:r>
      <w:r w:rsidR="00BF171E">
        <w:rPr>
          <w:rFonts w:ascii="Times New Roman" w:hAnsi="Times New Roman" w:eastAsia="Times New Roman" w:cs="Times New Roman"/>
          <w:sz w:val="20"/>
          <w:szCs w:val="20"/>
          <w:lang w:eastAsia="lv-LV"/>
        </w:rPr>
        <w:t xml:space="preserve"> </w:t>
      </w:r>
      <w:r w:rsidRPr="00FD0303">
        <w:rPr>
          <w:rFonts w:ascii="Times New Roman" w:hAnsi="Times New Roman" w:eastAsia="Times New Roman" w:cs="Times New Roman"/>
          <w:sz w:val="20"/>
          <w:szCs w:val="20"/>
          <w:lang w:eastAsia="lv-LV"/>
        </w:rPr>
        <w:t xml:space="preserve">67330260; </w:t>
      </w:r>
      <w:hyperlink w:history="1" r:id="rId7">
        <w:r w:rsidRPr="00FD0303">
          <w:rPr>
            <w:rStyle w:val="Hipersaite"/>
            <w:rFonts w:ascii="Times New Roman" w:hAnsi="Times New Roman" w:cs="Times New Roman"/>
            <w:sz w:val="20"/>
            <w:szCs w:val="20"/>
          </w:rPr>
          <w:t>Baiba.Zakevica@km.gov.l</w:t>
        </w:r>
        <w:r w:rsidRPr="00FD0303">
          <w:rPr>
            <w:rStyle w:val="Hipersaite"/>
            <w:rFonts w:ascii="Times New Roman" w:hAnsi="Times New Roman" w:eastAsia="Times New Roman" w:cs="Times New Roman"/>
            <w:sz w:val="20"/>
            <w:szCs w:val="20"/>
            <w:lang w:eastAsia="lv-LV"/>
          </w:rPr>
          <w:t>v</w:t>
        </w:r>
      </w:hyperlink>
    </w:p>
    <w:sectPr w:rsidRPr="00BF171E" w:rsidR="00FD0303" w:rsidSect="00A81C1E">
      <w:headerReference w:type="default" r:id="rId8"/>
      <w:footerReference w:type="default" r:id="rId9"/>
      <w:footerReference w:type="first" r:id="rId10"/>
      <w:pgSz w:w="16838" w:h="11906" w:orient="landscape"/>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CC969" w14:textId="77777777" w:rsidR="00D91D34" w:rsidRDefault="00D91D34" w:rsidP="00D23767">
      <w:pPr>
        <w:spacing w:after="0" w:line="240" w:lineRule="auto"/>
      </w:pPr>
      <w:r>
        <w:separator/>
      </w:r>
    </w:p>
  </w:endnote>
  <w:endnote w:type="continuationSeparator" w:id="0">
    <w:p w14:paraId="78AC23E8" w14:textId="77777777" w:rsidR="00D91D34" w:rsidRDefault="00D91D34" w:rsidP="00D2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A6A2" w14:textId="4427CDBE" w:rsidR="00FD0303" w:rsidRPr="00FD0303" w:rsidRDefault="00CE6076">
    <w:pPr>
      <w:pStyle w:val="Kjene"/>
      <w:rPr>
        <w:rFonts w:ascii="Times New Roman" w:hAnsi="Times New Roman" w:cs="Times New Roman"/>
        <w:sz w:val="20"/>
        <w:szCs w:val="20"/>
      </w:rPr>
    </w:pPr>
    <w:r>
      <w:rPr>
        <w:rFonts w:ascii="Times New Roman" w:hAnsi="Times New Roman" w:cs="Times New Roman"/>
        <w:sz w:val="20"/>
        <w:szCs w:val="20"/>
      </w:rPr>
      <w:t>K</w:t>
    </w:r>
    <w:r w:rsidR="00FD0303" w:rsidRPr="00FD0303">
      <w:rPr>
        <w:rFonts w:ascii="Times New Roman" w:hAnsi="Times New Roman" w:cs="Times New Roman"/>
        <w:sz w:val="20"/>
        <w:szCs w:val="20"/>
      </w:rPr>
      <w:t>MIzz_020621_bilesu_komp_pagarinajums_Covid19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B8D1" w14:textId="52239237" w:rsidR="00FD0303" w:rsidRPr="00FD0303" w:rsidRDefault="00CE6076">
    <w:pPr>
      <w:pStyle w:val="Kjene"/>
      <w:rPr>
        <w:rFonts w:ascii="Times New Roman" w:hAnsi="Times New Roman" w:cs="Times New Roman"/>
        <w:sz w:val="20"/>
        <w:szCs w:val="20"/>
      </w:rPr>
    </w:pPr>
    <w:r>
      <w:rPr>
        <w:rFonts w:ascii="Times New Roman" w:hAnsi="Times New Roman" w:cs="Times New Roman"/>
        <w:sz w:val="20"/>
        <w:szCs w:val="20"/>
      </w:rPr>
      <w:t>K</w:t>
    </w:r>
    <w:r w:rsidR="00FD0303" w:rsidRPr="00FD0303">
      <w:rPr>
        <w:rFonts w:ascii="Times New Roman" w:hAnsi="Times New Roman" w:cs="Times New Roman"/>
        <w:sz w:val="20"/>
        <w:szCs w:val="20"/>
      </w:rPr>
      <w:t>MIzz_020621_bilesu_komp_pagarinajums_Covid19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0CA71" w14:textId="77777777" w:rsidR="00D91D34" w:rsidRDefault="00D91D34" w:rsidP="00D23767">
      <w:pPr>
        <w:spacing w:after="0" w:line="240" w:lineRule="auto"/>
      </w:pPr>
      <w:r>
        <w:separator/>
      </w:r>
    </w:p>
  </w:footnote>
  <w:footnote w:type="continuationSeparator" w:id="0">
    <w:p w14:paraId="0052EB74" w14:textId="77777777" w:rsidR="00D91D34" w:rsidRDefault="00D91D34" w:rsidP="00D2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9103746"/>
      <w:docPartObj>
        <w:docPartGallery w:val="Page Numbers (Top of Page)"/>
        <w:docPartUnique/>
      </w:docPartObj>
    </w:sdtPr>
    <w:sdtEndPr/>
    <w:sdtContent>
      <w:p w:rsidRPr="00FD0303" w:rsidR="00FD0303" w:rsidP="00FD0303" w:rsidRDefault="00FD0303" w14:paraId="4CF94F4C" w14:textId="514B1231">
        <w:pPr>
          <w:pStyle w:val="Galvene"/>
          <w:jc w:val="center"/>
          <w:rPr>
            <w:rFonts w:ascii="Times New Roman" w:hAnsi="Times New Roman" w:cs="Times New Roman"/>
          </w:rPr>
        </w:pPr>
        <w:r w:rsidRPr="00FD0303">
          <w:rPr>
            <w:rFonts w:ascii="Times New Roman" w:hAnsi="Times New Roman" w:cs="Times New Roman"/>
          </w:rPr>
          <w:fldChar w:fldCharType="begin"/>
        </w:r>
        <w:r w:rsidRPr="00FD0303">
          <w:rPr>
            <w:rFonts w:ascii="Times New Roman" w:hAnsi="Times New Roman" w:cs="Times New Roman"/>
          </w:rPr>
          <w:instrText>PAGE   \* MERGEFORMAT</w:instrText>
        </w:r>
        <w:r w:rsidRPr="00FD0303">
          <w:rPr>
            <w:rFonts w:ascii="Times New Roman" w:hAnsi="Times New Roman" w:cs="Times New Roman"/>
          </w:rPr>
          <w:fldChar w:fldCharType="separate"/>
        </w:r>
        <w:r w:rsidRPr="00FD0303">
          <w:rPr>
            <w:rFonts w:ascii="Times New Roman" w:hAnsi="Times New Roman" w:cs="Times New Roman"/>
          </w:rPr>
          <w:t>2</w:t>
        </w:r>
        <w:r w:rsidRPr="00FD030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319"/>
    <w:multiLevelType w:val="hybridMultilevel"/>
    <w:tmpl w:val="261A05AC"/>
    <w:lvl w:ilvl="0" w:tplc="2820D006">
      <w:start w:val="6"/>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 w15:restartNumberingAfterBreak="0">
    <w:nsid w:val="14ED7FD6"/>
    <w:multiLevelType w:val="hybridMultilevel"/>
    <w:tmpl w:val="B50E5E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FC6D4E"/>
    <w:multiLevelType w:val="hybridMultilevel"/>
    <w:tmpl w:val="3894E4C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B4A3B4D"/>
    <w:multiLevelType w:val="hybridMultilevel"/>
    <w:tmpl w:val="261A05AC"/>
    <w:lvl w:ilvl="0" w:tplc="2820D006">
      <w:start w:val="6"/>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43A00475"/>
    <w:multiLevelType w:val="hybridMultilevel"/>
    <w:tmpl w:val="0C240EA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2F4129"/>
    <w:multiLevelType w:val="hybridMultilevel"/>
    <w:tmpl w:val="1A00B4B2"/>
    <w:lvl w:ilvl="0" w:tplc="0426000B">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6F932CC0"/>
    <w:multiLevelType w:val="hybridMultilevel"/>
    <w:tmpl w:val="952898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B260A6"/>
    <w:multiLevelType w:val="hybridMultilevel"/>
    <w:tmpl w:val="F232E7B2"/>
    <w:lvl w:ilvl="0" w:tplc="0DFCE612">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7DBD0A00"/>
    <w:multiLevelType w:val="hybridMultilevel"/>
    <w:tmpl w:val="885C95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8"/>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E2"/>
    <w:rsid w:val="000B5035"/>
    <w:rsid w:val="00124171"/>
    <w:rsid w:val="001B0752"/>
    <w:rsid w:val="001F606F"/>
    <w:rsid w:val="00226461"/>
    <w:rsid w:val="002869DF"/>
    <w:rsid w:val="00295C33"/>
    <w:rsid w:val="002D7475"/>
    <w:rsid w:val="00351CC3"/>
    <w:rsid w:val="00382C6A"/>
    <w:rsid w:val="003E4C8A"/>
    <w:rsid w:val="00462A4B"/>
    <w:rsid w:val="004630F0"/>
    <w:rsid w:val="00491872"/>
    <w:rsid w:val="00567DD1"/>
    <w:rsid w:val="005D2A4F"/>
    <w:rsid w:val="0060038C"/>
    <w:rsid w:val="00623441"/>
    <w:rsid w:val="00647CCD"/>
    <w:rsid w:val="00676F2C"/>
    <w:rsid w:val="00681C4C"/>
    <w:rsid w:val="00716745"/>
    <w:rsid w:val="00717E4C"/>
    <w:rsid w:val="007476AE"/>
    <w:rsid w:val="007970A0"/>
    <w:rsid w:val="007A32A6"/>
    <w:rsid w:val="007B7ACF"/>
    <w:rsid w:val="008C6B13"/>
    <w:rsid w:val="008E354D"/>
    <w:rsid w:val="00917294"/>
    <w:rsid w:val="00946DF2"/>
    <w:rsid w:val="00985736"/>
    <w:rsid w:val="009A0886"/>
    <w:rsid w:val="00A065DD"/>
    <w:rsid w:val="00A07E3A"/>
    <w:rsid w:val="00A36D1D"/>
    <w:rsid w:val="00A81C1E"/>
    <w:rsid w:val="00AB3AD1"/>
    <w:rsid w:val="00AC4B51"/>
    <w:rsid w:val="00AC5F87"/>
    <w:rsid w:val="00BC1F8D"/>
    <w:rsid w:val="00BF171E"/>
    <w:rsid w:val="00C01345"/>
    <w:rsid w:val="00C464CD"/>
    <w:rsid w:val="00C626D7"/>
    <w:rsid w:val="00CD16E2"/>
    <w:rsid w:val="00CD633B"/>
    <w:rsid w:val="00CE6076"/>
    <w:rsid w:val="00D12A82"/>
    <w:rsid w:val="00D23767"/>
    <w:rsid w:val="00D43238"/>
    <w:rsid w:val="00D66FB7"/>
    <w:rsid w:val="00D91D34"/>
    <w:rsid w:val="00D96C87"/>
    <w:rsid w:val="00DB47DB"/>
    <w:rsid w:val="00E63A92"/>
    <w:rsid w:val="00E94375"/>
    <w:rsid w:val="00EB55E1"/>
    <w:rsid w:val="00EB5F38"/>
    <w:rsid w:val="00F23845"/>
    <w:rsid w:val="00F40112"/>
    <w:rsid w:val="00F416DD"/>
    <w:rsid w:val="00F96E18"/>
    <w:rsid w:val="00FD0303"/>
    <w:rsid w:val="00FE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6185"/>
  <w15:chartTrackingRefBased/>
  <w15:docId w15:val="{1AF867EE-FA88-48FC-BF8E-D6B3DE7B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D2376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23767"/>
    <w:rPr>
      <w:sz w:val="20"/>
      <w:szCs w:val="20"/>
      <w:lang w:val="lv-LV"/>
    </w:rPr>
  </w:style>
  <w:style w:type="character" w:styleId="Vresatsauce">
    <w:name w:val="footnote reference"/>
    <w:uiPriority w:val="99"/>
    <w:semiHidden/>
    <w:unhideWhenUsed/>
    <w:rsid w:val="00D23767"/>
    <w:rPr>
      <w:vertAlign w:val="superscript"/>
    </w:rPr>
  </w:style>
  <w:style w:type="paragraph" w:styleId="Sarakstarindkopa">
    <w:name w:val="List Paragraph"/>
    <w:basedOn w:val="Parasts"/>
    <w:uiPriority w:val="34"/>
    <w:qFormat/>
    <w:rsid w:val="002D7475"/>
    <w:pPr>
      <w:ind w:left="720"/>
      <w:contextualSpacing/>
    </w:pPr>
  </w:style>
  <w:style w:type="paragraph" w:customStyle="1" w:styleId="paragraph">
    <w:name w:val="paragraph"/>
    <w:basedOn w:val="Parasts"/>
    <w:rsid w:val="00CD63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34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1345"/>
    <w:rPr>
      <w:rFonts w:ascii="Segoe UI" w:hAnsi="Segoe UI" w:cs="Segoe UI"/>
      <w:sz w:val="18"/>
      <w:szCs w:val="18"/>
      <w:lang w:val="lv-LV"/>
    </w:rPr>
  </w:style>
  <w:style w:type="paragraph" w:styleId="Galvene">
    <w:name w:val="header"/>
    <w:basedOn w:val="Parasts"/>
    <w:link w:val="GalveneRakstz"/>
    <w:uiPriority w:val="99"/>
    <w:unhideWhenUsed/>
    <w:rsid w:val="00FD030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D0303"/>
    <w:rPr>
      <w:lang w:val="lv-LV"/>
    </w:rPr>
  </w:style>
  <w:style w:type="paragraph" w:styleId="Kjene">
    <w:name w:val="footer"/>
    <w:basedOn w:val="Parasts"/>
    <w:link w:val="KjeneRakstz"/>
    <w:uiPriority w:val="99"/>
    <w:unhideWhenUsed/>
    <w:rsid w:val="00FD030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D0303"/>
    <w:rPr>
      <w:lang w:val="lv-LV"/>
    </w:rPr>
  </w:style>
  <w:style w:type="character" w:styleId="Hipersaite">
    <w:name w:val="Hyperlink"/>
    <w:basedOn w:val="Noklusjumarindkopasfonts"/>
    <w:uiPriority w:val="99"/>
    <w:unhideWhenUsed/>
    <w:rsid w:val="00FD0303"/>
    <w:rPr>
      <w:color w:val="0563C1" w:themeColor="hyperlink"/>
      <w:u w:val="single"/>
    </w:rPr>
  </w:style>
  <w:style w:type="character" w:styleId="Neatrisintapieminana">
    <w:name w:val="Unresolved Mention"/>
    <w:basedOn w:val="Noklusjumarindkopasfonts"/>
    <w:uiPriority w:val="99"/>
    <w:semiHidden/>
    <w:unhideWhenUsed/>
    <w:rsid w:val="00FD0303"/>
    <w:rPr>
      <w:color w:val="605E5C"/>
      <w:shd w:val="clear" w:color="auto" w:fill="E1DFDD"/>
    </w:rPr>
  </w:style>
  <w:style w:type="paragraph" w:styleId="Prskatjums">
    <w:name w:val="Revision"/>
    <w:hidden/>
    <w:uiPriority w:val="99"/>
    <w:semiHidden/>
    <w:rsid w:val="00382C6A"/>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274">
      <w:bodyDiv w:val="1"/>
      <w:marLeft w:val="0"/>
      <w:marRight w:val="0"/>
      <w:marTop w:val="0"/>
      <w:marBottom w:val="0"/>
      <w:divBdr>
        <w:top w:val="none" w:sz="0" w:space="0" w:color="auto"/>
        <w:left w:val="none" w:sz="0" w:space="0" w:color="auto"/>
        <w:bottom w:val="none" w:sz="0" w:space="0" w:color="auto"/>
        <w:right w:val="none" w:sz="0" w:space="0" w:color="auto"/>
      </w:divBdr>
    </w:div>
    <w:div w:id="14160806">
      <w:bodyDiv w:val="1"/>
      <w:marLeft w:val="0"/>
      <w:marRight w:val="0"/>
      <w:marTop w:val="0"/>
      <w:marBottom w:val="0"/>
      <w:divBdr>
        <w:top w:val="none" w:sz="0" w:space="0" w:color="auto"/>
        <w:left w:val="none" w:sz="0" w:space="0" w:color="auto"/>
        <w:bottom w:val="none" w:sz="0" w:space="0" w:color="auto"/>
        <w:right w:val="none" w:sz="0" w:space="0" w:color="auto"/>
      </w:divBdr>
      <w:divsChild>
        <w:div w:id="1702052134">
          <w:marLeft w:val="0"/>
          <w:marRight w:val="0"/>
          <w:marTop w:val="0"/>
          <w:marBottom w:val="0"/>
          <w:divBdr>
            <w:top w:val="none" w:sz="0" w:space="0" w:color="auto"/>
            <w:left w:val="none" w:sz="0" w:space="0" w:color="auto"/>
            <w:bottom w:val="none" w:sz="0" w:space="0" w:color="auto"/>
            <w:right w:val="none" w:sz="0" w:space="0" w:color="auto"/>
          </w:divBdr>
        </w:div>
        <w:div w:id="1668745630">
          <w:marLeft w:val="0"/>
          <w:marRight w:val="0"/>
          <w:marTop w:val="0"/>
          <w:marBottom w:val="0"/>
          <w:divBdr>
            <w:top w:val="none" w:sz="0" w:space="0" w:color="auto"/>
            <w:left w:val="none" w:sz="0" w:space="0" w:color="auto"/>
            <w:bottom w:val="none" w:sz="0" w:space="0" w:color="auto"/>
            <w:right w:val="none" w:sz="0" w:space="0" w:color="auto"/>
          </w:divBdr>
        </w:div>
      </w:divsChild>
    </w:div>
    <w:div w:id="85619747">
      <w:bodyDiv w:val="1"/>
      <w:marLeft w:val="0"/>
      <w:marRight w:val="0"/>
      <w:marTop w:val="0"/>
      <w:marBottom w:val="0"/>
      <w:divBdr>
        <w:top w:val="none" w:sz="0" w:space="0" w:color="auto"/>
        <w:left w:val="none" w:sz="0" w:space="0" w:color="auto"/>
        <w:bottom w:val="none" w:sz="0" w:space="0" w:color="auto"/>
        <w:right w:val="none" w:sz="0" w:space="0" w:color="auto"/>
      </w:divBdr>
    </w:div>
    <w:div w:id="244847437">
      <w:bodyDiv w:val="1"/>
      <w:marLeft w:val="0"/>
      <w:marRight w:val="0"/>
      <w:marTop w:val="0"/>
      <w:marBottom w:val="0"/>
      <w:divBdr>
        <w:top w:val="none" w:sz="0" w:space="0" w:color="auto"/>
        <w:left w:val="none" w:sz="0" w:space="0" w:color="auto"/>
        <w:bottom w:val="none" w:sz="0" w:space="0" w:color="auto"/>
        <w:right w:val="none" w:sz="0" w:space="0" w:color="auto"/>
      </w:divBdr>
    </w:div>
    <w:div w:id="445585541">
      <w:bodyDiv w:val="1"/>
      <w:marLeft w:val="0"/>
      <w:marRight w:val="0"/>
      <w:marTop w:val="0"/>
      <w:marBottom w:val="0"/>
      <w:divBdr>
        <w:top w:val="none" w:sz="0" w:space="0" w:color="auto"/>
        <w:left w:val="none" w:sz="0" w:space="0" w:color="auto"/>
        <w:bottom w:val="none" w:sz="0" w:space="0" w:color="auto"/>
        <w:right w:val="none" w:sz="0" w:space="0" w:color="auto"/>
      </w:divBdr>
    </w:div>
    <w:div w:id="646596581">
      <w:bodyDiv w:val="1"/>
      <w:marLeft w:val="0"/>
      <w:marRight w:val="0"/>
      <w:marTop w:val="0"/>
      <w:marBottom w:val="0"/>
      <w:divBdr>
        <w:top w:val="none" w:sz="0" w:space="0" w:color="auto"/>
        <w:left w:val="none" w:sz="0" w:space="0" w:color="auto"/>
        <w:bottom w:val="none" w:sz="0" w:space="0" w:color="auto"/>
        <w:right w:val="none" w:sz="0" w:space="0" w:color="auto"/>
      </w:divBdr>
    </w:div>
    <w:div w:id="811212540">
      <w:bodyDiv w:val="1"/>
      <w:marLeft w:val="0"/>
      <w:marRight w:val="0"/>
      <w:marTop w:val="0"/>
      <w:marBottom w:val="0"/>
      <w:divBdr>
        <w:top w:val="none" w:sz="0" w:space="0" w:color="auto"/>
        <w:left w:val="none" w:sz="0" w:space="0" w:color="auto"/>
        <w:bottom w:val="none" w:sz="0" w:space="0" w:color="auto"/>
        <w:right w:val="none" w:sz="0" w:space="0" w:color="auto"/>
      </w:divBdr>
    </w:div>
    <w:div w:id="1145200347">
      <w:bodyDiv w:val="1"/>
      <w:marLeft w:val="0"/>
      <w:marRight w:val="0"/>
      <w:marTop w:val="0"/>
      <w:marBottom w:val="0"/>
      <w:divBdr>
        <w:top w:val="none" w:sz="0" w:space="0" w:color="auto"/>
        <w:left w:val="none" w:sz="0" w:space="0" w:color="auto"/>
        <w:bottom w:val="none" w:sz="0" w:space="0" w:color="auto"/>
        <w:right w:val="none" w:sz="0" w:space="0" w:color="auto"/>
      </w:divBdr>
    </w:div>
    <w:div w:id="1483544541">
      <w:bodyDiv w:val="1"/>
      <w:marLeft w:val="0"/>
      <w:marRight w:val="0"/>
      <w:marTop w:val="0"/>
      <w:marBottom w:val="0"/>
      <w:divBdr>
        <w:top w:val="none" w:sz="0" w:space="0" w:color="auto"/>
        <w:left w:val="none" w:sz="0" w:space="0" w:color="auto"/>
        <w:bottom w:val="none" w:sz="0" w:space="0" w:color="auto"/>
        <w:right w:val="none" w:sz="0" w:space="0" w:color="auto"/>
      </w:divBdr>
      <w:divsChild>
        <w:div w:id="315646421">
          <w:marLeft w:val="0"/>
          <w:marRight w:val="0"/>
          <w:marTop w:val="240"/>
          <w:marBottom w:val="0"/>
          <w:divBdr>
            <w:top w:val="none" w:sz="0" w:space="0" w:color="auto"/>
            <w:left w:val="none" w:sz="0" w:space="0" w:color="auto"/>
            <w:bottom w:val="none" w:sz="0" w:space="0" w:color="auto"/>
            <w:right w:val="none" w:sz="0" w:space="0" w:color="auto"/>
          </w:divBdr>
        </w:div>
      </w:divsChild>
    </w:div>
    <w:div w:id="1993560204">
      <w:bodyDiv w:val="1"/>
      <w:marLeft w:val="0"/>
      <w:marRight w:val="0"/>
      <w:marTop w:val="0"/>
      <w:marBottom w:val="0"/>
      <w:divBdr>
        <w:top w:val="none" w:sz="0" w:space="0" w:color="auto"/>
        <w:left w:val="none" w:sz="0" w:space="0" w:color="auto"/>
        <w:bottom w:val="none" w:sz="0" w:space="0" w:color="auto"/>
        <w:right w:val="none" w:sz="0" w:space="0" w:color="auto"/>
      </w:divBdr>
      <w:divsChild>
        <w:div w:id="209926681">
          <w:marLeft w:val="0"/>
          <w:marRight w:val="0"/>
          <w:marTop w:val="240"/>
          <w:marBottom w:val="0"/>
          <w:divBdr>
            <w:top w:val="none" w:sz="0" w:space="0" w:color="auto"/>
            <w:left w:val="none" w:sz="0" w:space="0" w:color="auto"/>
            <w:bottom w:val="none" w:sz="0" w:space="0" w:color="auto"/>
            <w:right w:val="none" w:sz="0" w:space="0" w:color="auto"/>
          </w:divBdr>
        </w:div>
      </w:divsChild>
    </w:div>
    <w:div w:id="20349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iba.Zakevica@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9450</Words>
  <Characters>5388</Characters>
  <Application>Microsoft Office Word</Application>
  <DocSecurity>4</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Elīza Spurdziņa</dc:creator>
  <cp:keywords/>
  <dc:description/>
  <cp:lastModifiedBy>Baiba Zakevica</cp:lastModifiedBy>
  <cp:revision>2</cp:revision>
  <dcterms:created xsi:type="dcterms:W3CDTF">2021-06-02T14:24:00Z</dcterms:created>
  <dcterms:modified xsi:type="dcterms:W3CDTF">2021-06-02T14:24:00Z</dcterms:modified>
</cp:coreProperties>
</file>