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8D638" w14:textId="77777777" w:rsidR="005C7ADC" w:rsidRPr="006E1FCB" w:rsidRDefault="005C7ADC" w:rsidP="009F09C5">
      <w:pPr>
        <w:shd w:val="clear" w:color="auto" w:fill="FFFFFF"/>
        <w:jc w:val="center"/>
        <w:rPr>
          <w:b/>
          <w:bCs/>
          <w:sz w:val="22"/>
          <w:szCs w:val="22"/>
          <w:lang w:eastAsia="lv-LV"/>
        </w:rPr>
      </w:pPr>
      <w:bookmarkStart w:id="0" w:name="_Hlk76395695"/>
      <w:r w:rsidRPr="006E1FCB">
        <w:rPr>
          <w:b/>
          <w:bCs/>
          <w:sz w:val="22"/>
          <w:szCs w:val="22"/>
          <w:lang w:eastAsia="lv-LV"/>
        </w:rPr>
        <w:t>Izziņa par atzinumos sniegtajiem iebildumiem</w:t>
      </w:r>
    </w:p>
    <w:p w14:paraId="630F11E9" w14:textId="5E6955BD" w:rsidR="004A770C" w:rsidRPr="006E1FCB" w:rsidRDefault="00296AD3" w:rsidP="009F09C5">
      <w:pPr>
        <w:shd w:val="clear" w:color="auto" w:fill="FFFFFF"/>
        <w:jc w:val="center"/>
        <w:rPr>
          <w:b/>
          <w:bCs/>
          <w:sz w:val="22"/>
          <w:szCs w:val="22"/>
          <w:lang w:eastAsia="lv-LV"/>
        </w:rPr>
      </w:pPr>
      <w:r w:rsidRPr="006E1FCB">
        <w:rPr>
          <w:b/>
          <w:bCs/>
          <w:sz w:val="22"/>
          <w:szCs w:val="22"/>
          <w:lang w:eastAsia="lv-LV"/>
        </w:rPr>
        <w:t>p</w:t>
      </w:r>
      <w:r w:rsidR="005C7ADC" w:rsidRPr="006E1FCB">
        <w:rPr>
          <w:b/>
          <w:bCs/>
          <w:sz w:val="22"/>
          <w:szCs w:val="22"/>
          <w:lang w:eastAsia="lv-LV"/>
        </w:rPr>
        <w:t xml:space="preserve">ar </w:t>
      </w:r>
      <w:r w:rsidR="00F47F75" w:rsidRPr="006E1FCB">
        <w:rPr>
          <w:b/>
          <w:bCs/>
          <w:sz w:val="22"/>
          <w:szCs w:val="22"/>
          <w:lang w:eastAsia="lv-LV"/>
        </w:rPr>
        <w:t>likumprojektu „Grozījumi Covid-19 infekcijas izplatības pārvaldības likumā”</w:t>
      </w:r>
      <w:bookmarkEnd w:id="0"/>
    </w:p>
    <w:p w14:paraId="02A09BF6" w14:textId="77777777" w:rsidR="00AD2C1C" w:rsidRPr="006E1FCB" w:rsidRDefault="00AD2C1C" w:rsidP="006E1FCB">
      <w:pPr>
        <w:shd w:val="clear" w:color="auto" w:fill="FFFFFF"/>
        <w:rPr>
          <w:sz w:val="22"/>
          <w:szCs w:val="22"/>
          <w:lang w:eastAsia="lv-LV"/>
        </w:rPr>
      </w:pPr>
    </w:p>
    <w:p w14:paraId="74D892C0" w14:textId="3E988DB2" w:rsidR="004C7BFE" w:rsidRPr="006E1FCB" w:rsidRDefault="004C7BFE" w:rsidP="006E1FCB">
      <w:pPr>
        <w:shd w:val="clear" w:color="auto" w:fill="FFFFFF"/>
        <w:ind w:firstLine="300"/>
        <w:jc w:val="center"/>
        <w:rPr>
          <w:b/>
          <w:bCs/>
          <w:sz w:val="22"/>
          <w:szCs w:val="22"/>
          <w:lang w:eastAsia="lv-LV"/>
        </w:rPr>
      </w:pPr>
      <w:r w:rsidRPr="006E1FCB">
        <w:rPr>
          <w:b/>
          <w:bCs/>
          <w:sz w:val="22"/>
          <w:szCs w:val="22"/>
          <w:lang w:eastAsia="lv-LV"/>
        </w:rPr>
        <w:t>I. Jautājumi, par kuriem saskaņošanā vienošanās nav panākta</w:t>
      </w:r>
    </w:p>
    <w:p w14:paraId="7D80B370" w14:textId="77777777" w:rsidR="00AA2F53" w:rsidRPr="006E1FCB" w:rsidRDefault="00AA2F53" w:rsidP="006E1FCB">
      <w:pPr>
        <w:shd w:val="clear" w:color="auto" w:fill="FFFFFF"/>
        <w:rPr>
          <w:sz w:val="22"/>
          <w:szCs w:val="22"/>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700"/>
        <w:gridCol w:w="3077"/>
        <w:gridCol w:w="3077"/>
        <w:gridCol w:w="2937"/>
        <w:gridCol w:w="2378"/>
        <w:gridCol w:w="1818"/>
      </w:tblGrid>
      <w:tr w:rsidR="00574613" w:rsidRPr="00F93681" w14:paraId="5D4D47C8" w14:textId="77777777" w:rsidTr="004C7BFE">
        <w:tc>
          <w:tcPr>
            <w:tcW w:w="250" w:type="pct"/>
            <w:tcBorders>
              <w:top w:val="outset" w:sz="6" w:space="0" w:color="414142"/>
              <w:left w:val="outset" w:sz="6" w:space="0" w:color="414142"/>
              <w:bottom w:val="outset" w:sz="6" w:space="0" w:color="414142"/>
              <w:right w:val="outset" w:sz="6" w:space="0" w:color="414142"/>
            </w:tcBorders>
            <w:noWrap/>
            <w:vAlign w:val="center"/>
            <w:hideMark/>
          </w:tcPr>
          <w:p w14:paraId="3382C889" w14:textId="77777777" w:rsidR="004C7BFE" w:rsidRPr="006E1FCB" w:rsidRDefault="004C7BFE">
            <w:pPr>
              <w:jc w:val="center"/>
              <w:rPr>
                <w:sz w:val="22"/>
                <w:szCs w:val="22"/>
                <w:lang w:eastAsia="lv-LV"/>
              </w:rPr>
            </w:pPr>
            <w:r w:rsidRPr="006E1FCB">
              <w:rPr>
                <w:sz w:val="22"/>
                <w:szCs w:val="22"/>
                <w:lang w:eastAsia="lv-LV"/>
              </w:rPr>
              <w:t>Nr.p.k.</w:t>
            </w:r>
          </w:p>
        </w:tc>
        <w:tc>
          <w:tcPr>
            <w:tcW w:w="1100" w:type="pct"/>
            <w:tcBorders>
              <w:top w:val="outset" w:sz="6" w:space="0" w:color="414142"/>
              <w:left w:val="outset" w:sz="6" w:space="0" w:color="414142"/>
              <w:bottom w:val="outset" w:sz="6" w:space="0" w:color="414142"/>
              <w:right w:val="outset" w:sz="6" w:space="0" w:color="414142"/>
            </w:tcBorders>
            <w:vAlign w:val="center"/>
            <w:hideMark/>
          </w:tcPr>
          <w:p w14:paraId="3B54021E" w14:textId="77777777" w:rsidR="004C7BFE" w:rsidRPr="006E1FCB" w:rsidRDefault="004C7BFE">
            <w:pPr>
              <w:jc w:val="center"/>
              <w:rPr>
                <w:sz w:val="22"/>
                <w:szCs w:val="22"/>
                <w:lang w:eastAsia="lv-LV"/>
              </w:rPr>
            </w:pPr>
            <w:r w:rsidRPr="006E1FCB">
              <w:rPr>
                <w:sz w:val="22"/>
                <w:szCs w:val="22"/>
                <w:lang w:eastAsia="lv-LV"/>
              </w:rPr>
              <w:t>Saskaņošanai nosūtītā projekta redakcija (konkrēta punkta (panta) redakcija)</w:t>
            </w:r>
          </w:p>
        </w:tc>
        <w:tc>
          <w:tcPr>
            <w:tcW w:w="1100" w:type="pct"/>
            <w:tcBorders>
              <w:top w:val="outset" w:sz="6" w:space="0" w:color="414142"/>
              <w:left w:val="outset" w:sz="6" w:space="0" w:color="414142"/>
              <w:bottom w:val="outset" w:sz="6" w:space="0" w:color="414142"/>
              <w:right w:val="outset" w:sz="6" w:space="0" w:color="414142"/>
            </w:tcBorders>
            <w:vAlign w:val="center"/>
            <w:hideMark/>
          </w:tcPr>
          <w:p w14:paraId="20E20447" w14:textId="77777777" w:rsidR="004C7BFE" w:rsidRPr="006E1FCB" w:rsidRDefault="004C7BFE">
            <w:pPr>
              <w:jc w:val="center"/>
              <w:rPr>
                <w:sz w:val="22"/>
                <w:szCs w:val="22"/>
                <w:lang w:eastAsia="lv-LV"/>
              </w:rPr>
            </w:pPr>
            <w:r w:rsidRPr="006E1FCB">
              <w:rPr>
                <w:sz w:val="22"/>
                <w:szCs w:val="22"/>
                <w:lang w:eastAsia="lv-LV"/>
              </w:rPr>
              <w:t>Atzinumā norādītais ministrijas (citas institūcijas) iebildums, kā arī saskaņošanā papildus izteiktais iebildums par projekta konkrēto punktu (pantu)</w:t>
            </w:r>
          </w:p>
        </w:tc>
        <w:tc>
          <w:tcPr>
            <w:tcW w:w="1050" w:type="pct"/>
            <w:tcBorders>
              <w:top w:val="outset" w:sz="6" w:space="0" w:color="414142"/>
              <w:left w:val="outset" w:sz="6" w:space="0" w:color="414142"/>
              <w:bottom w:val="outset" w:sz="6" w:space="0" w:color="414142"/>
              <w:right w:val="outset" w:sz="6" w:space="0" w:color="414142"/>
            </w:tcBorders>
            <w:vAlign w:val="center"/>
            <w:hideMark/>
          </w:tcPr>
          <w:p w14:paraId="19CAE74B" w14:textId="77777777" w:rsidR="004C7BFE" w:rsidRPr="006E1FCB" w:rsidRDefault="004C7BFE">
            <w:pPr>
              <w:jc w:val="center"/>
              <w:rPr>
                <w:sz w:val="22"/>
                <w:szCs w:val="22"/>
                <w:lang w:eastAsia="lv-LV"/>
              </w:rPr>
            </w:pPr>
            <w:r w:rsidRPr="006E1FCB">
              <w:rPr>
                <w:sz w:val="22"/>
                <w:szCs w:val="22"/>
                <w:lang w:eastAsia="lv-LV"/>
              </w:rPr>
              <w:t>Atbildīgās ministrijas pamatojums iebilduma noraidījumam</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1817F760" w14:textId="77777777" w:rsidR="004C7BFE" w:rsidRPr="006E1FCB" w:rsidRDefault="004C7BFE">
            <w:pPr>
              <w:jc w:val="center"/>
              <w:rPr>
                <w:sz w:val="22"/>
                <w:szCs w:val="22"/>
                <w:lang w:eastAsia="lv-LV"/>
              </w:rPr>
            </w:pPr>
            <w:r w:rsidRPr="006E1FCB">
              <w:rPr>
                <w:sz w:val="22"/>
                <w:szCs w:val="22"/>
                <w:lang w:eastAsia="lv-LV"/>
              </w:rPr>
              <w:t>Atzinuma sniedzēja uzturētais iebildums, ja tas atšķiras no atzinumā norādītā iebilduma pamatojuma</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6A79CA28" w14:textId="77777777" w:rsidR="004C7BFE" w:rsidRPr="006E1FCB" w:rsidRDefault="004C7BFE">
            <w:pPr>
              <w:jc w:val="center"/>
              <w:rPr>
                <w:sz w:val="22"/>
                <w:szCs w:val="22"/>
                <w:lang w:eastAsia="lv-LV"/>
              </w:rPr>
            </w:pPr>
            <w:r w:rsidRPr="006E1FCB">
              <w:rPr>
                <w:sz w:val="22"/>
                <w:szCs w:val="22"/>
                <w:lang w:eastAsia="lv-LV"/>
              </w:rPr>
              <w:t>Projekta attiecīgā punkta (panta) galīgā redakcija</w:t>
            </w:r>
          </w:p>
        </w:tc>
      </w:tr>
      <w:tr w:rsidR="00574613" w:rsidRPr="00F93681" w14:paraId="38BF316F" w14:textId="77777777" w:rsidTr="004C7BFE">
        <w:tc>
          <w:tcPr>
            <w:tcW w:w="250" w:type="pct"/>
            <w:tcBorders>
              <w:top w:val="outset" w:sz="6" w:space="0" w:color="414142"/>
              <w:left w:val="outset" w:sz="6" w:space="0" w:color="414142"/>
              <w:bottom w:val="outset" w:sz="6" w:space="0" w:color="414142"/>
              <w:right w:val="outset" w:sz="6" w:space="0" w:color="414142"/>
            </w:tcBorders>
            <w:hideMark/>
          </w:tcPr>
          <w:p w14:paraId="78C7A908" w14:textId="77777777" w:rsidR="004C7BFE" w:rsidRPr="006E1FCB" w:rsidRDefault="004C7BFE">
            <w:pPr>
              <w:jc w:val="center"/>
              <w:rPr>
                <w:sz w:val="22"/>
                <w:szCs w:val="22"/>
                <w:lang w:eastAsia="lv-LV"/>
              </w:rPr>
            </w:pPr>
            <w:r w:rsidRPr="006E1FCB">
              <w:rPr>
                <w:sz w:val="22"/>
                <w:szCs w:val="22"/>
                <w:lang w:eastAsia="lv-LV"/>
              </w:rPr>
              <w:t>1</w:t>
            </w:r>
          </w:p>
        </w:tc>
        <w:tc>
          <w:tcPr>
            <w:tcW w:w="1100" w:type="pct"/>
            <w:tcBorders>
              <w:top w:val="outset" w:sz="6" w:space="0" w:color="414142"/>
              <w:left w:val="outset" w:sz="6" w:space="0" w:color="414142"/>
              <w:bottom w:val="outset" w:sz="6" w:space="0" w:color="414142"/>
              <w:right w:val="outset" w:sz="6" w:space="0" w:color="414142"/>
            </w:tcBorders>
            <w:hideMark/>
          </w:tcPr>
          <w:p w14:paraId="1EAC8EE5" w14:textId="77777777" w:rsidR="004C7BFE" w:rsidRPr="006E1FCB" w:rsidRDefault="004C7BFE">
            <w:pPr>
              <w:jc w:val="center"/>
              <w:rPr>
                <w:sz w:val="22"/>
                <w:szCs w:val="22"/>
                <w:lang w:eastAsia="lv-LV"/>
              </w:rPr>
            </w:pPr>
            <w:r w:rsidRPr="006E1FCB">
              <w:rPr>
                <w:sz w:val="22"/>
                <w:szCs w:val="22"/>
                <w:lang w:eastAsia="lv-LV"/>
              </w:rPr>
              <w:t>2</w:t>
            </w:r>
          </w:p>
        </w:tc>
        <w:tc>
          <w:tcPr>
            <w:tcW w:w="1100" w:type="pct"/>
            <w:tcBorders>
              <w:top w:val="outset" w:sz="6" w:space="0" w:color="414142"/>
              <w:left w:val="outset" w:sz="6" w:space="0" w:color="414142"/>
              <w:bottom w:val="outset" w:sz="6" w:space="0" w:color="414142"/>
              <w:right w:val="outset" w:sz="6" w:space="0" w:color="414142"/>
            </w:tcBorders>
            <w:hideMark/>
          </w:tcPr>
          <w:p w14:paraId="5CF2ABC0" w14:textId="77777777" w:rsidR="004C7BFE" w:rsidRPr="006E1FCB" w:rsidRDefault="004C7BFE">
            <w:pPr>
              <w:jc w:val="center"/>
              <w:rPr>
                <w:sz w:val="22"/>
                <w:szCs w:val="22"/>
                <w:lang w:eastAsia="lv-LV"/>
              </w:rPr>
            </w:pPr>
            <w:r w:rsidRPr="006E1FCB">
              <w:rPr>
                <w:sz w:val="22"/>
                <w:szCs w:val="22"/>
                <w:lang w:eastAsia="lv-LV"/>
              </w:rPr>
              <w:t>3</w:t>
            </w:r>
          </w:p>
        </w:tc>
        <w:tc>
          <w:tcPr>
            <w:tcW w:w="1050" w:type="pct"/>
            <w:tcBorders>
              <w:top w:val="outset" w:sz="6" w:space="0" w:color="414142"/>
              <w:left w:val="outset" w:sz="6" w:space="0" w:color="414142"/>
              <w:bottom w:val="outset" w:sz="6" w:space="0" w:color="414142"/>
              <w:right w:val="outset" w:sz="6" w:space="0" w:color="414142"/>
            </w:tcBorders>
            <w:hideMark/>
          </w:tcPr>
          <w:p w14:paraId="64B3C64E" w14:textId="77777777" w:rsidR="004C7BFE" w:rsidRPr="006E1FCB" w:rsidRDefault="004C7BFE">
            <w:pPr>
              <w:jc w:val="center"/>
              <w:rPr>
                <w:sz w:val="22"/>
                <w:szCs w:val="22"/>
                <w:lang w:eastAsia="lv-LV"/>
              </w:rPr>
            </w:pPr>
            <w:r w:rsidRPr="006E1FCB">
              <w:rPr>
                <w:sz w:val="22"/>
                <w:szCs w:val="22"/>
                <w:lang w:eastAsia="lv-LV"/>
              </w:rPr>
              <w:t>4</w:t>
            </w:r>
          </w:p>
        </w:tc>
        <w:tc>
          <w:tcPr>
            <w:tcW w:w="850" w:type="pct"/>
            <w:tcBorders>
              <w:top w:val="outset" w:sz="6" w:space="0" w:color="414142"/>
              <w:left w:val="outset" w:sz="6" w:space="0" w:color="414142"/>
              <w:bottom w:val="outset" w:sz="6" w:space="0" w:color="414142"/>
              <w:right w:val="outset" w:sz="6" w:space="0" w:color="414142"/>
            </w:tcBorders>
            <w:hideMark/>
          </w:tcPr>
          <w:p w14:paraId="5FCB8B35" w14:textId="77777777" w:rsidR="004C7BFE" w:rsidRPr="006E1FCB" w:rsidRDefault="004C7BFE">
            <w:pPr>
              <w:jc w:val="center"/>
              <w:rPr>
                <w:sz w:val="22"/>
                <w:szCs w:val="22"/>
                <w:lang w:eastAsia="lv-LV"/>
              </w:rPr>
            </w:pPr>
            <w:r w:rsidRPr="006E1FCB">
              <w:rPr>
                <w:sz w:val="22"/>
                <w:szCs w:val="22"/>
                <w:lang w:eastAsia="lv-LV"/>
              </w:rPr>
              <w:t>5</w:t>
            </w:r>
          </w:p>
        </w:tc>
        <w:tc>
          <w:tcPr>
            <w:tcW w:w="650" w:type="pct"/>
            <w:tcBorders>
              <w:top w:val="outset" w:sz="6" w:space="0" w:color="414142"/>
              <w:left w:val="outset" w:sz="6" w:space="0" w:color="414142"/>
              <w:bottom w:val="outset" w:sz="6" w:space="0" w:color="414142"/>
              <w:right w:val="outset" w:sz="6" w:space="0" w:color="414142"/>
            </w:tcBorders>
            <w:hideMark/>
          </w:tcPr>
          <w:p w14:paraId="1EA8472C" w14:textId="77777777" w:rsidR="004C7BFE" w:rsidRPr="006E1FCB" w:rsidRDefault="004C7BFE">
            <w:pPr>
              <w:jc w:val="center"/>
              <w:rPr>
                <w:sz w:val="22"/>
                <w:szCs w:val="22"/>
                <w:lang w:eastAsia="lv-LV"/>
              </w:rPr>
            </w:pPr>
            <w:r w:rsidRPr="006E1FCB">
              <w:rPr>
                <w:sz w:val="22"/>
                <w:szCs w:val="22"/>
                <w:lang w:eastAsia="lv-LV"/>
              </w:rPr>
              <w:t>6</w:t>
            </w:r>
          </w:p>
        </w:tc>
      </w:tr>
      <w:tr w:rsidR="00574613" w:rsidRPr="00F93681" w14:paraId="28969B68" w14:textId="77777777" w:rsidTr="004C7BFE">
        <w:trPr>
          <w:trHeight w:val="200"/>
        </w:trPr>
        <w:tc>
          <w:tcPr>
            <w:tcW w:w="250" w:type="pct"/>
            <w:tcBorders>
              <w:top w:val="outset" w:sz="6" w:space="0" w:color="414142"/>
              <w:left w:val="outset" w:sz="6" w:space="0" w:color="414142"/>
              <w:bottom w:val="outset" w:sz="6" w:space="0" w:color="414142"/>
              <w:right w:val="outset" w:sz="6" w:space="0" w:color="414142"/>
            </w:tcBorders>
            <w:hideMark/>
          </w:tcPr>
          <w:p w14:paraId="19D84FFC" w14:textId="683BC257" w:rsidR="004C7BFE" w:rsidRPr="006E1FCB" w:rsidRDefault="004C7BFE" w:rsidP="006E1FCB">
            <w:pPr>
              <w:jc w:val="center"/>
              <w:rPr>
                <w:sz w:val="22"/>
                <w:szCs w:val="22"/>
                <w:lang w:eastAsia="lv-LV"/>
              </w:rPr>
            </w:pPr>
          </w:p>
        </w:tc>
        <w:tc>
          <w:tcPr>
            <w:tcW w:w="1100" w:type="pct"/>
            <w:tcBorders>
              <w:top w:val="outset" w:sz="6" w:space="0" w:color="414142"/>
              <w:left w:val="outset" w:sz="6" w:space="0" w:color="414142"/>
              <w:bottom w:val="outset" w:sz="6" w:space="0" w:color="414142"/>
              <w:right w:val="outset" w:sz="6" w:space="0" w:color="414142"/>
            </w:tcBorders>
            <w:hideMark/>
          </w:tcPr>
          <w:p w14:paraId="1A81362A" w14:textId="579B67C9" w:rsidR="004C7BFE" w:rsidRPr="006E1FCB" w:rsidRDefault="004C7BFE" w:rsidP="006E1FCB">
            <w:pPr>
              <w:jc w:val="center"/>
              <w:rPr>
                <w:sz w:val="22"/>
                <w:szCs w:val="22"/>
                <w:lang w:eastAsia="lv-LV"/>
              </w:rPr>
            </w:pPr>
          </w:p>
        </w:tc>
        <w:tc>
          <w:tcPr>
            <w:tcW w:w="1100" w:type="pct"/>
            <w:tcBorders>
              <w:top w:val="outset" w:sz="6" w:space="0" w:color="414142"/>
              <w:left w:val="outset" w:sz="6" w:space="0" w:color="414142"/>
              <w:bottom w:val="outset" w:sz="6" w:space="0" w:color="414142"/>
              <w:right w:val="outset" w:sz="6" w:space="0" w:color="414142"/>
            </w:tcBorders>
            <w:hideMark/>
          </w:tcPr>
          <w:p w14:paraId="6A07A4E6" w14:textId="7FE95E3C" w:rsidR="004C7BFE" w:rsidRPr="006E1FCB" w:rsidRDefault="004C7BFE" w:rsidP="006E1FCB">
            <w:pPr>
              <w:jc w:val="center"/>
              <w:rPr>
                <w:sz w:val="22"/>
                <w:szCs w:val="22"/>
                <w:lang w:eastAsia="lv-LV"/>
              </w:rPr>
            </w:pPr>
          </w:p>
        </w:tc>
        <w:tc>
          <w:tcPr>
            <w:tcW w:w="1050" w:type="pct"/>
            <w:tcBorders>
              <w:top w:val="outset" w:sz="6" w:space="0" w:color="414142"/>
              <w:left w:val="outset" w:sz="6" w:space="0" w:color="414142"/>
              <w:bottom w:val="outset" w:sz="6" w:space="0" w:color="414142"/>
              <w:right w:val="outset" w:sz="6" w:space="0" w:color="414142"/>
            </w:tcBorders>
            <w:hideMark/>
          </w:tcPr>
          <w:p w14:paraId="424DFBDF" w14:textId="36D12A4B" w:rsidR="004C7BFE" w:rsidRPr="006E1FCB" w:rsidRDefault="004C7BFE" w:rsidP="006E1FCB">
            <w:pPr>
              <w:jc w:val="center"/>
              <w:rPr>
                <w:sz w:val="22"/>
                <w:szCs w:val="22"/>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44C47E91" w14:textId="11505AE3" w:rsidR="004C7BFE" w:rsidRPr="006E1FCB" w:rsidRDefault="004C7BFE" w:rsidP="006E1FCB">
            <w:pPr>
              <w:jc w:val="center"/>
              <w:rPr>
                <w:sz w:val="22"/>
                <w:szCs w:val="22"/>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41385160" w14:textId="52BB6F8F" w:rsidR="004C7BFE" w:rsidRPr="006E1FCB" w:rsidRDefault="004C7BFE" w:rsidP="006E1FCB">
            <w:pPr>
              <w:jc w:val="center"/>
              <w:rPr>
                <w:sz w:val="22"/>
                <w:szCs w:val="22"/>
                <w:lang w:eastAsia="lv-LV"/>
              </w:rPr>
            </w:pPr>
          </w:p>
        </w:tc>
      </w:tr>
    </w:tbl>
    <w:p w14:paraId="1A4814B9" w14:textId="77777777" w:rsidR="00AD2C1C" w:rsidRPr="006E1FCB" w:rsidRDefault="00AD2C1C" w:rsidP="006E1FCB">
      <w:pPr>
        <w:shd w:val="clear" w:color="auto" w:fill="FFFFFF"/>
        <w:rPr>
          <w:sz w:val="22"/>
          <w:szCs w:val="22"/>
          <w:lang w:eastAsia="lv-LV"/>
        </w:rPr>
      </w:pPr>
    </w:p>
    <w:p w14:paraId="34D49BDB" w14:textId="3118E192" w:rsidR="004C7BFE" w:rsidRPr="006E1FCB" w:rsidRDefault="004C7BFE" w:rsidP="009F09C5">
      <w:pPr>
        <w:shd w:val="clear" w:color="auto" w:fill="FFFFFF"/>
        <w:rPr>
          <w:b/>
          <w:bCs/>
          <w:sz w:val="22"/>
          <w:szCs w:val="22"/>
          <w:lang w:eastAsia="lv-LV"/>
        </w:rPr>
      </w:pPr>
      <w:r w:rsidRPr="006E1FCB">
        <w:rPr>
          <w:b/>
          <w:bCs/>
          <w:sz w:val="22"/>
          <w:szCs w:val="22"/>
          <w:lang w:eastAsia="lv-LV"/>
        </w:rPr>
        <w:t>Informācija par starpministriju (starpinstitūciju) sanāksmi vai elektronisko saskaņošanu</w:t>
      </w:r>
    </w:p>
    <w:p w14:paraId="22927914" w14:textId="77777777" w:rsidR="009F09C5" w:rsidRPr="006E1FCB" w:rsidRDefault="009F09C5" w:rsidP="006E1FCB">
      <w:pPr>
        <w:shd w:val="clear" w:color="auto" w:fill="FFFFFF"/>
        <w:rPr>
          <w:sz w:val="22"/>
          <w:szCs w:val="22"/>
          <w:lang w:eastAsia="lv-LV"/>
        </w:rPr>
      </w:pPr>
    </w:p>
    <w:tbl>
      <w:tblPr>
        <w:tblW w:w="5000" w:type="pct"/>
        <w:tblCellMar>
          <w:top w:w="20" w:type="dxa"/>
          <w:left w:w="20" w:type="dxa"/>
          <w:bottom w:w="20" w:type="dxa"/>
          <w:right w:w="20" w:type="dxa"/>
        </w:tblCellMar>
        <w:tblLook w:val="04A0" w:firstRow="1" w:lastRow="0" w:firstColumn="1" w:lastColumn="0" w:noHBand="0" w:noVBand="1"/>
      </w:tblPr>
      <w:tblGrid>
        <w:gridCol w:w="6097"/>
        <w:gridCol w:w="7906"/>
      </w:tblGrid>
      <w:tr w:rsidR="00574613" w:rsidRPr="00F93681" w14:paraId="29FCCEA0" w14:textId="77777777" w:rsidTr="001C6F41">
        <w:trPr>
          <w:trHeight w:val="114"/>
        </w:trPr>
        <w:tc>
          <w:tcPr>
            <w:tcW w:w="2177" w:type="pct"/>
            <w:tcBorders>
              <w:top w:val="nil"/>
              <w:left w:val="nil"/>
              <w:bottom w:val="nil"/>
              <w:right w:val="nil"/>
            </w:tcBorders>
            <w:noWrap/>
            <w:vAlign w:val="bottom"/>
            <w:hideMark/>
          </w:tcPr>
          <w:p w14:paraId="5B6BE770" w14:textId="77777777" w:rsidR="004C7BFE" w:rsidRPr="006E1FCB" w:rsidRDefault="004C7BFE">
            <w:pPr>
              <w:rPr>
                <w:sz w:val="22"/>
                <w:szCs w:val="22"/>
                <w:lang w:eastAsia="lv-LV"/>
              </w:rPr>
            </w:pPr>
            <w:r w:rsidRPr="006E1FCB">
              <w:rPr>
                <w:sz w:val="22"/>
                <w:szCs w:val="22"/>
                <w:lang w:eastAsia="lv-LV"/>
              </w:rPr>
              <w:t>Datums</w:t>
            </w:r>
          </w:p>
        </w:tc>
        <w:tc>
          <w:tcPr>
            <w:tcW w:w="2823" w:type="pct"/>
            <w:tcBorders>
              <w:top w:val="nil"/>
              <w:left w:val="nil"/>
              <w:bottom w:val="single" w:sz="6" w:space="0" w:color="414142"/>
              <w:right w:val="nil"/>
            </w:tcBorders>
            <w:hideMark/>
          </w:tcPr>
          <w:p w14:paraId="559AAD72" w14:textId="0561F669" w:rsidR="004C7BFE" w:rsidRPr="006E1FCB" w:rsidRDefault="0006153A">
            <w:pPr>
              <w:rPr>
                <w:sz w:val="22"/>
                <w:szCs w:val="22"/>
                <w:lang w:eastAsia="lv-LV"/>
              </w:rPr>
            </w:pPr>
            <w:r w:rsidRPr="006E1FCB">
              <w:rPr>
                <w:sz w:val="22"/>
                <w:szCs w:val="22"/>
                <w:lang w:eastAsia="lv-LV"/>
              </w:rPr>
              <w:t>202</w:t>
            </w:r>
            <w:r w:rsidR="00941A6A" w:rsidRPr="006E1FCB">
              <w:rPr>
                <w:sz w:val="22"/>
                <w:szCs w:val="22"/>
                <w:lang w:eastAsia="lv-LV"/>
              </w:rPr>
              <w:t>1</w:t>
            </w:r>
            <w:r w:rsidRPr="006E1FCB">
              <w:rPr>
                <w:sz w:val="22"/>
                <w:szCs w:val="22"/>
                <w:lang w:eastAsia="lv-LV"/>
              </w:rPr>
              <w:t>.</w:t>
            </w:r>
            <w:r w:rsidR="00597B6F" w:rsidRPr="006E1FCB">
              <w:rPr>
                <w:sz w:val="22"/>
                <w:szCs w:val="22"/>
                <w:lang w:eastAsia="lv-LV"/>
              </w:rPr>
              <w:t xml:space="preserve">gada </w:t>
            </w:r>
            <w:r w:rsidR="00F47F75" w:rsidRPr="006E1FCB">
              <w:rPr>
                <w:sz w:val="22"/>
                <w:szCs w:val="22"/>
                <w:lang w:eastAsia="lv-LV"/>
              </w:rPr>
              <w:t>5</w:t>
            </w:r>
            <w:r w:rsidR="00597B6F" w:rsidRPr="006E1FCB">
              <w:rPr>
                <w:sz w:val="22"/>
                <w:szCs w:val="22"/>
                <w:lang w:eastAsia="lv-LV"/>
              </w:rPr>
              <w:t>.</w:t>
            </w:r>
            <w:r w:rsidR="00F47F75" w:rsidRPr="006E1FCB">
              <w:rPr>
                <w:sz w:val="22"/>
                <w:szCs w:val="22"/>
                <w:lang w:eastAsia="lv-LV"/>
              </w:rPr>
              <w:t>jūlijā</w:t>
            </w:r>
          </w:p>
        </w:tc>
      </w:tr>
      <w:tr w:rsidR="00574613" w:rsidRPr="00F93681" w14:paraId="56798E1B" w14:textId="77777777" w:rsidTr="001C6F41">
        <w:trPr>
          <w:trHeight w:val="200"/>
        </w:trPr>
        <w:tc>
          <w:tcPr>
            <w:tcW w:w="2177" w:type="pct"/>
            <w:tcBorders>
              <w:top w:val="nil"/>
              <w:left w:val="nil"/>
              <w:bottom w:val="nil"/>
              <w:right w:val="nil"/>
            </w:tcBorders>
            <w:noWrap/>
            <w:vAlign w:val="bottom"/>
            <w:hideMark/>
          </w:tcPr>
          <w:p w14:paraId="628F8C4A" w14:textId="77777777" w:rsidR="004C7BFE" w:rsidRPr="006E1FCB" w:rsidRDefault="004C7BFE">
            <w:pPr>
              <w:rPr>
                <w:sz w:val="22"/>
                <w:szCs w:val="22"/>
                <w:lang w:eastAsia="lv-LV"/>
              </w:rPr>
            </w:pPr>
            <w:r w:rsidRPr="006E1FCB">
              <w:rPr>
                <w:sz w:val="22"/>
                <w:szCs w:val="22"/>
                <w:lang w:eastAsia="lv-LV"/>
              </w:rPr>
              <w:t> </w:t>
            </w:r>
          </w:p>
        </w:tc>
        <w:tc>
          <w:tcPr>
            <w:tcW w:w="2823" w:type="pct"/>
            <w:tcBorders>
              <w:top w:val="single" w:sz="6" w:space="0" w:color="414142"/>
              <w:left w:val="nil"/>
              <w:bottom w:val="nil"/>
              <w:right w:val="nil"/>
            </w:tcBorders>
            <w:hideMark/>
          </w:tcPr>
          <w:p w14:paraId="3805ED9E" w14:textId="77777777" w:rsidR="004C7BFE" w:rsidRPr="006E1FCB" w:rsidRDefault="004C7BFE">
            <w:pPr>
              <w:rPr>
                <w:sz w:val="22"/>
                <w:szCs w:val="22"/>
                <w:lang w:eastAsia="lv-LV"/>
              </w:rPr>
            </w:pPr>
            <w:r w:rsidRPr="006E1FCB">
              <w:rPr>
                <w:sz w:val="22"/>
                <w:szCs w:val="22"/>
                <w:lang w:eastAsia="lv-LV"/>
              </w:rPr>
              <w:t> </w:t>
            </w:r>
          </w:p>
        </w:tc>
      </w:tr>
      <w:tr w:rsidR="00574613" w:rsidRPr="00F93681" w14:paraId="5BE033B8" w14:textId="77777777" w:rsidTr="001C6F41">
        <w:tc>
          <w:tcPr>
            <w:tcW w:w="2177" w:type="pct"/>
            <w:tcBorders>
              <w:top w:val="nil"/>
              <w:left w:val="nil"/>
              <w:bottom w:val="nil"/>
              <w:right w:val="nil"/>
            </w:tcBorders>
            <w:noWrap/>
            <w:vAlign w:val="bottom"/>
            <w:hideMark/>
          </w:tcPr>
          <w:p w14:paraId="104D7522" w14:textId="77777777" w:rsidR="004C7BFE" w:rsidRPr="006E1FCB" w:rsidRDefault="004C7BFE">
            <w:pPr>
              <w:rPr>
                <w:sz w:val="22"/>
                <w:szCs w:val="22"/>
                <w:lang w:eastAsia="lv-LV"/>
              </w:rPr>
            </w:pPr>
            <w:r w:rsidRPr="006E1FCB">
              <w:rPr>
                <w:sz w:val="22"/>
                <w:szCs w:val="22"/>
                <w:lang w:eastAsia="lv-LV"/>
              </w:rPr>
              <w:t>Saskaņošanas dalībnieki</w:t>
            </w:r>
          </w:p>
        </w:tc>
        <w:tc>
          <w:tcPr>
            <w:tcW w:w="2823" w:type="pct"/>
            <w:tcBorders>
              <w:top w:val="nil"/>
              <w:left w:val="nil"/>
              <w:bottom w:val="single" w:sz="6" w:space="0" w:color="414142"/>
              <w:right w:val="nil"/>
            </w:tcBorders>
            <w:hideMark/>
          </w:tcPr>
          <w:p w14:paraId="06934C3B" w14:textId="31784B57" w:rsidR="004C7BFE" w:rsidRPr="006E1FCB" w:rsidRDefault="004C7BFE">
            <w:pPr>
              <w:rPr>
                <w:sz w:val="22"/>
                <w:szCs w:val="22"/>
                <w:lang w:eastAsia="lv-LV"/>
              </w:rPr>
            </w:pPr>
            <w:r w:rsidRPr="006E1FCB">
              <w:rPr>
                <w:sz w:val="22"/>
                <w:szCs w:val="22"/>
                <w:lang w:eastAsia="lv-LV"/>
              </w:rPr>
              <w:t>Finanšu ministrija</w:t>
            </w:r>
            <w:r w:rsidR="00AA2F53" w:rsidRPr="006E1FCB">
              <w:rPr>
                <w:sz w:val="22"/>
                <w:szCs w:val="22"/>
                <w:lang w:eastAsia="lv-LV"/>
              </w:rPr>
              <w:t>,</w:t>
            </w:r>
            <w:r w:rsidRPr="006E1FCB">
              <w:rPr>
                <w:sz w:val="22"/>
                <w:szCs w:val="22"/>
                <w:lang w:eastAsia="lv-LV"/>
              </w:rPr>
              <w:t xml:space="preserve"> Tieslietu ministrija</w:t>
            </w:r>
            <w:r w:rsidR="00F47F75" w:rsidRPr="006E1FCB">
              <w:rPr>
                <w:sz w:val="22"/>
                <w:szCs w:val="22"/>
                <w:lang w:eastAsia="lv-LV"/>
              </w:rPr>
              <w:t>, Ekonomikas ministrija, Veselības ministrija, Pārresoru koordinācijas centrs</w:t>
            </w:r>
          </w:p>
        </w:tc>
      </w:tr>
      <w:tr w:rsidR="004C7BFE" w:rsidRPr="00F93681" w14:paraId="336CDA1F" w14:textId="77777777" w:rsidTr="001C6F41">
        <w:trPr>
          <w:gridAfter w:val="1"/>
          <w:wAfter w:w="2823" w:type="pct"/>
          <w:trHeight w:val="150"/>
        </w:trPr>
        <w:tc>
          <w:tcPr>
            <w:tcW w:w="2177" w:type="pct"/>
            <w:tcBorders>
              <w:top w:val="nil"/>
              <w:left w:val="nil"/>
              <w:bottom w:val="nil"/>
              <w:right w:val="nil"/>
            </w:tcBorders>
            <w:hideMark/>
          </w:tcPr>
          <w:p w14:paraId="432D1434" w14:textId="77777777" w:rsidR="004C7BFE" w:rsidRPr="006E1FCB" w:rsidRDefault="004C7BFE">
            <w:pPr>
              <w:rPr>
                <w:sz w:val="22"/>
                <w:szCs w:val="22"/>
                <w:lang w:eastAsia="lv-LV"/>
              </w:rPr>
            </w:pPr>
            <w:r w:rsidRPr="006E1FCB">
              <w:rPr>
                <w:sz w:val="22"/>
                <w:szCs w:val="22"/>
                <w:lang w:eastAsia="lv-LV"/>
              </w:rPr>
              <w:t> </w:t>
            </w:r>
          </w:p>
        </w:tc>
      </w:tr>
    </w:tbl>
    <w:p w14:paraId="71F898D2" w14:textId="77777777" w:rsidR="004C7BFE" w:rsidRPr="006E1FCB" w:rsidRDefault="004C7BFE">
      <w:pPr>
        <w:shd w:val="clear" w:color="auto" w:fill="FFFFFF"/>
        <w:rPr>
          <w:vanish/>
          <w:sz w:val="22"/>
          <w:szCs w:val="22"/>
          <w:lang w:eastAsia="lv-LV"/>
        </w:rPr>
      </w:pPr>
    </w:p>
    <w:tbl>
      <w:tblPr>
        <w:tblW w:w="5000" w:type="pct"/>
        <w:tblCellMar>
          <w:top w:w="20" w:type="dxa"/>
          <w:left w:w="20" w:type="dxa"/>
          <w:bottom w:w="20" w:type="dxa"/>
          <w:right w:w="20" w:type="dxa"/>
        </w:tblCellMar>
        <w:tblLook w:val="04A0" w:firstRow="1" w:lastRow="0" w:firstColumn="1" w:lastColumn="0" w:noHBand="0" w:noVBand="1"/>
      </w:tblPr>
      <w:tblGrid>
        <w:gridCol w:w="6097"/>
        <w:gridCol w:w="7906"/>
      </w:tblGrid>
      <w:tr w:rsidR="00574613" w:rsidRPr="00F93681" w14:paraId="5E433F27" w14:textId="77777777" w:rsidTr="001C6F41">
        <w:trPr>
          <w:trHeight w:val="200"/>
        </w:trPr>
        <w:tc>
          <w:tcPr>
            <w:tcW w:w="2177" w:type="pct"/>
            <w:tcBorders>
              <w:top w:val="nil"/>
              <w:left w:val="nil"/>
              <w:bottom w:val="nil"/>
              <w:right w:val="nil"/>
            </w:tcBorders>
            <w:vAlign w:val="bottom"/>
            <w:hideMark/>
          </w:tcPr>
          <w:p w14:paraId="690BAE04" w14:textId="77777777" w:rsidR="004C7BFE" w:rsidRPr="006E1FCB" w:rsidRDefault="004C7BFE">
            <w:pPr>
              <w:rPr>
                <w:sz w:val="22"/>
                <w:szCs w:val="22"/>
                <w:lang w:eastAsia="lv-LV"/>
              </w:rPr>
            </w:pPr>
            <w:r w:rsidRPr="006E1FCB">
              <w:rPr>
                <w:sz w:val="22"/>
                <w:szCs w:val="22"/>
                <w:lang w:eastAsia="lv-LV"/>
              </w:rPr>
              <w:t>Saskaņošanas dalībnieki izskatīja šādu ministriju (citu institūciju) iebildumus</w:t>
            </w:r>
          </w:p>
        </w:tc>
        <w:tc>
          <w:tcPr>
            <w:tcW w:w="2823" w:type="pct"/>
            <w:tcBorders>
              <w:top w:val="nil"/>
              <w:left w:val="nil"/>
              <w:bottom w:val="single" w:sz="6" w:space="0" w:color="414142"/>
              <w:right w:val="nil"/>
            </w:tcBorders>
            <w:hideMark/>
          </w:tcPr>
          <w:p w14:paraId="5CCB0C0D" w14:textId="77777777" w:rsidR="003715B2" w:rsidRPr="006E1FCB" w:rsidRDefault="003715B2">
            <w:pPr>
              <w:rPr>
                <w:sz w:val="22"/>
                <w:szCs w:val="22"/>
                <w:lang w:eastAsia="lv-LV"/>
              </w:rPr>
            </w:pPr>
          </w:p>
          <w:p w14:paraId="001FC7DE" w14:textId="17AC6FDC" w:rsidR="004C7BFE" w:rsidRPr="006E1FCB" w:rsidRDefault="00F47F75">
            <w:pPr>
              <w:rPr>
                <w:sz w:val="22"/>
                <w:szCs w:val="22"/>
                <w:lang w:eastAsia="lv-LV"/>
              </w:rPr>
            </w:pPr>
            <w:r w:rsidRPr="006E1FCB">
              <w:rPr>
                <w:sz w:val="22"/>
                <w:szCs w:val="22"/>
                <w:lang w:eastAsia="lv-LV"/>
              </w:rPr>
              <w:t>Finanšu</w:t>
            </w:r>
            <w:r w:rsidR="00CB7B34" w:rsidRPr="006E1FCB">
              <w:rPr>
                <w:sz w:val="22"/>
                <w:szCs w:val="22"/>
                <w:lang w:eastAsia="lv-LV"/>
              </w:rPr>
              <w:t xml:space="preserve"> ministrija</w:t>
            </w:r>
          </w:p>
        </w:tc>
      </w:tr>
      <w:tr w:rsidR="00574613" w:rsidRPr="00F93681" w14:paraId="617F032E" w14:textId="77777777" w:rsidTr="00C3601C">
        <w:trPr>
          <w:trHeight w:val="153"/>
        </w:trPr>
        <w:tc>
          <w:tcPr>
            <w:tcW w:w="0" w:type="auto"/>
            <w:gridSpan w:val="2"/>
            <w:tcBorders>
              <w:top w:val="nil"/>
              <w:left w:val="nil"/>
              <w:bottom w:val="nil"/>
              <w:right w:val="nil"/>
            </w:tcBorders>
            <w:vAlign w:val="bottom"/>
            <w:hideMark/>
          </w:tcPr>
          <w:p w14:paraId="54DA9B27" w14:textId="77777777" w:rsidR="004C7BFE" w:rsidRPr="006E1FCB" w:rsidRDefault="004C7BFE">
            <w:pPr>
              <w:rPr>
                <w:sz w:val="22"/>
                <w:szCs w:val="22"/>
                <w:lang w:eastAsia="lv-LV"/>
              </w:rPr>
            </w:pPr>
            <w:r w:rsidRPr="006E1FCB">
              <w:rPr>
                <w:sz w:val="22"/>
                <w:szCs w:val="22"/>
                <w:lang w:eastAsia="lv-LV"/>
              </w:rPr>
              <w:t> </w:t>
            </w:r>
          </w:p>
        </w:tc>
      </w:tr>
      <w:tr w:rsidR="00574613" w:rsidRPr="00F93681" w14:paraId="42BCE685" w14:textId="77777777" w:rsidTr="001C6F41">
        <w:trPr>
          <w:trHeight w:val="200"/>
        </w:trPr>
        <w:tc>
          <w:tcPr>
            <w:tcW w:w="2177" w:type="pct"/>
            <w:tcBorders>
              <w:top w:val="nil"/>
              <w:left w:val="nil"/>
              <w:bottom w:val="nil"/>
              <w:right w:val="nil"/>
            </w:tcBorders>
            <w:vAlign w:val="bottom"/>
            <w:hideMark/>
          </w:tcPr>
          <w:p w14:paraId="60A9D7A5" w14:textId="77777777" w:rsidR="004C7BFE" w:rsidRPr="006E1FCB" w:rsidRDefault="004C7BFE">
            <w:pPr>
              <w:rPr>
                <w:sz w:val="22"/>
                <w:szCs w:val="22"/>
                <w:lang w:eastAsia="lv-LV"/>
              </w:rPr>
            </w:pPr>
            <w:r w:rsidRPr="006E1FCB">
              <w:rPr>
                <w:sz w:val="22"/>
                <w:szCs w:val="22"/>
                <w:lang w:eastAsia="lv-LV"/>
              </w:rPr>
              <w:t>Ministrijas (citas institūcijas), kuras nav ieradušās uz sanāksmi vai kuras nav atbildējušas uz uzaicinājumu piedalīties elektroniskajā saskaņošanā</w:t>
            </w:r>
          </w:p>
        </w:tc>
        <w:tc>
          <w:tcPr>
            <w:tcW w:w="2823" w:type="pct"/>
            <w:tcBorders>
              <w:top w:val="nil"/>
              <w:left w:val="nil"/>
              <w:bottom w:val="single" w:sz="6" w:space="0" w:color="414142"/>
              <w:right w:val="nil"/>
            </w:tcBorders>
            <w:hideMark/>
          </w:tcPr>
          <w:p w14:paraId="6EC2D045" w14:textId="77777777" w:rsidR="004C7BFE" w:rsidRPr="006E1FCB" w:rsidRDefault="004C7BFE">
            <w:pPr>
              <w:rPr>
                <w:sz w:val="22"/>
                <w:szCs w:val="22"/>
                <w:u w:val="single"/>
                <w:lang w:eastAsia="lv-LV"/>
              </w:rPr>
            </w:pPr>
            <w:r w:rsidRPr="006E1FCB">
              <w:rPr>
                <w:sz w:val="22"/>
                <w:szCs w:val="22"/>
                <w:lang w:eastAsia="lv-LV"/>
              </w:rPr>
              <w:t> </w:t>
            </w:r>
          </w:p>
        </w:tc>
      </w:tr>
    </w:tbl>
    <w:p w14:paraId="7C2FCD4F" w14:textId="6709B30B" w:rsidR="00296AD3" w:rsidRPr="006E1FCB" w:rsidRDefault="00296AD3" w:rsidP="006E1FCB">
      <w:pPr>
        <w:shd w:val="clear" w:color="auto" w:fill="FFFFFF"/>
        <w:rPr>
          <w:sz w:val="22"/>
          <w:szCs w:val="22"/>
          <w:lang w:eastAsia="lv-LV"/>
        </w:rPr>
      </w:pPr>
    </w:p>
    <w:p w14:paraId="7A268BB4" w14:textId="7028BCD3" w:rsidR="003715B2" w:rsidRDefault="003715B2" w:rsidP="009F09C5">
      <w:pPr>
        <w:shd w:val="clear" w:color="auto" w:fill="FFFFFF"/>
        <w:rPr>
          <w:sz w:val="22"/>
          <w:szCs w:val="22"/>
          <w:lang w:eastAsia="lv-LV"/>
        </w:rPr>
      </w:pPr>
    </w:p>
    <w:p w14:paraId="65E0D9B2" w14:textId="7E0C62FE" w:rsidR="00001258" w:rsidRDefault="00001258" w:rsidP="009F09C5">
      <w:pPr>
        <w:shd w:val="clear" w:color="auto" w:fill="FFFFFF"/>
        <w:rPr>
          <w:sz w:val="22"/>
          <w:szCs w:val="22"/>
          <w:lang w:eastAsia="lv-LV"/>
        </w:rPr>
      </w:pPr>
    </w:p>
    <w:p w14:paraId="3C3EA89A" w14:textId="4AD6FF60" w:rsidR="00001258" w:rsidRDefault="00001258" w:rsidP="009F09C5">
      <w:pPr>
        <w:shd w:val="clear" w:color="auto" w:fill="FFFFFF"/>
        <w:rPr>
          <w:sz w:val="22"/>
          <w:szCs w:val="22"/>
          <w:lang w:eastAsia="lv-LV"/>
        </w:rPr>
      </w:pPr>
    </w:p>
    <w:p w14:paraId="350FE123" w14:textId="3D3CDEB2" w:rsidR="00001258" w:rsidRDefault="00001258" w:rsidP="009F09C5">
      <w:pPr>
        <w:shd w:val="clear" w:color="auto" w:fill="FFFFFF"/>
        <w:rPr>
          <w:sz w:val="22"/>
          <w:szCs w:val="22"/>
          <w:lang w:eastAsia="lv-LV"/>
        </w:rPr>
      </w:pPr>
    </w:p>
    <w:p w14:paraId="63382A7A" w14:textId="77777777" w:rsidR="00001258" w:rsidRPr="006E1FCB" w:rsidRDefault="00001258" w:rsidP="009F09C5">
      <w:pPr>
        <w:shd w:val="clear" w:color="auto" w:fill="FFFFFF"/>
        <w:rPr>
          <w:sz w:val="22"/>
          <w:szCs w:val="22"/>
          <w:lang w:eastAsia="lv-LV"/>
        </w:rPr>
      </w:pPr>
    </w:p>
    <w:p w14:paraId="285FFFA2" w14:textId="05DEA460" w:rsidR="009F09C5" w:rsidRPr="006E1FCB" w:rsidRDefault="009F09C5" w:rsidP="009F09C5">
      <w:pPr>
        <w:shd w:val="clear" w:color="auto" w:fill="FFFFFF"/>
        <w:rPr>
          <w:sz w:val="22"/>
          <w:szCs w:val="22"/>
          <w:lang w:eastAsia="lv-LV"/>
        </w:rPr>
      </w:pPr>
    </w:p>
    <w:p w14:paraId="4954A508" w14:textId="4F4BF98C" w:rsidR="009F09C5" w:rsidRPr="006E1FCB" w:rsidRDefault="009F09C5" w:rsidP="009F09C5">
      <w:pPr>
        <w:shd w:val="clear" w:color="auto" w:fill="FFFFFF"/>
        <w:rPr>
          <w:sz w:val="22"/>
          <w:szCs w:val="22"/>
          <w:lang w:eastAsia="lv-LV"/>
        </w:rPr>
      </w:pPr>
    </w:p>
    <w:p w14:paraId="5FB5EFCF" w14:textId="62373D19" w:rsidR="004C7BFE" w:rsidRPr="006E1FCB" w:rsidRDefault="004C7BFE" w:rsidP="006E1FCB">
      <w:pPr>
        <w:shd w:val="clear" w:color="auto" w:fill="FFFFFF"/>
        <w:ind w:firstLine="300"/>
        <w:jc w:val="center"/>
        <w:rPr>
          <w:b/>
          <w:bCs/>
          <w:sz w:val="22"/>
          <w:szCs w:val="22"/>
          <w:lang w:eastAsia="lv-LV"/>
        </w:rPr>
      </w:pPr>
      <w:r w:rsidRPr="006E1FCB">
        <w:rPr>
          <w:b/>
          <w:bCs/>
          <w:sz w:val="22"/>
          <w:szCs w:val="22"/>
          <w:lang w:eastAsia="lv-LV"/>
        </w:rPr>
        <w:t>II. Jautājumi, par kuriem saskaņošanā vienošanās ir panākta</w:t>
      </w:r>
    </w:p>
    <w:p w14:paraId="0CB61E82" w14:textId="77777777" w:rsidR="00296AD3" w:rsidRPr="006E1FCB" w:rsidRDefault="00296AD3" w:rsidP="006E1FCB">
      <w:pPr>
        <w:shd w:val="clear" w:color="auto" w:fill="FFFFFF"/>
        <w:rPr>
          <w:sz w:val="22"/>
          <w:szCs w:val="22"/>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20" w:type="dxa"/>
          <w:left w:w="20" w:type="dxa"/>
          <w:bottom w:w="20" w:type="dxa"/>
          <w:right w:w="20" w:type="dxa"/>
        </w:tblCellMar>
        <w:tblLook w:val="04A0" w:firstRow="1" w:lastRow="0" w:firstColumn="1" w:lastColumn="0" w:noHBand="0" w:noVBand="1"/>
      </w:tblPr>
      <w:tblGrid>
        <w:gridCol w:w="696"/>
        <w:gridCol w:w="3276"/>
        <w:gridCol w:w="3698"/>
        <w:gridCol w:w="2988"/>
        <w:gridCol w:w="3329"/>
      </w:tblGrid>
      <w:tr w:rsidR="00597B6F" w:rsidRPr="00F93681" w14:paraId="4B76F78D" w14:textId="77777777" w:rsidTr="003715B2">
        <w:tc>
          <w:tcPr>
            <w:tcW w:w="249" w:type="pct"/>
            <w:tcBorders>
              <w:top w:val="outset" w:sz="6" w:space="0" w:color="414142"/>
              <w:left w:val="outset" w:sz="6" w:space="0" w:color="414142"/>
              <w:bottom w:val="outset" w:sz="6" w:space="0" w:color="414142"/>
              <w:right w:val="outset" w:sz="6" w:space="0" w:color="414142"/>
            </w:tcBorders>
            <w:noWrap/>
            <w:vAlign w:val="center"/>
          </w:tcPr>
          <w:p w14:paraId="489CF630" w14:textId="77ADFFFF" w:rsidR="004C7BFE" w:rsidRPr="006E1FCB" w:rsidRDefault="0060490F">
            <w:pPr>
              <w:jc w:val="center"/>
              <w:rPr>
                <w:sz w:val="22"/>
                <w:szCs w:val="22"/>
                <w:lang w:eastAsia="lv-LV"/>
              </w:rPr>
            </w:pPr>
            <w:r w:rsidRPr="006E1FCB">
              <w:rPr>
                <w:sz w:val="22"/>
                <w:szCs w:val="22"/>
                <w:lang w:eastAsia="lv-LV"/>
              </w:rPr>
              <w:t>Nr.</w:t>
            </w:r>
            <w:r w:rsidR="00597B6F" w:rsidRPr="006E1FCB">
              <w:rPr>
                <w:sz w:val="22"/>
                <w:szCs w:val="22"/>
                <w:lang w:eastAsia="lv-LV"/>
              </w:rPr>
              <w:t xml:space="preserve"> </w:t>
            </w:r>
            <w:r w:rsidRPr="006E1FCB">
              <w:rPr>
                <w:sz w:val="22"/>
                <w:szCs w:val="22"/>
                <w:lang w:eastAsia="lv-LV"/>
              </w:rPr>
              <w:t>p.k.</w:t>
            </w:r>
          </w:p>
        </w:tc>
        <w:tc>
          <w:tcPr>
            <w:tcW w:w="1171" w:type="pct"/>
            <w:tcBorders>
              <w:top w:val="outset" w:sz="6" w:space="0" w:color="414142"/>
              <w:left w:val="outset" w:sz="6" w:space="0" w:color="414142"/>
              <w:bottom w:val="outset" w:sz="6" w:space="0" w:color="414142"/>
              <w:right w:val="outset" w:sz="6" w:space="0" w:color="414142"/>
            </w:tcBorders>
            <w:vAlign w:val="center"/>
            <w:hideMark/>
          </w:tcPr>
          <w:p w14:paraId="489D6F58" w14:textId="77777777" w:rsidR="004C7BFE" w:rsidRPr="006E1FCB" w:rsidRDefault="004C7BFE">
            <w:pPr>
              <w:jc w:val="center"/>
              <w:rPr>
                <w:sz w:val="22"/>
                <w:szCs w:val="22"/>
                <w:lang w:eastAsia="lv-LV"/>
              </w:rPr>
            </w:pPr>
            <w:r w:rsidRPr="006E1FCB">
              <w:rPr>
                <w:sz w:val="22"/>
                <w:szCs w:val="22"/>
                <w:lang w:eastAsia="lv-LV"/>
              </w:rPr>
              <w:t>Saskaņošanai nosūtītā projekta redakcija (konkrēta punkta (panta) redakcija)</w:t>
            </w:r>
          </w:p>
        </w:tc>
        <w:tc>
          <w:tcPr>
            <w:tcW w:w="1322" w:type="pct"/>
            <w:tcBorders>
              <w:top w:val="outset" w:sz="6" w:space="0" w:color="414142"/>
              <w:left w:val="outset" w:sz="6" w:space="0" w:color="414142"/>
              <w:bottom w:val="outset" w:sz="6" w:space="0" w:color="414142"/>
              <w:right w:val="outset" w:sz="6" w:space="0" w:color="414142"/>
            </w:tcBorders>
            <w:vAlign w:val="center"/>
            <w:hideMark/>
          </w:tcPr>
          <w:p w14:paraId="5AC56FFD" w14:textId="77777777" w:rsidR="004C7BFE" w:rsidRPr="006E1FCB" w:rsidRDefault="004C7BFE">
            <w:pPr>
              <w:jc w:val="center"/>
              <w:rPr>
                <w:sz w:val="22"/>
                <w:szCs w:val="22"/>
                <w:lang w:eastAsia="lv-LV"/>
              </w:rPr>
            </w:pPr>
            <w:r w:rsidRPr="006E1FCB">
              <w:rPr>
                <w:sz w:val="22"/>
                <w:szCs w:val="22"/>
                <w:lang w:eastAsia="lv-LV"/>
              </w:rPr>
              <w:t>Atzinumā norādītais ministrijas (citas institūcijas) iebildums, kā arī saskaņošanā papildus izteiktais iebildums par projekta konkrēto punktu (pantu)</w:t>
            </w:r>
          </w:p>
        </w:tc>
        <w:tc>
          <w:tcPr>
            <w:tcW w:w="1068" w:type="pct"/>
            <w:tcBorders>
              <w:top w:val="outset" w:sz="6" w:space="0" w:color="414142"/>
              <w:left w:val="outset" w:sz="6" w:space="0" w:color="414142"/>
              <w:bottom w:val="outset" w:sz="6" w:space="0" w:color="414142"/>
              <w:right w:val="outset" w:sz="6" w:space="0" w:color="414142"/>
            </w:tcBorders>
            <w:vAlign w:val="center"/>
            <w:hideMark/>
          </w:tcPr>
          <w:p w14:paraId="636621C3" w14:textId="77777777" w:rsidR="004C7BFE" w:rsidRPr="006E1FCB" w:rsidRDefault="004C7BFE">
            <w:pPr>
              <w:jc w:val="center"/>
              <w:rPr>
                <w:sz w:val="22"/>
                <w:szCs w:val="22"/>
                <w:lang w:eastAsia="lv-LV"/>
              </w:rPr>
            </w:pPr>
            <w:r w:rsidRPr="006E1FCB">
              <w:rPr>
                <w:sz w:val="22"/>
                <w:szCs w:val="22"/>
                <w:lang w:eastAsia="lv-LV"/>
              </w:rPr>
              <w:t>Atbildīgās ministrijas norāde par to, ka iebildums ir ņemts vērā, vai informācija par saskaņošanā panākto alternatīvo risinājumu</w:t>
            </w:r>
          </w:p>
        </w:tc>
        <w:tc>
          <w:tcPr>
            <w:tcW w:w="1190" w:type="pct"/>
            <w:tcBorders>
              <w:top w:val="outset" w:sz="6" w:space="0" w:color="414142"/>
              <w:left w:val="outset" w:sz="6" w:space="0" w:color="414142"/>
              <w:bottom w:val="outset" w:sz="6" w:space="0" w:color="414142"/>
              <w:right w:val="outset" w:sz="6" w:space="0" w:color="414142"/>
            </w:tcBorders>
            <w:vAlign w:val="center"/>
            <w:hideMark/>
          </w:tcPr>
          <w:p w14:paraId="602A2269" w14:textId="77777777" w:rsidR="004C7BFE" w:rsidRPr="006E1FCB" w:rsidRDefault="004C7BFE">
            <w:pPr>
              <w:jc w:val="center"/>
              <w:rPr>
                <w:sz w:val="22"/>
                <w:szCs w:val="22"/>
                <w:lang w:eastAsia="lv-LV"/>
              </w:rPr>
            </w:pPr>
            <w:r w:rsidRPr="006E1FCB">
              <w:rPr>
                <w:sz w:val="22"/>
                <w:szCs w:val="22"/>
                <w:lang w:eastAsia="lv-LV"/>
              </w:rPr>
              <w:t>Projekta attiecīgā punkta (panta) galīgā redakcija</w:t>
            </w:r>
          </w:p>
        </w:tc>
      </w:tr>
      <w:tr w:rsidR="00597B6F" w:rsidRPr="00F93681" w14:paraId="3A890775" w14:textId="77777777" w:rsidTr="003715B2">
        <w:tc>
          <w:tcPr>
            <w:tcW w:w="249" w:type="pct"/>
            <w:tcBorders>
              <w:top w:val="outset" w:sz="6" w:space="0" w:color="414142"/>
              <w:left w:val="outset" w:sz="6" w:space="0" w:color="414142"/>
              <w:bottom w:val="outset" w:sz="6" w:space="0" w:color="414142"/>
              <w:right w:val="outset" w:sz="6" w:space="0" w:color="414142"/>
            </w:tcBorders>
          </w:tcPr>
          <w:p w14:paraId="2E03BB29" w14:textId="4C8C5872" w:rsidR="004C7BFE" w:rsidRPr="006E1FCB" w:rsidRDefault="00597B6F">
            <w:pPr>
              <w:jc w:val="center"/>
              <w:rPr>
                <w:sz w:val="22"/>
                <w:szCs w:val="22"/>
                <w:lang w:eastAsia="lv-LV"/>
              </w:rPr>
            </w:pPr>
            <w:r w:rsidRPr="006E1FCB">
              <w:rPr>
                <w:sz w:val="22"/>
                <w:szCs w:val="22"/>
                <w:lang w:eastAsia="lv-LV"/>
              </w:rPr>
              <w:t>1</w:t>
            </w:r>
          </w:p>
        </w:tc>
        <w:tc>
          <w:tcPr>
            <w:tcW w:w="1171" w:type="pct"/>
            <w:tcBorders>
              <w:top w:val="outset" w:sz="6" w:space="0" w:color="414142"/>
              <w:left w:val="outset" w:sz="6" w:space="0" w:color="414142"/>
              <w:bottom w:val="outset" w:sz="6" w:space="0" w:color="414142"/>
              <w:right w:val="outset" w:sz="6" w:space="0" w:color="414142"/>
            </w:tcBorders>
            <w:hideMark/>
          </w:tcPr>
          <w:p w14:paraId="602FCCB0" w14:textId="77777777" w:rsidR="004C7BFE" w:rsidRPr="006E1FCB" w:rsidRDefault="004C7BFE">
            <w:pPr>
              <w:jc w:val="center"/>
              <w:rPr>
                <w:sz w:val="22"/>
                <w:szCs w:val="22"/>
                <w:lang w:eastAsia="lv-LV"/>
              </w:rPr>
            </w:pPr>
            <w:r w:rsidRPr="006E1FCB">
              <w:rPr>
                <w:sz w:val="22"/>
                <w:szCs w:val="22"/>
                <w:lang w:eastAsia="lv-LV"/>
              </w:rPr>
              <w:t>2</w:t>
            </w:r>
          </w:p>
        </w:tc>
        <w:tc>
          <w:tcPr>
            <w:tcW w:w="1322" w:type="pct"/>
            <w:tcBorders>
              <w:top w:val="outset" w:sz="6" w:space="0" w:color="414142"/>
              <w:left w:val="outset" w:sz="6" w:space="0" w:color="414142"/>
              <w:bottom w:val="outset" w:sz="6" w:space="0" w:color="414142"/>
              <w:right w:val="outset" w:sz="6" w:space="0" w:color="414142"/>
            </w:tcBorders>
            <w:hideMark/>
          </w:tcPr>
          <w:p w14:paraId="24CC7001" w14:textId="77777777" w:rsidR="004C7BFE" w:rsidRPr="006E1FCB" w:rsidRDefault="004C7BFE">
            <w:pPr>
              <w:jc w:val="center"/>
              <w:rPr>
                <w:sz w:val="22"/>
                <w:szCs w:val="22"/>
                <w:lang w:eastAsia="lv-LV"/>
              </w:rPr>
            </w:pPr>
            <w:r w:rsidRPr="006E1FCB">
              <w:rPr>
                <w:sz w:val="22"/>
                <w:szCs w:val="22"/>
                <w:lang w:eastAsia="lv-LV"/>
              </w:rPr>
              <w:t>3</w:t>
            </w:r>
          </w:p>
        </w:tc>
        <w:tc>
          <w:tcPr>
            <w:tcW w:w="1068" w:type="pct"/>
            <w:tcBorders>
              <w:top w:val="outset" w:sz="6" w:space="0" w:color="414142"/>
              <w:left w:val="outset" w:sz="6" w:space="0" w:color="414142"/>
              <w:bottom w:val="outset" w:sz="6" w:space="0" w:color="414142"/>
              <w:right w:val="outset" w:sz="6" w:space="0" w:color="414142"/>
            </w:tcBorders>
            <w:hideMark/>
          </w:tcPr>
          <w:p w14:paraId="51F197B3" w14:textId="77777777" w:rsidR="004C7BFE" w:rsidRPr="006E1FCB" w:rsidRDefault="004C7BFE">
            <w:pPr>
              <w:jc w:val="center"/>
              <w:rPr>
                <w:sz w:val="22"/>
                <w:szCs w:val="22"/>
                <w:lang w:eastAsia="lv-LV"/>
              </w:rPr>
            </w:pPr>
            <w:r w:rsidRPr="006E1FCB">
              <w:rPr>
                <w:sz w:val="22"/>
                <w:szCs w:val="22"/>
                <w:lang w:eastAsia="lv-LV"/>
              </w:rPr>
              <w:t>4</w:t>
            </w:r>
          </w:p>
        </w:tc>
        <w:tc>
          <w:tcPr>
            <w:tcW w:w="1190" w:type="pct"/>
            <w:tcBorders>
              <w:top w:val="outset" w:sz="6" w:space="0" w:color="414142"/>
              <w:left w:val="outset" w:sz="6" w:space="0" w:color="414142"/>
              <w:bottom w:val="outset" w:sz="6" w:space="0" w:color="414142"/>
              <w:right w:val="outset" w:sz="6" w:space="0" w:color="414142"/>
            </w:tcBorders>
            <w:hideMark/>
          </w:tcPr>
          <w:p w14:paraId="3C5596DA" w14:textId="77777777" w:rsidR="004C7BFE" w:rsidRPr="006E1FCB" w:rsidRDefault="004C7BFE">
            <w:pPr>
              <w:jc w:val="center"/>
              <w:rPr>
                <w:sz w:val="22"/>
                <w:szCs w:val="22"/>
                <w:lang w:eastAsia="lv-LV"/>
              </w:rPr>
            </w:pPr>
            <w:r w:rsidRPr="006E1FCB">
              <w:rPr>
                <w:sz w:val="22"/>
                <w:szCs w:val="22"/>
                <w:lang w:eastAsia="lv-LV"/>
              </w:rPr>
              <w:t>5</w:t>
            </w:r>
          </w:p>
        </w:tc>
      </w:tr>
      <w:tr w:rsidR="00597B6F" w:rsidRPr="00F93681" w14:paraId="499D481F" w14:textId="77777777" w:rsidTr="003715B2">
        <w:trPr>
          <w:trHeight w:val="200"/>
        </w:trPr>
        <w:tc>
          <w:tcPr>
            <w:tcW w:w="249" w:type="pct"/>
            <w:tcBorders>
              <w:top w:val="outset" w:sz="6" w:space="0" w:color="414142"/>
              <w:left w:val="outset" w:sz="6" w:space="0" w:color="414142"/>
              <w:bottom w:val="outset" w:sz="6" w:space="0" w:color="414142"/>
              <w:right w:val="outset" w:sz="6" w:space="0" w:color="414142"/>
            </w:tcBorders>
          </w:tcPr>
          <w:p w14:paraId="35EFDA50" w14:textId="77777777" w:rsidR="0001797E" w:rsidRPr="00F93681" w:rsidRDefault="0001797E">
            <w:pPr>
              <w:pStyle w:val="ListParagraph"/>
              <w:numPr>
                <w:ilvl w:val="0"/>
                <w:numId w:val="4"/>
              </w:numPr>
              <w:spacing w:after="0" w:line="240" w:lineRule="auto"/>
              <w:ind w:left="537"/>
              <w:rPr>
                <w:rFonts w:ascii="Times New Roman" w:eastAsia="Times New Roman" w:hAnsi="Times New Roman" w:cs="Times New Roman"/>
                <w:lang w:eastAsia="lv-LV"/>
              </w:rPr>
            </w:pPr>
          </w:p>
        </w:tc>
        <w:tc>
          <w:tcPr>
            <w:tcW w:w="1171" w:type="pct"/>
            <w:tcBorders>
              <w:top w:val="outset" w:sz="6" w:space="0" w:color="414142"/>
              <w:left w:val="outset" w:sz="6" w:space="0" w:color="414142"/>
              <w:bottom w:val="outset" w:sz="6" w:space="0" w:color="414142"/>
              <w:right w:val="outset" w:sz="6" w:space="0" w:color="414142"/>
            </w:tcBorders>
          </w:tcPr>
          <w:p w14:paraId="4D96FB7D" w14:textId="7B99104E" w:rsidR="0001797E" w:rsidRPr="006E1FCB" w:rsidRDefault="00F47F75">
            <w:pPr>
              <w:jc w:val="both"/>
              <w:rPr>
                <w:sz w:val="22"/>
                <w:szCs w:val="22"/>
                <w:lang w:eastAsia="lv-LV"/>
              </w:rPr>
            </w:pPr>
            <w:r w:rsidRPr="006E1FCB">
              <w:rPr>
                <w:sz w:val="22"/>
                <w:szCs w:val="22"/>
                <w:lang w:eastAsia="lv-LV"/>
              </w:rPr>
              <w:t>Likumprojekt</w:t>
            </w:r>
            <w:r w:rsidR="00F429F6" w:rsidRPr="006E1FCB">
              <w:rPr>
                <w:sz w:val="22"/>
                <w:szCs w:val="22"/>
                <w:lang w:eastAsia="lv-LV"/>
              </w:rPr>
              <w:t>s</w:t>
            </w:r>
            <w:r w:rsidRPr="006E1FCB">
              <w:rPr>
                <w:sz w:val="22"/>
                <w:szCs w:val="22"/>
                <w:lang w:eastAsia="lv-LV"/>
              </w:rPr>
              <w:t xml:space="preserve"> „Grozījumi Covid-19 infekcijas izplatības pārvaldības likumā” </w:t>
            </w:r>
            <w:r w:rsidR="00684526" w:rsidRPr="006E1FCB">
              <w:rPr>
                <w:sz w:val="22"/>
                <w:szCs w:val="22"/>
                <w:lang w:eastAsia="lv-LV"/>
              </w:rPr>
              <w:t>(turpmāk – Likumprojekts)</w:t>
            </w:r>
            <w:r w:rsidRPr="006E1FCB">
              <w:rPr>
                <w:sz w:val="22"/>
                <w:szCs w:val="22"/>
                <w:lang w:eastAsia="lv-LV"/>
              </w:rPr>
              <w:t>.</w:t>
            </w:r>
          </w:p>
        </w:tc>
        <w:tc>
          <w:tcPr>
            <w:tcW w:w="1322" w:type="pct"/>
            <w:tcBorders>
              <w:top w:val="outset" w:sz="6" w:space="0" w:color="414142"/>
              <w:left w:val="outset" w:sz="6" w:space="0" w:color="414142"/>
              <w:bottom w:val="outset" w:sz="6" w:space="0" w:color="414142"/>
              <w:right w:val="outset" w:sz="6" w:space="0" w:color="414142"/>
            </w:tcBorders>
          </w:tcPr>
          <w:p w14:paraId="343ACEBD" w14:textId="4C929EA9" w:rsidR="0001797E" w:rsidRPr="006E1FCB" w:rsidRDefault="00F47F75">
            <w:pPr>
              <w:jc w:val="both"/>
              <w:rPr>
                <w:b/>
                <w:bCs/>
                <w:sz w:val="22"/>
                <w:szCs w:val="22"/>
                <w:lang w:eastAsia="lv-LV"/>
              </w:rPr>
            </w:pPr>
            <w:r w:rsidRPr="006E1FCB">
              <w:rPr>
                <w:b/>
                <w:bCs/>
                <w:sz w:val="22"/>
                <w:szCs w:val="22"/>
                <w:lang w:eastAsia="lv-LV"/>
              </w:rPr>
              <w:t>Finanšu</w:t>
            </w:r>
            <w:r w:rsidR="0001797E" w:rsidRPr="006E1FCB">
              <w:rPr>
                <w:b/>
                <w:bCs/>
                <w:sz w:val="22"/>
                <w:szCs w:val="22"/>
                <w:lang w:eastAsia="lv-LV"/>
              </w:rPr>
              <w:t xml:space="preserve"> ministrija</w:t>
            </w:r>
            <w:r w:rsidR="00296AD3" w:rsidRPr="006E1FCB">
              <w:rPr>
                <w:b/>
                <w:bCs/>
                <w:sz w:val="22"/>
                <w:szCs w:val="22"/>
                <w:lang w:eastAsia="lv-LV"/>
              </w:rPr>
              <w:t>:</w:t>
            </w:r>
          </w:p>
          <w:p w14:paraId="1BC4E8CA" w14:textId="38D00094" w:rsidR="00F47F75" w:rsidRPr="006E1FCB" w:rsidRDefault="00F47F75" w:rsidP="006E1FCB">
            <w:pPr>
              <w:jc w:val="both"/>
              <w:rPr>
                <w:sz w:val="22"/>
                <w:szCs w:val="22"/>
                <w:lang w:eastAsia="lv-LV"/>
              </w:rPr>
            </w:pPr>
            <w:r w:rsidRPr="006E1FCB">
              <w:rPr>
                <w:sz w:val="22"/>
                <w:szCs w:val="22"/>
                <w:lang w:eastAsia="lv-LV"/>
              </w:rPr>
              <w:t>Ne likumprojekta 1.pantā, ne anotācijā nav norādīts, kādi dati un kādā apjomā būs jāsniedz Valsts ieņēmumu dienestam (turpmāk – VID), līdz ar to nevar izvērtēt sniedzamo datu apjomu, kā arī to, vai VID rīcībā ir dati, ko plāno saņemt attiecīgās institūcijas.</w:t>
            </w:r>
          </w:p>
          <w:p w14:paraId="6C2356A9" w14:textId="77777777" w:rsidR="00F47F75" w:rsidRPr="006E1FCB" w:rsidRDefault="00F47F75" w:rsidP="006E1FCB">
            <w:pPr>
              <w:jc w:val="both"/>
              <w:rPr>
                <w:sz w:val="22"/>
                <w:szCs w:val="22"/>
                <w:lang w:eastAsia="lv-LV"/>
              </w:rPr>
            </w:pPr>
            <w:r w:rsidRPr="006E1FCB">
              <w:rPr>
                <w:sz w:val="22"/>
                <w:szCs w:val="22"/>
                <w:lang w:eastAsia="lv-LV"/>
              </w:rPr>
              <w:t xml:space="preserve">Ja likumprojektā ietvertā Covid-19 infekcijas izplatības pārvaldības likuma 6.8panta redakcija netiks precizēta un sniegts skaidrojums anotācijā par datu izmantošanu, tad iespējams risks, ka no VID saņemto datu apjoms būs lielāks, nekā tas nepieciešams plānotā nolūka nodrošināšanai, kādam tie tiks izmantoti, un līdz ar to iespējams, ka pieņemtās likuma normas izpildes procesā tiks pārkāpts viens no svarīgiem datu subjekta tiesību uz savu datu aizsardzību mehānismiem – Vispārīgās datu aizsardzības regulas 5.panta 1.punkta “c” apakšpunktā minētais personas datu apstrādes princips. </w:t>
            </w:r>
          </w:p>
          <w:p w14:paraId="351DCBD1" w14:textId="22C083F6" w:rsidR="0001797E" w:rsidRPr="006E1FCB" w:rsidRDefault="00F47F75" w:rsidP="006E1FCB">
            <w:pPr>
              <w:jc w:val="both"/>
              <w:rPr>
                <w:sz w:val="22"/>
                <w:szCs w:val="22"/>
                <w:lang w:eastAsia="lv-LV"/>
              </w:rPr>
            </w:pPr>
            <w:r w:rsidRPr="006E1FCB">
              <w:rPr>
                <w:sz w:val="22"/>
                <w:szCs w:val="22"/>
                <w:lang w:eastAsia="lv-LV"/>
              </w:rPr>
              <w:t xml:space="preserve">Ņemot vērā minēto, lūdzam papildināt likumprojekta 1.pantā ietverto 6.8panta redakciju ar datiem, kādus plāno saņemt no VID, un sniegt skaidrojumu anotācijā, norādot precīzi, kādus datus un kādā </w:t>
            </w:r>
            <w:r w:rsidRPr="006E1FCB">
              <w:rPr>
                <w:sz w:val="22"/>
                <w:szCs w:val="22"/>
                <w:lang w:eastAsia="lv-LV"/>
              </w:rPr>
              <w:lastRenderedPageBreak/>
              <w:t>apjomā ir paredzēts saņemt no VID un, kādus no VID datu veidus attiecīgās institūcijas izmantos.</w:t>
            </w:r>
          </w:p>
        </w:tc>
        <w:tc>
          <w:tcPr>
            <w:tcW w:w="1068" w:type="pct"/>
            <w:tcBorders>
              <w:top w:val="outset" w:sz="6" w:space="0" w:color="414142"/>
              <w:left w:val="outset" w:sz="6" w:space="0" w:color="414142"/>
              <w:bottom w:val="outset" w:sz="6" w:space="0" w:color="414142"/>
              <w:right w:val="outset" w:sz="6" w:space="0" w:color="414142"/>
            </w:tcBorders>
          </w:tcPr>
          <w:p w14:paraId="5320ED3D" w14:textId="77777777" w:rsidR="00941A6A" w:rsidRPr="006E1FCB" w:rsidRDefault="0001797E">
            <w:pPr>
              <w:jc w:val="center"/>
              <w:rPr>
                <w:b/>
                <w:bCs/>
                <w:sz w:val="22"/>
                <w:szCs w:val="22"/>
                <w:lang w:eastAsia="lv-LV"/>
              </w:rPr>
            </w:pPr>
            <w:r w:rsidRPr="006E1FCB">
              <w:rPr>
                <w:b/>
                <w:bCs/>
                <w:sz w:val="22"/>
                <w:szCs w:val="22"/>
                <w:lang w:eastAsia="lv-LV"/>
              </w:rPr>
              <w:lastRenderedPageBreak/>
              <w:t>Ņemts vērā</w:t>
            </w:r>
          </w:p>
          <w:p w14:paraId="313A0E9C" w14:textId="00A91ECF" w:rsidR="00941A6A" w:rsidRPr="006E1FCB" w:rsidRDefault="00941A6A">
            <w:pPr>
              <w:jc w:val="both"/>
              <w:rPr>
                <w:sz w:val="22"/>
                <w:szCs w:val="22"/>
                <w:lang w:eastAsia="lv-LV"/>
              </w:rPr>
            </w:pPr>
          </w:p>
        </w:tc>
        <w:tc>
          <w:tcPr>
            <w:tcW w:w="1190" w:type="pct"/>
            <w:tcBorders>
              <w:top w:val="outset" w:sz="6" w:space="0" w:color="414142"/>
              <w:left w:val="outset" w:sz="6" w:space="0" w:color="414142"/>
              <w:bottom w:val="outset" w:sz="6" w:space="0" w:color="414142"/>
              <w:right w:val="outset" w:sz="6" w:space="0" w:color="414142"/>
            </w:tcBorders>
          </w:tcPr>
          <w:p w14:paraId="62DA47DD" w14:textId="3065DB60" w:rsidR="0001797E" w:rsidRPr="006E1FCB" w:rsidRDefault="00F47F75">
            <w:pPr>
              <w:jc w:val="both"/>
              <w:rPr>
                <w:bCs/>
                <w:sz w:val="22"/>
                <w:szCs w:val="22"/>
                <w:lang w:eastAsia="lv-LV"/>
              </w:rPr>
            </w:pPr>
            <w:r w:rsidRPr="006E1FCB">
              <w:rPr>
                <w:bCs/>
                <w:sz w:val="22"/>
                <w:szCs w:val="22"/>
                <w:lang w:eastAsia="lv-LV"/>
              </w:rPr>
              <w:t>Papildināt</w:t>
            </w:r>
            <w:r w:rsidR="00F429F6" w:rsidRPr="006E1FCB">
              <w:rPr>
                <w:bCs/>
                <w:sz w:val="22"/>
                <w:szCs w:val="22"/>
                <w:lang w:eastAsia="lv-LV"/>
              </w:rPr>
              <w:t>s</w:t>
            </w:r>
            <w:r w:rsidR="00296AD3" w:rsidRPr="006E1FCB">
              <w:rPr>
                <w:bCs/>
                <w:sz w:val="22"/>
                <w:szCs w:val="22"/>
                <w:lang w:eastAsia="lv-LV"/>
              </w:rPr>
              <w:t xml:space="preserve"> </w:t>
            </w:r>
            <w:r w:rsidRPr="006E1FCB">
              <w:rPr>
                <w:bCs/>
                <w:sz w:val="22"/>
                <w:szCs w:val="22"/>
                <w:lang w:eastAsia="lv-LV"/>
              </w:rPr>
              <w:t xml:space="preserve">Likumprojekta </w:t>
            </w:r>
            <w:r w:rsidR="00F429F6" w:rsidRPr="006E1FCB">
              <w:rPr>
                <w:sz w:val="22"/>
                <w:szCs w:val="22"/>
                <w:lang w:eastAsia="lv-LV"/>
              </w:rPr>
              <w:t xml:space="preserve">sākotnējās ietekmes novērtējuma ziņojums (anotācija) </w:t>
            </w:r>
            <w:r w:rsidRPr="006E1FCB">
              <w:rPr>
                <w:bCs/>
                <w:sz w:val="22"/>
                <w:szCs w:val="22"/>
                <w:lang w:eastAsia="lv-LV"/>
              </w:rPr>
              <w:t xml:space="preserve">ar </w:t>
            </w:r>
            <w:r w:rsidR="00F429F6" w:rsidRPr="006E1FCB">
              <w:rPr>
                <w:bCs/>
                <w:sz w:val="22"/>
                <w:szCs w:val="22"/>
                <w:lang w:eastAsia="lv-LV"/>
              </w:rPr>
              <w:t xml:space="preserve">šādu </w:t>
            </w:r>
            <w:r w:rsidRPr="006E1FCB">
              <w:rPr>
                <w:bCs/>
                <w:sz w:val="22"/>
                <w:szCs w:val="22"/>
                <w:lang w:eastAsia="lv-LV"/>
              </w:rPr>
              <w:t>skaidrojumu</w:t>
            </w:r>
            <w:r w:rsidR="00500DA7" w:rsidRPr="006E1FCB">
              <w:rPr>
                <w:bCs/>
                <w:sz w:val="22"/>
                <w:szCs w:val="22"/>
                <w:lang w:eastAsia="lv-LV"/>
              </w:rPr>
              <w:t>:</w:t>
            </w:r>
          </w:p>
          <w:p w14:paraId="5366FE3D" w14:textId="77777777" w:rsidR="00751A35" w:rsidRPr="006E1FCB" w:rsidRDefault="00751A35">
            <w:pPr>
              <w:jc w:val="both"/>
              <w:rPr>
                <w:bCs/>
                <w:sz w:val="22"/>
                <w:szCs w:val="22"/>
                <w:lang w:eastAsia="lv-LV"/>
              </w:rPr>
            </w:pPr>
          </w:p>
          <w:p w14:paraId="25AD5AEE" w14:textId="4A594695" w:rsidR="00F47F75" w:rsidRPr="006E1FCB" w:rsidRDefault="00751A35">
            <w:pPr>
              <w:jc w:val="both"/>
              <w:rPr>
                <w:sz w:val="22"/>
                <w:szCs w:val="22"/>
                <w:lang w:eastAsia="lv-LV"/>
              </w:rPr>
            </w:pPr>
            <w:r w:rsidRPr="006E1FCB">
              <w:rPr>
                <w:sz w:val="22"/>
                <w:szCs w:val="22"/>
                <w:lang w:eastAsia="lv-LV"/>
              </w:rPr>
              <w:t>„</w:t>
            </w:r>
            <w:r w:rsidR="00F47F75" w:rsidRPr="006E1FCB">
              <w:rPr>
                <w:sz w:val="22"/>
                <w:szCs w:val="22"/>
                <w:lang w:eastAsia="lv-LV"/>
              </w:rPr>
              <w:t>Likumprojekta mērķis, paredzot grozīt Likuma 6.</w:t>
            </w:r>
            <w:r w:rsidR="00F47F75" w:rsidRPr="006E1FCB">
              <w:rPr>
                <w:sz w:val="22"/>
                <w:szCs w:val="22"/>
                <w:vertAlign w:val="superscript"/>
                <w:lang w:eastAsia="lv-LV"/>
              </w:rPr>
              <w:t>8</w:t>
            </w:r>
            <w:r w:rsidR="00F47F75" w:rsidRPr="006E1FCB">
              <w:rPr>
                <w:sz w:val="22"/>
                <w:szCs w:val="22"/>
                <w:lang w:eastAsia="lv-LV"/>
              </w:rPr>
              <w:t xml:space="preserve"> pantu, ir sekmēt vakcināciju un sasniegt pēc iespējas augstāku vakcinācijas aptveri sabiedrībā kopumā, kā arī balstīt to uz datiem attiecībā uz vakcinācijas procesa norisi un vakcinēto personu īpatsvaru dažādās profesiju un amatu grupās, dažādās vecuma grupās, kā arī pašvaldībās un tautsaimniecības nozarēs. Likumprojekta īstenošanas rezultātā iegūtie dati ļaus sekmīgāk un mērķtiecīgāk veicināt vakcinācijas pret Covid-19 norisi, kā arī mērķtiecīgāk un precīzāk vadīt koronavīrusa SARS-CoV-2 izplatību ierobežojošo pasākumu noteikšanu un īstenošanu, tādējādi mazinot izmaksas tautsaimniecībai.</w:t>
            </w:r>
          </w:p>
          <w:p w14:paraId="0686357B" w14:textId="77777777" w:rsidR="00F47F75" w:rsidRPr="006E1FCB" w:rsidRDefault="00F47F75" w:rsidP="006E1FCB">
            <w:pPr>
              <w:ind w:firstLine="567"/>
              <w:jc w:val="both"/>
              <w:rPr>
                <w:sz w:val="22"/>
                <w:szCs w:val="22"/>
                <w:lang w:eastAsia="lv-LV"/>
              </w:rPr>
            </w:pPr>
            <w:r w:rsidRPr="006E1FCB">
              <w:rPr>
                <w:sz w:val="22"/>
                <w:szCs w:val="22"/>
                <w:lang w:eastAsia="lv-LV"/>
              </w:rPr>
              <w:t xml:space="preserve">Lai nodrošinātu minēto mērķu īstenošanu, Likumprojekta 1.pants paredz noteikt, ka Centrālā statistikas pārvalde saņems personas datus (vārds, uzvārds, personas kods) par personām, kurām ir uzsākta un </w:t>
            </w:r>
            <w:r w:rsidRPr="006E1FCB">
              <w:rPr>
                <w:sz w:val="22"/>
                <w:szCs w:val="22"/>
                <w:lang w:eastAsia="lv-LV"/>
              </w:rPr>
              <w:lastRenderedPageBreak/>
              <w:t>pabeigta vakcinācija pret Covid-19, un apvienos šos datus ar datiem par šīm personām no citām valsts informācijas sistēmām un izveidos pseidonimizētu datu masīvu, kas tiks izmantots šo datu analīzei un lēmumu pieņemšanai par vakcinācijas veicināšanas pasākumiem un potenciāli par Covid-19 izplatību ierobežojošiem pasākumiem.</w:t>
            </w:r>
          </w:p>
          <w:p w14:paraId="3757BEB3" w14:textId="4E9DB5C2" w:rsidR="005940B4" w:rsidRPr="006E1FCB" w:rsidRDefault="00F47F75" w:rsidP="006E1FCB">
            <w:pPr>
              <w:ind w:firstLine="567"/>
              <w:jc w:val="both"/>
              <w:rPr>
                <w:sz w:val="22"/>
                <w:szCs w:val="22"/>
                <w:lang w:eastAsia="lv-LV"/>
              </w:rPr>
            </w:pPr>
            <w:r w:rsidRPr="006E1FCB">
              <w:rPr>
                <w:sz w:val="22"/>
                <w:szCs w:val="22"/>
                <w:lang w:eastAsia="lv-LV"/>
              </w:rPr>
              <w:t xml:space="preserve">Likumprojekta 1.panta būtība ir paredzēt, ka tiek sniegts deleģējums tam, ka Centrālā statistikas pārvalde, balstoties uz Nacionālā veselības dienesta reizi divās nedēļās iesniegtiem vakcināciju uzsākušo un vakcināciju pabeigušo personu personas kodiem, sasaista personas kodu un vārdu un uzvārdu ar Centrālās statistikas pārvaldes rīcībā esošajiem Pilsonības un migrācijas pārvaldes Iedzīvotāju reģistra informācijas sistēmas, Valsts ieņēmumu dienesta, Izglītības un zinātnes ministrijas, Valsts sociālās apdrošināšanas aģentūras un Nodarbinātības valsts aģentūras datiem par šīm personām, kā arī tūlītēji nodrošina apvienoto datu pseidonimizēšanu un personu kodu, vārdu un uzvārdu dzēšanu, kā arī izveidotā pseidonomizētā datu masīva drošu attālinātu piekļuvi Slimību profilakses un kontroles centram (saglabājot Slimību profilakses un kontroles centra </w:t>
            </w:r>
            <w:r w:rsidRPr="006E1FCB">
              <w:rPr>
                <w:sz w:val="22"/>
                <w:szCs w:val="22"/>
                <w:lang w:eastAsia="lv-LV"/>
              </w:rPr>
              <w:lastRenderedPageBreak/>
              <w:t>personu reģistrācijas numurus), Ekonomikas ministrijai un Pārresoru koordinācijas centram šo datu analīzei bez Slimību profilakses un kontroles centra personu reģistrācijas numuriem. Pseidonimizētajā datu masīvā tiktu iekļauti šādi dati par personu: personas datu iekļaušanas datu masīvā datums, vakcinācijas kursa pirmās un otrās devas saņemšanas datumi, vakcīnas nosaukums, un sociālekonomiskie dati – personas dzimšanas gads, personas deklarētās dzīvesvietas adrese, personas darba vieta, tautsaimniecības nozare pēc NACE klasifikācijas, darba vietas adrese, amatu grupa, amats, personas bezdarbnieka vai pensionāra statuss. Papildus Centrālā statistikas pārvalde pievieno informāciju par personu kopskaitu valstī, kas atbilst katrai no datu pazīmēm, piemēram, 1971.gadā dzimušo iedzīvotāju kopskaits vai bērnudārzu pedagogu kopskaits valstī.</w:t>
            </w:r>
          </w:p>
          <w:p w14:paraId="1B4F3B29" w14:textId="1352C30C" w:rsidR="00A963BD" w:rsidRPr="006E1FCB" w:rsidRDefault="00F47F75" w:rsidP="006E1FCB">
            <w:pPr>
              <w:ind w:firstLine="567"/>
              <w:jc w:val="both"/>
              <w:rPr>
                <w:sz w:val="22"/>
                <w:szCs w:val="22"/>
                <w:lang w:eastAsia="lv-LV"/>
              </w:rPr>
            </w:pPr>
            <w:r w:rsidRPr="006E1FCB">
              <w:rPr>
                <w:sz w:val="22"/>
                <w:szCs w:val="22"/>
                <w:lang w:eastAsia="lv-LV"/>
              </w:rPr>
              <w:t xml:space="preserve">Lai nodrošinātu, ka personu personas dati tiek izmantoti tikai regulējuma leģitīmā mērķa sasniegšanai un netiek uzglabāti ilgāk nekā tas ir nepieciešams šī mērķa sasniegšanai, Ministru kabineta noteikumos jāparedz, ka Centrālā statistikas pārvalde personas kodus un vārdus un uzvārdus pēc datu apvienošanas un pseidonimizēšanas </w:t>
            </w:r>
            <w:r w:rsidRPr="006E1FCB">
              <w:rPr>
                <w:sz w:val="22"/>
                <w:szCs w:val="22"/>
                <w:lang w:eastAsia="lv-LV"/>
              </w:rPr>
              <w:lastRenderedPageBreak/>
              <w:t>dzēš, bet pseidonimizētos datus par personu glabā ne ilgāk kā nepieciešams un datu masīvu regulāri atjauno, papildinot to ar jaunāko informāciju un dzēšot to informāciju, kuras glabāšana datu masīvā vairs nav nepieciešama.</w:t>
            </w:r>
            <w:r w:rsidR="00492AE3" w:rsidRPr="006E1FCB">
              <w:rPr>
                <w:sz w:val="22"/>
                <w:szCs w:val="22"/>
                <w:lang w:eastAsia="lv-LV"/>
              </w:rPr>
              <w:t xml:space="preserve"> [..]</w:t>
            </w:r>
            <w:r w:rsidRPr="006E1FCB">
              <w:rPr>
                <w:sz w:val="22"/>
                <w:szCs w:val="22"/>
                <w:lang w:eastAsia="lv-LV"/>
              </w:rPr>
              <w:t>”</w:t>
            </w:r>
          </w:p>
        </w:tc>
      </w:tr>
      <w:tr w:rsidR="003A4D62" w:rsidRPr="00F93681" w14:paraId="32D7A905" w14:textId="77777777" w:rsidTr="003715B2">
        <w:trPr>
          <w:trHeight w:val="200"/>
        </w:trPr>
        <w:tc>
          <w:tcPr>
            <w:tcW w:w="249" w:type="pct"/>
            <w:tcBorders>
              <w:top w:val="outset" w:sz="6" w:space="0" w:color="414142"/>
              <w:left w:val="outset" w:sz="6" w:space="0" w:color="414142"/>
              <w:bottom w:val="outset" w:sz="6" w:space="0" w:color="414142"/>
              <w:right w:val="outset" w:sz="6" w:space="0" w:color="414142"/>
            </w:tcBorders>
          </w:tcPr>
          <w:p w14:paraId="31E497E4" w14:textId="77777777" w:rsidR="002B7CBA" w:rsidRPr="00F93681" w:rsidRDefault="002B7CBA">
            <w:pPr>
              <w:pStyle w:val="ListParagraph"/>
              <w:numPr>
                <w:ilvl w:val="0"/>
                <w:numId w:val="4"/>
              </w:numPr>
              <w:spacing w:after="0" w:line="240" w:lineRule="auto"/>
              <w:ind w:left="537"/>
              <w:rPr>
                <w:rFonts w:ascii="Times New Roman" w:eastAsia="Times New Roman" w:hAnsi="Times New Roman" w:cs="Times New Roman"/>
                <w:lang w:eastAsia="lv-LV"/>
              </w:rPr>
            </w:pPr>
          </w:p>
        </w:tc>
        <w:tc>
          <w:tcPr>
            <w:tcW w:w="1171" w:type="pct"/>
            <w:tcBorders>
              <w:top w:val="outset" w:sz="6" w:space="0" w:color="414142"/>
              <w:left w:val="outset" w:sz="6" w:space="0" w:color="414142"/>
              <w:bottom w:val="outset" w:sz="6" w:space="0" w:color="414142"/>
              <w:right w:val="outset" w:sz="6" w:space="0" w:color="414142"/>
            </w:tcBorders>
          </w:tcPr>
          <w:p w14:paraId="38ADFA75" w14:textId="4144FFB8" w:rsidR="00F47F75" w:rsidRPr="006E1FCB" w:rsidRDefault="00F47F75">
            <w:pPr>
              <w:jc w:val="both"/>
              <w:rPr>
                <w:sz w:val="22"/>
                <w:szCs w:val="22"/>
                <w:lang w:eastAsia="lv-LV"/>
              </w:rPr>
            </w:pPr>
            <w:r w:rsidRPr="006E1FCB">
              <w:rPr>
                <w:sz w:val="22"/>
                <w:szCs w:val="22"/>
                <w:lang w:eastAsia="lv-LV"/>
              </w:rPr>
              <w:t xml:space="preserve">Likumprojekta 2.pantā ietvertā </w:t>
            </w:r>
            <w:r w:rsidR="00684526" w:rsidRPr="006E1FCB">
              <w:rPr>
                <w:sz w:val="22"/>
                <w:szCs w:val="22"/>
                <w:lang w:eastAsia="lv-LV"/>
              </w:rPr>
              <w:t xml:space="preserve">Covid-19 infekcijas izplatības pārvaldības likuma </w:t>
            </w:r>
            <w:r w:rsidRPr="006E1FCB">
              <w:rPr>
                <w:sz w:val="22"/>
                <w:szCs w:val="22"/>
                <w:lang w:eastAsia="lv-LV"/>
              </w:rPr>
              <w:t>7.panta ceturtā daļa:</w:t>
            </w:r>
          </w:p>
          <w:p w14:paraId="6B2F686A" w14:textId="77777777" w:rsidR="00684526" w:rsidRPr="006E1FCB" w:rsidRDefault="00684526">
            <w:pPr>
              <w:jc w:val="both"/>
              <w:rPr>
                <w:sz w:val="22"/>
                <w:szCs w:val="22"/>
                <w:lang w:eastAsia="lv-LV"/>
              </w:rPr>
            </w:pPr>
          </w:p>
          <w:p w14:paraId="29A3DC5F" w14:textId="3FB634F9" w:rsidR="00500DA7" w:rsidRPr="006E1FCB" w:rsidRDefault="00F47F75">
            <w:pPr>
              <w:jc w:val="both"/>
              <w:rPr>
                <w:b/>
                <w:bCs/>
                <w:sz w:val="22"/>
                <w:szCs w:val="22"/>
                <w:lang w:eastAsia="lv-LV"/>
              </w:rPr>
            </w:pPr>
            <w:r w:rsidRPr="006E1FCB">
              <w:rPr>
                <w:sz w:val="22"/>
                <w:szCs w:val="22"/>
                <w:lang w:eastAsia="lv-LV"/>
              </w:rPr>
              <w:t>„(4) Ja pasākums ir izziņots un izlikts pārdošanā līdz 2021.gada 15.jūnijam un pakalpojuma sniedzējs pēc pasākuma izziņošanas saskaņā ar normatīvo aktu prasībām ir noteicis tādas epidemioloģiskās drošības prasības pasākuma norisei, kas liedz personai apmeklēt pasākumu, jo personai nav sadarbspējīga vakcinācijas, pārslimošanas vai testēšanas sertifikāta (Covid-19 sertifikāts) atbilstoši izziņotajam pasākuma norises veidam, persona epidemioloģiskās drošības nolūkos atsakās apmeklēt pasākumu, pakalpojuma sniedzējs nesaņemtā pakalpojuma gadījumā pēc pieprasījuma līdz 2021.gada 31.augustam atmaksā patērētājam biļetes cenu.”</w:t>
            </w:r>
          </w:p>
        </w:tc>
        <w:tc>
          <w:tcPr>
            <w:tcW w:w="1322" w:type="pct"/>
            <w:tcBorders>
              <w:top w:val="outset" w:sz="6" w:space="0" w:color="414142"/>
              <w:left w:val="outset" w:sz="6" w:space="0" w:color="414142"/>
              <w:bottom w:val="outset" w:sz="6" w:space="0" w:color="414142"/>
              <w:right w:val="outset" w:sz="6" w:space="0" w:color="414142"/>
            </w:tcBorders>
          </w:tcPr>
          <w:p w14:paraId="0E49FA7D" w14:textId="47B1FEED" w:rsidR="002B7CBA" w:rsidRPr="006E1FCB" w:rsidRDefault="00F47F75">
            <w:pPr>
              <w:jc w:val="both"/>
              <w:rPr>
                <w:b/>
                <w:bCs/>
                <w:sz w:val="22"/>
                <w:szCs w:val="22"/>
                <w:lang w:eastAsia="lv-LV"/>
              </w:rPr>
            </w:pPr>
            <w:r w:rsidRPr="006E1FCB">
              <w:rPr>
                <w:b/>
                <w:bCs/>
                <w:sz w:val="22"/>
                <w:szCs w:val="22"/>
                <w:lang w:eastAsia="lv-LV"/>
              </w:rPr>
              <w:t>Finanšu</w:t>
            </w:r>
            <w:r w:rsidR="002B7CBA" w:rsidRPr="006E1FCB">
              <w:rPr>
                <w:b/>
                <w:bCs/>
                <w:sz w:val="22"/>
                <w:szCs w:val="22"/>
                <w:lang w:eastAsia="lv-LV"/>
              </w:rPr>
              <w:t xml:space="preserve"> ministrija:</w:t>
            </w:r>
          </w:p>
          <w:p w14:paraId="471B35F2" w14:textId="01506B2A" w:rsidR="002B7CBA" w:rsidRPr="006E1FCB" w:rsidRDefault="00F47F75" w:rsidP="006E1FCB">
            <w:pPr>
              <w:jc w:val="both"/>
              <w:rPr>
                <w:sz w:val="22"/>
                <w:szCs w:val="22"/>
                <w:lang w:eastAsia="lv-LV"/>
              </w:rPr>
            </w:pPr>
            <w:r w:rsidRPr="006E1FCB">
              <w:rPr>
                <w:sz w:val="22"/>
                <w:szCs w:val="22"/>
                <w:lang w:eastAsia="lv-LV"/>
              </w:rPr>
              <w:t xml:space="preserve">Ņemot vērā, ka informatīvā ziņojuma "Par atbalsta programmas "Par atbalsta pasākumu Covid-19 krīzes ietekmētajiem kultūras pasākumu rīkotājiem" pagarinājumu" (turpmāk – informatīvais ziņojums) (apstiprināts Ministru kabinetā 29.06.2021) 2.lpp. ietvertais biļešu atgriešanas kompensācijas gadījums – par līdz 2021.gada 31.augustam atgrieztajām biļetēm uz pasākumiem, kuri bija izlikti tirdzniecībā līdz 2021.gada 15.jūnijam un tie notiek ar izmainītiem norises nosacījumiem, ja persona tos nevar apmeklēt noteikto ierobežojumu dēļ (nav veikta vai pabeigta pilna vakcinācija pret Covid-19, nav atbilstošs Covid-19 tests pasākuma apmeklējumam), vai arī izmainīto norises nosacījumu dēļ (datuma un programmas maiņa) – neparedz biļešu maksas atgriešanu, ja persona  epidemioloģiskās drošības nolūkos nevēlas apmeklēt pasākumu, lūdzam precizēt likumprojekta 2.pantā ietvertā 7.panta ceturto daļu, svītrojot vārdus “persona  epidemioloģiskās drošības nolūkos nevēlas apmeklēt pasākumu”, lai nodrošinātu atbilstību apstiprinātajam informatīvajam ziņojumam. Vienlaikus </w:t>
            </w:r>
            <w:r w:rsidRPr="006E1FCB">
              <w:rPr>
                <w:sz w:val="22"/>
                <w:szCs w:val="22"/>
                <w:lang w:eastAsia="lv-LV"/>
              </w:rPr>
              <w:lastRenderedPageBreak/>
              <w:t>vēršam uzmanību, ka šāds nosacījums rada plašas interpretācijas iespējas un publisko līdzekļu izšķērdēšanas riskus, jo nav skaidri kritēriji, pēc kuriem noteiks, vai persona nevēlas apmeklēt pasākumu tieši epidemioloģiskās drošības nolūkos.</w:t>
            </w:r>
          </w:p>
        </w:tc>
        <w:tc>
          <w:tcPr>
            <w:tcW w:w="1068" w:type="pct"/>
            <w:tcBorders>
              <w:top w:val="outset" w:sz="6" w:space="0" w:color="414142"/>
              <w:left w:val="outset" w:sz="6" w:space="0" w:color="414142"/>
              <w:bottom w:val="outset" w:sz="6" w:space="0" w:color="414142"/>
              <w:right w:val="outset" w:sz="6" w:space="0" w:color="414142"/>
            </w:tcBorders>
          </w:tcPr>
          <w:p w14:paraId="79F16904" w14:textId="4E015F9C" w:rsidR="00500DA7" w:rsidRPr="006E1FCB" w:rsidRDefault="00856B22">
            <w:pPr>
              <w:jc w:val="center"/>
              <w:rPr>
                <w:b/>
                <w:bCs/>
                <w:sz w:val="22"/>
                <w:szCs w:val="22"/>
                <w:lang w:eastAsia="lv-LV"/>
              </w:rPr>
            </w:pPr>
            <w:r w:rsidRPr="006E1FCB">
              <w:rPr>
                <w:b/>
                <w:bCs/>
                <w:sz w:val="22"/>
                <w:szCs w:val="22"/>
                <w:lang w:eastAsia="lv-LV"/>
              </w:rPr>
              <w:lastRenderedPageBreak/>
              <w:t>Ņemts vērā</w:t>
            </w:r>
          </w:p>
        </w:tc>
        <w:tc>
          <w:tcPr>
            <w:tcW w:w="1190" w:type="pct"/>
            <w:tcBorders>
              <w:top w:val="outset" w:sz="6" w:space="0" w:color="414142"/>
              <w:left w:val="outset" w:sz="6" w:space="0" w:color="414142"/>
              <w:bottom w:val="outset" w:sz="6" w:space="0" w:color="414142"/>
              <w:right w:val="outset" w:sz="6" w:space="0" w:color="414142"/>
            </w:tcBorders>
          </w:tcPr>
          <w:p w14:paraId="715CE9F7" w14:textId="17635DD7" w:rsidR="00367522" w:rsidRPr="006E1FCB" w:rsidRDefault="00F47F75">
            <w:pPr>
              <w:jc w:val="both"/>
              <w:rPr>
                <w:bCs/>
                <w:sz w:val="22"/>
                <w:szCs w:val="22"/>
                <w:lang w:eastAsia="lv-LV"/>
              </w:rPr>
            </w:pPr>
            <w:r w:rsidRPr="006E1FCB">
              <w:rPr>
                <w:bCs/>
                <w:sz w:val="22"/>
                <w:szCs w:val="22"/>
                <w:lang w:eastAsia="lv-LV"/>
              </w:rPr>
              <w:t xml:space="preserve">Precizēta </w:t>
            </w:r>
            <w:r w:rsidR="00684526" w:rsidRPr="006E1FCB">
              <w:rPr>
                <w:bCs/>
                <w:sz w:val="22"/>
                <w:szCs w:val="22"/>
                <w:lang w:eastAsia="lv-LV"/>
              </w:rPr>
              <w:t>L</w:t>
            </w:r>
            <w:r w:rsidRPr="006E1FCB">
              <w:rPr>
                <w:bCs/>
                <w:sz w:val="22"/>
                <w:szCs w:val="22"/>
                <w:lang w:eastAsia="lv-LV"/>
              </w:rPr>
              <w:t xml:space="preserve">ikumprojekta 2.pantā ietvertā 7.panta ceturtā daļa, svītrojot vārdus </w:t>
            </w:r>
            <w:r w:rsidR="003A4D62" w:rsidRPr="006E1FCB">
              <w:rPr>
                <w:bCs/>
                <w:sz w:val="22"/>
                <w:szCs w:val="22"/>
                <w:lang w:eastAsia="lv-LV"/>
              </w:rPr>
              <w:t>„</w:t>
            </w:r>
            <w:r w:rsidRPr="006E1FCB">
              <w:rPr>
                <w:bCs/>
                <w:sz w:val="22"/>
                <w:szCs w:val="22"/>
                <w:lang w:eastAsia="lv-LV"/>
              </w:rPr>
              <w:t>persona epidemioloģiskās drošības nolūkos nevēlas apmeklēt pasākumu”</w:t>
            </w:r>
            <w:r w:rsidR="00684526" w:rsidRPr="006E1FCB">
              <w:rPr>
                <w:bCs/>
                <w:sz w:val="22"/>
                <w:szCs w:val="22"/>
                <w:lang w:eastAsia="lv-LV"/>
              </w:rPr>
              <w:t xml:space="preserve"> un izsakot šādā redakcijā:</w:t>
            </w:r>
          </w:p>
          <w:p w14:paraId="4A109910" w14:textId="79CCC86F" w:rsidR="00684526" w:rsidRPr="006E1FCB" w:rsidRDefault="00684526">
            <w:pPr>
              <w:jc w:val="both"/>
              <w:rPr>
                <w:bCs/>
                <w:sz w:val="22"/>
                <w:szCs w:val="22"/>
                <w:lang w:eastAsia="lv-LV"/>
              </w:rPr>
            </w:pPr>
          </w:p>
          <w:p w14:paraId="4032516C" w14:textId="22A9E5AA" w:rsidR="00684526" w:rsidRPr="006E1FCB" w:rsidRDefault="00A51DEE">
            <w:pPr>
              <w:jc w:val="both"/>
              <w:rPr>
                <w:bCs/>
                <w:sz w:val="22"/>
                <w:szCs w:val="22"/>
                <w:lang w:eastAsia="lv-LV"/>
              </w:rPr>
            </w:pPr>
            <w:r w:rsidRPr="006E1FCB">
              <w:rPr>
                <w:bCs/>
                <w:sz w:val="22"/>
                <w:szCs w:val="22"/>
                <w:lang w:eastAsia="lv-LV"/>
              </w:rPr>
              <w:t>„(4) Ja pasākums ir izziņots un izlikts pārdošanā līdz 2021.gada 15.jūnijam un pakalpojuma sniedzējs pēc pasākuma izziņošanas saskaņā ar normatīvo aktu prasībām ir noteicis tādas epidemioloģiskās drošības prasības pasākuma norisei, kas liedz personai apmeklēt pasākumu, jo personai nav sadarbspējīga vakcinācijas, pārslimošanas vai testēšanas sertifikāta (Covid-19 sertifikāts) atbilstoši izziņotajam pasākuma norises veidam, pakalpojuma sniedzējs nesaņemtā pakalpojuma gadījumā pēc pieprasījuma līdz 2021.gada 31.augustam atmaksā patērētājam biļetes cenu.”</w:t>
            </w:r>
          </w:p>
          <w:p w14:paraId="664B20E7" w14:textId="77777777" w:rsidR="00684526" w:rsidRPr="006E1FCB" w:rsidRDefault="00684526">
            <w:pPr>
              <w:jc w:val="both"/>
              <w:rPr>
                <w:bCs/>
                <w:sz w:val="22"/>
                <w:szCs w:val="22"/>
                <w:lang w:eastAsia="lv-LV"/>
              </w:rPr>
            </w:pPr>
          </w:p>
          <w:p w14:paraId="41FA1A81" w14:textId="404E71F3" w:rsidR="00F47F75" w:rsidRPr="006E1FCB" w:rsidRDefault="00F47F75">
            <w:pPr>
              <w:jc w:val="both"/>
              <w:rPr>
                <w:sz w:val="22"/>
                <w:szCs w:val="22"/>
                <w:lang w:eastAsia="lv-LV"/>
              </w:rPr>
            </w:pPr>
            <w:r w:rsidRPr="006E1FCB">
              <w:rPr>
                <w:sz w:val="22"/>
                <w:szCs w:val="22"/>
                <w:lang w:eastAsia="lv-LV"/>
              </w:rPr>
              <w:t>Attiecīgi precizēt</w:t>
            </w:r>
            <w:r w:rsidR="00F429F6" w:rsidRPr="006E1FCB">
              <w:rPr>
                <w:sz w:val="22"/>
                <w:szCs w:val="22"/>
                <w:lang w:eastAsia="lv-LV"/>
              </w:rPr>
              <w:t>s</w:t>
            </w:r>
            <w:r w:rsidRPr="006E1FCB">
              <w:rPr>
                <w:sz w:val="22"/>
                <w:szCs w:val="22"/>
                <w:lang w:eastAsia="lv-LV"/>
              </w:rPr>
              <w:t xml:space="preserve"> arī Likumprojekta </w:t>
            </w:r>
            <w:r w:rsidR="00F429F6" w:rsidRPr="006E1FCB">
              <w:rPr>
                <w:sz w:val="22"/>
                <w:szCs w:val="22"/>
                <w:lang w:eastAsia="lv-LV"/>
              </w:rPr>
              <w:t>sākotnējās ietekmes novērtējuma ziņojums (anotācija)</w:t>
            </w:r>
            <w:r w:rsidRPr="006E1FCB">
              <w:rPr>
                <w:sz w:val="22"/>
                <w:szCs w:val="22"/>
                <w:lang w:eastAsia="lv-LV"/>
              </w:rPr>
              <w:t>.</w:t>
            </w:r>
          </w:p>
        </w:tc>
      </w:tr>
      <w:tr w:rsidR="00F47F75" w:rsidRPr="00F93681" w14:paraId="732264F7" w14:textId="77777777" w:rsidTr="003715B2">
        <w:trPr>
          <w:trHeight w:val="200"/>
        </w:trPr>
        <w:tc>
          <w:tcPr>
            <w:tcW w:w="249" w:type="pct"/>
            <w:tcBorders>
              <w:top w:val="outset" w:sz="6" w:space="0" w:color="414142"/>
              <w:left w:val="outset" w:sz="6" w:space="0" w:color="414142"/>
              <w:bottom w:val="outset" w:sz="6" w:space="0" w:color="414142"/>
              <w:right w:val="outset" w:sz="6" w:space="0" w:color="414142"/>
            </w:tcBorders>
          </w:tcPr>
          <w:p w14:paraId="03DC80F6" w14:textId="77777777" w:rsidR="00F47F75" w:rsidRPr="00F93681" w:rsidRDefault="00F47F75">
            <w:pPr>
              <w:pStyle w:val="ListParagraph"/>
              <w:numPr>
                <w:ilvl w:val="0"/>
                <w:numId w:val="4"/>
              </w:numPr>
              <w:spacing w:after="0" w:line="240" w:lineRule="auto"/>
              <w:ind w:left="537"/>
              <w:rPr>
                <w:rFonts w:ascii="Times New Roman" w:eastAsia="Times New Roman" w:hAnsi="Times New Roman" w:cs="Times New Roman"/>
                <w:lang w:eastAsia="lv-LV"/>
              </w:rPr>
            </w:pPr>
          </w:p>
        </w:tc>
        <w:tc>
          <w:tcPr>
            <w:tcW w:w="1171" w:type="pct"/>
            <w:tcBorders>
              <w:top w:val="outset" w:sz="6" w:space="0" w:color="414142"/>
              <w:left w:val="outset" w:sz="6" w:space="0" w:color="414142"/>
              <w:bottom w:val="outset" w:sz="6" w:space="0" w:color="414142"/>
              <w:right w:val="outset" w:sz="6" w:space="0" w:color="414142"/>
            </w:tcBorders>
          </w:tcPr>
          <w:p w14:paraId="0DE306C0" w14:textId="2134FE56" w:rsidR="00F47F75" w:rsidRPr="006E1FCB" w:rsidRDefault="00F47F75">
            <w:pPr>
              <w:jc w:val="both"/>
              <w:rPr>
                <w:sz w:val="22"/>
                <w:szCs w:val="22"/>
                <w:lang w:eastAsia="lv-LV"/>
              </w:rPr>
            </w:pPr>
            <w:r w:rsidRPr="006E1FCB">
              <w:rPr>
                <w:sz w:val="22"/>
                <w:szCs w:val="22"/>
                <w:lang w:eastAsia="lv-LV"/>
              </w:rPr>
              <w:t xml:space="preserve">Likumprojekta 2.pantā ietvertā </w:t>
            </w:r>
            <w:r w:rsidR="001D550F" w:rsidRPr="006E1FCB">
              <w:rPr>
                <w:sz w:val="22"/>
                <w:szCs w:val="22"/>
                <w:lang w:eastAsia="lv-LV"/>
              </w:rPr>
              <w:t xml:space="preserve">Covid-19 infekcijas izplatības pārvaldības likuma </w:t>
            </w:r>
            <w:r w:rsidRPr="006E1FCB">
              <w:rPr>
                <w:sz w:val="22"/>
                <w:szCs w:val="22"/>
                <w:lang w:eastAsia="lv-LV"/>
              </w:rPr>
              <w:t>7.panta sestā daļa:</w:t>
            </w:r>
          </w:p>
          <w:p w14:paraId="4B0FBE86" w14:textId="77777777" w:rsidR="003A4D62" w:rsidRPr="006E1FCB" w:rsidRDefault="003A4D62">
            <w:pPr>
              <w:jc w:val="both"/>
              <w:rPr>
                <w:sz w:val="22"/>
                <w:szCs w:val="22"/>
                <w:lang w:eastAsia="lv-LV"/>
              </w:rPr>
            </w:pPr>
          </w:p>
          <w:p w14:paraId="3D4C14E4" w14:textId="00AB6DBD" w:rsidR="00F47F75" w:rsidRPr="006E1FCB" w:rsidRDefault="003A4D62">
            <w:pPr>
              <w:jc w:val="both"/>
              <w:rPr>
                <w:sz w:val="22"/>
                <w:szCs w:val="22"/>
                <w:lang w:eastAsia="lv-LV"/>
              </w:rPr>
            </w:pPr>
            <w:r w:rsidRPr="006E1FCB">
              <w:rPr>
                <w:bCs/>
                <w:sz w:val="22"/>
                <w:szCs w:val="22"/>
                <w:lang w:eastAsia="lv-LV"/>
              </w:rPr>
              <w:t>„</w:t>
            </w:r>
            <w:r w:rsidR="00F47F75" w:rsidRPr="006E1FCB">
              <w:rPr>
                <w:sz w:val="22"/>
                <w:szCs w:val="22"/>
                <w:lang w:eastAsia="lv-LV"/>
              </w:rPr>
              <w:t>(6) Pakalpojuma sniedzējam, kurš šā panta ceturtajā vai piektajā daļā minētā nesaņemtā pakalpojuma gadījumā atmaksājis patērētājam biļetes cenu, ir tiesības uz valsts kompensāciju 80% apmērā no patērētājam atmaksātās summas.”</w:t>
            </w:r>
          </w:p>
        </w:tc>
        <w:tc>
          <w:tcPr>
            <w:tcW w:w="1322" w:type="pct"/>
            <w:tcBorders>
              <w:top w:val="outset" w:sz="6" w:space="0" w:color="414142"/>
              <w:left w:val="outset" w:sz="6" w:space="0" w:color="414142"/>
              <w:bottom w:val="outset" w:sz="6" w:space="0" w:color="414142"/>
              <w:right w:val="outset" w:sz="6" w:space="0" w:color="414142"/>
            </w:tcBorders>
          </w:tcPr>
          <w:p w14:paraId="7DEE1E41" w14:textId="77777777" w:rsidR="00F47F75" w:rsidRPr="006E1FCB" w:rsidRDefault="00F47F75">
            <w:pPr>
              <w:jc w:val="both"/>
              <w:rPr>
                <w:b/>
                <w:bCs/>
                <w:sz w:val="22"/>
                <w:szCs w:val="22"/>
                <w:lang w:eastAsia="lv-LV"/>
              </w:rPr>
            </w:pPr>
            <w:r w:rsidRPr="006E1FCB">
              <w:rPr>
                <w:b/>
                <w:bCs/>
                <w:sz w:val="22"/>
                <w:szCs w:val="22"/>
                <w:lang w:eastAsia="lv-LV"/>
              </w:rPr>
              <w:t>Finanšu ministrija:</w:t>
            </w:r>
          </w:p>
          <w:p w14:paraId="347C6DA0" w14:textId="77777777" w:rsidR="00F47F75" w:rsidRPr="006E1FCB" w:rsidRDefault="00F47F75" w:rsidP="009F09C5">
            <w:pPr>
              <w:jc w:val="both"/>
              <w:rPr>
                <w:sz w:val="22"/>
                <w:szCs w:val="22"/>
                <w:lang w:eastAsia="lv-LV"/>
              </w:rPr>
            </w:pPr>
            <w:r w:rsidRPr="006E1FCB">
              <w:rPr>
                <w:sz w:val="22"/>
                <w:szCs w:val="22"/>
                <w:lang w:eastAsia="lv-LV"/>
              </w:rPr>
              <w:t xml:space="preserve">Vēršam uzmanību, ka Covid-19 infekcijas izplatības pārvaldības likuma 1.pantā definētais likuma mērķis ir “noteikt tiesisko kārtību Covid-19 infekcijas izplatības laikā, paredzot atbilstošu pasākumu kopumu, kas nodrošina ar sabiedrības veselības un drošības interesēm samērīgu privātpersonu tiesību un pienākumu apjomu un efektīvu valsts un pašvaldību institūciju darbību”, savukārt Covid-19 infekcijas izplatības seku pārvarēšanas likuma 1.pantā definētais likuma mērķis ir “noteikt tiesisko kārtību Covid-19 infekcijas (turpmāk — Covid-19) izplatības laikā, paredzot atbilstošu pasākumu kopumu Covid-19 izplatības seku (turpmāk arī — Covid-19 izraisītā krīze) pārvarēšanai un īpašos atbalsta mehānismus un izdevumus, kas tieši saistīti ar Covid-19 izplatības ierobežošanu, lai nodrošinātu sabiedrības ekonomiskās situācijas uzlabošanos un veicinātu valsts tautsaimniecības stabilitāti”. Ņemot vērā, ka likumprojekta 2.pants paredz papildināt Covid-19 infekcijas izplatības pārvaldības likuma 7.pantu ar sesto daļu, kas nosaka īpašu atbalsta mehānismu (tiesības uz valsts </w:t>
            </w:r>
            <w:r w:rsidRPr="006E1FCB">
              <w:rPr>
                <w:sz w:val="22"/>
                <w:szCs w:val="22"/>
                <w:lang w:eastAsia="lv-LV"/>
              </w:rPr>
              <w:lastRenderedPageBreak/>
              <w:t>kompensāciju 80% apmērā no patērētājam atmaksātās summas) pakalpojuma sniedzējam, kurš šā panta ceturtajā vai piektajā daļā minētā nesaņemtā pakalpojuma gadījumā atmaksājis patērētājam biļetes cenu, secināms, ka minētā likumprojekta norma neatbilst Covid-19 infekcijas izplatības pārvaldības likuma 1.pantā definētajam likuma mērķim un būtu iekļaujama Covid-19 infekcijas izplatības seku pārvarēšanas likumā. Ievērojot minēto, lūdzam precizēt likumprojekta 2.pantu, svītrojot 7.panta sesto daļu un paredzēt grozījumus Covid-19 infekcijas izplatības seku pārvarēšanas likumā. Atbilstoši precizējumiem likumprojektā lūdzam precizēt arī anotācijā ietverto informāciju.</w:t>
            </w:r>
          </w:p>
          <w:p w14:paraId="0484FCC2" w14:textId="6DA411B2" w:rsidR="00F93681" w:rsidRDefault="00F93681">
            <w:pPr>
              <w:jc w:val="both"/>
              <w:rPr>
                <w:sz w:val="22"/>
                <w:szCs w:val="22"/>
                <w:lang w:eastAsia="lv-LV"/>
              </w:rPr>
            </w:pPr>
          </w:p>
          <w:p w14:paraId="3DFD13BF" w14:textId="77777777" w:rsidR="00F93681" w:rsidRPr="00403BAD" w:rsidRDefault="00F93681" w:rsidP="00F93681">
            <w:pPr>
              <w:jc w:val="both"/>
              <w:rPr>
                <w:b/>
                <w:bCs/>
                <w:sz w:val="22"/>
                <w:szCs w:val="22"/>
                <w:lang w:eastAsia="lv-LV"/>
              </w:rPr>
            </w:pPr>
            <w:r w:rsidRPr="00403BAD">
              <w:rPr>
                <w:b/>
                <w:bCs/>
                <w:sz w:val="22"/>
                <w:szCs w:val="22"/>
                <w:lang w:eastAsia="lv-LV"/>
              </w:rPr>
              <w:t>Finanšu ministrija:</w:t>
            </w:r>
          </w:p>
          <w:p w14:paraId="2ACA3929" w14:textId="21278779" w:rsidR="00E33468" w:rsidRPr="006E1FCB" w:rsidRDefault="00F93681">
            <w:pPr>
              <w:jc w:val="both"/>
              <w:rPr>
                <w:sz w:val="22"/>
                <w:szCs w:val="22"/>
                <w:lang w:eastAsia="lv-LV"/>
              </w:rPr>
            </w:pPr>
            <w:r w:rsidRPr="006E1FCB">
              <w:rPr>
                <w:sz w:val="22"/>
                <w:szCs w:val="22"/>
                <w:lang w:eastAsia="lv-LV"/>
              </w:rPr>
              <w:t xml:space="preserve">Vēršam uzmanību, ka likumprojekts paredz papildināt Covid-19 infekcijas izplatības pārvaldības likuma 7.pantu ar piekto daļu, nosakot, ka, ja pasākums izziņots un izlikts pārdošanā pēc 2021.gada 15.jūnija un tas paredzēts personām ar sadarbspējīgu testēšanas sertifikātu, bet personai 48 stundas pirms pasākuma vai pasākuma norises dienā tiek konstatēts pozitīvs Covid-19 testa rezultāts, pakalpojuma sniedzējs nesaņemtā pakalpojuma gadījumā pēc patērētāja pieprasījuma atmaksā biļetes cenu ne vēlāk kā 30 (trīsdesmit) dienu laikā pēc pasākuma norises dienas.  Atzīmējam, ka atbilstoši š.g. 29.jūnija </w:t>
            </w:r>
            <w:r w:rsidRPr="006E1FCB">
              <w:rPr>
                <w:sz w:val="22"/>
                <w:szCs w:val="22"/>
                <w:lang w:eastAsia="lv-LV"/>
              </w:rPr>
              <w:lastRenderedPageBreak/>
              <w:t>Ministru kabineta sēdes prot. Nr.50 56.§ 2. un 3.punktam tika atbalstīta Valsts kultūrkapitāla fonda mērķprogrammas "Kultūras pasākumu rīkotāju biļešu kompensācija" turpināšana līdz 2021.gada 31.decembrim, vienlaikus nosakot, ka nepieciešamais finansējumu līdz 2021.gada 31.decembrim, kas nepārsniedz 2 132 861 EUR, ir nodrošināms no valsts budžeta programmas 02.00.00 "Līdzekļi neparedzētiem gadījumiem". Līdz ar to aicinām Kultūras ministriju izvērtēt minētās likumprojekta normas kopsakarību ar Ministru kabineta š.g. 29.jūnija pieņemto lēmumu un šim mērķim paredzēto finansējumu.</w:t>
            </w:r>
          </w:p>
        </w:tc>
        <w:tc>
          <w:tcPr>
            <w:tcW w:w="1068" w:type="pct"/>
            <w:tcBorders>
              <w:top w:val="outset" w:sz="6" w:space="0" w:color="414142"/>
              <w:left w:val="outset" w:sz="6" w:space="0" w:color="414142"/>
              <w:bottom w:val="outset" w:sz="6" w:space="0" w:color="414142"/>
              <w:right w:val="outset" w:sz="6" w:space="0" w:color="414142"/>
            </w:tcBorders>
          </w:tcPr>
          <w:p w14:paraId="2AFF9491" w14:textId="47DD8F62" w:rsidR="00F47F75" w:rsidRPr="006E1FCB" w:rsidRDefault="00F47F75">
            <w:pPr>
              <w:jc w:val="center"/>
              <w:rPr>
                <w:b/>
                <w:bCs/>
                <w:sz w:val="22"/>
                <w:szCs w:val="22"/>
                <w:lang w:eastAsia="lv-LV"/>
              </w:rPr>
            </w:pPr>
            <w:r w:rsidRPr="006E1FCB">
              <w:rPr>
                <w:b/>
                <w:bCs/>
                <w:sz w:val="22"/>
                <w:szCs w:val="22"/>
                <w:lang w:eastAsia="lv-LV"/>
              </w:rPr>
              <w:lastRenderedPageBreak/>
              <w:t>Ņemts vērā</w:t>
            </w:r>
          </w:p>
        </w:tc>
        <w:tc>
          <w:tcPr>
            <w:tcW w:w="1190" w:type="pct"/>
            <w:tcBorders>
              <w:top w:val="outset" w:sz="6" w:space="0" w:color="414142"/>
              <w:left w:val="outset" w:sz="6" w:space="0" w:color="414142"/>
              <w:bottom w:val="outset" w:sz="6" w:space="0" w:color="414142"/>
              <w:right w:val="outset" w:sz="6" w:space="0" w:color="414142"/>
            </w:tcBorders>
          </w:tcPr>
          <w:p w14:paraId="395EAEFE" w14:textId="4B9DAF18" w:rsidR="00F47F75" w:rsidRPr="006E1FCB" w:rsidRDefault="00F47F75">
            <w:pPr>
              <w:jc w:val="both"/>
              <w:rPr>
                <w:bCs/>
                <w:sz w:val="22"/>
                <w:szCs w:val="22"/>
                <w:lang w:eastAsia="lv-LV"/>
              </w:rPr>
            </w:pPr>
            <w:r w:rsidRPr="006E1FCB">
              <w:rPr>
                <w:bCs/>
                <w:sz w:val="22"/>
                <w:szCs w:val="22"/>
                <w:lang w:eastAsia="lv-LV"/>
              </w:rPr>
              <w:t xml:space="preserve">Precizēts </w:t>
            </w:r>
            <w:r w:rsidR="001D550F" w:rsidRPr="006E1FCB">
              <w:rPr>
                <w:bCs/>
                <w:sz w:val="22"/>
                <w:szCs w:val="22"/>
                <w:lang w:eastAsia="lv-LV"/>
              </w:rPr>
              <w:t>L</w:t>
            </w:r>
            <w:r w:rsidRPr="006E1FCB">
              <w:rPr>
                <w:bCs/>
                <w:sz w:val="22"/>
                <w:szCs w:val="22"/>
                <w:lang w:eastAsia="lv-LV"/>
              </w:rPr>
              <w:t xml:space="preserve">ikumprojekta 2.pants, svītrojot </w:t>
            </w:r>
            <w:r w:rsidR="001D550F" w:rsidRPr="006E1FCB">
              <w:rPr>
                <w:bCs/>
                <w:sz w:val="22"/>
                <w:szCs w:val="22"/>
                <w:lang w:eastAsia="lv-LV"/>
              </w:rPr>
              <w:t>Likumprojekta 2.pantā ietvert</w:t>
            </w:r>
            <w:r w:rsidR="00492AE3" w:rsidRPr="006E1FCB">
              <w:rPr>
                <w:bCs/>
                <w:sz w:val="22"/>
                <w:szCs w:val="22"/>
                <w:lang w:eastAsia="lv-LV"/>
              </w:rPr>
              <w:t>o</w:t>
            </w:r>
            <w:r w:rsidR="001D550F" w:rsidRPr="006E1FCB">
              <w:rPr>
                <w:bCs/>
                <w:sz w:val="22"/>
                <w:szCs w:val="22"/>
                <w:lang w:eastAsia="lv-LV"/>
              </w:rPr>
              <w:t xml:space="preserve"> Covid-19 infekcijas izplatības pārvaldības likuma </w:t>
            </w:r>
            <w:r w:rsidRPr="006E1FCB">
              <w:rPr>
                <w:bCs/>
                <w:sz w:val="22"/>
                <w:szCs w:val="22"/>
                <w:lang w:eastAsia="lv-LV"/>
              </w:rPr>
              <w:t>7.panta sesto daļu.</w:t>
            </w:r>
          </w:p>
          <w:p w14:paraId="71EE8318" w14:textId="77777777" w:rsidR="003A4D62" w:rsidRPr="006E1FCB" w:rsidRDefault="003A4D62">
            <w:pPr>
              <w:jc w:val="both"/>
              <w:rPr>
                <w:bCs/>
                <w:sz w:val="22"/>
                <w:szCs w:val="22"/>
                <w:lang w:eastAsia="lv-LV"/>
              </w:rPr>
            </w:pPr>
          </w:p>
          <w:p w14:paraId="29F33AC5" w14:textId="3DC67C88" w:rsidR="00F47F75" w:rsidRPr="006E1FCB" w:rsidRDefault="00F47F75">
            <w:pPr>
              <w:jc w:val="both"/>
              <w:rPr>
                <w:bCs/>
                <w:sz w:val="22"/>
                <w:szCs w:val="22"/>
                <w:lang w:eastAsia="lv-LV"/>
              </w:rPr>
            </w:pPr>
            <w:r w:rsidRPr="006E1FCB">
              <w:rPr>
                <w:bCs/>
                <w:sz w:val="22"/>
                <w:szCs w:val="22"/>
                <w:lang w:eastAsia="lv-LV"/>
              </w:rPr>
              <w:t>Attiecīgi precizēt</w:t>
            </w:r>
            <w:r w:rsidR="00F429F6" w:rsidRPr="006E1FCB">
              <w:rPr>
                <w:bCs/>
                <w:sz w:val="22"/>
                <w:szCs w:val="22"/>
                <w:lang w:eastAsia="lv-LV"/>
              </w:rPr>
              <w:t>s</w:t>
            </w:r>
            <w:r w:rsidRPr="006E1FCB">
              <w:rPr>
                <w:bCs/>
                <w:sz w:val="22"/>
                <w:szCs w:val="22"/>
                <w:lang w:eastAsia="lv-LV"/>
              </w:rPr>
              <w:t xml:space="preserve"> arī Likumprojekta </w:t>
            </w:r>
            <w:r w:rsidR="00F429F6" w:rsidRPr="006E1FCB">
              <w:rPr>
                <w:sz w:val="22"/>
                <w:szCs w:val="22"/>
                <w:lang w:eastAsia="lv-LV"/>
              </w:rPr>
              <w:t>sākotnējās ietekmes novērtējuma ziņojums (anotācija)</w:t>
            </w:r>
            <w:r w:rsidRPr="006E1FCB">
              <w:rPr>
                <w:bCs/>
                <w:sz w:val="22"/>
                <w:szCs w:val="22"/>
                <w:lang w:eastAsia="lv-LV"/>
              </w:rPr>
              <w:t>.</w:t>
            </w:r>
          </w:p>
        </w:tc>
      </w:tr>
      <w:tr w:rsidR="0089292E" w:rsidRPr="00521AB3" w14:paraId="319F83F3" w14:textId="77777777" w:rsidTr="003715B2">
        <w:trPr>
          <w:trHeight w:val="200"/>
        </w:trPr>
        <w:tc>
          <w:tcPr>
            <w:tcW w:w="249" w:type="pct"/>
            <w:tcBorders>
              <w:top w:val="outset" w:sz="6" w:space="0" w:color="414142"/>
              <w:left w:val="outset" w:sz="6" w:space="0" w:color="414142"/>
              <w:bottom w:val="outset" w:sz="6" w:space="0" w:color="414142"/>
              <w:right w:val="outset" w:sz="6" w:space="0" w:color="414142"/>
            </w:tcBorders>
          </w:tcPr>
          <w:p w14:paraId="7AEC4708" w14:textId="77777777" w:rsidR="0089292E" w:rsidRPr="00521AB3" w:rsidRDefault="0089292E">
            <w:pPr>
              <w:pStyle w:val="ListParagraph"/>
              <w:numPr>
                <w:ilvl w:val="0"/>
                <w:numId w:val="4"/>
              </w:numPr>
              <w:spacing w:after="0" w:line="240" w:lineRule="auto"/>
              <w:ind w:left="537"/>
              <w:rPr>
                <w:rFonts w:ascii="Times New Roman" w:eastAsia="Times New Roman" w:hAnsi="Times New Roman" w:cs="Times New Roman"/>
                <w:lang w:eastAsia="lv-LV"/>
              </w:rPr>
            </w:pPr>
          </w:p>
        </w:tc>
        <w:tc>
          <w:tcPr>
            <w:tcW w:w="1171" w:type="pct"/>
            <w:tcBorders>
              <w:top w:val="outset" w:sz="6" w:space="0" w:color="414142"/>
              <w:left w:val="outset" w:sz="6" w:space="0" w:color="414142"/>
              <w:bottom w:val="outset" w:sz="6" w:space="0" w:color="414142"/>
              <w:right w:val="outset" w:sz="6" w:space="0" w:color="414142"/>
            </w:tcBorders>
          </w:tcPr>
          <w:p w14:paraId="01CB71CB" w14:textId="6EB19635" w:rsidR="00F93681" w:rsidRPr="00521AB3" w:rsidRDefault="00F93681" w:rsidP="00F93681">
            <w:pPr>
              <w:jc w:val="both"/>
              <w:rPr>
                <w:color w:val="000000"/>
                <w:sz w:val="22"/>
                <w:szCs w:val="22"/>
                <w:lang w:eastAsia="lv-LV"/>
              </w:rPr>
            </w:pPr>
            <w:r w:rsidRPr="00521AB3">
              <w:rPr>
                <w:bCs/>
                <w:sz w:val="22"/>
                <w:szCs w:val="22"/>
                <w:lang w:eastAsia="lv-LV"/>
              </w:rPr>
              <w:t xml:space="preserve">Likumprojekta </w:t>
            </w:r>
            <w:r w:rsidR="00521AB3">
              <w:rPr>
                <w:bCs/>
                <w:sz w:val="22"/>
                <w:szCs w:val="22"/>
                <w:lang w:eastAsia="lv-LV"/>
              </w:rPr>
              <w:t>1.</w:t>
            </w:r>
            <w:r w:rsidRPr="00521AB3">
              <w:rPr>
                <w:color w:val="000000"/>
                <w:sz w:val="22"/>
                <w:szCs w:val="22"/>
                <w:lang w:eastAsia="lv-LV"/>
              </w:rPr>
              <w:t>pant</w:t>
            </w:r>
            <w:r w:rsidR="00ED1EA1">
              <w:rPr>
                <w:color w:val="000000"/>
                <w:sz w:val="22"/>
                <w:szCs w:val="22"/>
                <w:lang w:eastAsia="lv-LV"/>
              </w:rPr>
              <w:t>ā</w:t>
            </w:r>
            <w:r w:rsidR="00ED1EA1">
              <w:t xml:space="preserve"> </w:t>
            </w:r>
            <w:r w:rsidR="00ED1EA1" w:rsidRPr="00ED1EA1">
              <w:rPr>
                <w:color w:val="000000"/>
                <w:sz w:val="22"/>
                <w:szCs w:val="22"/>
                <w:lang w:eastAsia="lv-LV"/>
              </w:rPr>
              <w:t>ietvert</w:t>
            </w:r>
            <w:r w:rsidR="00ED1EA1">
              <w:rPr>
                <w:color w:val="000000"/>
                <w:sz w:val="22"/>
                <w:szCs w:val="22"/>
                <w:lang w:eastAsia="lv-LV"/>
              </w:rPr>
              <w:t>ais</w:t>
            </w:r>
            <w:r w:rsidR="00ED1EA1" w:rsidRPr="00ED1EA1">
              <w:rPr>
                <w:color w:val="000000"/>
                <w:sz w:val="22"/>
                <w:szCs w:val="22"/>
                <w:lang w:eastAsia="lv-LV"/>
              </w:rPr>
              <w:t xml:space="preserve"> Covid-19 infekcijas izplatības pārvaldības likuma</w:t>
            </w:r>
            <w:r w:rsidR="00ED1EA1">
              <w:rPr>
                <w:color w:val="000000"/>
                <w:sz w:val="22"/>
                <w:szCs w:val="22"/>
                <w:lang w:eastAsia="lv-LV"/>
              </w:rPr>
              <w:t xml:space="preserve"> </w:t>
            </w:r>
            <w:r w:rsidR="00ED1EA1" w:rsidRPr="00403BAD">
              <w:rPr>
                <w:rFonts w:eastAsia="PMingLiU"/>
                <w:sz w:val="22"/>
                <w:szCs w:val="22"/>
                <w:lang w:eastAsia="ja-JP"/>
              </w:rPr>
              <w:t>6.</w:t>
            </w:r>
            <w:r w:rsidR="00ED1EA1" w:rsidRPr="00403BAD">
              <w:rPr>
                <w:rFonts w:eastAsia="PMingLiU"/>
                <w:sz w:val="22"/>
                <w:szCs w:val="22"/>
                <w:vertAlign w:val="superscript"/>
                <w:lang w:eastAsia="ja-JP"/>
              </w:rPr>
              <w:t xml:space="preserve">8 </w:t>
            </w:r>
            <w:r w:rsidR="00ED1EA1" w:rsidRPr="00403BAD">
              <w:rPr>
                <w:rFonts w:eastAsia="PMingLiU"/>
                <w:sz w:val="22"/>
                <w:szCs w:val="22"/>
                <w:lang w:eastAsia="ja-JP"/>
              </w:rPr>
              <w:t>pant</w:t>
            </w:r>
            <w:r w:rsidR="00ED1EA1">
              <w:rPr>
                <w:rFonts w:eastAsia="PMingLiU"/>
                <w:sz w:val="22"/>
                <w:szCs w:val="22"/>
                <w:lang w:eastAsia="ja-JP"/>
              </w:rPr>
              <w:t>s</w:t>
            </w:r>
            <w:r w:rsidRPr="00521AB3">
              <w:rPr>
                <w:color w:val="000000"/>
                <w:sz w:val="22"/>
                <w:szCs w:val="22"/>
                <w:lang w:eastAsia="lv-LV"/>
              </w:rPr>
              <w:t>.</w:t>
            </w:r>
          </w:p>
          <w:p w14:paraId="53B2BC79" w14:textId="0AF53E5C" w:rsidR="00F93681" w:rsidRPr="00521AB3" w:rsidRDefault="00F93681" w:rsidP="00F93681">
            <w:pPr>
              <w:jc w:val="both"/>
              <w:rPr>
                <w:bCs/>
                <w:sz w:val="22"/>
                <w:szCs w:val="22"/>
                <w:lang w:eastAsia="lv-LV"/>
              </w:rPr>
            </w:pPr>
          </w:p>
          <w:p w14:paraId="127D6108" w14:textId="77777777" w:rsidR="00521AB3" w:rsidRPr="006E1FCB" w:rsidRDefault="00521AB3" w:rsidP="006E1FCB">
            <w:pPr>
              <w:tabs>
                <w:tab w:val="left" w:pos="567"/>
                <w:tab w:val="left" w:pos="1276"/>
              </w:tabs>
              <w:jc w:val="both"/>
              <w:rPr>
                <w:rFonts w:eastAsia="PMingLiU"/>
                <w:sz w:val="22"/>
                <w:szCs w:val="22"/>
                <w:lang w:eastAsia="ja-JP"/>
              </w:rPr>
            </w:pPr>
            <w:r w:rsidRPr="006E1FCB">
              <w:rPr>
                <w:rFonts w:eastAsia="PMingLiU"/>
                <w:sz w:val="22"/>
                <w:szCs w:val="22"/>
                <w:lang w:eastAsia="ja-JP"/>
              </w:rPr>
              <w:t>1. Izteikt 6.</w:t>
            </w:r>
            <w:r w:rsidRPr="006E1FCB">
              <w:rPr>
                <w:rFonts w:eastAsia="PMingLiU"/>
                <w:sz w:val="22"/>
                <w:szCs w:val="22"/>
                <w:vertAlign w:val="superscript"/>
                <w:lang w:eastAsia="ja-JP"/>
              </w:rPr>
              <w:t xml:space="preserve">8 </w:t>
            </w:r>
            <w:r w:rsidRPr="006E1FCB">
              <w:rPr>
                <w:rFonts w:eastAsia="PMingLiU"/>
                <w:sz w:val="22"/>
                <w:szCs w:val="22"/>
                <w:lang w:eastAsia="ja-JP"/>
              </w:rPr>
              <w:t>pantu šādā redakcijā:</w:t>
            </w:r>
          </w:p>
          <w:p w14:paraId="7631778D" w14:textId="77777777" w:rsidR="00521AB3" w:rsidRPr="006E1FCB" w:rsidRDefault="00521AB3" w:rsidP="006E1FCB">
            <w:pPr>
              <w:shd w:val="clear" w:color="auto" w:fill="FFFFFF"/>
              <w:jc w:val="both"/>
              <w:rPr>
                <w:sz w:val="22"/>
                <w:szCs w:val="22"/>
                <w:lang w:eastAsia="lv-LV"/>
              </w:rPr>
            </w:pPr>
            <w:r w:rsidRPr="006E1FCB">
              <w:rPr>
                <w:sz w:val="22"/>
                <w:szCs w:val="22"/>
                <w:lang w:eastAsia="lv-LV"/>
              </w:rPr>
              <w:t>„</w:t>
            </w:r>
            <w:r w:rsidRPr="006E1FCB">
              <w:rPr>
                <w:b/>
                <w:bCs/>
                <w:sz w:val="22"/>
                <w:szCs w:val="22"/>
                <w:lang w:eastAsia="lv-LV"/>
              </w:rPr>
              <w:t>6.</w:t>
            </w:r>
            <w:r w:rsidRPr="006E1FCB">
              <w:rPr>
                <w:b/>
                <w:bCs/>
                <w:sz w:val="22"/>
                <w:szCs w:val="22"/>
                <w:vertAlign w:val="superscript"/>
                <w:lang w:eastAsia="lv-LV"/>
              </w:rPr>
              <w:t>8</w:t>
            </w:r>
            <w:r w:rsidRPr="006E1FCB">
              <w:rPr>
                <w:b/>
                <w:bCs/>
                <w:sz w:val="22"/>
                <w:szCs w:val="22"/>
                <w:lang w:eastAsia="lv-LV"/>
              </w:rPr>
              <w:t> pants.</w:t>
            </w:r>
            <w:r w:rsidRPr="006E1FCB">
              <w:rPr>
                <w:sz w:val="22"/>
                <w:szCs w:val="22"/>
                <w:lang w:eastAsia="lv-LV"/>
              </w:rPr>
              <w:t xml:space="preserve"> Lai padziļināti analizētu epidemioloģisko situāciju, apzinātu vakcinācijas procesa progresu dažādās sabiedrības grupās un tautsaimniecības nozarēs un veicinātu vakcinācijas procesu, un pieņemtu lēmumus par aizsardzības un atbalsta pasākumiem un to efektivitātes uzlabošanu, Centrālā statistikas pārvalde (turpmāk – Pārvalde) no Slimību profilakses un kontroles centra un Nacionālā veselības dienesta saņem datus par personām, kas inficētas ar </w:t>
            </w:r>
            <w:proofErr w:type="spellStart"/>
            <w:r w:rsidRPr="006E1FCB">
              <w:rPr>
                <w:sz w:val="22"/>
                <w:szCs w:val="22"/>
                <w:lang w:eastAsia="lv-LV"/>
              </w:rPr>
              <w:lastRenderedPageBreak/>
              <w:t>koronavīrusu</w:t>
            </w:r>
            <w:proofErr w:type="spellEnd"/>
            <w:r w:rsidRPr="006E1FCB">
              <w:rPr>
                <w:sz w:val="22"/>
                <w:szCs w:val="22"/>
                <w:lang w:eastAsia="lv-LV"/>
              </w:rPr>
              <w:t xml:space="preserve"> SARS-CoV-2, personām, kuras uzsākušas un pabeigušas vakcinācijas pret Covid-19 procesu, un veic šo datu apstrādi, tos apvienojot ar Pārvaldes rīcībā esošajiem Pilsonības un migrācijas pārvaldes Iedzīvotāju reģistra informācijas sistēmas, Valsts zemes dienesta Valsts adrešu reģistra informācijas sistēmas, Valsts ieņēmumu dienesta, Valsts sociālās apdrošināšanas aģentūras, Izglītības un zinātnes ministrijas un Nodarbinātības valsts aģentūras datiem par šīm personām, kā arī nodrošina apvienoto datu pseidonimizēšanu un drošu attālinātu piekļuvi Ekonomikas ministrijai, Slimību profilakses un kontroles centram un Pārresoru koordinācijas centram šo datu analīzei.”</w:t>
            </w:r>
          </w:p>
          <w:p w14:paraId="29467C2A" w14:textId="77777777" w:rsidR="00F93681" w:rsidRPr="00521AB3" w:rsidRDefault="00F93681" w:rsidP="00F93681">
            <w:pPr>
              <w:jc w:val="both"/>
              <w:rPr>
                <w:bCs/>
                <w:sz w:val="22"/>
                <w:szCs w:val="22"/>
                <w:lang w:eastAsia="lv-LV"/>
              </w:rPr>
            </w:pPr>
          </w:p>
          <w:p w14:paraId="556DE5D5" w14:textId="4E2B39AB" w:rsidR="0089292E" w:rsidRPr="006E1FCB" w:rsidRDefault="0089292E">
            <w:pPr>
              <w:jc w:val="both"/>
              <w:rPr>
                <w:sz w:val="22"/>
                <w:szCs w:val="22"/>
                <w:lang w:eastAsia="lv-LV"/>
              </w:rPr>
            </w:pPr>
            <w:r w:rsidRPr="006E1FCB">
              <w:rPr>
                <w:bCs/>
                <w:sz w:val="22"/>
                <w:szCs w:val="22"/>
                <w:lang w:eastAsia="lv-LV"/>
              </w:rPr>
              <w:t xml:space="preserve">Likumprojekta </w:t>
            </w:r>
            <w:r w:rsidRPr="006E1FCB">
              <w:rPr>
                <w:sz w:val="22"/>
                <w:szCs w:val="22"/>
                <w:lang w:eastAsia="lv-LV"/>
              </w:rPr>
              <w:t>sākotnējās ietekmes</w:t>
            </w:r>
            <w:r w:rsidR="00F93681" w:rsidRPr="00521AB3">
              <w:rPr>
                <w:sz w:val="22"/>
                <w:szCs w:val="22"/>
                <w:lang w:eastAsia="lv-LV"/>
              </w:rPr>
              <w:t xml:space="preserve"> </w:t>
            </w:r>
            <w:r w:rsidRPr="006E1FCB">
              <w:rPr>
                <w:sz w:val="22"/>
                <w:szCs w:val="22"/>
                <w:lang w:eastAsia="lv-LV"/>
              </w:rPr>
              <w:t>novērtējuma ziņojum</w:t>
            </w:r>
            <w:r w:rsidR="00F93681" w:rsidRPr="00521AB3">
              <w:rPr>
                <w:sz w:val="22"/>
                <w:szCs w:val="22"/>
                <w:lang w:eastAsia="lv-LV"/>
              </w:rPr>
              <w:t>a</w:t>
            </w:r>
            <w:r w:rsidRPr="006E1FCB">
              <w:rPr>
                <w:sz w:val="22"/>
                <w:szCs w:val="22"/>
                <w:lang w:eastAsia="lv-LV"/>
              </w:rPr>
              <w:t xml:space="preserve"> (anotācija</w:t>
            </w:r>
            <w:r w:rsidR="00F93681" w:rsidRPr="00521AB3">
              <w:rPr>
                <w:sz w:val="22"/>
                <w:szCs w:val="22"/>
                <w:lang w:eastAsia="lv-LV"/>
              </w:rPr>
              <w:t>s</w:t>
            </w:r>
            <w:r w:rsidRPr="006E1FCB">
              <w:rPr>
                <w:sz w:val="22"/>
                <w:szCs w:val="22"/>
                <w:lang w:eastAsia="lv-LV"/>
              </w:rPr>
              <w:t>) III sadaļa</w:t>
            </w:r>
            <w:r w:rsidR="00F93681" w:rsidRPr="00521AB3">
              <w:rPr>
                <w:sz w:val="22"/>
                <w:szCs w:val="22"/>
                <w:lang w:eastAsia="lv-LV"/>
              </w:rPr>
              <w:t>.</w:t>
            </w:r>
          </w:p>
        </w:tc>
        <w:tc>
          <w:tcPr>
            <w:tcW w:w="1322" w:type="pct"/>
            <w:tcBorders>
              <w:top w:val="outset" w:sz="6" w:space="0" w:color="414142"/>
              <w:left w:val="outset" w:sz="6" w:space="0" w:color="414142"/>
              <w:bottom w:val="outset" w:sz="6" w:space="0" w:color="414142"/>
              <w:right w:val="outset" w:sz="6" w:space="0" w:color="414142"/>
            </w:tcBorders>
          </w:tcPr>
          <w:p w14:paraId="121D9A21" w14:textId="77777777" w:rsidR="0089292E" w:rsidRPr="006E1FCB" w:rsidRDefault="0089292E" w:rsidP="0089292E">
            <w:pPr>
              <w:jc w:val="both"/>
              <w:rPr>
                <w:b/>
                <w:bCs/>
                <w:sz w:val="22"/>
                <w:szCs w:val="22"/>
                <w:lang w:eastAsia="lv-LV"/>
              </w:rPr>
            </w:pPr>
            <w:r w:rsidRPr="006E1FCB">
              <w:rPr>
                <w:b/>
                <w:bCs/>
                <w:sz w:val="22"/>
                <w:szCs w:val="22"/>
                <w:lang w:eastAsia="lv-LV"/>
              </w:rPr>
              <w:lastRenderedPageBreak/>
              <w:t>Finanšu ministrija:</w:t>
            </w:r>
          </w:p>
          <w:p w14:paraId="7416F3D1" w14:textId="2CE76207" w:rsidR="0089292E" w:rsidRPr="006E1FCB" w:rsidRDefault="00F93681">
            <w:pPr>
              <w:jc w:val="both"/>
              <w:rPr>
                <w:b/>
                <w:bCs/>
                <w:sz w:val="22"/>
                <w:szCs w:val="22"/>
                <w:lang w:eastAsia="lv-LV"/>
              </w:rPr>
            </w:pPr>
            <w:r w:rsidRPr="006E1FCB">
              <w:rPr>
                <w:color w:val="000000"/>
                <w:sz w:val="22"/>
                <w:szCs w:val="22"/>
                <w:lang w:eastAsia="lv-LV"/>
              </w:rPr>
              <w:t>Papildus, ņemot vērā, ka atbilstoši likumprojekta 6.</w:t>
            </w:r>
            <w:r w:rsidRPr="006E1FCB">
              <w:rPr>
                <w:color w:val="000000"/>
                <w:sz w:val="22"/>
                <w:szCs w:val="22"/>
                <w:vertAlign w:val="superscript"/>
                <w:lang w:eastAsia="lv-LV"/>
              </w:rPr>
              <w:t>8</w:t>
            </w:r>
            <w:r w:rsidRPr="006E1FCB">
              <w:rPr>
                <w:color w:val="000000"/>
                <w:sz w:val="22"/>
                <w:szCs w:val="22"/>
                <w:lang w:eastAsia="lv-LV"/>
              </w:rPr>
              <w:t xml:space="preserve"> pantā paredzētajam Centrālajai statistikas pārvalde nodrošinās Covid19 saslimušo un vakcinēto personu datu sagatavošanu,  anotācijas III sadaļa ir papildināma ar Ekonomikas ministrijai (Centrālajai statistikas pārvaldei) papildu nepieciešamā finansējuma apmēru 2021.gadā, ievērojot Ekonomikas ministrijas sagatavotajā Ministru kabineta noteikumu projekta  “Grozījumi Ministru kabineta 2020.gada 9.jūnija noteikumos Nr.360 „Epidemioloģiskās drošības pasākumi Covid-19 infekcijas izplatības ierobežošanai”” anotācijā sniegto informāciju.</w:t>
            </w:r>
          </w:p>
        </w:tc>
        <w:tc>
          <w:tcPr>
            <w:tcW w:w="1068" w:type="pct"/>
            <w:tcBorders>
              <w:top w:val="outset" w:sz="6" w:space="0" w:color="414142"/>
              <w:left w:val="outset" w:sz="6" w:space="0" w:color="414142"/>
              <w:bottom w:val="outset" w:sz="6" w:space="0" w:color="414142"/>
              <w:right w:val="outset" w:sz="6" w:space="0" w:color="414142"/>
            </w:tcBorders>
          </w:tcPr>
          <w:p w14:paraId="2F949828" w14:textId="7595E5EB" w:rsidR="0089292E" w:rsidRPr="006E1FCB" w:rsidRDefault="0089292E">
            <w:pPr>
              <w:jc w:val="center"/>
              <w:rPr>
                <w:b/>
                <w:bCs/>
                <w:sz w:val="22"/>
                <w:szCs w:val="22"/>
                <w:lang w:eastAsia="lv-LV"/>
              </w:rPr>
            </w:pPr>
            <w:r w:rsidRPr="006E1FCB">
              <w:rPr>
                <w:b/>
                <w:bCs/>
                <w:sz w:val="22"/>
                <w:szCs w:val="22"/>
                <w:lang w:eastAsia="lv-LV"/>
              </w:rPr>
              <w:t>Ņemts vērā</w:t>
            </w:r>
          </w:p>
        </w:tc>
        <w:tc>
          <w:tcPr>
            <w:tcW w:w="1190" w:type="pct"/>
            <w:tcBorders>
              <w:top w:val="outset" w:sz="6" w:space="0" w:color="414142"/>
              <w:left w:val="outset" w:sz="6" w:space="0" w:color="414142"/>
              <w:bottom w:val="outset" w:sz="6" w:space="0" w:color="414142"/>
              <w:right w:val="outset" w:sz="6" w:space="0" w:color="414142"/>
            </w:tcBorders>
          </w:tcPr>
          <w:p w14:paraId="729DFA7D" w14:textId="371694DD" w:rsidR="0089292E" w:rsidRPr="006E1FCB" w:rsidRDefault="0089292E">
            <w:pPr>
              <w:jc w:val="both"/>
              <w:rPr>
                <w:bCs/>
                <w:sz w:val="22"/>
                <w:szCs w:val="22"/>
                <w:lang w:eastAsia="lv-LV"/>
              </w:rPr>
            </w:pPr>
            <w:r w:rsidRPr="006E1FCB">
              <w:rPr>
                <w:bCs/>
                <w:sz w:val="22"/>
                <w:szCs w:val="22"/>
                <w:lang w:eastAsia="lv-LV"/>
              </w:rPr>
              <w:t>Papildināt</w:t>
            </w:r>
            <w:r w:rsidR="00F93681" w:rsidRPr="00521AB3">
              <w:rPr>
                <w:bCs/>
                <w:sz w:val="22"/>
                <w:szCs w:val="22"/>
                <w:lang w:eastAsia="lv-LV"/>
              </w:rPr>
              <w:t>a</w:t>
            </w:r>
            <w:r w:rsidRPr="006E1FCB">
              <w:rPr>
                <w:bCs/>
                <w:sz w:val="22"/>
                <w:szCs w:val="22"/>
                <w:lang w:eastAsia="lv-LV"/>
              </w:rPr>
              <w:t xml:space="preserve"> Likumprojekta </w:t>
            </w:r>
            <w:r w:rsidRPr="006E1FCB">
              <w:rPr>
                <w:sz w:val="22"/>
                <w:szCs w:val="22"/>
                <w:lang w:eastAsia="lv-LV"/>
              </w:rPr>
              <w:t>sākotnējās ietekmes novērtējuma ziņojum</w:t>
            </w:r>
            <w:r w:rsidR="00F93681" w:rsidRPr="00521AB3">
              <w:rPr>
                <w:sz w:val="22"/>
                <w:szCs w:val="22"/>
                <w:lang w:eastAsia="lv-LV"/>
              </w:rPr>
              <w:t>a</w:t>
            </w:r>
            <w:r w:rsidRPr="006E1FCB">
              <w:rPr>
                <w:sz w:val="22"/>
                <w:szCs w:val="22"/>
                <w:lang w:eastAsia="lv-LV"/>
              </w:rPr>
              <w:t xml:space="preserve"> (anotācija</w:t>
            </w:r>
            <w:r w:rsidR="00F93681" w:rsidRPr="00521AB3">
              <w:rPr>
                <w:sz w:val="22"/>
                <w:szCs w:val="22"/>
                <w:lang w:eastAsia="lv-LV"/>
              </w:rPr>
              <w:t>s</w:t>
            </w:r>
            <w:r w:rsidRPr="006E1FCB">
              <w:rPr>
                <w:sz w:val="22"/>
                <w:szCs w:val="22"/>
                <w:lang w:eastAsia="lv-LV"/>
              </w:rPr>
              <w:t xml:space="preserve">) </w:t>
            </w:r>
            <w:r w:rsidR="00F93681" w:rsidRPr="00521AB3">
              <w:rPr>
                <w:bCs/>
                <w:sz w:val="22"/>
                <w:szCs w:val="22"/>
                <w:lang w:eastAsia="lv-LV"/>
              </w:rPr>
              <w:t>III sadaļa.</w:t>
            </w:r>
          </w:p>
        </w:tc>
      </w:tr>
    </w:tbl>
    <w:p w14:paraId="0BFE7F08" w14:textId="4C9CCEE7" w:rsidR="003715B2" w:rsidRPr="006E1FCB" w:rsidRDefault="003715B2" w:rsidP="006E1FCB">
      <w:pPr>
        <w:shd w:val="clear" w:color="auto" w:fill="FFFFFF"/>
        <w:ind w:firstLine="300"/>
        <w:jc w:val="both"/>
        <w:rPr>
          <w:sz w:val="22"/>
          <w:szCs w:val="22"/>
          <w:lang w:eastAsia="lv-LV"/>
        </w:rPr>
      </w:pPr>
    </w:p>
    <w:p w14:paraId="692AF530" w14:textId="300D32CA" w:rsidR="001D550F" w:rsidRPr="006E1FCB" w:rsidRDefault="001D550F" w:rsidP="006E1FCB">
      <w:pPr>
        <w:shd w:val="clear" w:color="auto" w:fill="FFFFFF"/>
        <w:ind w:firstLine="300"/>
        <w:jc w:val="both"/>
        <w:rPr>
          <w:sz w:val="22"/>
          <w:szCs w:val="22"/>
          <w:lang w:eastAsia="lv-LV"/>
        </w:rPr>
      </w:pPr>
    </w:p>
    <w:p w14:paraId="05624EFF" w14:textId="277D376C" w:rsidR="001D550F" w:rsidRPr="006E1FCB" w:rsidRDefault="001D550F" w:rsidP="006E1FCB">
      <w:pPr>
        <w:shd w:val="clear" w:color="auto" w:fill="FFFFFF"/>
        <w:ind w:firstLine="300"/>
        <w:jc w:val="both"/>
        <w:rPr>
          <w:sz w:val="22"/>
          <w:szCs w:val="22"/>
          <w:lang w:eastAsia="lv-LV"/>
        </w:rPr>
      </w:pPr>
    </w:p>
    <w:p w14:paraId="09C3F936" w14:textId="77777777" w:rsidR="001D550F" w:rsidRPr="006E1FCB" w:rsidRDefault="001D550F" w:rsidP="006E1FCB">
      <w:pPr>
        <w:shd w:val="clear" w:color="auto" w:fill="FFFFFF"/>
        <w:ind w:firstLine="300"/>
        <w:jc w:val="both"/>
        <w:rPr>
          <w:sz w:val="22"/>
          <w:szCs w:val="22"/>
          <w:lang w:eastAsia="lv-LV"/>
        </w:rPr>
      </w:pPr>
    </w:p>
    <w:p w14:paraId="538E8405" w14:textId="31EBB9B7" w:rsidR="0030465E" w:rsidRPr="00521AB3" w:rsidRDefault="0030465E">
      <w:pPr>
        <w:rPr>
          <w:sz w:val="20"/>
          <w:szCs w:val="20"/>
        </w:rPr>
      </w:pPr>
      <w:r w:rsidRPr="00521AB3">
        <w:rPr>
          <w:sz w:val="20"/>
          <w:szCs w:val="20"/>
        </w:rPr>
        <w:t>Zanda Jaunskunga</w:t>
      </w:r>
    </w:p>
    <w:p w14:paraId="1D6B8770" w14:textId="77777777" w:rsidR="0030465E" w:rsidRPr="00521AB3" w:rsidRDefault="0030465E">
      <w:pPr>
        <w:rPr>
          <w:sz w:val="20"/>
          <w:szCs w:val="20"/>
        </w:rPr>
      </w:pPr>
      <w:r w:rsidRPr="00521AB3">
        <w:rPr>
          <w:sz w:val="20"/>
          <w:szCs w:val="20"/>
        </w:rPr>
        <w:t xml:space="preserve">Kultūras ministrijas </w:t>
      </w:r>
    </w:p>
    <w:p w14:paraId="4137A270" w14:textId="77777777" w:rsidR="0030465E" w:rsidRPr="00521AB3" w:rsidRDefault="0030465E">
      <w:pPr>
        <w:rPr>
          <w:sz w:val="20"/>
          <w:szCs w:val="20"/>
        </w:rPr>
      </w:pPr>
      <w:r w:rsidRPr="00521AB3">
        <w:rPr>
          <w:sz w:val="20"/>
          <w:szCs w:val="20"/>
        </w:rPr>
        <w:t xml:space="preserve">Kultūrpolitikas departamenta </w:t>
      </w:r>
    </w:p>
    <w:p w14:paraId="0E5F78DC" w14:textId="77777777" w:rsidR="0030465E" w:rsidRPr="00521AB3" w:rsidRDefault="0030465E">
      <w:pPr>
        <w:rPr>
          <w:sz w:val="20"/>
          <w:szCs w:val="20"/>
        </w:rPr>
      </w:pPr>
      <w:r w:rsidRPr="00521AB3">
        <w:rPr>
          <w:sz w:val="20"/>
          <w:szCs w:val="20"/>
        </w:rPr>
        <w:t xml:space="preserve">Radošo industriju nodaļas vadītāja </w:t>
      </w:r>
    </w:p>
    <w:p w14:paraId="7FAC3F0C" w14:textId="77777777" w:rsidR="0030465E" w:rsidRPr="00521AB3" w:rsidRDefault="0030465E">
      <w:pPr>
        <w:rPr>
          <w:sz w:val="20"/>
          <w:szCs w:val="20"/>
        </w:rPr>
      </w:pPr>
      <w:r w:rsidRPr="00521AB3">
        <w:rPr>
          <w:sz w:val="20"/>
          <w:szCs w:val="20"/>
        </w:rPr>
        <w:t xml:space="preserve">Tālr. 67330216; </w:t>
      </w:r>
      <w:hyperlink r:id="rId8" w:history="1">
        <w:r w:rsidRPr="00521AB3">
          <w:rPr>
            <w:rStyle w:val="Hyperlink"/>
            <w:sz w:val="20"/>
            <w:szCs w:val="20"/>
          </w:rPr>
          <w:t>Zanda.Jaunskunga@km.gov.lv</w:t>
        </w:r>
      </w:hyperlink>
      <w:r w:rsidRPr="00521AB3">
        <w:rPr>
          <w:sz w:val="20"/>
          <w:szCs w:val="20"/>
        </w:rPr>
        <w:t xml:space="preserve"> </w:t>
      </w:r>
    </w:p>
    <w:sectPr w:rsidR="0030465E" w:rsidRPr="00521AB3" w:rsidSect="003715B2">
      <w:headerReference w:type="default" r:id="rId9"/>
      <w:footerReference w:type="default" r:id="rId10"/>
      <w:footerReference w:type="first" r:id="rId11"/>
      <w:pgSz w:w="16838" w:h="11906" w:orient="landscape"/>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F6688" w14:textId="77777777" w:rsidR="001772B7" w:rsidRDefault="001772B7" w:rsidP="00E864C4">
      <w:r>
        <w:separator/>
      </w:r>
    </w:p>
  </w:endnote>
  <w:endnote w:type="continuationSeparator" w:id="0">
    <w:p w14:paraId="43F54B63" w14:textId="77777777" w:rsidR="001772B7" w:rsidRDefault="001772B7" w:rsidP="00E864C4">
      <w:r>
        <w:continuationSeparator/>
      </w:r>
    </w:p>
  </w:endnote>
  <w:endnote w:type="continuationNotice" w:id="1">
    <w:p w14:paraId="782B5204" w14:textId="77777777" w:rsidR="001772B7" w:rsidRDefault="001772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752F5" w14:textId="7FB3882F" w:rsidR="00597B6F" w:rsidRPr="00FD077C" w:rsidRDefault="00FD077C" w:rsidP="00FD077C">
    <w:pPr>
      <w:pStyle w:val="Footer"/>
      <w:rPr>
        <w:rFonts w:ascii="Times New Roman" w:hAnsi="Times New Roman" w:cs="Times New Roman"/>
        <w:sz w:val="20"/>
        <w:szCs w:val="20"/>
      </w:rPr>
    </w:pPr>
    <w:r w:rsidRPr="00FD077C">
      <w:rPr>
        <w:rFonts w:ascii="Times New Roman" w:hAnsi="Times New Roman" w:cs="Times New Roman"/>
        <w:sz w:val="20"/>
        <w:szCs w:val="20"/>
      </w:rPr>
      <w:t>KMIzz_0</w:t>
    </w:r>
    <w:r w:rsidR="00F47F75">
      <w:rPr>
        <w:rFonts w:ascii="Times New Roman" w:hAnsi="Times New Roman" w:cs="Times New Roman"/>
        <w:sz w:val="20"/>
        <w:szCs w:val="20"/>
      </w:rPr>
      <w:t>5</w:t>
    </w:r>
    <w:r w:rsidRPr="00FD077C">
      <w:rPr>
        <w:rFonts w:ascii="Times New Roman" w:hAnsi="Times New Roman" w:cs="Times New Roman"/>
        <w:sz w:val="20"/>
        <w:szCs w:val="20"/>
      </w:rPr>
      <w:t>0</w:t>
    </w:r>
    <w:r w:rsidR="00F47F75">
      <w:rPr>
        <w:rFonts w:ascii="Times New Roman" w:hAnsi="Times New Roman" w:cs="Times New Roman"/>
        <w:sz w:val="20"/>
        <w:szCs w:val="20"/>
      </w:rPr>
      <w:t>7</w:t>
    </w:r>
    <w:r w:rsidRPr="00FD077C">
      <w:rPr>
        <w:rFonts w:ascii="Times New Roman" w:hAnsi="Times New Roman" w:cs="Times New Roman"/>
        <w:sz w:val="20"/>
        <w:szCs w:val="20"/>
      </w:rPr>
      <w:t>21_groz_</w:t>
    </w:r>
    <w:r w:rsidR="00F47F75">
      <w:rPr>
        <w:rFonts w:ascii="Times New Roman" w:hAnsi="Times New Roman" w:cs="Times New Roman"/>
        <w:sz w:val="20"/>
        <w:szCs w:val="20"/>
      </w:rPr>
      <w:t>Covid19_likums_biletes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824E7" w14:textId="6AC1D38A" w:rsidR="00FD077C" w:rsidRPr="00FD077C" w:rsidRDefault="00FD077C">
    <w:pPr>
      <w:pStyle w:val="Footer"/>
      <w:rPr>
        <w:rFonts w:ascii="Times New Roman" w:hAnsi="Times New Roman" w:cs="Times New Roman"/>
        <w:sz w:val="20"/>
        <w:szCs w:val="20"/>
      </w:rPr>
    </w:pPr>
    <w:r w:rsidRPr="00FD077C">
      <w:rPr>
        <w:rFonts w:ascii="Times New Roman" w:hAnsi="Times New Roman" w:cs="Times New Roman"/>
        <w:sz w:val="20"/>
        <w:szCs w:val="20"/>
      </w:rPr>
      <w:t>KMIzz_0</w:t>
    </w:r>
    <w:r w:rsidR="00F47F75">
      <w:rPr>
        <w:rFonts w:ascii="Times New Roman" w:hAnsi="Times New Roman" w:cs="Times New Roman"/>
        <w:sz w:val="20"/>
        <w:szCs w:val="20"/>
      </w:rPr>
      <w:t>5</w:t>
    </w:r>
    <w:r w:rsidRPr="00FD077C">
      <w:rPr>
        <w:rFonts w:ascii="Times New Roman" w:hAnsi="Times New Roman" w:cs="Times New Roman"/>
        <w:sz w:val="20"/>
        <w:szCs w:val="20"/>
      </w:rPr>
      <w:t>0</w:t>
    </w:r>
    <w:r w:rsidR="00F47F75">
      <w:rPr>
        <w:rFonts w:ascii="Times New Roman" w:hAnsi="Times New Roman" w:cs="Times New Roman"/>
        <w:sz w:val="20"/>
        <w:szCs w:val="20"/>
      </w:rPr>
      <w:t>7</w:t>
    </w:r>
    <w:r w:rsidRPr="00FD077C">
      <w:rPr>
        <w:rFonts w:ascii="Times New Roman" w:hAnsi="Times New Roman" w:cs="Times New Roman"/>
        <w:sz w:val="20"/>
        <w:szCs w:val="20"/>
      </w:rPr>
      <w:t>21_groz_</w:t>
    </w:r>
    <w:r w:rsidR="00F47F75">
      <w:rPr>
        <w:rFonts w:ascii="Times New Roman" w:hAnsi="Times New Roman" w:cs="Times New Roman"/>
        <w:sz w:val="20"/>
        <w:szCs w:val="20"/>
      </w:rPr>
      <w:t>Covid19_likums_biletes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CCE94" w14:textId="77777777" w:rsidR="001772B7" w:rsidRDefault="001772B7" w:rsidP="00E864C4">
      <w:r>
        <w:separator/>
      </w:r>
    </w:p>
  </w:footnote>
  <w:footnote w:type="continuationSeparator" w:id="0">
    <w:p w14:paraId="3E6771F3" w14:textId="77777777" w:rsidR="001772B7" w:rsidRDefault="001772B7" w:rsidP="00E864C4">
      <w:r>
        <w:continuationSeparator/>
      </w:r>
    </w:p>
  </w:footnote>
  <w:footnote w:type="continuationNotice" w:id="1">
    <w:p w14:paraId="78FE7A34" w14:textId="77777777" w:rsidR="001772B7" w:rsidRDefault="001772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649907"/>
      <w:docPartObj>
        <w:docPartGallery w:val="Page Numbers (Top of Page)"/>
        <w:docPartUnique/>
      </w:docPartObj>
    </w:sdtPr>
    <w:sdtEndPr>
      <w:rPr>
        <w:rFonts w:ascii="Times New Roman" w:hAnsi="Times New Roman" w:cs="Times New Roman"/>
      </w:rPr>
    </w:sdtEndPr>
    <w:sdtContent>
      <w:p w14:paraId="381305DA" w14:textId="2CEE254C" w:rsidR="003715B2" w:rsidRPr="003715B2" w:rsidRDefault="003715B2" w:rsidP="003715B2">
        <w:pPr>
          <w:pStyle w:val="Header"/>
          <w:jc w:val="center"/>
          <w:rPr>
            <w:rFonts w:ascii="Times New Roman" w:hAnsi="Times New Roman" w:cs="Times New Roman"/>
          </w:rPr>
        </w:pPr>
        <w:r w:rsidRPr="003715B2">
          <w:rPr>
            <w:rFonts w:ascii="Times New Roman" w:hAnsi="Times New Roman" w:cs="Times New Roman"/>
          </w:rPr>
          <w:fldChar w:fldCharType="begin"/>
        </w:r>
        <w:r w:rsidRPr="003715B2">
          <w:rPr>
            <w:rFonts w:ascii="Times New Roman" w:hAnsi="Times New Roman" w:cs="Times New Roman"/>
          </w:rPr>
          <w:instrText>PAGE   \* MERGEFORMAT</w:instrText>
        </w:r>
        <w:r w:rsidRPr="003715B2">
          <w:rPr>
            <w:rFonts w:ascii="Times New Roman" w:hAnsi="Times New Roman" w:cs="Times New Roman"/>
          </w:rPr>
          <w:fldChar w:fldCharType="separate"/>
        </w:r>
        <w:r w:rsidRPr="003715B2">
          <w:rPr>
            <w:rFonts w:ascii="Times New Roman" w:hAnsi="Times New Roman" w:cs="Times New Roman"/>
          </w:rPr>
          <w:t>2</w:t>
        </w:r>
        <w:r w:rsidRPr="003715B2">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C24E9"/>
    <w:multiLevelType w:val="hybridMultilevel"/>
    <w:tmpl w:val="7E342312"/>
    <w:lvl w:ilvl="0" w:tplc="F1B66430">
      <w:start w:val="1"/>
      <w:numFmt w:val="decimal"/>
      <w:lvlText w:val="%1."/>
      <w:lvlJc w:val="left"/>
      <w:pPr>
        <w:ind w:left="502" w:hanging="360"/>
      </w:pPr>
      <w:rPr>
        <w:rFonts w:hint="default"/>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9E234C7"/>
    <w:multiLevelType w:val="hybridMultilevel"/>
    <w:tmpl w:val="FFFFFFFF"/>
    <w:lvl w:ilvl="0" w:tplc="F8848C38">
      <w:start w:val="1"/>
      <w:numFmt w:val="decimal"/>
      <w:lvlText w:val="%1."/>
      <w:lvlJc w:val="left"/>
      <w:pPr>
        <w:ind w:left="720" w:hanging="360"/>
      </w:pPr>
    </w:lvl>
    <w:lvl w:ilvl="1" w:tplc="D9CCE602">
      <w:start w:val="1"/>
      <w:numFmt w:val="lowerLetter"/>
      <w:lvlText w:val="%2."/>
      <w:lvlJc w:val="left"/>
      <w:pPr>
        <w:ind w:left="1440" w:hanging="360"/>
      </w:pPr>
    </w:lvl>
    <w:lvl w:ilvl="2" w:tplc="702A7F84">
      <w:start w:val="1"/>
      <w:numFmt w:val="lowerRoman"/>
      <w:lvlText w:val="%3."/>
      <w:lvlJc w:val="right"/>
      <w:pPr>
        <w:ind w:left="2160" w:hanging="180"/>
      </w:pPr>
    </w:lvl>
    <w:lvl w:ilvl="3" w:tplc="7062E032">
      <w:start w:val="1"/>
      <w:numFmt w:val="decimal"/>
      <w:lvlText w:val="%4."/>
      <w:lvlJc w:val="left"/>
      <w:pPr>
        <w:ind w:left="2880" w:hanging="360"/>
      </w:pPr>
    </w:lvl>
    <w:lvl w:ilvl="4" w:tplc="9EC8D860">
      <w:start w:val="1"/>
      <w:numFmt w:val="lowerLetter"/>
      <w:lvlText w:val="%5."/>
      <w:lvlJc w:val="left"/>
      <w:pPr>
        <w:ind w:left="3600" w:hanging="360"/>
      </w:pPr>
    </w:lvl>
    <w:lvl w:ilvl="5" w:tplc="89668A4E">
      <w:start w:val="1"/>
      <w:numFmt w:val="lowerRoman"/>
      <w:lvlText w:val="%6."/>
      <w:lvlJc w:val="right"/>
      <w:pPr>
        <w:ind w:left="4320" w:hanging="180"/>
      </w:pPr>
    </w:lvl>
    <w:lvl w:ilvl="6" w:tplc="3BBABDFC">
      <w:start w:val="1"/>
      <w:numFmt w:val="decimal"/>
      <w:lvlText w:val="%7."/>
      <w:lvlJc w:val="left"/>
      <w:pPr>
        <w:ind w:left="5040" w:hanging="360"/>
      </w:pPr>
    </w:lvl>
    <w:lvl w:ilvl="7" w:tplc="DF320B96">
      <w:start w:val="1"/>
      <w:numFmt w:val="lowerLetter"/>
      <w:lvlText w:val="%8."/>
      <w:lvlJc w:val="left"/>
      <w:pPr>
        <w:ind w:left="5760" w:hanging="360"/>
      </w:pPr>
    </w:lvl>
    <w:lvl w:ilvl="8" w:tplc="DFB6E7CA">
      <w:start w:val="1"/>
      <w:numFmt w:val="lowerRoman"/>
      <w:lvlText w:val="%9."/>
      <w:lvlJc w:val="right"/>
      <w:pPr>
        <w:ind w:left="6480" w:hanging="180"/>
      </w:pPr>
    </w:lvl>
  </w:abstractNum>
  <w:abstractNum w:abstractNumId="2" w15:restartNumberingAfterBreak="0">
    <w:nsid w:val="1AA0186D"/>
    <w:multiLevelType w:val="hybridMultilevel"/>
    <w:tmpl w:val="763EAE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DEC7BF4"/>
    <w:multiLevelType w:val="multilevel"/>
    <w:tmpl w:val="9F340DDE"/>
    <w:lvl w:ilvl="0">
      <w:start w:val="1"/>
      <w:numFmt w:val="decimal"/>
      <w:lvlText w:val="%1."/>
      <w:lvlJc w:val="left"/>
      <w:pPr>
        <w:ind w:left="153" w:hanging="360"/>
      </w:pPr>
    </w:lvl>
    <w:lvl w:ilvl="1">
      <w:start w:val="1"/>
      <w:numFmt w:val="decimal"/>
      <w:isLgl/>
      <w:lvlText w:val="%1.%2."/>
      <w:lvlJc w:val="left"/>
      <w:pPr>
        <w:ind w:left="480" w:hanging="480"/>
      </w:pPr>
      <w:rPr>
        <w:rFonts w:ascii="Times New Roman" w:hAnsi="Times New Roman" w:cs="Times New Roman" w:hint="default"/>
        <w:sz w:val="24"/>
        <w:szCs w:val="24"/>
      </w:rPr>
    </w:lvl>
    <w:lvl w:ilvl="2">
      <w:start w:val="1"/>
      <w:numFmt w:val="decimal"/>
      <w:isLgl/>
      <w:lvlText w:val="%1.%2.%3."/>
      <w:lvlJc w:val="left"/>
      <w:pPr>
        <w:ind w:left="927" w:hanging="720"/>
      </w:pPr>
      <w:rPr>
        <w:rFonts w:hint="default"/>
      </w:rPr>
    </w:lvl>
    <w:lvl w:ilvl="3">
      <w:start w:val="1"/>
      <w:numFmt w:val="decimal"/>
      <w:isLgl/>
      <w:lvlText w:val="%1.%2.%3.%4."/>
      <w:lvlJc w:val="left"/>
      <w:pPr>
        <w:ind w:left="1134" w:hanging="720"/>
      </w:pPr>
      <w:rPr>
        <w:rFonts w:hint="default"/>
      </w:rPr>
    </w:lvl>
    <w:lvl w:ilvl="4">
      <w:start w:val="1"/>
      <w:numFmt w:val="decimal"/>
      <w:isLgl/>
      <w:lvlText w:val="%1.%2.%3.%4.%5."/>
      <w:lvlJc w:val="left"/>
      <w:pPr>
        <w:ind w:left="1701" w:hanging="1080"/>
      </w:pPr>
      <w:rPr>
        <w:rFonts w:hint="default"/>
      </w:rPr>
    </w:lvl>
    <w:lvl w:ilvl="5">
      <w:start w:val="1"/>
      <w:numFmt w:val="decimal"/>
      <w:isLgl/>
      <w:lvlText w:val="%1.%2.%3.%4.%5.%6."/>
      <w:lvlJc w:val="left"/>
      <w:pPr>
        <w:ind w:left="1908" w:hanging="1080"/>
      </w:pPr>
      <w:rPr>
        <w:rFonts w:hint="default"/>
      </w:rPr>
    </w:lvl>
    <w:lvl w:ilvl="6">
      <w:start w:val="1"/>
      <w:numFmt w:val="decimal"/>
      <w:isLgl/>
      <w:lvlText w:val="%1.%2.%3.%4.%5.%6.%7."/>
      <w:lvlJc w:val="left"/>
      <w:pPr>
        <w:ind w:left="2475" w:hanging="1440"/>
      </w:pPr>
      <w:rPr>
        <w:rFonts w:hint="default"/>
      </w:rPr>
    </w:lvl>
    <w:lvl w:ilvl="7">
      <w:start w:val="1"/>
      <w:numFmt w:val="decimal"/>
      <w:isLgl/>
      <w:lvlText w:val="%1.%2.%3.%4.%5.%6.%7.%8."/>
      <w:lvlJc w:val="left"/>
      <w:pPr>
        <w:ind w:left="2682" w:hanging="1440"/>
      </w:pPr>
      <w:rPr>
        <w:rFonts w:hint="default"/>
      </w:rPr>
    </w:lvl>
    <w:lvl w:ilvl="8">
      <w:start w:val="1"/>
      <w:numFmt w:val="decimal"/>
      <w:isLgl/>
      <w:lvlText w:val="%1.%2.%3.%4.%5.%6.%7.%8.%9."/>
      <w:lvlJc w:val="left"/>
      <w:pPr>
        <w:ind w:left="3249" w:hanging="1800"/>
      </w:pPr>
      <w:rPr>
        <w:rFonts w:hint="default"/>
      </w:rPr>
    </w:lvl>
  </w:abstractNum>
  <w:abstractNum w:abstractNumId="4" w15:restartNumberingAfterBreak="0">
    <w:nsid w:val="3CB101A1"/>
    <w:multiLevelType w:val="multilevel"/>
    <w:tmpl w:val="6FC8C6B6"/>
    <w:lvl w:ilvl="0">
      <w:start w:val="7"/>
      <w:numFmt w:val="decimal"/>
      <w:lvlText w:val="%1."/>
      <w:lvlJc w:val="left"/>
      <w:pPr>
        <w:ind w:left="450" w:hanging="450"/>
      </w:pPr>
      <w:rPr>
        <w:rFonts w:ascii="Times New Roman" w:hAnsi="Times New Roman" w:cs="Times New Roman" w:hint="default"/>
        <w:sz w:val="28"/>
        <w:szCs w:val="28"/>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3CF12D6D"/>
    <w:multiLevelType w:val="hybridMultilevel"/>
    <w:tmpl w:val="F3080C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FE85C5F"/>
    <w:multiLevelType w:val="hybridMultilevel"/>
    <w:tmpl w:val="C44E7A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C6E7A9D"/>
    <w:multiLevelType w:val="hybridMultilevel"/>
    <w:tmpl w:val="FFFFFFFF"/>
    <w:lvl w:ilvl="0" w:tplc="467EC724">
      <w:start w:val="1"/>
      <w:numFmt w:val="decimal"/>
      <w:lvlText w:val="%1."/>
      <w:lvlJc w:val="left"/>
      <w:pPr>
        <w:ind w:left="720" w:hanging="360"/>
      </w:pPr>
    </w:lvl>
    <w:lvl w:ilvl="1" w:tplc="4280B0C6">
      <w:start w:val="1"/>
      <w:numFmt w:val="lowerLetter"/>
      <w:lvlText w:val="%2."/>
      <w:lvlJc w:val="left"/>
      <w:pPr>
        <w:ind w:left="1440" w:hanging="360"/>
      </w:pPr>
    </w:lvl>
    <w:lvl w:ilvl="2" w:tplc="0F9C2CFA">
      <w:start w:val="1"/>
      <w:numFmt w:val="lowerRoman"/>
      <w:lvlText w:val="%3."/>
      <w:lvlJc w:val="right"/>
      <w:pPr>
        <w:ind w:left="2160" w:hanging="180"/>
      </w:pPr>
    </w:lvl>
    <w:lvl w:ilvl="3" w:tplc="C7AA748E">
      <w:start w:val="1"/>
      <w:numFmt w:val="decimal"/>
      <w:lvlText w:val="%4."/>
      <w:lvlJc w:val="left"/>
      <w:pPr>
        <w:ind w:left="2880" w:hanging="360"/>
      </w:pPr>
    </w:lvl>
    <w:lvl w:ilvl="4" w:tplc="D80CDF06">
      <w:start w:val="1"/>
      <w:numFmt w:val="lowerLetter"/>
      <w:lvlText w:val="%5."/>
      <w:lvlJc w:val="left"/>
      <w:pPr>
        <w:ind w:left="3600" w:hanging="360"/>
      </w:pPr>
    </w:lvl>
    <w:lvl w:ilvl="5" w:tplc="7F30D2F2">
      <w:start w:val="1"/>
      <w:numFmt w:val="lowerRoman"/>
      <w:lvlText w:val="%6."/>
      <w:lvlJc w:val="right"/>
      <w:pPr>
        <w:ind w:left="4320" w:hanging="180"/>
      </w:pPr>
    </w:lvl>
    <w:lvl w:ilvl="6" w:tplc="43CEA2AC">
      <w:start w:val="1"/>
      <w:numFmt w:val="decimal"/>
      <w:lvlText w:val="%7."/>
      <w:lvlJc w:val="left"/>
      <w:pPr>
        <w:ind w:left="5040" w:hanging="360"/>
      </w:pPr>
    </w:lvl>
    <w:lvl w:ilvl="7" w:tplc="421238B2">
      <w:start w:val="1"/>
      <w:numFmt w:val="lowerLetter"/>
      <w:lvlText w:val="%8."/>
      <w:lvlJc w:val="left"/>
      <w:pPr>
        <w:ind w:left="5760" w:hanging="360"/>
      </w:pPr>
    </w:lvl>
    <w:lvl w:ilvl="8" w:tplc="526C8EA2">
      <w:start w:val="1"/>
      <w:numFmt w:val="lowerRoman"/>
      <w:lvlText w:val="%9."/>
      <w:lvlJc w:val="right"/>
      <w:pPr>
        <w:ind w:left="6480" w:hanging="180"/>
      </w:pPr>
    </w:lvl>
  </w:abstractNum>
  <w:abstractNum w:abstractNumId="8" w15:restartNumberingAfterBreak="0">
    <w:nsid w:val="7E3100D8"/>
    <w:multiLevelType w:val="hybridMultilevel"/>
    <w:tmpl w:val="213408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0"/>
  </w:num>
  <w:num w:numId="5">
    <w:abstractNumId w:val="4"/>
  </w:num>
  <w:num w:numId="6">
    <w:abstractNumId w:val="6"/>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E44"/>
    <w:rsid w:val="00001258"/>
    <w:rsid w:val="00003920"/>
    <w:rsid w:val="00003A09"/>
    <w:rsid w:val="00012BC0"/>
    <w:rsid w:val="0001377B"/>
    <w:rsid w:val="0001797E"/>
    <w:rsid w:val="000201EE"/>
    <w:rsid w:val="00020B8B"/>
    <w:rsid w:val="00021C6D"/>
    <w:rsid w:val="00023300"/>
    <w:rsid w:val="0002761C"/>
    <w:rsid w:val="0003275B"/>
    <w:rsid w:val="000370B0"/>
    <w:rsid w:val="00037995"/>
    <w:rsid w:val="00037FCE"/>
    <w:rsid w:val="00050F8A"/>
    <w:rsid w:val="00051405"/>
    <w:rsid w:val="0006153A"/>
    <w:rsid w:val="0006266B"/>
    <w:rsid w:val="00062B77"/>
    <w:rsid w:val="00075D17"/>
    <w:rsid w:val="000761E8"/>
    <w:rsid w:val="00077C49"/>
    <w:rsid w:val="00097A52"/>
    <w:rsid w:val="000A1EBE"/>
    <w:rsid w:val="000C0B57"/>
    <w:rsid w:val="000C430D"/>
    <w:rsid w:val="000C4FC0"/>
    <w:rsid w:val="000C50F2"/>
    <w:rsid w:val="000D6791"/>
    <w:rsid w:val="000E2705"/>
    <w:rsid w:val="000E6A6E"/>
    <w:rsid w:val="00114284"/>
    <w:rsid w:val="0012208A"/>
    <w:rsid w:val="001229B1"/>
    <w:rsid w:val="00125AA9"/>
    <w:rsid w:val="00132DFD"/>
    <w:rsid w:val="00142D5F"/>
    <w:rsid w:val="001477C9"/>
    <w:rsid w:val="00147BF9"/>
    <w:rsid w:val="00163F69"/>
    <w:rsid w:val="00165E04"/>
    <w:rsid w:val="001772B7"/>
    <w:rsid w:val="001809DB"/>
    <w:rsid w:val="0018629B"/>
    <w:rsid w:val="00192030"/>
    <w:rsid w:val="001A4770"/>
    <w:rsid w:val="001B0B6D"/>
    <w:rsid w:val="001B1247"/>
    <w:rsid w:val="001B6B69"/>
    <w:rsid w:val="001C1BC5"/>
    <w:rsid w:val="001C5AFD"/>
    <w:rsid w:val="001C6F41"/>
    <w:rsid w:val="001D1221"/>
    <w:rsid w:val="001D550F"/>
    <w:rsid w:val="001E3C21"/>
    <w:rsid w:val="001F7374"/>
    <w:rsid w:val="001F775A"/>
    <w:rsid w:val="00210465"/>
    <w:rsid w:val="0021076C"/>
    <w:rsid w:val="00210A85"/>
    <w:rsid w:val="00216748"/>
    <w:rsid w:val="00221C67"/>
    <w:rsid w:val="00223A3E"/>
    <w:rsid w:val="00227CDE"/>
    <w:rsid w:val="00230A2F"/>
    <w:rsid w:val="00231A59"/>
    <w:rsid w:val="002339C0"/>
    <w:rsid w:val="002348A2"/>
    <w:rsid w:val="00247043"/>
    <w:rsid w:val="00247BC1"/>
    <w:rsid w:val="00254017"/>
    <w:rsid w:val="002551B5"/>
    <w:rsid w:val="00255F30"/>
    <w:rsid w:val="00263E57"/>
    <w:rsid w:val="00266553"/>
    <w:rsid w:val="002774A6"/>
    <w:rsid w:val="0028017C"/>
    <w:rsid w:val="00296AD3"/>
    <w:rsid w:val="002B06CA"/>
    <w:rsid w:val="002B6F1E"/>
    <w:rsid w:val="002B7CBA"/>
    <w:rsid w:val="002C1293"/>
    <w:rsid w:val="002C7F3C"/>
    <w:rsid w:val="002D2A29"/>
    <w:rsid w:val="002D7569"/>
    <w:rsid w:val="002F2877"/>
    <w:rsid w:val="002F3B82"/>
    <w:rsid w:val="002F422F"/>
    <w:rsid w:val="003027DB"/>
    <w:rsid w:val="003041C9"/>
    <w:rsid w:val="0030465E"/>
    <w:rsid w:val="00310EDC"/>
    <w:rsid w:val="0031247B"/>
    <w:rsid w:val="00314E77"/>
    <w:rsid w:val="0033267E"/>
    <w:rsid w:val="00335324"/>
    <w:rsid w:val="003400FD"/>
    <w:rsid w:val="00355B9B"/>
    <w:rsid w:val="00365C8C"/>
    <w:rsid w:val="00365D39"/>
    <w:rsid w:val="00367522"/>
    <w:rsid w:val="003715B2"/>
    <w:rsid w:val="0038476B"/>
    <w:rsid w:val="00390C32"/>
    <w:rsid w:val="003A46C9"/>
    <w:rsid w:val="003A4D62"/>
    <w:rsid w:val="003A6700"/>
    <w:rsid w:val="003B6AFA"/>
    <w:rsid w:val="003B75B2"/>
    <w:rsid w:val="003D119D"/>
    <w:rsid w:val="003D6912"/>
    <w:rsid w:val="003F2A49"/>
    <w:rsid w:val="003F3119"/>
    <w:rsid w:val="00401555"/>
    <w:rsid w:val="00403E53"/>
    <w:rsid w:val="00417AE0"/>
    <w:rsid w:val="00444019"/>
    <w:rsid w:val="00445087"/>
    <w:rsid w:val="00447BB0"/>
    <w:rsid w:val="0045211D"/>
    <w:rsid w:val="00452EF3"/>
    <w:rsid w:val="0045575A"/>
    <w:rsid w:val="0047038D"/>
    <w:rsid w:val="00477DC5"/>
    <w:rsid w:val="00481C29"/>
    <w:rsid w:val="00492719"/>
    <w:rsid w:val="00492AE3"/>
    <w:rsid w:val="00495E18"/>
    <w:rsid w:val="00497917"/>
    <w:rsid w:val="00497B94"/>
    <w:rsid w:val="004A770C"/>
    <w:rsid w:val="004B3F0B"/>
    <w:rsid w:val="004C1512"/>
    <w:rsid w:val="004C2FBC"/>
    <w:rsid w:val="004C7BFE"/>
    <w:rsid w:val="004D32A7"/>
    <w:rsid w:val="004D4E5A"/>
    <w:rsid w:val="004F4B89"/>
    <w:rsid w:val="005006D3"/>
    <w:rsid w:val="00500DA7"/>
    <w:rsid w:val="00503D78"/>
    <w:rsid w:val="00512B24"/>
    <w:rsid w:val="00521AB3"/>
    <w:rsid w:val="005254B7"/>
    <w:rsid w:val="00526BEA"/>
    <w:rsid w:val="00527F71"/>
    <w:rsid w:val="0053481B"/>
    <w:rsid w:val="00564BE5"/>
    <w:rsid w:val="005650C6"/>
    <w:rsid w:val="00574613"/>
    <w:rsid w:val="005940B4"/>
    <w:rsid w:val="0059751E"/>
    <w:rsid w:val="00597B6F"/>
    <w:rsid w:val="005A033E"/>
    <w:rsid w:val="005B0600"/>
    <w:rsid w:val="005C37CF"/>
    <w:rsid w:val="005C7ADC"/>
    <w:rsid w:val="005D1071"/>
    <w:rsid w:val="005D4DEA"/>
    <w:rsid w:val="005E0076"/>
    <w:rsid w:val="005F0DFF"/>
    <w:rsid w:val="005F6BE4"/>
    <w:rsid w:val="005F6D6C"/>
    <w:rsid w:val="0060110A"/>
    <w:rsid w:val="0060490F"/>
    <w:rsid w:val="00615B1C"/>
    <w:rsid w:val="00622CD0"/>
    <w:rsid w:val="006242CA"/>
    <w:rsid w:val="006305BB"/>
    <w:rsid w:val="00634B9A"/>
    <w:rsid w:val="00642ABE"/>
    <w:rsid w:val="00663202"/>
    <w:rsid w:val="006661C3"/>
    <w:rsid w:val="006666C2"/>
    <w:rsid w:val="006703CA"/>
    <w:rsid w:val="006715E4"/>
    <w:rsid w:val="0067164F"/>
    <w:rsid w:val="00684526"/>
    <w:rsid w:val="0069341B"/>
    <w:rsid w:val="006A645C"/>
    <w:rsid w:val="006B31DF"/>
    <w:rsid w:val="006C492A"/>
    <w:rsid w:val="006C5D92"/>
    <w:rsid w:val="006C637F"/>
    <w:rsid w:val="006D3EE7"/>
    <w:rsid w:val="006E1FCB"/>
    <w:rsid w:val="006E713F"/>
    <w:rsid w:val="006F5A3F"/>
    <w:rsid w:val="006F5DCB"/>
    <w:rsid w:val="006F6D6B"/>
    <w:rsid w:val="0070794C"/>
    <w:rsid w:val="0071109A"/>
    <w:rsid w:val="00711E2C"/>
    <w:rsid w:val="00713BC2"/>
    <w:rsid w:val="007142AC"/>
    <w:rsid w:val="007157E5"/>
    <w:rsid w:val="00716C99"/>
    <w:rsid w:val="00724662"/>
    <w:rsid w:val="007274A4"/>
    <w:rsid w:val="00731644"/>
    <w:rsid w:val="00736071"/>
    <w:rsid w:val="007436E7"/>
    <w:rsid w:val="00747AC4"/>
    <w:rsid w:val="00751A35"/>
    <w:rsid w:val="0075266F"/>
    <w:rsid w:val="00755553"/>
    <w:rsid w:val="00767227"/>
    <w:rsid w:val="0077094D"/>
    <w:rsid w:val="0077123A"/>
    <w:rsid w:val="007715E2"/>
    <w:rsid w:val="007745E5"/>
    <w:rsid w:val="007769A7"/>
    <w:rsid w:val="0078157C"/>
    <w:rsid w:val="00781F75"/>
    <w:rsid w:val="00785D87"/>
    <w:rsid w:val="00785E80"/>
    <w:rsid w:val="00787DFE"/>
    <w:rsid w:val="00794B84"/>
    <w:rsid w:val="00796BAB"/>
    <w:rsid w:val="007A2594"/>
    <w:rsid w:val="007B3726"/>
    <w:rsid w:val="007B3B1D"/>
    <w:rsid w:val="007B6E47"/>
    <w:rsid w:val="007B7616"/>
    <w:rsid w:val="007C23CF"/>
    <w:rsid w:val="007C6BDC"/>
    <w:rsid w:val="007D76E4"/>
    <w:rsid w:val="007E1418"/>
    <w:rsid w:val="007E5336"/>
    <w:rsid w:val="007F5FA3"/>
    <w:rsid w:val="007F6C36"/>
    <w:rsid w:val="00836493"/>
    <w:rsid w:val="00840EEB"/>
    <w:rsid w:val="008452BA"/>
    <w:rsid w:val="0084698C"/>
    <w:rsid w:val="00847DC8"/>
    <w:rsid w:val="00847DE5"/>
    <w:rsid w:val="00852EA7"/>
    <w:rsid w:val="00856B22"/>
    <w:rsid w:val="00862AB4"/>
    <w:rsid w:val="0086514C"/>
    <w:rsid w:val="0086632C"/>
    <w:rsid w:val="00872046"/>
    <w:rsid w:val="00872C4A"/>
    <w:rsid w:val="008833DB"/>
    <w:rsid w:val="00886A79"/>
    <w:rsid w:val="0089292E"/>
    <w:rsid w:val="00893B67"/>
    <w:rsid w:val="008A3B46"/>
    <w:rsid w:val="008B209E"/>
    <w:rsid w:val="008C1AE9"/>
    <w:rsid w:val="008C3DD7"/>
    <w:rsid w:val="008D16B3"/>
    <w:rsid w:val="008D3C03"/>
    <w:rsid w:val="008E246A"/>
    <w:rsid w:val="008F0912"/>
    <w:rsid w:val="008F4F7B"/>
    <w:rsid w:val="00930EF1"/>
    <w:rsid w:val="00935EBB"/>
    <w:rsid w:val="00941A6A"/>
    <w:rsid w:val="00943606"/>
    <w:rsid w:val="009503F3"/>
    <w:rsid w:val="0095777A"/>
    <w:rsid w:val="009607D2"/>
    <w:rsid w:val="00964508"/>
    <w:rsid w:val="00967FCE"/>
    <w:rsid w:val="00977052"/>
    <w:rsid w:val="009817FC"/>
    <w:rsid w:val="009852B4"/>
    <w:rsid w:val="009874F0"/>
    <w:rsid w:val="00991128"/>
    <w:rsid w:val="00992C47"/>
    <w:rsid w:val="00993064"/>
    <w:rsid w:val="009B2596"/>
    <w:rsid w:val="009D158E"/>
    <w:rsid w:val="009D3753"/>
    <w:rsid w:val="009D3EEB"/>
    <w:rsid w:val="009F09C5"/>
    <w:rsid w:val="009F2E5A"/>
    <w:rsid w:val="009F6DB4"/>
    <w:rsid w:val="00A0626C"/>
    <w:rsid w:val="00A06A5F"/>
    <w:rsid w:val="00A16308"/>
    <w:rsid w:val="00A33912"/>
    <w:rsid w:val="00A35E00"/>
    <w:rsid w:val="00A46A27"/>
    <w:rsid w:val="00A51DEE"/>
    <w:rsid w:val="00A53C8C"/>
    <w:rsid w:val="00A56333"/>
    <w:rsid w:val="00A635BB"/>
    <w:rsid w:val="00A73633"/>
    <w:rsid w:val="00A8032A"/>
    <w:rsid w:val="00A8409B"/>
    <w:rsid w:val="00A85D58"/>
    <w:rsid w:val="00A9278E"/>
    <w:rsid w:val="00A963BD"/>
    <w:rsid w:val="00A96F14"/>
    <w:rsid w:val="00A9729F"/>
    <w:rsid w:val="00AA0FA2"/>
    <w:rsid w:val="00AA22AC"/>
    <w:rsid w:val="00AA2F53"/>
    <w:rsid w:val="00AA5628"/>
    <w:rsid w:val="00AA7A45"/>
    <w:rsid w:val="00AB3AC4"/>
    <w:rsid w:val="00AC4626"/>
    <w:rsid w:val="00AC5E11"/>
    <w:rsid w:val="00AD2C1C"/>
    <w:rsid w:val="00AD4F07"/>
    <w:rsid w:val="00AE361D"/>
    <w:rsid w:val="00AF31E3"/>
    <w:rsid w:val="00B1126D"/>
    <w:rsid w:val="00B1311A"/>
    <w:rsid w:val="00B152DE"/>
    <w:rsid w:val="00B43328"/>
    <w:rsid w:val="00B44A05"/>
    <w:rsid w:val="00B45227"/>
    <w:rsid w:val="00B509BA"/>
    <w:rsid w:val="00B529DE"/>
    <w:rsid w:val="00B5733B"/>
    <w:rsid w:val="00B66554"/>
    <w:rsid w:val="00B71244"/>
    <w:rsid w:val="00B92A98"/>
    <w:rsid w:val="00B96270"/>
    <w:rsid w:val="00BA1E95"/>
    <w:rsid w:val="00BB2220"/>
    <w:rsid w:val="00BD232D"/>
    <w:rsid w:val="00BD3133"/>
    <w:rsid w:val="00BD371E"/>
    <w:rsid w:val="00C01065"/>
    <w:rsid w:val="00C22B7F"/>
    <w:rsid w:val="00C234CE"/>
    <w:rsid w:val="00C3419D"/>
    <w:rsid w:val="00C3601C"/>
    <w:rsid w:val="00C367A9"/>
    <w:rsid w:val="00C46A64"/>
    <w:rsid w:val="00C47C73"/>
    <w:rsid w:val="00C62876"/>
    <w:rsid w:val="00C716C6"/>
    <w:rsid w:val="00C80ABB"/>
    <w:rsid w:val="00C81445"/>
    <w:rsid w:val="00C909D4"/>
    <w:rsid w:val="00C96AB6"/>
    <w:rsid w:val="00CA6B9F"/>
    <w:rsid w:val="00CB7B34"/>
    <w:rsid w:val="00CC2364"/>
    <w:rsid w:val="00CC3808"/>
    <w:rsid w:val="00CD502F"/>
    <w:rsid w:val="00CE4C6E"/>
    <w:rsid w:val="00CF0446"/>
    <w:rsid w:val="00D02915"/>
    <w:rsid w:val="00D02A62"/>
    <w:rsid w:val="00D02BBC"/>
    <w:rsid w:val="00D1518E"/>
    <w:rsid w:val="00D37CA6"/>
    <w:rsid w:val="00D434EF"/>
    <w:rsid w:val="00D46610"/>
    <w:rsid w:val="00D51D04"/>
    <w:rsid w:val="00D624BD"/>
    <w:rsid w:val="00D6352B"/>
    <w:rsid w:val="00D66E8F"/>
    <w:rsid w:val="00D827F8"/>
    <w:rsid w:val="00D8660A"/>
    <w:rsid w:val="00DA084B"/>
    <w:rsid w:val="00DB527D"/>
    <w:rsid w:val="00DB59CF"/>
    <w:rsid w:val="00DB656F"/>
    <w:rsid w:val="00DB7B24"/>
    <w:rsid w:val="00DC37B0"/>
    <w:rsid w:val="00DD303A"/>
    <w:rsid w:val="00DD4360"/>
    <w:rsid w:val="00DE1C89"/>
    <w:rsid w:val="00DE492D"/>
    <w:rsid w:val="00DE4BEE"/>
    <w:rsid w:val="00DF275F"/>
    <w:rsid w:val="00DF5D80"/>
    <w:rsid w:val="00E013A9"/>
    <w:rsid w:val="00E01640"/>
    <w:rsid w:val="00E15DF4"/>
    <w:rsid w:val="00E17DEB"/>
    <w:rsid w:val="00E2495C"/>
    <w:rsid w:val="00E32AE5"/>
    <w:rsid w:val="00E32BC4"/>
    <w:rsid w:val="00E33468"/>
    <w:rsid w:val="00E403E7"/>
    <w:rsid w:val="00E51897"/>
    <w:rsid w:val="00E52F23"/>
    <w:rsid w:val="00E53EC1"/>
    <w:rsid w:val="00E60024"/>
    <w:rsid w:val="00E64768"/>
    <w:rsid w:val="00E64CE5"/>
    <w:rsid w:val="00E64D9A"/>
    <w:rsid w:val="00E6634C"/>
    <w:rsid w:val="00E75E5B"/>
    <w:rsid w:val="00E772A3"/>
    <w:rsid w:val="00E80782"/>
    <w:rsid w:val="00E8334C"/>
    <w:rsid w:val="00E864C4"/>
    <w:rsid w:val="00E87400"/>
    <w:rsid w:val="00EB416E"/>
    <w:rsid w:val="00EC4BBC"/>
    <w:rsid w:val="00EC5172"/>
    <w:rsid w:val="00ED1EA1"/>
    <w:rsid w:val="00ED4BC7"/>
    <w:rsid w:val="00EE0B1E"/>
    <w:rsid w:val="00EE4FFA"/>
    <w:rsid w:val="00EE7B47"/>
    <w:rsid w:val="00F11869"/>
    <w:rsid w:val="00F12F12"/>
    <w:rsid w:val="00F146E4"/>
    <w:rsid w:val="00F15215"/>
    <w:rsid w:val="00F15F20"/>
    <w:rsid w:val="00F24B08"/>
    <w:rsid w:val="00F3311C"/>
    <w:rsid w:val="00F37FB0"/>
    <w:rsid w:val="00F41D06"/>
    <w:rsid w:val="00F429F6"/>
    <w:rsid w:val="00F4340F"/>
    <w:rsid w:val="00F46E98"/>
    <w:rsid w:val="00F47F75"/>
    <w:rsid w:val="00F53E42"/>
    <w:rsid w:val="00F57C33"/>
    <w:rsid w:val="00F86C47"/>
    <w:rsid w:val="00F93681"/>
    <w:rsid w:val="00F94B4A"/>
    <w:rsid w:val="00FA447F"/>
    <w:rsid w:val="00FB04F4"/>
    <w:rsid w:val="00FB0E44"/>
    <w:rsid w:val="00FB1443"/>
    <w:rsid w:val="00FB1C9B"/>
    <w:rsid w:val="00FB47BF"/>
    <w:rsid w:val="00FC0E8C"/>
    <w:rsid w:val="00FC1759"/>
    <w:rsid w:val="00FC35AD"/>
    <w:rsid w:val="00FD077C"/>
    <w:rsid w:val="00FD71AB"/>
    <w:rsid w:val="00FE1598"/>
    <w:rsid w:val="00FE200C"/>
    <w:rsid w:val="00FE3565"/>
    <w:rsid w:val="00FE3B82"/>
    <w:rsid w:val="00FF7743"/>
    <w:rsid w:val="03E5356F"/>
    <w:rsid w:val="0B1AAFBD"/>
    <w:rsid w:val="0EF308DA"/>
    <w:rsid w:val="0F24542D"/>
    <w:rsid w:val="133CCCCE"/>
    <w:rsid w:val="13F7C550"/>
    <w:rsid w:val="3222FAF5"/>
    <w:rsid w:val="338E6EBB"/>
    <w:rsid w:val="3638E2E5"/>
    <w:rsid w:val="3685C2B4"/>
    <w:rsid w:val="3777F606"/>
    <w:rsid w:val="3C15C496"/>
    <w:rsid w:val="4887188A"/>
    <w:rsid w:val="4E566BFC"/>
    <w:rsid w:val="5185C685"/>
    <w:rsid w:val="581A86BE"/>
    <w:rsid w:val="58300D40"/>
    <w:rsid w:val="5C9F1AA2"/>
    <w:rsid w:val="5E0AFAD0"/>
    <w:rsid w:val="5E825E24"/>
    <w:rsid w:val="5E972F68"/>
    <w:rsid w:val="664E3A96"/>
    <w:rsid w:val="6C7194BF"/>
    <w:rsid w:val="76BAE3BA"/>
    <w:rsid w:val="780ACCC0"/>
    <w:rsid w:val="7B47DC65"/>
    <w:rsid w:val="7E387352"/>
    <w:rsid w:val="7E71EE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00788"/>
  <w15:docId w15:val="{70D9EB4B-BF01-4FCE-B909-57286860C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92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7BFE"/>
    <w:rPr>
      <w:color w:val="0000FF"/>
      <w:u w:val="single"/>
    </w:rPr>
  </w:style>
  <w:style w:type="paragraph" w:customStyle="1" w:styleId="tvhtml">
    <w:name w:val="tv_html"/>
    <w:basedOn w:val="Normal"/>
    <w:rsid w:val="004C7BFE"/>
    <w:pPr>
      <w:spacing w:before="100" w:beforeAutospacing="1" w:after="100" w:afterAutospacing="1"/>
    </w:pPr>
    <w:rPr>
      <w:lang w:eastAsia="lv-LV"/>
    </w:rPr>
  </w:style>
  <w:style w:type="paragraph" w:styleId="BalloonText">
    <w:name w:val="Balloon Text"/>
    <w:basedOn w:val="Normal"/>
    <w:link w:val="BalloonTextChar"/>
    <w:uiPriority w:val="99"/>
    <w:semiHidden/>
    <w:unhideWhenUsed/>
    <w:rsid w:val="001F775A"/>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1F775A"/>
    <w:rPr>
      <w:rFonts w:ascii="Segoe UI" w:hAnsi="Segoe UI" w:cs="Segoe UI"/>
      <w:sz w:val="18"/>
      <w:szCs w:val="18"/>
    </w:rPr>
  </w:style>
  <w:style w:type="character" w:styleId="CommentReference">
    <w:name w:val="annotation reference"/>
    <w:basedOn w:val="DefaultParagraphFont"/>
    <w:uiPriority w:val="99"/>
    <w:semiHidden/>
    <w:unhideWhenUsed/>
    <w:rsid w:val="007B7616"/>
    <w:rPr>
      <w:sz w:val="16"/>
      <w:szCs w:val="16"/>
    </w:rPr>
  </w:style>
  <w:style w:type="paragraph" w:styleId="CommentText">
    <w:name w:val="annotation text"/>
    <w:basedOn w:val="Normal"/>
    <w:link w:val="CommentTextChar"/>
    <w:uiPriority w:val="99"/>
    <w:semiHidden/>
    <w:unhideWhenUsed/>
    <w:rsid w:val="007B7616"/>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7B7616"/>
    <w:rPr>
      <w:sz w:val="20"/>
      <w:szCs w:val="20"/>
    </w:rPr>
  </w:style>
  <w:style w:type="paragraph" w:styleId="CommentSubject">
    <w:name w:val="annotation subject"/>
    <w:basedOn w:val="CommentText"/>
    <w:next w:val="CommentText"/>
    <w:link w:val="CommentSubjectChar"/>
    <w:uiPriority w:val="99"/>
    <w:semiHidden/>
    <w:unhideWhenUsed/>
    <w:rsid w:val="007B7616"/>
    <w:rPr>
      <w:b/>
      <w:bCs/>
    </w:rPr>
  </w:style>
  <w:style w:type="character" w:customStyle="1" w:styleId="CommentSubjectChar">
    <w:name w:val="Comment Subject Char"/>
    <w:basedOn w:val="CommentTextChar"/>
    <w:link w:val="CommentSubject"/>
    <w:uiPriority w:val="99"/>
    <w:semiHidden/>
    <w:rsid w:val="007B7616"/>
    <w:rPr>
      <w:b/>
      <w:bCs/>
      <w:sz w:val="20"/>
      <w:szCs w:val="20"/>
    </w:rPr>
  </w:style>
  <w:style w:type="paragraph" w:styleId="Revision">
    <w:name w:val="Revision"/>
    <w:hidden/>
    <w:uiPriority w:val="99"/>
    <w:semiHidden/>
    <w:rsid w:val="00C3601C"/>
    <w:pPr>
      <w:spacing w:after="0" w:line="240" w:lineRule="auto"/>
    </w:pPr>
  </w:style>
  <w:style w:type="paragraph" w:styleId="Header">
    <w:name w:val="header"/>
    <w:basedOn w:val="Normal"/>
    <w:link w:val="HeaderChar"/>
    <w:uiPriority w:val="99"/>
    <w:unhideWhenUsed/>
    <w:rsid w:val="00E864C4"/>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864C4"/>
  </w:style>
  <w:style w:type="paragraph" w:styleId="Footer">
    <w:name w:val="footer"/>
    <w:basedOn w:val="Normal"/>
    <w:link w:val="FooterChar"/>
    <w:uiPriority w:val="99"/>
    <w:unhideWhenUsed/>
    <w:rsid w:val="00E864C4"/>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864C4"/>
  </w:style>
  <w:style w:type="paragraph" w:styleId="ListParagraph">
    <w:name w:val="List Paragraph"/>
    <w:basedOn w:val="Normal"/>
    <w:uiPriority w:val="34"/>
    <w:qFormat/>
    <w:rsid w:val="007745E5"/>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Neatrisintapieminana1">
    <w:name w:val="Neatrisināta pieminēšana1"/>
    <w:basedOn w:val="DefaultParagraphFont"/>
    <w:uiPriority w:val="99"/>
    <w:semiHidden/>
    <w:unhideWhenUsed/>
    <w:rsid w:val="00A33912"/>
    <w:rPr>
      <w:color w:val="605E5C"/>
      <w:shd w:val="clear" w:color="auto" w:fill="E1DFDD"/>
    </w:rPr>
  </w:style>
  <w:style w:type="character" w:customStyle="1" w:styleId="apple-converted-space">
    <w:name w:val="apple-converted-space"/>
    <w:basedOn w:val="DefaultParagraphFont"/>
    <w:rsid w:val="00892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254430">
      <w:bodyDiv w:val="1"/>
      <w:marLeft w:val="0"/>
      <w:marRight w:val="0"/>
      <w:marTop w:val="0"/>
      <w:marBottom w:val="0"/>
      <w:divBdr>
        <w:top w:val="none" w:sz="0" w:space="0" w:color="auto"/>
        <w:left w:val="none" w:sz="0" w:space="0" w:color="auto"/>
        <w:bottom w:val="none" w:sz="0" w:space="0" w:color="auto"/>
        <w:right w:val="none" w:sz="0" w:space="0" w:color="auto"/>
      </w:divBdr>
      <w:divsChild>
        <w:div w:id="345791198">
          <w:marLeft w:val="0"/>
          <w:marRight w:val="0"/>
          <w:marTop w:val="240"/>
          <w:marBottom w:val="0"/>
          <w:divBdr>
            <w:top w:val="none" w:sz="0" w:space="0" w:color="auto"/>
            <w:left w:val="none" w:sz="0" w:space="0" w:color="auto"/>
            <w:bottom w:val="none" w:sz="0" w:space="0" w:color="auto"/>
            <w:right w:val="none" w:sz="0" w:space="0" w:color="auto"/>
          </w:divBdr>
        </w:div>
        <w:div w:id="2101759180">
          <w:marLeft w:val="150"/>
          <w:marRight w:val="150"/>
          <w:marTop w:val="480"/>
          <w:marBottom w:val="0"/>
          <w:divBdr>
            <w:top w:val="none" w:sz="0" w:space="0" w:color="auto"/>
            <w:left w:val="none" w:sz="0" w:space="0" w:color="auto"/>
            <w:bottom w:val="none" w:sz="0" w:space="0" w:color="auto"/>
            <w:right w:val="none" w:sz="0" w:space="0" w:color="auto"/>
          </w:divBdr>
        </w:div>
      </w:divsChild>
    </w:div>
    <w:div w:id="1013727037">
      <w:bodyDiv w:val="1"/>
      <w:marLeft w:val="0"/>
      <w:marRight w:val="0"/>
      <w:marTop w:val="0"/>
      <w:marBottom w:val="0"/>
      <w:divBdr>
        <w:top w:val="none" w:sz="0" w:space="0" w:color="auto"/>
        <w:left w:val="none" w:sz="0" w:space="0" w:color="auto"/>
        <w:bottom w:val="none" w:sz="0" w:space="0" w:color="auto"/>
        <w:right w:val="none" w:sz="0" w:space="0" w:color="auto"/>
      </w:divBdr>
    </w:div>
    <w:div w:id="2106222707">
      <w:bodyDiv w:val="1"/>
      <w:marLeft w:val="0"/>
      <w:marRight w:val="0"/>
      <w:marTop w:val="0"/>
      <w:marBottom w:val="0"/>
      <w:divBdr>
        <w:top w:val="none" w:sz="0" w:space="0" w:color="auto"/>
        <w:left w:val="none" w:sz="0" w:space="0" w:color="auto"/>
        <w:bottom w:val="none" w:sz="0" w:space="0" w:color="auto"/>
        <w:right w:val="none" w:sz="0" w:space="0" w:color="auto"/>
      </w:divBdr>
      <w:divsChild>
        <w:div w:id="255017531">
          <w:marLeft w:val="0"/>
          <w:marRight w:val="0"/>
          <w:marTop w:val="0"/>
          <w:marBottom w:val="0"/>
          <w:divBdr>
            <w:top w:val="none" w:sz="0" w:space="0" w:color="auto"/>
            <w:left w:val="none" w:sz="0" w:space="0" w:color="auto"/>
            <w:bottom w:val="none" w:sz="0" w:space="0" w:color="auto"/>
            <w:right w:val="none" w:sz="0" w:space="0" w:color="auto"/>
          </w:divBdr>
        </w:div>
        <w:div w:id="1876888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da.Jaunskunga@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DB700-C51F-4119-9675-069A11116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2265</Words>
  <Characters>12916</Characters>
  <Application>Microsoft Office Word</Application>
  <DocSecurity>0</DocSecurity>
  <Lines>107</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Līna Kundziņa</dc:creator>
  <cp:keywords/>
  <dc:description/>
  <cp:lastModifiedBy>Microsoft Office User</cp:lastModifiedBy>
  <cp:revision>2</cp:revision>
  <dcterms:created xsi:type="dcterms:W3CDTF">2021-07-05T18:06:00Z</dcterms:created>
  <dcterms:modified xsi:type="dcterms:W3CDTF">2021-07-05T18:06:00Z</dcterms:modified>
</cp:coreProperties>
</file>