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7BC6" w14:textId="77777777" w:rsidR="00EB2A35" w:rsidRPr="00825FC8" w:rsidRDefault="00EB2A35" w:rsidP="00EB2A35">
      <w:pPr>
        <w:pStyle w:val="NoSpacing"/>
        <w:jc w:val="center"/>
        <w:rPr>
          <w:rFonts w:ascii="Times New Roman" w:hAnsi="Times New Roman" w:cs="Times New Roman"/>
          <w:b/>
          <w:sz w:val="28"/>
          <w:szCs w:val="24"/>
          <w:lang w:eastAsia="lv-LV"/>
        </w:rPr>
      </w:pPr>
      <w:r w:rsidRPr="00825FC8">
        <w:rPr>
          <w:rFonts w:ascii="Times New Roman" w:hAnsi="Times New Roman" w:cs="Times New Roman"/>
          <w:b/>
          <w:sz w:val="28"/>
          <w:szCs w:val="24"/>
          <w:lang w:eastAsia="lv-LV"/>
        </w:rPr>
        <w:t>Ministru kabineta rīkojuma projekta “Par finanšu līdzekļu piešķiršanu no valsts budžeta programmas “Līdzekļi neparedzētiem gadījumiem”” sākotnējās ietekmes novērtējuma ziņojums (anotācija)</w:t>
      </w:r>
    </w:p>
    <w:tbl>
      <w:tblPr>
        <w:tblW w:w="5166"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287"/>
        <w:gridCol w:w="7772"/>
      </w:tblGrid>
      <w:tr w:rsidR="00825FC8" w:rsidRPr="00825FC8" w14:paraId="58CB537F" w14:textId="77777777" w:rsidTr="00CE7EB7">
        <w:trPr>
          <w:trHeight w:val="324"/>
        </w:trPr>
        <w:tc>
          <w:tcPr>
            <w:tcW w:w="5000" w:type="pct"/>
            <w:gridSpan w:val="2"/>
            <w:vAlign w:val="center"/>
            <w:hideMark/>
          </w:tcPr>
          <w:p w14:paraId="382AB0BF" w14:textId="77777777" w:rsidR="006F193F" w:rsidRPr="00825FC8" w:rsidRDefault="006F193F" w:rsidP="006F193F">
            <w:pPr>
              <w:spacing w:before="100" w:beforeAutospacing="1" w:after="100" w:afterAutospacing="1" w:line="293" w:lineRule="atLeast"/>
              <w:jc w:val="center"/>
              <w:rPr>
                <w:b/>
                <w:bCs/>
              </w:rPr>
            </w:pPr>
            <w:r w:rsidRPr="00825FC8">
              <w:rPr>
                <w:b/>
                <w:bCs/>
              </w:rPr>
              <w:t>Tiesību akta projekta anotācijas kopsavilkums</w:t>
            </w:r>
          </w:p>
        </w:tc>
      </w:tr>
      <w:tr w:rsidR="00825FC8" w:rsidRPr="00825FC8" w14:paraId="32B6BEEF" w14:textId="77777777" w:rsidTr="00CE7EB7">
        <w:trPr>
          <w:trHeight w:val="324"/>
        </w:trPr>
        <w:tc>
          <w:tcPr>
            <w:tcW w:w="1137" w:type="pct"/>
            <w:hideMark/>
          </w:tcPr>
          <w:p w14:paraId="0B4F0D40" w14:textId="77777777" w:rsidR="006F193F" w:rsidRPr="00825FC8" w:rsidRDefault="006F193F" w:rsidP="006F193F">
            <w:pPr>
              <w:spacing w:before="100" w:beforeAutospacing="1" w:after="100" w:afterAutospacing="1" w:line="293" w:lineRule="atLeast"/>
              <w:rPr>
                <w:iCs/>
                <w:sz w:val="18"/>
                <w:szCs w:val="18"/>
              </w:rPr>
            </w:pPr>
            <w:r w:rsidRPr="00825FC8">
              <w:rPr>
                <w:iCs/>
                <w:sz w:val="18"/>
                <w:szCs w:val="18"/>
              </w:rPr>
              <w:t>Mērķis, risinājums un projekta spēkā stāšanās laiks (500 zīmes bez atstarpēm)</w:t>
            </w:r>
          </w:p>
        </w:tc>
        <w:tc>
          <w:tcPr>
            <w:tcW w:w="3863" w:type="pct"/>
          </w:tcPr>
          <w:p w14:paraId="72BC091E" w14:textId="6C9CA4CD" w:rsidR="006F193F" w:rsidRPr="00825FC8" w:rsidRDefault="00EB2A35" w:rsidP="00592C4A">
            <w:pPr>
              <w:pStyle w:val="NoSpacing"/>
              <w:ind w:firstLine="522"/>
              <w:jc w:val="both"/>
              <w:rPr>
                <w:rFonts w:ascii="Times New Roman" w:hAnsi="Times New Roman" w:cs="Times New Roman"/>
                <w:sz w:val="24"/>
                <w:szCs w:val="24"/>
                <w:lang w:eastAsia="lv-LV"/>
              </w:rPr>
            </w:pPr>
            <w:r w:rsidRPr="00825FC8">
              <w:rPr>
                <w:rFonts w:ascii="Times New Roman" w:hAnsi="Times New Roman" w:cs="Times New Roman"/>
                <w:iCs/>
                <w:sz w:val="24"/>
                <w:szCs w:val="24"/>
              </w:rPr>
              <w:t>Saskaņā ar Ministru kabineta 2009. gada 15. decembra instrukcijas Nr. 19 "Tiesību akta projekta sākotnējās ietekmes izvērtēšanas kārtība" 5.</w:t>
            </w:r>
            <w:r w:rsidRPr="00825FC8">
              <w:rPr>
                <w:rFonts w:ascii="Times New Roman" w:hAnsi="Times New Roman" w:cs="Times New Roman"/>
                <w:iCs/>
                <w:sz w:val="24"/>
                <w:szCs w:val="24"/>
                <w:vertAlign w:val="superscript"/>
              </w:rPr>
              <w:t>1</w:t>
            </w:r>
            <w:r w:rsidRPr="00825FC8">
              <w:rPr>
                <w:rFonts w:ascii="Times New Roman" w:hAnsi="Times New Roman" w:cs="Times New Roman"/>
                <w:iCs/>
                <w:sz w:val="24"/>
                <w:szCs w:val="24"/>
              </w:rPr>
              <w:t> punktu anotācijas kopsavilkums nav aizpildāms.</w:t>
            </w:r>
          </w:p>
        </w:tc>
      </w:tr>
    </w:tbl>
    <w:p w14:paraId="27C79431" w14:textId="77777777" w:rsidR="00EC6E12" w:rsidRPr="00825FC8" w:rsidRDefault="00EC6E12" w:rsidP="006F193F">
      <w:pPr>
        <w:pStyle w:val="NoSpacing"/>
        <w:rPr>
          <w:rFonts w:ascii="Times New Roman" w:hAnsi="Times New Roman" w:cs="Times New Roman"/>
          <w:sz w:val="24"/>
          <w:szCs w:val="24"/>
          <w:lang w:eastAsia="lv-LV"/>
        </w:rPr>
      </w:pPr>
    </w:p>
    <w:tbl>
      <w:tblPr>
        <w:tblStyle w:val="TableGrid"/>
        <w:tblW w:w="10065" w:type="dxa"/>
        <w:tblInd w:w="-147" w:type="dxa"/>
        <w:tblLayout w:type="fixed"/>
        <w:tblLook w:val="04A0" w:firstRow="1" w:lastRow="0" w:firstColumn="1" w:lastColumn="0" w:noHBand="0" w:noVBand="1"/>
      </w:tblPr>
      <w:tblGrid>
        <w:gridCol w:w="568"/>
        <w:gridCol w:w="1559"/>
        <w:gridCol w:w="7938"/>
      </w:tblGrid>
      <w:tr w:rsidR="00825FC8" w:rsidRPr="00825FC8" w14:paraId="6F5C95E5" w14:textId="77777777" w:rsidTr="00CE7EB7">
        <w:tc>
          <w:tcPr>
            <w:tcW w:w="10065" w:type="dxa"/>
            <w:gridSpan w:val="3"/>
          </w:tcPr>
          <w:p w14:paraId="2E8CEC93" w14:textId="77777777" w:rsidR="00EC6E12" w:rsidRPr="00825FC8" w:rsidRDefault="00EC6E12" w:rsidP="00EC6E12">
            <w:pPr>
              <w:pStyle w:val="NoSpacing"/>
              <w:jc w:val="center"/>
              <w:rPr>
                <w:rFonts w:ascii="Times New Roman" w:hAnsi="Times New Roman" w:cs="Times New Roman"/>
                <w:b/>
                <w:sz w:val="24"/>
                <w:szCs w:val="24"/>
                <w:lang w:eastAsia="lv-LV"/>
              </w:rPr>
            </w:pPr>
            <w:r w:rsidRPr="00825FC8">
              <w:rPr>
                <w:rFonts w:ascii="Times New Roman" w:hAnsi="Times New Roman" w:cs="Times New Roman"/>
                <w:b/>
                <w:iCs/>
                <w:sz w:val="24"/>
                <w:szCs w:val="24"/>
                <w:lang w:eastAsia="lv-LV"/>
              </w:rPr>
              <w:t>I. Tiesību akta projekta izstrādes nepieciešamība</w:t>
            </w:r>
          </w:p>
        </w:tc>
      </w:tr>
      <w:tr w:rsidR="00825FC8" w:rsidRPr="00825FC8" w14:paraId="31440490" w14:textId="77777777" w:rsidTr="00CE7EB7">
        <w:tc>
          <w:tcPr>
            <w:tcW w:w="568" w:type="dxa"/>
          </w:tcPr>
          <w:p w14:paraId="4DEF71DE" w14:textId="77777777" w:rsidR="00130487" w:rsidRPr="00825FC8" w:rsidRDefault="00130487" w:rsidP="00130487">
            <w:pPr>
              <w:pStyle w:val="NoSpacing"/>
              <w:jc w:val="center"/>
              <w:rPr>
                <w:rFonts w:ascii="Times New Roman" w:hAnsi="Times New Roman" w:cs="Times New Roman"/>
                <w:sz w:val="18"/>
                <w:szCs w:val="18"/>
                <w:lang w:eastAsia="lv-LV"/>
              </w:rPr>
            </w:pPr>
            <w:r w:rsidRPr="00825FC8">
              <w:rPr>
                <w:rFonts w:ascii="Times New Roman" w:hAnsi="Times New Roman" w:cs="Times New Roman"/>
                <w:sz w:val="18"/>
                <w:szCs w:val="18"/>
                <w:lang w:eastAsia="lv-LV"/>
              </w:rPr>
              <w:t>1.</w:t>
            </w:r>
          </w:p>
        </w:tc>
        <w:tc>
          <w:tcPr>
            <w:tcW w:w="1559" w:type="dxa"/>
          </w:tcPr>
          <w:p w14:paraId="75F03F44" w14:textId="77777777" w:rsidR="00130487" w:rsidRPr="00825FC8" w:rsidRDefault="00130487" w:rsidP="00130487">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Pamatojums</w:t>
            </w:r>
          </w:p>
        </w:tc>
        <w:tc>
          <w:tcPr>
            <w:tcW w:w="7938" w:type="dxa"/>
          </w:tcPr>
          <w:p w14:paraId="0A365EC1" w14:textId="08E95985" w:rsidR="00716B3C" w:rsidRPr="00825FC8" w:rsidRDefault="008E5DA7" w:rsidP="00716B3C">
            <w:pPr>
              <w:pStyle w:val="NoSpacing"/>
              <w:ind w:firstLine="522"/>
              <w:jc w:val="both"/>
              <w:rPr>
                <w:rFonts w:ascii="Times New Roman" w:hAnsi="Times New Roman" w:cs="Times New Roman"/>
                <w:iCs/>
                <w:sz w:val="24"/>
                <w:szCs w:val="24"/>
              </w:rPr>
            </w:pPr>
            <w:r w:rsidRPr="00825FC8">
              <w:rPr>
                <w:rFonts w:ascii="Times New Roman" w:hAnsi="Times New Roman" w:cs="Times New Roman"/>
                <w:iCs/>
                <w:sz w:val="24"/>
                <w:szCs w:val="24"/>
              </w:rPr>
              <w:t xml:space="preserve">Izstrādāts </w:t>
            </w:r>
            <w:r w:rsidR="00BC3481" w:rsidRPr="00825FC8">
              <w:rPr>
                <w:rFonts w:ascii="Times New Roman" w:hAnsi="Times New Roman" w:cs="Times New Roman"/>
                <w:iCs/>
                <w:sz w:val="24"/>
                <w:szCs w:val="24"/>
              </w:rPr>
              <w:t xml:space="preserve">pamatojoties uz </w:t>
            </w:r>
            <w:r w:rsidR="00B3049C" w:rsidRPr="00825FC8">
              <w:rPr>
                <w:rFonts w:ascii="Times New Roman" w:hAnsi="Times New Roman" w:cs="Times New Roman"/>
                <w:iCs/>
                <w:sz w:val="24"/>
                <w:szCs w:val="24"/>
              </w:rPr>
              <w:t xml:space="preserve">2021.gada 8.jūlija </w:t>
            </w:r>
            <w:r w:rsidR="00716B3C" w:rsidRPr="00825FC8">
              <w:rPr>
                <w:rFonts w:ascii="Times New Roman" w:hAnsi="Times New Roman" w:cs="Times New Roman"/>
                <w:iCs/>
                <w:sz w:val="24"/>
                <w:szCs w:val="24"/>
              </w:rPr>
              <w:t xml:space="preserve">finanšu ministra vadītajā </w:t>
            </w:r>
            <w:proofErr w:type="spellStart"/>
            <w:r w:rsidR="00716B3C" w:rsidRPr="00825FC8">
              <w:rPr>
                <w:rFonts w:ascii="Times New Roman" w:hAnsi="Times New Roman" w:cs="Times New Roman"/>
                <w:iCs/>
                <w:sz w:val="24"/>
                <w:szCs w:val="24"/>
              </w:rPr>
              <w:t>Koronavīrusa</w:t>
            </w:r>
            <w:proofErr w:type="spellEnd"/>
            <w:r w:rsidR="00716B3C" w:rsidRPr="00825FC8">
              <w:rPr>
                <w:rFonts w:ascii="Times New Roman" w:hAnsi="Times New Roman" w:cs="Times New Roman"/>
                <w:iCs/>
                <w:sz w:val="24"/>
                <w:szCs w:val="24"/>
              </w:rPr>
              <w:t xml:space="preserve"> izraisītās slimības COVID-19 radīto ekonomisko seku operatīvās novēršanas vadības grupā uzņēmējdarbības un nodarbināto atbalstam</w:t>
            </w:r>
            <w:r w:rsidR="005F096C" w:rsidRPr="00825FC8">
              <w:rPr>
                <w:rFonts w:ascii="Times New Roman" w:hAnsi="Times New Roman" w:cs="Times New Roman"/>
                <w:iCs/>
                <w:sz w:val="24"/>
                <w:szCs w:val="24"/>
              </w:rPr>
              <w:t xml:space="preserve"> konceptuāli atbalstīto priekšlikumu. </w:t>
            </w:r>
          </w:p>
          <w:p w14:paraId="03C4D5A0" w14:textId="0195CA64" w:rsidR="005214D3" w:rsidRPr="00825FC8" w:rsidRDefault="00B3049C" w:rsidP="00B3049C">
            <w:pPr>
              <w:pStyle w:val="NoSpacing"/>
              <w:ind w:firstLine="747"/>
              <w:jc w:val="both"/>
              <w:rPr>
                <w:rFonts w:ascii="Times New Roman" w:hAnsi="Times New Roman" w:cs="Times New Roman"/>
                <w:sz w:val="24"/>
                <w:szCs w:val="24"/>
              </w:rPr>
            </w:pPr>
            <w:r w:rsidRPr="00825FC8">
              <w:rPr>
                <w:rFonts w:ascii="Times New Roman" w:hAnsi="Times New Roman" w:cs="Times New Roman"/>
                <w:bCs/>
                <w:sz w:val="24"/>
                <w:szCs w:val="24"/>
                <w:shd w:val="clear" w:color="auto" w:fill="FFFFFF"/>
              </w:rPr>
              <w:t>Covid-19 infekcijas izplatības seku pārvarēšanas likums 24. un 25. pants</w:t>
            </w:r>
          </w:p>
        </w:tc>
      </w:tr>
      <w:tr w:rsidR="00825FC8" w:rsidRPr="00825FC8" w14:paraId="69E5DBB5" w14:textId="77777777" w:rsidTr="00870E61">
        <w:trPr>
          <w:trHeight w:val="5519"/>
        </w:trPr>
        <w:tc>
          <w:tcPr>
            <w:tcW w:w="568" w:type="dxa"/>
          </w:tcPr>
          <w:p w14:paraId="196FCCF3" w14:textId="77777777" w:rsidR="0079260F" w:rsidRPr="00825FC8" w:rsidRDefault="0079260F" w:rsidP="0079260F">
            <w:pPr>
              <w:pStyle w:val="NoSpacing"/>
              <w:jc w:val="center"/>
              <w:rPr>
                <w:rFonts w:ascii="Times New Roman" w:hAnsi="Times New Roman" w:cs="Times New Roman"/>
                <w:sz w:val="18"/>
                <w:szCs w:val="18"/>
                <w:lang w:eastAsia="lv-LV"/>
              </w:rPr>
            </w:pPr>
            <w:r w:rsidRPr="00825FC8">
              <w:rPr>
                <w:rFonts w:ascii="Times New Roman" w:hAnsi="Times New Roman" w:cs="Times New Roman"/>
                <w:sz w:val="18"/>
                <w:szCs w:val="18"/>
                <w:lang w:eastAsia="lv-LV"/>
              </w:rPr>
              <w:t>2.</w:t>
            </w:r>
          </w:p>
        </w:tc>
        <w:tc>
          <w:tcPr>
            <w:tcW w:w="1559" w:type="dxa"/>
          </w:tcPr>
          <w:p w14:paraId="71164870" w14:textId="77777777" w:rsidR="00152501" w:rsidRPr="00825FC8" w:rsidRDefault="0079260F" w:rsidP="0079260F">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Pašreizējā situācija un problēmas, kuru risināšanai tiesību akta projekts izstrādāts, tiesiskā regulējuma mērķis un būtība</w:t>
            </w:r>
          </w:p>
          <w:p w14:paraId="7EE5D96F" w14:textId="0F4897BC" w:rsidR="001807D1" w:rsidRPr="00825FC8" w:rsidRDefault="001807D1" w:rsidP="00152501">
            <w:pPr>
              <w:jc w:val="center"/>
              <w:rPr>
                <w:sz w:val="18"/>
                <w:szCs w:val="18"/>
              </w:rPr>
            </w:pPr>
          </w:p>
          <w:p w14:paraId="062E8B68" w14:textId="77777777" w:rsidR="001807D1" w:rsidRPr="00825FC8" w:rsidRDefault="001807D1" w:rsidP="001807D1">
            <w:pPr>
              <w:rPr>
                <w:sz w:val="18"/>
                <w:szCs w:val="18"/>
              </w:rPr>
            </w:pPr>
          </w:p>
          <w:p w14:paraId="1509AA62" w14:textId="77777777" w:rsidR="001807D1" w:rsidRPr="00825FC8" w:rsidRDefault="001807D1" w:rsidP="001807D1">
            <w:pPr>
              <w:rPr>
                <w:sz w:val="18"/>
                <w:szCs w:val="18"/>
              </w:rPr>
            </w:pPr>
          </w:p>
          <w:p w14:paraId="01B3631B" w14:textId="77777777" w:rsidR="001807D1" w:rsidRPr="00825FC8" w:rsidRDefault="001807D1" w:rsidP="001807D1">
            <w:pPr>
              <w:rPr>
                <w:sz w:val="18"/>
                <w:szCs w:val="18"/>
              </w:rPr>
            </w:pPr>
          </w:p>
          <w:p w14:paraId="0F34C32C" w14:textId="77777777" w:rsidR="001807D1" w:rsidRPr="00825FC8" w:rsidRDefault="001807D1" w:rsidP="001807D1">
            <w:pPr>
              <w:rPr>
                <w:sz w:val="18"/>
                <w:szCs w:val="18"/>
              </w:rPr>
            </w:pPr>
          </w:p>
          <w:p w14:paraId="2FFD16A9" w14:textId="77777777" w:rsidR="001807D1" w:rsidRPr="00825FC8" w:rsidRDefault="001807D1" w:rsidP="001807D1">
            <w:pPr>
              <w:rPr>
                <w:sz w:val="18"/>
                <w:szCs w:val="18"/>
              </w:rPr>
            </w:pPr>
          </w:p>
          <w:p w14:paraId="123D7DFE" w14:textId="77777777" w:rsidR="001807D1" w:rsidRPr="00825FC8" w:rsidRDefault="001807D1" w:rsidP="001807D1">
            <w:pPr>
              <w:rPr>
                <w:sz w:val="18"/>
                <w:szCs w:val="18"/>
              </w:rPr>
            </w:pPr>
          </w:p>
          <w:p w14:paraId="7F6A5B70" w14:textId="77777777" w:rsidR="001807D1" w:rsidRPr="00825FC8" w:rsidRDefault="001807D1" w:rsidP="001807D1">
            <w:pPr>
              <w:rPr>
                <w:sz w:val="18"/>
                <w:szCs w:val="18"/>
              </w:rPr>
            </w:pPr>
          </w:p>
          <w:p w14:paraId="535BAEDA" w14:textId="77777777" w:rsidR="001807D1" w:rsidRPr="00825FC8" w:rsidRDefault="001807D1" w:rsidP="001807D1">
            <w:pPr>
              <w:rPr>
                <w:sz w:val="18"/>
                <w:szCs w:val="18"/>
              </w:rPr>
            </w:pPr>
          </w:p>
          <w:p w14:paraId="33AF9872" w14:textId="77777777" w:rsidR="001807D1" w:rsidRPr="00825FC8" w:rsidRDefault="001807D1" w:rsidP="001807D1">
            <w:pPr>
              <w:rPr>
                <w:sz w:val="18"/>
                <w:szCs w:val="18"/>
              </w:rPr>
            </w:pPr>
          </w:p>
          <w:p w14:paraId="077DEF2B" w14:textId="77777777" w:rsidR="001807D1" w:rsidRPr="00825FC8" w:rsidRDefault="001807D1" w:rsidP="001807D1">
            <w:pPr>
              <w:rPr>
                <w:sz w:val="18"/>
                <w:szCs w:val="18"/>
              </w:rPr>
            </w:pPr>
          </w:p>
          <w:p w14:paraId="7366B94E" w14:textId="77777777" w:rsidR="001807D1" w:rsidRPr="00825FC8" w:rsidRDefault="001807D1" w:rsidP="001807D1">
            <w:pPr>
              <w:rPr>
                <w:sz w:val="18"/>
                <w:szCs w:val="18"/>
              </w:rPr>
            </w:pPr>
          </w:p>
          <w:p w14:paraId="14F48236" w14:textId="77777777" w:rsidR="001807D1" w:rsidRPr="00825FC8" w:rsidRDefault="001807D1" w:rsidP="001807D1">
            <w:pPr>
              <w:rPr>
                <w:sz w:val="18"/>
                <w:szCs w:val="18"/>
              </w:rPr>
            </w:pPr>
          </w:p>
          <w:p w14:paraId="00F2F605" w14:textId="77777777" w:rsidR="001807D1" w:rsidRPr="00825FC8" w:rsidRDefault="001807D1" w:rsidP="001807D1">
            <w:pPr>
              <w:rPr>
                <w:sz w:val="18"/>
                <w:szCs w:val="18"/>
              </w:rPr>
            </w:pPr>
          </w:p>
          <w:p w14:paraId="161AB6AB" w14:textId="77777777" w:rsidR="001807D1" w:rsidRPr="00825FC8" w:rsidRDefault="001807D1" w:rsidP="001807D1">
            <w:pPr>
              <w:rPr>
                <w:sz w:val="18"/>
                <w:szCs w:val="18"/>
              </w:rPr>
            </w:pPr>
          </w:p>
          <w:p w14:paraId="07D75BD9" w14:textId="77777777" w:rsidR="001807D1" w:rsidRPr="00825FC8" w:rsidRDefault="001807D1" w:rsidP="001807D1">
            <w:pPr>
              <w:rPr>
                <w:sz w:val="18"/>
                <w:szCs w:val="18"/>
              </w:rPr>
            </w:pPr>
          </w:p>
          <w:p w14:paraId="3BE41DDC" w14:textId="77777777" w:rsidR="001807D1" w:rsidRPr="00825FC8" w:rsidRDefault="001807D1" w:rsidP="001807D1">
            <w:pPr>
              <w:rPr>
                <w:sz w:val="18"/>
                <w:szCs w:val="18"/>
              </w:rPr>
            </w:pPr>
          </w:p>
          <w:p w14:paraId="5C1EE814" w14:textId="77777777" w:rsidR="001807D1" w:rsidRPr="00825FC8" w:rsidRDefault="001807D1" w:rsidP="001807D1">
            <w:pPr>
              <w:rPr>
                <w:sz w:val="18"/>
                <w:szCs w:val="18"/>
              </w:rPr>
            </w:pPr>
          </w:p>
          <w:p w14:paraId="6EF1CD47" w14:textId="28BA21B5" w:rsidR="001807D1" w:rsidRPr="00825FC8" w:rsidRDefault="001807D1" w:rsidP="001807D1">
            <w:pPr>
              <w:rPr>
                <w:sz w:val="18"/>
                <w:szCs w:val="18"/>
              </w:rPr>
            </w:pPr>
          </w:p>
          <w:p w14:paraId="07ABD973" w14:textId="77777777" w:rsidR="0079260F" w:rsidRPr="00825FC8" w:rsidRDefault="0079260F" w:rsidP="001807D1">
            <w:pPr>
              <w:jc w:val="center"/>
              <w:rPr>
                <w:sz w:val="18"/>
                <w:szCs w:val="18"/>
              </w:rPr>
            </w:pPr>
          </w:p>
        </w:tc>
        <w:tc>
          <w:tcPr>
            <w:tcW w:w="7938" w:type="dxa"/>
          </w:tcPr>
          <w:p w14:paraId="45D0B514" w14:textId="77777777" w:rsidR="00B3049C" w:rsidRPr="00825FC8" w:rsidRDefault="00B3049C" w:rsidP="00B3049C">
            <w:pPr>
              <w:pStyle w:val="NormalWeb"/>
              <w:shd w:val="clear" w:color="auto" w:fill="FFFFFF"/>
              <w:spacing w:before="0" w:beforeAutospacing="0" w:after="0" w:afterAutospacing="0"/>
              <w:ind w:firstLine="747"/>
              <w:jc w:val="both"/>
            </w:pPr>
            <w:r w:rsidRPr="00825FC8">
              <w:t xml:space="preserve">Iekštelpu gaisa kvalitātes uzlabošanā nozīmīga loma ir atbilstošai telpu ventilācijai. Nepietiekama ventilācija ilgstošas sociālās aprūpes iestādēs, kā arī biroja telpās, tiek saistīta ar negatīvu ietekmi uz veselību, t. sk. vispārēju nogurumu, paaugstinātu infekciju slimību risku, darba spēju samazināšanos. </w:t>
            </w:r>
          </w:p>
          <w:p w14:paraId="72BF89EB" w14:textId="77777777" w:rsidR="00B3049C" w:rsidRPr="00825FC8" w:rsidRDefault="00B3049C" w:rsidP="00B3049C">
            <w:pPr>
              <w:pStyle w:val="NormalWeb"/>
              <w:shd w:val="clear" w:color="auto" w:fill="FFFFFF"/>
              <w:spacing w:before="0" w:beforeAutospacing="0" w:after="0" w:afterAutospacing="0"/>
              <w:ind w:firstLine="709"/>
              <w:jc w:val="both"/>
            </w:pPr>
            <w:r w:rsidRPr="00825FC8">
              <w:t>Gaisa kvalitāte telpā ir atkarīga no vairākiem faktoriem – no ventilācijas apjoma L/s uz cilvēku (kas ir atkarīgs no ventilācijas efektivitātes, vēdināšanas, telpas kubatūras), cilvēku skaita telpā, veikto aktivitāšu intensitātes. Ir būtiski nodrošināt gan atbilstošu telpas platību, gan pietiekamu gaisa cirkulāciju telpās un līdz ar to optimālu CO</w:t>
            </w:r>
            <w:r w:rsidRPr="00825FC8">
              <w:rPr>
                <w:vertAlign w:val="subscript"/>
              </w:rPr>
              <w:t>2</w:t>
            </w:r>
            <w:r w:rsidRPr="00825FC8">
              <w:t xml:space="preserve"> koncentrāciju, kas ļauj samazināt infekcijas slimību izplatības risku, t.sk. </w:t>
            </w:r>
            <w:proofErr w:type="spellStart"/>
            <w:r w:rsidRPr="00825FC8">
              <w:t>koronavīrusu</w:t>
            </w:r>
            <w:proofErr w:type="spellEnd"/>
            <w:r w:rsidRPr="00825FC8">
              <w:t xml:space="preserve"> koncentrāciju telpā. Vīruss, kas izraisa Covid-19, lielākoties tiek pārnests ar pilieniem, ko rada inficējusies persona, klepojot, šķaudot vai izelpojot. Apstākļiem atbilstoša un kvalitatīva ventilācija telpās ir būtisks priekšnoteikums, lai nodrošinātu ilgstošas sociālās aprūpes klientiem, sociālās rehabilitācijas pakalpojuma saņēmējiem, kā arī valsts pārvadē strādājošajiem atbilstošu dzīves un darba vidi esošajā (un arī citās, līdzīgās) epidemioloģiskajās situācijās. </w:t>
            </w:r>
          </w:p>
          <w:p w14:paraId="391AEB6A" w14:textId="77777777" w:rsidR="00B3049C" w:rsidRPr="00825FC8" w:rsidRDefault="00B3049C" w:rsidP="00B3049C">
            <w:pPr>
              <w:pStyle w:val="NormalWeb"/>
              <w:shd w:val="clear" w:color="auto" w:fill="FFFFFF"/>
              <w:spacing w:before="0" w:beforeAutospacing="0" w:after="0" w:afterAutospacing="0"/>
              <w:ind w:firstLine="709"/>
              <w:jc w:val="both"/>
            </w:pPr>
            <w:r w:rsidRPr="00825FC8">
              <w:t xml:space="preserve">Ņemot vērā situāciju, kas saistīta ar Covid-19 izplatību, jāuzsver, ka labklājības nozarē pakalpojumu īpatsvars, kurus nav iespējams sniegt attālināti, ir ievērojams (piemēram, valsts sociālās aprūpes centros klienti uzturas 24 stundas diennaktī 7 dienas nedēļā visu cauru gadu, šīs iestādes ir viņu mājas). Nepietiekama gaisa kvalitāte, ventilēšanas un piespiedu gaisa apmaiņas sistēmu neesamība vai daļēja esamība, dabiskās/pasīvās ventilācijas aktīvās izmantošanas ierobežojošie faktori ir viens no epidemioloģisko risku </w:t>
            </w:r>
            <w:proofErr w:type="spellStart"/>
            <w:r w:rsidRPr="00825FC8">
              <w:t>paaugstinātājfaktoriem</w:t>
            </w:r>
            <w:proofErr w:type="spellEnd"/>
            <w:r w:rsidRPr="00825FC8">
              <w:t>, kas var būtiski ietekmēt iestāžu darbību.</w:t>
            </w:r>
          </w:p>
          <w:p w14:paraId="58C622D7" w14:textId="77777777" w:rsidR="00B3049C" w:rsidRPr="00825FC8" w:rsidRDefault="00B3049C" w:rsidP="00B3049C">
            <w:pPr>
              <w:pStyle w:val="NormalWeb"/>
              <w:shd w:val="clear" w:color="auto" w:fill="FFFFFF"/>
              <w:spacing w:before="0" w:beforeAutospacing="0" w:after="0" w:afterAutospacing="0"/>
              <w:ind w:firstLine="709"/>
              <w:jc w:val="both"/>
              <w:rPr>
                <w:sz w:val="28"/>
                <w:szCs w:val="28"/>
              </w:rPr>
            </w:pPr>
            <w:r w:rsidRPr="00825FC8">
              <w:t>CO</w:t>
            </w:r>
            <w:r w:rsidRPr="00825FC8">
              <w:rPr>
                <w:vertAlign w:val="subscript"/>
              </w:rPr>
              <w:t>2</w:t>
            </w:r>
            <w:r w:rsidRPr="00825FC8">
              <w:t>  koncentrācija telpā ir objektīvākais izmērāmais rādītājs, kas liecina par ventilācijas efektivitāti – pietiekamu svaiga gaisa pieplūdi. Iekštelpu CO</w:t>
            </w:r>
            <w:r w:rsidRPr="00825FC8">
              <w:rPr>
                <w:vertAlign w:val="subscript"/>
              </w:rPr>
              <w:t>2</w:t>
            </w:r>
            <w:r w:rsidRPr="00825FC8">
              <w:t xml:space="preserve"> koncentrācija, kas pārsniedz 1000 </w:t>
            </w:r>
            <w:proofErr w:type="spellStart"/>
            <w:r w:rsidRPr="00825FC8">
              <w:t>ppm</w:t>
            </w:r>
            <w:proofErr w:type="spellEnd"/>
            <w:r w:rsidRPr="00825FC8">
              <w:t>, liecina par  nepietiekamu telpu ventilāciju un arī par to, ka telpu platība nav pietiekama konkrētam klientu skaitam. Jo lielāka CO</w:t>
            </w:r>
            <w:r w:rsidRPr="00825FC8">
              <w:rPr>
                <w:vertAlign w:val="subscript"/>
              </w:rPr>
              <w:t>2</w:t>
            </w:r>
            <w:r w:rsidRPr="00825FC8">
              <w:t> koncentrācija gaisā, jo lielāka nepieciešamība pēc pastiprinātas svaiga gaisa pieplūdes telpā</w:t>
            </w:r>
            <w:r w:rsidRPr="00825FC8">
              <w:rPr>
                <w:sz w:val="28"/>
                <w:szCs w:val="28"/>
              </w:rPr>
              <w:t xml:space="preserve">. </w:t>
            </w:r>
          </w:p>
          <w:p w14:paraId="44336A12" w14:textId="77777777" w:rsidR="00B3049C" w:rsidRPr="00825FC8" w:rsidRDefault="00B3049C" w:rsidP="00B3049C">
            <w:pPr>
              <w:pStyle w:val="NormalWeb"/>
              <w:shd w:val="clear" w:color="auto" w:fill="FFFFFF"/>
              <w:spacing w:before="0" w:beforeAutospacing="0" w:after="0" w:afterAutospacing="0"/>
              <w:ind w:firstLine="709"/>
              <w:jc w:val="both"/>
            </w:pPr>
            <w:r w:rsidRPr="00825FC8">
              <w:t>Telpas ar augstu CO</w:t>
            </w:r>
            <w:r w:rsidRPr="00825FC8">
              <w:rPr>
                <w:vertAlign w:val="subscript"/>
              </w:rPr>
              <w:t xml:space="preserve">2 </w:t>
            </w:r>
            <w:r w:rsidRPr="00825FC8">
              <w:t>līmeni, kas radies tāpēc, ka telpās ventilēšanas efektivitāte nav pietiekama, ir ļoti nedrošas no infekcijas risku viedokļa, un ir nekavējoties jārīkojas, lai uzlabotu situāciju. Vienkāršākais un ātrākais risinājums CO</w:t>
            </w:r>
            <w:r w:rsidRPr="00825FC8">
              <w:rPr>
                <w:vertAlign w:val="subscript"/>
              </w:rPr>
              <w:t>2</w:t>
            </w:r>
            <w:r w:rsidRPr="00825FC8">
              <w:t xml:space="preserve"> samazināšanai ir telpu vēdināšana, atverot logu. Nākamais – </w:t>
            </w:r>
            <w:r w:rsidRPr="00825FC8">
              <w:lastRenderedPageBreak/>
              <w:t>atbilstoša ventilācijas sistēma vai inovatīva ventilācijas sistēma ar CO</w:t>
            </w:r>
            <w:r w:rsidRPr="00825FC8">
              <w:rPr>
                <w:vertAlign w:val="subscript"/>
              </w:rPr>
              <w:t>2</w:t>
            </w:r>
            <w:r w:rsidRPr="00825FC8">
              <w:t xml:space="preserve"> sensoriem. </w:t>
            </w:r>
          </w:p>
          <w:p w14:paraId="037917D3" w14:textId="3C00CD93" w:rsidR="00B3049C" w:rsidRPr="00825FC8" w:rsidRDefault="00B3049C" w:rsidP="00B3049C">
            <w:pPr>
              <w:pStyle w:val="NormalWeb"/>
              <w:shd w:val="clear" w:color="auto" w:fill="FFFFFF"/>
              <w:spacing w:before="0" w:beforeAutospacing="0" w:after="0" w:afterAutospacing="0"/>
              <w:ind w:firstLine="709"/>
              <w:jc w:val="both"/>
            </w:pPr>
            <w:r w:rsidRPr="00825FC8">
              <w:t>Ņemot vērā, ka jaunākās paaudzes ventilācijas sistēmas nav pieejamas nevienā nozares iestādē, esošās ventilācijas sistēmas ir</w:t>
            </w:r>
            <w:r w:rsidR="004E2AB4" w:rsidRPr="00825FC8">
              <w:t xml:space="preserve"> daļēji</w:t>
            </w:r>
            <w:r w:rsidRPr="00825FC8">
              <w:t xml:space="preserve"> novecojušas un to darbspēja ir traucēta, kā arī apzinoties, ka nozarei nav iespēju īsā laikā izbūvēt un/vai atjaunot ventilācijas sistēmas, par lietderīgāko risinājumu, kas ļautu ne tikai operatīvāk reaģēt ikdienas situācijās un savlaicīgāk nodrošināt pasīvo vēdināšanu, bet arī ilgākā laika periodā ļautu veikt kvalitatīvu datu monitoringu, lai izvērtētu prioritāri būtiski uzlabojamos objektus, atzīstams CO</w:t>
            </w:r>
            <w:r w:rsidRPr="00825FC8">
              <w:rPr>
                <w:vertAlign w:val="subscript"/>
              </w:rPr>
              <w:t>2</w:t>
            </w:r>
            <w:r w:rsidRPr="00825FC8">
              <w:t xml:space="preserve"> mērītāju iegāde. Telpu apsekošana ar CO</w:t>
            </w:r>
            <w:r w:rsidRPr="00825FC8">
              <w:rPr>
                <w:vertAlign w:val="subscript"/>
              </w:rPr>
              <w:t>2</w:t>
            </w:r>
            <w:r w:rsidRPr="00825FC8">
              <w:t xml:space="preserve"> mērītāju ļauj noteikt, kurās no tām ir sliktākā ventilācija, lai uzlabojumus sāktu ar šīm telpām. Savukārt pastāvīga CO</w:t>
            </w:r>
            <w:r w:rsidRPr="00825FC8">
              <w:rPr>
                <w:vertAlign w:val="subscript"/>
              </w:rPr>
              <w:t>2</w:t>
            </w:r>
            <w:r w:rsidRPr="00825FC8">
              <w:t xml:space="preserve"> kontrole ar attiecīgajiem CO</w:t>
            </w:r>
            <w:r w:rsidRPr="00825FC8">
              <w:rPr>
                <w:vertAlign w:val="subscript"/>
              </w:rPr>
              <w:t>2</w:t>
            </w:r>
            <w:r w:rsidRPr="00825FC8">
              <w:t xml:space="preserve"> detektoriem ir drošākais un ērtākais veids, kā kontrolēt ventilācijas pasākumu efektivitāti.</w:t>
            </w:r>
          </w:p>
          <w:p w14:paraId="5ED69A2F" w14:textId="448067CA" w:rsidR="00CD0A00" w:rsidRPr="00825FC8" w:rsidRDefault="00B3049C" w:rsidP="00F74541">
            <w:pPr>
              <w:pStyle w:val="NormalWeb"/>
              <w:shd w:val="clear" w:color="auto" w:fill="FFFFFF"/>
              <w:spacing w:before="0" w:beforeAutospacing="0"/>
              <w:ind w:firstLine="709"/>
              <w:jc w:val="both"/>
            </w:pPr>
            <w:r w:rsidRPr="00825FC8">
              <w:t xml:space="preserve">Minēto sensoru lietojums atzīts par pierādījumos balstītu metodi sabiedrisko telpu pieļaujamās noslodzes noteikšanā un ir iekļauts arī Latvijas Zinātņu akadēmijas izstrādātajās </w:t>
            </w:r>
            <w:r w:rsidRPr="00825FC8">
              <w:rPr>
                <w:i/>
                <w:iCs/>
              </w:rPr>
              <w:t>Rekomendācijās pasākumu kopai Covid-19 pandēmijas ierobežošanai</w:t>
            </w:r>
            <w:r w:rsidRPr="00825FC8">
              <w:rPr>
                <w:rStyle w:val="FootnoteReference"/>
                <w:i/>
                <w:iCs/>
              </w:rPr>
              <w:footnoteReference w:id="1"/>
            </w:r>
            <w:r w:rsidRPr="00825FC8">
              <w:t>, kurā secināts, ka “CO2 monitorings epidēmiju laikā būtu ieviešams visās publiskajās telpās, darba vietās, mācību iestādēs, bērnudārzos, veselības aprūpes iestādēs un valsts pārvaldes institūciju telpās.”</w:t>
            </w:r>
          </w:p>
        </w:tc>
      </w:tr>
      <w:tr w:rsidR="00825FC8" w:rsidRPr="00825FC8" w14:paraId="78E6C159" w14:textId="77777777" w:rsidTr="00CE7EB7">
        <w:tc>
          <w:tcPr>
            <w:tcW w:w="568" w:type="dxa"/>
          </w:tcPr>
          <w:p w14:paraId="322A9867" w14:textId="77777777" w:rsidR="00130487" w:rsidRPr="00825FC8" w:rsidRDefault="00130487" w:rsidP="00130487">
            <w:pPr>
              <w:pStyle w:val="NoSpacing"/>
              <w:jc w:val="center"/>
              <w:rPr>
                <w:rFonts w:ascii="Times New Roman" w:hAnsi="Times New Roman" w:cs="Times New Roman"/>
                <w:sz w:val="18"/>
                <w:szCs w:val="18"/>
                <w:lang w:eastAsia="lv-LV"/>
              </w:rPr>
            </w:pPr>
            <w:r w:rsidRPr="00825FC8">
              <w:rPr>
                <w:rFonts w:ascii="Times New Roman" w:hAnsi="Times New Roman" w:cs="Times New Roman"/>
                <w:sz w:val="18"/>
                <w:szCs w:val="18"/>
                <w:lang w:eastAsia="lv-LV"/>
              </w:rPr>
              <w:lastRenderedPageBreak/>
              <w:t>3.</w:t>
            </w:r>
          </w:p>
        </w:tc>
        <w:tc>
          <w:tcPr>
            <w:tcW w:w="1559" w:type="dxa"/>
          </w:tcPr>
          <w:p w14:paraId="2725859B" w14:textId="77777777" w:rsidR="00130487" w:rsidRPr="00825FC8" w:rsidRDefault="00130487" w:rsidP="00130487">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Projekta izstrādē iesaistītās institūcijas un publiskas personas kapitālsabiedrības</w:t>
            </w:r>
          </w:p>
        </w:tc>
        <w:tc>
          <w:tcPr>
            <w:tcW w:w="7938" w:type="dxa"/>
          </w:tcPr>
          <w:p w14:paraId="65834B25" w14:textId="0982663E" w:rsidR="00130487" w:rsidRPr="00825FC8" w:rsidRDefault="001B6740" w:rsidP="006335C0">
            <w:pPr>
              <w:pStyle w:val="NoSpacing"/>
              <w:jc w:val="both"/>
              <w:rPr>
                <w:rFonts w:ascii="Times New Roman" w:hAnsi="Times New Roman" w:cs="Times New Roman"/>
                <w:sz w:val="24"/>
                <w:szCs w:val="24"/>
                <w:lang w:eastAsia="lv-LV"/>
              </w:rPr>
            </w:pPr>
            <w:r w:rsidRPr="00825FC8">
              <w:rPr>
                <w:rFonts w:ascii="Times New Roman" w:hAnsi="Times New Roman" w:cs="Times New Roman"/>
                <w:sz w:val="24"/>
                <w:szCs w:val="24"/>
                <w:lang w:eastAsia="lv-LV"/>
              </w:rPr>
              <w:t>Nav</w:t>
            </w:r>
          </w:p>
        </w:tc>
      </w:tr>
      <w:tr w:rsidR="00825FC8" w:rsidRPr="00825FC8" w14:paraId="760CA46E" w14:textId="77777777" w:rsidTr="00CE7EB7">
        <w:tc>
          <w:tcPr>
            <w:tcW w:w="568" w:type="dxa"/>
          </w:tcPr>
          <w:p w14:paraId="47947DA6" w14:textId="77777777" w:rsidR="00130487" w:rsidRPr="00825FC8" w:rsidRDefault="00130487" w:rsidP="00130487">
            <w:pPr>
              <w:pStyle w:val="NoSpacing"/>
              <w:jc w:val="center"/>
              <w:rPr>
                <w:rFonts w:ascii="Times New Roman" w:hAnsi="Times New Roman" w:cs="Times New Roman"/>
                <w:sz w:val="18"/>
                <w:szCs w:val="18"/>
                <w:lang w:eastAsia="lv-LV"/>
              </w:rPr>
            </w:pPr>
            <w:r w:rsidRPr="00825FC8">
              <w:rPr>
                <w:rFonts w:ascii="Times New Roman" w:hAnsi="Times New Roman" w:cs="Times New Roman"/>
                <w:sz w:val="18"/>
                <w:szCs w:val="18"/>
                <w:lang w:eastAsia="lv-LV"/>
              </w:rPr>
              <w:t>4.</w:t>
            </w:r>
          </w:p>
        </w:tc>
        <w:tc>
          <w:tcPr>
            <w:tcW w:w="1559" w:type="dxa"/>
          </w:tcPr>
          <w:p w14:paraId="26A52F22" w14:textId="77777777" w:rsidR="00130487" w:rsidRPr="00825FC8" w:rsidRDefault="00130487" w:rsidP="00130487">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Cita informācija</w:t>
            </w:r>
          </w:p>
        </w:tc>
        <w:tc>
          <w:tcPr>
            <w:tcW w:w="7938" w:type="dxa"/>
          </w:tcPr>
          <w:p w14:paraId="42665988" w14:textId="1D1763CA" w:rsidR="00130487" w:rsidRPr="00825FC8" w:rsidRDefault="006335C0" w:rsidP="00993F1C">
            <w:pPr>
              <w:pStyle w:val="NoSpacing"/>
              <w:jc w:val="both"/>
              <w:rPr>
                <w:rFonts w:ascii="Times New Roman" w:hAnsi="Times New Roman" w:cs="Times New Roman"/>
                <w:sz w:val="24"/>
                <w:szCs w:val="24"/>
                <w:lang w:eastAsia="lv-LV"/>
              </w:rPr>
            </w:pPr>
            <w:r w:rsidRPr="00825FC8">
              <w:rPr>
                <w:rFonts w:ascii="Times New Roman" w:hAnsi="Times New Roman" w:cs="Times New Roman"/>
                <w:sz w:val="24"/>
                <w:szCs w:val="24"/>
                <w:lang w:eastAsia="lv-LV"/>
              </w:rPr>
              <w:t>Nav</w:t>
            </w:r>
          </w:p>
        </w:tc>
      </w:tr>
    </w:tbl>
    <w:p w14:paraId="5E0CF3C4" w14:textId="14DA464F" w:rsidR="00EC6E12" w:rsidRPr="00825FC8" w:rsidRDefault="00EC6E12" w:rsidP="00EC6E12">
      <w:pPr>
        <w:pStyle w:val="NoSpacing"/>
        <w:jc w:val="center"/>
        <w:rPr>
          <w:rFonts w:ascii="Times New Roman" w:hAnsi="Times New Roman" w:cs="Times New Roman"/>
          <w:sz w:val="24"/>
          <w:szCs w:val="24"/>
          <w:lang w:eastAsia="lv-LV"/>
        </w:rPr>
      </w:pPr>
    </w:p>
    <w:tbl>
      <w:tblPr>
        <w:tblW w:w="10071" w:type="dxa"/>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2551"/>
        <w:gridCol w:w="6949"/>
      </w:tblGrid>
      <w:tr w:rsidR="00825FC8" w:rsidRPr="00825FC8" w14:paraId="3D575D50" w14:textId="77777777" w:rsidTr="00516118">
        <w:trPr>
          <w:trHeight w:val="555"/>
        </w:trPr>
        <w:tc>
          <w:tcPr>
            <w:tcW w:w="10071" w:type="dxa"/>
            <w:gridSpan w:val="3"/>
            <w:tcBorders>
              <w:top w:val="single" w:sz="4" w:space="0" w:color="auto"/>
              <w:left w:val="single" w:sz="4" w:space="0" w:color="auto"/>
              <w:bottom w:val="single" w:sz="4" w:space="0" w:color="auto"/>
              <w:right w:val="single" w:sz="4" w:space="0" w:color="auto"/>
            </w:tcBorders>
            <w:hideMark/>
          </w:tcPr>
          <w:p w14:paraId="3C12EE93" w14:textId="77777777" w:rsidR="00516118" w:rsidRPr="00825FC8" w:rsidRDefault="00516118" w:rsidP="00FA380D">
            <w:pPr>
              <w:contextualSpacing/>
              <w:jc w:val="center"/>
              <w:rPr>
                <w:bCs/>
                <w:noProof/>
                <w:sz w:val="26"/>
                <w:szCs w:val="26"/>
              </w:rPr>
            </w:pPr>
            <w:r w:rsidRPr="00825FC8">
              <w:rPr>
                <w:b/>
                <w:bCs/>
                <w:noProof/>
                <w:sz w:val="26"/>
                <w:szCs w:val="26"/>
              </w:rPr>
              <w:t>II. Tiesību akta projekta ietekme uz sabiedrību, tautsaimniecības attīstību un administratīvo slogu</w:t>
            </w:r>
          </w:p>
        </w:tc>
      </w:tr>
      <w:tr w:rsidR="00825FC8" w:rsidRPr="00825FC8" w14:paraId="48609F34" w14:textId="77777777" w:rsidTr="00516118">
        <w:trPr>
          <w:trHeight w:val="465"/>
        </w:trPr>
        <w:tc>
          <w:tcPr>
            <w:tcW w:w="571" w:type="dxa"/>
            <w:tcBorders>
              <w:top w:val="single" w:sz="4" w:space="0" w:color="auto"/>
              <w:left w:val="outset" w:sz="6" w:space="0" w:color="414142"/>
              <w:bottom w:val="outset" w:sz="6" w:space="0" w:color="414142"/>
              <w:right w:val="outset" w:sz="6" w:space="0" w:color="414142"/>
            </w:tcBorders>
            <w:hideMark/>
          </w:tcPr>
          <w:p w14:paraId="5BA38CB8" w14:textId="77777777" w:rsidR="00516118" w:rsidRPr="00825FC8" w:rsidRDefault="00516118" w:rsidP="00FA380D">
            <w:pPr>
              <w:contextualSpacing/>
              <w:rPr>
                <w:bCs/>
                <w:noProof/>
                <w:sz w:val="18"/>
                <w:szCs w:val="18"/>
              </w:rPr>
            </w:pPr>
            <w:r w:rsidRPr="00825FC8">
              <w:rPr>
                <w:bCs/>
                <w:noProof/>
                <w:sz w:val="18"/>
                <w:szCs w:val="18"/>
              </w:rPr>
              <w:t>1.</w:t>
            </w:r>
          </w:p>
        </w:tc>
        <w:tc>
          <w:tcPr>
            <w:tcW w:w="2551" w:type="dxa"/>
            <w:tcBorders>
              <w:top w:val="single" w:sz="4" w:space="0" w:color="auto"/>
              <w:left w:val="outset" w:sz="6" w:space="0" w:color="414142"/>
              <w:bottom w:val="outset" w:sz="6" w:space="0" w:color="414142"/>
              <w:right w:val="outset" w:sz="6" w:space="0" w:color="414142"/>
            </w:tcBorders>
            <w:hideMark/>
          </w:tcPr>
          <w:p w14:paraId="2C5A53B3" w14:textId="77777777" w:rsidR="00516118" w:rsidRPr="00825FC8" w:rsidRDefault="00516118" w:rsidP="00FA380D">
            <w:pPr>
              <w:contextualSpacing/>
              <w:rPr>
                <w:bCs/>
                <w:noProof/>
                <w:sz w:val="18"/>
                <w:szCs w:val="18"/>
              </w:rPr>
            </w:pPr>
            <w:r w:rsidRPr="00825FC8">
              <w:rPr>
                <w:bCs/>
                <w:noProof/>
                <w:sz w:val="18"/>
                <w:szCs w:val="18"/>
              </w:rPr>
              <w:t>Sabiedrības mērķgrupas, kuras tiesiskais regulējums ietekmē vai varētu ietekmēt</w:t>
            </w:r>
          </w:p>
        </w:tc>
        <w:tc>
          <w:tcPr>
            <w:tcW w:w="6949" w:type="dxa"/>
            <w:tcBorders>
              <w:top w:val="single" w:sz="4" w:space="0" w:color="auto"/>
              <w:left w:val="outset" w:sz="6" w:space="0" w:color="414142"/>
              <w:bottom w:val="outset" w:sz="6" w:space="0" w:color="414142"/>
              <w:right w:val="outset" w:sz="6" w:space="0" w:color="414142"/>
            </w:tcBorders>
            <w:hideMark/>
          </w:tcPr>
          <w:p w14:paraId="2049E664" w14:textId="3DE04866" w:rsidR="005B7B45" w:rsidRPr="00825FC8" w:rsidRDefault="005B7B45" w:rsidP="00FA380D">
            <w:pPr>
              <w:ind w:right="201"/>
              <w:jc w:val="both"/>
            </w:pPr>
            <w:r w:rsidRPr="00825FC8">
              <w:t>Institūciju darbinieki un pakalpojumu saņēmēji:</w:t>
            </w:r>
          </w:p>
          <w:p w14:paraId="649B6D5A" w14:textId="77777777" w:rsidR="00516118" w:rsidRPr="00825FC8" w:rsidRDefault="005B7B45" w:rsidP="005B7B45">
            <w:pPr>
              <w:pStyle w:val="ListParagraph"/>
              <w:numPr>
                <w:ilvl w:val="0"/>
                <w:numId w:val="39"/>
              </w:numPr>
              <w:ind w:right="201"/>
              <w:jc w:val="both"/>
              <w:rPr>
                <w:bCs/>
                <w:noProof/>
              </w:rPr>
            </w:pPr>
            <w:r w:rsidRPr="00825FC8">
              <w:t>Ilgstošas sociālās aprūpes un sociālās rehabilitācijas  institūcijās;</w:t>
            </w:r>
          </w:p>
          <w:p w14:paraId="02D37D27" w14:textId="77777777" w:rsidR="005B7B45" w:rsidRPr="00825FC8" w:rsidRDefault="005B7B45" w:rsidP="005B7B45">
            <w:pPr>
              <w:pStyle w:val="ListParagraph"/>
              <w:numPr>
                <w:ilvl w:val="0"/>
                <w:numId w:val="39"/>
              </w:numPr>
              <w:ind w:right="201"/>
              <w:jc w:val="both"/>
              <w:rPr>
                <w:bCs/>
                <w:noProof/>
              </w:rPr>
            </w:pPr>
            <w:r w:rsidRPr="00825FC8">
              <w:rPr>
                <w:bCs/>
                <w:noProof/>
              </w:rPr>
              <w:t>Sociālās integrācijas valsts aģentūrā;</w:t>
            </w:r>
          </w:p>
          <w:p w14:paraId="7ED7E032" w14:textId="77777777" w:rsidR="005B7B45" w:rsidRPr="00825FC8" w:rsidRDefault="005B7B45" w:rsidP="005B7B45">
            <w:pPr>
              <w:pStyle w:val="ListParagraph"/>
              <w:numPr>
                <w:ilvl w:val="0"/>
                <w:numId w:val="39"/>
              </w:numPr>
              <w:ind w:right="201"/>
              <w:jc w:val="both"/>
              <w:rPr>
                <w:bCs/>
                <w:noProof/>
              </w:rPr>
            </w:pPr>
            <w:r w:rsidRPr="00825FC8">
              <w:rPr>
                <w:bCs/>
                <w:noProof/>
              </w:rPr>
              <w:t>Valsts sociālās apdrošināšanas aģentūrā;</w:t>
            </w:r>
          </w:p>
          <w:p w14:paraId="46122543" w14:textId="77777777" w:rsidR="005B7B45" w:rsidRPr="00825FC8" w:rsidRDefault="005B7B45" w:rsidP="005B7B45">
            <w:pPr>
              <w:pStyle w:val="ListParagraph"/>
              <w:numPr>
                <w:ilvl w:val="0"/>
                <w:numId w:val="39"/>
              </w:numPr>
              <w:ind w:right="201"/>
              <w:jc w:val="both"/>
              <w:rPr>
                <w:bCs/>
                <w:noProof/>
              </w:rPr>
            </w:pPr>
            <w:r w:rsidRPr="00825FC8">
              <w:rPr>
                <w:bCs/>
                <w:noProof/>
              </w:rPr>
              <w:t>Veselības un darbspēju ekspertīzes ārstu valsts komisijā;</w:t>
            </w:r>
          </w:p>
          <w:p w14:paraId="6A2070D2" w14:textId="77777777" w:rsidR="005B7B45" w:rsidRPr="00825FC8" w:rsidRDefault="005B7B45" w:rsidP="005B7B45">
            <w:pPr>
              <w:pStyle w:val="ListParagraph"/>
              <w:numPr>
                <w:ilvl w:val="0"/>
                <w:numId w:val="39"/>
              </w:numPr>
              <w:ind w:right="201"/>
              <w:jc w:val="both"/>
              <w:rPr>
                <w:bCs/>
                <w:noProof/>
              </w:rPr>
            </w:pPr>
            <w:r w:rsidRPr="00825FC8">
              <w:rPr>
                <w:bCs/>
                <w:noProof/>
              </w:rPr>
              <w:t>Valsts bērnu tiesību aizsardzības inspekcijā;</w:t>
            </w:r>
          </w:p>
          <w:p w14:paraId="279A3BF8" w14:textId="77777777" w:rsidR="005B7B45" w:rsidRPr="00825FC8" w:rsidRDefault="005B7B45" w:rsidP="005B7B45">
            <w:pPr>
              <w:pStyle w:val="ListParagraph"/>
              <w:numPr>
                <w:ilvl w:val="0"/>
                <w:numId w:val="39"/>
              </w:numPr>
              <w:ind w:right="201"/>
              <w:jc w:val="both"/>
              <w:rPr>
                <w:bCs/>
                <w:noProof/>
              </w:rPr>
            </w:pPr>
            <w:r w:rsidRPr="00825FC8">
              <w:rPr>
                <w:bCs/>
                <w:noProof/>
              </w:rPr>
              <w:t>Nodarbinātības valsts aģentūrā;</w:t>
            </w:r>
          </w:p>
          <w:p w14:paraId="5249C661" w14:textId="345AD95F" w:rsidR="005B7B45" w:rsidRPr="00825FC8" w:rsidRDefault="005B7B45" w:rsidP="005B7B45">
            <w:pPr>
              <w:pStyle w:val="ListParagraph"/>
              <w:numPr>
                <w:ilvl w:val="0"/>
                <w:numId w:val="39"/>
              </w:numPr>
              <w:ind w:right="201"/>
              <w:jc w:val="both"/>
              <w:rPr>
                <w:bCs/>
                <w:noProof/>
              </w:rPr>
            </w:pPr>
            <w:r w:rsidRPr="00825FC8">
              <w:rPr>
                <w:bCs/>
                <w:noProof/>
              </w:rPr>
              <w:t>Valsts darba inspekcijā;</w:t>
            </w:r>
          </w:p>
          <w:p w14:paraId="1C51D6F9" w14:textId="7A19F16D" w:rsidR="0038623F" w:rsidRPr="00825FC8" w:rsidRDefault="0038623F" w:rsidP="005B7B45">
            <w:pPr>
              <w:pStyle w:val="ListParagraph"/>
              <w:numPr>
                <w:ilvl w:val="0"/>
                <w:numId w:val="39"/>
              </w:numPr>
              <w:ind w:right="201"/>
              <w:jc w:val="both"/>
              <w:rPr>
                <w:bCs/>
                <w:noProof/>
              </w:rPr>
            </w:pPr>
            <w:r w:rsidRPr="00825FC8">
              <w:rPr>
                <w:bCs/>
                <w:noProof/>
              </w:rPr>
              <w:t>NRC “Vaivari”</w:t>
            </w:r>
            <w:r w:rsidR="006F086E" w:rsidRPr="00825FC8">
              <w:rPr>
                <w:bCs/>
                <w:noProof/>
              </w:rPr>
              <w:t>;</w:t>
            </w:r>
          </w:p>
          <w:p w14:paraId="2049C03D" w14:textId="2B06E12F" w:rsidR="005B7B45" w:rsidRPr="00825FC8" w:rsidRDefault="005B7B45" w:rsidP="005B7B45">
            <w:pPr>
              <w:pStyle w:val="ListParagraph"/>
              <w:numPr>
                <w:ilvl w:val="0"/>
                <w:numId w:val="39"/>
              </w:numPr>
              <w:ind w:right="201"/>
              <w:jc w:val="both"/>
              <w:rPr>
                <w:bCs/>
                <w:noProof/>
              </w:rPr>
            </w:pPr>
            <w:r w:rsidRPr="00825FC8">
              <w:rPr>
                <w:bCs/>
                <w:noProof/>
              </w:rPr>
              <w:t>Labklājības ministrijā.</w:t>
            </w:r>
          </w:p>
        </w:tc>
      </w:tr>
      <w:tr w:rsidR="00825FC8" w:rsidRPr="00825FC8" w14:paraId="3F87A80A" w14:textId="77777777" w:rsidTr="00516118">
        <w:trPr>
          <w:trHeight w:val="510"/>
        </w:trPr>
        <w:tc>
          <w:tcPr>
            <w:tcW w:w="571" w:type="dxa"/>
            <w:tcBorders>
              <w:top w:val="outset" w:sz="6" w:space="0" w:color="414142"/>
              <w:left w:val="outset" w:sz="6" w:space="0" w:color="414142"/>
              <w:bottom w:val="outset" w:sz="6" w:space="0" w:color="414142"/>
              <w:right w:val="outset" w:sz="6" w:space="0" w:color="414142"/>
            </w:tcBorders>
            <w:hideMark/>
          </w:tcPr>
          <w:p w14:paraId="3DC86CD3" w14:textId="77777777" w:rsidR="00516118" w:rsidRPr="00825FC8" w:rsidRDefault="00516118" w:rsidP="00FA380D">
            <w:pPr>
              <w:contextualSpacing/>
              <w:rPr>
                <w:bCs/>
                <w:noProof/>
                <w:sz w:val="18"/>
                <w:szCs w:val="18"/>
              </w:rPr>
            </w:pPr>
            <w:r w:rsidRPr="00825FC8">
              <w:rPr>
                <w:bCs/>
                <w:noProof/>
                <w:sz w:val="18"/>
                <w:szCs w:val="18"/>
              </w:rPr>
              <w:t>2.</w:t>
            </w:r>
          </w:p>
        </w:tc>
        <w:tc>
          <w:tcPr>
            <w:tcW w:w="2551" w:type="dxa"/>
            <w:tcBorders>
              <w:top w:val="outset" w:sz="6" w:space="0" w:color="414142"/>
              <w:left w:val="outset" w:sz="6" w:space="0" w:color="414142"/>
              <w:bottom w:val="outset" w:sz="6" w:space="0" w:color="414142"/>
              <w:right w:val="outset" w:sz="6" w:space="0" w:color="414142"/>
            </w:tcBorders>
            <w:hideMark/>
          </w:tcPr>
          <w:p w14:paraId="4D03B9D0" w14:textId="77777777" w:rsidR="00516118" w:rsidRPr="00825FC8" w:rsidRDefault="00516118" w:rsidP="00FA380D">
            <w:pPr>
              <w:contextualSpacing/>
              <w:rPr>
                <w:bCs/>
                <w:noProof/>
                <w:sz w:val="18"/>
                <w:szCs w:val="18"/>
              </w:rPr>
            </w:pPr>
            <w:r w:rsidRPr="00825FC8">
              <w:rPr>
                <w:bCs/>
                <w:noProof/>
                <w:sz w:val="18"/>
                <w:szCs w:val="18"/>
              </w:rPr>
              <w:t>Tiesiskā regulējuma ietekme uz tautsaimniecību un administratīvo slogu</w:t>
            </w:r>
          </w:p>
        </w:tc>
        <w:tc>
          <w:tcPr>
            <w:tcW w:w="6949" w:type="dxa"/>
            <w:tcBorders>
              <w:top w:val="outset" w:sz="6" w:space="0" w:color="414142"/>
              <w:left w:val="outset" w:sz="6" w:space="0" w:color="414142"/>
              <w:bottom w:val="outset" w:sz="6" w:space="0" w:color="414142"/>
              <w:right w:val="outset" w:sz="6" w:space="0" w:color="414142"/>
            </w:tcBorders>
            <w:hideMark/>
          </w:tcPr>
          <w:p w14:paraId="22FC2E44" w14:textId="50517BD5" w:rsidR="00516118" w:rsidRPr="00825FC8" w:rsidRDefault="00516118" w:rsidP="0040069B">
            <w:pPr>
              <w:pStyle w:val="BodyText"/>
              <w:ind w:right="201"/>
              <w:contextualSpacing/>
              <w:rPr>
                <w:rFonts w:eastAsia="Calibri"/>
                <w:bCs/>
                <w:noProof/>
                <w:sz w:val="24"/>
                <w:szCs w:val="24"/>
                <w:lang w:eastAsia="en-US"/>
              </w:rPr>
            </w:pPr>
            <w:r w:rsidRPr="00825FC8">
              <w:rPr>
                <w:rFonts w:eastAsia="Calibri"/>
                <w:bCs/>
                <w:noProof/>
                <w:sz w:val="24"/>
                <w:szCs w:val="24"/>
                <w:lang w:eastAsia="en-US"/>
              </w:rPr>
              <w:t>L</w:t>
            </w:r>
            <w:r w:rsidR="00D211E0" w:rsidRPr="00825FC8">
              <w:rPr>
                <w:rFonts w:eastAsia="Calibri"/>
                <w:bCs/>
                <w:noProof/>
                <w:sz w:val="24"/>
                <w:szCs w:val="24"/>
                <w:lang w:eastAsia="en-US"/>
              </w:rPr>
              <w:t>abklājības ministrijas</w:t>
            </w:r>
            <w:r w:rsidRPr="00825FC8">
              <w:rPr>
                <w:rFonts w:eastAsia="Calibri"/>
                <w:bCs/>
                <w:noProof/>
                <w:sz w:val="24"/>
                <w:szCs w:val="24"/>
                <w:lang w:eastAsia="en-US"/>
              </w:rPr>
              <w:t xml:space="preserve">  </w:t>
            </w:r>
            <w:r w:rsidR="000D7795" w:rsidRPr="00825FC8">
              <w:rPr>
                <w:rFonts w:eastAsia="Calibri"/>
                <w:bCs/>
                <w:noProof/>
                <w:sz w:val="24"/>
                <w:szCs w:val="24"/>
                <w:lang w:eastAsia="en-US"/>
              </w:rPr>
              <w:t xml:space="preserve">nozares </w:t>
            </w:r>
            <w:r w:rsidR="0040069B" w:rsidRPr="00825FC8">
              <w:rPr>
                <w:rFonts w:eastAsia="Calibri"/>
                <w:bCs/>
                <w:noProof/>
                <w:sz w:val="24"/>
                <w:szCs w:val="24"/>
                <w:lang w:eastAsia="en-US"/>
              </w:rPr>
              <w:t>4</w:t>
            </w:r>
            <w:r w:rsidRPr="00825FC8">
              <w:rPr>
                <w:rFonts w:eastAsia="Calibri"/>
                <w:bCs/>
                <w:noProof/>
                <w:sz w:val="24"/>
                <w:szCs w:val="24"/>
                <w:lang w:eastAsia="en-US"/>
              </w:rPr>
              <w:t xml:space="preserve"> darbinieki, kas nodrošinās </w:t>
            </w:r>
            <w:r w:rsidR="001E6264" w:rsidRPr="00825FC8">
              <w:rPr>
                <w:sz w:val="24"/>
                <w:szCs w:val="24"/>
              </w:rPr>
              <w:t>gaisa kvalitātes un telpu klimata monitoringa sensoru</w:t>
            </w:r>
            <w:r w:rsidR="00A421D9" w:rsidRPr="00825FC8">
              <w:rPr>
                <w:sz w:val="24"/>
                <w:szCs w:val="24"/>
              </w:rPr>
              <w:t xml:space="preserve">, kā arī gaisa kvalitātes un telpu klimata monitoringa bāzes staciju iepirkuma organizēšanu. </w:t>
            </w:r>
          </w:p>
        </w:tc>
      </w:tr>
      <w:tr w:rsidR="00825FC8" w:rsidRPr="00825FC8" w14:paraId="040D5398" w14:textId="77777777" w:rsidTr="00516118">
        <w:trPr>
          <w:trHeight w:val="510"/>
        </w:trPr>
        <w:tc>
          <w:tcPr>
            <w:tcW w:w="571" w:type="dxa"/>
            <w:tcBorders>
              <w:top w:val="outset" w:sz="6" w:space="0" w:color="414142"/>
              <w:left w:val="outset" w:sz="6" w:space="0" w:color="414142"/>
              <w:bottom w:val="outset" w:sz="6" w:space="0" w:color="414142"/>
              <w:right w:val="outset" w:sz="6" w:space="0" w:color="414142"/>
            </w:tcBorders>
            <w:hideMark/>
          </w:tcPr>
          <w:p w14:paraId="52467075" w14:textId="77777777" w:rsidR="00516118" w:rsidRPr="00825FC8" w:rsidRDefault="00516118" w:rsidP="00FA380D">
            <w:pPr>
              <w:contextualSpacing/>
              <w:rPr>
                <w:bCs/>
                <w:noProof/>
                <w:sz w:val="18"/>
                <w:szCs w:val="18"/>
              </w:rPr>
            </w:pPr>
            <w:r w:rsidRPr="00825FC8">
              <w:rPr>
                <w:bCs/>
                <w:noProof/>
                <w:sz w:val="18"/>
                <w:szCs w:val="18"/>
              </w:rPr>
              <w:t>3.</w:t>
            </w:r>
          </w:p>
        </w:tc>
        <w:tc>
          <w:tcPr>
            <w:tcW w:w="2551" w:type="dxa"/>
            <w:tcBorders>
              <w:top w:val="outset" w:sz="6" w:space="0" w:color="414142"/>
              <w:left w:val="outset" w:sz="6" w:space="0" w:color="414142"/>
              <w:bottom w:val="outset" w:sz="6" w:space="0" w:color="414142"/>
              <w:right w:val="outset" w:sz="6" w:space="0" w:color="414142"/>
            </w:tcBorders>
            <w:hideMark/>
          </w:tcPr>
          <w:p w14:paraId="735516C3" w14:textId="77777777" w:rsidR="00516118" w:rsidRPr="00825FC8" w:rsidRDefault="00516118" w:rsidP="00FA380D">
            <w:pPr>
              <w:contextualSpacing/>
              <w:rPr>
                <w:bCs/>
                <w:noProof/>
                <w:sz w:val="18"/>
                <w:szCs w:val="18"/>
              </w:rPr>
            </w:pPr>
            <w:r w:rsidRPr="00825FC8">
              <w:rPr>
                <w:bCs/>
                <w:noProof/>
                <w:sz w:val="18"/>
                <w:szCs w:val="18"/>
              </w:rPr>
              <w:t>Administratīvo izmaksu monetārs novērtējums</w:t>
            </w:r>
          </w:p>
        </w:tc>
        <w:tc>
          <w:tcPr>
            <w:tcW w:w="6949" w:type="dxa"/>
            <w:tcBorders>
              <w:top w:val="outset" w:sz="6" w:space="0" w:color="414142"/>
              <w:left w:val="outset" w:sz="6" w:space="0" w:color="414142"/>
              <w:bottom w:val="outset" w:sz="6" w:space="0" w:color="414142"/>
              <w:right w:val="outset" w:sz="6" w:space="0" w:color="414142"/>
            </w:tcBorders>
            <w:hideMark/>
          </w:tcPr>
          <w:p w14:paraId="48499ADC" w14:textId="77777777" w:rsidR="0078405A" w:rsidRPr="00825FC8" w:rsidRDefault="0078405A" w:rsidP="0078405A">
            <w:pPr>
              <w:pStyle w:val="NoSpacing"/>
              <w:rPr>
                <w:rFonts w:ascii="Times New Roman" w:hAnsi="Times New Roman" w:cs="Times New Roman"/>
                <w:sz w:val="24"/>
                <w:szCs w:val="24"/>
              </w:rPr>
            </w:pPr>
            <w:r w:rsidRPr="00825FC8">
              <w:rPr>
                <w:rFonts w:ascii="Times New Roman" w:hAnsi="Times New Roman" w:cs="Times New Roman"/>
                <w:sz w:val="24"/>
                <w:szCs w:val="24"/>
              </w:rPr>
              <w:t>Projektam nebūs papildu administratīvās izmaksas.</w:t>
            </w:r>
          </w:p>
          <w:p w14:paraId="22572403" w14:textId="5BD65361" w:rsidR="00516118" w:rsidRPr="00825FC8" w:rsidRDefault="00516118" w:rsidP="00FA380D">
            <w:pPr>
              <w:pStyle w:val="BodyText"/>
              <w:ind w:right="201"/>
              <w:contextualSpacing/>
              <w:rPr>
                <w:rFonts w:eastAsia="Calibri"/>
                <w:bCs/>
                <w:noProof/>
                <w:sz w:val="24"/>
                <w:szCs w:val="24"/>
                <w:lang w:eastAsia="en-US"/>
              </w:rPr>
            </w:pPr>
          </w:p>
        </w:tc>
      </w:tr>
      <w:tr w:rsidR="00825FC8" w:rsidRPr="00825FC8" w14:paraId="1A2A7353" w14:textId="77777777" w:rsidTr="00516118">
        <w:trPr>
          <w:trHeight w:val="510"/>
        </w:trPr>
        <w:tc>
          <w:tcPr>
            <w:tcW w:w="571" w:type="dxa"/>
            <w:tcBorders>
              <w:top w:val="outset" w:sz="6" w:space="0" w:color="auto"/>
              <w:left w:val="outset" w:sz="6" w:space="0" w:color="auto"/>
              <w:bottom w:val="outset" w:sz="6" w:space="0" w:color="auto"/>
              <w:right w:val="outset" w:sz="6" w:space="0" w:color="auto"/>
            </w:tcBorders>
          </w:tcPr>
          <w:p w14:paraId="0E4CB328" w14:textId="77777777" w:rsidR="00516118" w:rsidRPr="00825FC8" w:rsidRDefault="00516118" w:rsidP="00FA380D">
            <w:pPr>
              <w:contextualSpacing/>
              <w:rPr>
                <w:bCs/>
                <w:noProof/>
                <w:sz w:val="18"/>
                <w:szCs w:val="18"/>
              </w:rPr>
            </w:pPr>
            <w:r w:rsidRPr="00825FC8">
              <w:rPr>
                <w:bCs/>
                <w:noProof/>
                <w:sz w:val="18"/>
                <w:szCs w:val="18"/>
              </w:rPr>
              <w:lastRenderedPageBreak/>
              <w:t>4.</w:t>
            </w:r>
          </w:p>
        </w:tc>
        <w:tc>
          <w:tcPr>
            <w:tcW w:w="2551" w:type="dxa"/>
            <w:tcBorders>
              <w:top w:val="outset" w:sz="6" w:space="0" w:color="auto"/>
              <w:left w:val="outset" w:sz="6" w:space="0" w:color="auto"/>
              <w:bottom w:val="outset" w:sz="6" w:space="0" w:color="auto"/>
              <w:right w:val="outset" w:sz="6" w:space="0" w:color="auto"/>
            </w:tcBorders>
          </w:tcPr>
          <w:p w14:paraId="2F81BD34" w14:textId="77777777" w:rsidR="00516118" w:rsidRPr="00825FC8" w:rsidRDefault="00516118" w:rsidP="00FA380D">
            <w:pPr>
              <w:contextualSpacing/>
              <w:rPr>
                <w:bCs/>
                <w:noProof/>
                <w:sz w:val="18"/>
                <w:szCs w:val="18"/>
              </w:rPr>
            </w:pPr>
            <w:r w:rsidRPr="00825FC8">
              <w:rPr>
                <w:bCs/>
                <w:noProof/>
                <w:sz w:val="18"/>
                <w:szCs w:val="18"/>
              </w:rPr>
              <w:t>Atbilstības izmaksu monetārs novērtējums</w:t>
            </w:r>
          </w:p>
        </w:tc>
        <w:tc>
          <w:tcPr>
            <w:tcW w:w="6949" w:type="dxa"/>
            <w:tcBorders>
              <w:top w:val="outset" w:sz="6" w:space="0" w:color="auto"/>
              <w:left w:val="outset" w:sz="6" w:space="0" w:color="auto"/>
              <w:bottom w:val="outset" w:sz="6" w:space="0" w:color="auto"/>
              <w:right w:val="outset" w:sz="6" w:space="0" w:color="auto"/>
            </w:tcBorders>
          </w:tcPr>
          <w:p w14:paraId="1F444C29" w14:textId="60B296A7" w:rsidR="00516118" w:rsidRPr="00825FC8" w:rsidRDefault="002D736E" w:rsidP="00FA380D">
            <w:pPr>
              <w:pStyle w:val="BodyText"/>
              <w:ind w:right="201"/>
              <w:contextualSpacing/>
              <w:rPr>
                <w:rFonts w:eastAsia="Calibri"/>
                <w:bCs/>
                <w:noProof/>
                <w:sz w:val="24"/>
                <w:szCs w:val="24"/>
                <w:lang w:eastAsia="en-US"/>
              </w:rPr>
            </w:pPr>
            <w:r w:rsidRPr="00825FC8">
              <w:rPr>
                <w:sz w:val="24"/>
                <w:szCs w:val="24"/>
              </w:rPr>
              <w:t>Projektā noteiktās izmaiņas neuzliek papildus pienākumus fiziskām vai juridiskām personām.</w:t>
            </w:r>
          </w:p>
        </w:tc>
      </w:tr>
      <w:tr w:rsidR="00825FC8" w:rsidRPr="00825FC8" w14:paraId="5863C217" w14:textId="77777777" w:rsidTr="00516118">
        <w:trPr>
          <w:trHeight w:val="345"/>
        </w:trPr>
        <w:tc>
          <w:tcPr>
            <w:tcW w:w="571" w:type="dxa"/>
            <w:tcBorders>
              <w:top w:val="outset" w:sz="6" w:space="0" w:color="414142"/>
              <w:left w:val="outset" w:sz="6" w:space="0" w:color="414142"/>
              <w:bottom w:val="outset" w:sz="6" w:space="0" w:color="414142"/>
              <w:right w:val="outset" w:sz="6" w:space="0" w:color="414142"/>
            </w:tcBorders>
            <w:hideMark/>
          </w:tcPr>
          <w:p w14:paraId="6996F3FE" w14:textId="77777777" w:rsidR="00516118" w:rsidRPr="00825FC8" w:rsidRDefault="00516118" w:rsidP="00FA380D">
            <w:pPr>
              <w:contextualSpacing/>
              <w:rPr>
                <w:bCs/>
                <w:noProof/>
                <w:sz w:val="18"/>
                <w:szCs w:val="18"/>
              </w:rPr>
            </w:pPr>
            <w:r w:rsidRPr="00825FC8">
              <w:rPr>
                <w:bCs/>
                <w:noProof/>
                <w:sz w:val="18"/>
                <w:szCs w:val="18"/>
              </w:rPr>
              <w:t>5.</w:t>
            </w:r>
          </w:p>
        </w:tc>
        <w:tc>
          <w:tcPr>
            <w:tcW w:w="2551" w:type="dxa"/>
            <w:tcBorders>
              <w:top w:val="outset" w:sz="6" w:space="0" w:color="414142"/>
              <w:left w:val="outset" w:sz="6" w:space="0" w:color="414142"/>
              <w:bottom w:val="outset" w:sz="6" w:space="0" w:color="414142"/>
              <w:right w:val="outset" w:sz="6" w:space="0" w:color="414142"/>
            </w:tcBorders>
            <w:hideMark/>
          </w:tcPr>
          <w:p w14:paraId="5F1B43FE" w14:textId="77777777" w:rsidR="00516118" w:rsidRPr="00825FC8" w:rsidRDefault="00516118" w:rsidP="00FA380D">
            <w:pPr>
              <w:contextualSpacing/>
              <w:rPr>
                <w:bCs/>
                <w:noProof/>
                <w:sz w:val="18"/>
                <w:szCs w:val="18"/>
              </w:rPr>
            </w:pPr>
            <w:r w:rsidRPr="00825FC8">
              <w:rPr>
                <w:bCs/>
                <w:noProof/>
                <w:sz w:val="18"/>
                <w:szCs w:val="18"/>
              </w:rPr>
              <w:t>Cita informācija</w:t>
            </w:r>
          </w:p>
        </w:tc>
        <w:tc>
          <w:tcPr>
            <w:tcW w:w="6949" w:type="dxa"/>
            <w:tcBorders>
              <w:top w:val="outset" w:sz="6" w:space="0" w:color="414142"/>
              <w:left w:val="outset" w:sz="6" w:space="0" w:color="414142"/>
              <w:bottom w:val="outset" w:sz="6" w:space="0" w:color="414142"/>
              <w:right w:val="outset" w:sz="6" w:space="0" w:color="414142"/>
            </w:tcBorders>
            <w:hideMark/>
          </w:tcPr>
          <w:p w14:paraId="340C569E" w14:textId="77777777" w:rsidR="00516118" w:rsidRPr="00825FC8" w:rsidRDefault="00516118" w:rsidP="00FA380D">
            <w:pPr>
              <w:ind w:right="201"/>
              <w:contextualSpacing/>
              <w:jc w:val="both"/>
              <w:rPr>
                <w:bCs/>
                <w:noProof/>
              </w:rPr>
            </w:pPr>
            <w:r w:rsidRPr="00825FC8">
              <w:rPr>
                <w:bCs/>
                <w:noProof/>
              </w:rPr>
              <w:t>Nav</w:t>
            </w:r>
          </w:p>
        </w:tc>
      </w:tr>
    </w:tbl>
    <w:p w14:paraId="17DB8B37" w14:textId="49831D6E" w:rsidR="00BA0ADE" w:rsidRPr="00825FC8" w:rsidRDefault="00BA0ADE" w:rsidP="00EC6E12">
      <w:pPr>
        <w:pStyle w:val="NoSpacing"/>
        <w:rPr>
          <w:rFonts w:ascii="Times New Roman" w:hAnsi="Times New Roman" w:cs="Times New Roman"/>
          <w:iCs/>
          <w:sz w:val="24"/>
          <w:szCs w:val="24"/>
          <w:lang w:eastAsia="lv-LV"/>
        </w:rPr>
      </w:pPr>
    </w:p>
    <w:p w14:paraId="21C9F19B" w14:textId="5B4695FB" w:rsidR="00B3049C" w:rsidRPr="00825FC8" w:rsidRDefault="00B3049C" w:rsidP="00EC6E12">
      <w:pPr>
        <w:pStyle w:val="NoSpacing"/>
        <w:rPr>
          <w:rFonts w:ascii="Times New Roman" w:hAnsi="Times New Roman" w:cs="Times New Roman"/>
          <w:iCs/>
          <w:sz w:val="24"/>
          <w:szCs w:val="24"/>
          <w:lang w:eastAsia="lv-LV"/>
        </w:rPr>
      </w:pPr>
    </w:p>
    <w:p w14:paraId="3DF4B3BF" w14:textId="77777777" w:rsidR="00B3049C" w:rsidRPr="00825FC8" w:rsidRDefault="00B3049C" w:rsidP="00EC6E12">
      <w:pPr>
        <w:pStyle w:val="NoSpacing"/>
        <w:rPr>
          <w:rFonts w:ascii="Times New Roman" w:hAnsi="Times New Roman" w:cs="Times New Roman"/>
          <w:iCs/>
          <w:sz w:val="24"/>
          <w:szCs w:val="24"/>
          <w:lang w:eastAsia="lv-LV"/>
        </w:rPr>
      </w:pPr>
    </w:p>
    <w:tbl>
      <w:tblPr>
        <w:tblW w:w="51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14"/>
        <w:gridCol w:w="1218"/>
        <w:gridCol w:w="1371"/>
        <w:gridCol w:w="1218"/>
        <w:gridCol w:w="1371"/>
        <w:gridCol w:w="1066"/>
        <w:gridCol w:w="1066"/>
        <w:gridCol w:w="1239"/>
      </w:tblGrid>
      <w:tr w:rsidR="00825FC8" w:rsidRPr="00825FC8" w14:paraId="3F7E2FD9" w14:textId="77777777" w:rsidTr="00516118">
        <w:trPr>
          <w:cantSplit/>
        </w:trPr>
        <w:tc>
          <w:tcPr>
            <w:tcW w:w="10064" w:type="dxa"/>
            <w:gridSpan w:val="8"/>
            <w:shd w:val="clear" w:color="auto" w:fill="auto"/>
            <w:vAlign w:val="center"/>
            <w:hideMark/>
          </w:tcPr>
          <w:p w14:paraId="5A8871AF" w14:textId="77777777" w:rsidR="00885514" w:rsidRPr="00825FC8" w:rsidRDefault="00885514" w:rsidP="00885514">
            <w:pPr>
              <w:jc w:val="center"/>
              <w:rPr>
                <w:rFonts w:eastAsiaTheme="minorHAnsi" w:cstheme="minorBidi"/>
                <w:b/>
                <w:lang w:eastAsia="en-US"/>
              </w:rPr>
            </w:pPr>
            <w:r w:rsidRPr="00825FC8">
              <w:rPr>
                <w:rFonts w:eastAsiaTheme="minorHAnsi" w:cstheme="minorBidi"/>
                <w:b/>
                <w:lang w:eastAsia="en-US"/>
              </w:rPr>
              <w:t>III. Tiesību akta projekta ietekme uz valsts budžetu un pašvaldību budžetiem</w:t>
            </w:r>
          </w:p>
        </w:tc>
      </w:tr>
      <w:tr w:rsidR="00825FC8" w:rsidRPr="00825FC8" w14:paraId="3D04B940" w14:textId="77777777" w:rsidTr="00516118">
        <w:trPr>
          <w:cantSplit/>
        </w:trPr>
        <w:tc>
          <w:tcPr>
            <w:tcW w:w="1515" w:type="dxa"/>
            <w:vMerge w:val="restart"/>
            <w:shd w:val="clear" w:color="auto" w:fill="FFFFFF"/>
            <w:vAlign w:val="center"/>
          </w:tcPr>
          <w:p w14:paraId="66FE7989" w14:textId="77777777" w:rsidR="00885514" w:rsidRPr="00825FC8" w:rsidRDefault="00885514" w:rsidP="00885514">
            <w:pPr>
              <w:jc w:val="both"/>
              <w:rPr>
                <w:rFonts w:eastAsiaTheme="minorHAnsi" w:cstheme="minorBidi"/>
                <w:sz w:val="16"/>
                <w:szCs w:val="16"/>
                <w:lang w:eastAsia="en-US"/>
              </w:rPr>
            </w:pPr>
            <w:r w:rsidRPr="00825FC8">
              <w:rPr>
                <w:rFonts w:eastAsiaTheme="minorHAnsi" w:cstheme="minorBidi"/>
                <w:sz w:val="16"/>
                <w:szCs w:val="16"/>
                <w:lang w:eastAsia="en-US"/>
              </w:rPr>
              <w:t>Rādītāji</w:t>
            </w:r>
          </w:p>
        </w:tc>
        <w:tc>
          <w:tcPr>
            <w:tcW w:w="2589" w:type="dxa"/>
            <w:gridSpan w:val="2"/>
            <w:vMerge w:val="restart"/>
            <w:shd w:val="clear" w:color="auto" w:fill="FFFFFF"/>
            <w:vAlign w:val="center"/>
            <w:hideMark/>
          </w:tcPr>
          <w:p w14:paraId="4B897794" w14:textId="7EED2E9D" w:rsidR="00885514" w:rsidRPr="00825FC8" w:rsidRDefault="00811D08" w:rsidP="009F572A">
            <w:pPr>
              <w:jc w:val="center"/>
              <w:rPr>
                <w:rFonts w:eastAsiaTheme="minorHAnsi" w:cstheme="minorBidi"/>
                <w:sz w:val="16"/>
                <w:szCs w:val="16"/>
                <w:lang w:eastAsia="en-US"/>
              </w:rPr>
            </w:pPr>
            <w:r w:rsidRPr="00825FC8">
              <w:rPr>
                <w:rFonts w:eastAsiaTheme="minorHAnsi" w:cstheme="minorBidi"/>
                <w:sz w:val="16"/>
                <w:szCs w:val="16"/>
                <w:lang w:eastAsia="en-US"/>
              </w:rPr>
              <w:t>202</w:t>
            </w:r>
            <w:r w:rsidR="00934E0C" w:rsidRPr="00825FC8">
              <w:rPr>
                <w:rFonts w:eastAsiaTheme="minorHAnsi" w:cstheme="minorBidi"/>
                <w:sz w:val="16"/>
                <w:szCs w:val="16"/>
                <w:lang w:eastAsia="en-US"/>
              </w:rPr>
              <w:t>1</w:t>
            </w:r>
            <w:r w:rsidRPr="00825FC8">
              <w:rPr>
                <w:rFonts w:eastAsiaTheme="minorHAnsi" w:cstheme="minorBidi"/>
                <w:sz w:val="16"/>
                <w:szCs w:val="16"/>
                <w:lang w:eastAsia="en-US"/>
              </w:rPr>
              <w:t>.</w:t>
            </w:r>
            <w:r w:rsidR="00885514" w:rsidRPr="00825FC8">
              <w:rPr>
                <w:rFonts w:eastAsiaTheme="minorHAnsi" w:cstheme="minorBidi"/>
                <w:sz w:val="16"/>
                <w:szCs w:val="16"/>
                <w:lang w:eastAsia="en-US"/>
              </w:rPr>
              <w:t>gads</w:t>
            </w:r>
          </w:p>
        </w:tc>
        <w:tc>
          <w:tcPr>
            <w:tcW w:w="5960" w:type="dxa"/>
            <w:gridSpan w:val="5"/>
            <w:shd w:val="clear" w:color="auto" w:fill="FFFFFF"/>
            <w:vAlign w:val="center"/>
            <w:hideMark/>
          </w:tcPr>
          <w:p w14:paraId="73BD3770" w14:textId="0239FC84" w:rsidR="00885514" w:rsidRPr="00825FC8" w:rsidRDefault="00885514" w:rsidP="009F572A">
            <w:pPr>
              <w:jc w:val="center"/>
              <w:rPr>
                <w:rFonts w:eastAsiaTheme="minorHAnsi" w:cstheme="minorBidi"/>
                <w:sz w:val="16"/>
                <w:szCs w:val="16"/>
                <w:lang w:eastAsia="en-US"/>
              </w:rPr>
            </w:pPr>
            <w:r w:rsidRPr="00825FC8">
              <w:rPr>
                <w:rFonts w:eastAsiaTheme="minorHAnsi" w:cstheme="minorBidi"/>
                <w:sz w:val="16"/>
                <w:szCs w:val="16"/>
                <w:lang w:eastAsia="en-US"/>
              </w:rPr>
              <w:t>Turpmākie trīs gadi (</w:t>
            </w:r>
            <w:r w:rsidR="0045215E" w:rsidRPr="00825FC8">
              <w:rPr>
                <w:rFonts w:eastAsiaTheme="minorHAnsi" w:cstheme="minorBidi"/>
                <w:i/>
                <w:sz w:val="16"/>
                <w:szCs w:val="16"/>
                <w:lang w:eastAsia="en-US"/>
              </w:rPr>
              <w:t>euro</w:t>
            </w:r>
            <w:r w:rsidRPr="00825FC8">
              <w:rPr>
                <w:rFonts w:eastAsiaTheme="minorHAnsi" w:cstheme="minorBidi"/>
                <w:sz w:val="16"/>
                <w:szCs w:val="16"/>
                <w:lang w:eastAsia="en-US"/>
              </w:rPr>
              <w:t>)</w:t>
            </w:r>
          </w:p>
        </w:tc>
      </w:tr>
      <w:tr w:rsidR="00825FC8" w:rsidRPr="00825FC8" w14:paraId="78D0D639" w14:textId="77777777" w:rsidTr="00516118">
        <w:trPr>
          <w:cantSplit/>
        </w:trPr>
        <w:tc>
          <w:tcPr>
            <w:tcW w:w="1515" w:type="dxa"/>
            <w:vMerge/>
            <w:shd w:val="clear" w:color="auto" w:fill="auto"/>
            <w:vAlign w:val="center"/>
            <w:hideMark/>
          </w:tcPr>
          <w:p w14:paraId="7943A5F0" w14:textId="77777777" w:rsidR="00885514" w:rsidRPr="00825FC8" w:rsidRDefault="00885514" w:rsidP="00885514">
            <w:pPr>
              <w:jc w:val="both"/>
              <w:rPr>
                <w:rFonts w:eastAsiaTheme="minorHAnsi" w:cstheme="minorBidi"/>
                <w:sz w:val="16"/>
                <w:szCs w:val="16"/>
                <w:lang w:eastAsia="en-US"/>
              </w:rPr>
            </w:pPr>
          </w:p>
        </w:tc>
        <w:tc>
          <w:tcPr>
            <w:tcW w:w="2589" w:type="dxa"/>
            <w:gridSpan w:val="2"/>
            <w:vMerge/>
            <w:shd w:val="clear" w:color="auto" w:fill="auto"/>
            <w:vAlign w:val="center"/>
            <w:hideMark/>
          </w:tcPr>
          <w:p w14:paraId="3341D249" w14:textId="77777777" w:rsidR="00885514" w:rsidRPr="00825FC8" w:rsidRDefault="00885514" w:rsidP="00885514">
            <w:pPr>
              <w:jc w:val="both"/>
              <w:rPr>
                <w:rFonts w:eastAsiaTheme="minorHAnsi" w:cstheme="minorBidi"/>
                <w:sz w:val="16"/>
                <w:szCs w:val="16"/>
                <w:lang w:eastAsia="en-US"/>
              </w:rPr>
            </w:pPr>
          </w:p>
        </w:tc>
        <w:tc>
          <w:tcPr>
            <w:tcW w:w="2589" w:type="dxa"/>
            <w:gridSpan w:val="2"/>
            <w:shd w:val="clear" w:color="auto" w:fill="FFFFFF"/>
            <w:vAlign w:val="center"/>
            <w:hideMark/>
          </w:tcPr>
          <w:p w14:paraId="7F2D1C26" w14:textId="7AD5E4D6" w:rsidR="00885514" w:rsidRPr="00825FC8" w:rsidRDefault="00811D08" w:rsidP="009F572A">
            <w:pPr>
              <w:jc w:val="center"/>
              <w:rPr>
                <w:rFonts w:eastAsiaTheme="minorHAnsi" w:cstheme="minorBidi"/>
                <w:sz w:val="16"/>
                <w:szCs w:val="16"/>
                <w:lang w:eastAsia="en-US"/>
              </w:rPr>
            </w:pPr>
            <w:r w:rsidRPr="00825FC8">
              <w:rPr>
                <w:rFonts w:eastAsiaTheme="minorHAnsi" w:cstheme="minorBidi"/>
                <w:sz w:val="16"/>
                <w:szCs w:val="16"/>
                <w:lang w:eastAsia="en-US"/>
              </w:rPr>
              <w:t>202</w:t>
            </w:r>
            <w:r w:rsidR="00934E0C" w:rsidRPr="00825FC8">
              <w:rPr>
                <w:rFonts w:eastAsiaTheme="minorHAnsi" w:cstheme="minorBidi"/>
                <w:sz w:val="16"/>
                <w:szCs w:val="16"/>
                <w:lang w:eastAsia="en-US"/>
              </w:rPr>
              <w:t>2</w:t>
            </w:r>
          </w:p>
        </w:tc>
        <w:tc>
          <w:tcPr>
            <w:tcW w:w="2132" w:type="dxa"/>
            <w:gridSpan w:val="2"/>
            <w:shd w:val="clear" w:color="auto" w:fill="FFFFFF"/>
            <w:vAlign w:val="center"/>
            <w:hideMark/>
          </w:tcPr>
          <w:p w14:paraId="009DD1A6" w14:textId="1EE4EE7F" w:rsidR="00885514" w:rsidRPr="00825FC8" w:rsidRDefault="00811D08" w:rsidP="009F572A">
            <w:pPr>
              <w:jc w:val="center"/>
              <w:rPr>
                <w:rFonts w:eastAsiaTheme="minorHAnsi" w:cstheme="minorBidi"/>
                <w:sz w:val="16"/>
                <w:szCs w:val="16"/>
                <w:lang w:eastAsia="en-US"/>
              </w:rPr>
            </w:pPr>
            <w:r w:rsidRPr="00825FC8">
              <w:rPr>
                <w:rFonts w:eastAsiaTheme="minorHAnsi" w:cstheme="minorBidi"/>
                <w:sz w:val="16"/>
                <w:szCs w:val="16"/>
                <w:lang w:eastAsia="en-US"/>
              </w:rPr>
              <w:t>202</w:t>
            </w:r>
            <w:r w:rsidR="00934E0C" w:rsidRPr="00825FC8">
              <w:rPr>
                <w:rFonts w:eastAsiaTheme="minorHAnsi" w:cstheme="minorBidi"/>
                <w:sz w:val="16"/>
                <w:szCs w:val="16"/>
                <w:lang w:eastAsia="en-US"/>
              </w:rPr>
              <w:t>3</w:t>
            </w:r>
          </w:p>
        </w:tc>
        <w:tc>
          <w:tcPr>
            <w:tcW w:w="1239" w:type="dxa"/>
            <w:shd w:val="clear" w:color="auto" w:fill="FFFFFF"/>
            <w:vAlign w:val="center"/>
            <w:hideMark/>
          </w:tcPr>
          <w:p w14:paraId="418079E3" w14:textId="045D94A4" w:rsidR="00885514" w:rsidRPr="00825FC8" w:rsidRDefault="00811D08" w:rsidP="009F572A">
            <w:pPr>
              <w:jc w:val="center"/>
              <w:rPr>
                <w:rFonts w:eastAsiaTheme="minorHAnsi" w:cstheme="minorBidi"/>
                <w:sz w:val="16"/>
                <w:szCs w:val="16"/>
                <w:lang w:eastAsia="en-US"/>
              </w:rPr>
            </w:pPr>
            <w:r w:rsidRPr="00825FC8">
              <w:rPr>
                <w:rFonts w:eastAsiaTheme="minorHAnsi" w:cstheme="minorBidi"/>
                <w:sz w:val="16"/>
                <w:szCs w:val="16"/>
                <w:lang w:eastAsia="en-US"/>
              </w:rPr>
              <w:t>202</w:t>
            </w:r>
            <w:r w:rsidR="00934E0C" w:rsidRPr="00825FC8">
              <w:rPr>
                <w:rFonts w:eastAsiaTheme="minorHAnsi" w:cstheme="minorBidi"/>
                <w:sz w:val="16"/>
                <w:szCs w:val="16"/>
                <w:lang w:eastAsia="en-US"/>
              </w:rPr>
              <w:t>4</w:t>
            </w:r>
          </w:p>
        </w:tc>
      </w:tr>
      <w:tr w:rsidR="00825FC8" w:rsidRPr="00825FC8" w14:paraId="626AD487" w14:textId="77777777" w:rsidTr="00516118">
        <w:trPr>
          <w:cantSplit/>
        </w:trPr>
        <w:tc>
          <w:tcPr>
            <w:tcW w:w="1515" w:type="dxa"/>
            <w:vMerge/>
            <w:shd w:val="clear" w:color="auto" w:fill="auto"/>
            <w:vAlign w:val="center"/>
            <w:hideMark/>
          </w:tcPr>
          <w:p w14:paraId="7EB74F6D" w14:textId="77777777" w:rsidR="00885514" w:rsidRPr="00825FC8" w:rsidRDefault="00885514" w:rsidP="00885514">
            <w:pPr>
              <w:jc w:val="both"/>
              <w:rPr>
                <w:rFonts w:eastAsiaTheme="minorHAnsi" w:cstheme="minorBidi"/>
                <w:sz w:val="16"/>
                <w:szCs w:val="16"/>
                <w:lang w:eastAsia="en-US"/>
              </w:rPr>
            </w:pPr>
          </w:p>
        </w:tc>
        <w:tc>
          <w:tcPr>
            <w:tcW w:w="1218" w:type="dxa"/>
            <w:shd w:val="clear" w:color="auto" w:fill="FFFFFF"/>
            <w:vAlign w:val="center"/>
            <w:hideMark/>
          </w:tcPr>
          <w:p w14:paraId="596EF937" w14:textId="77777777"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saskaņā ar valsts budžetu kārtējam gadam</w:t>
            </w:r>
          </w:p>
        </w:tc>
        <w:tc>
          <w:tcPr>
            <w:tcW w:w="1371" w:type="dxa"/>
            <w:shd w:val="clear" w:color="auto" w:fill="FFFFFF"/>
            <w:vAlign w:val="center"/>
            <w:hideMark/>
          </w:tcPr>
          <w:p w14:paraId="115B8D1F" w14:textId="3D84433C"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izmaiņas kārtējā gadā, salīdzinot ar valsts budžetu kārtējam gadam</w:t>
            </w:r>
            <w:r w:rsidR="004D5FA0" w:rsidRPr="00825FC8">
              <w:rPr>
                <w:rFonts w:eastAsiaTheme="minorHAnsi" w:cstheme="minorBidi"/>
                <w:sz w:val="16"/>
                <w:szCs w:val="16"/>
                <w:lang w:eastAsia="en-US"/>
              </w:rPr>
              <w:t>*</w:t>
            </w:r>
          </w:p>
        </w:tc>
        <w:tc>
          <w:tcPr>
            <w:tcW w:w="1218" w:type="dxa"/>
            <w:shd w:val="clear" w:color="auto" w:fill="FFFFFF"/>
            <w:vAlign w:val="center"/>
            <w:hideMark/>
          </w:tcPr>
          <w:p w14:paraId="0041A573" w14:textId="77777777"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saskaņā ar vidēja termiņa budžeta ietvaru</w:t>
            </w:r>
          </w:p>
        </w:tc>
        <w:tc>
          <w:tcPr>
            <w:tcW w:w="1371" w:type="dxa"/>
            <w:shd w:val="clear" w:color="auto" w:fill="FFFFFF"/>
            <w:vAlign w:val="center"/>
            <w:hideMark/>
          </w:tcPr>
          <w:p w14:paraId="7174CF51" w14:textId="10578917"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 xml:space="preserve">izmaiņas, salīdzinot ar vidēja termiņa budžeta ietvaru </w:t>
            </w:r>
            <w:r w:rsidR="00811D08" w:rsidRPr="00825FC8">
              <w:rPr>
                <w:rFonts w:eastAsiaTheme="minorHAnsi" w:cstheme="minorBidi"/>
                <w:sz w:val="16"/>
                <w:szCs w:val="16"/>
                <w:lang w:eastAsia="en-US"/>
              </w:rPr>
              <w:t>202</w:t>
            </w:r>
            <w:r w:rsidR="00D87E6F" w:rsidRPr="00825FC8">
              <w:rPr>
                <w:rFonts w:eastAsiaTheme="minorHAnsi" w:cstheme="minorBidi"/>
                <w:sz w:val="16"/>
                <w:szCs w:val="16"/>
                <w:lang w:eastAsia="en-US"/>
              </w:rPr>
              <w:t>2</w:t>
            </w:r>
            <w:r w:rsidR="00811D08" w:rsidRPr="00825FC8">
              <w:rPr>
                <w:rFonts w:eastAsiaTheme="minorHAnsi" w:cstheme="minorBidi"/>
                <w:sz w:val="16"/>
                <w:szCs w:val="16"/>
                <w:lang w:eastAsia="en-US"/>
              </w:rPr>
              <w:t>.</w:t>
            </w:r>
            <w:r w:rsidRPr="00825FC8">
              <w:rPr>
                <w:rFonts w:eastAsiaTheme="minorHAnsi" w:cstheme="minorBidi"/>
                <w:sz w:val="16"/>
                <w:szCs w:val="16"/>
                <w:lang w:eastAsia="en-US"/>
              </w:rPr>
              <w:t xml:space="preserve"> gadam</w:t>
            </w:r>
          </w:p>
        </w:tc>
        <w:tc>
          <w:tcPr>
            <w:tcW w:w="1066" w:type="dxa"/>
            <w:shd w:val="clear" w:color="auto" w:fill="FFFFFF"/>
            <w:vAlign w:val="center"/>
            <w:hideMark/>
          </w:tcPr>
          <w:p w14:paraId="29424C84" w14:textId="77777777"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saskaņā ar vidēja termiņa budžeta ietvaru</w:t>
            </w:r>
          </w:p>
        </w:tc>
        <w:tc>
          <w:tcPr>
            <w:tcW w:w="1066" w:type="dxa"/>
            <w:shd w:val="clear" w:color="auto" w:fill="FFFFFF"/>
            <w:vAlign w:val="center"/>
            <w:hideMark/>
          </w:tcPr>
          <w:p w14:paraId="6F7E3001" w14:textId="01567FD5"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 xml:space="preserve">izmaiņas, salīdzinot ar vidēja termiņa budžeta ietvaru </w:t>
            </w:r>
            <w:r w:rsidR="00811D08" w:rsidRPr="00825FC8">
              <w:rPr>
                <w:rFonts w:eastAsiaTheme="minorHAnsi" w:cstheme="minorBidi"/>
                <w:sz w:val="16"/>
                <w:szCs w:val="16"/>
                <w:lang w:eastAsia="en-US"/>
              </w:rPr>
              <w:t>202</w:t>
            </w:r>
            <w:r w:rsidR="00D87E6F" w:rsidRPr="00825FC8">
              <w:rPr>
                <w:rFonts w:eastAsiaTheme="minorHAnsi" w:cstheme="minorBidi"/>
                <w:sz w:val="16"/>
                <w:szCs w:val="16"/>
                <w:lang w:eastAsia="en-US"/>
              </w:rPr>
              <w:t>3</w:t>
            </w:r>
            <w:r w:rsidR="00811D08" w:rsidRPr="00825FC8">
              <w:rPr>
                <w:rFonts w:eastAsiaTheme="minorHAnsi" w:cstheme="minorBidi"/>
                <w:sz w:val="16"/>
                <w:szCs w:val="16"/>
                <w:lang w:eastAsia="en-US"/>
              </w:rPr>
              <w:t>.</w:t>
            </w:r>
            <w:r w:rsidRPr="00825FC8">
              <w:rPr>
                <w:rFonts w:eastAsiaTheme="minorHAnsi" w:cstheme="minorBidi"/>
                <w:sz w:val="16"/>
                <w:szCs w:val="16"/>
                <w:lang w:eastAsia="en-US"/>
              </w:rPr>
              <w:t xml:space="preserve"> gadam</w:t>
            </w:r>
          </w:p>
        </w:tc>
        <w:tc>
          <w:tcPr>
            <w:tcW w:w="1239" w:type="dxa"/>
            <w:shd w:val="clear" w:color="auto" w:fill="FFFFFF"/>
            <w:vAlign w:val="center"/>
            <w:hideMark/>
          </w:tcPr>
          <w:p w14:paraId="57047E36" w14:textId="5942F226" w:rsidR="00885514" w:rsidRPr="00825FC8" w:rsidRDefault="00885514" w:rsidP="00375C0E">
            <w:pPr>
              <w:jc w:val="center"/>
              <w:rPr>
                <w:rFonts w:eastAsiaTheme="minorHAnsi" w:cstheme="minorBidi"/>
                <w:sz w:val="16"/>
                <w:szCs w:val="16"/>
                <w:lang w:eastAsia="en-US"/>
              </w:rPr>
            </w:pPr>
            <w:r w:rsidRPr="00825FC8">
              <w:rPr>
                <w:rFonts w:eastAsiaTheme="minorHAnsi" w:cstheme="minorBidi"/>
                <w:sz w:val="16"/>
                <w:szCs w:val="16"/>
                <w:lang w:eastAsia="en-US"/>
              </w:rPr>
              <w:t xml:space="preserve">izmaiņas, salīdzinot ar vidēja termiņa budžeta ietvaru </w:t>
            </w:r>
            <w:r w:rsidRPr="00825FC8">
              <w:rPr>
                <w:rFonts w:eastAsiaTheme="minorHAnsi" w:cstheme="minorBidi"/>
                <w:sz w:val="16"/>
                <w:szCs w:val="16"/>
                <w:lang w:eastAsia="en-US"/>
              </w:rPr>
              <w:br/>
            </w:r>
            <w:r w:rsidR="00811D08" w:rsidRPr="00825FC8">
              <w:rPr>
                <w:rFonts w:eastAsiaTheme="minorHAnsi" w:cstheme="minorBidi"/>
                <w:sz w:val="16"/>
                <w:szCs w:val="16"/>
                <w:lang w:eastAsia="en-US"/>
              </w:rPr>
              <w:t>202</w:t>
            </w:r>
            <w:r w:rsidR="005E76A6" w:rsidRPr="00825FC8">
              <w:rPr>
                <w:rFonts w:eastAsiaTheme="minorHAnsi" w:cstheme="minorBidi"/>
                <w:sz w:val="16"/>
                <w:szCs w:val="16"/>
                <w:lang w:eastAsia="en-US"/>
              </w:rPr>
              <w:t>3</w:t>
            </w:r>
            <w:r w:rsidR="00811D08" w:rsidRPr="00825FC8">
              <w:rPr>
                <w:rFonts w:eastAsiaTheme="minorHAnsi" w:cstheme="minorBidi"/>
                <w:sz w:val="16"/>
                <w:szCs w:val="16"/>
                <w:lang w:eastAsia="en-US"/>
              </w:rPr>
              <w:t>.</w:t>
            </w:r>
            <w:r w:rsidRPr="00825FC8">
              <w:rPr>
                <w:rFonts w:eastAsiaTheme="minorHAnsi" w:cstheme="minorBidi"/>
                <w:sz w:val="16"/>
                <w:szCs w:val="16"/>
                <w:lang w:eastAsia="en-US"/>
              </w:rPr>
              <w:t xml:space="preserve"> gadam</w:t>
            </w:r>
          </w:p>
        </w:tc>
      </w:tr>
      <w:tr w:rsidR="00825FC8" w:rsidRPr="00825FC8" w14:paraId="6756B327" w14:textId="77777777" w:rsidTr="00516118">
        <w:trPr>
          <w:cantSplit/>
        </w:trPr>
        <w:tc>
          <w:tcPr>
            <w:tcW w:w="1515" w:type="dxa"/>
            <w:shd w:val="clear" w:color="auto" w:fill="FFFFFF"/>
            <w:vAlign w:val="center"/>
            <w:hideMark/>
          </w:tcPr>
          <w:p w14:paraId="37682300"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1</w:t>
            </w:r>
          </w:p>
        </w:tc>
        <w:tc>
          <w:tcPr>
            <w:tcW w:w="1218" w:type="dxa"/>
            <w:shd w:val="clear" w:color="auto" w:fill="FFFFFF"/>
            <w:vAlign w:val="center"/>
            <w:hideMark/>
          </w:tcPr>
          <w:p w14:paraId="31137651"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2</w:t>
            </w:r>
          </w:p>
        </w:tc>
        <w:tc>
          <w:tcPr>
            <w:tcW w:w="1371" w:type="dxa"/>
            <w:shd w:val="clear" w:color="auto" w:fill="FFFFFF"/>
            <w:vAlign w:val="center"/>
            <w:hideMark/>
          </w:tcPr>
          <w:p w14:paraId="52AEC78F"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3</w:t>
            </w:r>
          </w:p>
        </w:tc>
        <w:tc>
          <w:tcPr>
            <w:tcW w:w="1218" w:type="dxa"/>
            <w:shd w:val="clear" w:color="auto" w:fill="FFFFFF"/>
            <w:vAlign w:val="center"/>
            <w:hideMark/>
          </w:tcPr>
          <w:p w14:paraId="162A9364"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4</w:t>
            </w:r>
          </w:p>
        </w:tc>
        <w:tc>
          <w:tcPr>
            <w:tcW w:w="1371" w:type="dxa"/>
            <w:shd w:val="clear" w:color="auto" w:fill="FFFFFF"/>
            <w:vAlign w:val="center"/>
            <w:hideMark/>
          </w:tcPr>
          <w:p w14:paraId="7A652004"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5</w:t>
            </w:r>
          </w:p>
        </w:tc>
        <w:tc>
          <w:tcPr>
            <w:tcW w:w="1066" w:type="dxa"/>
            <w:shd w:val="clear" w:color="auto" w:fill="FFFFFF"/>
            <w:vAlign w:val="center"/>
            <w:hideMark/>
          </w:tcPr>
          <w:p w14:paraId="148A3E9B"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6</w:t>
            </w:r>
          </w:p>
        </w:tc>
        <w:tc>
          <w:tcPr>
            <w:tcW w:w="1066" w:type="dxa"/>
            <w:shd w:val="clear" w:color="auto" w:fill="FFFFFF"/>
            <w:vAlign w:val="center"/>
            <w:hideMark/>
          </w:tcPr>
          <w:p w14:paraId="16906B3F"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7</w:t>
            </w:r>
          </w:p>
        </w:tc>
        <w:tc>
          <w:tcPr>
            <w:tcW w:w="1239" w:type="dxa"/>
            <w:shd w:val="clear" w:color="auto" w:fill="FFFFFF"/>
            <w:vAlign w:val="center"/>
            <w:hideMark/>
          </w:tcPr>
          <w:p w14:paraId="3D6F066F" w14:textId="77777777" w:rsidR="00885514" w:rsidRPr="00825FC8" w:rsidRDefault="00885514" w:rsidP="00F30921">
            <w:pPr>
              <w:jc w:val="center"/>
              <w:rPr>
                <w:rFonts w:eastAsiaTheme="minorHAnsi" w:cstheme="minorBidi"/>
                <w:sz w:val="16"/>
                <w:szCs w:val="16"/>
                <w:lang w:eastAsia="en-US"/>
              </w:rPr>
            </w:pPr>
            <w:r w:rsidRPr="00825FC8">
              <w:rPr>
                <w:rFonts w:eastAsiaTheme="minorHAnsi" w:cstheme="minorBidi"/>
                <w:sz w:val="16"/>
                <w:szCs w:val="16"/>
                <w:lang w:eastAsia="en-US"/>
              </w:rPr>
              <w:t>8</w:t>
            </w:r>
          </w:p>
        </w:tc>
      </w:tr>
      <w:tr w:rsidR="00825FC8" w:rsidRPr="00825FC8" w14:paraId="1F149E20" w14:textId="77777777" w:rsidTr="00516118">
        <w:trPr>
          <w:cantSplit/>
        </w:trPr>
        <w:tc>
          <w:tcPr>
            <w:tcW w:w="1515" w:type="dxa"/>
            <w:shd w:val="clear" w:color="auto" w:fill="FFFFFF"/>
            <w:hideMark/>
          </w:tcPr>
          <w:p w14:paraId="0423CF6A"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1. Budžeta ieņēmumi</w:t>
            </w:r>
          </w:p>
        </w:tc>
        <w:tc>
          <w:tcPr>
            <w:tcW w:w="1218" w:type="dxa"/>
            <w:shd w:val="clear" w:color="auto" w:fill="FFFFFF"/>
            <w:vAlign w:val="center"/>
            <w:hideMark/>
          </w:tcPr>
          <w:p w14:paraId="6CD8CCB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FFFFFF"/>
            <w:vAlign w:val="center"/>
            <w:hideMark/>
          </w:tcPr>
          <w:p w14:paraId="5432F6C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FFFFFF"/>
            <w:vAlign w:val="center"/>
            <w:hideMark/>
          </w:tcPr>
          <w:p w14:paraId="4231154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FFFFFF"/>
            <w:vAlign w:val="center"/>
            <w:hideMark/>
          </w:tcPr>
          <w:p w14:paraId="7009B2A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FFFFFF"/>
            <w:vAlign w:val="center"/>
            <w:hideMark/>
          </w:tcPr>
          <w:p w14:paraId="3F17D8E2"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FFFFFF"/>
            <w:vAlign w:val="center"/>
            <w:hideMark/>
          </w:tcPr>
          <w:p w14:paraId="10E827B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FFFFFF"/>
            <w:vAlign w:val="center"/>
            <w:hideMark/>
          </w:tcPr>
          <w:p w14:paraId="3547D073"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190BE371" w14:textId="77777777" w:rsidTr="00516118">
        <w:trPr>
          <w:cantSplit/>
        </w:trPr>
        <w:tc>
          <w:tcPr>
            <w:tcW w:w="1515" w:type="dxa"/>
            <w:shd w:val="clear" w:color="auto" w:fill="auto"/>
            <w:hideMark/>
          </w:tcPr>
          <w:p w14:paraId="7502FD00"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1.1. valsts pamatbudžets, tai skaitā ieņēmumi no maksas pakalpojumiem un citi pašu ieņēmumi</w:t>
            </w:r>
          </w:p>
        </w:tc>
        <w:tc>
          <w:tcPr>
            <w:tcW w:w="1218" w:type="dxa"/>
            <w:shd w:val="clear" w:color="auto" w:fill="auto"/>
            <w:vAlign w:val="center"/>
            <w:hideMark/>
          </w:tcPr>
          <w:p w14:paraId="0EB0DED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3262937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auto"/>
            <w:vAlign w:val="center"/>
            <w:hideMark/>
          </w:tcPr>
          <w:p w14:paraId="0AC0D5A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22D19787"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5DAED56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173ED06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5FCEBBE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6B4E88A3" w14:textId="77777777" w:rsidTr="00516118">
        <w:trPr>
          <w:cantSplit/>
        </w:trPr>
        <w:tc>
          <w:tcPr>
            <w:tcW w:w="1515" w:type="dxa"/>
            <w:shd w:val="clear" w:color="auto" w:fill="auto"/>
            <w:hideMark/>
          </w:tcPr>
          <w:p w14:paraId="78211AF2"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1.2. valsts speciālais budžets</w:t>
            </w:r>
          </w:p>
        </w:tc>
        <w:tc>
          <w:tcPr>
            <w:tcW w:w="1218" w:type="dxa"/>
            <w:shd w:val="clear" w:color="auto" w:fill="auto"/>
            <w:vAlign w:val="center"/>
            <w:hideMark/>
          </w:tcPr>
          <w:p w14:paraId="2913BF42"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759D1ED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auto"/>
            <w:vAlign w:val="center"/>
            <w:hideMark/>
          </w:tcPr>
          <w:p w14:paraId="27B606F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0D35DCD1"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6665026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4C1A50B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289806E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0A375DDF" w14:textId="77777777" w:rsidTr="00516118">
        <w:trPr>
          <w:cantSplit/>
        </w:trPr>
        <w:tc>
          <w:tcPr>
            <w:tcW w:w="1515" w:type="dxa"/>
            <w:shd w:val="clear" w:color="auto" w:fill="auto"/>
            <w:hideMark/>
          </w:tcPr>
          <w:p w14:paraId="3EDCCD8D"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1.3. pašvaldību budžets</w:t>
            </w:r>
          </w:p>
        </w:tc>
        <w:tc>
          <w:tcPr>
            <w:tcW w:w="1218" w:type="dxa"/>
            <w:shd w:val="clear" w:color="auto" w:fill="auto"/>
            <w:vAlign w:val="center"/>
            <w:hideMark/>
          </w:tcPr>
          <w:p w14:paraId="37C6694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51C16E1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auto"/>
            <w:vAlign w:val="center"/>
            <w:hideMark/>
          </w:tcPr>
          <w:p w14:paraId="04A9ED2F"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05FCE2B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51925AA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76AB854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2D254791"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1F479D0B" w14:textId="77777777" w:rsidTr="00516118">
        <w:trPr>
          <w:cantSplit/>
        </w:trPr>
        <w:tc>
          <w:tcPr>
            <w:tcW w:w="1515" w:type="dxa"/>
            <w:shd w:val="clear" w:color="auto" w:fill="auto"/>
            <w:hideMark/>
          </w:tcPr>
          <w:p w14:paraId="0918DF79"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2. Budžeta izdevumi</w:t>
            </w:r>
          </w:p>
        </w:tc>
        <w:tc>
          <w:tcPr>
            <w:tcW w:w="1218" w:type="dxa"/>
            <w:shd w:val="clear" w:color="auto" w:fill="auto"/>
            <w:vAlign w:val="center"/>
            <w:hideMark/>
          </w:tcPr>
          <w:p w14:paraId="1A41E5E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6D1E54B7" w14:textId="79DE471D" w:rsidR="00885514" w:rsidRPr="00825FC8" w:rsidRDefault="009E7AD1" w:rsidP="004C19DC">
            <w:pPr>
              <w:jc w:val="right"/>
              <w:rPr>
                <w:bCs/>
                <w:sz w:val="20"/>
                <w:szCs w:val="20"/>
              </w:rPr>
            </w:pPr>
            <w:r w:rsidRPr="00825FC8">
              <w:rPr>
                <w:bCs/>
                <w:sz w:val="20"/>
                <w:szCs w:val="20"/>
              </w:rPr>
              <w:t>312 320</w:t>
            </w:r>
          </w:p>
        </w:tc>
        <w:tc>
          <w:tcPr>
            <w:tcW w:w="1218" w:type="dxa"/>
            <w:shd w:val="clear" w:color="auto" w:fill="auto"/>
            <w:vAlign w:val="center"/>
            <w:hideMark/>
          </w:tcPr>
          <w:p w14:paraId="3FA4E35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33B2925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64A4F89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27E24CD1"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2FA9C717"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57BD8F36" w14:textId="77777777" w:rsidTr="00516118">
        <w:trPr>
          <w:cantSplit/>
        </w:trPr>
        <w:tc>
          <w:tcPr>
            <w:tcW w:w="1515" w:type="dxa"/>
            <w:shd w:val="clear" w:color="auto" w:fill="auto"/>
            <w:hideMark/>
          </w:tcPr>
          <w:p w14:paraId="196060C0"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2.1. valsts pamatbudžets</w:t>
            </w:r>
          </w:p>
        </w:tc>
        <w:tc>
          <w:tcPr>
            <w:tcW w:w="1218" w:type="dxa"/>
            <w:shd w:val="clear" w:color="auto" w:fill="auto"/>
            <w:vAlign w:val="center"/>
            <w:hideMark/>
          </w:tcPr>
          <w:p w14:paraId="216C709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5828AF64" w14:textId="370BC91B" w:rsidR="00885514" w:rsidRPr="00825FC8" w:rsidRDefault="009E7AD1" w:rsidP="00460335">
            <w:pPr>
              <w:jc w:val="right"/>
              <w:rPr>
                <w:bCs/>
                <w:sz w:val="20"/>
                <w:szCs w:val="20"/>
              </w:rPr>
            </w:pPr>
            <w:r w:rsidRPr="00825FC8">
              <w:rPr>
                <w:bCs/>
                <w:sz w:val="20"/>
                <w:szCs w:val="20"/>
              </w:rPr>
              <w:t>312 320</w:t>
            </w:r>
          </w:p>
        </w:tc>
        <w:tc>
          <w:tcPr>
            <w:tcW w:w="1218" w:type="dxa"/>
            <w:shd w:val="clear" w:color="auto" w:fill="auto"/>
            <w:vAlign w:val="center"/>
            <w:hideMark/>
          </w:tcPr>
          <w:p w14:paraId="2BDD7B4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6AD008F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49F5F82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7C3EB295"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0C55EEF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3F51C50A" w14:textId="77777777" w:rsidTr="00516118">
        <w:trPr>
          <w:cantSplit/>
        </w:trPr>
        <w:tc>
          <w:tcPr>
            <w:tcW w:w="1515" w:type="dxa"/>
            <w:shd w:val="clear" w:color="auto" w:fill="auto"/>
            <w:hideMark/>
          </w:tcPr>
          <w:p w14:paraId="1E2BF2C5"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2.2. valsts speciālais budžets</w:t>
            </w:r>
          </w:p>
        </w:tc>
        <w:tc>
          <w:tcPr>
            <w:tcW w:w="1218" w:type="dxa"/>
            <w:shd w:val="clear" w:color="auto" w:fill="auto"/>
            <w:vAlign w:val="center"/>
            <w:hideMark/>
          </w:tcPr>
          <w:p w14:paraId="170D357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70C94ED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auto"/>
            <w:vAlign w:val="center"/>
            <w:hideMark/>
          </w:tcPr>
          <w:p w14:paraId="75E2F09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1E3594C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08992C67"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77490EE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48CEC46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3124DD59" w14:textId="77777777" w:rsidTr="00516118">
        <w:trPr>
          <w:cantSplit/>
        </w:trPr>
        <w:tc>
          <w:tcPr>
            <w:tcW w:w="1515" w:type="dxa"/>
            <w:shd w:val="clear" w:color="auto" w:fill="auto"/>
            <w:hideMark/>
          </w:tcPr>
          <w:p w14:paraId="3F00E2C1"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2.3. pašvaldību budžets</w:t>
            </w:r>
          </w:p>
        </w:tc>
        <w:tc>
          <w:tcPr>
            <w:tcW w:w="1218" w:type="dxa"/>
            <w:shd w:val="clear" w:color="auto" w:fill="auto"/>
            <w:vAlign w:val="center"/>
            <w:hideMark/>
          </w:tcPr>
          <w:p w14:paraId="2007E2F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699A6023" w14:textId="02265D81" w:rsidR="00885514" w:rsidRPr="00825FC8" w:rsidRDefault="00B3049C" w:rsidP="004C19DC">
            <w:pPr>
              <w:jc w:val="right"/>
              <w:rPr>
                <w:bCs/>
                <w:sz w:val="20"/>
                <w:szCs w:val="20"/>
              </w:rPr>
            </w:pPr>
            <w:r w:rsidRPr="00825FC8">
              <w:rPr>
                <w:bCs/>
                <w:sz w:val="20"/>
                <w:szCs w:val="20"/>
              </w:rPr>
              <w:t>0</w:t>
            </w:r>
          </w:p>
        </w:tc>
        <w:tc>
          <w:tcPr>
            <w:tcW w:w="1218" w:type="dxa"/>
            <w:shd w:val="clear" w:color="auto" w:fill="auto"/>
            <w:vAlign w:val="center"/>
            <w:hideMark/>
          </w:tcPr>
          <w:p w14:paraId="6267131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2753C37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537EF7A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48EFEE27"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37902D41"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67631F22" w14:textId="77777777" w:rsidTr="00516118">
        <w:trPr>
          <w:cantSplit/>
        </w:trPr>
        <w:tc>
          <w:tcPr>
            <w:tcW w:w="1515" w:type="dxa"/>
            <w:shd w:val="clear" w:color="auto" w:fill="auto"/>
            <w:hideMark/>
          </w:tcPr>
          <w:p w14:paraId="6E4C64CA"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3. Finansiālā ietekme</w:t>
            </w:r>
          </w:p>
        </w:tc>
        <w:tc>
          <w:tcPr>
            <w:tcW w:w="1218" w:type="dxa"/>
            <w:shd w:val="clear" w:color="auto" w:fill="auto"/>
            <w:vAlign w:val="center"/>
            <w:hideMark/>
          </w:tcPr>
          <w:p w14:paraId="03C381D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7E58AA4F" w14:textId="52A52E3B" w:rsidR="00885514" w:rsidRPr="00825FC8" w:rsidRDefault="00D87E6F" w:rsidP="00F30921">
            <w:pPr>
              <w:jc w:val="right"/>
              <w:rPr>
                <w:rFonts w:eastAsiaTheme="minorHAnsi" w:cstheme="minorBidi"/>
                <w:sz w:val="20"/>
                <w:szCs w:val="20"/>
                <w:lang w:eastAsia="en-US"/>
              </w:rPr>
            </w:pPr>
            <w:r w:rsidRPr="00825FC8">
              <w:rPr>
                <w:bCs/>
                <w:sz w:val="20"/>
                <w:szCs w:val="20"/>
              </w:rPr>
              <w:t>-</w:t>
            </w:r>
            <w:r w:rsidR="009E7AD1" w:rsidRPr="00825FC8">
              <w:rPr>
                <w:bCs/>
                <w:sz w:val="20"/>
                <w:szCs w:val="20"/>
              </w:rPr>
              <w:t>312 320</w:t>
            </w:r>
          </w:p>
        </w:tc>
        <w:tc>
          <w:tcPr>
            <w:tcW w:w="1218" w:type="dxa"/>
            <w:shd w:val="clear" w:color="auto" w:fill="auto"/>
            <w:vAlign w:val="center"/>
            <w:hideMark/>
          </w:tcPr>
          <w:p w14:paraId="2A8A820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1EABEF3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4503BC5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3B5CF60D"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78581D25"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4E291999" w14:textId="77777777" w:rsidTr="00516118">
        <w:trPr>
          <w:cantSplit/>
        </w:trPr>
        <w:tc>
          <w:tcPr>
            <w:tcW w:w="1515" w:type="dxa"/>
            <w:shd w:val="clear" w:color="auto" w:fill="auto"/>
            <w:hideMark/>
          </w:tcPr>
          <w:p w14:paraId="60AE3D95"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3.1. valsts pamatbudžets</w:t>
            </w:r>
          </w:p>
        </w:tc>
        <w:tc>
          <w:tcPr>
            <w:tcW w:w="1218" w:type="dxa"/>
            <w:shd w:val="clear" w:color="auto" w:fill="auto"/>
            <w:vAlign w:val="center"/>
            <w:hideMark/>
          </w:tcPr>
          <w:p w14:paraId="177D5BF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3F3ED11A" w14:textId="51B7E7AE" w:rsidR="00885514" w:rsidRPr="00825FC8" w:rsidRDefault="00D87E6F" w:rsidP="00F30921">
            <w:pPr>
              <w:jc w:val="right"/>
              <w:rPr>
                <w:rFonts w:eastAsiaTheme="minorHAnsi" w:cstheme="minorBidi"/>
                <w:sz w:val="20"/>
                <w:szCs w:val="20"/>
                <w:lang w:eastAsia="en-US"/>
              </w:rPr>
            </w:pPr>
            <w:r w:rsidRPr="00825FC8">
              <w:rPr>
                <w:bCs/>
                <w:sz w:val="20"/>
                <w:szCs w:val="20"/>
              </w:rPr>
              <w:t>-</w:t>
            </w:r>
            <w:r w:rsidR="009E7AD1" w:rsidRPr="00825FC8">
              <w:rPr>
                <w:bCs/>
                <w:sz w:val="20"/>
                <w:szCs w:val="20"/>
              </w:rPr>
              <w:t>312 320</w:t>
            </w:r>
          </w:p>
        </w:tc>
        <w:tc>
          <w:tcPr>
            <w:tcW w:w="1218" w:type="dxa"/>
            <w:shd w:val="clear" w:color="auto" w:fill="auto"/>
            <w:vAlign w:val="center"/>
            <w:hideMark/>
          </w:tcPr>
          <w:p w14:paraId="67E8A44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62F2AC07"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12BE74E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2F971B55"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530050D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7183B4E3" w14:textId="77777777" w:rsidTr="00516118">
        <w:trPr>
          <w:cantSplit/>
        </w:trPr>
        <w:tc>
          <w:tcPr>
            <w:tcW w:w="1515" w:type="dxa"/>
            <w:shd w:val="clear" w:color="auto" w:fill="auto"/>
            <w:hideMark/>
          </w:tcPr>
          <w:p w14:paraId="19C7DADA"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3.2. speciālais budžets</w:t>
            </w:r>
          </w:p>
        </w:tc>
        <w:tc>
          <w:tcPr>
            <w:tcW w:w="1218" w:type="dxa"/>
            <w:shd w:val="clear" w:color="auto" w:fill="auto"/>
            <w:vAlign w:val="center"/>
            <w:hideMark/>
          </w:tcPr>
          <w:p w14:paraId="23238FA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2649A9F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shd w:val="clear" w:color="auto" w:fill="auto"/>
            <w:vAlign w:val="center"/>
            <w:hideMark/>
          </w:tcPr>
          <w:p w14:paraId="730A5573"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6E7D0C1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4E46D81A"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0EDD4B5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5AA11A8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0273842C" w14:textId="77777777" w:rsidTr="00516118">
        <w:trPr>
          <w:cantSplit/>
        </w:trPr>
        <w:tc>
          <w:tcPr>
            <w:tcW w:w="1515" w:type="dxa"/>
            <w:shd w:val="clear" w:color="auto" w:fill="auto"/>
            <w:hideMark/>
          </w:tcPr>
          <w:p w14:paraId="64BF4E5E"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3.3. pašvaldību budžets</w:t>
            </w:r>
          </w:p>
        </w:tc>
        <w:tc>
          <w:tcPr>
            <w:tcW w:w="1218" w:type="dxa"/>
            <w:shd w:val="clear" w:color="auto" w:fill="auto"/>
            <w:vAlign w:val="center"/>
            <w:hideMark/>
          </w:tcPr>
          <w:p w14:paraId="1A2E473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7C6DCA82" w14:textId="10107A68" w:rsidR="00885514" w:rsidRPr="00825FC8" w:rsidRDefault="00B3049C" w:rsidP="00F30921">
            <w:pPr>
              <w:jc w:val="right"/>
              <w:rPr>
                <w:rFonts w:eastAsiaTheme="minorHAnsi" w:cstheme="minorBidi"/>
                <w:sz w:val="20"/>
                <w:szCs w:val="20"/>
                <w:lang w:eastAsia="en-US"/>
              </w:rPr>
            </w:pPr>
            <w:r w:rsidRPr="00825FC8">
              <w:rPr>
                <w:bCs/>
                <w:sz w:val="20"/>
                <w:szCs w:val="20"/>
              </w:rPr>
              <w:t>0</w:t>
            </w:r>
          </w:p>
        </w:tc>
        <w:tc>
          <w:tcPr>
            <w:tcW w:w="1218" w:type="dxa"/>
            <w:shd w:val="clear" w:color="auto" w:fill="auto"/>
            <w:vAlign w:val="center"/>
            <w:hideMark/>
          </w:tcPr>
          <w:p w14:paraId="1AFEE7C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400E44D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7E749305"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5939249F"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003EC0B5"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3C7EBC4A" w14:textId="77777777" w:rsidTr="00516118">
        <w:trPr>
          <w:cantSplit/>
        </w:trPr>
        <w:tc>
          <w:tcPr>
            <w:tcW w:w="1515" w:type="dxa"/>
            <w:shd w:val="clear" w:color="auto" w:fill="auto"/>
            <w:hideMark/>
          </w:tcPr>
          <w:p w14:paraId="24A24A1A"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4. Finanšu līdzekļi papildu izdevumu finansēšanai (kompensējošu izdevumu samazinājumu norāda ar "+" zīmi)</w:t>
            </w:r>
          </w:p>
        </w:tc>
        <w:tc>
          <w:tcPr>
            <w:tcW w:w="1218" w:type="dxa"/>
            <w:shd w:val="clear" w:color="auto" w:fill="auto"/>
            <w:vAlign w:val="center"/>
            <w:hideMark/>
          </w:tcPr>
          <w:p w14:paraId="01019F8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3652AF30" w14:textId="08DA0AAE" w:rsidR="00885514" w:rsidRPr="00825FC8" w:rsidRDefault="009E7AD1" w:rsidP="00F30921">
            <w:pPr>
              <w:jc w:val="right"/>
              <w:rPr>
                <w:rFonts w:eastAsiaTheme="minorHAnsi" w:cstheme="minorBidi"/>
                <w:sz w:val="20"/>
                <w:szCs w:val="20"/>
                <w:lang w:eastAsia="en-US"/>
              </w:rPr>
            </w:pPr>
            <w:r w:rsidRPr="00825FC8">
              <w:rPr>
                <w:bCs/>
                <w:sz w:val="20"/>
                <w:szCs w:val="20"/>
              </w:rPr>
              <w:t>312 320</w:t>
            </w:r>
          </w:p>
        </w:tc>
        <w:tc>
          <w:tcPr>
            <w:tcW w:w="1218" w:type="dxa"/>
            <w:shd w:val="clear" w:color="auto" w:fill="auto"/>
            <w:vAlign w:val="center"/>
            <w:hideMark/>
          </w:tcPr>
          <w:p w14:paraId="1D17A72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371" w:type="dxa"/>
            <w:shd w:val="clear" w:color="auto" w:fill="auto"/>
            <w:vAlign w:val="center"/>
            <w:hideMark/>
          </w:tcPr>
          <w:p w14:paraId="2F7487A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24847DD0"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shd w:val="clear" w:color="auto" w:fill="auto"/>
            <w:vAlign w:val="center"/>
            <w:hideMark/>
          </w:tcPr>
          <w:p w14:paraId="09DB693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4160E003"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4462D259" w14:textId="77777777" w:rsidTr="00516118">
        <w:trPr>
          <w:cantSplit/>
        </w:trPr>
        <w:tc>
          <w:tcPr>
            <w:tcW w:w="1515" w:type="dxa"/>
            <w:shd w:val="clear" w:color="auto" w:fill="auto"/>
            <w:hideMark/>
          </w:tcPr>
          <w:p w14:paraId="650A3D9E"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5. Precizēta finansiālā ietekme</w:t>
            </w:r>
          </w:p>
        </w:tc>
        <w:tc>
          <w:tcPr>
            <w:tcW w:w="1218" w:type="dxa"/>
            <w:vMerge w:val="restart"/>
            <w:shd w:val="clear" w:color="auto" w:fill="auto"/>
            <w:vAlign w:val="center"/>
            <w:hideMark/>
          </w:tcPr>
          <w:p w14:paraId="54EAD553"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x</w:t>
            </w:r>
          </w:p>
        </w:tc>
        <w:tc>
          <w:tcPr>
            <w:tcW w:w="1371" w:type="dxa"/>
            <w:shd w:val="clear" w:color="auto" w:fill="auto"/>
            <w:vAlign w:val="center"/>
            <w:hideMark/>
          </w:tcPr>
          <w:p w14:paraId="5006C5D1" w14:textId="4CECF670" w:rsidR="00885514" w:rsidRPr="00825FC8" w:rsidRDefault="00B3049C" w:rsidP="00F30921">
            <w:pPr>
              <w:jc w:val="right"/>
              <w:rPr>
                <w:rFonts w:eastAsiaTheme="minorHAnsi" w:cstheme="minorBidi"/>
                <w:sz w:val="20"/>
                <w:szCs w:val="20"/>
                <w:lang w:eastAsia="en-US"/>
              </w:rPr>
            </w:pPr>
            <w:r w:rsidRPr="00825FC8">
              <w:rPr>
                <w:bCs/>
                <w:sz w:val="20"/>
                <w:szCs w:val="20"/>
              </w:rPr>
              <w:t>0</w:t>
            </w:r>
          </w:p>
        </w:tc>
        <w:tc>
          <w:tcPr>
            <w:tcW w:w="1218" w:type="dxa"/>
            <w:vMerge w:val="restart"/>
            <w:shd w:val="clear" w:color="auto" w:fill="auto"/>
            <w:vAlign w:val="center"/>
            <w:hideMark/>
          </w:tcPr>
          <w:p w14:paraId="2EDFB5A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x</w:t>
            </w:r>
          </w:p>
        </w:tc>
        <w:tc>
          <w:tcPr>
            <w:tcW w:w="1371" w:type="dxa"/>
            <w:shd w:val="clear" w:color="auto" w:fill="auto"/>
            <w:vAlign w:val="center"/>
            <w:hideMark/>
          </w:tcPr>
          <w:p w14:paraId="5748692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vMerge w:val="restart"/>
            <w:shd w:val="clear" w:color="auto" w:fill="auto"/>
            <w:vAlign w:val="center"/>
            <w:hideMark/>
          </w:tcPr>
          <w:p w14:paraId="0FF72B28"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x</w:t>
            </w:r>
          </w:p>
        </w:tc>
        <w:tc>
          <w:tcPr>
            <w:tcW w:w="1066" w:type="dxa"/>
            <w:shd w:val="clear" w:color="auto" w:fill="auto"/>
            <w:vAlign w:val="center"/>
            <w:hideMark/>
          </w:tcPr>
          <w:p w14:paraId="183F482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4EC05AA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07A811A8" w14:textId="77777777" w:rsidTr="00516118">
        <w:trPr>
          <w:cantSplit/>
        </w:trPr>
        <w:tc>
          <w:tcPr>
            <w:tcW w:w="1515" w:type="dxa"/>
            <w:shd w:val="clear" w:color="auto" w:fill="auto"/>
            <w:hideMark/>
          </w:tcPr>
          <w:p w14:paraId="1E2C68B7"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5.1. valsts pamatbudžets</w:t>
            </w:r>
          </w:p>
        </w:tc>
        <w:tc>
          <w:tcPr>
            <w:tcW w:w="1218" w:type="dxa"/>
            <w:vMerge/>
            <w:shd w:val="clear" w:color="auto" w:fill="auto"/>
            <w:vAlign w:val="center"/>
            <w:hideMark/>
          </w:tcPr>
          <w:p w14:paraId="28B9F9CA"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01B094E6" w14:textId="7A1C0B8C" w:rsidR="00885514" w:rsidRPr="00825FC8" w:rsidRDefault="008C6C08"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vMerge/>
            <w:shd w:val="clear" w:color="auto" w:fill="auto"/>
            <w:vAlign w:val="center"/>
            <w:hideMark/>
          </w:tcPr>
          <w:p w14:paraId="6E4CFF36"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1AE7BBA6"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vMerge/>
            <w:shd w:val="clear" w:color="auto" w:fill="auto"/>
            <w:vAlign w:val="center"/>
            <w:hideMark/>
          </w:tcPr>
          <w:p w14:paraId="4716919E" w14:textId="77777777" w:rsidR="00885514" w:rsidRPr="00825FC8"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47DD2AB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0ABCCA43"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15D0AE9D" w14:textId="77777777" w:rsidTr="00516118">
        <w:trPr>
          <w:cantSplit/>
        </w:trPr>
        <w:tc>
          <w:tcPr>
            <w:tcW w:w="1515" w:type="dxa"/>
            <w:shd w:val="clear" w:color="auto" w:fill="auto"/>
            <w:hideMark/>
          </w:tcPr>
          <w:p w14:paraId="55BA1F0A"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5.2. speciālais budžets</w:t>
            </w:r>
          </w:p>
        </w:tc>
        <w:tc>
          <w:tcPr>
            <w:tcW w:w="1218" w:type="dxa"/>
            <w:vMerge/>
            <w:shd w:val="clear" w:color="auto" w:fill="auto"/>
            <w:vAlign w:val="center"/>
            <w:hideMark/>
          </w:tcPr>
          <w:p w14:paraId="6045A7A2"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6B3CEC5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18" w:type="dxa"/>
            <w:vMerge/>
            <w:shd w:val="clear" w:color="auto" w:fill="auto"/>
            <w:vAlign w:val="center"/>
            <w:hideMark/>
          </w:tcPr>
          <w:p w14:paraId="1B445E97"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28ED8054"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vMerge/>
            <w:shd w:val="clear" w:color="auto" w:fill="auto"/>
            <w:vAlign w:val="center"/>
            <w:hideMark/>
          </w:tcPr>
          <w:p w14:paraId="3A60D635" w14:textId="77777777" w:rsidR="00885514" w:rsidRPr="00825FC8"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300671DE"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024B177C"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48D88F36" w14:textId="77777777" w:rsidTr="00516118">
        <w:trPr>
          <w:cantSplit/>
        </w:trPr>
        <w:tc>
          <w:tcPr>
            <w:tcW w:w="1515" w:type="dxa"/>
            <w:shd w:val="clear" w:color="auto" w:fill="auto"/>
            <w:hideMark/>
          </w:tcPr>
          <w:p w14:paraId="01C78A38"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lastRenderedPageBreak/>
              <w:t>5.3. pašvaldību budžets</w:t>
            </w:r>
          </w:p>
        </w:tc>
        <w:tc>
          <w:tcPr>
            <w:tcW w:w="1218" w:type="dxa"/>
            <w:vMerge/>
            <w:shd w:val="clear" w:color="auto" w:fill="auto"/>
            <w:vAlign w:val="center"/>
            <w:hideMark/>
          </w:tcPr>
          <w:p w14:paraId="5F0E2DE8"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3E03F387" w14:textId="435E2C74" w:rsidR="00885514" w:rsidRPr="00825FC8" w:rsidRDefault="00B3049C" w:rsidP="00F30921">
            <w:pPr>
              <w:jc w:val="right"/>
              <w:rPr>
                <w:rFonts w:eastAsiaTheme="minorHAnsi" w:cstheme="minorBidi"/>
                <w:sz w:val="20"/>
                <w:szCs w:val="20"/>
                <w:lang w:eastAsia="en-US"/>
              </w:rPr>
            </w:pPr>
            <w:r w:rsidRPr="00825FC8">
              <w:rPr>
                <w:bCs/>
                <w:sz w:val="20"/>
                <w:szCs w:val="20"/>
              </w:rPr>
              <w:t>0</w:t>
            </w:r>
          </w:p>
        </w:tc>
        <w:tc>
          <w:tcPr>
            <w:tcW w:w="1218" w:type="dxa"/>
            <w:vMerge/>
            <w:shd w:val="clear" w:color="auto" w:fill="auto"/>
            <w:vAlign w:val="center"/>
            <w:hideMark/>
          </w:tcPr>
          <w:p w14:paraId="38A24F25" w14:textId="77777777" w:rsidR="00885514" w:rsidRPr="00825FC8" w:rsidRDefault="00885514" w:rsidP="00F30921">
            <w:pPr>
              <w:jc w:val="right"/>
              <w:rPr>
                <w:rFonts w:eastAsiaTheme="minorHAnsi" w:cstheme="minorBidi"/>
                <w:sz w:val="20"/>
                <w:szCs w:val="20"/>
                <w:lang w:eastAsia="en-US"/>
              </w:rPr>
            </w:pPr>
          </w:p>
        </w:tc>
        <w:tc>
          <w:tcPr>
            <w:tcW w:w="1371" w:type="dxa"/>
            <w:shd w:val="clear" w:color="auto" w:fill="auto"/>
            <w:vAlign w:val="center"/>
            <w:hideMark/>
          </w:tcPr>
          <w:p w14:paraId="45C314C2"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066" w:type="dxa"/>
            <w:vMerge/>
            <w:shd w:val="clear" w:color="auto" w:fill="auto"/>
            <w:vAlign w:val="center"/>
            <w:hideMark/>
          </w:tcPr>
          <w:p w14:paraId="680039E7" w14:textId="77777777" w:rsidR="00885514" w:rsidRPr="00825FC8" w:rsidRDefault="00885514" w:rsidP="00F30921">
            <w:pPr>
              <w:jc w:val="right"/>
              <w:rPr>
                <w:rFonts w:eastAsiaTheme="minorHAnsi" w:cstheme="minorBidi"/>
                <w:sz w:val="20"/>
                <w:szCs w:val="20"/>
                <w:lang w:eastAsia="en-US"/>
              </w:rPr>
            </w:pPr>
          </w:p>
        </w:tc>
        <w:tc>
          <w:tcPr>
            <w:tcW w:w="1066" w:type="dxa"/>
            <w:shd w:val="clear" w:color="auto" w:fill="auto"/>
            <w:vAlign w:val="center"/>
            <w:hideMark/>
          </w:tcPr>
          <w:p w14:paraId="6BBA548B"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c>
          <w:tcPr>
            <w:tcW w:w="1239" w:type="dxa"/>
            <w:shd w:val="clear" w:color="auto" w:fill="auto"/>
            <w:vAlign w:val="center"/>
            <w:hideMark/>
          </w:tcPr>
          <w:p w14:paraId="664A3B79" w14:textId="77777777" w:rsidR="00885514" w:rsidRPr="00825FC8" w:rsidRDefault="00885514" w:rsidP="00F30921">
            <w:pPr>
              <w:jc w:val="right"/>
              <w:rPr>
                <w:rFonts w:eastAsiaTheme="minorHAnsi" w:cstheme="minorBidi"/>
                <w:sz w:val="20"/>
                <w:szCs w:val="20"/>
                <w:lang w:eastAsia="en-US"/>
              </w:rPr>
            </w:pPr>
            <w:r w:rsidRPr="00825FC8">
              <w:rPr>
                <w:rFonts w:eastAsiaTheme="minorHAnsi" w:cstheme="minorBidi"/>
                <w:sz w:val="20"/>
                <w:szCs w:val="20"/>
                <w:lang w:eastAsia="en-US"/>
              </w:rPr>
              <w:t>0</w:t>
            </w:r>
          </w:p>
        </w:tc>
      </w:tr>
      <w:tr w:rsidR="00825FC8" w:rsidRPr="00825FC8" w14:paraId="551C013C" w14:textId="77777777" w:rsidTr="00516118">
        <w:trPr>
          <w:cantSplit/>
          <w:trHeight w:val="480"/>
        </w:trPr>
        <w:tc>
          <w:tcPr>
            <w:tcW w:w="1515" w:type="dxa"/>
            <w:shd w:val="clear" w:color="auto" w:fill="auto"/>
          </w:tcPr>
          <w:p w14:paraId="36FAE6EE" w14:textId="4BF02B55" w:rsidR="00AA29BF" w:rsidRPr="00825FC8" w:rsidRDefault="00AA29BF" w:rsidP="00885514">
            <w:pPr>
              <w:jc w:val="both"/>
              <w:rPr>
                <w:rFonts w:eastAsiaTheme="minorHAnsi" w:cstheme="minorBidi"/>
                <w:sz w:val="18"/>
                <w:szCs w:val="18"/>
                <w:lang w:eastAsia="en-US"/>
              </w:rPr>
            </w:pPr>
          </w:p>
        </w:tc>
        <w:tc>
          <w:tcPr>
            <w:tcW w:w="8549" w:type="dxa"/>
            <w:gridSpan w:val="7"/>
            <w:vMerge w:val="restart"/>
            <w:shd w:val="clear" w:color="auto" w:fill="auto"/>
            <w:vAlign w:val="center"/>
            <w:hideMark/>
          </w:tcPr>
          <w:p w14:paraId="20EBE244" w14:textId="425EEDEB" w:rsidR="004D5FA0" w:rsidRPr="00825FC8" w:rsidRDefault="004D5FA0" w:rsidP="004D5FA0">
            <w:pPr>
              <w:jc w:val="both"/>
              <w:rPr>
                <w:bCs/>
                <w:i/>
                <w:sz w:val="20"/>
                <w:szCs w:val="20"/>
              </w:rPr>
            </w:pPr>
            <w:r w:rsidRPr="00825FC8">
              <w:rPr>
                <w:i/>
                <w:sz w:val="20"/>
                <w:szCs w:val="20"/>
              </w:rPr>
              <w:t>*</w:t>
            </w:r>
            <w:r w:rsidRPr="00825FC8">
              <w:rPr>
                <w:bCs/>
                <w:i/>
                <w:sz w:val="20"/>
                <w:szCs w:val="20"/>
              </w:rPr>
              <w:t xml:space="preserve"> LM normatīvajos aktos noteiktā kārtībā ir sagatavojusi un iesniegs izskatīšanai Ministru kabinetā grozījumus Ministru kabineta 2021.gada 11.janvāra rīkojumā Nr.17 “Par finanšu līdzekļu piešķiršanu no </w:t>
            </w:r>
            <w:r w:rsidRPr="00825FC8">
              <w:rPr>
                <w:bCs/>
                <w:i/>
                <w:sz w:val="20"/>
                <w:szCs w:val="20"/>
              </w:rPr>
              <w:lastRenderedPageBreak/>
              <w:t xml:space="preserve">valsts budžeta programmas “Līdzekļi neparedzētiem gadījumiem””, paredzot novirzīt piešķirtos līdzekļus par prognozējamo neizpildes daļu 312 </w:t>
            </w:r>
            <w:r w:rsidR="00DE3992" w:rsidRPr="00825FC8">
              <w:rPr>
                <w:bCs/>
                <w:i/>
                <w:sz w:val="20"/>
                <w:szCs w:val="20"/>
              </w:rPr>
              <w:t>320</w:t>
            </w:r>
            <w:r w:rsidRPr="00825FC8">
              <w:rPr>
                <w:bCs/>
                <w:i/>
                <w:sz w:val="20"/>
                <w:szCs w:val="20"/>
              </w:rPr>
              <w:t xml:space="preserve"> </w:t>
            </w:r>
            <w:r w:rsidR="0045215E" w:rsidRPr="00825FC8">
              <w:rPr>
                <w:bCs/>
                <w:i/>
                <w:iCs/>
                <w:sz w:val="20"/>
                <w:szCs w:val="20"/>
              </w:rPr>
              <w:t>euro</w:t>
            </w:r>
            <w:r w:rsidRPr="00825FC8">
              <w:rPr>
                <w:bCs/>
                <w:i/>
                <w:sz w:val="20"/>
                <w:szCs w:val="20"/>
              </w:rPr>
              <w:t xml:space="preserve"> apmērā, šī MK rīkojuma nodrošināšanai.</w:t>
            </w:r>
          </w:p>
          <w:p w14:paraId="67F353C0" w14:textId="1614396E" w:rsidR="00AA29BF" w:rsidRPr="00825FC8" w:rsidRDefault="00AA29BF" w:rsidP="00071E2E">
            <w:pPr>
              <w:pStyle w:val="tv213"/>
              <w:spacing w:before="0" w:beforeAutospacing="0" w:after="0" w:afterAutospacing="0"/>
              <w:jc w:val="both"/>
            </w:pPr>
          </w:p>
          <w:p w14:paraId="5BB8BD92" w14:textId="47357E14" w:rsidR="00AA29BF" w:rsidRPr="00825FC8" w:rsidRDefault="00AA29BF" w:rsidP="00D81DB7">
            <w:pPr>
              <w:pStyle w:val="tv213"/>
              <w:spacing w:before="0" w:beforeAutospacing="0" w:after="0" w:afterAutospacing="0"/>
              <w:ind w:firstLine="677"/>
              <w:jc w:val="both"/>
            </w:pPr>
            <w:r w:rsidRPr="00825FC8">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687B07" w:rsidRPr="00825FC8">
              <w:t xml:space="preserve">ne vairāk kā </w:t>
            </w:r>
            <w:r w:rsidR="00B3049C" w:rsidRPr="00825FC8">
              <w:rPr>
                <w:b/>
              </w:rPr>
              <w:t xml:space="preserve">312 </w:t>
            </w:r>
            <w:r w:rsidR="00870E61" w:rsidRPr="00825FC8">
              <w:rPr>
                <w:b/>
              </w:rPr>
              <w:t>320</w:t>
            </w:r>
            <w:r w:rsidRPr="00825FC8">
              <w:rPr>
                <w:b/>
              </w:rPr>
              <w:t xml:space="preserve"> </w:t>
            </w:r>
            <w:r w:rsidR="0045215E" w:rsidRPr="00825FC8">
              <w:rPr>
                <w:b/>
                <w:i/>
              </w:rPr>
              <w:t>euro</w:t>
            </w:r>
            <w:r w:rsidRPr="00825FC8">
              <w:t xml:space="preserve"> apmērā,</w:t>
            </w:r>
            <w:r w:rsidRPr="00825FC8">
              <w:rPr>
                <w:rFonts w:eastAsiaTheme="minorHAnsi"/>
              </w:rPr>
              <w:t xml:space="preserve"> </w:t>
            </w:r>
            <w:r w:rsidRPr="00825FC8">
              <w:t xml:space="preserve">lai nodrošinātu </w:t>
            </w:r>
            <w:r w:rsidR="00C01CA3" w:rsidRPr="00825FC8">
              <w:t xml:space="preserve">gaisa kvalitātes un telpu klimata monitoringa sensoru, kā arī gaisa kvalitātes un telpu klimata monitoringa bāzes staciju iegādi Labklājības ministrijas un VSIA "ŠAMPĒTERA NAMS" valdījumā esošajām ēkām, </w:t>
            </w:r>
            <w:r w:rsidR="004E2AB4" w:rsidRPr="00825FC8">
              <w:t xml:space="preserve">kurās pakalpojumus nodrošina Labklājības ministrijas padotībā esošās iestādes, </w:t>
            </w:r>
            <w:r w:rsidR="00C01CA3" w:rsidRPr="00825FC8">
              <w:t>kā arī ilgstošas sociālās aprūpes un rehabilitācijas institūcijās, kas ir pašvaldību dibinātas vai tām ir noslēgts līgums ar pašvaldību par pakalpojumu sniegšanu.</w:t>
            </w:r>
          </w:p>
          <w:p w14:paraId="2C90093C" w14:textId="41CAF4A3" w:rsidR="00F74541" w:rsidRPr="00825FC8" w:rsidRDefault="00F74541" w:rsidP="00F74541">
            <w:pPr>
              <w:pStyle w:val="NormalWeb"/>
              <w:shd w:val="clear" w:color="auto" w:fill="FFFFFF"/>
              <w:spacing w:before="0" w:beforeAutospacing="0" w:after="0" w:afterAutospacing="0"/>
              <w:ind w:firstLine="709"/>
              <w:jc w:val="both"/>
            </w:pPr>
            <w:r w:rsidRPr="00825FC8">
              <w:t xml:space="preserve">Labklājības ministrija ir veikusi savu nekustamo īpašumu analīzi, ņemot vērā telpu izmantošanas mērķi, konkrētajā objektā sniegto pakalpojumu specifiku, klientu skaitu u.tml., un secinājusi, ka pašreizējās situācijas </w:t>
            </w:r>
            <w:proofErr w:type="spellStart"/>
            <w:r w:rsidRPr="00825FC8">
              <w:t>monitorēšanai</w:t>
            </w:r>
            <w:proofErr w:type="spellEnd"/>
            <w:r w:rsidRPr="00825FC8">
              <w:t xml:space="preserve"> un uzlabošanai minimālais nepieciešamais gaisa kvalitātes un telpu klimata monitoringa sensoru skaits ir </w:t>
            </w:r>
            <w:r w:rsidR="00BB673C" w:rsidRPr="00825FC8">
              <w:t>543</w:t>
            </w:r>
            <w:r w:rsidRPr="00825FC8">
              <w:t xml:space="preserve">, savukārt nepieciešamais gaisa kvalitātes un telpu klimata monitoringa bāzes staciju skaits ir 62 (ja iepirkuma rezultātā par uzvarētāju tiek atzīts pakalpojuma sniedzējs, kurš piedāvā nodrošināt gaisa kvalitātes sensorus un datu </w:t>
            </w:r>
            <w:proofErr w:type="spellStart"/>
            <w:r w:rsidRPr="00825FC8">
              <w:t>monitorēšanu</w:t>
            </w:r>
            <w:proofErr w:type="spellEnd"/>
            <w:r w:rsidRPr="00825FC8">
              <w:t>, izmantojot bāzes staciju risinājumu), kopējās indikatīvās izmaksas ir 16</w:t>
            </w:r>
            <w:r w:rsidR="005A285D" w:rsidRPr="00825FC8">
              <w:t>2</w:t>
            </w:r>
            <w:r w:rsidRPr="00825FC8">
              <w:t> </w:t>
            </w:r>
            <w:r w:rsidR="00506B76" w:rsidRPr="00825FC8">
              <w:t>560</w:t>
            </w:r>
            <w:r w:rsidR="00153791" w:rsidRPr="00825FC8">
              <w:t> </w:t>
            </w:r>
            <w:r w:rsidR="0045215E" w:rsidRPr="00825FC8">
              <w:rPr>
                <w:i/>
                <w:iCs/>
              </w:rPr>
              <w:t>euro</w:t>
            </w:r>
            <w:r w:rsidRPr="00825FC8">
              <w:t xml:space="preserve">. </w:t>
            </w:r>
          </w:p>
          <w:p w14:paraId="2F169990" w14:textId="4EDA2B8F" w:rsidR="00306902" w:rsidRPr="00825FC8" w:rsidRDefault="00306902" w:rsidP="00F74541">
            <w:pPr>
              <w:pStyle w:val="NormalWeb"/>
              <w:shd w:val="clear" w:color="auto" w:fill="FFFFFF"/>
              <w:spacing w:before="0" w:beforeAutospacing="0" w:after="0" w:afterAutospacing="0"/>
              <w:ind w:firstLine="709"/>
              <w:jc w:val="both"/>
            </w:pPr>
            <w:r w:rsidRPr="00825FC8">
              <w:t xml:space="preserve">Indikatīvais vienas ierīces izmaksas </w:t>
            </w:r>
            <w:r w:rsidR="00506B76" w:rsidRPr="00825FC8">
              <w:t>240</w:t>
            </w:r>
            <w:r w:rsidRPr="00825FC8">
              <w:t xml:space="preserve"> </w:t>
            </w:r>
            <w:r w:rsidR="0045215E" w:rsidRPr="00825FC8">
              <w:rPr>
                <w:i/>
                <w:iCs/>
              </w:rPr>
              <w:t>euro</w:t>
            </w:r>
            <w:r w:rsidRPr="00825FC8">
              <w:t>:</w:t>
            </w:r>
            <w:r w:rsidR="00506B76" w:rsidRPr="00825FC8">
              <w:t xml:space="preserve"> 24</w:t>
            </w:r>
            <w:r w:rsidRPr="00825FC8">
              <w:t xml:space="preserve">0 </w:t>
            </w:r>
            <w:r w:rsidR="0045215E" w:rsidRPr="00825FC8">
              <w:rPr>
                <w:i/>
                <w:iCs/>
              </w:rPr>
              <w:t>euro</w:t>
            </w:r>
            <w:r w:rsidRPr="00825FC8">
              <w:rPr>
                <w:i/>
                <w:iCs/>
              </w:rPr>
              <w:t xml:space="preserve"> </w:t>
            </w:r>
            <w:r w:rsidRPr="00825FC8">
              <w:t xml:space="preserve">x </w:t>
            </w:r>
            <w:r w:rsidR="00224A2C" w:rsidRPr="00825FC8">
              <w:t>543</w:t>
            </w:r>
            <w:r w:rsidRPr="00825FC8">
              <w:t xml:space="preserve"> mērītāji = 1</w:t>
            </w:r>
            <w:r w:rsidR="00224A2C" w:rsidRPr="00825FC8">
              <w:t>30</w:t>
            </w:r>
            <w:r w:rsidRPr="00825FC8">
              <w:t xml:space="preserve"> </w:t>
            </w:r>
            <w:r w:rsidR="00224A2C" w:rsidRPr="00825FC8">
              <w:t>32</w:t>
            </w:r>
            <w:r w:rsidRPr="00825FC8">
              <w:t xml:space="preserve">0 </w:t>
            </w:r>
            <w:r w:rsidR="0045215E" w:rsidRPr="00825FC8">
              <w:rPr>
                <w:i/>
                <w:iCs/>
              </w:rPr>
              <w:t>euro</w:t>
            </w:r>
            <w:r w:rsidRPr="00825FC8">
              <w:t>.</w:t>
            </w:r>
          </w:p>
          <w:p w14:paraId="4B18DC31" w14:textId="22C5E8F7" w:rsidR="00306902" w:rsidRPr="00825FC8" w:rsidRDefault="00306902" w:rsidP="00F74541">
            <w:pPr>
              <w:pStyle w:val="NormalWeb"/>
              <w:shd w:val="clear" w:color="auto" w:fill="FFFFFF"/>
              <w:spacing w:before="0" w:beforeAutospacing="0" w:after="0" w:afterAutospacing="0"/>
              <w:ind w:firstLine="709"/>
              <w:jc w:val="both"/>
            </w:pPr>
            <w:r w:rsidRPr="00825FC8">
              <w:t xml:space="preserve">Indikatīvas vienas bāzes stacijas izmaksas </w:t>
            </w:r>
            <w:r w:rsidR="00224A2C" w:rsidRPr="00825FC8">
              <w:t>520</w:t>
            </w:r>
            <w:r w:rsidRPr="00825FC8">
              <w:t xml:space="preserve"> </w:t>
            </w:r>
            <w:r w:rsidR="0045215E" w:rsidRPr="00825FC8">
              <w:rPr>
                <w:i/>
              </w:rPr>
              <w:t>euro</w:t>
            </w:r>
            <w:r w:rsidRPr="00825FC8">
              <w:t xml:space="preserve">: </w:t>
            </w:r>
            <w:r w:rsidR="00224A2C" w:rsidRPr="00825FC8">
              <w:t>520</w:t>
            </w:r>
            <w:r w:rsidRPr="00825FC8">
              <w:t xml:space="preserve"> </w:t>
            </w:r>
            <w:r w:rsidR="0045215E" w:rsidRPr="00825FC8">
              <w:rPr>
                <w:i/>
              </w:rPr>
              <w:t>euro</w:t>
            </w:r>
            <w:r w:rsidRPr="00825FC8">
              <w:t xml:space="preserve"> x 62=3</w:t>
            </w:r>
            <w:r w:rsidR="00224A2C" w:rsidRPr="00825FC8">
              <w:t>2</w:t>
            </w:r>
            <w:r w:rsidRPr="00825FC8">
              <w:t> </w:t>
            </w:r>
            <w:r w:rsidR="00224A2C" w:rsidRPr="00825FC8">
              <w:t>240</w:t>
            </w:r>
            <w:r w:rsidRPr="00825FC8">
              <w:t xml:space="preserve"> </w:t>
            </w:r>
            <w:r w:rsidR="0045215E" w:rsidRPr="00825FC8">
              <w:rPr>
                <w:i/>
              </w:rPr>
              <w:t>euro</w:t>
            </w:r>
            <w:r w:rsidRPr="00825FC8">
              <w:t>.</w:t>
            </w:r>
          </w:p>
          <w:p w14:paraId="4C635F1A" w14:textId="0501590F" w:rsidR="00306902" w:rsidRPr="00825FC8" w:rsidRDefault="00306902" w:rsidP="00F74541">
            <w:pPr>
              <w:pStyle w:val="NormalWeb"/>
              <w:shd w:val="clear" w:color="auto" w:fill="FFFFFF"/>
              <w:spacing w:before="0" w:beforeAutospacing="0" w:after="0" w:afterAutospacing="0"/>
              <w:ind w:firstLine="709"/>
              <w:jc w:val="both"/>
            </w:pPr>
            <w:r w:rsidRPr="00825FC8">
              <w:t xml:space="preserve">Kopā: </w:t>
            </w:r>
            <w:r w:rsidR="00224A2C" w:rsidRPr="00825FC8">
              <w:t xml:space="preserve">130 320 </w:t>
            </w:r>
            <w:r w:rsidRPr="00825FC8">
              <w:t>+</w:t>
            </w:r>
            <w:r w:rsidR="00224A2C" w:rsidRPr="00825FC8">
              <w:t xml:space="preserve"> 32 240 </w:t>
            </w:r>
            <w:r w:rsidRPr="00825FC8">
              <w:t>=</w:t>
            </w:r>
            <w:r w:rsidR="00224A2C" w:rsidRPr="00825FC8">
              <w:t xml:space="preserve"> </w:t>
            </w:r>
            <w:r w:rsidRPr="00825FC8">
              <w:t>1</w:t>
            </w:r>
            <w:r w:rsidR="00224A2C" w:rsidRPr="00825FC8">
              <w:t>62</w:t>
            </w:r>
            <w:r w:rsidRPr="00825FC8">
              <w:t> </w:t>
            </w:r>
            <w:r w:rsidR="00B716ED" w:rsidRPr="00825FC8">
              <w:t>560</w:t>
            </w:r>
            <w:r w:rsidRPr="00825FC8">
              <w:t xml:space="preserve"> </w:t>
            </w:r>
            <w:r w:rsidR="0045215E" w:rsidRPr="00825FC8">
              <w:rPr>
                <w:i/>
              </w:rPr>
              <w:t>euro</w:t>
            </w:r>
            <w:r w:rsidRPr="00825FC8">
              <w:t>.</w:t>
            </w:r>
          </w:p>
          <w:p w14:paraId="1B29A815" w14:textId="77777777" w:rsidR="00306902" w:rsidRPr="00825FC8" w:rsidRDefault="00306902" w:rsidP="00F74541">
            <w:pPr>
              <w:pStyle w:val="NormalWeb"/>
              <w:shd w:val="clear" w:color="auto" w:fill="FFFFFF"/>
              <w:spacing w:before="0" w:beforeAutospacing="0" w:after="0" w:afterAutospacing="0"/>
              <w:ind w:firstLine="709"/>
              <w:jc w:val="both"/>
            </w:pPr>
          </w:p>
          <w:p w14:paraId="2CBF130C" w14:textId="1D87014E" w:rsidR="00F74541" w:rsidRPr="00825FC8" w:rsidRDefault="00F74541" w:rsidP="00F74541">
            <w:pPr>
              <w:pStyle w:val="NormalWeb"/>
              <w:shd w:val="clear" w:color="auto" w:fill="FFFFFF"/>
              <w:spacing w:before="0" w:beforeAutospacing="0" w:after="0" w:afterAutospacing="0"/>
              <w:ind w:firstLine="709"/>
              <w:jc w:val="both"/>
            </w:pPr>
            <w:r w:rsidRPr="00825FC8">
              <w:t>Tāpat ar gaisa kvalitātes un telpu klimata monitoringa sensoriem nepieciešams nodrošināt 8 līgumorganizāciju sociālās aprūpes iestādes un 20</w:t>
            </w:r>
            <w:r w:rsidR="00153791" w:rsidRPr="00825FC8">
              <w:t>2</w:t>
            </w:r>
            <w:r w:rsidRPr="00825FC8">
              <w:t xml:space="preserve"> pašvaldības sociālās aprūpes iestādes, plānojot </w:t>
            </w:r>
            <w:r w:rsidR="00153791" w:rsidRPr="00825FC8">
              <w:t xml:space="preserve">vidēji </w:t>
            </w:r>
            <w:r w:rsidR="00D10A6C" w:rsidRPr="00825FC8">
              <w:t>3</w:t>
            </w:r>
            <w:r w:rsidRPr="00825FC8">
              <w:t xml:space="preserve"> ierīces uz katru iestādi, nepieciešamos sensoru skaits ir </w:t>
            </w:r>
            <w:r w:rsidR="00FC18D9" w:rsidRPr="00825FC8">
              <w:t>624</w:t>
            </w:r>
            <w:r w:rsidR="00153791" w:rsidRPr="00825FC8">
              <w:t xml:space="preserve"> </w:t>
            </w:r>
            <w:r w:rsidRPr="00825FC8">
              <w:t xml:space="preserve">mērītāji un indikatīvās izmaksas ir līgumorganizācijām </w:t>
            </w:r>
            <w:r w:rsidR="005F62B7" w:rsidRPr="00825FC8">
              <w:t>5</w:t>
            </w:r>
            <w:r w:rsidR="00DE3992" w:rsidRPr="00825FC8">
              <w:t xml:space="preserve"> </w:t>
            </w:r>
            <w:r w:rsidR="005F62B7" w:rsidRPr="00825FC8">
              <w:t>760</w:t>
            </w:r>
            <w:r w:rsidRPr="00825FC8">
              <w:t xml:space="preserve"> </w:t>
            </w:r>
            <w:r w:rsidR="0045215E" w:rsidRPr="00825FC8">
              <w:rPr>
                <w:i/>
                <w:iCs/>
              </w:rPr>
              <w:t>euro</w:t>
            </w:r>
            <w:r w:rsidRPr="00825FC8">
              <w:t xml:space="preserve">, pašvaldības sociālās aprūpes iestādēm </w:t>
            </w:r>
            <w:r w:rsidR="00153791" w:rsidRPr="00825FC8">
              <w:t>1</w:t>
            </w:r>
            <w:bookmarkStart w:id="0" w:name="_GoBack"/>
            <w:bookmarkEnd w:id="0"/>
            <w:r w:rsidR="00C265A7" w:rsidRPr="00825FC8">
              <w:t>44</w:t>
            </w:r>
            <w:r w:rsidR="00153791" w:rsidRPr="00825FC8">
              <w:t xml:space="preserve"> </w:t>
            </w:r>
            <w:r w:rsidR="005807D4" w:rsidRPr="00825FC8">
              <w:t>0</w:t>
            </w:r>
            <w:r w:rsidR="00153791" w:rsidRPr="00825FC8">
              <w:t>00</w:t>
            </w:r>
            <w:r w:rsidRPr="00825FC8">
              <w:t xml:space="preserve"> </w:t>
            </w:r>
            <w:r w:rsidR="0045215E" w:rsidRPr="00825FC8">
              <w:rPr>
                <w:i/>
                <w:iCs/>
              </w:rPr>
              <w:t>euro</w:t>
            </w:r>
            <w:r w:rsidRPr="00825FC8">
              <w:t>.</w:t>
            </w:r>
          </w:p>
          <w:p w14:paraId="2A79D746" w14:textId="77760536" w:rsidR="00153791" w:rsidRPr="00825FC8" w:rsidRDefault="00153791" w:rsidP="00F74541">
            <w:pPr>
              <w:pStyle w:val="NormalWeb"/>
              <w:shd w:val="clear" w:color="auto" w:fill="FFFFFF"/>
              <w:spacing w:before="0" w:beforeAutospacing="0" w:after="0" w:afterAutospacing="0"/>
              <w:ind w:firstLine="709"/>
              <w:jc w:val="both"/>
            </w:pPr>
            <w:r w:rsidRPr="00825FC8">
              <w:t xml:space="preserve">Indikatīvais vienas ierīces izmaksas </w:t>
            </w:r>
            <w:r w:rsidR="00C265A7" w:rsidRPr="00825FC8">
              <w:t>24</w:t>
            </w:r>
            <w:r w:rsidRPr="00825FC8">
              <w:t xml:space="preserve">0 </w:t>
            </w:r>
            <w:r w:rsidR="0045215E" w:rsidRPr="00825FC8">
              <w:rPr>
                <w:i/>
                <w:iCs/>
              </w:rPr>
              <w:t>euro</w:t>
            </w:r>
            <w:r w:rsidR="00306902" w:rsidRPr="00825FC8">
              <w:t>:</w:t>
            </w:r>
            <w:r w:rsidR="00C265A7" w:rsidRPr="00825FC8">
              <w:t xml:space="preserve"> 24</w:t>
            </w:r>
            <w:r w:rsidR="00306902" w:rsidRPr="00825FC8">
              <w:t xml:space="preserve">0 </w:t>
            </w:r>
            <w:r w:rsidR="0045215E" w:rsidRPr="00825FC8">
              <w:rPr>
                <w:i/>
              </w:rPr>
              <w:t>euro</w:t>
            </w:r>
            <w:r w:rsidR="00306902" w:rsidRPr="00825FC8">
              <w:t xml:space="preserve"> x </w:t>
            </w:r>
            <w:r w:rsidR="00C265A7" w:rsidRPr="00825FC8">
              <w:t>624</w:t>
            </w:r>
            <w:r w:rsidR="00306902" w:rsidRPr="00825FC8">
              <w:t xml:space="preserve"> mērītāji = 1</w:t>
            </w:r>
            <w:r w:rsidR="002D05E4" w:rsidRPr="00825FC8">
              <w:t>49</w:t>
            </w:r>
            <w:r w:rsidR="00306902" w:rsidRPr="00825FC8">
              <w:t> </w:t>
            </w:r>
            <w:r w:rsidR="002D05E4" w:rsidRPr="00825FC8">
              <w:t>76</w:t>
            </w:r>
            <w:r w:rsidR="00306902" w:rsidRPr="00825FC8">
              <w:t xml:space="preserve">0 </w:t>
            </w:r>
            <w:r w:rsidR="0045215E" w:rsidRPr="00825FC8">
              <w:rPr>
                <w:i/>
              </w:rPr>
              <w:t>euro</w:t>
            </w:r>
            <w:r w:rsidR="00306902" w:rsidRPr="00825FC8">
              <w:t>.</w:t>
            </w:r>
          </w:p>
          <w:p w14:paraId="121139E6" w14:textId="77777777" w:rsidR="00DE3992" w:rsidRPr="00825FC8" w:rsidRDefault="00DE3992" w:rsidP="004D5FA0">
            <w:pPr>
              <w:tabs>
                <w:tab w:val="left" w:pos="631"/>
              </w:tabs>
              <w:ind w:firstLine="629"/>
              <w:jc w:val="both"/>
            </w:pPr>
            <w:r w:rsidRPr="00825FC8">
              <w:t>Ņemot vērā, ka Izglītības ministrija plāno organizēt CO2 mērītāju iepirkumu savas nozares iestādēm, Labklājības ministrija sadarbojās ar Izglītības ministriju par iespējām piedalīties vienotajā iepirkumā. Finansējums tiks pieprasīts pēc iepirkuma noslēgšanās, atbilstoši faktiskajām iepirkuma cenām.</w:t>
            </w:r>
          </w:p>
          <w:p w14:paraId="173F55D6" w14:textId="515702BF" w:rsidR="005F7198" w:rsidRPr="00825FC8" w:rsidRDefault="00AA29BF" w:rsidP="004D5FA0">
            <w:pPr>
              <w:tabs>
                <w:tab w:val="left" w:pos="631"/>
              </w:tabs>
              <w:ind w:firstLine="629"/>
              <w:jc w:val="both"/>
            </w:pPr>
            <w:r w:rsidRPr="00825FC8">
              <w:t>Ņemot vērā minēto nepieciešams palielināt izdevumus Labklājības ministrijas pamatbudžeta programmā 99.00.00 “Līdzekļu neparedzētiem gadījumiem izlietojums”</w:t>
            </w:r>
            <w:r w:rsidR="00B3049C" w:rsidRPr="00825FC8">
              <w:t xml:space="preserve"> EKK 2000</w:t>
            </w:r>
            <w:r w:rsidRPr="00825FC8">
              <w:t xml:space="preserve">  </w:t>
            </w:r>
            <w:r w:rsidR="00B3049C" w:rsidRPr="00825FC8">
              <w:rPr>
                <w:b/>
              </w:rPr>
              <w:t xml:space="preserve">312 </w:t>
            </w:r>
            <w:r w:rsidR="00DE504C" w:rsidRPr="00825FC8">
              <w:rPr>
                <w:b/>
              </w:rPr>
              <w:t>320</w:t>
            </w:r>
            <w:r w:rsidRPr="00825FC8">
              <w:rPr>
                <w:b/>
              </w:rPr>
              <w:t xml:space="preserve"> </w:t>
            </w:r>
            <w:r w:rsidR="0045215E" w:rsidRPr="00825FC8">
              <w:rPr>
                <w:b/>
                <w:i/>
              </w:rPr>
              <w:t>euro</w:t>
            </w:r>
            <w:r w:rsidRPr="00825FC8">
              <w:rPr>
                <w:b/>
                <w:i/>
              </w:rPr>
              <w:t xml:space="preserve"> </w:t>
            </w:r>
            <w:r w:rsidRPr="00825FC8">
              <w:t>apmērā</w:t>
            </w:r>
            <w:r w:rsidR="00B3049C" w:rsidRPr="00825FC8">
              <w:t>.</w:t>
            </w:r>
          </w:p>
          <w:p w14:paraId="6D7AD6B6" w14:textId="06053D93" w:rsidR="00AA29BF" w:rsidRPr="00825FC8" w:rsidRDefault="00662D34" w:rsidP="005F7198">
            <w:pPr>
              <w:shd w:val="clear" w:color="auto" w:fill="FFFFFF"/>
              <w:spacing w:before="100" w:beforeAutospacing="1" w:after="100" w:afterAutospacing="1"/>
              <w:ind w:firstLine="723"/>
              <w:jc w:val="both"/>
            </w:pPr>
            <w:r w:rsidRPr="00825FC8">
              <w:t>Labklājības ministrijai normatīvajos aktos noteiktajā kārtībā sagatavos un iesniegs Finanšu ministrijā pieprasījumu par līdzekļu piešķiršanu no valsts budžeta programmas 02.00.00 "Līdzekļi neparedzētiem gadījumiem" atbilstoši faktiski nepieciešamajam apmēram.</w:t>
            </w:r>
          </w:p>
          <w:p w14:paraId="10EFA866" w14:textId="784799FB" w:rsidR="00AA29BF" w:rsidRPr="00825FC8" w:rsidRDefault="00584A14" w:rsidP="004D5FA0">
            <w:pPr>
              <w:shd w:val="clear" w:color="auto" w:fill="FFFFFF"/>
              <w:spacing w:before="100" w:beforeAutospacing="1" w:after="100" w:afterAutospacing="1"/>
              <w:ind w:firstLine="723"/>
              <w:jc w:val="both"/>
            </w:pPr>
            <w:r w:rsidRPr="00825FC8">
              <w:t>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tad tik veiktas apropriācijas izmaiņas.</w:t>
            </w:r>
          </w:p>
        </w:tc>
      </w:tr>
      <w:tr w:rsidR="00825FC8" w:rsidRPr="00825FC8" w14:paraId="5257D29A" w14:textId="77777777" w:rsidTr="00516118">
        <w:trPr>
          <w:cantSplit/>
        </w:trPr>
        <w:tc>
          <w:tcPr>
            <w:tcW w:w="1515" w:type="dxa"/>
            <w:shd w:val="clear" w:color="auto" w:fill="auto"/>
            <w:hideMark/>
          </w:tcPr>
          <w:p w14:paraId="351CAF0B" w14:textId="088A8757" w:rsidR="00D81DB7" w:rsidRPr="00825FC8" w:rsidRDefault="00D81DB7" w:rsidP="00885514">
            <w:pPr>
              <w:jc w:val="both"/>
              <w:rPr>
                <w:rFonts w:eastAsiaTheme="minorHAnsi" w:cstheme="minorBidi"/>
                <w:sz w:val="18"/>
                <w:szCs w:val="18"/>
                <w:lang w:eastAsia="en-US"/>
              </w:rPr>
            </w:pPr>
            <w:r w:rsidRPr="00825FC8">
              <w:rPr>
                <w:rFonts w:eastAsiaTheme="minorHAnsi" w:cstheme="minorBidi"/>
                <w:sz w:val="18"/>
                <w:szCs w:val="18"/>
                <w:lang w:eastAsia="en-US"/>
              </w:rPr>
              <w:lastRenderedPageBreak/>
              <w:t>6. Detalizēts ieņēmumu un izdevumu aprēķins (ja nepieciešams, detalizētu ieņēmumu un izdevumu aprēķinu var pievienot anotācijas pielikumā)</w:t>
            </w:r>
          </w:p>
          <w:p w14:paraId="4576C5C2" w14:textId="77777777" w:rsidR="00D81DB7" w:rsidRPr="00825FC8" w:rsidRDefault="00D81DB7" w:rsidP="00885514">
            <w:pPr>
              <w:jc w:val="both"/>
              <w:rPr>
                <w:rFonts w:eastAsiaTheme="minorHAnsi" w:cstheme="minorBidi"/>
                <w:sz w:val="18"/>
                <w:szCs w:val="18"/>
                <w:lang w:eastAsia="en-US"/>
              </w:rPr>
            </w:pPr>
          </w:p>
          <w:p w14:paraId="5361B57E" w14:textId="4877C065"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6.2. detalizēts izdevumu aprēķins</w:t>
            </w:r>
          </w:p>
        </w:tc>
        <w:tc>
          <w:tcPr>
            <w:tcW w:w="8549" w:type="dxa"/>
            <w:gridSpan w:val="7"/>
            <w:vMerge/>
            <w:shd w:val="clear" w:color="auto" w:fill="auto"/>
            <w:vAlign w:val="center"/>
            <w:hideMark/>
          </w:tcPr>
          <w:p w14:paraId="667C871A" w14:textId="77777777" w:rsidR="00885514" w:rsidRPr="00825FC8" w:rsidRDefault="00885514" w:rsidP="00885514">
            <w:pPr>
              <w:jc w:val="both"/>
              <w:rPr>
                <w:rFonts w:eastAsiaTheme="minorHAnsi" w:cstheme="minorBidi"/>
                <w:sz w:val="20"/>
                <w:szCs w:val="20"/>
                <w:lang w:eastAsia="en-US"/>
              </w:rPr>
            </w:pPr>
          </w:p>
        </w:tc>
      </w:tr>
      <w:tr w:rsidR="00825FC8" w:rsidRPr="00825FC8" w14:paraId="1C2EFD89" w14:textId="77777777" w:rsidTr="00516118">
        <w:trPr>
          <w:cantSplit/>
        </w:trPr>
        <w:tc>
          <w:tcPr>
            <w:tcW w:w="1515" w:type="dxa"/>
            <w:tcBorders>
              <w:bottom w:val="single" w:sz="4" w:space="0" w:color="auto"/>
            </w:tcBorders>
            <w:shd w:val="clear" w:color="auto" w:fill="auto"/>
            <w:hideMark/>
          </w:tcPr>
          <w:p w14:paraId="0E3735D7"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lastRenderedPageBreak/>
              <w:t>7. Amata vietu skaita izmaiņas</w:t>
            </w:r>
          </w:p>
        </w:tc>
        <w:tc>
          <w:tcPr>
            <w:tcW w:w="8549" w:type="dxa"/>
            <w:gridSpan w:val="7"/>
            <w:tcBorders>
              <w:bottom w:val="single" w:sz="4" w:space="0" w:color="auto"/>
            </w:tcBorders>
            <w:shd w:val="clear" w:color="auto" w:fill="auto"/>
            <w:hideMark/>
          </w:tcPr>
          <w:p w14:paraId="77192F0D" w14:textId="77777777" w:rsidR="00885514" w:rsidRPr="00825FC8" w:rsidRDefault="00885514" w:rsidP="00885514">
            <w:pPr>
              <w:jc w:val="both"/>
              <w:rPr>
                <w:rFonts w:eastAsiaTheme="minorHAnsi" w:cstheme="minorBidi"/>
                <w:lang w:eastAsia="en-US"/>
              </w:rPr>
            </w:pPr>
            <w:r w:rsidRPr="00825FC8">
              <w:rPr>
                <w:rFonts w:eastAsiaTheme="minorHAnsi" w:cstheme="minorBidi"/>
                <w:lang w:eastAsia="en-US"/>
              </w:rPr>
              <w:t>Nav</w:t>
            </w:r>
          </w:p>
        </w:tc>
      </w:tr>
      <w:tr w:rsidR="00825FC8" w:rsidRPr="00825FC8" w14:paraId="1AF3D46A" w14:textId="77777777" w:rsidTr="00516118">
        <w:trPr>
          <w:cantSplit/>
        </w:trPr>
        <w:tc>
          <w:tcPr>
            <w:tcW w:w="1515" w:type="dxa"/>
            <w:tcBorders>
              <w:bottom w:val="single" w:sz="4" w:space="0" w:color="auto"/>
            </w:tcBorders>
            <w:shd w:val="clear" w:color="auto" w:fill="auto"/>
            <w:hideMark/>
          </w:tcPr>
          <w:p w14:paraId="51C13554" w14:textId="77777777" w:rsidR="00885514" w:rsidRPr="00825FC8" w:rsidRDefault="00885514" w:rsidP="00885514">
            <w:pPr>
              <w:jc w:val="both"/>
              <w:rPr>
                <w:rFonts w:eastAsiaTheme="minorHAnsi" w:cstheme="minorBidi"/>
                <w:sz w:val="18"/>
                <w:szCs w:val="18"/>
                <w:lang w:eastAsia="en-US"/>
              </w:rPr>
            </w:pPr>
            <w:r w:rsidRPr="00825FC8">
              <w:rPr>
                <w:rFonts w:eastAsiaTheme="minorHAnsi" w:cstheme="minorBidi"/>
                <w:sz w:val="18"/>
                <w:szCs w:val="18"/>
                <w:lang w:eastAsia="en-US"/>
              </w:rPr>
              <w:t>8. Cita informācija</w:t>
            </w:r>
          </w:p>
        </w:tc>
        <w:tc>
          <w:tcPr>
            <w:tcW w:w="8549" w:type="dxa"/>
            <w:gridSpan w:val="7"/>
            <w:tcBorders>
              <w:bottom w:val="single" w:sz="4" w:space="0" w:color="auto"/>
            </w:tcBorders>
            <w:shd w:val="clear" w:color="auto" w:fill="auto"/>
            <w:vAlign w:val="center"/>
          </w:tcPr>
          <w:p w14:paraId="7C27B912" w14:textId="3E9A7186" w:rsidR="00885514" w:rsidRPr="00825FC8" w:rsidRDefault="00885514" w:rsidP="00885514">
            <w:pPr>
              <w:jc w:val="both"/>
              <w:rPr>
                <w:rFonts w:eastAsiaTheme="minorHAnsi" w:cstheme="minorBidi"/>
                <w:lang w:eastAsia="en-US"/>
              </w:rPr>
            </w:pPr>
            <w:r w:rsidRPr="00825FC8">
              <w:t xml:space="preserve">Izdevumi tiks veikti Labklājības ministrijas </w:t>
            </w:r>
            <w:r w:rsidR="008C6C08" w:rsidRPr="00825FC8">
              <w:t>pamat</w:t>
            </w:r>
            <w:r w:rsidRPr="00825FC8">
              <w:t xml:space="preserve">budžeta programmas 99.00.00 “Līdzekļu neparedzētiem gadījumiem izlietojums” ietvaros, līdzekļus pārdalot no </w:t>
            </w:r>
            <w:r w:rsidR="001A5A01" w:rsidRPr="00825FC8">
              <w:t>74.resora „Gadskārtēj</w:t>
            </w:r>
            <w:r w:rsidR="00083AAF" w:rsidRPr="00825FC8">
              <w:t>ā</w:t>
            </w:r>
            <w:r w:rsidR="001A5A01" w:rsidRPr="00825FC8">
              <w:t xml:space="preserve"> valsts budžeta izpildes procesā pārdalāmais finansējums” programmas 02.00.00 „Līdzekļi neparedzētiem gadījumiem”.</w:t>
            </w:r>
          </w:p>
        </w:tc>
      </w:tr>
    </w:tbl>
    <w:p w14:paraId="60DD5A54" w14:textId="77777777" w:rsidR="00885514" w:rsidRPr="00825FC8" w:rsidRDefault="00885514"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825FC8" w:rsidRPr="00825FC8" w14:paraId="2592C926" w14:textId="77777777" w:rsidTr="00516118">
        <w:tc>
          <w:tcPr>
            <w:tcW w:w="10065" w:type="dxa"/>
          </w:tcPr>
          <w:p w14:paraId="3B11666A" w14:textId="77777777" w:rsidR="007F6F87" w:rsidRPr="00825FC8" w:rsidRDefault="007F6F87" w:rsidP="003903BF">
            <w:pPr>
              <w:pStyle w:val="NoSpacing"/>
              <w:jc w:val="center"/>
              <w:rPr>
                <w:rFonts w:ascii="Times New Roman" w:hAnsi="Times New Roman" w:cs="Times New Roman"/>
                <w:b/>
                <w:sz w:val="24"/>
                <w:szCs w:val="24"/>
                <w:lang w:eastAsia="lv-LV"/>
              </w:rPr>
            </w:pPr>
            <w:r w:rsidRPr="00825FC8">
              <w:rPr>
                <w:rFonts w:ascii="Times New Roman" w:hAnsi="Times New Roman" w:cs="Times New Roman"/>
                <w:b/>
                <w:iCs/>
                <w:sz w:val="24"/>
                <w:szCs w:val="24"/>
                <w:lang w:eastAsia="lv-LV"/>
              </w:rPr>
              <w:t>IV. Tiesību akta projekta ietekme uz spēkā esošo tiesību normu sistēmu</w:t>
            </w:r>
          </w:p>
        </w:tc>
      </w:tr>
      <w:tr w:rsidR="00825FC8" w:rsidRPr="00825FC8" w14:paraId="06798382" w14:textId="77777777" w:rsidTr="00516118">
        <w:tc>
          <w:tcPr>
            <w:tcW w:w="10065" w:type="dxa"/>
          </w:tcPr>
          <w:p w14:paraId="0B3B8C14" w14:textId="77777777" w:rsidR="007F6F87" w:rsidRPr="00825FC8" w:rsidRDefault="007F6F87" w:rsidP="003903BF">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Projekts šo jomu neskar</w:t>
            </w:r>
            <w:r w:rsidR="007272A8" w:rsidRPr="00825FC8">
              <w:rPr>
                <w:rFonts w:ascii="Times New Roman" w:hAnsi="Times New Roman" w:cs="Times New Roman"/>
                <w:sz w:val="24"/>
                <w:szCs w:val="24"/>
                <w:lang w:eastAsia="lv-LV"/>
              </w:rPr>
              <w:t>.</w:t>
            </w:r>
          </w:p>
        </w:tc>
      </w:tr>
    </w:tbl>
    <w:p w14:paraId="7EB6B417" w14:textId="77777777" w:rsidR="007F6F87" w:rsidRPr="00825FC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825FC8" w:rsidRPr="00825FC8" w14:paraId="0DF476F9" w14:textId="77777777" w:rsidTr="00516118">
        <w:tc>
          <w:tcPr>
            <w:tcW w:w="10065" w:type="dxa"/>
          </w:tcPr>
          <w:p w14:paraId="4227DA74" w14:textId="77777777" w:rsidR="007F6F87" w:rsidRPr="00825FC8" w:rsidRDefault="007F6F87" w:rsidP="003903BF">
            <w:pPr>
              <w:pStyle w:val="NoSpacing"/>
              <w:jc w:val="center"/>
              <w:rPr>
                <w:rFonts w:ascii="Times New Roman" w:hAnsi="Times New Roman" w:cs="Times New Roman"/>
                <w:b/>
                <w:sz w:val="24"/>
                <w:szCs w:val="24"/>
                <w:lang w:eastAsia="lv-LV"/>
              </w:rPr>
            </w:pPr>
            <w:r w:rsidRPr="00825FC8">
              <w:rPr>
                <w:rFonts w:ascii="Times New Roman" w:hAnsi="Times New Roman" w:cs="Times New Roman"/>
                <w:b/>
                <w:iCs/>
                <w:sz w:val="24"/>
                <w:szCs w:val="24"/>
                <w:lang w:eastAsia="lv-LV"/>
              </w:rPr>
              <w:t>V. Tiesību akta projekta atbilstība Latvijas Republikas starptautiskajām saistībām</w:t>
            </w:r>
          </w:p>
        </w:tc>
      </w:tr>
      <w:tr w:rsidR="00825FC8" w:rsidRPr="00825FC8" w14:paraId="6637D8D3" w14:textId="77777777" w:rsidTr="00516118">
        <w:tc>
          <w:tcPr>
            <w:tcW w:w="10065" w:type="dxa"/>
          </w:tcPr>
          <w:p w14:paraId="7684F855" w14:textId="77777777" w:rsidR="007F6F87" w:rsidRPr="00825FC8" w:rsidRDefault="007F6F87" w:rsidP="003903BF">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Projekts šo jomu neskar</w:t>
            </w:r>
            <w:r w:rsidR="007272A8" w:rsidRPr="00825FC8">
              <w:rPr>
                <w:rFonts w:ascii="Times New Roman" w:hAnsi="Times New Roman" w:cs="Times New Roman"/>
                <w:sz w:val="24"/>
                <w:szCs w:val="24"/>
                <w:lang w:eastAsia="lv-LV"/>
              </w:rPr>
              <w:t>.</w:t>
            </w:r>
          </w:p>
        </w:tc>
      </w:tr>
    </w:tbl>
    <w:p w14:paraId="078611EA" w14:textId="77777777" w:rsidR="007F6F87" w:rsidRPr="00825FC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10065"/>
      </w:tblGrid>
      <w:tr w:rsidR="00825FC8" w:rsidRPr="00825FC8" w14:paraId="2339E10B" w14:textId="77777777" w:rsidTr="00516118">
        <w:tc>
          <w:tcPr>
            <w:tcW w:w="10065" w:type="dxa"/>
          </w:tcPr>
          <w:p w14:paraId="3D69E9C4" w14:textId="77777777" w:rsidR="007F6F87" w:rsidRPr="00825FC8" w:rsidRDefault="007F6F87" w:rsidP="003903BF">
            <w:pPr>
              <w:pStyle w:val="NoSpacing"/>
              <w:jc w:val="center"/>
              <w:rPr>
                <w:rFonts w:ascii="Times New Roman" w:hAnsi="Times New Roman" w:cs="Times New Roman"/>
                <w:b/>
                <w:sz w:val="24"/>
                <w:szCs w:val="24"/>
                <w:lang w:eastAsia="lv-LV"/>
              </w:rPr>
            </w:pPr>
            <w:r w:rsidRPr="00825FC8">
              <w:rPr>
                <w:rFonts w:ascii="Times New Roman" w:hAnsi="Times New Roman" w:cs="Times New Roman"/>
                <w:b/>
                <w:iCs/>
                <w:sz w:val="24"/>
                <w:szCs w:val="24"/>
                <w:lang w:eastAsia="lv-LV"/>
              </w:rPr>
              <w:t>VI. Sabiedrības līdzdalība un komunikācijas aktivitātes</w:t>
            </w:r>
          </w:p>
        </w:tc>
      </w:tr>
      <w:tr w:rsidR="00825FC8" w:rsidRPr="00825FC8" w14:paraId="53678E23" w14:textId="77777777" w:rsidTr="00516118">
        <w:tc>
          <w:tcPr>
            <w:tcW w:w="10065" w:type="dxa"/>
          </w:tcPr>
          <w:p w14:paraId="7E7B187E" w14:textId="77777777" w:rsidR="007F6F87" w:rsidRPr="00825FC8" w:rsidRDefault="007F6F87" w:rsidP="003903BF">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Projekts šo jomu neskar</w:t>
            </w:r>
            <w:r w:rsidR="007272A8" w:rsidRPr="00825FC8">
              <w:rPr>
                <w:rFonts w:ascii="Times New Roman" w:hAnsi="Times New Roman" w:cs="Times New Roman"/>
                <w:sz w:val="24"/>
                <w:szCs w:val="24"/>
                <w:lang w:eastAsia="lv-LV"/>
              </w:rPr>
              <w:t>.</w:t>
            </w:r>
          </w:p>
        </w:tc>
      </w:tr>
    </w:tbl>
    <w:p w14:paraId="46C4B200" w14:textId="688B33B6" w:rsidR="007F6F87" w:rsidRPr="00825FC8" w:rsidRDefault="007F6F87" w:rsidP="00EC6E12">
      <w:pPr>
        <w:pStyle w:val="NoSpacing"/>
        <w:rPr>
          <w:rFonts w:ascii="Times New Roman" w:hAnsi="Times New Roman" w:cs="Times New Roman"/>
          <w:iCs/>
          <w:sz w:val="10"/>
          <w:szCs w:val="10"/>
          <w:lang w:eastAsia="lv-LV"/>
        </w:rPr>
      </w:pPr>
    </w:p>
    <w:tbl>
      <w:tblPr>
        <w:tblStyle w:val="TableGrid"/>
        <w:tblW w:w="10065" w:type="dxa"/>
        <w:tblInd w:w="-147" w:type="dxa"/>
        <w:tblLook w:val="04A0" w:firstRow="1" w:lastRow="0" w:firstColumn="1" w:lastColumn="0" w:noHBand="0" w:noVBand="1"/>
      </w:tblPr>
      <w:tblGrid>
        <w:gridCol w:w="568"/>
        <w:gridCol w:w="3260"/>
        <w:gridCol w:w="6237"/>
      </w:tblGrid>
      <w:tr w:rsidR="00825FC8" w:rsidRPr="00825FC8" w14:paraId="6DB97756" w14:textId="77777777" w:rsidTr="00516118">
        <w:tc>
          <w:tcPr>
            <w:tcW w:w="10065" w:type="dxa"/>
            <w:gridSpan w:val="3"/>
          </w:tcPr>
          <w:p w14:paraId="02ED8950" w14:textId="77777777" w:rsidR="007F6F87" w:rsidRPr="00825FC8" w:rsidRDefault="007F6F87" w:rsidP="003903BF">
            <w:pPr>
              <w:pStyle w:val="NoSpacing"/>
              <w:jc w:val="center"/>
              <w:rPr>
                <w:rFonts w:ascii="Times New Roman" w:hAnsi="Times New Roman" w:cs="Times New Roman"/>
                <w:b/>
                <w:sz w:val="24"/>
                <w:szCs w:val="24"/>
                <w:lang w:eastAsia="lv-LV"/>
              </w:rPr>
            </w:pPr>
            <w:r w:rsidRPr="00825FC8">
              <w:rPr>
                <w:rFonts w:ascii="Times New Roman" w:hAnsi="Times New Roman" w:cs="Times New Roman"/>
                <w:b/>
                <w:iCs/>
                <w:sz w:val="24"/>
                <w:szCs w:val="24"/>
                <w:lang w:eastAsia="lv-LV"/>
              </w:rPr>
              <w:t>VII. Tiesību akta projekta izpildes nodrošināšana un tās ietekme uz institūcijām</w:t>
            </w:r>
          </w:p>
        </w:tc>
      </w:tr>
      <w:tr w:rsidR="00825FC8" w:rsidRPr="00825FC8" w14:paraId="0516416B" w14:textId="77777777" w:rsidTr="00516118">
        <w:tc>
          <w:tcPr>
            <w:tcW w:w="568" w:type="dxa"/>
          </w:tcPr>
          <w:p w14:paraId="7F23FDB3" w14:textId="77777777" w:rsidR="0049601C" w:rsidRPr="00825FC8" w:rsidRDefault="0049601C" w:rsidP="0049601C">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1.</w:t>
            </w:r>
          </w:p>
        </w:tc>
        <w:tc>
          <w:tcPr>
            <w:tcW w:w="3260" w:type="dxa"/>
          </w:tcPr>
          <w:p w14:paraId="22C8BCAE" w14:textId="77777777" w:rsidR="0049601C" w:rsidRPr="00825FC8" w:rsidRDefault="0049601C" w:rsidP="0049601C">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Projekta izpildē iesaistītās institūcijas</w:t>
            </w:r>
          </w:p>
        </w:tc>
        <w:tc>
          <w:tcPr>
            <w:tcW w:w="6237" w:type="dxa"/>
          </w:tcPr>
          <w:p w14:paraId="09FB3468" w14:textId="0C32E784" w:rsidR="0049601C" w:rsidRPr="00825FC8" w:rsidRDefault="00BA3344" w:rsidP="0049601C">
            <w:pPr>
              <w:jc w:val="both"/>
            </w:pPr>
            <w:r w:rsidRPr="00825FC8">
              <w:t>Nav</w:t>
            </w:r>
          </w:p>
        </w:tc>
      </w:tr>
      <w:tr w:rsidR="00825FC8" w:rsidRPr="00825FC8" w14:paraId="23E71DD8" w14:textId="77777777" w:rsidTr="00516118">
        <w:tc>
          <w:tcPr>
            <w:tcW w:w="568" w:type="dxa"/>
          </w:tcPr>
          <w:p w14:paraId="41D84BDC" w14:textId="77777777" w:rsidR="0049601C" w:rsidRPr="00825FC8" w:rsidRDefault="0049601C" w:rsidP="0049601C">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2.</w:t>
            </w:r>
          </w:p>
        </w:tc>
        <w:tc>
          <w:tcPr>
            <w:tcW w:w="3260" w:type="dxa"/>
          </w:tcPr>
          <w:p w14:paraId="21E31449" w14:textId="77777777" w:rsidR="0049601C" w:rsidRPr="00825FC8" w:rsidRDefault="0049601C" w:rsidP="0049601C">
            <w:pPr>
              <w:pStyle w:val="NoSpacing"/>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Projekta izpildes ietekme uz pārvaldes funkcijām un institucionālo struktūru.</w:t>
            </w:r>
            <w:r w:rsidRPr="00825FC8">
              <w:rPr>
                <w:rFonts w:ascii="Times New Roman" w:hAnsi="Times New Roman" w:cs="Times New Roman"/>
                <w:iCs/>
                <w:sz w:val="18"/>
                <w:szCs w:val="18"/>
                <w:lang w:eastAsia="lv-LV"/>
              </w:rPr>
              <w:br/>
              <w:t>Jaunu institūciju izveide, esošu institūciju likvidācija vai reorganizācija, to ietekme uz institūcijas cilvēkresursiem</w:t>
            </w:r>
          </w:p>
        </w:tc>
        <w:tc>
          <w:tcPr>
            <w:tcW w:w="6237" w:type="dxa"/>
          </w:tcPr>
          <w:p w14:paraId="1F8DF470" w14:textId="6058C3AF" w:rsidR="0049601C" w:rsidRPr="00825FC8" w:rsidRDefault="006D5D8C" w:rsidP="0049601C">
            <w:r w:rsidRPr="00825FC8">
              <w:t>Neietekmē</w:t>
            </w:r>
          </w:p>
        </w:tc>
      </w:tr>
      <w:tr w:rsidR="00825FC8" w:rsidRPr="00825FC8" w14:paraId="2AC2224A" w14:textId="77777777" w:rsidTr="00516118">
        <w:tc>
          <w:tcPr>
            <w:tcW w:w="568" w:type="dxa"/>
          </w:tcPr>
          <w:p w14:paraId="7470A0F0" w14:textId="77777777" w:rsidR="0049601C" w:rsidRPr="00825FC8" w:rsidRDefault="0049601C" w:rsidP="0049601C">
            <w:pPr>
              <w:pStyle w:val="NoSpacing"/>
              <w:jc w:val="center"/>
              <w:rPr>
                <w:rFonts w:ascii="Times New Roman" w:hAnsi="Times New Roman" w:cs="Times New Roman"/>
                <w:sz w:val="24"/>
                <w:szCs w:val="24"/>
                <w:lang w:eastAsia="lv-LV"/>
              </w:rPr>
            </w:pPr>
            <w:r w:rsidRPr="00825FC8">
              <w:rPr>
                <w:rFonts w:ascii="Times New Roman" w:hAnsi="Times New Roman" w:cs="Times New Roman"/>
                <w:sz w:val="24"/>
                <w:szCs w:val="24"/>
                <w:lang w:eastAsia="lv-LV"/>
              </w:rPr>
              <w:t>3.</w:t>
            </w:r>
          </w:p>
        </w:tc>
        <w:tc>
          <w:tcPr>
            <w:tcW w:w="3260" w:type="dxa"/>
          </w:tcPr>
          <w:p w14:paraId="1FDAFD3E" w14:textId="77777777" w:rsidR="0049601C" w:rsidRPr="00825FC8" w:rsidRDefault="0049601C" w:rsidP="0049601C">
            <w:pPr>
              <w:pStyle w:val="NoSpacing"/>
              <w:jc w:val="both"/>
              <w:rPr>
                <w:rFonts w:ascii="Times New Roman" w:hAnsi="Times New Roman" w:cs="Times New Roman"/>
                <w:iCs/>
                <w:sz w:val="18"/>
                <w:szCs w:val="18"/>
                <w:lang w:eastAsia="lv-LV"/>
              </w:rPr>
            </w:pPr>
            <w:r w:rsidRPr="00825FC8">
              <w:rPr>
                <w:rFonts w:ascii="Times New Roman" w:hAnsi="Times New Roman" w:cs="Times New Roman"/>
                <w:iCs/>
                <w:sz w:val="18"/>
                <w:szCs w:val="18"/>
                <w:lang w:eastAsia="lv-LV"/>
              </w:rPr>
              <w:t>Cita informācija</w:t>
            </w:r>
          </w:p>
        </w:tc>
        <w:tc>
          <w:tcPr>
            <w:tcW w:w="6237" w:type="dxa"/>
          </w:tcPr>
          <w:p w14:paraId="2F31F649" w14:textId="77777777" w:rsidR="0049601C" w:rsidRPr="00825FC8" w:rsidRDefault="0049601C" w:rsidP="0049601C">
            <w:pPr>
              <w:pStyle w:val="NoSpacing"/>
              <w:rPr>
                <w:rFonts w:ascii="Times New Roman" w:hAnsi="Times New Roman" w:cs="Times New Roman"/>
                <w:sz w:val="24"/>
                <w:szCs w:val="24"/>
                <w:lang w:eastAsia="lv-LV"/>
              </w:rPr>
            </w:pPr>
            <w:r w:rsidRPr="00825FC8">
              <w:rPr>
                <w:rFonts w:ascii="Times New Roman" w:hAnsi="Times New Roman" w:cs="Times New Roman"/>
                <w:sz w:val="24"/>
                <w:szCs w:val="24"/>
                <w:lang w:eastAsia="lv-LV"/>
              </w:rPr>
              <w:t>Nav</w:t>
            </w:r>
          </w:p>
        </w:tc>
      </w:tr>
    </w:tbl>
    <w:p w14:paraId="74AA4D91" w14:textId="77777777" w:rsidR="008B37B7" w:rsidRPr="00825FC8" w:rsidRDefault="00E5323B" w:rsidP="00EC6E12">
      <w:pPr>
        <w:pStyle w:val="NoSpacing"/>
        <w:rPr>
          <w:rFonts w:ascii="Times New Roman" w:hAnsi="Times New Roman" w:cs="Times New Roman"/>
          <w:iCs/>
          <w:sz w:val="24"/>
          <w:szCs w:val="24"/>
          <w:lang w:eastAsia="lv-LV"/>
        </w:rPr>
      </w:pPr>
      <w:r w:rsidRPr="00825FC8">
        <w:rPr>
          <w:rFonts w:ascii="Times New Roman" w:hAnsi="Times New Roman" w:cs="Times New Roman"/>
          <w:iCs/>
          <w:sz w:val="24"/>
          <w:szCs w:val="24"/>
          <w:lang w:eastAsia="lv-LV"/>
        </w:rPr>
        <w:t xml:space="preserve"> </w:t>
      </w:r>
    </w:p>
    <w:p w14:paraId="446EA7F7" w14:textId="77777777" w:rsidR="008B37B7" w:rsidRPr="00825FC8" w:rsidRDefault="008B37B7" w:rsidP="00EC6E12">
      <w:pPr>
        <w:pStyle w:val="NoSpacing"/>
        <w:rPr>
          <w:rFonts w:ascii="Times New Roman" w:hAnsi="Times New Roman" w:cs="Times New Roman"/>
          <w:iCs/>
          <w:sz w:val="24"/>
          <w:szCs w:val="24"/>
          <w:lang w:eastAsia="lv-LV"/>
        </w:rPr>
      </w:pPr>
    </w:p>
    <w:p w14:paraId="2DE4E1E4" w14:textId="730E6951" w:rsidR="000B1742" w:rsidRPr="00825FC8" w:rsidRDefault="002109C4" w:rsidP="00893108">
      <w:pPr>
        <w:tabs>
          <w:tab w:val="left" w:pos="2552"/>
          <w:tab w:val="left" w:pos="2694"/>
        </w:tabs>
        <w:ind w:firstLine="709"/>
        <w:rPr>
          <w:sz w:val="28"/>
          <w:szCs w:val="28"/>
        </w:rPr>
      </w:pPr>
      <w:r w:rsidRPr="00825FC8">
        <w:rPr>
          <w:sz w:val="28"/>
          <w:szCs w:val="28"/>
        </w:rPr>
        <w:t>Labklājības ministr</w:t>
      </w:r>
      <w:r w:rsidR="00B3049C" w:rsidRPr="00825FC8">
        <w:rPr>
          <w:sz w:val="28"/>
          <w:szCs w:val="28"/>
        </w:rPr>
        <w:t>s</w:t>
      </w:r>
      <w:r w:rsidRPr="00825FC8">
        <w:rPr>
          <w:sz w:val="28"/>
          <w:szCs w:val="28"/>
        </w:rPr>
        <w:t xml:space="preserve"> </w:t>
      </w:r>
      <w:r w:rsidRPr="00825FC8">
        <w:rPr>
          <w:sz w:val="28"/>
          <w:szCs w:val="28"/>
        </w:rPr>
        <w:tab/>
      </w:r>
      <w:r w:rsidRPr="00825FC8">
        <w:rPr>
          <w:sz w:val="28"/>
          <w:szCs w:val="28"/>
        </w:rPr>
        <w:tab/>
      </w:r>
      <w:r w:rsidRPr="00825FC8">
        <w:rPr>
          <w:sz w:val="28"/>
          <w:szCs w:val="28"/>
        </w:rPr>
        <w:tab/>
      </w:r>
      <w:r w:rsidRPr="00825FC8">
        <w:rPr>
          <w:sz w:val="28"/>
          <w:szCs w:val="28"/>
        </w:rPr>
        <w:tab/>
        <w:t xml:space="preserve"> </w:t>
      </w:r>
      <w:r w:rsidRPr="00825FC8">
        <w:rPr>
          <w:sz w:val="28"/>
          <w:szCs w:val="28"/>
        </w:rPr>
        <w:tab/>
      </w:r>
      <w:r w:rsidRPr="00825FC8">
        <w:rPr>
          <w:sz w:val="28"/>
          <w:szCs w:val="28"/>
        </w:rPr>
        <w:tab/>
      </w:r>
      <w:r w:rsidR="00B3049C" w:rsidRPr="00825FC8">
        <w:rPr>
          <w:sz w:val="28"/>
          <w:szCs w:val="28"/>
        </w:rPr>
        <w:t>G.Eglītis</w:t>
      </w:r>
    </w:p>
    <w:p w14:paraId="1AA9360C" w14:textId="3F4BC6A7" w:rsidR="00893108" w:rsidRPr="00825FC8" w:rsidRDefault="00893108" w:rsidP="00155578">
      <w:pPr>
        <w:pStyle w:val="NormalWeb"/>
        <w:spacing w:before="0" w:beforeAutospacing="0" w:after="0" w:afterAutospacing="0"/>
        <w:rPr>
          <w:sz w:val="16"/>
          <w:szCs w:val="16"/>
        </w:rPr>
      </w:pPr>
    </w:p>
    <w:p w14:paraId="5910BFF8" w14:textId="77777777" w:rsidR="00893108" w:rsidRPr="00825FC8" w:rsidRDefault="00893108" w:rsidP="00155578">
      <w:pPr>
        <w:pStyle w:val="NormalWeb"/>
        <w:spacing w:before="0" w:beforeAutospacing="0" w:after="0" w:afterAutospacing="0"/>
        <w:rPr>
          <w:sz w:val="16"/>
          <w:szCs w:val="16"/>
        </w:rPr>
      </w:pPr>
    </w:p>
    <w:p w14:paraId="07F06609" w14:textId="77777777" w:rsidR="0026373B" w:rsidRPr="00825FC8" w:rsidRDefault="0026373B" w:rsidP="0026373B">
      <w:pPr>
        <w:pStyle w:val="NormalWeb"/>
        <w:spacing w:before="0" w:beforeAutospacing="0" w:after="0" w:afterAutospacing="0"/>
        <w:rPr>
          <w:sz w:val="20"/>
          <w:szCs w:val="20"/>
        </w:rPr>
      </w:pPr>
    </w:p>
    <w:p w14:paraId="2C87108E" w14:textId="0492708F" w:rsidR="0026373B" w:rsidRPr="00825FC8" w:rsidRDefault="0026373B" w:rsidP="0026373B">
      <w:pPr>
        <w:pStyle w:val="NormalWeb"/>
        <w:spacing w:before="0" w:beforeAutospacing="0" w:after="0" w:afterAutospacing="0"/>
        <w:rPr>
          <w:sz w:val="20"/>
          <w:szCs w:val="20"/>
        </w:rPr>
      </w:pPr>
      <w:r w:rsidRPr="00825FC8">
        <w:rPr>
          <w:sz w:val="20"/>
          <w:szCs w:val="20"/>
        </w:rPr>
        <w:t>1</w:t>
      </w:r>
      <w:r w:rsidRPr="00825FC8">
        <w:rPr>
          <w:sz w:val="20"/>
          <w:szCs w:val="20"/>
        </w:rPr>
        <w:t>2</w:t>
      </w:r>
      <w:r w:rsidRPr="00825FC8">
        <w:rPr>
          <w:sz w:val="20"/>
          <w:szCs w:val="20"/>
        </w:rPr>
        <w:t>.07.2021.  12:01</w:t>
      </w:r>
    </w:p>
    <w:p w14:paraId="5492F4A5" w14:textId="27638BD4" w:rsidR="0026373B" w:rsidRPr="00825FC8" w:rsidRDefault="0026373B" w:rsidP="0026373B">
      <w:pPr>
        <w:pStyle w:val="NormalWeb"/>
        <w:spacing w:before="0" w:beforeAutospacing="0" w:after="0" w:afterAutospacing="0"/>
        <w:rPr>
          <w:sz w:val="20"/>
          <w:szCs w:val="20"/>
        </w:rPr>
      </w:pPr>
      <w:r w:rsidRPr="00825FC8">
        <w:rPr>
          <w:sz w:val="20"/>
          <w:szCs w:val="20"/>
        </w:rPr>
        <w:t>1641</w:t>
      </w:r>
    </w:p>
    <w:p w14:paraId="24C04EB6" w14:textId="77777777" w:rsidR="0026373B" w:rsidRPr="00825FC8" w:rsidRDefault="0026373B" w:rsidP="0026373B">
      <w:pPr>
        <w:pStyle w:val="NormalWeb"/>
        <w:spacing w:before="0" w:beforeAutospacing="0" w:after="0" w:afterAutospacing="0"/>
        <w:rPr>
          <w:sz w:val="20"/>
          <w:szCs w:val="20"/>
        </w:rPr>
      </w:pPr>
      <w:r w:rsidRPr="00825FC8">
        <w:rPr>
          <w:sz w:val="20"/>
          <w:szCs w:val="20"/>
        </w:rPr>
        <w:t xml:space="preserve">Strēle </w:t>
      </w:r>
      <w:r w:rsidRPr="00825FC8">
        <w:rPr>
          <w:rFonts w:eastAsiaTheme="minorEastAsia"/>
          <w:noProof/>
          <w:sz w:val="20"/>
          <w:szCs w:val="20"/>
        </w:rPr>
        <w:t>64331831</w:t>
      </w:r>
    </w:p>
    <w:p w14:paraId="00985DC2" w14:textId="77777777" w:rsidR="0026373B" w:rsidRPr="00825FC8" w:rsidRDefault="0026373B" w:rsidP="0026373B">
      <w:pPr>
        <w:pStyle w:val="NormalWeb"/>
        <w:spacing w:before="0" w:beforeAutospacing="0" w:after="0" w:afterAutospacing="0"/>
        <w:rPr>
          <w:sz w:val="20"/>
          <w:szCs w:val="20"/>
        </w:rPr>
      </w:pPr>
      <w:hyperlink r:id="rId11" w:history="1">
        <w:r w:rsidRPr="00825FC8">
          <w:rPr>
            <w:rStyle w:val="Hyperlink"/>
            <w:color w:val="auto"/>
            <w:sz w:val="20"/>
            <w:szCs w:val="20"/>
            <w:u w:val="none"/>
          </w:rPr>
          <w:t>Sandra.Strēle@lm.gov.lv</w:t>
        </w:r>
      </w:hyperlink>
    </w:p>
    <w:p w14:paraId="743F4CD5" w14:textId="4E3C75DA" w:rsidR="0026373B" w:rsidRPr="00825FC8" w:rsidRDefault="0026373B" w:rsidP="0026373B">
      <w:pPr>
        <w:pStyle w:val="NormalWeb"/>
        <w:spacing w:before="0" w:beforeAutospacing="0" w:after="0" w:afterAutospacing="0"/>
        <w:rPr>
          <w:sz w:val="16"/>
          <w:szCs w:val="16"/>
          <w:u w:val="single"/>
        </w:rPr>
      </w:pPr>
      <w:r w:rsidRPr="00825FC8">
        <w:rPr>
          <w:sz w:val="16"/>
          <w:szCs w:val="16"/>
          <w:u w:val="single"/>
        </w:rPr>
        <w:t xml:space="preserve"> </w:t>
      </w:r>
    </w:p>
    <w:p w14:paraId="38B53184" w14:textId="44E78530" w:rsidR="0060755F" w:rsidRPr="00825FC8" w:rsidRDefault="0060755F">
      <w:pPr>
        <w:pStyle w:val="NormalWeb"/>
        <w:spacing w:before="0" w:beforeAutospacing="0" w:after="0" w:afterAutospacing="0"/>
        <w:rPr>
          <w:sz w:val="16"/>
          <w:szCs w:val="16"/>
          <w:u w:val="single"/>
        </w:rPr>
      </w:pPr>
    </w:p>
    <w:sectPr w:rsidR="0060755F" w:rsidRPr="00825FC8" w:rsidSect="00CE7EB7">
      <w:headerReference w:type="default" r:id="rId12"/>
      <w:footerReference w:type="defaul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D1DD" w14:textId="77777777" w:rsidR="001934D9" w:rsidRDefault="001934D9" w:rsidP="00894C55">
      <w:r>
        <w:separator/>
      </w:r>
    </w:p>
  </w:endnote>
  <w:endnote w:type="continuationSeparator" w:id="0">
    <w:p w14:paraId="1DCE139E" w14:textId="77777777" w:rsidR="001934D9" w:rsidRDefault="001934D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F9144E9" w:rsidR="00F01320" w:rsidRPr="00FD423D" w:rsidRDefault="00FD423D" w:rsidP="00FD423D">
    <w:pPr>
      <w:pStyle w:val="NoSpacing"/>
      <w:rPr>
        <w:rFonts w:ascii="Times New Roman" w:hAnsi="Times New Roman" w:cs="Times New Roman"/>
        <w:sz w:val="16"/>
        <w:szCs w:val="16"/>
        <w:lang w:eastAsia="lv-LV"/>
      </w:rPr>
    </w:pPr>
    <w:proofErr w:type="spellStart"/>
    <w:r>
      <w:rPr>
        <w:rFonts w:ascii="Times New Roman" w:hAnsi="Times New Roman" w:cs="Times New Roman"/>
        <w:sz w:val="16"/>
        <w:szCs w:val="16"/>
        <w:lang w:eastAsia="lv-LV"/>
      </w:rPr>
      <w:t>LM_MKrīk_LNG_</w:t>
    </w:r>
    <w:r w:rsidRPr="00FD423D">
      <w:rPr>
        <w:rFonts w:ascii="Times New Roman" w:hAnsi="Times New Roman" w:cs="Times New Roman"/>
        <w:sz w:val="16"/>
        <w:szCs w:val="16"/>
        <w:lang w:eastAsia="lv-LV"/>
      </w:rPr>
      <w:t>Ministru</w:t>
    </w:r>
    <w:proofErr w:type="spellEnd"/>
    <w:r w:rsidRPr="00FD423D">
      <w:rPr>
        <w:rFonts w:ascii="Times New Roman" w:hAnsi="Times New Roman" w:cs="Times New Roman"/>
        <w:sz w:val="16"/>
        <w:szCs w:val="16"/>
        <w:lang w:eastAsia="lv-LV"/>
      </w:rPr>
      <w:t xml:space="preserve"> kabineta rīkojuma projekta “Par finanšu līdzekļu piešķiršanu no valsts budžeta programmas “Līdzekļi neparedzētiem gadījumiem””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1C65A336" w:rsidR="00F01320" w:rsidRPr="00FD423D" w:rsidRDefault="00FD423D" w:rsidP="00FD423D">
    <w:pPr>
      <w:pStyle w:val="NoSpacing"/>
      <w:rPr>
        <w:rFonts w:ascii="Times New Roman" w:hAnsi="Times New Roman" w:cs="Times New Roman"/>
        <w:sz w:val="16"/>
        <w:szCs w:val="16"/>
        <w:lang w:eastAsia="lv-LV"/>
      </w:rPr>
    </w:pPr>
    <w:proofErr w:type="spellStart"/>
    <w:r>
      <w:rPr>
        <w:rFonts w:ascii="Times New Roman" w:hAnsi="Times New Roman" w:cs="Times New Roman"/>
        <w:sz w:val="16"/>
        <w:szCs w:val="16"/>
        <w:lang w:eastAsia="lv-LV"/>
      </w:rPr>
      <w:t>LM_MKrīk_LNG_</w:t>
    </w:r>
    <w:r w:rsidRPr="00FD423D">
      <w:rPr>
        <w:rFonts w:ascii="Times New Roman" w:hAnsi="Times New Roman" w:cs="Times New Roman"/>
        <w:sz w:val="16"/>
        <w:szCs w:val="16"/>
        <w:lang w:eastAsia="lv-LV"/>
      </w:rPr>
      <w:t>Ministru</w:t>
    </w:r>
    <w:proofErr w:type="spellEnd"/>
    <w:r w:rsidRPr="00FD423D">
      <w:rPr>
        <w:rFonts w:ascii="Times New Roman" w:hAnsi="Times New Roman" w:cs="Times New Roman"/>
        <w:sz w:val="16"/>
        <w:szCs w:val="16"/>
        <w:lang w:eastAsia="lv-LV"/>
      </w:rPr>
      <w:t xml:space="preserve">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69EE1" w14:textId="77777777" w:rsidR="001934D9" w:rsidRDefault="001934D9" w:rsidP="00894C55">
      <w:r>
        <w:separator/>
      </w:r>
    </w:p>
  </w:footnote>
  <w:footnote w:type="continuationSeparator" w:id="0">
    <w:p w14:paraId="16CB4E9D" w14:textId="77777777" w:rsidR="001934D9" w:rsidRDefault="001934D9" w:rsidP="00894C55">
      <w:r>
        <w:continuationSeparator/>
      </w:r>
    </w:p>
  </w:footnote>
  <w:footnote w:id="1">
    <w:p w14:paraId="36EFE18E" w14:textId="77777777" w:rsidR="00B3049C" w:rsidRDefault="00B3049C" w:rsidP="00B3049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Rekomendācijas pasākumu kopai Covid-19 pandēmijas ierobežošanai</w:t>
      </w:r>
      <w:r>
        <w:rPr>
          <w:rFonts w:ascii="Times New Roman" w:hAnsi="Times New Roman" w:cs="Times New Roman"/>
        </w:rPr>
        <w:t xml:space="preserve">. Pieejams: </w:t>
      </w:r>
      <w:hyperlink r:id="rId1" w:history="1">
        <w:r>
          <w:rPr>
            <w:rStyle w:val="Hyperlink"/>
            <w:rFonts w:ascii="Times New Roman" w:hAnsi="Times New Roman" w:cs="Times New Roman"/>
          </w:rPr>
          <w:t>https://www.lza.lv/images/IK_CV/CO2%20monitorings.pdf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F01320" w:rsidRPr="00C25B49" w:rsidRDefault="00F0132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0"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2"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0820A3"/>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1" w15:restartNumberingAfterBreak="0">
    <w:nsid w:val="680837F4"/>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44144C9"/>
    <w:multiLevelType w:val="multilevel"/>
    <w:tmpl w:val="CAB405E6"/>
    <w:lvl w:ilvl="0">
      <w:start w:val="1"/>
      <w:numFmt w:val="decimal"/>
      <w:lvlText w:val="%1."/>
      <w:lvlJc w:val="left"/>
      <w:pPr>
        <w:ind w:left="660" w:hanging="360"/>
      </w:pPr>
    </w:lvl>
    <w:lvl w:ilvl="1">
      <w:start w:val="1"/>
      <w:numFmt w:val="decimal"/>
      <w:isLgl/>
      <w:lvlText w:val="%1.%2."/>
      <w:lvlJc w:val="left"/>
      <w:pPr>
        <w:ind w:left="1020" w:hanging="360"/>
      </w:pPr>
    </w:lvl>
    <w:lvl w:ilvl="2">
      <w:start w:val="1"/>
      <w:numFmt w:val="decimal"/>
      <w:isLgl/>
      <w:lvlText w:val="%1.%2.%3."/>
      <w:lvlJc w:val="left"/>
      <w:pPr>
        <w:ind w:left="1740" w:hanging="720"/>
      </w:pPr>
    </w:lvl>
    <w:lvl w:ilvl="3">
      <w:start w:val="1"/>
      <w:numFmt w:val="decimal"/>
      <w:isLgl/>
      <w:lvlText w:val="%1.%2.%3.%4."/>
      <w:lvlJc w:val="left"/>
      <w:pPr>
        <w:ind w:left="2100" w:hanging="720"/>
      </w:pPr>
    </w:lvl>
    <w:lvl w:ilvl="4">
      <w:start w:val="1"/>
      <w:numFmt w:val="decimal"/>
      <w:isLgl/>
      <w:lvlText w:val="%1.%2.%3.%4.%5."/>
      <w:lvlJc w:val="left"/>
      <w:pPr>
        <w:ind w:left="2820" w:hanging="1080"/>
      </w:pPr>
    </w:lvl>
    <w:lvl w:ilvl="5">
      <w:start w:val="1"/>
      <w:numFmt w:val="decimal"/>
      <w:isLgl/>
      <w:lvlText w:val="%1.%2.%3.%4.%5.%6."/>
      <w:lvlJc w:val="left"/>
      <w:pPr>
        <w:ind w:left="3180" w:hanging="1080"/>
      </w:pPr>
    </w:lvl>
    <w:lvl w:ilvl="6">
      <w:start w:val="1"/>
      <w:numFmt w:val="decimal"/>
      <w:isLgl/>
      <w:lvlText w:val="%1.%2.%3.%4.%5.%6.%7."/>
      <w:lvlJc w:val="left"/>
      <w:pPr>
        <w:ind w:left="3900" w:hanging="1440"/>
      </w:pPr>
    </w:lvl>
    <w:lvl w:ilvl="7">
      <w:start w:val="1"/>
      <w:numFmt w:val="decimal"/>
      <w:isLgl/>
      <w:lvlText w:val="%1.%2.%3.%4.%5.%6.%7.%8."/>
      <w:lvlJc w:val="left"/>
      <w:pPr>
        <w:ind w:left="4260" w:hanging="1440"/>
      </w:pPr>
    </w:lvl>
    <w:lvl w:ilvl="8">
      <w:start w:val="1"/>
      <w:numFmt w:val="decimal"/>
      <w:isLgl/>
      <w:lvlText w:val="%1.%2.%3.%4.%5.%6.%7.%8.%9."/>
      <w:lvlJc w:val="left"/>
      <w:pPr>
        <w:ind w:left="4980" w:hanging="1800"/>
      </w:pPr>
    </w:lvl>
  </w:abstractNum>
  <w:abstractNum w:abstractNumId="34"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6"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7"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8" w15:restartNumberingAfterBreak="0">
    <w:nsid w:val="7DC94D98"/>
    <w:multiLevelType w:val="hybridMultilevel"/>
    <w:tmpl w:val="A0D0B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2"/>
  </w:num>
  <w:num w:numId="3">
    <w:abstractNumId w:val="9"/>
  </w:num>
  <w:num w:numId="4">
    <w:abstractNumId w:val="36"/>
  </w:num>
  <w:num w:numId="5">
    <w:abstractNumId w:val="18"/>
  </w:num>
  <w:num w:numId="6">
    <w:abstractNumId w:val="2"/>
  </w:num>
  <w:num w:numId="7">
    <w:abstractNumId w:val="34"/>
  </w:num>
  <w:num w:numId="8">
    <w:abstractNumId w:val="3"/>
  </w:num>
  <w:num w:numId="9">
    <w:abstractNumId w:val="37"/>
  </w:num>
  <w:num w:numId="10">
    <w:abstractNumId w:val="14"/>
  </w:num>
  <w:num w:numId="11">
    <w:abstractNumId w:val="27"/>
  </w:num>
  <w:num w:numId="12">
    <w:abstractNumId w:val="4"/>
  </w:num>
  <w:num w:numId="13">
    <w:abstractNumId w:val="10"/>
  </w:num>
  <w:num w:numId="14">
    <w:abstractNumId w:val="19"/>
  </w:num>
  <w:num w:numId="15">
    <w:abstractNumId w:val="28"/>
  </w:num>
  <w:num w:numId="16">
    <w:abstractNumId w:val="12"/>
  </w:num>
  <w:num w:numId="17">
    <w:abstractNumId w:val="8"/>
  </w:num>
  <w:num w:numId="18">
    <w:abstractNumId w:val="25"/>
  </w:num>
  <w:num w:numId="19">
    <w:abstractNumId w:val="26"/>
  </w:num>
  <w:num w:numId="20">
    <w:abstractNumId w:val="7"/>
  </w:num>
  <w:num w:numId="21">
    <w:abstractNumId w:val="15"/>
  </w:num>
  <w:num w:numId="22">
    <w:abstractNumId w:val="21"/>
  </w:num>
  <w:num w:numId="23">
    <w:abstractNumId w:val="23"/>
  </w:num>
  <w:num w:numId="24">
    <w:abstractNumId w:val="13"/>
  </w:num>
  <w:num w:numId="25">
    <w:abstractNumId w:val="0"/>
  </w:num>
  <w:num w:numId="26">
    <w:abstractNumId w:val="1"/>
  </w:num>
  <w:num w:numId="27">
    <w:abstractNumId w:val="17"/>
  </w:num>
  <w:num w:numId="28">
    <w:abstractNumId w:val="29"/>
  </w:num>
  <w:num w:numId="29">
    <w:abstractNumId w:val="16"/>
  </w:num>
  <w:num w:numId="30">
    <w:abstractNumId w:val="22"/>
  </w:num>
  <w:num w:numId="31">
    <w:abstractNumId w:val="6"/>
  </w:num>
  <w:num w:numId="32">
    <w:abstractNumId w:val="20"/>
  </w:num>
  <w:num w:numId="33">
    <w:abstractNumId w:val="5"/>
  </w:num>
  <w:num w:numId="34">
    <w:abstractNumId w:val="35"/>
  </w:num>
  <w:num w:numId="35">
    <w:abstractNumId w:val="11"/>
  </w:num>
  <w:num w:numId="36">
    <w:abstractNumId w:val="30"/>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86"/>
    <w:rsid w:val="000066AF"/>
    <w:rsid w:val="0000729D"/>
    <w:rsid w:val="00010109"/>
    <w:rsid w:val="00010A0D"/>
    <w:rsid w:val="00012055"/>
    <w:rsid w:val="00012603"/>
    <w:rsid w:val="000140B8"/>
    <w:rsid w:val="00015508"/>
    <w:rsid w:val="0002126E"/>
    <w:rsid w:val="00021774"/>
    <w:rsid w:val="000237FA"/>
    <w:rsid w:val="00031925"/>
    <w:rsid w:val="00035CD5"/>
    <w:rsid w:val="00035E6E"/>
    <w:rsid w:val="0003696C"/>
    <w:rsid w:val="00037257"/>
    <w:rsid w:val="00037CA6"/>
    <w:rsid w:val="0004022B"/>
    <w:rsid w:val="00041BCC"/>
    <w:rsid w:val="0004685C"/>
    <w:rsid w:val="00047294"/>
    <w:rsid w:val="00050143"/>
    <w:rsid w:val="00051EE3"/>
    <w:rsid w:val="00060846"/>
    <w:rsid w:val="0006374D"/>
    <w:rsid w:val="00064959"/>
    <w:rsid w:val="00065CAE"/>
    <w:rsid w:val="00071359"/>
    <w:rsid w:val="00071E2E"/>
    <w:rsid w:val="0007255D"/>
    <w:rsid w:val="000746B1"/>
    <w:rsid w:val="00076EDC"/>
    <w:rsid w:val="00080BB1"/>
    <w:rsid w:val="0008249D"/>
    <w:rsid w:val="00082689"/>
    <w:rsid w:val="00083AAF"/>
    <w:rsid w:val="00087E40"/>
    <w:rsid w:val="00091323"/>
    <w:rsid w:val="000946D7"/>
    <w:rsid w:val="00095F9A"/>
    <w:rsid w:val="000A1B7A"/>
    <w:rsid w:val="000A21B9"/>
    <w:rsid w:val="000A4002"/>
    <w:rsid w:val="000A4A1E"/>
    <w:rsid w:val="000B0F4A"/>
    <w:rsid w:val="000B1742"/>
    <w:rsid w:val="000B32B9"/>
    <w:rsid w:val="000B54FA"/>
    <w:rsid w:val="000C1A4D"/>
    <w:rsid w:val="000C1F6F"/>
    <w:rsid w:val="000C4480"/>
    <w:rsid w:val="000C4700"/>
    <w:rsid w:val="000C568F"/>
    <w:rsid w:val="000C7B38"/>
    <w:rsid w:val="000C7E9B"/>
    <w:rsid w:val="000D26B7"/>
    <w:rsid w:val="000D7795"/>
    <w:rsid w:val="000D7BBA"/>
    <w:rsid w:val="000E0D22"/>
    <w:rsid w:val="000E2D99"/>
    <w:rsid w:val="000E6028"/>
    <w:rsid w:val="000E6D72"/>
    <w:rsid w:val="000F1D9D"/>
    <w:rsid w:val="001001E8"/>
    <w:rsid w:val="00103916"/>
    <w:rsid w:val="00112BE7"/>
    <w:rsid w:val="00113381"/>
    <w:rsid w:val="00114A05"/>
    <w:rsid w:val="00116F95"/>
    <w:rsid w:val="00120C70"/>
    <w:rsid w:val="001261EE"/>
    <w:rsid w:val="00127069"/>
    <w:rsid w:val="001273DE"/>
    <w:rsid w:val="00130487"/>
    <w:rsid w:val="00133FF1"/>
    <w:rsid w:val="00134456"/>
    <w:rsid w:val="001360AF"/>
    <w:rsid w:val="00140644"/>
    <w:rsid w:val="00141039"/>
    <w:rsid w:val="001412C1"/>
    <w:rsid w:val="0014584E"/>
    <w:rsid w:val="0015016B"/>
    <w:rsid w:val="001507E7"/>
    <w:rsid w:val="00152501"/>
    <w:rsid w:val="001525D7"/>
    <w:rsid w:val="00152B4A"/>
    <w:rsid w:val="00153791"/>
    <w:rsid w:val="00154A6D"/>
    <w:rsid w:val="00155578"/>
    <w:rsid w:val="001615EC"/>
    <w:rsid w:val="00164EF5"/>
    <w:rsid w:val="00177A29"/>
    <w:rsid w:val="001807D1"/>
    <w:rsid w:val="001840A5"/>
    <w:rsid w:val="0018516A"/>
    <w:rsid w:val="001934D9"/>
    <w:rsid w:val="00197F73"/>
    <w:rsid w:val="001A2778"/>
    <w:rsid w:val="001A3CFC"/>
    <w:rsid w:val="001A559D"/>
    <w:rsid w:val="001A5818"/>
    <w:rsid w:val="001A5A01"/>
    <w:rsid w:val="001A7F37"/>
    <w:rsid w:val="001B6740"/>
    <w:rsid w:val="001B6C59"/>
    <w:rsid w:val="001B6CDD"/>
    <w:rsid w:val="001C2F68"/>
    <w:rsid w:val="001C4FAF"/>
    <w:rsid w:val="001C5440"/>
    <w:rsid w:val="001C559C"/>
    <w:rsid w:val="001C768D"/>
    <w:rsid w:val="001C797C"/>
    <w:rsid w:val="001D0F46"/>
    <w:rsid w:val="001D5E4E"/>
    <w:rsid w:val="001D66EB"/>
    <w:rsid w:val="001E37ED"/>
    <w:rsid w:val="001E4CAC"/>
    <w:rsid w:val="001E6264"/>
    <w:rsid w:val="001E7774"/>
    <w:rsid w:val="001E7EAF"/>
    <w:rsid w:val="001F2602"/>
    <w:rsid w:val="002019D8"/>
    <w:rsid w:val="002074A4"/>
    <w:rsid w:val="002109C4"/>
    <w:rsid w:val="002119C3"/>
    <w:rsid w:val="00212612"/>
    <w:rsid w:val="00220B1B"/>
    <w:rsid w:val="00220DFE"/>
    <w:rsid w:val="00222518"/>
    <w:rsid w:val="00223CED"/>
    <w:rsid w:val="00224A2C"/>
    <w:rsid w:val="00230841"/>
    <w:rsid w:val="00230C08"/>
    <w:rsid w:val="0023168A"/>
    <w:rsid w:val="002355FE"/>
    <w:rsid w:val="00243426"/>
    <w:rsid w:val="00252CBD"/>
    <w:rsid w:val="002549F5"/>
    <w:rsid w:val="00256091"/>
    <w:rsid w:val="00260ECD"/>
    <w:rsid w:val="0026373B"/>
    <w:rsid w:val="002702EA"/>
    <w:rsid w:val="0027706F"/>
    <w:rsid w:val="00277D1A"/>
    <w:rsid w:val="00282312"/>
    <w:rsid w:val="002834FB"/>
    <w:rsid w:val="00284852"/>
    <w:rsid w:val="00284C2D"/>
    <w:rsid w:val="0028659C"/>
    <w:rsid w:val="00287A59"/>
    <w:rsid w:val="00293399"/>
    <w:rsid w:val="002948BA"/>
    <w:rsid w:val="002A217A"/>
    <w:rsid w:val="002A5E5F"/>
    <w:rsid w:val="002A7926"/>
    <w:rsid w:val="002B459C"/>
    <w:rsid w:val="002B6C5A"/>
    <w:rsid w:val="002C35DB"/>
    <w:rsid w:val="002C6CE2"/>
    <w:rsid w:val="002D05E4"/>
    <w:rsid w:val="002D1E95"/>
    <w:rsid w:val="002D736E"/>
    <w:rsid w:val="002E1C05"/>
    <w:rsid w:val="002E2C6E"/>
    <w:rsid w:val="002E50DB"/>
    <w:rsid w:val="002E6CE7"/>
    <w:rsid w:val="002F7B64"/>
    <w:rsid w:val="00303246"/>
    <w:rsid w:val="00306902"/>
    <w:rsid w:val="00306CC8"/>
    <w:rsid w:val="003102E6"/>
    <w:rsid w:val="00312097"/>
    <w:rsid w:val="00312466"/>
    <w:rsid w:val="00313AD3"/>
    <w:rsid w:val="003142B7"/>
    <w:rsid w:val="00320014"/>
    <w:rsid w:val="003205CD"/>
    <w:rsid w:val="003243B6"/>
    <w:rsid w:val="003308A0"/>
    <w:rsid w:val="00331DDB"/>
    <w:rsid w:val="00334745"/>
    <w:rsid w:val="00334ED3"/>
    <w:rsid w:val="00335899"/>
    <w:rsid w:val="00340618"/>
    <w:rsid w:val="00340B68"/>
    <w:rsid w:val="00340F13"/>
    <w:rsid w:val="00341D70"/>
    <w:rsid w:val="00350806"/>
    <w:rsid w:val="00357482"/>
    <w:rsid w:val="00360972"/>
    <w:rsid w:val="00360C52"/>
    <w:rsid w:val="00361916"/>
    <w:rsid w:val="00362642"/>
    <w:rsid w:val="00362E82"/>
    <w:rsid w:val="003671CE"/>
    <w:rsid w:val="00367478"/>
    <w:rsid w:val="00367AB5"/>
    <w:rsid w:val="00367E06"/>
    <w:rsid w:val="003716FE"/>
    <w:rsid w:val="00372ACB"/>
    <w:rsid w:val="00375C0E"/>
    <w:rsid w:val="00380C6D"/>
    <w:rsid w:val="0038623F"/>
    <w:rsid w:val="00387292"/>
    <w:rsid w:val="003874BB"/>
    <w:rsid w:val="003903BF"/>
    <w:rsid w:val="003905A5"/>
    <w:rsid w:val="0039655A"/>
    <w:rsid w:val="003B0BF9"/>
    <w:rsid w:val="003B33C1"/>
    <w:rsid w:val="003B3A4C"/>
    <w:rsid w:val="003C0235"/>
    <w:rsid w:val="003C0A35"/>
    <w:rsid w:val="003C2624"/>
    <w:rsid w:val="003C4E40"/>
    <w:rsid w:val="003C7AEA"/>
    <w:rsid w:val="003D23E3"/>
    <w:rsid w:val="003D4330"/>
    <w:rsid w:val="003D6DD6"/>
    <w:rsid w:val="003E0791"/>
    <w:rsid w:val="003E2B23"/>
    <w:rsid w:val="003E3B80"/>
    <w:rsid w:val="003E45CF"/>
    <w:rsid w:val="003F1F2D"/>
    <w:rsid w:val="003F28AC"/>
    <w:rsid w:val="003F66CA"/>
    <w:rsid w:val="003F6741"/>
    <w:rsid w:val="0040069B"/>
    <w:rsid w:val="00401F30"/>
    <w:rsid w:val="00403A2F"/>
    <w:rsid w:val="00407D67"/>
    <w:rsid w:val="004124B8"/>
    <w:rsid w:val="00417A7A"/>
    <w:rsid w:val="00420133"/>
    <w:rsid w:val="00425990"/>
    <w:rsid w:val="0043377F"/>
    <w:rsid w:val="00435568"/>
    <w:rsid w:val="00442EDE"/>
    <w:rsid w:val="004454FE"/>
    <w:rsid w:val="00451F79"/>
    <w:rsid w:val="0045215E"/>
    <w:rsid w:val="00452275"/>
    <w:rsid w:val="0045268E"/>
    <w:rsid w:val="004542E7"/>
    <w:rsid w:val="00456E40"/>
    <w:rsid w:val="00460335"/>
    <w:rsid w:val="004622AB"/>
    <w:rsid w:val="00462D25"/>
    <w:rsid w:val="00463B4E"/>
    <w:rsid w:val="00467DE3"/>
    <w:rsid w:val="00471F27"/>
    <w:rsid w:val="00475F37"/>
    <w:rsid w:val="004829BA"/>
    <w:rsid w:val="00483EDA"/>
    <w:rsid w:val="00484B5E"/>
    <w:rsid w:val="004875DD"/>
    <w:rsid w:val="00493BF2"/>
    <w:rsid w:val="00494F80"/>
    <w:rsid w:val="00495760"/>
    <w:rsid w:val="0049601C"/>
    <w:rsid w:val="004B02EB"/>
    <w:rsid w:val="004B5A63"/>
    <w:rsid w:val="004C0364"/>
    <w:rsid w:val="004C19DC"/>
    <w:rsid w:val="004C1FE7"/>
    <w:rsid w:val="004D0E26"/>
    <w:rsid w:val="004D0EFD"/>
    <w:rsid w:val="004D3ACB"/>
    <w:rsid w:val="004D5FA0"/>
    <w:rsid w:val="004D6991"/>
    <w:rsid w:val="004D7640"/>
    <w:rsid w:val="004E1726"/>
    <w:rsid w:val="004E1BA2"/>
    <w:rsid w:val="004E282B"/>
    <w:rsid w:val="004E29AE"/>
    <w:rsid w:val="004E2AB4"/>
    <w:rsid w:val="004F0343"/>
    <w:rsid w:val="004F1524"/>
    <w:rsid w:val="00500F2B"/>
    <w:rsid w:val="0050178F"/>
    <w:rsid w:val="00502D97"/>
    <w:rsid w:val="0050461A"/>
    <w:rsid w:val="00506B76"/>
    <w:rsid w:val="00516118"/>
    <w:rsid w:val="005169EA"/>
    <w:rsid w:val="005207EF"/>
    <w:rsid w:val="00520FE1"/>
    <w:rsid w:val="005214D3"/>
    <w:rsid w:val="005242EC"/>
    <w:rsid w:val="00524762"/>
    <w:rsid w:val="00526E2C"/>
    <w:rsid w:val="00527D8B"/>
    <w:rsid w:val="00531105"/>
    <w:rsid w:val="00533206"/>
    <w:rsid w:val="005349F0"/>
    <w:rsid w:val="00541371"/>
    <w:rsid w:val="005517F9"/>
    <w:rsid w:val="005534E6"/>
    <w:rsid w:val="00553E16"/>
    <w:rsid w:val="00564C6B"/>
    <w:rsid w:val="0056696D"/>
    <w:rsid w:val="00566A2A"/>
    <w:rsid w:val="00566AD6"/>
    <w:rsid w:val="00570B21"/>
    <w:rsid w:val="00577052"/>
    <w:rsid w:val="00577113"/>
    <w:rsid w:val="00580732"/>
    <w:rsid w:val="005807D4"/>
    <w:rsid w:val="005826B6"/>
    <w:rsid w:val="00584A14"/>
    <w:rsid w:val="005856D9"/>
    <w:rsid w:val="00585CA8"/>
    <w:rsid w:val="00591429"/>
    <w:rsid w:val="00592C4A"/>
    <w:rsid w:val="005947F0"/>
    <w:rsid w:val="00594B91"/>
    <w:rsid w:val="005A285D"/>
    <w:rsid w:val="005B1305"/>
    <w:rsid w:val="005B1660"/>
    <w:rsid w:val="005B3E96"/>
    <w:rsid w:val="005B5888"/>
    <w:rsid w:val="005B7B45"/>
    <w:rsid w:val="005C0B8A"/>
    <w:rsid w:val="005C1C38"/>
    <w:rsid w:val="005C73E8"/>
    <w:rsid w:val="005C788B"/>
    <w:rsid w:val="005D0B88"/>
    <w:rsid w:val="005D10C1"/>
    <w:rsid w:val="005D34DD"/>
    <w:rsid w:val="005D54F2"/>
    <w:rsid w:val="005E25B2"/>
    <w:rsid w:val="005E76A6"/>
    <w:rsid w:val="005F096C"/>
    <w:rsid w:val="005F4FE2"/>
    <w:rsid w:val="005F62B7"/>
    <w:rsid w:val="005F7198"/>
    <w:rsid w:val="005F7BA4"/>
    <w:rsid w:val="006007E8"/>
    <w:rsid w:val="006043EA"/>
    <w:rsid w:val="00604477"/>
    <w:rsid w:val="0060755F"/>
    <w:rsid w:val="0061155F"/>
    <w:rsid w:val="006232F5"/>
    <w:rsid w:val="00626AC5"/>
    <w:rsid w:val="00627631"/>
    <w:rsid w:val="006335C0"/>
    <w:rsid w:val="00635B83"/>
    <w:rsid w:val="0064126F"/>
    <w:rsid w:val="0064127B"/>
    <w:rsid w:val="00642945"/>
    <w:rsid w:val="00644B15"/>
    <w:rsid w:val="00646244"/>
    <w:rsid w:val="0064653C"/>
    <w:rsid w:val="00647B3D"/>
    <w:rsid w:val="006538AC"/>
    <w:rsid w:val="00655F2C"/>
    <w:rsid w:val="0065758B"/>
    <w:rsid w:val="00662D34"/>
    <w:rsid w:val="00663AF4"/>
    <w:rsid w:val="0066594E"/>
    <w:rsid w:val="0066749E"/>
    <w:rsid w:val="00670808"/>
    <w:rsid w:val="0067466F"/>
    <w:rsid w:val="00681F74"/>
    <w:rsid w:val="006842C0"/>
    <w:rsid w:val="00684DE7"/>
    <w:rsid w:val="00687B07"/>
    <w:rsid w:val="006936E5"/>
    <w:rsid w:val="006A1736"/>
    <w:rsid w:val="006A31D0"/>
    <w:rsid w:val="006A3331"/>
    <w:rsid w:val="006A3AC3"/>
    <w:rsid w:val="006A4B9B"/>
    <w:rsid w:val="006A4BF8"/>
    <w:rsid w:val="006A5A9B"/>
    <w:rsid w:val="006A5DEF"/>
    <w:rsid w:val="006A7C70"/>
    <w:rsid w:val="006B221B"/>
    <w:rsid w:val="006B2242"/>
    <w:rsid w:val="006B3581"/>
    <w:rsid w:val="006B6400"/>
    <w:rsid w:val="006B7470"/>
    <w:rsid w:val="006C12A6"/>
    <w:rsid w:val="006C219D"/>
    <w:rsid w:val="006C2DFF"/>
    <w:rsid w:val="006C2F5C"/>
    <w:rsid w:val="006C7AE7"/>
    <w:rsid w:val="006D4250"/>
    <w:rsid w:val="006D5D8C"/>
    <w:rsid w:val="006E0366"/>
    <w:rsid w:val="006E1081"/>
    <w:rsid w:val="006E587D"/>
    <w:rsid w:val="006E71F7"/>
    <w:rsid w:val="006F086E"/>
    <w:rsid w:val="006F09C2"/>
    <w:rsid w:val="006F0FC6"/>
    <w:rsid w:val="006F193F"/>
    <w:rsid w:val="006F4690"/>
    <w:rsid w:val="006F56B9"/>
    <w:rsid w:val="006F61AF"/>
    <w:rsid w:val="00700570"/>
    <w:rsid w:val="00701AC4"/>
    <w:rsid w:val="00701F58"/>
    <w:rsid w:val="00702CFD"/>
    <w:rsid w:val="00707161"/>
    <w:rsid w:val="00707F24"/>
    <w:rsid w:val="00714300"/>
    <w:rsid w:val="00716B3C"/>
    <w:rsid w:val="00716E9A"/>
    <w:rsid w:val="00717DDE"/>
    <w:rsid w:val="00720585"/>
    <w:rsid w:val="007272A8"/>
    <w:rsid w:val="007306E2"/>
    <w:rsid w:val="00740D0B"/>
    <w:rsid w:val="00740EEA"/>
    <w:rsid w:val="00742254"/>
    <w:rsid w:val="007441D5"/>
    <w:rsid w:val="00746001"/>
    <w:rsid w:val="00746399"/>
    <w:rsid w:val="0074680C"/>
    <w:rsid w:val="00750D89"/>
    <w:rsid w:val="00751927"/>
    <w:rsid w:val="007606BC"/>
    <w:rsid w:val="007606BD"/>
    <w:rsid w:val="0076169A"/>
    <w:rsid w:val="00765B2E"/>
    <w:rsid w:val="00766BFA"/>
    <w:rsid w:val="00770E96"/>
    <w:rsid w:val="00773AF6"/>
    <w:rsid w:val="00773EC6"/>
    <w:rsid w:val="0077466B"/>
    <w:rsid w:val="00776EE7"/>
    <w:rsid w:val="00780184"/>
    <w:rsid w:val="00781317"/>
    <w:rsid w:val="00782C47"/>
    <w:rsid w:val="0078405A"/>
    <w:rsid w:val="0079260F"/>
    <w:rsid w:val="00795F71"/>
    <w:rsid w:val="007A0DA7"/>
    <w:rsid w:val="007A3F62"/>
    <w:rsid w:val="007A6A2B"/>
    <w:rsid w:val="007A7695"/>
    <w:rsid w:val="007A7826"/>
    <w:rsid w:val="007B00E6"/>
    <w:rsid w:val="007B1C39"/>
    <w:rsid w:val="007B3917"/>
    <w:rsid w:val="007B4862"/>
    <w:rsid w:val="007B77D5"/>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34AA"/>
    <w:rsid w:val="007F6EEE"/>
    <w:rsid w:val="007F6F87"/>
    <w:rsid w:val="0080244F"/>
    <w:rsid w:val="00803C4F"/>
    <w:rsid w:val="008043BC"/>
    <w:rsid w:val="0080508B"/>
    <w:rsid w:val="008055ED"/>
    <w:rsid w:val="00811D08"/>
    <w:rsid w:val="00812A1D"/>
    <w:rsid w:val="00816479"/>
    <w:rsid w:val="008168AC"/>
    <w:rsid w:val="00816C11"/>
    <w:rsid w:val="00822C45"/>
    <w:rsid w:val="00824A17"/>
    <w:rsid w:val="00825FC8"/>
    <w:rsid w:val="0082641E"/>
    <w:rsid w:val="00830B14"/>
    <w:rsid w:val="00831629"/>
    <w:rsid w:val="00835AF5"/>
    <w:rsid w:val="00840C14"/>
    <w:rsid w:val="00840EE9"/>
    <w:rsid w:val="00842113"/>
    <w:rsid w:val="00842AD1"/>
    <w:rsid w:val="00842FDA"/>
    <w:rsid w:val="008449B2"/>
    <w:rsid w:val="008465C9"/>
    <w:rsid w:val="008470F2"/>
    <w:rsid w:val="00851D8B"/>
    <w:rsid w:val="00860032"/>
    <w:rsid w:val="00861590"/>
    <w:rsid w:val="00861998"/>
    <w:rsid w:val="00863DCA"/>
    <w:rsid w:val="0086722A"/>
    <w:rsid w:val="00867737"/>
    <w:rsid w:val="00870E61"/>
    <w:rsid w:val="00873B7E"/>
    <w:rsid w:val="00874A6E"/>
    <w:rsid w:val="00875A9D"/>
    <w:rsid w:val="00875D91"/>
    <w:rsid w:val="00884EE6"/>
    <w:rsid w:val="00885514"/>
    <w:rsid w:val="008868CE"/>
    <w:rsid w:val="00891AF0"/>
    <w:rsid w:val="00891CFD"/>
    <w:rsid w:val="00893039"/>
    <w:rsid w:val="00893108"/>
    <w:rsid w:val="00894C55"/>
    <w:rsid w:val="008954E8"/>
    <w:rsid w:val="00896510"/>
    <w:rsid w:val="00896A9B"/>
    <w:rsid w:val="00896B28"/>
    <w:rsid w:val="00897CB3"/>
    <w:rsid w:val="008A4962"/>
    <w:rsid w:val="008A5A3C"/>
    <w:rsid w:val="008A66C9"/>
    <w:rsid w:val="008B37B7"/>
    <w:rsid w:val="008B530F"/>
    <w:rsid w:val="008B6311"/>
    <w:rsid w:val="008C1794"/>
    <w:rsid w:val="008C563B"/>
    <w:rsid w:val="008C6C08"/>
    <w:rsid w:val="008C7E5C"/>
    <w:rsid w:val="008D16B8"/>
    <w:rsid w:val="008D26E3"/>
    <w:rsid w:val="008D372B"/>
    <w:rsid w:val="008E09D7"/>
    <w:rsid w:val="008E2DB9"/>
    <w:rsid w:val="008E4FC1"/>
    <w:rsid w:val="008E5CBD"/>
    <w:rsid w:val="008E5DA7"/>
    <w:rsid w:val="008E61BF"/>
    <w:rsid w:val="008F3721"/>
    <w:rsid w:val="008F5220"/>
    <w:rsid w:val="0090017B"/>
    <w:rsid w:val="00903694"/>
    <w:rsid w:val="00904B72"/>
    <w:rsid w:val="0090727C"/>
    <w:rsid w:val="00910004"/>
    <w:rsid w:val="0091086E"/>
    <w:rsid w:val="00910BAE"/>
    <w:rsid w:val="009115E9"/>
    <w:rsid w:val="0091192F"/>
    <w:rsid w:val="00912458"/>
    <w:rsid w:val="0091488A"/>
    <w:rsid w:val="0091740C"/>
    <w:rsid w:val="009203F4"/>
    <w:rsid w:val="00922C9E"/>
    <w:rsid w:val="00922E9E"/>
    <w:rsid w:val="00924395"/>
    <w:rsid w:val="00925170"/>
    <w:rsid w:val="009271C0"/>
    <w:rsid w:val="00931F74"/>
    <w:rsid w:val="00932AAF"/>
    <w:rsid w:val="00932DCB"/>
    <w:rsid w:val="009337F9"/>
    <w:rsid w:val="00934582"/>
    <w:rsid w:val="00934E0C"/>
    <w:rsid w:val="0094176A"/>
    <w:rsid w:val="00945CE6"/>
    <w:rsid w:val="009505DA"/>
    <w:rsid w:val="00950BF1"/>
    <w:rsid w:val="00950DF4"/>
    <w:rsid w:val="00952108"/>
    <w:rsid w:val="009547D2"/>
    <w:rsid w:val="0095483A"/>
    <w:rsid w:val="009644BB"/>
    <w:rsid w:val="00966B5F"/>
    <w:rsid w:val="00972E35"/>
    <w:rsid w:val="009734B2"/>
    <w:rsid w:val="009741D2"/>
    <w:rsid w:val="009745C0"/>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5CF"/>
    <w:rsid w:val="009C5B58"/>
    <w:rsid w:val="009D2A0D"/>
    <w:rsid w:val="009D33F5"/>
    <w:rsid w:val="009E1A8B"/>
    <w:rsid w:val="009E38B2"/>
    <w:rsid w:val="009E3909"/>
    <w:rsid w:val="009E48D1"/>
    <w:rsid w:val="009E53FF"/>
    <w:rsid w:val="009E7AD1"/>
    <w:rsid w:val="009F0F42"/>
    <w:rsid w:val="009F25E7"/>
    <w:rsid w:val="009F2D30"/>
    <w:rsid w:val="009F572A"/>
    <w:rsid w:val="00A0244D"/>
    <w:rsid w:val="00A02966"/>
    <w:rsid w:val="00A03A77"/>
    <w:rsid w:val="00A03AAE"/>
    <w:rsid w:val="00A05CE6"/>
    <w:rsid w:val="00A10FC3"/>
    <w:rsid w:val="00A143AE"/>
    <w:rsid w:val="00A1716E"/>
    <w:rsid w:val="00A21178"/>
    <w:rsid w:val="00A2399C"/>
    <w:rsid w:val="00A25C20"/>
    <w:rsid w:val="00A27E98"/>
    <w:rsid w:val="00A35B13"/>
    <w:rsid w:val="00A35E02"/>
    <w:rsid w:val="00A364B7"/>
    <w:rsid w:val="00A406EF"/>
    <w:rsid w:val="00A421D9"/>
    <w:rsid w:val="00A525D9"/>
    <w:rsid w:val="00A53F16"/>
    <w:rsid w:val="00A558F3"/>
    <w:rsid w:val="00A6073E"/>
    <w:rsid w:val="00A60D70"/>
    <w:rsid w:val="00A61146"/>
    <w:rsid w:val="00A66272"/>
    <w:rsid w:val="00A73533"/>
    <w:rsid w:val="00A7672B"/>
    <w:rsid w:val="00A772AD"/>
    <w:rsid w:val="00A80FDB"/>
    <w:rsid w:val="00A82BB3"/>
    <w:rsid w:val="00A85518"/>
    <w:rsid w:val="00A85725"/>
    <w:rsid w:val="00A91A6E"/>
    <w:rsid w:val="00A92096"/>
    <w:rsid w:val="00A935DA"/>
    <w:rsid w:val="00A93640"/>
    <w:rsid w:val="00A93929"/>
    <w:rsid w:val="00A93DEF"/>
    <w:rsid w:val="00A948BF"/>
    <w:rsid w:val="00AA2442"/>
    <w:rsid w:val="00AA29BF"/>
    <w:rsid w:val="00AA4209"/>
    <w:rsid w:val="00AA4648"/>
    <w:rsid w:val="00AA55ED"/>
    <w:rsid w:val="00AB35AD"/>
    <w:rsid w:val="00AB6561"/>
    <w:rsid w:val="00AC50CF"/>
    <w:rsid w:val="00AC5884"/>
    <w:rsid w:val="00AC58B1"/>
    <w:rsid w:val="00AD0171"/>
    <w:rsid w:val="00AD2691"/>
    <w:rsid w:val="00AE1295"/>
    <w:rsid w:val="00AE5567"/>
    <w:rsid w:val="00AE580F"/>
    <w:rsid w:val="00AE73AA"/>
    <w:rsid w:val="00AF1239"/>
    <w:rsid w:val="00AF3AB8"/>
    <w:rsid w:val="00AF3C77"/>
    <w:rsid w:val="00AF7C42"/>
    <w:rsid w:val="00B07343"/>
    <w:rsid w:val="00B100A9"/>
    <w:rsid w:val="00B1213A"/>
    <w:rsid w:val="00B12EE7"/>
    <w:rsid w:val="00B130ED"/>
    <w:rsid w:val="00B15FDD"/>
    <w:rsid w:val="00B16192"/>
    <w:rsid w:val="00B16480"/>
    <w:rsid w:val="00B2165C"/>
    <w:rsid w:val="00B24C87"/>
    <w:rsid w:val="00B2576B"/>
    <w:rsid w:val="00B3049C"/>
    <w:rsid w:val="00B31BDD"/>
    <w:rsid w:val="00B34AB7"/>
    <w:rsid w:val="00B36C63"/>
    <w:rsid w:val="00B4013A"/>
    <w:rsid w:val="00B40D44"/>
    <w:rsid w:val="00B443FB"/>
    <w:rsid w:val="00B47986"/>
    <w:rsid w:val="00B51ECC"/>
    <w:rsid w:val="00B5648E"/>
    <w:rsid w:val="00B56C2C"/>
    <w:rsid w:val="00B607CD"/>
    <w:rsid w:val="00B622AD"/>
    <w:rsid w:val="00B6729B"/>
    <w:rsid w:val="00B67377"/>
    <w:rsid w:val="00B716ED"/>
    <w:rsid w:val="00B77E02"/>
    <w:rsid w:val="00B83DE2"/>
    <w:rsid w:val="00B84835"/>
    <w:rsid w:val="00B91FC6"/>
    <w:rsid w:val="00B9226B"/>
    <w:rsid w:val="00B927DC"/>
    <w:rsid w:val="00B93C2E"/>
    <w:rsid w:val="00B95224"/>
    <w:rsid w:val="00B95EB4"/>
    <w:rsid w:val="00BA0ADE"/>
    <w:rsid w:val="00BA104A"/>
    <w:rsid w:val="00BA20AA"/>
    <w:rsid w:val="00BA29B9"/>
    <w:rsid w:val="00BA3344"/>
    <w:rsid w:val="00BA38D6"/>
    <w:rsid w:val="00BA4D7E"/>
    <w:rsid w:val="00BB673C"/>
    <w:rsid w:val="00BB7CF8"/>
    <w:rsid w:val="00BC2075"/>
    <w:rsid w:val="00BC3481"/>
    <w:rsid w:val="00BC35AF"/>
    <w:rsid w:val="00BC562B"/>
    <w:rsid w:val="00BD18EF"/>
    <w:rsid w:val="00BD4425"/>
    <w:rsid w:val="00BD7F5E"/>
    <w:rsid w:val="00BE7C51"/>
    <w:rsid w:val="00BE7DC1"/>
    <w:rsid w:val="00BF2A90"/>
    <w:rsid w:val="00C01CA3"/>
    <w:rsid w:val="00C01F9A"/>
    <w:rsid w:val="00C03C0C"/>
    <w:rsid w:val="00C05E15"/>
    <w:rsid w:val="00C067EF"/>
    <w:rsid w:val="00C06B03"/>
    <w:rsid w:val="00C07AF6"/>
    <w:rsid w:val="00C10270"/>
    <w:rsid w:val="00C200B1"/>
    <w:rsid w:val="00C20668"/>
    <w:rsid w:val="00C24A45"/>
    <w:rsid w:val="00C24D49"/>
    <w:rsid w:val="00C25B49"/>
    <w:rsid w:val="00C264A6"/>
    <w:rsid w:val="00C26520"/>
    <w:rsid w:val="00C265A7"/>
    <w:rsid w:val="00C30F18"/>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5A8"/>
    <w:rsid w:val="00C676A2"/>
    <w:rsid w:val="00C722A3"/>
    <w:rsid w:val="00C731B2"/>
    <w:rsid w:val="00C77477"/>
    <w:rsid w:val="00C82691"/>
    <w:rsid w:val="00C83131"/>
    <w:rsid w:val="00C85357"/>
    <w:rsid w:val="00C86267"/>
    <w:rsid w:val="00C8678C"/>
    <w:rsid w:val="00C9634E"/>
    <w:rsid w:val="00CA1AEE"/>
    <w:rsid w:val="00CA7356"/>
    <w:rsid w:val="00CA747D"/>
    <w:rsid w:val="00CB0786"/>
    <w:rsid w:val="00CB1824"/>
    <w:rsid w:val="00CB19C9"/>
    <w:rsid w:val="00CB547C"/>
    <w:rsid w:val="00CC0982"/>
    <w:rsid w:val="00CC0D2D"/>
    <w:rsid w:val="00CC4FDB"/>
    <w:rsid w:val="00CC720B"/>
    <w:rsid w:val="00CD0A00"/>
    <w:rsid w:val="00CD162D"/>
    <w:rsid w:val="00CD1DC6"/>
    <w:rsid w:val="00CD2BFB"/>
    <w:rsid w:val="00CD2F04"/>
    <w:rsid w:val="00CD44BF"/>
    <w:rsid w:val="00CD69EA"/>
    <w:rsid w:val="00CE5657"/>
    <w:rsid w:val="00CE7EB7"/>
    <w:rsid w:val="00CF262B"/>
    <w:rsid w:val="00CF3D9F"/>
    <w:rsid w:val="00CF6439"/>
    <w:rsid w:val="00CF7143"/>
    <w:rsid w:val="00D020C1"/>
    <w:rsid w:val="00D02DDA"/>
    <w:rsid w:val="00D03ADD"/>
    <w:rsid w:val="00D04F83"/>
    <w:rsid w:val="00D10A6C"/>
    <w:rsid w:val="00D133F8"/>
    <w:rsid w:val="00D138E7"/>
    <w:rsid w:val="00D14A3E"/>
    <w:rsid w:val="00D211E0"/>
    <w:rsid w:val="00D21D7F"/>
    <w:rsid w:val="00D22281"/>
    <w:rsid w:val="00D24501"/>
    <w:rsid w:val="00D332D3"/>
    <w:rsid w:val="00D3516F"/>
    <w:rsid w:val="00D37AAD"/>
    <w:rsid w:val="00D4052F"/>
    <w:rsid w:val="00D44670"/>
    <w:rsid w:val="00D50278"/>
    <w:rsid w:val="00D50466"/>
    <w:rsid w:val="00D507E2"/>
    <w:rsid w:val="00D52A56"/>
    <w:rsid w:val="00D548C7"/>
    <w:rsid w:val="00D54BD2"/>
    <w:rsid w:val="00D56A82"/>
    <w:rsid w:val="00D57C5B"/>
    <w:rsid w:val="00D606CA"/>
    <w:rsid w:val="00D81DB7"/>
    <w:rsid w:val="00D84286"/>
    <w:rsid w:val="00D857CF"/>
    <w:rsid w:val="00D871DA"/>
    <w:rsid w:val="00D87E6F"/>
    <w:rsid w:val="00D900BB"/>
    <w:rsid w:val="00D903DA"/>
    <w:rsid w:val="00D97474"/>
    <w:rsid w:val="00DA17BE"/>
    <w:rsid w:val="00DB01A2"/>
    <w:rsid w:val="00DB1AB8"/>
    <w:rsid w:val="00DB39DB"/>
    <w:rsid w:val="00DB50C9"/>
    <w:rsid w:val="00DB6C09"/>
    <w:rsid w:val="00DB702A"/>
    <w:rsid w:val="00DC09E9"/>
    <w:rsid w:val="00DC2DAF"/>
    <w:rsid w:val="00DC4012"/>
    <w:rsid w:val="00DC5AA3"/>
    <w:rsid w:val="00DC5EDB"/>
    <w:rsid w:val="00DC7938"/>
    <w:rsid w:val="00DC7A15"/>
    <w:rsid w:val="00DD1BF9"/>
    <w:rsid w:val="00DD4186"/>
    <w:rsid w:val="00DD5E1F"/>
    <w:rsid w:val="00DE07F2"/>
    <w:rsid w:val="00DE0E26"/>
    <w:rsid w:val="00DE3992"/>
    <w:rsid w:val="00DE504C"/>
    <w:rsid w:val="00DF027E"/>
    <w:rsid w:val="00DF2BB9"/>
    <w:rsid w:val="00DF461F"/>
    <w:rsid w:val="00DF68F8"/>
    <w:rsid w:val="00DF776E"/>
    <w:rsid w:val="00DF77D6"/>
    <w:rsid w:val="00E01657"/>
    <w:rsid w:val="00E04A9C"/>
    <w:rsid w:val="00E14CA4"/>
    <w:rsid w:val="00E21304"/>
    <w:rsid w:val="00E3015C"/>
    <w:rsid w:val="00E31F13"/>
    <w:rsid w:val="00E32710"/>
    <w:rsid w:val="00E33970"/>
    <w:rsid w:val="00E3716B"/>
    <w:rsid w:val="00E4149D"/>
    <w:rsid w:val="00E429CA"/>
    <w:rsid w:val="00E44728"/>
    <w:rsid w:val="00E465CE"/>
    <w:rsid w:val="00E5323B"/>
    <w:rsid w:val="00E53D86"/>
    <w:rsid w:val="00E560D2"/>
    <w:rsid w:val="00E71E92"/>
    <w:rsid w:val="00E75062"/>
    <w:rsid w:val="00E751EA"/>
    <w:rsid w:val="00E8749E"/>
    <w:rsid w:val="00E874D8"/>
    <w:rsid w:val="00E90C01"/>
    <w:rsid w:val="00E90D0B"/>
    <w:rsid w:val="00E95B57"/>
    <w:rsid w:val="00E95D8D"/>
    <w:rsid w:val="00E96B3E"/>
    <w:rsid w:val="00E96DC6"/>
    <w:rsid w:val="00EA0908"/>
    <w:rsid w:val="00EA130F"/>
    <w:rsid w:val="00EA3426"/>
    <w:rsid w:val="00EA486E"/>
    <w:rsid w:val="00EA5229"/>
    <w:rsid w:val="00EB17D4"/>
    <w:rsid w:val="00EB2A35"/>
    <w:rsid w:val="00EB32C5"/>
    <w:rsid w:val="00EB3AFC"/>
    <w:rsid w:val="00EC5179"/>
    <w:rsid w:val="00EC6E12"/>
    <w:rsid w:val="00EC766A"/>
    <w:rsid w:val="00ED25EE"/>
    <w:rsid w:val="00ED2D59"/>
    <w:rsid w:val="00ED4748"/>
    <w:rsid w:val="00ED4FED"/>
    <w:rsid w:val="00ED5325"/>
    <w:rsid w:val="00ED5F8C"/>
    <w:rsid w:val="00EE0AC0"/>
    <w:rsid w:val="00EE2F62"/>
    <w:rsid w:val="00EE5EC9"/>
    <w:rsid w:val="00EE6183"/>
    <w:rsid w:val="00EF29B0"/>
    <w:rsid w:val="00F00B5E"/>
    <w:rsid w:val="00F01320"/>
    <w:rsid w:val="00F01E73"/>
    <w:rsid w:val="00F036D2"/>
    <w:rsid w:val="00F04C70"/>
    <w:rsid w:val="00F12351"/>
    <w:rsid w:val="00F160EC"/>
    <w:rsid w:val="00F17FDC"/>
    <w:rsid w:val="00F26232"/>
    <w:rsid w:val="00F277CC"/>
    <w:rsid w:val="00F30921"/>
    <w:rsid w:val="00F317D0"/>
    <w:rsid w:val="00F32D00"/>
    <w:rsid w:val="00F3454B"/>
    <w:rsid w:val="00F3460D"/>
    <w:rsid w:val="00F3625D"/>
    <w:rsid w:val="00F464CE"/>
    <w:rsid w:val="00F57AC1"/>
    <w:rsid w:val="00F57B0C"/>
    <w:rsid w:val="00F57D02"/>
    <w:rsid w:val="00F679E9"/>
    <w:rsid w:val="00F67B4B"/>
    <w:rsid w:val="00F70F88"/>
    <w:rsid w:val="00F7186E"/>
    <w:rsid w:val="00F721FA"/>
    <w:rsid w:val="00F72D88"/>
    <w:rsid w:val="00F74541"/>
    <w:rsid w:val="00F77376"/>
    <w:rsid w:val="00F77F67"/>
    <w:rsid w:val="00F8145B"/>
    <w:rsid w:val="00F81BD8"/>
    <w:rsid w:val="00F82318"/>
    <w:rsid w:val="00F83B7B"/>
    <w:rsid w:val="00F849FB"/>
    <w:rsid w:val="00F855BB"/>
    <w:rsid w:val="00F85BFB"/>
    <w:rsid w:val="00F85DC5"/>
    <w:rsid w:val="00F87284"/>
    <w:rsid w:val="00F90C10"/>
    <w:rsid w:val="00F92A52"/>
    <w:rsid w:val="00F95701"/>
    <w:rsid w:val="00F96F78"/>
    <w:rsid w:val="00F97FD1"/>
    <w:rsid w:val="00FA0B11"/>
    <w:rsid w:val="00FA2114"/>
    <w:rsid w:val="00FA45D1"/>
    <w:rsid w:val="00FB4106"/>
    <w:rsid w:val="00FB4965"/>
    <w:rsid w:val="00FB6517"/>
    <w:rsid w:val="00FC18D9"/>
    <w:rsid w:val="00FC2F65"/>
    <w:rsid w:val="00FC3FDB"/>
    <w:rsid w:val="00FD0735"/>
    <w:rsid w:val="00FD3303"/>
    <w:rsid w:val="00FD423D"/>
    <w:rsid w:val="00FD468D"/>
    <w:rsid w:val="00FD48F3"/>
    <w:rsid w:val="00FD54F7"/>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paragraph" w:styleId="BodyText">
    <w:name w:val="Body Text"/>
    <w:basedOn w:val="Normal"/>
    <w:link w:val="BodyTextChar"/>
    <w:unhideWhenUsed/>
    <w:rsid w:val="00516118"/>
    <w:pPr>
      <w:jc w:val="both"/>
    </w:pPr>
    <w:rPr>
      <w:sz w:val="28"/>
      <w:szCs w:val="20"/>
    </w:rPr>
  </w:style>
  <w:style w:type="character" w:customStyle="1" w:styleId="BodyTextChar">
    <w:name w:val="Body Text Char"/>
    <w:basedOn w:val="DefaultParagraphFont"/>
    <w:link w:val="BodyText"/>
    <w:rsid w:val="00516118"/>
    <w:rPr>
      <w:rFonts w:ascii="Times New Roman" w:eastAsia="Times New Roman" w:hAnsi="Times New Roman" w:cs="Times New Roman"/>
      <w:sz w:val="28"/>
      <w:szCs w:val="20"/>
      <w:lang w:eastAsia="lv-LV"/>
    </w:rPr>
  </w:style>
  <w:style w:type="paragraph" w:styleId="FootnoteText">
    <w:name w:val="footnote text"/>
    <w:basedOn w:val="Normal"/>
    <w:link w:val="FootnoteTextChar"/>
    <w:uiPriority w:val="99"/>
    <w:semiHidden/>
    <w:unhideWhenUsed/>
    <w:rsid w:val="00B3049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3049C"/>
    <w:rPr>
      <w:sz w:val="20"/>
      <w:szCs w:val="20"/>
    </w:rPr>
  </w:style>
  <w:style w:type="character" w:styleId="FootnoteReference">
    <w:name w:val="footnote reference"/>
    <w:basedOn w:val="DefaultParagraphFont"/>
    <w:uiPriority w:val="99"/>
    <w:semiHidden/>
    <w:unhideWhenUsed/>
    <w:rsid w:val="00B30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369035834">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2478370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179659744">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5849447">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753769791">
      <w:bodyDiv w:val="1"/>
      <w:marLeft w:val="0"/>
      <w:marRight w:val="0"/>
      <w:marTop w:val="0"/>
      <w:marBottom w:val="0"/>
      <w:divBdr>
        <w:top w:val="none" w:sz="0" w:space="0" w:color="auto"/>
        <w:left w:val="none" w:sz="0" w:space="0" w:color="auto"/>
        <w:bottom w:val="none" w:sz="0" w:space="0" w:color="auto"/>
        <w:right w:val="none" w:sz="0" w:space="0" w:color="auto"/>
      </w:divBdr>
    </w:div>
    <w:div w:id="1968773093">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Str&#275;le@l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za.lv/images/IK_CV/CO2%20monito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60C2ACE77604F983E507791AB571D" ma:contentTypeVersion="14" ma:contentTypeDescription="Create a new document." ma:contentTypeScope="" ma:versionID="82ca1eeb333e2b5f6f0f2047f3e4eae6">
  <xsd:schema xmlns:xsd="http://www.w3.org/2001/XMLSchema" xmlns:xs="http://www.w3.org/2001/XMLSchema" xmlns:p="http://schemas.microsoft.com/office/2006/metadata/properties" xmlns:ns3="63a3c793-c0ff-4f25-a57f-5015f7fc3442" xmlns:ns4="6347748e-28ef-401b-8b3f-881d46e27c67" targetNamespace="http://schemas.microsoft.com/office/2006/metadata/properties" ma:root="true" ma:fieldsID="a78b8eb0dee402f0867893e1d275e0e0" ns3:_="" ns4:_="">
    <xsd:import namespace="63a3c793-c0ff-4f25-a57f-5015f7fc3442"/>
    <xsd:import namespace="6347748e-28ef-401b-8b3f-881d46e27c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3c793-c0ff-4f25-a57f-5015f7fc34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7748e-28ef-401b-8b3f-881d46e27c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F31F-2A7F-4229-9057-6439F08C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3c793-c0ff-4f25-a57f-5015f7fc3442"/>
    <ds:schemaRef ds:uri="6347748e-28ef-401b-8b3f-881d46e27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10D88-5E19-42F6-B74E-B386940ECA4C}">
  <ds:schemaRefs>
    <ds:schemaRef ds:uri="http://schemas.microsoft.com/sharepoint/v3/contenttype/forms"/>
  </ds:schemaRefs>
</ds:datastoreItem>
</file>

<file path=customXml/itemProps3.xml><?xml version="1.0" encoding="utf-8"?>
<ds:datastoreItem xmlns:ds="http://schemas.openxmlformats.org/officeDocument/2006/customXml" ds:itemID="{7D63BD5B-1480-49CE-B690-8F0D78B2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59908-6CA3-4A85-A018-D015163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7992</Words>
  <Characters>4557</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Sandra Strele</cp:lastModifiedBy>
  <cp:revision>22</cp:revision>
  <cp:lastPrinted>2020-12-10T13:52:00Z</cp:lastPrinted>
  <dcterms:created xsi:type="dcterms:W3CDTF">2021-07-13T11:26:00Z</dcterms:created>
  <dcterms:modified xsi:type="dcterms:W3CDTF">2021-07-14T05:44:00Z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0x01010094A60C2ACE77604F983E507791AB571D</vt:lpwstr>
  </property>
</Properties>
</file>