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683E" w14:textId="7390DFD4" w:rsidR="00A61CDB" w:rsidRPr="00DD555B" w:rsidRDefault="00A61CDB" w:rsidP="00E03D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Ministru kabineta </w:t>
      </w:r>
      <w:r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noteikumu </w:t>
      </w: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projekta</w:t>
      </w:r>
      <w:r w:rsidRPr="00E03D9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Grozījum</w:t>
      </w:r>
      <w:r w:rsidR="00F17A9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 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Ministru kabineta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199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8.</w:t>
      </w:r>
      <w:r w:rsidR="00803CC9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gada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803CC9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oktobra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noteikumos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Nr.</w:t>
      </w:r>
      <w:r w:rsidR="00803CC9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411</w:t>
      </w:r>
      <w:r w:rsidRPr="000B11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Noteikumi par stratēģiskās un reģionālās nozīmes dzelzceļa infrastruktūras iedalījumu””</w:t>
      </w:r>
      <w:r w:rsidRPr="00DD555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sākotnējās ietekmes novērtējuma ziņojums (anotācija)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3"/>
        <w:gridCol w:w="5945"/>
      </w:tblGrid>
      <w:tr w:rsidR="00A61CDB" w:rsidRPr="00E03D92" w14:paraId="7B05E515" w14:textId="77777777" w:rsidTr="00F81AE0">
        <w:trPr>
          <w:cantSplit/>
          <w:trHeight w:val="407"/>
        </w:trPr>
        <w:tc>
          <w:tcPr>
            <w:tcW w:w="9567" w:type="dxa"/>
            <w:gridSpan w:val="2"/>
            <w:shd w:val="clear" w:color="auto" w:fill="FFFFFF"/>
            <w:vAlign w:val="center"/>
          </w:tcPr>
          <w:p w14:paraId="10A3E7F2" w14:textId="77777777" w:rsidR="00A61CDB" w:rsidRPr="00B10EE5" w:rsidRDefault="00A61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10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Tiesību akta projekta anotācijas kopsavilkums</w:t>
            </w:r>
          </w:p>
        </w:tc>
      </w:tr>
      <w:tr w:rsidR="00A61CDB" w:rsidRPr="005C324B" w14:paraId="1555CE99" w14:textId="77777777" w:rsidTr="00AE769F">
        <w:trPr>
          <w:cantSplit/>
          <w:trHeight w:val="892"/>
        </w:trPr>
        <w:tc>
          <w:tcPr>
            <w:tcW w:w="3577" w:type="dxa"/>
            <w:shd w:val="clear" w:color="auto" w:fill="FFFFFF"/>
          </w:tcPr>
          <w:p w14:paraId="2C326359" w14:textId="47A022C5" w:rsidR="00A61CDB" w:rsidRPr="001E4A55" w:rsidRDefault="00A61CDB" w:rsidP="0010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5990" w:type="dxa"/>
            <w:shd w:val="clear" w:color="auto" w:fill="FFFFFF"/>
          </w:tcPr>
          <w:p w14:paraId="241A059B" w14:textId="754D7F5A" w:rsidR="006B1ADC" w:rsidRPr="001E4A55" w:rsidRDefault="00A61CDB" w:rsidP="001077A5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Hlk512244612"/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 atbilstoši Ministru kabineta 2009.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decembra instrukcijas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 “Tiesību akta projekta sākotnējās ietekmes izvērtēšanas kārtība” 5.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803C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 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1E4A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punktam.</w:t>
            </w:r>
            <w:bookmarkEnd w:id="0"/>
          </w:p>
        </w:tc>
      </w:tr>
    </w:tbl>
    <w:p w14:paraId="17E37B68" w14:textId="77777777" w:rsidR="00A61CDB" w:rsidRPr="00DD555B" w:rsidRDefault="00A61CDB" w:rsidP="006B1ADC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956"/>
        <w:gridCol w:w="5937"/>
        <w:gridCol w:w="10"/>
      </w:tblGrid>
      <w:tr w:rsidR="00A61CDB" w:rsidRPr="00E03D92" w14:paraId="21781850" w14:textId="77777777">
        <w:trPr>
          <w:gridAfter w:val="1"/>
          <w:wAfter w:w="10" w:type="dxa"/>
          <w:trHeight w:val="419"/>
        </w:trPr>
        <w:tc>
          <w:tcPr>
            <w:tcW w:w="9493" w:type="dxa"/>
            <w:gridSpan w:val="3"/>
          </w:tcPr>
          <w:p w14:paraId="0D0204A0" w14:textId="77777777" w:rsidR="00A61CDB" w:rsidRPr="00AD7453" w:rsidRDefault="00A61CDB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D74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A61CDB" w:rsidRPr="00E03D92" w14:paraId="1AD05D23" w14:textId="77777777" w:rsidTr="00B32DD6">
        <w:trPr>
          <w:gridAfter w:val="1"/>
          <w:wAfter w:w="10" w:type="dxa"/>
          <w:trHeight w:val="619"/>
        </w:trPr>
        <w:tc>
          <w:tcPr>
            <w:tcW w:w="591" w:type="dxa"/>
          </w:tcPr>
          <w:p w14:paraId="174972A8" w14:textId="77777777" w:rsidR="00A61CDB" w:rsidRPr="00461416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14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58" w:type="dxa"/>
          </w:tcPr>
          <w:p w14:paraId="77C05658" w14:textId="77777777" w:rsidR="00A61CDB" w:rsidRPr="00000A3C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0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944" w:type="dxa"/>
          </w:tcPr>
          <w:p w14:paraId="28BD5A77" w14:textId="53105C9D" w:rsidR="00A61CDB" w:rsidRPr="00000A3C" w:rsidRDefault="00A61CDB" w:rsidP="007A1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Dzelzceļa likuma 7.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panta trešā daļa. </w:t>
            </w:r>
          </w:p>
          <w:p w14:paraId="7163C02C" w14:textId="60E4B114" w:rsidR="00F17A9F" w:rsidRPr="007B0D86" w:rsidRDefault="00C447D3" w:rsidP="007B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Satiksmes ministrijas</w:t>
            </w:r>
            <w:r w:rsidR="00FE0AC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un VAS “Latvijas dzelzceļš”</w:t>
            </w:r>
            <w:r w:rsidRPr="00000A3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iniciatīva.</w:t>
            </w:r>
          </w:p>
        </w:tc>
      </w:tr>
      <w:tr w:rsidR="00A61CDB" w:rsidRPr="005C324B" w14:paraId="13F9E54A" w14:textId="77777777" w:rsidTr="00D610B2">
        <w:trPr>
          <w:trHeight w:val="693"/>
        </w:trPr>
        <w:tc>
          <w:tcPr>
            <w:tcW w:w="591" w:type="dxa"/>
          </w:tcPr>
          <w:p w14:paraId="4691C994" w14:textId="77777777" w:rsidR="00A61CDB" w:rsidRPr="00C345DE" w:rsidRDefault="00A61CDB" w:rsidP="006078F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58" w:type="dxa"/>
          </w:tcPr>
          <w:p w14:paraId="61EEFFA4" w14:textId="77777777" w:rsidR="00A61CDB" w:rsidRPr="00C345DE" w:rsidRDefault="00A61CDB" w:rsidP="006078F4">
            <w:pPr>
              <w:widowControl/>
              <w:tabs>
                <w:tab w:val="left" w:pos="110"/>
              </w:tabs>
              <w:spacing w:after="0" w:line="240" w:lineRule="auto"/>
              <w:ind w:left="57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28D21E5B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FE3527E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E05F8C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0BE6B68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42B3DD7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9F01867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E50334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B8CF49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2F504DA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CC7F73C" w14:textId="77777777" w:rsidR="00A61CDB" w:rsidRPr="00C345DE" w:rsidRDefault="00A61CDB" w:rsidP="006078F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14:paraId="2E64A30C" w14:textId="77777777" w:rsidR="00A61CDB" w:rsidRPr="00C345DE" w:rsidRDefault="00A61CDB" w:rsidP="0060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CFCC90" w14:textId="77777777" w:rsidR="00A61CDB" w:rsidRPr="00C345DE" w:rsidRDefault="00A61CDB" w:rsidP="006078F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14:paraId="6FE79BE8" w14:textId="77777777" w:rsidR="00A61CDB" w:rsidRPr="00C345DE" w:rsidRDefault="00A61CDB" w:rsidP="006078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550D31" w14:textId="77777777" w:rsidR="00A61CDB" w:rsidRPr="00C345DE" w:rsidRDefault="00A61CDB" w:rsidP="006078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0E7D8A9" w14:textId="77777777" w:rsidR="00A61CDB" w:rsidRPr="00C345DE" w:rsidRDefault="00A61CDB" w:rsidP="006078F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44" w:type="dxa"/>
            <w:gridSpan w:val="2"/>
          </w:tcPr>
          <w:p w14:paraId="296F864A" w14:textId="791BEC00" w:rsidR="00A61CDB" w:rsidRPr="005E2DFB" w:rsidRDefault="001077A5" w:rsidP="001077A5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noteikumu projekts “Grozījum</w:t>
            </w:r>
            <w:r w:rsidR="00293A54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1998.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 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oktobra noteikumos Nr.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411 “Noteikumi par stratēģiskās un reģionālās nozīmes dzelzceļa infrastruktūras iedalījumu”” (turpmāk - 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paredz veikt grozījumu 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1998.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 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oktobra noteikumos Nr.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411 “Noteikumi par stratēģiskās un reģionālās nozīmes dzelzceļa infrastruktūras iedalījumu”</w:t>
            </w:r>
            <w:r w:rsidR="008913D1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Noteikumi Nr.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8913D1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411)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atbilstoši 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izstrādātaja</w:t>
            </w:r>
            <w:r w:rsidR="00044287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 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Ministru kabineta 2018.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 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rīkojumā Nr.</w:t>
            </w:r>
            <w:r w:rsidR="00803CC9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215 “Par publiskās lietošanas dzelzceļa infrastruktūras statusa piešķiršanu” (turpmāk –</w:t>
            </w:r>
            <w:r w:rsidR="00BE74A7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Rīkojuma projekts).</w:t>
            </w:r>
          </w:p>
          <w:p w14:paraId="6D8CEE5F" w14:textId="2669BF41" w:rsidR="00E271BB" w:rsidRPr="0045192A" w:rsidRDefault="00A61CDB" w:rsidP="001077A5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Pamatojoties uz 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 “Latvijas dzelzceļš”</w:t>
            </w:r>
            <w:r w:rsid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 – LDZ)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2020. gada</w:t>
            </w:r>
            <w:r w:rsid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1. decembra vēstuli Nr. D – 6.4.1./653 – 2020 “Par grozījumiem Ministru kabineta 2018. gada 15. maija rīkojumā Nr. 215 “Par publiskās lietošanas dzelzceļa infrastruktūras statusa piešķiršanu”, 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kurā lūgts 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precizēt Ministru kabineta 2020. gada 15. maija rīkojumu Nr. 215 “Par publiskās </w:t>
            </w:r>
            <w:r w:rsidR="005E2DFB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lietošanas dzelzceļa infrastruktūras statusa piešķiršanu” atbilstoši šā brīža situācijai, </w:t>
            </w:r>
            <w:r w:rsidR="006B5FC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izstrādāts Rīkojuma projekts.</w:t>
            </w:r>
          </w:p>
          <w:p w14:paraId="57A5C023" w14:textId="7117CF4B" w:rsidR="00A61CDB" w:rsidRPr="0045192A" w:rsidRDefault="00E271BB" w:rsidP="001077A5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</w:t>
            </w:r>
            <w:r w:rsidR="00A61CDB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Rīkojuma projektu </w:t>
            </w:r>
            <w:r w:rsidR="005E2DFB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precizēts dzelzceļa iecirknis “Čiekurkalns – Rīga Krasta”, </w:t>
            </w:r>
            <w:r w:rsidR="00731F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tādējādi </w:t>
            </w:r>
            <w:r w:rsidR="005E2DFB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izslēdzot no </w:t>
            </w:r>
            <w:r w:rsidR="00731F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LDZ pārvaldītas publiskās lietošanas dzelzceļa infrastruktūras saraksta </w:t>
            </w:r>
            <w:r w:rsidR="005E2DFB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dzelzceļa </w:t>
            </w:r>
            <w:r w:rsidR="00BB3E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infrastruktūru “Rīga Krasta”</w:t>
            </w:r>
            <w:r w:rsidR="00A260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jo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LDZ vairs nav dzelzceļa infrastruktūras “Rīga Krasta” pārvaldītājs</w:t>
            </w:r>
            <w:r w:rsidR="007455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Rīkojuma projekts 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paredz attiecīgo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dzelzceļa iecirkni iz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teikt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jaunā redakcijā: “Čiekurkalns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Ceļa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postenis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5192A" w:rsidRPr="00451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 km”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473602A" w14:textId="4096C6E1" w:rsidR="00803CC9" w:rsidRPr="005E2DFB" w:rsidRDefault="0039090B" w:rsidP="00293A54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Pamatojoties 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Rīkojuma projektā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ietverto grozījumu</w:t>
            </w:r>
            <w:r w:rsidR="00293A54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48688E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rojekts paredz</w:t>
            </w:r>
            <w:r w:rsidR="0048688E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precizēt</w:t>
            </w:r>
            <w:r w:rsidR="00A61CD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stratēģiskās (valsts) nozīmes dze</w:t>
            </w:r>
            <w:r w:rsidR="00154618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lzceļa </w:t>
            </w:r>
            <w:r w:rsidR="0048688E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infrastruktūras sarakstu,</w:t>
            </w:r>
            <w:r w:rsidR="00154618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izsakot Noteikumu Nr. 411 2.26. apakšpunktu šādā redakcijā: </w:t>
            </w:r>
            <w:r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54618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“Čiekurkalns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54618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54618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Ceļa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54618" w:rsidRPr="005E2D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postenis 3. km”</w:t>
            </w:r>
            <w:r w:rsidR="00F3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CC8F208" w14:textId="735876E2" w:rsidR="00154618" w:rsidRPr="00803CC9" w:rsidRDefault="009036C6" w:rsidP="00F343A2">
            <w:pPr>
              <w:spacing w:after="0" w:line="240" w:lineRule="auto"/>
              <w:ind w:left="68" w:right="13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 to</w:t>
            </w:r>
            <w:r w:rsidR="0029544E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 Noteikumu projekts iegūst aktualitāti </w:t>
            </w:r>
            <w:r w:rsidR="0029544E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tikai tad, kad </w:t>
            </w:r>
            <w:r w:rsidR="00154618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stāsies spēkā Rīkojuma projekts,</w:t>
            </w:r>
            <w:r w:rsidR="0029544E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54618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</w:t>
            </w:r>
            <w:r w:rsidR="0068021C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stā</w:t>
            </w:r>
            <w:r w:rsidR="0039090B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sie</w:t>
            </w:r>
            <w:r w:rsidR="0068021C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spēkā </w:t>
            </w:r>
            <w:r w:rsidR="00154618" w:rsidRPr="001546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pēc Rīkojuma projekta spēkā stāšanās.</w:t>
            </w:r>
          </w:p>
        </w:tc>
      </w:tr>
      <w:tr w:rsidR="00A61CDB" w:rsidRPr="00C345DE" w14:paraId="3CB8C2A1" w14:textId="77777777" w:rsidTr="007455A9">
        <w:trPr>
          <w:gridAfter w:val="1"/>
          <w:wAfter w:w="10" w:type="dxa"/>
          <w:trHeight w:val="889"/>
        </w:trPr>
        <w:tc>
          <w:tcPr>
            <w:tcW w:w="591" w:type="dxa"/>
          </w:tcPr>
          <w:p w14:paraId="74DE0D30" w14:textId="1FF268DB" w:rsidR="00A61CDB" w:rsidRPr="00C345DE" w:rsidRDefault="00A61CDB" w:rsidP="006078F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58" w:type="dxa"/>
          </w:tcPr>
          <w:p w14:paraId="05ACEB51" w14:textId="77777777" w:rsidR="00A61CDB" w:rsidRPr="00C345DE" w:rsidRDefault="00A61CDB" w:rsidP="006078F4">
            <w:pPr>
              <w:widowControl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5944" w:type="dxa"/>
          </w:tcPr>
          <w:p w14:paraId="55CC4616" w14:textId="5E74F2D2" w:rsidR="00A61CDB" w:rsidRPr="00C345DE" w:rsidRDefault="00F17A9F" w:rsidP="006078F4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Satiksmes ministrija</w:t>
            </w:r>
            <w:r w:rsidR="007455A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14:paraId="18A994A8" w14:textId="77777777" w:rsidR="00A61CDB" w:rsidRPr="00C345DE" w:rsidRDefault="00A61CDB" w:rsidP="006078F4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C345DE" w14:paraId="300CC9BF" w14:textId="77777777" w:rsidTr="00BE74A7">
        <w:trPr>
          <w:gridAfter w:val="1"/>
          <w:wAfter w:w="10" w:type="dxa"/>
        </w:trPr>
        <w:tc>
          <w:tcPr>
            <w:tcW w:w="591" w:type="dxa"/>
          </w:tcPr>
          <w:p w14:paraId="170F6CEA" w14:textId="77777777" w:rsidR="00A61CDB" w:rsidRPr="00C345DE" w:rsidRDefault="00A61CDB" w:rsidP="006078F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58" w:type="dxa"/>
          </w:tcPr>
          <w:p w14:paraId="45D1F8FE" w14:textId="77777777" w:rsidR="00A61CDB" w:rsidRPr="00C345DE" w:rsidRDefault="00A61CDB" w:rsidP="006078F4">
            <w:pPr>
              <w:widowControl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44" w:type="dxa"/>
          </w:tcPr>
          <w:p w14:paraId="351ADD83" w14:textId="77777777" w:rsidR="00A61CDB" w:rsidRDefault="00A61CDB" w:rsidP="007C1530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  <w:p w14:paraId="67151D2A" w14:textId="33DCB50F" w:rsidR="00A61CDB" w:rsidRPr="00C345DE" w:rsidRDefault="00A61CDB" w:rsidP="007B0D86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5A47708" w14:textId="77777777" w:rsidR="00A61CDB" w:rsidRPr="00C345DE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972"/>
        <w:gridCol w:w="5895"/>
      </w:tblGrid>
      <w:tr w:rsidR="00A61CDB" w:rsidRPr="005C324B" w14:paraId="1A0AC510" w14:textId="77777777" w:rsidTr="00BE74A7">
        <w:trPr>
          <w:trHeight w:val="6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1775528" w14:textId="77777777" w:rsidR="00A61CDB" w:rsidRPr="00C345DE" w:rsidRDefault="00A61CDB" w:rsidP="00895E3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61CDB" w:rsidRPr="005C324B" w14:paraId="154E1B70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6AF03" w14:textId="77777777" w:rsidR="00A61CDB" w:rsidRPr="00C345DE" w:rsidRDefault="00A61CDB" w:rsidP="00895E3C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4C269" w14:textId="77777777" w:rsidR="00A61CDB" w:rsidRPr="00C345DE" w:rsidRDefault="00A61CDB" w:rsidP="006432B0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Sabiedrības </w:t>
            </w:r>
            <w:proofErr w:type="spellStart"/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mērķgrupas</w:t>
            </w:r>
            <w:proofErr w:type="spellEnd"/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02F216" w14:textId="5300C1B6" w:rsidR="00A61CDB" w:rsidRPr="00C345DE" w:rsidRDefault="008913D1" w:rsidP="0094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</w:t>
            </w:r>
            <w:r w:rsidR="00A61CDB"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ārvadātāji,</w:t>
            </w: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F17A9F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kas izmanto</w:t>
            </w:r>
            <w:r w:rsidRPr="00C345D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 attiecīgo dzelzceļa infrastruktūru,</w:t>
            </w:r>
            <w:r w:rsidR="00A61CDB"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kravas saņēmēji, nosūtītāji.</w:t>
            </w:r>
          </w:p>
          <w:p w14:paraId="010E1BD3" w14:textId="77777777" w:rsidR="00A61CDB" w:rsidRPr="00C345DE" w:rsidRDefault="00A61CDB" w:rsidP="006432B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C345DE" w14:paraId="688E7F9E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F4A7D" w14:textId="77777777" w:rsidR="00A61CDB" w:rsidRPr="00C345DE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98898" w14:textId="77777777" w:rsidR="00A61CDB" w:rsidRPr="00C345DE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DA1619" w14:textId="77777777" w:rsidR="00A61CDB" w:rsidRPr="00C345DE" w:rsidRDefault="00A61CDB" w:rsidP="006432B0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345D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A61CDB" w:rsidRPr="00DC49F0" w14:paraId="4190D5B0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2B5A1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EA42C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9AD1F26" w14:textId="77777777" w:rsidR="00A61CDB" w:rsidRPr="00DC49F0" w:rsidRDefault="00A61CDB" w:rsidP="006432B0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A61CDB" w:rsidRPr="00DC49F0" w14:paraId="78E35AF5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29574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C7F26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Atbilstības izmaksu monetārs novērtējums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3769FF6" w14:textId="77777777" w:rsidR="00A61CDB" w:rsidRPr="00DC49F0" w:rsidRDefault="00A61CDB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A61CDB" w:rsidRPr="00DC49F0" w14:paraId="6F725849" w14:textId="77777777"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56ADB" w14:textId="77777777" w:rsidR="00A61CDB" w:rsidRPr="00DC49F0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12528" w14:textId="77777777" w:rsidR="00A61CDB" w:rsidRPr="00DC49F0" w:rsidRDefault="00A61CDB" w:rsidP="006432B0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39DFFFC" w14:textId="0A2BAFCB" w:rsidR="00A61CDB" w:rsidRPr="00DC49F0" w:rsidRDefault="00A61CDB" w:rsidP="00B8582A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14:paraId="644B327C" w14:textId="77777777" w:rsidR="00C45ED5" w:rsidRPr="00DC49F0" w:rsidRDefault="00C45ED5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A61CDB" w:rsidRPr="005C324B" w14:paraId="1769A617" w14:textId="77777777">
        <w:trPr>
          <w:trHeight w:val="372"/>
        </w:trPr>
        <w:tc>
          <w:tcPr>
            <w:tcW w:w="9498" w:type="dxa"/>
            <w:tcBorders>
              <w:top w:val="outset" w:sz="6" w:space="0" w:color="000000"/>
              <w:bottom w:val="outset" w:sz="6" w:space="0" w:color="000000"/>
            </w:tcBorders>
          </w:tcPr>
          <w:p w14:paraId="12AD24CE" w14:textId="77777777" w:rsidR="00A61CDB" w:rsidRPr="00DC49F0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A61CDB" w:rsidRPr="00DC49F0" w14:paraId="126DF404" w14:textId="77777777">
        <w:trPr>
          <w:trHeight w:val="450"/>
        </w:trPr>
        <w:tc>
          <w:tcPr>
            <w:tcW w:w="9498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14:paraId="4B157D1F" w14:textId="77777777" w:rsidR="00A61CDB" w:rsidRPr="00DC49F0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14:paraId="41901AA9" w14:textId="77777777" w:rsidR="00952420" w:rsidRPr="00DC49F0" w:rsidRDefault="00952420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9498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26"/>
        <w:gridCol w:w="2972"/>
        <w:gridCol w:w="5900"/>
      </w:tblGrid>
      <w:tr w:rsidR="00A61CDB" w:rsidRPr="005C324B" w14:paraId="217AE45A" w14:textId="77777777" w:rsidTr="00F17A9F">
        <w:trPr>
          <w:trHeight w:val="372"/>
        </w:trPr>
        <w:tc>
          <w:tcPr>
            <w:tcW w:w="9498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1D9CBFE8" w14:textId="77777777" w:rsidR="00A61CDB" w:rsidRPr="00DC49F0" w:rsidRDefault="00A61CDB" w:rsidP="00895E3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A61CDB" w:rsidRPr="005C324B" w14:paraId="1D50BB64" w14:textId="77777777" w:rsidTr="00F17A9F">
        <w:tblPrEx>
          <w:tblLook w:val="0000" w:firstRow="0" w:lastRow="0" w:firstColumn="0" w:lastColumn="0" w:noHBand="0" w:noVBand="0"/>
        </w:tblPrEx>
        <w:trPr>
          <w:trHeight w:val="1933"/>
        </w:trPr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70599" w14:textId="77777777" w:rsidR="00A61CDB" w:rsidRPr="00DC49F0" w:rsidRDefault="00A61CDB" w:rsidP="0094650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E7B32" w14:textId="77777777" w:rsidR="00A61CDB" w:rsidRPr="00DC49F0" w:rsidRDefault="00A61CDB" w:rsidP="0094650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Saistītie tiesību aktu projekti</w:t>
            </w:r>
          </w:p>
        </w:tc>
        <w:tc>
          <w:tcPr>
            <w:tcW w:w="5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892B59" w14:textId="65B76322" w:rsidR="00F17A9F" w:rsidRPr="006B1ADC" w:rsidRDefault="00F343A2" w:rsidP="0094650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virzība ir pamatota ar</w:t>
            </w:r>
            <w:r w:rsidR="000B50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</w:t>
            </w:r>
            <w:r w:rsidR="00F17A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rozījumu 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2018.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15.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rīkojumā Nr.</w:t>
            </w:r>
            <w:r w:rsidR="00803C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61CDB"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215 “Par publiskās lietošanas </w:t>
            </w:r>
            <w:r w:rsidR="00A61CDB" w:rsidRPr="00000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dzelzceļa infrastruktūras statusa piešķiršanu”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kas paredz izslēgt </w:t>
            </w:r>
            <w:r w:rsidRPr="00D610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dzelzceļa infrastruktūru “Rīga – Krasta” no  dzelzceļa infrastruktūras, kurai piešķirts publiskās lietošanas dzelzceļa infrastruktūras statuss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saraksta</w:t>
            </w:r>
            <w:r w:rsidR="00C447D3" w:rsidRPr="00000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452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iesību akta projekts tiek virzīts vienlaikus ar Projektu</w:t>
            </w:r>
            <w:r w:rsidR="00C447D3" w:rsidRPr="009512B9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.</w:t>
            </w:r>
          </w:p>
        </w:tc>
      </w:tr>
      <w:tr w:rsidR="00A61CDB" w:rsidRPr="00DC49F0" w14:paraId="584A0C34" w14:textId="77777777" w:rsidTr="00F17A9F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1BECC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17F49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Atbildīgā institūcija</w:t>
            </w:r>
          </w:p>
        </w:tc>
        <w:tc>
          <w:tcPr>
            <w:tcW w:w="5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1FDC62A" w14:textId="77777777" w:rsidR="00A61CDB" w:rsidRDefault="00A61CDB" w:rsidP="00946504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Satiksmes ministrija.</w:t>
            </w:r>
          </w:p>
          <w:p w14:paraId="752CF1ED" w14:textId="67203EEB" w:rsidR="00F17A9F" w:rsidRPr="00DC49F0" w:rsidRDefault="00F17A9F" w:rsidP="00946504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DC49F0" w14:paraId="4A7584BF" w14:textId="77777777" w:rsidTr="00F17A9F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31184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3BAA2" w14:textId="77777777" w:rsidR="00A61CDB" w:rsidRPr="00DC49F0" w:rsidRDefault="00A61CDB" w:rsidP="00946504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C49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99BD635" w14:textId="63314CCA" w:rsidR="00F17A9F" w:rsidRPr="00DC49F0" w:rsidRDefault="0024520B" w:rsidP="00F17A9F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67784280" w14:textId="77777777" w:rsidR="00A61CDB" w:rsidRDefault="00A61CDB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98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F17A9F" w:rsidRPr="008F12EE" w14:paraId="6B9760A0" w14:textId="77777777" w:rsidTr="00F17A9F">
        <w:trPr>
          <w:trHeight w:val="372"/>
        </w:trPr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053B1" w14:textId="77777777" w:rsidR="00F17A9F" w:rsidRPr="00F17A9F" w:rsidRDefault="00F17A9F" w:rsidP="002157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F17A9F" w:rsidRPr="008F12EE" w14:paraId="4529F715" w14:textId="77777777" w:rsidTr="00F17A9F">
        <w:trPr>
          <w:trHeight w:val="372"/>
        </w:trPr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EA057" w14:textId="54C3C445" w:rsidR="00F17A9F" w:rsidRPr="006B1ADC" w:rsidRDefault="00F17A9F" w:rsidP="006B1AD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14:paraId="734AB4A0" w14:textId="77777777" w:rsidR="00F17A9F" w:rsidRDefault="00F17A9F" w:rsidP="0024095F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lv-LV" w:eastAsia="lv-LV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"/>
        <w:gridCol w:w="3118"/>
        <w:gridCol w:w="5954"/>
      </w:tblGrid>
      <w:tr w:rsidR="00F17A9F" w:rsidRPr="0014329A" w14:paraId="3C550B5E" w14:textId="77777777" w:rsidTr="00F17A9F">
        <w:trPr>
          <w:trHeight w:val="421"/>
        </w:trPr>
        <w:tc>
          <w:tcPr>
            <w:tcW w:w="9483" w:type="dxa"/>
            <w:gridSpan w:val="3"/>
          </w:tcPr>
          <w:p w14:paraId="16C91C72" w14:textId="77777777" w:rsidR="00F17A9F" w:rsidRPr="00F17A9F" w:rsidRDefault="00F17A9F" w:rsidP="002157C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VI. Sabiedrības līdzdalība un komunikācijas aktivitātes</w:t>
            </w:r>
          </w:p>
        </w:tc>
      </w:tr>
      <w:tr w:rsidR="00F17A9F" w:rsidRPr="0014329A" w14:paraId="43345B8A" w14:textId="77777777" w:rsidTr="00F17A9F">
        <w:trPr>
          <w:trHeight w:val="1489"/>
        </w:trPr>
        <w:tc>
          <w:tcPr>
            <w:tcW w:w="411" w:type="dxa"/>
          </w:tcPr>
          <w:p w14:paraId="25A1F9B4" w14:textId="77777777" w:rsidR="00F17A9F" w:rsidRPr="0070379B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3118" w:type="dxa"/>
          </w:tcPr>
          <w:p w14:paraId="51F53F16" w14:textId="77777777" w:rsidR="00F17A9F" w:rsidRPr="00F17A9F" w:rsidRDefault="00F17A9F" w:rsidP="002157CA">
            <w:pPr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5954" w:type="dxa"/>
          </w:tcPr>
          <w:p w14:paraId="488220E2" w14:textId="5AFF2D51" w:rsidR="00F17A9F" w:rsidRPr="00F17A9F" w:rsidRDefault="00F17A9F" w:rsidP="00186392">
            <w:pPr>
              <w:shd w:val="clear" w:color="auto" w:fill="FFFFFF"/>
              <w:spacing w:after="0" w:line="240" w:lineRule="auto"/>
              <w:ind w:left="129" w:right="144" w:firstLine="1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Atbilstoši Ministru kabineta 2009. gada 25. augusta noteikum</w:t>
            </w:r>
            <w:r w:rsidR="0024520B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u</w:t>
            </w: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Nr. 970 „Sabiedrības līdzdalības kārtība attīstības plānošanas procesā” 7.4.</w:t>
            </w:r>
            <w:r w:rsidRPr="00F17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 w:eastAsia="lv-LV"/>
              </w:rPr>
              <w:t>1</w:t>
            </w: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 apakšpunktam sabiedrībai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ti</w:t>
            </w:r>
            <w:r w:rsidR="00186392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ka</w:t>
            </w: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dota iespēja rakstiski sniegt viedokli par Projektu izstrādes stadijā.</w:t>
            </w:r>
          </w:p>
        </w:tc>
      </w:tr>
      <w:tr w:rsidR="00F17A9F" w:rsidRPr="0014329A" w14:paraId="17159961" w14:textId="77777777" w:rsidTr="00E5129C">
        <w:trPr>
          <w:trHeight w:val="4006"/>
        </w:trPr>
        <w:tc>
          <w:tcPr>
            <w:tcW w:w="411" w:type="dxa"/>
          </w:tcPr>
          <w:p w14:paraId="4AA88404" w14:textId="77777777" w:rsidR="00F17A9F" w:rsidRPr="0070379B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8" w:type="dxa"/>
          </w:tcPr>
          <w:p w14:paraId="3DDD60D9" w14:textId="77777777" w:rsidR="00F17A9F" w:rsidRPr="00F17A9F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5954" w:type="dxa"/>
          </w:tcPr>
          <w:p w14:paraId="70D9450A" w14:textId="77777777" w:rsidR="00F17A9F" w:rsidRPr="00F17A9F" w:rsidRDefault="00F17A9F" w:rsidP="000C78CA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Projekts un tā sākotnējās ietekmes novērtējuma ziņojums (anotācija) 2021. gada 9. jūlijā tika ievietots tīmekļvietnē:</w:t>
            </w:r>
          </w:p>
          <w:p w14:paraId="218CFA1E" w14:textId="7CF637D7" w:rsidR="00702F43" w:rsidRDefault="00D610B2" w:rsidP="000C78CA">
            <w:pPr>
              <w:pStyle w:val="NormalWeb"/>
              <w:ind w:left="141" w:right="139"/>
              <w:jc w:val="both"/>
              <w:rPr>
                <w:rStyle w:val="Hyperlink"/>
                <w:rFonts w:ascii="Times New Roman" w:hAnsi="Times New Roman"/>
                <w:lang w:eastAsia="en-US"/>
              </w:rPr>
            </w:pPr>
            <w:hyperlink r:id="rId7" w:history="1">
              <w:r w:rsidR="00702F43" w:rsidRPr="003A458C">
                <w:rPr>
                  <w:rStyle w:val="Hyperlink"/>
                  <w:rFonts w:ascii="Times New Roman" w:hAnsi="Times New Roman"/>
                  <w:lang w:eastAsia="en-US"/>
                </w:rPr>
                <w:t>https://www.sam.gov.lv/lv/jaunums/ministru-kabineta-noteikumu-projekts-grozijums-ministru-kabineta-1998-gada-20-oktobra-noteikumos-nr-411-noteikumi-par-strategiskas-un-regionalas-nozimes-dzelzcela-infrastrukturas-iedalijumu</w:t>
              </w:r>
            </w:hyperlink>
          </w:p>
          <w:p w14:paraId="0F60E6B5" w14:textId="38641BAD" w:rsidR="00F17A9F" w:rsidRPr="00F17A9F" w:rsidRDefault="00F17A9F" w:rsidP="002157CA">
            <w:pPr>
              <w:pStyle w:val="NormalWeb"/>
              <w:ind w:left="141" w:right="139"/>
              <w:jc w:val="both"/>
              <w:rPr>
                <w:rFonts w:ascii="Times New Roman" w:hAnsi="Times New Roman"/>
              </w:rPr>
            </w:pPr>
            <w:r w:rsidRPr="00F17A9F">
              <w:rPr>
                <w:rFonts w:ascii="Times New Roman" w:hAnsi="Times New Roman"/>
                <w:iCs/>
              </w:rPr>
              <w:t>Ministru kabineta tīmekļvietnē sadaļā “Valsts kanceleja” – “Sabiedrības līdzdalība</w:t>
            </w:r>
            <w:r w:rsidRPr="00F17A9F">
              <w:rPr>
                <w:rFonts w:ascii="Times New Roman" w:hAnsi="Times New Roman"/>
              </w:rPr>
              <w:t>”</w:t>
            </w:r>
            <w:r w:rsidRPr="00F17A9F">
              <w:rPr>
                <w:rFonts w:ascii="Times New Roman" w:hAnsi="Times New Roman"/>
                <w:iCs/>
              </w:rPr>
              <w:t>:</w:t>
            </w:r>
            <w:r w:rsidRPr="00F17A9F">
              <w:rPr>
                <w:rFonts w:ascii="Times New Roman" w:hAnsi="Times New Roman"/>
              </w:rPr>
              <w:t xml:space="preserve"> </w:t>
            </w:r>
          </w:p>
          <w:p w14:paraId="137F5612" w14:textId="126BE848" w:rsidR="00F17A9F" w:rsidRPr="00F17A9F" w:rsidRDefault="00D610B2" w:rsidP="00F17A9F">
            <w:pPr>
              <w:pStyle w:val="NormalWeb"/>
              <w:ind w:left="141" w:right="139"/>
              <w:jc w:val="both"/>
              <w:rPr>
                <w:rFonts w:ascii="Times New Roman" w:hAnsi="Times New Roman"/>
                <w:color w:val="0563C1"/>
                <w:u w:val="single"/>
              </w:rPr>
            </w:pPr>
            <w:hyperlink r:id="rId8" w:history="1">
              <w:r w:rsidR="00F17A9F" w:rsidRPr="00F17A9F">
                <w:rPr>
                  <w:rStyle w:val="Hyperlink"/>
                  <w:rFonts w:ascii="Times New Roman" w:hAnsi="Times New Roman"/>
                </w:rPr>
                <w:t>https://mk.gov.lv/content/ministru-kabineta-diskusiju-dokumenti</w:t>
              </w:r>
            </w:hyperlink>
          </w:p>
        </w:tc>
      </w:tr>
      <w:tr w:rsidR="00F17A9F" w:rsidRPr="0014329A" w14:paraId="76D69FFD" w14:textId="77777777" w:rsidTr="00F17A9F">
        <w:trPr>
          <w:trHeight w:val="482"/>
        </w:trPr>
        <w:tc>
          <w:tcPr>
            <w:tcW w:w="411" w:type="dxa"/>
          </w:tcPr>
          <w:p w14:paraId="32A9D17E" w14:textId="77777777" w:rsidR="00F17A9F" w:rsidRPr="0070379B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8" w:type="dxa"/>
          </w:tcPr>
          <w:p w14:paraId="37D68B8B" w14:textId="77777777" w:rsidR="00F17A9F" w:rsidRPr="00F17A9F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5954" w:type="dxa"/>
          </w:tcPr>
          <w:p w14:paraId="3CB412E3" w14:textId="4F343547" w:rsidR="00F17A9F" w:rsidRPr="00F17A9F" w:rsidRDefault="00E5129C" w:rsidP="002157CA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Priekšlikumi un iebildumi netika saņemti.</w:t>
            </w:r>
          </w:p>
          <w:p w14:paraId="63455B90" w14:textId="77777777" w:rsidR="00F17A9F" w:rsidRPr="00F17A9F" w:rsidRDefault="00F17A9F" w:rsidP="002157CA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17A9F" w:rsidRPr="0014329A" w14:paraId="4A98C929" w14:textId="77777777" w:rsidTr="00F17A9F">
        <w:trPr>
          <w:trHeight w:val="476"/>
        </w:trPr>
        <w:tc>
          <w:tcPr>
            <w:tcW w:w="411" w:type="dxa"/>
          </w:tcPr>
          <w:p w14:paraId="22C4B6B5" w14:textId="77777777" w:rsidR="00F17A9F" w:rsidRPr="0070379B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8" w:type="dxa"/>
          </w:tcPr>
          <w:p w14:paraId="6FA1F2BA" w14:textId="77777777" w:rsidR="00F17A9F" w:rsidRPr="00F17A9F" w:rsidRDefault="00F17A9F" w:rsidP="002157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F17A9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954" w:type="dxa"/>
          </w:tcPr>
          <w:p w14:paraId="32E9B385" w14:textId="77777777" w:rsidR="00F17A9F" w:rsidRPr="0070379B" w:rsidRDefault="00F17A9F" w:rsidP="002157CA">
            <w:pPr>
              <w:spacing w:after="0" w:line="240" w:lineRule="auto"/>
              <w:ind w:right="57" w:firstLine="1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79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76A79F71" w14:textId="77777777" w:rsidR="00A61CDB" w:rsidRPr="00E83B3B" w:rsidRDefault="00A61CDB" w:rsidP="00284F34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lang w:val="lv-LV" w:eastAsia="lv-LV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="00A61CDB" w:rsidRPr="005C324B" w14:paraId="6E0560AC" w14:textId="77777777">
        <w:trPr>
          <w:trHeight w:val="580"/>
        </w:trPr>
        <w:tc>
          <w:tcPr>
            <w:tcW w:w="9498" w:type="dxa"/>
            <w:gridSpan w:val="3"/>
          </w:tcPr>
          <w:p w14:paraId="179C9B7A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61CDB" w:rsidRPr="005C324B" w14:paraId="5F40EEC5" w14:textId="77777777" w:rsidTr="00C345DE">
        <w:trPr>
          <w:trHeight w:val="610"/>
        </w:trPr>
        <w:tc>
          <w:tcPr>
            <w:tcW w:w="426" w:type="dxa"/>
          </w:tcPr>
          <w:p w14:paraId="5F5AA004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1" w:name="_Hlk535848927"/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32B9AB45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954" w:type="dxa"/>
          </w:tcPr>
          <w:p w14:paraId="17EC4C89" w14:textId="06A45190" w:rsidR="00A61CDB" w:rsidRPr="00464229" w:rsidRDefault="00C345DE" w:rsidP="00426C3F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Valsts dzelzceļa administrācija.</w:t>
            </w:r>
          </w:p>
        </w:tc>
      </w:tr>
      <w:tr w:rsidR="00A61CDB" w:rsidRPr="005C324B" w14:paraId="2739EDE6" w14:textId="77777777">
        <w:trPr>
          <w:trHeight w:val="463"/>
        </w:trPr>
        <w:tc>
          <w:tcPr>
            <w:tcW w:w="426" w:type="dxa"/>
          </w:tcPr>
          <w:p w14:paraId="5914F4F3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1405F203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izpildes ietekme uz pār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valdes funkcijām un institucionālo struktūru.</w:t>
            </w:r>
          </w:p>
          <w:p w14:paraId="43220780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954" w:type="dxa"/>
          </w:tcPr>
          <w:p w14:paraId="0B868C00" w14:textId="6852F752" w:rsidR="00A61CDB" w:rsidRPr="00464229" w:rsidRDefault="00A61CDB" w:rsidP="00426C3F">
            <w:pPr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īstenošana tiks veikta esošo cilvēkresursu ietvaros. Saistībā ar projekta izpildi </w:t>
            </w:r>
            <w:r w:rsidR="003A7C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nepieciešams veidot jaunas institūcijas vai likvidēt vai reorganizēt esošās.  </w:t>
            </w:r>
          </w:p>
          <w:p w14:paraId="43B58EF4" w14:textId="77777777" w:rsidR="00A61CDB" w:rsidRPr="00464229" w:rsidRDefault="00A61CDB" w:rsidP="00426C3F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61CDB" w:rsidRPr="00DD555B" w14:paraId="65F26C79" w14:textId="77777777">
        <w:trPr>
          <w:trHeight w:val="402"/>
        </w:trPr>
        <w:tc>
          <w:tcPr>
            <w:tcW w:w="426" w:type="dxa"/>
          </w:tcPr>
          <w:p w14:paraId="7468606D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</w:tcPr>
          <w:p w14:paraId="63482790" w14:textId="77777777" w:rsidR="00A61CDB" w:rsidRPr="00464229" w:rsidRDefault="00A61CDB" w:rsidP="00895E3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54" w:type="dxa"/>
          </w:tcPr>
          <w:p w14:paraId="6222A3CA" w14:textId="77777777" w:rsidR="00A61CDB" w:rsidRPr="00464229" w:rsidRDefault="00A61CDB" w:rsidP="00195A92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6422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  <w:bookmarkEnd w:id="1"/>
    </w:tbl>
    <w:p w14:paraId="2BFA2E28" w14:textId="77777777" w:rsidR="00A61CDB" w:rsidRPr="00DD555B" w:rsidRDefault="00A61CDB" w:rsidP="006432B0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14:paraId="37C97EF0" w14:textId="222111B5" w:rsidR="00A61CDB" w:rsidRDefault="00A61CDB" w:rsidP="006432B0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>atiksmes ministrs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T. Linkaits</w:t>
      </w:r>
    </w:p>
    <w:p w14:paraId="69B104B9" w14:textId="77777777" w:rsidR="006B1ADC" w:rsidRPr="00DD555B" w:rsidRDefault="006B1ADC" w:rsidP="006432B0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23F018" w14:textId="15C1988C" w:rsidR="00F17A9F" w:rsidRDefault="00A61CDB" w:rsidP="00464229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D555B">
        <w:rPr>
          <w:rFonts w:ascii="Times New Roman" w:hAnsi="Times New Roman" w:cs="Times New Roman"/>
          <w:sz w:val="24"/>
          <w:szCs w:val="24"/>
          <w:lang w:val="lv-LV"/>
        </w:rPr>
        <w:t xml:space="preserve">Vīza: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DD555B">
        <w:rPr>
          <w:rFonts w:ascii="Times New Roman" w:hAnsi="Times New Roman" w:cs="Times New Roman"/>
          <w:sz w:val="24"/>
          <w:szCs w:val="24"/>
          <w:lang w:val="lv-LV"/>
        </w:rPr>
        <w:t xml:space="preserve">alsts </w:t>
      </w:r>
      <w:r w:rsidR="00000A3C">
        <w:rPr>
          <w:rFonts w:ascii="Times New Roman" w:hAnsi="Times New Roman" w:cs="Times New Roman"/>
          <w:sz w:val="24"/>
          <w:szCs w:val="24"/>
          <w:lang w:val="lv-LV"/>
        </w:rPr>
        <w:t>sekretār</w:t>
      </w:r>
      <w:r w:rsidR="0024520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17A9F">
        <w:rPr>
          <w:rFonts w:ascii="Times New Roman" w:hAnsi="Times New Roman" w:cs="Times New Roman"/>
          <w:sz w:val="24"/>
          <w:szCs w:val="24"/>
          <w:lang w:val="lv-LV"/>
        </w:rPr>
        <w:t xml:space="preserve"> vietā</w:t>
      </w:r>
      <w:r w:rsidR="0024520B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</w:p>
    <w:p w14:paraId="486942FD" w14:textId="12796252" w:rsidR="00A61CDB" w:rsidRPr="00DD555B" w:rsidRDefault="00F17A9F" w:rsidP="00464229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Valsts sekretāra vietniece</w:t>
      </w:r>
      <w:r w:rsidR="00A61CDB"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61CDB" w:rsidRPr="00DD555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</w:t>
      </w:r>
      <w:r w:rsidR="00A61CDB"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61CDB" w:rsidRPr="00DD555B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L. 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Austrupe</w:t>
      </w:r>
      <w:proofErr w:type="spellEnd"/>
    </w:p>
    <w:sectPr w:rsidR="00A61CDB" w:rsidRPr="00DD555B" w:rsidSect="00F17A9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2A15" w14:textId="77777777" w:rsidR="00F81AE0" w:rsidRDefault="00F81AE0" w:rsidP="00D143FB">
      <w:pPr>
        <w:spacing w:after="0" w:line="240" w:lineRule="auto"/>
      </w:pPr>
      <w:r>
        <w:separator/>
      </w:r>
    </w:p>
  </w:endnote>
  <w:endnote w:type="continuationSeparator" w:id="0">
    <w:p w14:paraId="01D2D32E" w14:textId="77777777" w:rsidR="00F81AE0" w:rsidRDefault="00F81AE0" w:rsidP="00D143FB">
      <w:pPr>
        <w:spacing w:after="0" w:line="240" w:lineRule="auto"/>
      </w:pPr>
      <w:r>
        <w:continuationSeparator/>
      </w:r>
    </w:p>
  </w:endnote>
  <w:endnote w:type="continuationNotice" w:id="1">
    <w:p w14:paraId="4EF37242" w14:textId="77777777" w:rsidR="005C57E4" w:rsidRDefault="005C5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0373" w14:textId="77777777" w:rsidR="00F81AE0" w:rsidRDefault="00F81AE0" w:rsidP="00003AC0">
    <w:pPr>
      <w:pStyle w:val="Footer"/>
      <w:rPr>
        <w:rFonts w:ascii="Times New Roman" w:hAnsi="Times New Roman" w:cs="Times New Roman"/>
        <w:noProof/>
        <w:sz w:val="20"/>
        <w:szCs w:val="20"/>
      </w:rPr>
    </w:pPr>
  </w:p>
  <w:p w14:paraId="39E7219A" w14:textId="196FA817" w:rsidR="00F81AE0" w:rsidRPr="00DB0CD5" w:rsidRDefault="00F81AE0" w:rsidP="00464229">
    <w:pPr>
      <w:pStyle w:val="Footer"/>
      <w:tabs>
        <w:tab w:val="clear" w:pos="4153"/>
        <w:tab w:val="clear" w:pos="8306"/>
        <w:tab w:val="left" w:pos="5880"/>
      </w:tabs>
      <w:rPr>
        <w:rFonts w:ascii="Times New Roman" w:hAnsi="Times New Roman" w:cs="Times New Roman"/>
        <w:sz w:val="20"/>
        <w:szCs w:val="20"/>
      </w:rPr>
    </w:pPr>
    <w:r w:rsidRPr="00AD7453">
      <w:rPr>
        <w:rFonts w:ascii="Times New Roman" w:hAnsi="Times New Roman" w:cs="Times New Roman"/>
        <w:noProof/>
        <w:sz w:val="20"/>
        <w:szCs w:val="20"/>
      </w:rPr>
      <w:t>SMAnot_</w:t>
    </w:r>
    <w:r w:rsidR="00F17A9F">
      <w:rPr>
        <w:rFonts w:ascii="Times New Roman" w:hAnsi="Times New Roman" w:cs="Times New Roman"/>
        <w:noProof/>
        <w:sz w:val="20"/>
        <w:szCs w:val="20"/>
      </w:rPr>
      <w:t>060721</w:t>
    </w:r>
    <w:r w:rsidRPr="00AD7453">
      <w:rPr>
        <w:rFonts w:ascii="Times New Roman" w:hAnsi="Times New Roman" w:cs="Times New Roman"/>
        <w:noProof/>
        <w:sz w:val="20"/>
        <w:szCs w:val="20"/>
      </w:rPr>
      <w:t>_</w:t>
    </w:r>
    <w:r>
      <w:rPr>
        <w:rFonts w:ascii="Times New Roman" w:hAnsi="Times New Roman" w:cs="Times New Roman"/>
        <w:noProof/>
        <w:sz w:val="20"/>
        <w:szCs w:val="20"/>
      </w:rPr>
      <w:t>GrozMKNot_411</w:t>
    </w:r>
    <w:r>
      <w:rPr>
        <w:rFonts w:ascii="Times New Roman" w:hAnsi="Times New Roman" w:cs="Times New Roman"/>
        <w:noProof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7D07" w14:textId="0A9C0AE3" w:rsidR="00F81AE0" w:rsidRPr="00A0261B" w:rsidRDefault="00F81AE0" w:rsidP="00003AC0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AD7453">
      <w:rPr>
        <w:rFonts w:ascii="Times New Roman" w:hAnsi="Times New Roman" w:cs="Times New Roman"/>
        <w:sz w:val="20"/>
        <w:szCs w:val="20"/>
        <w:lang w:val="lv-LV"/>
      </w:rPr>
      <w:t>SMAnot_</w:t>
    </w:r>
    <w:r w:rsidR="003E6119">
      <w:rPr>
        <w:rFonts w:ascii="Times New Roman" w:hAnsi="Times New Roman" w:cs="Times New Roman"/>
        <w:sz w:val="20"/>
        <w:szCs w:val="20"/>
        <w:lang w:val="lv-LV"/>
      </w:rPr>
      <w:t>060721</w:t>
    </w:r>
    <w:r w:rsidRPr="00AD7453">
      <w:rPr>
        <w:rFonts w:ascii="Times New Roman" w:hAnsi="Times New Roman" w:cs="Times New Roman"/>
        <w:sz w:val="20"/>
        <w:szCs w:val="20"/>
        <w:lang w:val="lv-LV"/>
      </w:rPr>
      <w:t>_</w:t>
    </w:r>
    <w:r w:rsidR="00A61CDB">
      <w:rPr>
        <w:rFonts w:ascii="Times New Roman" w:hAnsi="Times New Roman" w:cs="Times New Roman"/>
        <w:sz w:val="20"/>
        <w:szCs w:val="20"/>
        <w:lang w:val="lv-LV"/>
      </w:rPr>
      <w:t>Groz</w:t>
    </w:r>
    <w:r w:rsidR="00A61CDB" w:rsidRPr="00AD7453">
      <w:rPr>
        <w:rFonts w:ascii="Times New Roman" w:hAnsi="Times New Roman" w:cs="Times New Roman"/>
        <w:sz w:val="20"/>
        <w:szCs w:val="20"/>
        <w:lang w:val="lv-LV"/>
      </w:rPr>
      <w:t>M</w:t>
    </w:r>
    <w:r w:rsidR="009036C6">
      <w:rPr>
        <w:rFonts w:ascii="Times New Roman" w:hAnsi="Times New Roman" w:cs="Times New Roman"/>
        <w:sz w:val="20"/>
        <w:szCs w:val="20"/>
        <w:lang w:val="lv-LV"/>
      </w:rPr>
      <w:t>K</w:t>
    </w:r>
    <w:r w:rsidR="00A61CDB">
      <w:rPr>
        <w:rFonts w:ascii="Times New Roman" w:hAnsi="Times New Roman" w:cs="Times New Roman"/>
        <w:sz w:val="20"/>
        <w:szCs w:val="20"/>
        <w:lang w:val="lv-LV"/>
      </w:rPr>
      <w:t>Not</w:t>
    </w:r>
    <w:r>
      <w:rPr>
        <w:rFonts w:ascii="Times New Roman" w:hAnsi="Times New Roman" w:cs="Times New Roman"/>
        <w:sz w:val="20"/>
        <w:szCs w:val="20"/>
        <w:lang w:val="lv-LV"/>
      </w:rPr>
      <w:t>_411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1079" w14:textId="77777777" w:rsidR="00F81AE0" w:rsidRDefault="00F81AE0" w:rsidP="00D143FB">
      <w:pPr>
        <w:spacing w:after="0" w:line="240" w:lineRule="auto"/>
      </w:pPr>
      <w:r>
        <w:separator/>
      </w:r>
    </w:p>
  </w:footnote>
  <w:footnote w:type="continuationSeparator" w:id="0">
    <w:p w14:paraId="33C341EF" w14:textId="77777777" w:rsidR="00F81AE0" w:rsidRDefault="00F81AE0" w:rsidP="00D143FB">
      <w:pPr>
        <w:spacing w:after="0" w:line="240" w:lineRule="auto"/>
      </w:pPr>
      <w:r>
        <w:continuationSeparator/>
      </w:r>
    </w:p>
  </w:footnote>
  <w:footnote w:type="continuationNotice" w:id="1">
    <w:p w14:paraId="1D4BA0A8" w14:textId="77777777" w:rsidR="005C57E4" w:rsidRDefault="005C5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7107" w14:textId="77777777" w:rsidR="00F81AE0" w:rsidRPr="00D143FB" w:rsidRDefault="00F81AE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143FB">
      <w:rPr>
        <w:rFonts w:ascii="Times New Roman" w:hAnsi="Times New Roman" w:cs="Times New Roman"/>
        <w:sz w:val="24"/>
        <w:szCs w:val="24"/>
      </w:rPr>
      <w:fldChar w:fldCharType="begin"/>
    </w:r>
    <w:r w:rsidRPr="00D143F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43FB">
      <w:rPr>
        <w:rFonts w:ascii="Times New Roman" w:hAnsi="Times New Roman" w:cs="Times New Roman"/>
        <w:sz w:val="24"/>
        <w:szCs w:val="24"/>
      </w:rPr>
      <w:fldChar w:fldCharType="separate"/>
    </w:r>
    <w:r w:rsidR="000C78CA">
      <w:rPr>
        <w:rFonts w:ascii="Times New Roman" w:hAnsi="Times New Roman" w:cs="Times New Roman"/>
        <w:noProof/>
        <w:sz w:val="24"/>
        <w:szCs w:val="24"/>
      </w:rPr>
      <w:t>4</w:t>
    </w:r>
    <w:r w:rsidRPr="00D143FB">
      <w:rPr>
        <w:rFonts w:ascii="Times New Roman" w:hAnsi="Times New Roman" w:cs="Times New Roman"/>
        <w:sz w:val="24"/>
        <w:szCs w:val="24"/>
      </w:rPr>
      <w:fldChar w:fldCharType="end"/>
    </w:r>
  </w:p>
  <w:p w14:paraId="35C2FB2D" w14:textId="77777777" w:rsidR="00F81AE0" w:rsidRDefault="00F8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0E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87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24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C0B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C6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2DA3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00A6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C105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8A6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B48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8562D5"/>
    <w:multiLevelType w:val="hybridMultilevel"/>
    <w:tmpl w:val="629C6540"/>
    <w:lvl w:ilvl="0" w:tplc="D564D4D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C658DD"/>
    <w:multiLevelType w:val="hybridMultilevel"/>
    <w:tmpl w:val="BA1AE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2791"/>
    <w:multiLevelType w:val="hybridMultilevel"/>
    <w:tmpl w:val="B358E3AC"/>
    <w:lvl w:ilvl="0" w:tplc="02281A6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AC078CE"/>
    <w:multiLevelType w:val="hybridMultilevel"/>
    <w:tmpl w:val="770EE252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4C8312A0"/>
    <w:multiLevelType w:val="hybridMultilevel"/>
    <w:tmpl w:val="EAA8ED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4A50B9"/>
    <w:multiLevelType w:val="hybridMultilevel"/>
    <w:tmpl w:val="361A10F0"/>
    <w:lvl w:ilvl="0" w:tplc="6158F4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5F"/>
    <w:rsid w:val="00000A3C"/>
    <w:rsid w:val="00000B13"/>
    <w:rsid w:val="0000342B"/>
    <w:rsid w:val="00003AC0"/>
    <w:rsid w:val="00014AD1"/>
    <w:rsid w:val="000178CA"/>
    <w:rsid w:val="00020BDF"/>
    <w:rsid w:val="00020C5C"/>
    <w:rsid w:val="00027924"/>
    <w:rsid w:val="00031716"/>
    <w:rsid w:val="00033279"/>
    <w:rsid w:val="00037149"/>
    <w:rsid w:val="00044287"/>
    <w:rsid w:val="00050D62"/>
    <w:rsid w:val="000571A3"/>
    <w:rsid w:val="00070B63"/>
    <w:rsid w:val="000730B3"/>
    <w:rsid w:val="00080E99"/>
    <w:rsid w:val="00083201"/>
    <w:rsid w:val="00084159"/>
    <w:rsid w:val="000845AA"/>
    <w:rsid w:val="00084701"/>
    <w:rsid w:val="0008688D"/>
    <w:rsid w:val="000A1F81"/>
    <w:rsid w:val="000A3244"/>
    <w:rsid w:val="000A3EB5"/>
    <w:rsid w:val="000A5542"/>
    <w:rsid w:val="000B10BB"/>
    <w:rsid w:val="000B11C5"/>
    <w:rsid w:val="000B5093"/>
    <w:rsid w:val="000B56A2"/>
    <w:rsid w:val="000B6313"/>
    <w:rsid w:val="000C78CA"/>
    <w:rsid w:val="000D5938"/>
    <w:rsid w:val="000D5EAC"/>
    <w:rsid w:val="00100F67"/>
    <w:rsid w:val="00101DE2"/>
    <w:rsid w:val="001077A5"/>
    <w:rsid w:val="00107A67"/>
    <w:rsid w:val="001110E5"/>
    <w:rsid w:val="00116CF9"/>
    <w:rsid w:val="001213BE"/>
    <w:rsid w:val="00122299"/>
    <w:rsid w:val="001324EB"/>
    <w:rsid w:val="00136A1F"/>
    <w:rsid w:val="001470FE"/>
    <w:rsid w:val="001474F0"/>
    <w:rsid w:val="00150148"/>
    <w:rsid w:val="00150F67"/>
    <w:rsid w:val="00154618"/>
    <w:rsid w:val="00157136"/>
    <w:rsid w:val="001635D1"/>
    <w:rsid w:val="00164F15"/>
    <w:rsid w:val="001654CC"/>
    <w:rsid w:val="00166035"/>
    <w:rsid w:val="00166244"/>
    <w:rsid w:val="00166C95"/>
    <w:rsid w:val="00167F08"/>
    <w:rsid w:val="0017190C"/>
    <w:rsid w:val="001775A7"/>
    <w:rsid w:val="00177D30"/>
    <w:rsid w:val="00183A15"/>
    <w:rsid w:val="00183D98"/>
    <w:rsid w:val="00186392"/>
    <w:rsid w:val="00186B08"/>
    <w:rsid w:val="001872FA"/>
    <w:rsid w:val="00195A92"/>
    <w:rsid w:val="00195EB3"/>
    <w:rsid w:val="001A539E"/>
    <w:rsid w:val="001B3FD5"/>
    <w:rsid w:val="001C210B"/>
    <w:rsid w:val="001C5006"/>
    <w:rsid w:val="001C509D"/>
    <w:rsid w:val="001C730E"/>
    <w:rsid w:val="001D4B60"/>
    <w:rsid w:val="001D5A26"/>
    <w:rsid w:val="001E1CD8"/>
    <w:rsid w:val="001E1FAB"/>
    <w:rsid w:val="001E4A55"/>
    <w:rsid w:val="002018D6"/>
    <w:rsid w:val="0020345A"/>
    <w:rsid w:val="00214CA6"/>
    <w:rsid w:val="0022135F"/>
    <w:rsid w:val="00226CDD"/>
    <w:rsid w:val="00234984"/>
    <w:rsid w:val="0024095F"/>
    <w:rsid w:val="00240CD2"/>
    <w:rsid w:val="002432A1"/>
    <w:rsid w:val="0024520B"/>
    <w:rsid w:val="00245C29"/>
    <w:rsid w:val="00247227"/>
    <w:rsid w:val="00255BE0"/>
    <w:rsid w:val="002562C2"/>
    <w:rsid w:val="00257F6A"/>
    <w:rsid w:val="00262933"/>
    <w:rsid w:val="00266C74"/>
    <w:rsid w:val="00277BDE"/>
    <w:rsid w:val="00280E07"/>
    <w:rsid w:val="00284F34"/>
    <w:rsid w:val="00293A54"/>
    <w:rsid w:val="0029544E"/>
    <w:rsid w:val="00297406"/>
    <w:rsid w:val="002A1CF7"/>
    <w:rsid w:val="002A43C4"/>
    <w:rsid w:val="002B4092"/>
    <w:rsid w:val="002B6A0D"/>
    <w:rsid w:val="002C2BDD"/>
    <w:rsid w:val="002C6885"/>
    <w:rsid w:val="002C733E"/>
    <w:rsid w:val="002D4EA9"/>
    <w:rsid w:val="002E1471"/>
    <w:rsid w:val="002E1E22"/>
    <w:rsid w:val="002E33DD"/>
    <w:rsid w:val="002F1044"/>
    <w:rsid w:val="002F5E2D"/>
    <w:rsid w:val="0030122B"/>
    <w:rsid w:val="00305B2A"/>
    <w:rsid w:val="00311B83"/>
    <w:rsid w:val="00313745"/>
    <w:rsid w:val="00316D85"/>
    <w:rsid w:val="003276B2"/>
    <w:rsid w:val="00330B4C"/>
    <w:rsid w:val="00332ACE"/>
    <w:rsid w:val="00335F25"/>
    <w:rsid w:val="00342B3B"/>
    <w:rsid w:val="00353D99"/>
    <w:rsid w:val="00354A6A"/>
    <w:rsid w:val="003574D9"/>
    <w:rsid w:val="00361CB9"/>
    <w:rsid w:val="00365A52"/>
    <w:rsid w:val="0037005D"/>
    <w:rsid w:val="00372938"/>
    <w:rsid w:val="00376DAE"/>
    <w:rsid w:val="0039090B"/>
    <w:rsid w:val="003A04D0"/>
    <w:rsid w:val="003A4F4E"/>
    <w:rsid w:val="003A7C45"/>
    <w:rsid w:val="003B0566"/>
    <w:rsid w:val="003B13BE"/>
    <w:rsid w:val="003B7FD6"/>
    <w:rsid w:val="003C2A9E"/>
    <w:rsid w:val="003C39B1"/>
    <w:rsid w:val="003C7C70"/>
    <w:rsid w:val="003E16EE"/>
    <w:rsid w:val="003E4097"/>
    <w:rsid w:val="003E6119"/>
    <w:rsid w:val="003E7137"/>
    <w:rsid w:val="003F009A"/>
    <w:rsid w:val="00400933"/>
    <w:rsid w:val="004048C7"/>
    <w:rsid w:val="0041067B"/>
    <w:rsid w:val="00410722"/>
    <w:rsid w:val="00415EAF"/>
    <w:rsid w:val="004204DA"/>
    <w:rsid w:val="0042245E"/>
    <w:rsid w:val="00426C3F"/>
    <w:rsid w:val="00430A00"/>
    <w:rsid w:val="00433F9C"/>
    <w:rsid w:val="00435A76"/>
    <w:rsid w:val="00436CD3"/>
    <w:rsid w:val="00441DCD"/>
    <w:rsid w:val="0044236B"/>
    <w:rsid w:val="00444198"/>
    <w:rsid w:val="00444BCE"/>
    <w:rsid w:val="00450659"/>
    <w:rsid w:val="00450DE6"/>
    <w:rsid w:val="0045192A"/>
    <w:rsid w:val="00451B5C"/>
    <w:rsid w:val="00452004"/>
    <w:rsid w:val="00453173"/>
    <w:rsid w:val="0045697B"/>
    <w:rsid w:val="00461416"/>
    <w:rsid w:val="00464229"/>
    <w:rsid w:val="0046574D"/>
    <w:rsid w:val="00470432"/>
    <w:rsid w:val="00473CFA"/>
    <w:rsid w:val="004756B3"/>
    <w:rsid w:val="00476542"/>
    <w:rsid w:val="00481D74"/>
    <w:rsid w:val="00483E63"/>
    <w:rsid w:val="0048688E"/>
    <w:rsid w:val="0049038E"/>
    <w:rsid w:val="00496634"/>
    <w:rsid w:val="004A489A"/>
    <w:rsid w:val="004A4E25"/>
    <w:rsid w:val="004B02A3"/>
    <w:rsid w:val="004B1B65"/>
    <w:rsid w:val="004B3B72"/>
    <w:rsid w:val="004C1E0F"/>
    <w:rsid w:val="004E3FBC"/>
    <w:rsid w:val="004F400E"/>
    <w:rsid w:val="004F670A"/>
    <w:rsid w:val="00501FF9"/>
    <w:rsid w:val="0050375E"/>
    <w:rsid w:val="00504CB8"/>
    <w:rsid w:val="00506E22"/>
    <w:rsid w:val="005170BE"/>
    <w:rsid w:val="0052128F"/>
    <w:rsid w:val="00522C7B"/>
    <w:rsid w:val="00523120"/>
    <w:rsid w:val="00526FF3"/>
    <w:rsid w:val="00527595"/>
    <w:rsid w:val="0053011D"/>
    <w:rsid w:val="005303AE"/>
    <w:rsid w:val="005342F5"/>
    <w:rsid w:val="00536FBF"/>
    <w:rsid w:val="00552DBB"/>
    <w:rsid w:val="005538B8"/>
    <w:rsid w:val="005614EB"/>
    <w:rsid w:val="00563399"/>
    <w:rsid w:val="00567BE5"/>
    <w:rsid w:val="005721CC"/>
    <w:rsid w:val="00573612"/>
    <w:rsid w:val="0057410F"/>
    <w:rsid w:val="005804DC"/>
    <w:rsid w:val="00581FF9"/>
    <w:rsid w:val="005845BF"/>
    <w:rsid w:val="00586E8E"/>
    <w:rsid w:val="00587255"/>
    <w:rsid w:val="005877F2"/>
    <w:rsid w:val="00594E30"/>
    <w:rsid w:val="005A4E64"/>
    <w:rsid w:val="005B0863"/>
    <w:rsid w:val="005B2703"/>
    <w:rsid w:val="005B3447"/>
    <w:rsid w:val="005B4BF1"/>
    <w:rsid w:val="005C324B"/>
    <w:rsid w:val="005C57E4"/>
    <w:rsid w:val="005D0BE8"/>
    <w:rsid w:val="005D4B7E"/>
    <w:rsid w:val="005E2DFB"/>
    <w:rsid w:val="005F2F0D"/>
    <w:rsid w:val="005F4768"/>
    <w:rsid w:val="005F5E82"/>
    <w:rsid w:val="005F6972"/>
    <w:rsid w:val="005F6974"/>
    <w:rsid w:val="005F7483"/>
    <w:rsid w:val="006019B6"/>
    <w:rsid w:val="00602303"/>
    <w:rsid w:val="00605457"/>
    <w:rsid w:val="006078F4"/>
    <w:rsid w:val="006114F1"/>
    <w:rsid w:val="006141E9"/>
    <w:rsid w:val="00617231"/>
    <w:rsid w:val="006177F5"/>
    <w:rsid w:val="00622924"/>
    <w:rsid w:val="006240CB"/>
    <w:rsid w:val="00630ECB"/>
    <w:rsid w:val="00637427"/>
    <w:rsid w:val="00637B2E"/>
    <w:rsid w:val="006432B0"/>
    <w:rsid w:val="00647807"/>
    <w:rsid w:val="00647E23"/>
    <w:rsid w:val="00650656"/>
    <w:rsid w:val="00655BDD"/>
    <w:rsid w:val="006571D2"/>
    <w:rsid w:val="00661CAB"/>
    <w:rsid w:val="00664A67"/>
    <w:rsid w:val="006658B1"/>
    <w:rsid w:val="0066636D"/>
    <w:rsid w:val="006768A4"/>
    <w:rsid w:val="0068021C"/>
    <w:rsid w:val="006840F4"/>
    <w:rsid w:val="00685EF4"/>
    <w:rsid w:val="006A0D58"/>
    <w:rsid w:val="006A17A5"/>
    <w:rsid w:val="006A5D96"/>
    <w:rsid w:val="006A6D30"/>
    <w:rsid w:val="006A784D"/>
    <w:rsid w:val="006B1ADC"/>
    <w:rsid w:val="006B5FCA"/>
    <w:rsid w:val="006B7659"/>
    <w:rsid w:val="006C1A77"/>
    <w:rsid w:val="006C2CE1"/>
    <w:rsid w:val="006C56C8"/>
    <w:rsid w:val="006E2009"/>
    <w:rsid w:val="006E4E51"/>
    <w:rsid w:val="00702F43"/>
    <w:rsid w:val="00703224"/>
    <w:rsid w:val="007050C7"/>
    <w:rsid w:val="00705BFD"/>
    <w:rsid w:val="007109CC"/>
    <w:rsid w:val="00717776"/>
    <w:rsid w:val="0072274B"/>
    <w:rsid w:val="00723C06"/>
    <w:rsid w:val="00725313"/>
    <w:rsid w:val="00725F65"/>
    <w:rsid w:val="00727AA6"/>
    <w:rsid w:val="00731FB8"/>
    <w:rsid w:val="0073387A"/>
    <w:rsid w:val="00740C68"/>
    <w:rsid w:val="007455A9"/>
    <w:rsid w:val="00746A25"/>
    <w:rsid w:val="007549CF"/>
    <w:rsid w:val="00757151"/>
    <w:rsid w:val="0076178E"/>
    <w:rsid w:val="00762B0D"/>
    <w:rsid w:val="00765F5F"/>
    <w:rsid w:val="007665DC"/>
    <w:rsid w:val="0076754A"/>
    <w:rsid w:val="00773484"/>
    <w:rsid w:val="00781EA4"/>
    <w:rsid w:val="00781EC7"/>
    <w:rsid w:val="0078608F"/>
    <w:rsid w:val="00791145"/>
    <w:rsid w:val="007911D0"/>
    <w:rsid w:val="00792684"/>
    <w:rsid w:val="007A05FD"/>
    <w:rsid w:val="007A1661"/>
    <w:rsid w:val="007A53BF"/>
    <w:rsid w:val="007A58D5"/>
    <w:rsid w:val="007B0D86"/>
    <w:rsid w:val="007C1530"/>
    <w:rsid w:val="007C61CC"/>
    <w:rsid w:val="007D350F"/>
    <w:rsid w:val="007E0E29"/>
    <w:rsid w:val="007F0D84"/>
    <w:rsid w:val="007F3F07"/>
    <w:rsid w:val="0080145E"/>
    <w:rsid w:val="00802236"/>
    <w:rsid w:val="00803CC9"/>
    <w:rsid w:val="00811C3A"/>
    <w:rsid w:val="008171F4"/>
    <w:rsid w:val="00825C62"/>
    <w:rsid w:val="00841C7A"/>
    <w:rsid w:val="008455C4"/>
    <w:rsid w:val="008567C6"/>
    <w:rsid w:val="0085680C"/>
    <w:rsid w:val="00870F22"/>
    <w:rsid w:val="00875410"/>
    <w:rsid w:val="00877438"/>
    <w:rsid w:val="00887819"/>
    <w:rsid w:val="00887AD6"/>
    <w:rsid w:val="008913D1"/>
    <w:rsid w:val="0089529D"/>
    <w:rsid w:val="00895E3C"/>
    <w:rsid w:val="00895E99"/>
    <w:rsid w:val="008964C1"/>
    <w:rsid w:val="00897A3C"/>
    <w:rsid w:val="00897DDE"/>
    <w:rsid w:val="008A616F"/>
    <w:rsid w:val="008C3429"/>
    <w:rsid w:val="008C7097"/>
    <w:rsid w:val="008D6055"/>
    <w:rsid w:val="008D7DFE"/>
    <w:rsid w:val="008E3EBC"/>
    <w:rsid w:val="009006DF"/>
    <w:rsid w:val="009036C6"/>
    <w:rsid w:val="00907ED6"/>
    <w:rsid w:val="00912410"/>
    <w:rsid w:val="00937188"/>
    <w:rsid w:val="00944DEE"/>
    <w:rsid w:val="00946504"/>
    <w:rsid w:val="00950064"/>
    <w:rsid w:val="009512B9"/>
    <w:rsid w:val="00952420"/>
    <w:rsid w:val="00953067"/>
    <w:rsid w:val="009560C5"/>
    <w:rsid w:val="00960653"/>
    <w:rsid w:val="009635C2"/>
    <w:rsid w:val="0096488D"/>
    <w:rsid w:val="00965AF9"/>
    <w:rsid w:val="009702FE"/>
    <w:rsid w:val="00970AA5"/>
    <w:rsid w:val="009733D6"/>
    <w:rsid w:val="009739D1"/>
    <w:rsid w:val="00975639"/>
    <w:rsid w:val="009830F1"/>
    <w:rsid w:val="00983E55"/>
    <w:rsid w:val="00986691"/>
    <w:rsid w:val="00996DE3"/>
    <w:rsid w:val="00996F66"/>
    <w:rsid w:val="009A5419"/>
    <w:rsid w:val="009A7F89"/>
    <w:rsid w:val="009B3524"/>
    <w:rsid w:val="009C3244"/>
    <w:rsid w:val="009C7C97"/>
    <w:rsid w:val="009E3115"/>
    <w:rsid w:val="009E42FF"/>
    <w:rsid w:val="009F1EFF"/>
    <w:rsid w:val="009F4A3E"/>
    <w:rsid w:val="00A0261B"/>
    <w:rsid w:val="00A14B0A"/>
    <w:rsid w:val="00A15548"/>
    <w:rsid w:val="00A22448"/>
    <w:rsid w:val="00A256D6"/>
    <w:rsid w:val="00A25F4E"/>
    <w:rsid w:val="00A26036"/>
    <w:rsid w:val="00A275A2"/>
    <w:rsid w:val="00A27CF6"/>
    <w:rsid w:val="00A3360F"/>
    <w:rsid w:val="00A35B4B"/>
    <w:rsid w:val="00A35BBD"/>
    <w:rsid w:val="00A36DA9"/>
    <w:rsid w:val="00A372D7"/>
    <w:rsid w:val="00A506DE"/>
    <w:rsid w:val="00A530F5"/>
    <w:rsid w:val="00A61CDB"/>
    <w:rsid w:val="00A642A5"/>
    <w:rsid w:val="00A643A2"/>
    <w:rsid w:val="00A728FE"/>
    <w:rsid w:val="00A77E4F"/>
    <w:rsid w:val="00A9398E"/>
    <w:rsid w:val="00A95816"/>
    <w:rsid w:val="00A966CB"/>
    <w:rsid w:val="00AA0542"/>
    <w:rsid w:val="00AB19AB"/>
    <w:rsid w:val="00AB4021"/>
    <w:rsid w:val="00AB7B43"/>
    <w:rsid w:val="00AD5B57"/>
    <w:rsid w:val="00AD7453"/>
    <w:rsid w:val="00AD7758"/>
    <w:rsid w:val="00AE09AD"/>
    <w:rsid w:val="00AE4223"/>
    <w:rsid w:val="00AE4760"/>
    <w:rsid w:val="00AE623D"/>
    <w:rsid w:val="00AE769F"/>
    <w:rsid w:val="00AF1045"/>
    <w:rsid w:val="00AF57A4"/>
    <w:rsid w:val="00B1059D"/>
    <w:rsid w:val="00B10EE5"/>
    <w:rsid w:val="00B11721"/>
    <w:rsid w:val="00B12909"/>
    <w:rsid w:val="00B13BD4"/>
    <w:rsid w:val="00B17292"/>
    <w:rsid w:val="00B26D05"/>
    <w:rsid w:val="00B2774E"/>
    <w:rsid w:val="00B32DD6"/>
    <w:rsid w:val="00B37EE3"/>
    <w:rsid w:val="00B41775"/>
    <w:rsid w:val="00B42264"/>
    <w:rsid w:val="00B469B1"/>
    <w:rsid w:val="00B5402B"/>
    <w:rsid w:val="00B555E5"/>
    <w:rsid w:val="00B63BAF"/>
    <w:rsid w:val="00B81259"/>
    <w:rsid w:val="00B8582A"/>
    <w:rsid w:val="00B87905"/>
    <w:rsid w:val="00B94A7F"/>
    <w:rsid w:val="00BA43B8"/>
    <w:rsid w:val="00BA664B"/>
    <w:rsid w:val="00BB3E26"/>
    <w:rsid w:val="00BB5E95"/>
    <w:rsid w:val="00BC3F74"/>
    <w:rsid w:val="00BD14F3"/>
    <w:rsid w:val="00BD31D8"/>
    <w:rsid w:val="00BD373E"/>
    <w:rsid w:val="00BD51A8"/>
    <w:rsid w:val="00BD67A3"/>
    <w:rsid w:val="00BE0428"/>
    <w:rsid w:val="00BE083D"/>
    <w:rsid w:val="00BE0B14"/>
    <w:rsid w:val="00BE1572"/>
    <w:rsid w:val="00BE457E"/>
    <w:rsid w:val="00BE6362"/>
    <w:rsid w:val="00BE74A7"/>
    <w:rsid w:val="00C010E4"/>
    <w:rsid w:val="00C01D0B"/>
    <w:rsid w:val="00C04892"/>
    <w:rsid w:val="00C10BCD"/>
    <w:rsid w:val="00C10EF8"/>
    <w:rsid w:val="00C11077"/>
    <w:rsid w:val="00C23873"/>
    <w:rsid w:val="00C27F29"/>
    <w:rsid w:val="00C3168D"/>
    <w:rsid w:val="00C345DE"/>
    <w:rsid w:val="00C410DD"/>
    <w:rsid w:val="00C447D3"/>
    <w:rsid w:val="00C45ED5"/>
    <w:rsid w:val="00C51BD7"/>
    <w:rsid w:val="00C539D9"/>
    <w:rsid w:val="00C601C0"/>
    <w:rsid w:val="00C6043E"/>
    <w:rsid w:val="00C60E24"/>
    <w:rsid w:val="00C6563D"/>
    <w:rsid w:val="00C842CB"/>
    <w:rsid w:val="00C93DAB"/>
    <w:rsid w:val="00CA2BBB"/>
    <w:rsid w:val="00CB38B8"/>
    <w:rsid w:val="00CC0E2D"/>
    <w:rsid w:val="00CD0A36"/>
    <w:rsid w:val="00CD7ECE"/>
    <w:rsid w:val="00CE2314"/>
    <w:rsid w:val="00CE5526"/>
    <w:rsid w:val="00CE57C1"/>
    <w:rsid w:val="00CE5D50"/>
    <w:rsid w:val="00CF0628"/>
    <w:rsid w:val="00CF4E3E"/>
    <w:rsid w:val="00D009DE"/>
    <w:rsid w:val="00D02C85"/>
    <w:rsid w:val="00D03CD5"/>
    <w:rsid w:val="00D10715"/>
    <w:rsid w:val="00D116E7"/>
    <w:rsid w:val="00D143FB"/>
    <w:rsid w:val="00D173CE"/>
    <w:rsid w:val="00D2180C"/>
    <w:rsid w:val="00D22073"/>
    <w:rsid w:val="00D42E70"/>
    <w:rsid w:val="00D44FC4"/>
    <w:rsid w:val="00D471C4"/>
    <w:rsid w:val="00D50863"/>
    <w:rsid w:val="00D51E42"/>
    <w:rsid w:val="00D520EF"/>
    <w:rsid w:val="00D53524"/>
    <w:rsid w:val="00D610B2"/>
    <w:rsid w:val="00D72C62"/>
    <w:rsid w:val="00D72C6C"/>
    <w:rsid w:val="00D83305"/>
    <w:rsid w:val="00D8427B"/>
    <w:rsid w:val="00D875E0"/>
    <w:rsid w:val="00DA116F"/>
    <w:rsid w:val="00DB0CD5"/>
    <w:rsid w:val="00DB2EA2"/>
    <w:rsid w:val="00DB59C1"/>
    <w:rsid w:val="00DB6D8C"/>
    <w:rsid w:val="00DB6E71"/>
    <w:rsid w:val="00DC1043"/>
    <w:rsid w:val="00DC49F0"/>
    <w:rsid w:val="00DC5099"/>
    <w:rsid w:val="00DC6478"/>
    <w:rsid w:val="00DD555B"/>
    <w:rsid w:val="00DD5C49"/>
    <w:rsid w:val="00DE0637"/>
    <w:rsid w:val="00DE5D25"/>
    <w:rsid w:val="00DE6F50"/>
    <w:rsid w:val="00DF0960"/>
    <w:rsid w:val="00E00953"/>
    <w:rsid w:val="00E033F4"/>
    <w:rsid w:val="00E03D92"/>
    <w:rsid w:val="00E06A1B"/>
    <w:rsid w:val="00E0711E"/>
    <w:rsid w:val="00E2408A"/>
    <w:rsid w:val="00E271BB"/>
    <w:rsid w:val="00E30093"/>
    <w:rsid w:val="00E301ED"/>
    <w:rsid w:val="00E40127"/>
    <w:rsid w:val="00E40F4A"/>
    <w:rsid w:val="00E43B36"/>
    <w:rsid w:val="00E5129C"/>
    <w:rsid w:val="00E62FFE"/>
    <w:rsid w:val="00E72A8D"/>
    <w:rsid w:val="00E81A88"/>
    <w:rsid w:val="00E83B3B"/>
    <w:rsid w:val="00E84B00"/>
    <w:rsid w:val="00E85133"/>
    <w:rsid w:val="00E877EA"/>
    <w:rsid w:val="00E90A87"/>
    <w:rsid w:val="00E9326E"/>
    <w:rsid w:val="00E939BF"/>
    <w:rsid w:val="00E950E7"/>
    <w:rsid w:val="00E97B75"/>
    <w:rsid w:val="00EA1187"/>
    <w:rsid w:val="00EC27E4"/>
    <w:rsid w:val="00EC4D5F"/>
    <w:rsid w:val="00ED04B2"/>
    <w:rsid w:val="00EE3266"/>
    <w:rsid w:val="00EE7672"/>
    <w:rsid w:val="00EF02C6"/>
    <w:rsid w:val="00EF3AEF"/>
    <w:rsid w:val="00EF57A2"/>
    <w:rsid w:val="00F00012"/>
    <w:rsid w:val="00F17A9F"/>
    <w:rsid w:val="00F217B5"/>
    <w:rsid w:val="00F22F29"/>
    <w:rsid w:val="00F30C2B"/>
    <w:rsid w:val="00F342F2"/>
    <w:rsid w:val="00F343A2"/>
    <w:rsid w:val="00F42982"/>
    <w:rsid w:val="00F44DFE"/>
    <w:rsid w:val="00F53A77"/>
    <w:rsid w:val="00F60ED9"/>
    <w:rsid w:val="00F67C51"/>
    <w:rsid w:val="00F81AE0"/>
    <w:rsid w:val="00F97E57"/>
    <w:rsid w:val="00FA1E50"/>
    <w:rsid w:val="00FA4A4D"/>
    <w:rsid w:val="00FA6A22"/>
    <w:rsid w:val="00FB3064"/>
    <w:rsid w:val="00FB31E0"/>
    <w:rsid w:val="00FB3709"/>
    <w:rsid w:val="00FB392A"/>
    <w:rsid w:val="00FC1C79"/>
    <w:rsid w:val="00FC6C3D"/>
    <w:rsid w:val="00FD116A"/>
    <w:rsid w:val="00FD4C11"/>
    <w:rsid w:val="00FD5F1E"/>
    <w:rsid w:val="00FD74B2"/>
    <w:rsid w:val="00FE023F"/>
    <w:rsid w:val="00FE0AC6"/>
    <w:rsid w:val="00FE7265"/>
    <w:rsid w:val="00FF01D4"/>
    <w:rsid w:val="00FF2130"/>
    <w:rsid w:val="00FF39B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ECFB6A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7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16D8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16D85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143F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143FB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rsid w:val="00B469B1"/>
    <w:rPr>
      <w:color w:val="0563C1"/>
      <w:u w:val="single"/>
    </w:rPr>
  </w:style>
  <w:style w:type="paragraph" w:customStyle="1" w:styleId="CM4">
    <w:name w:val="CM4"/>
    <w:basedOn w:val="Normal"/>
    <w:next w:val="Normal"/>
    <w:uiPriority w:val="99"/>
    <w:rsid w:val="00B469B1"/>
    <w:pPr>
      <w:widowControl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7C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61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rsid w:val="0034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B3B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B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B3B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naiskr">
    <w:name w:val="naiskr"/>
    <w:basedOn w:val="Normal"/>
    <w:uiPriority w:val="99"/>
    <w:rsid w:val="00313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313745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link w:val="PlainText"/>
    <w:uiPriority w:val="99"/>
    <w:rsid w:val="00313745"/>
    <w:rPr>
      <w:rFonts w:ascii="Courier New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D83305"/>
    <w:pPr>
      <w:ind w:left="720"/>
      <w:contextualSpacing/>
    </w:pPr>
  </w:style>
  <w:style w:type="paragraph" w:styleId="NoSpacing">
    <w:name w:val="No Spacing"/>
    <w:uiPriority w:val="99"/>
    <w:qFormat/>
    <w:rsid w:val="00177D3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4021"/>
    <w:pPr>
      <w:widowControl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val="lv-LV" w:eastAsia="lv-LV"/>
    </w:rPr>
  </w:style>
  <w:style w:type="character" w:customStyle="1" w:styleId="UnresolvedMention1">
    <w:name w:val="Unresolved Mention1"/>
    <w:uiPriority w:val="99"/>
    <w:semiHidden/>
    <w:rsid w:val="00073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content/ministru-kabineta-diskusiju-dokumen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jaunums/ministru-kabineta-noteikumu-projekts-grozijums-ministru-kabineta-1998-gada-20-oktobra-noteikumos-nr-411-noteikumi-par-strategiskas-un-regionalas-nozimes-dzelzcela-infrastrukturas-iedaliju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681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1998. gada 20. oktobra noteikumos Nr. 411 "Noteikumi par stratēģiskās nozīmes dzelzceļa infrastruktūras iedalījums" 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 gada 20. oktobra noteikumos Nr. 411 "Noteikumi par stratēģiskās nozīmes dzelzceļa infrastruktūras iedalījums" </dc:title>
  <dc:subject/>
  <dc:creator>User</dc:creator>
  <cp:keywords>anotācija</cp:keywords>
  <dc:description>Balaša 67028071Santa.Balasa@mk.gov.lv</dc:description>
  <cp:lastModifiedBy>Baiba Jirgena</cp:lastModifiedBy>
  <cp:revision>17</cp:revision>
  <cp:lastPrinted>2020-01-27T15:54:00Z</cp:lastPrinted>
  <dcterms:created xsi:type="dcterms:W3CDTF">2021-05-28T09:50:00Z</dcterms:created>
  <dcterms:modified xsi:type="dcterms:W3CDTF">2021-07-19T07:52:00Z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