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0EAF" w:rsidR="00C35417" w:rsidP="00C35417" w:rsidRDefault="007116C7" w14:paraId="37B3827C" w14:textId="77777777">
      <w:pPr>
        <w:pStyle w:val="naisnod"/>
        <w:spacing w:before="0" w:after="0"/>
        <w:rPr>
          <w:sz w:val="28"/>
        </w:rPr>
      </w:pPr>
      <w:r w:rsidRPr="00B80EAF">
        <w:rPr>
          <w:sz w:val="28"/>
        </w:rPr>
        <w:t>Izziņa par atzinumos sniegtajiem iebildumiem</w:t>
      </w:r>
      <w:r w:rsidRPr="00B80EAF" w:rsidR="0064229D">
        <w:rPr>
          <w:sz w:val="28"/>
        </w:rPr>
        <w:t xml:space="preserve"> </w:t>
      </w:r>
      <w:r w:rsidRPr="00B80EAF" w:rsidR="00A36B8E">
        <w:rPr>
          <w:sz w:val="28"/>
        </w:rPr>
        <w:t xml:space="preserve">par </w:t>
      </w:r>
      <w:r w:rsidRPr="00B80EAF" w:rsidR="00C35417">
        <w:rPr>
          <w:sz w:val="28"/>
        </w:rPr>
        <w:t xml:space="preserve">Ministru kabineta noteikumu projektu </w:t>
      </w:r>
    </w:p>
    <w:p w:rsidRPr="00B80EAF" w:rsidR="00C35417" w:rsidP="00C35417" w:rsidRDefault="00C35417" w14:paraId="5D6F0573" w14:textId="77777777">
      <w:pPr>
        <w:pStyle w:val="naisnod"/>
        <w:spacing w:before="0" w:after="0"/>
        <w:rPr>
          <w:sz w:val="28"/>
        </w:rPr>
      </w:pPr>
      <w:r w:rsidRPr="00B80EAF">
        <w:rPr>
          <w:sz w:val="28"/>
        </w:rPr>
        <w:t xml:space="preserve">"Grozījumi Ministru kabineta 2009. gada 27. oktobra noteikumos Nr. 1250 </w:t>
      </w:r>
    </w:p>
    <w:p w:rsidRPr="00B80EAF" w:rsidR="00A342E1" w:rsidP="00C35417" w:rsidRDefault="00C35417" w14:paraId="7ECBE613" w14:textId="7CA1921B">
      <w:pPr>
        <w:pStyle w:val="naisnod"/>
        <w:spacing w:before="0" w:after="0"/>
        <w:rPr>
          <w:bCs w:val="0"/>
        </w:rPr>
      </w:pPr>
      <w:r w:rsidRPr="00B80EAF">
        <w:rPr>
          <w:sz w:val="28"/>
        </w:rPr>
        <w:t>"Noteikumi par valsts nodevu par īpašuma tiesību un ķīlas tiesību nostiprināšanu zemesgrāmatā""</w:t>
      </w:r>
    </w:p>
    <w:p w:rsidRPr="00B80EAF" w:rsidR="00C35417" w:rsidP="007A7E76" w:rsidRDefault="00C35417" w14:paraId="7DC66221" w14:textId="77777777">
      <w:pPr>
        <w:pStyle w:val="naisnod"/>
        <w:spacing w:before="0" w:after="0"/>
        <w:ind w:firstLine="720"/>
      </w:pPr>
    </w:p>
    <w:p w:rsidRPr="00B80EAF" w:rsidR="00AC1FAD" w:rsidP="007A7E76" w:rsidRDefault="00AC1FAD" w14:paraId="6F4669F3" w14:textId="0730FF7F">
      <w:pPr>
        <w:pStyle w:val="naisnod"/>
        <w:spacing w:before="0" w:after="0"/>
        <w:ind w:firstLine="720"/>
      </w:pPr>
      <w:r w:rsidRPr="00B80EAF">
        <w:t>I. Jautājumi, par kuriem saskaņošanā vienošanās nav panākta</w:t>
      </w:r>
    </w:p>
    <w:p w:rsidRPr="00B80EAF" w:rsidR="00AC1FAD" w:rsidP="007A7E76" w:rsidRDefault="00AC1FAD" w14:paraId="7B5B83A3" w14:textId="77777777">
      <w:pPr>
        <w:pStyle w:val="naisnod"/>
        <w:spacing w:before="0" w:after="0"/>
        <w:ind w:firstLine="720"/>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577"/>
        <w:gridCol w:w="2977"/>
        <w:gridCol w:w="2977"/>
        <w:gridCol w:w="2551"/>
        <w:gridCol w:w="2410"/>
      </w:tblGrid>
      <w:tr w:rsidRPr="00B80EAF" w:rsidR="00AC1FAD" w:rsidTr="005D236E" w14:paraId="5448D80B"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B80EAF" w:rsidR="00AC1FAD" w:rsidP="007A7E76" w:rsidRDefault="00AC1FAD" w14:paraId="00D607DE" w14:textId="77777777">
            <w:pPr>
              <w:pStyle w:val="naisc"/>
              <w:spacing w:before="0" w:after="0"/>
            </w:pPr>
            <w:r w:rsidRPr="00B80EAF">
              <w:t>Nr. p.k.</w:t>
            </w:r>
          </w:p>
        </w:tc>
        <w:tc>
          <w:tcPr>
            <w:tcW w:w="2577" w:type="dxa"/>
            <w:tcBorders>
              <w:top w:val="single" w:color="000000" w:sz="6" w:space="0"/>
              <w:left w:val="single" w:color="000000" w:sz="6" w:space="0"/>
              <w:bottom w:val="single" w:color="000000" w:sz="6" w:space="0"/>
              <w:right w:val="single" w:color="000000" w:sz="6" w:space="0"/>
            </w:tcBorders>
            <w:vAlign w:val="center"/>
          </w:tcPr>
          <w:p w:rsidRPr="00B80EAF" w:rsidR="00AC1FAD" w:rsidP="007A7E76" w:rsidRDefault="00AC1FAD" w14:paraId="2DF888AC" w14:textId="77777777">
            <w:pPr>
              <w:pStyle w:val="naisc"/>
              <w:spacing w:before="0" w:after="0"/>
              <w:ind w:firstLine="12"/>
            </w:pPr>
            <w:r w:rsidRPr="00B80EAF">
              <w:t>Saskaņošanai nosūtītā projekta redakcija (konkrēta punkta (panta) redakcija)</w:t>
            </w:r>
          </w:p>
        </w:tc>
        <w:tc>
          <w:tcPr>
            <w:tcW w:w="2977" w:type="dxa"/>
            <w:tcBorders>
              <w:top w:val="single" w:color="000000" w:sz="6" w:space="0"/>
              <w:left w:val="single" w:color="000000" w:sz="6" w:space="0"/>
              <w:bottom w:val="single" w:color="000000" w:sz="6" w:space="0"/>
              <w:right w:val="single" w:color="000000" w:sz="6" w:space="0"/>
            </w:tcBorders>
            <w:vAlign w:val="center"/>
          </w:tcPr>
          <w:p w:rsidRPr="00B80EAF" w:rsidR="00AC1FAD" w:rsidP="007A7E76" w:rsidRDefault="00AC1FAD" w14:paraId="329FEABB" w14:textId="77777777">
            <w:pPr>
              <w:pStyle w:val="naisc"/>
              <w:spacing w:before="0" w:after="0"/>
              <w:ind w:right="3"/>
            </w:pPr>
            <w:r w:rsidRPr="00B80EAF">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B80EAF" w:rsidR="00AC1FAD" w:rsidP="007A7E76" w:rsidRDefault="00AC1FAD" w14:paraId="3BFCC869" w14:textId="77777777">
            <w:pPr>
              <w:pStyle w:val="naisc"/>
              <w:spacing w:before="0" w:after="0"/>
              <w:ind w:firstLine="21"/>
            </w:pPr>
            <w:r w:rsidRPr="00B80EAF">
              <w:t>Atbildīgās ministrijas pamatojums iebilduma noraidījumam</w:t>
            </w:r>
          </w:p>
        </w:tc>
        <w:tc>
          <w:tcPr>
            <w:tcW w:w="2551" w:type="dxa"/>
            <w:tcBorders>
              <w:top w:val="single" w:color="auto" w:sz="4" w:space="0"/>
              <w:left w:val="single" w:color="auto" w:sz="4" w:space="0"/>
              <w:bottom w:val="single" w:color="auto" w:sz="4" w:space="0"/>
              <w:right w:val="single" w:color="auto" w:sz="4" w:space="0"/>
            </w:tcBorders>
            <w:vAlign w:val="center"/>
          </w:tcPr>
          <w:p w:rsidRPr="00B80EAF" w:rsidR="00AC1FAD" w:rsidP="007A7E76" w:rsidRDefault="00AC1FAD" w14:paraId="6BA13660" w14:textId="77777777">
            <w:pPr>
              <w:jc w:val="center"/>
            </w:pPr>
            <w:r w:rsidRPr="00B80EAF">
              <w:t>Atzinuma sniedzēja uzturētais iebildums, ja tas atšķiras no atzinumā norādītā iebilduma pamatojuma</w:t>
            </w:r>
          </w:p>
        </w:tc>
        <w:tc>
          <w:tcPr>
            <w:tcW w:w="2410" w:type="dxa"/>
            <w:tcBorders>
              <w:top w:val="single" w:color="auto" w:sz="4" w:space="0"/>
              <w:left w:val="single" w:color="auto" w:sz="4" w:space="0"/>
              <w:bottom w:val="single" w:color="auto" w:sz="4" w:space="0"/>
            </w:tcBorders>
            <w:vAlign w:val="center"/>
          </w:tcPr>
          <w:p w:rsidRPr="00B80EAF" w:rsidR="00AC1FAD" w:rsidP="007A7E76" w:rsidRDefault="00AC1FAD" w14:paraId="22AFFB4F" w14:textId="77777777">
            <w:pPr>
              <w:jc w:val="center"/>
            </w:pPr>
            <w:r w:rsidRPr="00B80EAF">
              <w:t>Projekta attiecīgā punkta (panta) galīgā redakcija</w:t>
            </w:r>
          </w:p>
        </w:tc>
      </w:tr>
      <w:tr w:rsidRPr="00B80EAF" w:rsidR="00AC1FAD" w:rsidTr="005D236E" w14:paraId="4DC68D6A" w14:textId="77777777">
        <w:tc>
          <w:tcPr>
            <w:tcW w:w="709" w:type="dxa"/>
            <w:tcBorders>
              <w:top w:val="single" w:color="000000" w:sz="6" w:space="0"/>
              <w:left w:val="single" w:color="000000" w:sz="6" w:space="0"/>
              <w:bottom w:val="single" w:color="000000" w:sz="6" w:space="0"/>
              <w:right w:val="single" w:color="000000" w:sz="6" w:space="0"/>
            </w:tcBorders>
          </w:tcPr>
          <w:p w:rsidRPr="00B80EAF" w:rsidR="00AC1FAD" w:rsidP="007A7E76" w:rsidRDefault="00AC1FAD" w14:paraId="09950FBE" w14:textId="77777777">
            <w:pPr>
              <w:pStyle w:val="naisc"/>
              <w:spacing w:before="0" w:after="0"/>
            </w:pPr>
            <w:r w:rsidRPr="00B80EAF">
              <w:t>1</w:t>
            </w:r>
          </w:p>
        </w:tc>
        <w:tc>
          <w:tcPr>
            <w:tcW w:w="2577" w:type="dxa"/>
            <w:tcBorders>
              <w:top w:val="single" w:color="000000" w:sz="6" w:space="0"/>
              <w:left w:val="single" w:color="000000" w:sz="6" w:space="0"/>
              <w:bottom w:val="single" w:color="000000" w:sz="6" w:space="0"/>
              <w:right w:val="single" w:color="000000" w:sz="6" w:space="0"/>
            </w:tcBorders>
          </w:tcPr>
          <w:p w:rsidRPr="00B80EAF" w:rsidR="00AC1FAD" w:rsidP="007A7E76" w:rsidRDefault="00AC1FAD" w14:paraId="36899529" w14:textId="77777777">
            <w:pPr>
              <w:pStyle w:val="naisc"/>
              <w:spacing w:before="0" w:after="0"/>
            </w:pPr>
            <w:r w:rsidRPr="00B80EAF">
              <w:t>2</w:t>
            </w:r>
          </w:p>
        </w:tc>
        <w:tc>
          <w:tcPr>
            <w:tcW w:w="2977" w:type="dxa"/>
            <w:tcBorders>
              <w:top w:val="single" w:color="000000" w:sz="6" w:space="0"/>
              <w:left w:val="single" w:color="000000" w:sz="6" w:space="0"/>
              <w:bottom w:val="single" w:color="000000" w:sz="6" w:space="0"/>
              <w:right w:val="single" w:color="000000" w:sz="6" w:space="0"/>
            </w:tcBorders>
          </w:tcPr>
          <w:p w:rsidRPr="00B80EAF" w:rsidR="00AC1FAD" w:rsidP="007A7E76" w:rsidRDefault="00AC1FAD" w14:paraId="572C1505" w14:textId="77777777">
            <w:pPr>
              <w:pStyle w:val="naisc"/>
              <w:spacing w:before="0" w:after="0"/>
            </w:pPr>
            <w:r w:rsidRPr="00B80EAF">
              <w:t>3</w:t>
            </w:r>
          </w:p>
        </w:tc>
        <w:tc>
          <w:tcPr>
            <w:tcW w:w="2977" w:type="dxa"/>
            <w:tcBorders>
              <w:top w:val="single" w:color="000000" w:sz="6" w:space="0"/>
              <w:left w:val="single" w:color="000000" w:sz="6" w:space="0"/>
              <w:bottom w:val="single" w:color="000000" w:sz="6" w:space="0"/>
              <w:right w:val="single" w:color="000000" w:sz="6" w:space="0"/>
            </w:tcBorders>
          </w:tcPr>
          <w:p w:rsidRPr="00B80EAF" w:rsidR="00AC1FAD" w:rsidP="007A7E76" w:rsidRDefault="00AC1FAD" w14:paraId="512F3376" w14:textId="77777777">
            <w:pPr>
              <w:pStyle w:val="naisc"/>
              <w:spacing w:before="0" w:after="0"/>
            </w:pPr>
            <w:r w:rsidRPr="00B80EAF">
              <w:t>4</w:t>
            </w:r>
          </w:p>
        </w:tc>
        <w:tc>
          <w:tcPr>
            <w:tcW w:w="2551" w:type="dxa"/>
            <w:tcBorders>
              <w:top w:val="single" w:color="auto" w:sz="4" w:space="0"/>
              <w:left w:val="single" w:color="auto" w:sz="4" w:space="0"/>
              <w:bottom w:val="single" w:color="auto" w:sz="4" w:space="0"/>
              <w:right w:val="single" w:color="auto" w:sz="4" w:space="0"/>
            </w:tcBorders>
          </w:tcPr>
          <w:p w:rsidRPr="00B80EAF" w:rsidR="00AC1FAD" w:rsidP="007A7E76" w:rsidRDefault="00AC1FAD" w14:paraId="1AD61D1F" w14:textId="77777777">
            <w:pPr>
              <w:jc w:val="center"/>
            </w:pPr>
            <w:r w:rsidRPr="00B80EAF">
              <w:t>5</w:t>
            </w:r>
          </w:p>
        </w:tc>
        <w:tc>
          <w:tcPr>
            <w:tcW w:w="2410" w:type="dxa"/>
            <w:tcBorders>
              <w:top w:val="single" w:color="auto" w:sz="4" w:space="0"/>
              <w:left w:val="single" w:color="auto" w:sz="4" w:space="0"/>
              <w:bottom w:val="single" w:color="auto" w:sz="4" w:space="0"/>
            </w:tcBorders>
          </w:tcPr>
          <w:p w:rsidRPr="00B80EAF" w:rsidR="00AC1FAD" w:rsidP="007A7E76" w:rsidRDefault="00AC1FAD" w14:paraId="2327ED47" w14:textId="77777777">
            <w:pPr>
              <w:jc w:val="center"/>
            </w:pPr>
            <w:r w:rsidRPr="00B80EAF">
              <w:t>6</w:t>
            </w:r>
          </w:p>
        </w:tc>
      </w:tr>
      <w:tr w:rsidRPr="00B80EAF" w:rsidR="00B103B1" w:rsidTr="00F83D8B" w14:paraId="0D950072" w14:textId="77777777">
        <w:tc>
          <w:tcPr>
            <w:tcW w:w="14201" w:type="dxa"/>
            <w:gridSpan w:val="6"/>
            <w:tcBorders>
              <w:top w:val="single" w:color="000000" w:sz="6" w:space="0"/>
              <w:left w:val="single" w:color="000000" w:sz="6" w:space="0"/>
              <w:bottom w:val="single" w:color="000000" w:sz="6" w:space="0"/>
            </w:tcBorders>
          </w:tcPr>
          <w:p w:rsidRPr="00B80EAF" w:rsidR="00B103B1" w:rsidP="007A7E76" w:rsidRDefault="00B103B1" w14:paraId="3398F252" w14:textId="2C73BD51">
            <w:pPr>
              <w:jc w:val="center"/>
            </w:pPr>
            <w:r w:rsidRPr="00B103B1">
              <w:rPr>
                <w:b/>
                <w:bCs/>
              </w:rPr>
              <w:t>Finanšu ministrija</w:t>
            </w:r>
          </w:p>
        </w:tc>
      </w:tr>
      <w:tr w:rsidRPr="00B80EAF" w:rsidR="00B103B1" w:rsidTr="005D236E" w14:paraId="5FADD50F" w14:textId="77777777">
        <w:tc>
          <w:tcPr>
            <w:tcW w:w="709" w:type="dxa"/>
            <w:tcBorders>
              <w:top w:val="single" w:color="000000" w:sz="6" w:space="0"/>
              <w:left w:val="single" w:color="000000" w:sz="6" w:space="0"/>
              <w:bottom w:val="single" w:color="000000" w:sz="6" w:space="0"/>
              <w:right w:val="single" w:color="000000" w:sz="6" w:space="0"/>
            </w:tcBorders>
          </w:tcPr>
          <w:p w:rsidRPr="00B80EAF" w:rsidR="00B103B1" w:rsidP="007A7E76" w:rsidRDefault="00B103B1" w14:paraId="2A8ED521" w14:textId="77777777">
            <w:pPr>
              <w:pStyle w:val="naisc"/>
              <w:spacing w:before="0" w:after="0"/>
            </w:pPr>
          </w:p>
        </w:tc>
        <w:tc>
          <w:tcPr>
            <w:tcW w:w="2577" w:type="dxa"/>
            <w:tcBorders>
              <w:top w:val="single" w:color="000000" w:sz="6" w:space="0"/>
              <w:left w:val="single" w:color="000000" w:sz="6" w:space="0"/>
              <w:bottom w:val="single" w:color="000000" w:sz="6" w:space="0"/>
              <w:right w:val="single" w:color="000000" w:sz="6" w:space="0"/>
            </w:tcBorders>
          </w:tcPr>
          <w:p w:rsidRPr="00B80EAF" w:rsidR="00B103B1" w:rsidP="00B103B1" w:rsidRDefault="00B103B1" w14:paraId="449309C3" w14:textId="7BA65FCF">
            <w:pPr>
              <w:pStyle w:val="naisc"/>
              <w:spacing w:before="0" w:after="0"/>
              <w:jc w:val="both"/>
            </w:pPr>
            <w:r w:rsidRPr="00B103B1">
              <w:t xml:space="preserve">Noteikumu projekts un </w:t>
            </w:r>
            <w:proofErr w:type="gramStart"/>
            <w:r w:rsidRPr="00B103B1">
              <w:t xml:space="preserve">tā </w:t>
            </w:r>
            <w:r w:rsidRPr="00B103B1">
              <w:rPr>
                <w:bCs/>
              </w:rPr>
              <w:t>sākotnējās ietekmes</w:t>
            </w:r>
            <w:proofErr w:type="gramEnd"/>
            <w:r w:rsidRPr="00B103B1">
              <w:rPr>
                <w:bCs/>
              </w:rPr>
              <w:t xml:space="preserve"> novērtējuma ziņojums (anotācija</w:t>
            </w:r>
            <w:r w:rsidRPr="00B103B1">
              <w:t>).</w:t>
            </w:r>
          </w:p>
        </w:tc>
        <w:tc>
          <w:tcPr>
            <w:tcW w:w="2977" w:type="dxa"/>
            <w:tcBorders>
              <w:top w:val="single" w:color="000000" w:sz="6" w:space="0"/>
              <w:left w:val="single" w:color="000000" w:sz="6" w:space="0"/>
              <w:bottom w:val="single" w:color="000000" w:sz="6" w:space="0"/>
              <w:right w:val="single" w:color="000000" w:sz="6" w:space="0"/>
            </w:tcBorders>
          </w:tcPr>
          <w:p w:rsidRPr="006B7B1D" w:rsidR="006B7B1D" w:rsidP="006B7B1D" w:rsidRDefault="006B7B1D" w14:paraId="6F0C73A7" w14:textId="77777777">
            <w:pPr>
              <w:pStyle w:val="naisc"/>
              <w:spacing w:before="0" w:after="0"/>
              <w:rPr>
                <w:b/>
                <w:bCs/>
              </w:rPr>
            </w:pPr>
            <w:r w:rsidRPr="006B7B1D">
              <w:rPr>
                <w:b/>
                <w:bCs/>
              </w:rPr>
              <w:t>(30.04.2021. atzinums)</w:t>
            </w:r>
          </w:p>
          <w:p w:rsidRPr="006B7B1D" w:rsidR="006B7B1D" w:rsidP="006B7B1D" w:rsidRDefault="006B7B1D" w14:paraId="4BBDB717" w14:textId="77777777">
            <w:pPr>
              <w:pStyle w:val="naisc"/>
              <w:spacing w:before="0" w:after="0"/>
              <w:jc w:val="both"/>
            </w:pPr>
            <w:r w:rsidRPr="006B7B1D">
              <w:t xml:space="preserve">Tā kā noteikumu projektam ir ievērojama ietekme uz valsts budžeta ieņēmumiem, Saeimas Juridiskā komisija šā gada 28.aprīļa sēdē uzdeva rast kompensējošos pasākumus, lai valsts nodevas par īpašuma tiesību un ķīlas tiesību nostiprināšanu zemesgrāmatā samazinājums varētu stāties spēkā ar š.g. 1. jūniju. Ņemot vērā, ka iepriekšminētais noteikumu projekts šā brīža redakcijā neparedz </w:t>
            </w:r>
            <w:r w:rsidRPr="006B7B1D">
              <w:lastRenderedPageBreak/>
              <w:t>kompensējošos pasākumus, Finanšu ministrija pašlaik neatbalsta tā tālāku virzību.</w:t>
            </w:r>
          </w:p>
          <w:p w:rsidRPr="006B7B1D" w:rsidR="006B7B1D" w:rsidP="006B7B1D" w:rsidRDefault="006B7B1D" w14:paraId="4825DD13" w14:textId="77777777">
            <w:pPr>
              <w:pStyle w:val="naisc"/>
              <w:spacing w:before="0" w:after="0"/>
              <w:jc w:val="both"/>
            </w:pPr>
          </w:p>
          <w:p w:rsidRPr="006B7B1D" w:rsidR="006B7B1D" w:rsidP="006B7B1D" w:rsidRDefault="006B7B1D" w14:paraId="6F9EF512" w14:textId="77777777">
            <w:pPr>
              <w:pStyle w:val="naisc"/>
              <w:spacing w:before="0" w:after="0"/>
              <w:rPr>
                <w:b/>
                <w:bCs/>
              </w:rPr>
            </w:pPr>
            <w:r w:rsidRPr="006B7B1D">
              <w:rPr>
                <w:b/>
                <w:bCs/>
              </w:rPr>
              <w:t>(01.06.2021. atzinums)</w:t>
            </w:r>
          </w:p>
          <w:p w:rsidRPr="00B80EAF" w:rsidR="00B103B1" w:rsidP="006B7B1D" w:rsidRDefault="006B7B1D" w14:paraId="57EA4F36" w14:textId="402CA535">
            <w:pPr>
              <w:pStyle w:val="naisc"/>
              <w:spacing w:before="0" w:after="0"/>
              <w:jc w:val="both"/>
            </w:pPr>
            <w:r w:rsidRPr="006B7B1D">
              <w:t>Anotācijas III sadaļas "Tiesību akta projekta ietekme uz valsts budžetu un pašvaldību budžetiem" 8. punktā "Cita informācija" norādītais provizoriskais nodokļu un nenodokļu ieņēmumu pieaugums no jaunu dzīvokļu pārdošanas nav uzskatāms par kompensējošu pasākumu, jo to veicina vispārējā ekonomiskā attīstība, un attiecīgi šāda veida ieņēmumi jau ir iekļauti vidēja termiņa budžeta ieņēmumu prognozēs.</w:t>
            </w:r>
          </w:p>
        </w:tc>
        <w:tc>
          <w:tcPr>
            <w:tcW w:w="2977" w:type="dxa"/>
            <w:tcBorders>
              <w:top w:val="single" w:color="000000" w:sz="6" w:space="0"/>
              <w:left w:val="single" w:color="000000" w:sz="6" w:space="0"/>
              <w:bottom w:val="single" w:color="000000" w:sz="6" w:space="0"/>
              <w:right w:val="single" w:color="000000" w:sz="6" w:space="0"/>
            </w:tcBorders>
          </w:tcPr>
          <w:p w:rsidRPr="00E60BD1" w:rsidR="00E60BD1" w:rsidP="00E60BD1" w:rsidRDefault="00E60BD1" w14:paraId="0571D58A" w14:textId="06F830BC">
            <w:pPr>
              <w:pStyle w:val="naisc"/>
              <w:spacing w:before="0" w:after="0"/>
              <w:rPr>
                <w:b/>
                <w:bCs/>
              </w:rPr>
            </w:pPr>
            <w:r w:rsidRPr="00E60BD1">
              <w:rPr>
                <w:b/>
                <w:bCs/>
              </w:rPr>
              <w:lastRenderedPageBreak/>
              <w:t>Daļēji ņemts vērā</w:t>
            </w:r>
          </w:p>
          <w:p w:rsidRPr="007C7DEC" w:rsidR="007C7DEC" w:rsidP="007C7DEC" w:rsidRDefault="007C7DEC" w14:paraId="41263AEE" w14:textId="050E0210">
            <w:pPr>
              <w:pStyle w:val="naisc"/>
              <w:spacing w:before="0" w:after="0"/>
              <w:jc w:val="both"/>
            </w:pPr>
            <w:r w:rsidRPr="007C7DEC">
              <w:t xml:space="preserve">2021. gada 1. jūnijā izteiktais atzinums ir vispārināts teikums, kas nav balstīts faktos. </w:t>
            </w:r>
          </w:p>
          <w:p w:rsidRPr="007C7DEC" w:rsidR="007C7DEC" w:rsidP="007C7DEC" w:rsidRDefault="007C7DEC" w14:paraId="72AF8ECE" w14:textId="77777777">
            <w:pPr>
              <w:pStyle w:val="naisc"/>
              <w:spacing w:before="0" w:after="0"/>
              <w:jc w:val="both"/>
            </w:pPr>
            <w:r w:rsidRPr="007C7DEC">
              <w:t xml:space="preserve">Norādāms, ka likuma "Par valsts budžetu 2021. gadam" paskaidrojuma 2. nodaļas fiskālajā apskatā </w:t>
            </w:r>
            <w:proofErr w:type="gramStart"/>
            <w:r w:rsidRPr="007C7DEC">
              <w:t>(</w:t>
            </w:r>
            <w:proofErr w:type="gramEnd"/>
            <w:r w:rsidR="00B94E01">
              <w:fldChar w:fldCharType="begin"/>
            </w:r>
            <w:r w:rsidR="00B94E01">
              <w:instrText xml:space="preserve"> HYPERLINK "https://www.fm.gov.lv/en/media/2933/download" </w:instrText>
            </w:r>
            <w:r w:rsidR="00B94E01">
              <w:fldChar w:fldCharType="separate"/>
            </w:r>
            <w:r w:rsidRPr="007C7DEC">
              <w:rPr>
                <w:rStyle w:val="Hipersaite"/>
              </w:rPr>
              <w:t>https://www.fm.gov.lv/en/media/2933/download</w:t>
            </w:r>
            <w:r w:rsidR="00B94E01">
              <w:rPr>
                <w:rStyle w:val="Hipersaite"/>
              </w:rPr>
              <w:fldChar w:fldCharType="end"/>
            </w:r>
            <w:r w:rsidRPr="007C7DEC">
              <w:t xml:space="preserve">) iekļauta norāde par to, ka vidēja termiņa vispārējās valdības budžeta prognožu pamatā ir 2020. gada jūnijā sagatavotais makroekonomiskās </w:t>
            </w:r>
            <w:r w:rsidRPr="007C7DEC">
              <w:lastRenderedPageBreak/>
              <w:t xml:space="preserve">attīstības scenārijs, aktualizētie nodokļu ieņēmumi un izdevumi, kā arī valdības pieņemtie lēmumi </w:t>
            </w:r>
            <w:proofErr w:type="gramStart"/>
            <w:r w:rsidRPr="007C7DEC">
              <w:t>(</w:t>
            </w:r>
            <w:proofErr w:type="gramEnd"/>
            <w:r w:rsidR="00B94E01">
              <w:fldChar w:fldCharType="begin"/>
            </w:r>
            <w:r w:rsidR="00B94E01">
              <w:instrText xml:space="preserve"> HYPERLINK "https://www.fm.gov.lv/lv/media/1632/download" </w:instrText>
            </w:r>
            <w:r w:rsidR="00B94E01">
              <w:fldChar w:fldCharType="separate"/>
            </w:r>
            <w:r w:rsidRPr="007C7DEC">
              <w:rPr>
                <w:rStyle w:val="Hipersaite"/>
              </w:rPr>
              <w:t>https://www.fm.gov.lv/lv/media/1632/download</w:t>
            </w:r>
            <w:r w:rsidR="00B94E01">
              <w:rPr>
                <w:rStyle w:val="Hipersaite"/>
              </w:rPr>
              <w:fldChar w:fldCharType="end"/>
            </w:r>
            <w:r w:rsidRPr="007C7DEC">
              <w:t xml:space="preserve">). </w:t>
            </w:r>
          </w:p>
          <w:p w:rsidRPr="007C7DEC" w:rsidR="007C7DEC" w:rsidP="007C7DEC" w:rsidRDefault="007C7DEC" w14:paraId="54066694" w14:textId="77777777">
            <w:pPr>
              <w:pStyle w:val="naisc"/>
              <w:spacing w:before="0" w:after="0"/>
              <w:jc w:val="both"/>
            </w:pPr>
            <w:r w:rsidRPr="007C7DEC">
              <w:t xml:space="preserve">Izvērtējot minētajos dokumentos sniegto informāciju, nav konstatējams, ka budžeta prognožu pamatā vispār tiktu </w:t>
            </w:r>
            <w:proofErr w:type="gramStart"/>
            <w:r w:rsidRPr="007C7DEC">
              <w:t>analizēta jauno dzīvokļu būvniecības intensitātes pieaugums un uz tā pamata veidojošais nodokļu ieņēmumu pieaugums</w:t>
            </w:r>
            <w:proofErr w:type="gramEnd"/>
            <w:r w:rsidRPr="007C7DEC">
              <w:t xml:space="preserve">. </w:t>
            </w:r>
          </w:p>
          <w:p w:rsidRPr="007C7DEC" w:rsidR="007C7DEC" w:rsidP="007C7DEC" w:rsidRDefault="007C7DEC" w14:paraId="149A0B6B" w14:textId="77777777">
            <w:pPr>
              <w:pStyle w:val="naisc"/>
              <w:spacing w:before="0" w:after="0"/>
              <w:jc w:val="both"/>
            </w:pPr>
            <w:r w:rsidRPr="007C7DEC">
              <w:t>Vēl vairāk - Makroekonomiskās attīstības aprakstā minētie secinājumi ir tādi, kas rada pamatotu pieņēmumu, ka</w:t>
            </w:r>
            <w:proofErr w:type="gramStart"/>
            <w:r w:rsidRPr="007C7DEC">
              <w:t xml:space="preserve">  </w:t>
            </w:r>
            <w:proofErr w:type="gramEnd"/>
            <w:r w:rsidRPr="007C7DEC">
              <w:t>vidēja termiņa vispārējās valdības budžeta prognožu pamatā piesardzīgi vērtēta būvniecības aktivitātes pieaugums. Pieaugums, galvenokārt, tiek saistīts ar nozīmīgiem infrastruktūras projektiem, kas tiek īstenoti ar ES fonda starpniecību,</w:t>
            </w:r>
            <w:proofErr w:type="gramStart"/>
            <w:r w:rsidRPr="007C7DEC">
              <w:t xml:space="preserve">  </w:t>
            </w:r>
            <w:proofErr w:type="gramEnd"/>
            <w:r w:rsidRPr="007C7DEC">
              <w:t xml:space="preserve">piemēram, </w:t>
            </w:r>
            <w:proofErr w:type="spellStart"/>
            <w:r w:rsidRPr="007C7DEC">
              <w:t>Rail</w:t>
            </w:r>
            <w:proofErr w:type="spellEnd"/>
            <w:r w:rsidRPr="007C7DEC">
              <w:t xml:space="preserve"> </w:t>
            </w:r>
            <w:proofErr w:type="spellStart"/>
            <w:r w:rsidRPr="007C7DEC">
              <w:t>Baltic</w:t>
            </w:r>
            <w:proofErr w:type="spellEnd"/>
            <w:r w:rsidRPr="007C7DEC">
              <w:t xml:space="preserve">. </w:t>
            </w:r>
            <w:r w:rsidRPr="007C7DEC">
              <w:lastRenderedPageBreak/>
              <w:t>Pārskatā norādīts "</w:t>
            </w:r>
            <w:r w:rsidRPr="007C7DEC">
              <w:rPr>
                <w:i/>
                <w:iCs/>
              </w:rPr>
              <w:t xml:space="preserve">Arī liela daļa no jaunā ES fondu plānošanas perioda Latvijai pieejamā finansējuma, kas pārsniedz 10 miljardus eiro, tiks novirzīta infrastruktūras projektiem. Turpmākajos periodos tiks īstenoti arī citi lieli infrastruktūras projekti, kas stimulēs nozares attīstību, piemēram, </w:t>
            </w:r>
            <w:proofErr w:type="spellStart"/>
            <w:r w:rsidRPr="007C7DEC">
              <w:rPr>
                <w:i/>
                <w:iCs/>
              </w:rPr>
              <w:t>Rail</w:t>
            </w:r>
            <w:proofErr w:type="spellEnd"/>
            <w:r w:rsidRPr="007C7DEC">
              <w:rPr>
                <w:i/>
                <w:iCs/>
              </w:rPr>
              <w:t xml:space="preserve"> Baltica, tādējādi, lai arī šā gada otrajai pusei būvniecības attīstības prognozes ir mazāk optimistiskas, nākamajos gados sektora izaugsmei atkal jākļūst straujākai</w:t>
            </w:r>
            <w:r w:rsidRPr="007C7DEC">
              <w:t>.".</w:t>
            </w:r>
          </w:p>
          <w:p w:rsidRPr="007C7DEC" w:rsidR="007C7DEC" w:rsidP="007C7DEC" w:rsidRDefault="007C7DEC" w14:paraId="74B4BE91" w14:textId="77777777">
            <w:pPr>
              <w:pStyle w:val="naisc"/>
              <w:spacing w:before="0" w:after="0"/>
              <w:jc w:val="both"/>
            </w:pPr>
            <w:proofErr w:type="gramStart"/>
            <w:r w:rsidRPr="007C7DEC">
              <w:t>Savukārt attiecībā uz būvniecību mājokļa jomā,</w:t>
            </w:r>
            <w:proofErr w:type="gramEnd"/>
            <w:r w:rsidRPr="007C7DEC">
              <w:t xml:space="preserve"> secinājumi izdarīti pie optimistiskā scenārija, norādot, ka tiek paredzēta "</w:t>
            </w:r>
            <w:r w:rsidRPr="007C7DEC">
              <w:rPr>
                <w:i/>
                <w:iCs/>
              </w:rPr>
              <w:t xml:space="preserve"> straujāku IKP izaugsmi 2020. gadā [..] daudzas mājsaimniecības un uzņēmēji izmantoja šo laiku, lai veiktu </w:t>
            </w:r>
            <w:r w:rsidRPr="007C7DEC">
              <w:rPr>
                <w:i/>
                <w:iCs/>
                <w:u w:val="single"/>
              </w:rPr>
              <w:t>nelielus būvniecības darbus</w:t>
            </w:r>
            <w:r w:rsidRPr="007C7DEC">
              <w:rPr>
                <w:i/>
                <w:iCs/>
              </w:rPr>
              <w:t>, mazinot būvniecības nozares iespējamo kritumu</w:t>
            </w:r>
            <w:r w:rsidRPr="007C7DEC">
              <w:t xml:space="preserve">.". </w:t>
            </w:r>
          </w:p>
          <w:p w:rsidRPr="007C7DEC" w:rsidR="007C7DEC" w:rsidP="007C7DEC" w:rsidRDefault="007C7DEC" w14:paraId="54FFB171" w14:textId="77777777">
            <w:pPr>
              <w:pStyle w:val="naisc"/>
              <w:spacing w:before="0" w:after="0"/>
              <w:jc w:val="both"/>
            </w:pPr>
            <w:r w:rsidRPr="007C7DEC">
              <w:lastRenderedPageBreak/>
              <w:t>Tāpat Makroekonomiskās attīstības aprakstā minētie apsvērumi par kopumā būvniecības attīstību (jāņem vērā, ka kompensējošie pasākumi aptver vienas ļoti šauras jomas būvniecības nozari – jauno dzīvokļu būvniecību) ir tādi, kas liecina drīzāk, ka, plānojot budžetu, ir ņemts vērā nebūtisks būvniecības aktivitātes pieaugums. To apliecina pārskatā minētā informācija, ka "</w:t>
            </w:r>
            <w:r w:rsidRPr="007C7DEC">
              <w:rPr>
                <w:i/>
                <w:iCs/>
              </w:rPr>
              <w:t>Būvmateriālu importa vērtība samazinājās par 10,8 % salīdzinājumā ar pērnā gada pirmajiem septiņiem mēnešiem, ko noteica ģipša, cementa, akmens un stikla importa samazinājums. Metālu un būvniecības izstrādājumu importa samazinājums fiksēts</w:t>
            </w:r>
            <w:proofErr w:type="gramStart"/>
            <w:r w:rsidRPr="007C7DEC">
              <w:rPr>
                <w:i/>
                <w:iCs/>
              </w:rPr>
              <w:t xml:space="preserve"> sākot no š.g. aprīļa</w:t>
            </w:r>
            <w:proofErr w:type="gramEnd"/>
            <w:r w:rsidRPr="007C7DEC">
              <w:rPr>
                <w:i/>
                <w:iCs/>
              </w:rPr>
              <w:t xml:space="preserve">, kamēr gada pirmajā ceturksnī kopumā </w:t>
            </w:r>
            <w:r w:rsidRPr="007C7DEC">
              <w:rPr>
                <w:i/>
                <w:iCs/>
              </w:rPr>
              <w:lastRenderedPageBreak/>
              <w:t>būvniecības preču imports bija vēl augošs, bet metālu imports bija pērnā gada līmenī. Šo preču importa tendence norāda uz to, ka būvniecības aktivitāte Latvijā sākot no š.g. aprīļa ir mazinājusies. Tā, būvniecības produkcijas apjoms š.g. otrajā ceturksnī gada griezumā samazinājās par 0,6  %</w:t>
            </w:r>
            <w:r w:rsidRPr="007C7DEC">
              <w:t>.". Tāpat tiek norādīts, ka "</w:t>
            </w:r>
            <w:r w:rsidRPr="007C7DEC">
              <w:rPr>
                <w:i/>
                <w:iCs/>
              </w:rPr>
              <w:t>investīciju pieauguma tempa piebremzēšanās saistīta galvenokārt ar zemāku būvniecības aktivitāti, uz ko norāda vājāka būvniecības nozares izaugsme 2019. gadā.</w:t>
            </w:r>
            <w:r w:rsidRPr="007C7DEC">
              <w:t>", kā arī uzsvērts, ka "</w:t>
            </w:r>
            <w:r w:rsidRPr="007C7DEC">
              <w:rPr>
                <w:i/>
                <w:iCs/>
              </w:rPr>
              <w:t>kopš jūnija vērojama nepārtraukta būvniecības nozares konfidences rādītāju uzlabošanās, lai arī pagaidām vēl nav sasniegts pirmskrīzes līmenis</w:t>
            </w:r>
            <w:r w:rsidRPr="007C7DEC">
              <w:t>.";</w:t>
            </w:r>
          </w:p>
          <w:p w:rsidRPr="00B80EAF" w:rsidR="00B103B1" w:rsidP="007C7DEC" w:rsidRDefault="007C7DEC" w14:paraId="52EDAE7F" w14:textId="70472420">
            <w:pPr>
              <w:pStyle w:val="naisc"/>
              <w:spacing w:before="0" w:after="0"/>
              <w:jc w:val="both"/>
            </w:pPr>
            <w:r w:rsidRPr="007C7DEC">
              <w:t xml:space="preserve">Ņemot vērā minēto, nav gūta pārliecība, ka nodokļu ieņēmumi no jaunu dzīvojamo māju būvniecības un jauno dzīvokļu pārdošanas apmēros kā </w:t>
            </w:r>
            <w:r w:rsidRPr="007C7DEC">
              <w:lastRenderedPageBreak/>
              <w:t>norādīts noteikumu projekta sākotnējās ietekmes novērtējuma ziņojuma (anotācijas) III. sadaļā būtu jau ieplānoti plānojot budžetu, tostarp, vidējā termiņā.</w:t>
            </w:r>
          </w:p>
        </w:tc>
        <w:tc>
          <w:tcPr>
            <w:tcW w:w="2551" w:type="dxa"/>
            <w:tcBorders>
              <w:top w:val="single" w:color="auto" w:sz="4" w:space="0"/>
              <w:left w:val="single" w:color="auto" w:sz="4" w:space="0"/>
              <w:bottom w:val="single" w:color="auto" w:sz="4" w:space="0"/>
              <w:right w:val="single" w:color="auto" w:sz="4" w:space="0"/>
            </w:tcBorders>
          </w:tcPr>
          <w:p w:rsidRPr="00976ECD" w:rsidR="00976ECD" w:rsidP="00976ECD" w:rsidRDefault="00976ECD" w14:paraId="25260038" w14:textId="25B04683">
            <w:pPr>
              <w:jc w:val="center"/>
              <w:rPr>
                <w:b/>
                <w:bCs/>
              </w:rPr>
            </w:pPr>
            <w:r w:rsidRPr="00976ECD">
              <w:rPr>
                <w:b/>
                <w:bCs/>
              </w:rPr>
              <w:lastRenderedPageBreak/>
              <w:t>(</w:t>
            </w:r>
            <w:r>
              <w:rPr>
                <w:b/>
                <w:bCs/>
              </w:rPr>
              <w:t>11.06</w:t>
            </w:r>
            <w:r w:rsidRPr="00976ECD">
              <w:rPr>
                <w:b/>
                <w:bCs/>
              </w:rPr>
              <w:t>.2021. atzinums)</w:t>
            </w:r>
          </w:p>
          <w:p w:rsidRPr="009F1B8A" w:rsidR="009F1B8A" w:rsidP="009F1B8A" w:rsidRDefault="009F1B8A" w14:paraId="1626AFA4" w14:textId="7BFADE08">
            <w:pPr>
              <w:jc w:val="both"/>
            </w:pPr>
            <w:r w:rsidRPr="009F1B8A">
              <w:t>Finanšu ministrija ir izskatījusi Tieslietu ministrijas precizēto Ministru kabineta noteikumu projektu "Grozījumi Ministru kabineta 2009. gada 27. oktobra noteikumos Nr. 1250 "Noteikumi par valsts nodevu par īpašuma tiesību un ķīlas tiesību nostiprināšanu zemesgrāmatā""</w:t>
            </w:r>
            <w:r w:rsidRPr="009F1B8A">
              <w:rPr>
                <w:b/>
                <w:bCs/>
              </w:rPr>
              <w:t xml:space="preserve"> </w:t>
            </w:r>
            <w:r w:rsidRPr="009F1B8A">
              <w:rPr>
                <w:bCs/>
              </w:rPr>
              <w:t>(turpmāk –</w:t>
            </w:r>
            <w:r w:rsidR="007C0273">
              <w:rPr>
                <w:bCs/>
              </w:rPr>
              <w:t> </w:t>
            </w:r>
            <w:r w:rsidRPr="009F1B8A">
              <w:rPr>
                <w:bCs/>
              </w:rPr>
              <w:t>noteikumu projekts)</w:t>
            </w:r>
            <w:r w:rsidRPr="009F1B8A">
              <w:t xml:space="preserve">, </w:t>
            </w:r>
            <w:proofErr w:type="gramStart"/>
            <w:r w:rsidRPr="009F1B8A">
              <w:rPr>
                <w:bCs/>
              </w:rPr>
              <w:t>tā sākotnējās ietekmes</w:t>
            </w:r>
            <w:proofErr w:type="gramEnd"/>
            <w:r w:rsidRPr="009F1B8A">
              <w:rPr>
                <w:bCs/>
              </w:rPr>
              <w:t xml:space="preserve"> novērtējuma </w:t>
            </w:r>
            <w:r w:rsidRPr="009F1B8A">
              <w:rPr>
                <w:bCs/>
              </w:rPr>
              <w:lastRenderedPageBreak/>
              <w:t>ziņojumu (anotāciju</w:t>
            </w:r>
            <w:r w:rsidRPr="009F1B8A">
              <w:t>), kā arī izziņu par atzinumos sniegtajiem iebildumiem un uztur iepriekš izteikto iebildumu.</w:t>
            </w:r>
          </w:p>
          <w:p w:rsidRPr="009F1B8A" w:rsidR="009F1B8A" w:rsidP="009F1B8A" w:rsidRDefault="009F1B8A" w14:paraId="652CE31E" w14:textId="77777777">
            <w:pPr>
              <w:jc w:val="both"/>
            </w:pPr>
            <w:r w:rsidRPr="009F1B8A">
              <w:t xml:space="preserve">Anotācijas III sadaļas "Tiesību akta projekta ietekme uz valsts budžetu un pašvaldību budžetiem" 8. punktā "Cita informācija" norādītais provizoriskais nodokļu un nenodokļu ieņēmumu pieaugums no jaunu dzīvokļu pārdošanas nav uzskatāms par kompensējošu pasākumu, jo to veicina vispārējā ekonomiskā attīstība, un attiecīgi </w:t>
            </w:r>
            <w:r w:rsidRPr="009F1B8A">
              <w:rPr>
                <w:u w:val="single"/>
              </w:rPr>
              <w:t>šāda veida ieņēmumi jau ir iekļauti vidēja termiņa budžeta ieņēmumu prognozēs</w:t>
            </w:r>
            <w:r w:rsidRPr="009F1B8A">
              <w:t>.</w:t>
            </w:r>
          </w:p>
          <w:p w:rsidRPr="00B80EAF" w:rsidR="00B103B1" w:rsidP="007A7E76" w:rsidRDefault="00B103B1" w14:paraId="034C1CDA" w14:textId="77777777">
            <w:pPr>
              <w:jc w:val="center"/>
            </w:pPr>
          </w:p>
        </w:tc>
        <w:tc>
          <w:tcPr>
            <w:tcW w:w="2410" w:type="dxa"/>
            <w:tcBorders>
              <w:top w:val="single" w:color="auto" w:sz="4" w:space="0"/>
              <w:left w:val="single" w:color="auto" w:sz="4" w:space="0"/>
              <w:bottom w:val="single" w:color="auto" w:sz="4" w:space="0"/>
            </w:tcBorders>
          </w:tcPr>
          <w:p w:rsidRPr="001839C4" w:rsidR="001839C4" w:rsidP="001839C4" w:rsidRDefault="00976ECD" w14:paraId="295A4487" w14:textId="6F6D8609">
            <w:pPr>
              <w:jc w:val="both"/>
            </w:pPr>
            <w:r w:rsidRPr="00976ECD">
              <w:lastRenderedPageBreak/>
              <w:t xml:space="preserve">Noteikumu projekta </w:t>
            </w:r>
            <w:r w:rsidRPr="00976ECD">
              <w:rPr>
                <w:bCs/>
              </w:rPr>
              <w:t>sākotnējās ietekmes novērtējuma ziņojuma (anotācijas</w:t>
            </w:r>
            <w:r w:rsidRPr="00976ECD">
              <w:t>) III sadaļas "Tiesību akta projekta ietekme uz valsts budžetu un pašvaldību budžetiem" 8. punkts "Cita informācijas" papildināts ar šādu informāciju: "</w:t>
            </w:r>
            <w:r w:rsidRPr="001839C4" w:rsidR="001839C4">
              <w:t xml:space="preserve">Ir pamats uzskatīt, ka šo nodevu ieņēmumu samazinājumu kompensēs aktivitātes jauno nekustamo īpašumu segmentā. </w:t>
            </w:r>
            <w:r w:rsidRPr="001839C4" w:rsidR="001839C4">
              <w:lastRenderedPageBreak/>
              <w:t>Nodokļu ieņēmumu kontekstā tiek analizēts tikai jauno dzīvokļu tirgus, jo to pārdošana saistīta ar pievienotās vērtības nodokli, iedzīvotāju ienākuma nodokli, kā arī uzņēmumu ienākuma nodokli no attīstītāju peļņas. Faktiskais nodokļu ieņēmum</w:t>
            </w:r>
            <w:r w:rsidR="00C27E71">
              <w:t>u</w:t>
            </w:r>
            <w:r w:rsidRPr="001839C4" w:rsidR="001839C4">
              <w:t xml:space="preserve"> apjoms ir lielāks, ņemot vērā iedzīvotāju ienākum</w:t>
            </w:r>
            <w:r w:rsidR="00C27E71">
              <w:t>a</w:t>
            </w:r>
            <w:r w:rsidRPr="001839C4" w:rsidR="001839C4">
              <w:t xml:space="preserve"> nodokļa, kā arī uzņēmumu ienākum</w:t>
            </w:r>
            <w:r w:rsidR="00C27E71">
              <w:t>a</w:t>
            </w:r>
            <w:r w:rsidRPr="001839C4" w:rsidR="001839C4">
              <w:t xml:space="preserve"> nodokļa apjomu no būvizstrādājumu ražošanas Latvijā.</w:t>
            </w:r>
          </w:p>
          <w:p w:rsidRPr="001839C4" w:rsidR="001839C4" w:rsidP="001839C4" w:rsidRDefault="001839C4" w14:paraId="0703C60A" w14:textId="57BBF484">
            <w:pPr>
              <w:jc w:val="both"/>
            </w:pPr>
            <w:r w:rsidRPr="001839C4">
              <w:t>Secināts, ka katrs jauna dzīvokļa pārdošanas darījums valsts budžetā ienes aptuveni 30 820 </w:t>
            </w:r>
            <w:r w:rsidRPr="001839C4">
              <w:rPr>
                <w:i/>
                <w:iCs/>
              </w:rPr>
              <w:t xml:space="preserve">euro (pievienotās vērtības nodoklis 17 335  euro, valsts nodeva (2 %) 1653 euro, nodokļi būvniecībā (tiešās algas un nodokļi) 8889 euro, attīstītāja </w:t>
            </w:r>
            <w:r w:rsidRPr="001839C4">
              <w:rPr>
                <w:i/>
                <w:iCs/>
              </w:rPr>
              <w:lastRenderedPageBreak/>
              <w:t>uzņēmuma ienākuma nodoklis 2923 euro)</w:t>
            </w:r>
            <w:r w:rsidRPr="001839C4">
              <w:t xml:space="preserve"> uz katriem 100 000 </w:t>
            </w:r>
            <w:r w:rsidRPr="001839C4">
              <w:rPr>
                <w:i/>
                <w:iCs/>
              </w:rPr>
              <w:t>euro</w:t>
            </w:r>
            <w:r w:rsidRPr="001839C4">
              <w:t>. Jaunu dzīvokļu būvniecības apjoms Latvijā līdz šim ir bijis aptuveni 2000 dzīvokļu gadā, tomēr ir pamats uzskatīt, ka 2021. gadā šis apjoms būs par vismaz 20 %, jeb 400 dzīvokļiem lielāks.</w:t>
            </w:r>
          </w:p>
          <w:p w:rsidRPr="001839C4" w:rsidR="001839C4" w:rsidP="001839C4" w:rsidRDefault="001839C4" w14:paraId="36D11CB0" w14:textId="77777777">
            <w:pPr>
              <w:jc w:val="both"/>
              <w:rPr>
                <w:vertAlign w:val="superscript"/>
              </w:rPr>
            </w:pPr>
            <w:r w:rsidRPr="001839C4">
              <w:t>Uz to norāda, pirmkārt, jauno būvatļauju apjoms. Piemēram, 2019. gadā jauno būvatļauju apjoms bija 152 000 m</w:t>
            </w:r>
            <w:r w:rsidRPr="001839C4">
              <w:rPr>
                <w:vertAlign w:val="superscript"/>
              </w:rPr>
              <w:t>2</w:t>
            </w:r>
            <w:r w:rsidRPr="001839C4">
              <w:t>, savukārt 2020. gadā par trešdaļu (33 %) vairāk, proti, 202 000 m</w:t>
            </w:r>
            <w:r w:rsidRPr="001839C4">
              <w:rPr>
                <w:vertAlign w:val="superscript"/>
              </w:rPr>
              <w:t>2</w:t>
            </w:r>
            <w:r w:rsidRPr="001839C4">
              <w:t xml:space="preserve">. Arī ekspluatācijā pieņemto jauno dzīvokļu skaits turpina pieaugt, ja 2020. gada 1. ceturksnī ekspluatācijā tika nodoti 348 dzīvokļu, tad 2021. gada </w:t>
            </w:r>
            <w:r w:rsidRPr="001839C4">
              <w:lastRenderedPageBreak/>
              <w:t>ceturksnī – 467 dzīvokļu.</w:t>
            </w:r>
            <w:r w:rsidRPr="001839C4">
              <w:rPr>
                <w:vertAlign w:val="superscript"/>
              </w:rPr>
              <w:footnoteReference w:id="1"/>
            </w:r>
          </w:p>
          <w:p w:rsidRPr="001839C4" w:rsidR="001839C4" w:rsidP="001839C4" w:rsidRDefault="001839C4" w14:paraId="0F46687A" w14:textId="77777777">
            <w:pPr>
              <w:jc w:val="both"/>
            </w:pPr>
            <w:r w:rsidRPr="001839C4">
              <w:t xml:space="preserve">Dati no lielākajiem dzīvokļu attīstītājiem apliecina, ka 2021. gadā jauno dzīvokļu būvniecības pieaugums būs vismaz 33 %. Piemēram, </w:t>
            </w:r>
            <w:proofErr w:type="spellStart"/>
            <w:r w:rsidRPr="001839C4">
              <w:t>Bonava</w:t>
            </w:r>
            <w:proofErr w:type="spellEnd"/>
            <w:r w:rsidRPr="001839C4">
              <w:t xml:space="preserve"> šogad plāno pārdot par 390 dzīvokļus jeb par 22 % </w:t>
            </w:r>
            <w:proofErr w:type="gramStart"/>
            <w:r w:rsidRPr="001839C4">
              <w:t>vairāk, nekā</w:t>
            </w:r>
            <w:proofErr w:type="gramEnd"/>
            <w:r w:rsidRPr="001839C4">
              <w:t xml:space="preserve"> 2020. gadā, YIT šogad plāno pārdot 250 dzīvokļus jeb par 40 % vairāk, nekā 2020. gadā, AFI šogad plāno pārdot 120 dzīvokļus, </w:t>
            </w:r>
            <w:proofErr w:type="spellStart"/>
            <w:r w:rsidRPr="001839C4">
              <w:t>Kaamoos</w:t>
            </w:r>
            <w:proofErr w:type="spellEnd"/>
            <w:r w:rsidRPr="001839C4">
              <w:t xml:space="preserve"> - šogad plāno pārdot 100 dzīvokļus.</w:t>
            </w:r>
          </w:p>
          <w:p w:rsidRPr="001839C4" w:rsidR="001839C4" w:rsidP="001839C4" w:rsidRDefault="001839C4" w14:paraId="219E4530" w14:textId="7A73FD35">
            <w:pPr>
              <w:jc w:val="both"/>
            </w:pPr>
            <w:r w:rsidRPr="001839C4">
              <w:t>Saskaņā ar Latvijas Stabilitātes programmā 2021.-2024. gadam</w:t>
            </w:r>
            <w:r w:rsidRPr="001839C4">
              <w:rPr>
                <w:vertAlign w:val="superscript"/>
              </w:rPr>
              <w:footnoteReference w:id="2"/>
            </w:r>
            <w:r w:rsidRPr="001839C4">
              <w:t xml:space="preserve"> norādīto: "ēku </w:t>
            </w:r>
            <w:r w:rsidRPr="001839C4">
              <w:lastRenderedPageBreak/>
              <w:t xml:space="preserve">būvniecības apjomi pērn saglabājās iepriekšējā gada līmenī, palielinoties vien par 0,9 %". </w:t>
            </w:r>
            <w:proofErr w:type="gramStart"/>
            <w:r w:rsidRPr="001839C4">
              <w:t>Kā</w:t>
            </w:r>
            <w:proofErr w:type="gramEnd"/>
            <w:r w:rsidRPr="001839C4">
              <w:t xml:space="preserve"> izriet no Latvijas Stabilitātes programmā 2021.-2024. gadam norādītā, budžeta plānošanas ietvaros būvniecības attīstība, galvenokārt, tiek saistīta ar to, ka tiks veicināta infrastruktūras projekta realizācija, kā arī tieši Covid-19 krīzes pārvarēšanai un ekonomikas stimulēšanai novirzītie līdzekļi, kā arī Eiropas Savienības fondu investīcijas un </w:t>
            </w:r>
            <w:proofErr w:type="spellStart"/>
            <w:r w:rsidRPr="001839C4">
              <w:t>Rail</w:t>
            </w:r>
            <w:proofErr w:type="spellEnd"/>
            <w:r w:rsidRPr="001839C4">
              <w:t xml:space="preserve"> Baltica būvniecības uzsākšana. Tādējādi, </w:t>
            </w:r>
            <w:proofErr w:type="spellStart"/>
            <w:r w:rsidRPr="001839C4">
              <w:t>pirmšķietami</w:t>
            </w:r>
            <w:proofErr w:type="spellEnd"/>
            <w:r w:rsidRPr="001839C4">
              <w:t>, jauno dzīvokļu būvniecības celtniecības pieaugums nav ņemts vērā, plānojot valsts budžeta ieņēmumus.</w:t>
            </w:r>
            <w:r>
              <w:t xml:space="preserve"> </w:t>
            </w:r>
            <w:r w:rsidRPr="001839C4">
              <w:t xml:space="preserve">Lai prognozētu jauno </w:t>
            </w:r>
            <w:r w:rsidRPr="001839C4">
              <w:lastRenderedPageBreak/>
              <w:t xml:space="preserve">dzīvokļu būvniecības aktivitātes ietekmi uz budžeta ieņēmumiem, ir izmantotas pieticīgas prognozes salīdzinājumā ar faktisko situāciju, pieņemot, ka turpmākajos gados varētu tikt budžetā ieplānota daļa no nodokļu pieauguma tieši par jauno dzīvokļu būvniecību. Proti, papildu ieņēmumu prognozei tiek izmantoti šādi dati: </w:t>
            </w:r>
          </w:p>
          <w:p w:rsidRPr="001839C4" w:rsidR="001839C4" w:rsidP="001839C4" w:rsidRDefault="001839C4" w14:paraId="4FD0F7C9" w14:textId="77777777">
            <w:pPr>
              <w:jc w:val="both"/>
            </w:pPr>
            <w:r w:rsidRPr="001839C4">
              <w:t>1) papildu ieņēmumu prognozēšanai tiek ņemts vērā pieaugums 20 % apmērā jeb 400 dzīvokļi (faktiskā situācija liecina, ka pieaugums ir 33 %);</w:t>
            </w:r>
          </w:p>
          <w:p w:rsidRPr="001839C4" w:rsidR="001839C4" w:rsidP="001839C4" w:rsidRDefault="001839C4" w14:paraId="1EBEC073" w14:textId="77777777">
            <w:pPr>
              <w:jc w:val="both"/>
            </w:pPr>
            <w:r w:rsidRPr="001839C4">
              <w:t>2) papildu ieņēmumu prognozēšanai tiek pieņemts, ka viena vidējā jaunā dzīvokļa pārdošanas cena 80 000 </w:t>
            </w:r>
            <w:r w:rsidRPr="001839C4">
              <w:rPr>
                <w:i/>
                <w:iCs/>
              </w:rPr>
              <w:t>euro</w:t>
            </w:r>
            <w:r w:rsidRPr="001839C4">
              <w:t xml:space="preserve"> ar </w:t>
            </w:r>
            <w:r w:rsidRPr="001839C4">
              <w:lastRenderedPageBreak/>
              <w:t xml:space="preserve">nodokļu ieņēmumu 23 000 </w:t>
            </w:r>
            <w:r w:rsidRPr="001839C4">
              <w:rPr>
                <w:i/>
                <w:iCs/>
              </w:rPr>
              <w:t>euro</w:t>
            </w:r>
            <w:r w:rsidRPr="001839C4">
              <w:t xml:space="preserve"> no katra;</w:t>
            </w:r>
          </w:p>
          <w:p w:rsidRPr="001839C4" w:rsidR="001839C4" w:rsidP="001839C4" w:rsidRDefault="001839C4" w14:paraId="16E9BADF" w14:textId="77777777">
            <w:pPr>
              <w:jc w:val="both"/>
            </w:pPr>
            <w:r w:rsidRPr="001839C4">
              <w:t>3) pieaugums ir vienreizējs, pieņemot, ka turpmākajos gados pieauguma nav (faktiskā situācija rāda, ka pieaugums ir ikgadējs).</w:t>
            </w:r>
          </w:p>
          <w:p w:rsidRPr="00B80EAF" w:rsidR="00B103B1" w:rsidP="001839C4" w:rsidRDefault="001839C4" w14:paraId="19FB7B17" w14:textId="0501794D">
            <w:pPr>
              <w:jc w:val="both"/>
            </w:pPr>
            <w:r w:rsidRPr="001839C4">
              <w:t>Pie šāda scenārija ir secināms, ka uz 2021. gadu konstatētā jauno dzīvokļu būvniecības tirgus intensitāte nozīmē papildu nodokļu ieņēmumus vismaz 9,2 miljonu </w:t>
            </w:r>
            <w:r w:rsidRPr="001839C4">
              <w:rPr>
                <w:i/>
                <w:iCs/>
              </w:rPr>
              <w:t>euro</w:t>
            </w:r>
            <w:r w:rsidRPr="001839C4">
              <w:t xml:space="preserve"> apmērā (400 x 23 000 </w:t>
            </w:r>
            <w:r w:rsidRPr="001839C4">
              <w:rPr>
                <w:i/>
                <w:iCs/>
              </w:rPr>
              <w:t>euro</w:t>
            </w:r>
            <w:r w:rsidRPr="001839C4">
              <w:t>).</w:t>
            </w:r>
            <w:r>
              <w:t>".</w:t>
            </w:r>
          </w:p>
        </w:tc>
      </w:tr>
    </w:tbl>
    <w:p w:rsidRPr="00B80EAF" w:rsidR="00A342E1" w:rsidP="007A7E76" w:rsidRDefault="00A342E1" w14:paraId="2EBD86EB" w14:textId="77777777">
      <w:pPr>
        <w:pStyle w:val="naisnod"/>
        <w:spacing w:before="0" w:after="0"/>
        <w:ind w:firstLine="720"/>
        <w:rPr>
          <w:bCs w:val="0"/>
        </w:rPr>
      </w:pPr>
    </w:p>
    <w:p w:rsidRPr="00B80EAF" w:rsidR="00A36B8E" w:rsidP="007A7E76" w:rsidRDefault="00A36B8E" w14:paraId="48635B7B" w14:textId="77777777">
      <w:pPr>
        <w:pStyle w:val="naisf"/>
        <w:spacing w:before="0" w:after="0"/>
        <w:ind w:firstLine="0"/>
        <w:jc w:val="left"/>
        <w:rPr>
          <w:b/>
        </w:rPr>
      </w:pPr>
      <w:r w:rsidRPr="00B80EAF">
        <w:rPr>
          <w:b/>
        </w:rPr>
        <w:t>Informācija par starpministriju (starpinstitūciju) sanāks</w:t>
      </w:r>
      <w:r w:rsidRPr="00B80EAF" w:rsidR="00934210">
        <w:rPr>
          <w:b/>
        </w:rPr>
        <w:t>mi vai elektronisko saskaņošanu</w:t>
      </w:r>
    </w:p>
    <w:p w:rsidRPr="00B80EAF" w:rsidR="00813411" w:rsidP="007A7E76" w:rsidRDefault="00813411" w14:paraId="26B9465E" w14:textId="77777777">
      <w:pPr>
        <w:pStyle w:val="naisf"/>
        <w:spacing w:before="0" w:after="0"/>
        <w:ind w:firstLine="0"/>
        <w:jc w:val="left"/>
        <w:rPr>
          <w:b/>
        </w:rPr>
      </w:pPr>
    </w:p>
    <w:tbl>
      <w:tblPr>
        <w:tblW w:w="14283" w:type="dxa"/>
        <w:tblLook w:val="00A0" w:firstRow="1" w:lastRow="0" w:firstColumn="1" w:lastColumn="0" w:noHBand="0" w:noVBand="0"/>
      </w:tblPr>
      <w:tblGrid>
        <w:gridCol w:w="6241"/>
        <w:gridCol w:w="421"/>
        <w:gridCol w:w="3652"/>
        <w:gridCol w:w="3969"/>
      </w:tblGrid>
      <w:tr w:rsidRPr="00B80EAF" w:rsidR="00813411" w:rsidTr="00487E18" w14:paraId="5C5AE2C8" w14:textId="77777777">
        <w:tc>
          <w:tcPr>
            <w:tcW w:w="6241" w:type="dxa"/>
          </w:tcPr>
          <w:p w:rsidRPr="00B80EAF" w:rsidR="00813411" w:rsidP="007A7E76" w:rsidRDefault="00813411" w14:paraId="2CCD3EF8" w14:textId="77777777">
            <w:pPr>
              <w:pStyle w:val="naisf"/>
              <w:spacing w:before="0" w:after="0"/>
              <w:ind w:firstLine="0"/>
            </w:pPr>
            <w:r w:rsidRPr="00B80EAF">
              <w:t>Datums</w:t>
            </w:r>
          </w:p>
        </w:tc>
        <w:tc>
          <w:tcPr>
            <w:tcW w:w="8042" w:type="dxa"/>
            <w:gridSpan w:val="3"/>
            <w:tcBorders>
              <w:bottom w:val="single" w:color="auto" w:sz="4" w:space="0"/>
            </w:tcBorders>
          </w:tcPr>
          <w:p w:rsidRPr="00B80EAF" w:rsidR="00813411" w:rsidP="007A7E76" w:rsidRDefault="00813411" w14:paraId="58F57A1F" w14:textId="62583C40">
            <w:pPr>
              <w:pStyle w:val="naisf"/>
              <w:tabs>
                <w:tab w:val="left" w:pos="8505"/>
              </w:tabs>
              <w:spacing w:before="0" w:after="0"/>
              <w:ind w:firstLine="0"/>
            </w:pPr>
            <w:r w:rsidRPr="00B80EAF">
              <w:t>20</w:t>
            </w:r>
            <w:r w:rsidRPr="00B80EAF" w:rsidR="00D52AB2">
              <w:t>2</w:t>
            </w:r>
            <w:r w:rsidRPr="00B80EAF" w:rsidR="007A7E76">
              <w:t>1</w:t>
            </w:r>
            <w:r w:rsidRPr="00B80EAF">
              <w:t xml:space="preserve">. gada </w:t>
            </w:r>
            <w:r w:rsidRPr="00B80EAF" w:rsidR="00B206C2">
              <w:t>26. aprīlī</w:t>
            </w:r>
            <w:r w:rsidR="00981C44">
              <w:t>, 28. maijā</w:t>
            </w:r>
            <w:r w:rsidRPr="00B80EAF" w:rsidR="00B206C2">
              <w:t xml:space="preserve"> un </w:t>
            </w:r>
            <w:r w:rsidRPr="00B80EAF" w:rsidR="0011718A">
              <w:t>8. jūnijā</w:t>
            </w:r>
            <w:r w:rsidRPr="00B80EAF" w:rsidR="00241ADB">
              <w:t xml:space="preserve"> </w:t>
            </w:r>
            <w:r w:rsidRPr="00B80EAF" w:rsidR="00647959">
              <w:t xml:space="preserve">(elektroniskā saskaņošana) </w:t>
            </w:r>
          </w:p>
        </w:tc>
      </w:tr>
      <w:tr w:rsidRPr="00B80EAF" w:rsidR="00813411" w:rsidTr="00487E18" w14:paraId="321790F6" w14:textId="77777777">
        <w:tc>
          <w:tcPr>
            <w:tcW w:w="6241" w:type="dxa"/>
          </w:tcPr>
          <w:p w:rsidRPr="00B80EAF" w:rsidR="00813411" w:rsidP="007A7E76" w:rsidRDefault="00813411" w14:paraId="25BB0599" w14:textId="77777777">
            <w:pPr>
              <w:pStyle w:val="naisf"/>
              <w:spacing w:before="0" w:after="0"/>
              <w:ind w:firstLine="0"/>
            </w:pPr>
          </w:p>
        </w:tc>
        <w:tc>
          <w:tcPr>
            <w:tcW w:w="8042" w:type="dxa"/>
            <w:gridSpan w:val="3"/>
            <w:tcBorders>
              <w:top w:val="single" w:color="auto" w:sz="4" w:space="0"/>
            </w:tcBorders>
          </w:tcPr>
          <w:p w:rsidRPr="00B80EAF" w:rsidR="00813411" w:rsidP="007A7E76" w:rsidRDefault="00813411" w14:paraId="12D28A7D" w14:textId="77777777">
            <w:pPr>
              <w:pStyle w:val="Paraststmeklis"/>
              <w:spacing w:before="0" w:beforeAutospacing="0" w:after="0" w:afterAutospacing="0"/>
              <w:ind w:firstLine="720"/>
            </w:pPr>
          </w:p>
        </w:tc>
      </w:tr>
      <w:tr w:rsidRPr="00B80EAF" w:rsidR="00813411" w:rsidTr="00487E18" w14:paraId="4C39B83C" w14:textId="77777777">
        <w:tc>
          <w:tcPr>
            <w:tcW w:w="6241" w:type="dxa"/>
          </w:tcPr>
          <w:p w:rsidRPr="00B80EAF" w:rsidR="00813411" w:rsidP="007A7E76" w:rsidRDefault="00813411" w14:paraId="4D210602" w14:textId="77777777">
            <w:pPr>
              <w:pStyle w:val="naiskr"/>
              <w:spacing w:before="0" w:after="0"/>
            </w:pPr>
            <w:r w:rsidRPr="00B80EAF">
              <w:t>Saskaņošanas dalībnieki</w:t>
            </w:r>
          </w:p>
        </w:tc>
        <w:tc>
          <w:tcPr>
            <w:tcW w:w="8042" w:type="dxa"/>
            <w:gridSpan w:val="3"/>
            <w:tcBorders>
              <w:bottom w:val="single" w:color="auto" w:sz="4" w:space="0"/>
            </w:tcBorders>
          </w:tcPr>
          <w:p w:rsidRPr="00B80EAF" w:rsidR="00813411" w:rsidP="007A7E76" w:rsidRDefault="00915E1C" w14:paraId="06F05000" w14:textId="09E87A50">
            <w:pPr>
              <w:pStyle w:val="naisf"/>
              <w:spacing w:before="0" w:after="0"/>
              <w:ind w:firstLine="0"/>
            </w:pPr>
            <w:r w:rsidRPr="00B80EAF">
              <w:t>Finanšu ministrija, Ekonomikas ministrija, Labklājības ministrija</w:t>
            </w:r>
          </w:p>
        </w:tc>
      </w:tr>
      <w:tr w:rsidRPr="00B80EAF" w:rsidR="00813411" w:rsidTr="00487E18" w14:paraId="5324CA19" w14:textId="77777777">
        <w:trPr>
          <w:trHeight w:val="285"/>
        </w:trPr>
        <w:tc>
          <w:tcPr>
            <w:tcW w:w="6241" w:type="dxa"/>
          </w:tcPr>
          <w:p w:rsidRPr="00B80EAF" w:rsidR="00813411" w:rsidP="007A7E76" w:rsidRDefault="00813411" w14:paraId="5D5DC464" w14:textId="77777777">
            <w:pPr>
              <w:pStyle w:val="naiskr"/>
              <w:spacing w:before="0" w:after="0"/>
            </w:pPr>
          </w:p>
        </w:tc>
        <w:tc>
          <w:tcPr>
            <w:tcW w:w="4073" w:type="dxa"/>
            <w:gridSpan w:val="2"/>
            <w:tcBorders>
              <w:top w:val="single" w:color="auto" w:sz="4" w:space="0"/>
            </w:tcBorders>
          </w:tcPr>
          <w:p w:rsidRPr="00B80EAF" w:rsidR="00813411" w:rsidP="007A7E76" w:rsidRDefault="00813411" w14:paraId="71440E10" w14:textId="77777777">
            <w:pPr>
              <w:pStyle w:val="naiskr"/>
              <w:spacing w:before="0" w:after="0"/>
              <w:ind w:firstLine="720"/>
            </w:pPr>
          </w:p>
        </w:tc>
        <w:tc>
          <w:tcPr>
            <w:tcW w:w="3969" w:type="dxa"/>
            <w:tcBorders>
              <w:top w:val="single" w:color="auto" w:sz="4" w:space="0"/>
            </w:tcBorders>
          </w:tcPr>
          <w:p w:rsidRPr="00B80EAF" w:rsidR="00813411" w:rsidP="007A7E76" w:rsidRDefault="00813411" w14:paraId="5ADC5E91" w14:textId="77777777">
            <w:pPr>
              <w:pStyle w:val="naiskr"/>
              <w:spacing w:before="0" w:after="0"/>
              <w:ind w:firstLine="12"/>
            </w:pPr>
          </w:p>
        </w:tc>
      </w:tr>
      <w:tr w:rsidRPr="00B80EAF" w:rsidR="00813411" w:rsidTr="00487E18" w14:paraId="1D8AAD38" w14:textId="77777777">
        <w:trPr>
          <w:trHeight w:val="285"/>
        </w:trPr>
        <w:tc>
          <w:tcPr>
            <w:tcW w:w="6241" w:type="dxa"/>
          </w:tcPr>
          <w:p w:rsidRPr="00B80EAF" w:rsidR="00813411" w:rsidP="007A7E76" w:rsidRDefault="00813411" w14:paraId="456A10BA" w14:textId="77777777">
            <w:pPr>
              <w:pStyle w:val="naiskr"/>
              <w:spacing w:before="0" w:after="0"/>
            </w:pPr>
            <w:r w:rsidRPr="00B80EAF">
              <w:t>Saskaņošanas dalībnieki izskatīja šādu ministriju (citu institūciju) iebildumus</w:t>
            </w:r>
          </w:p>
        </w:tc>
        <w:tc>
          <w:tcPr>
            <w:tcW w:w="4073" w:type="dxa"/>
            <w:gridSpan w:val="2"/>
          </w:tcPr>
          <w:p w:rsidRPr="00B80EAF" w:rsidR="00813411" w:rsidP="007A7E76" w:rsidRDefault="00915E1C" w14:paraId="11107BC7" w14:textId="25A8DB9F">
            <w:pPr>
              <w:pStyle w:val="naiskr"/>
              <w:spacing w:before="0" w:after="0"/>
            </w:pPr>
            <w:r w:rsidRPr="00B80EAF">
              <w:t>Finanšu ministrijas</w:t>
            </w:r>
          </w:p>
        </w:tc>
        <w:tc>
          <w:tcPr>
            <w:tcW w:w="3969" w:type="dxa"/>
          </w:tcPr>
          <w:p w:rsidRPr="00B80EAF" w:rsidR="00813411" w:rsidP="007A7E76" w:rsidRDefault="00813411" w14:paraId="40692A5B" w14:textId="77777777">
            <w:pPr>
              <w:pStyle w:val="naiskr"/>
              <w:spacing w:before="0" w:after="0"/>
              <w:ind w:firstLine="12"/>
            </w:pPr>
          </w:p>
        </w:tc>
      </w:tr>
      <w:tr w:rsidRPr="00B80EAF" w:rsidR="00813411" w:rsidTr="00487E18" w14:paraId="643EB650" w14:textId="77777777">
        <w:trPr>
          <w:trHeight w:val="465"/>
        </w:trPr>
        <w:tc>
          <w:tcPr>
            <w:tcW w:w="6662" w:type="dxa"/>
            <w:gridSpan w:val="2"/>
          </w:tcPr>
          <w:p w:rsidRPr="00B80EAF" w:rsidR="00813411" w:rsidP="007A7E76" w:rsidRDefault="00813411" w14:paraId="6C23EDBF" w14:textId="77777777">
            <w:pPr>
              <w:pStyle w:val="naiskr"/>
              <w:spacing w:before="0" w:after="0"/>
            </w:pPr>
          </w:p>
        </w:tc>
        <w:tc>
          <w:tcPr>
            <w:tcW w:w="7621" w:type="dxa"/>
            <w:gridSpan w:val="2"/>
            <w:tcBorders>
              <w:top w:val="single" w:color="000000" w:sz="6" w:space="0"/>
              <w:bottom w:val="single" w:color="000000" w:sz="6" w:space="0"/>
            </w:tcBorders>
          </w:tcPr>
          <w:p w:rsidRPr="00B80EAF" w:rsidR="00813411" w:rsidP="007A7E76" w:rsidRDefault="00813411" w14:paraId="39649F44" w14:textId="77777777">
            <w:pPr>
              <w:pStyle w:val="Paraststmeklis"/>
              <w:spacing w:before="0" w:beforeAutospacing="0" w:after="0" w:afterAutospacing="0"/>
            </w:pPr>
          </w:p>
        </w:tc>
      </w:tr>
      <w:tr w:rsidRPr="00B80EAF" w:rsidR="00813411" w:rsidTr="00487E18" w14:paraId="715453E7" w14:textId="77777777">
        <w:trPr>
          <w:trHeight w:val="465"/>
        </w:trPr>
        <w:tc>
          <w:tcPr>
            <w:tcW w:w="14283" w:type="dxa"/>
            <w:gridSpan w:val="4"/>
          </w:tcPr>
          <w:p w:rsidRPr="00B80EAF" w:rsidR="00813411" w:rsidP="007A7E76" w:rsidRDefault="00813411" w14:paraId="54E50742" w14:textId="77777777">
            <w:pPr>
              <w:pStyle w:val="naisc"/>
              <w:spacing w:before="0" w:after="0"/>
              <w:ind w:left="4820" w:firstLine="720"/>
            </w:pPr>
          </w:p>
        </w:tc>
      </w:tr>
      <w:tr w:rsidRPr="00B80EAF" w:rsidR="00813411" w:rsidTr="00487E18" w14:paraId="1E1D0D6F" w14:textId="77777777">
        <w:tc>
          <w:tcPr>
            <w:tcW w:w="6662" w:type="dxa"/>
            <w:gridSpan w:val="2"/>
          </w:tcPr>
          <w:p w:rsidRPr="00B80EAF" w:rsidR="00813411" w:rsidP="007A7E76" w:rsidRDefault="00813411" w14:paraId="4B23B875" w14:textId="77777777">
            <w:pPr>
              <w:pStyle w:val="naiskr"/>
              <w:spacing w:before="0" w:after="0"/>
            </w:pPr>
            <w:r w:rsidRPr="00B80EAF">
              <w:lastRenderedPageBreak/>
              <w:t>Ministrijas (citas institūcijas), kuras nav ieradušās uz sanāksmi vai kuras nav atbildējušas uz uzaicinājumu piedalīties elektroniskajā saskaņošanā</w:t>
            </w:r>
          </w:p>
        </w:tc>
        <w:tc>
          <w:tcPr>
            <w:tcW w:w="7621" w:type="dxa"/>
            <w:gridSpan w:val="2"/>
          </w:tcPr>
          <w:p w:rsidRPr="00B80EAF" w:rsidR="00813411" w:rsidP="007A7E76" w:rsidRDefault="00C27E71" w14:paraId="34683DF1" w14:textId="6FB6B19A">
            <w:pPr>
              <w:pStyle w:val="naiskr"/>
              <w:spacing w:before="0" w:after="0"/>
              <w:ind w:firstLine="720"/>
            </w:pPr>
            <w:r>
              <w:t>Labklājības ministrija</w:t>
            </w:r>
          </w:p>
        </w:tc>
      </w:tr>
      <w:tr w:rsidRPr="00B80EAF" w:rsidR="00813411" w:rsidTr="00487E18" w14:paraId="4E0DBA41" w14:textId="77777777">
        <w:tc>
          <w:tcPr>
            <w:tcW w:w="6662" w:type="dxa"/>
            <w:gridSpan w:val="2"/>
          </w:tcPr>
          <w:p w:rsidRPr="00B80EAF" w:rsidR="00813411" w:rsidP="007A7E76" w:rsidRDefault="00813411" w14:paraId="5B992EB8" w14:textId="77777777">
            <w:pPr>
              <w:pStyle w:val="naiskr"/>
              <w:spacing w:before="0" w:after="0"/>
              <w:ind w:firstLine="720"/>
            </w:pPr>
          </w:p>
        </w:tc>
        <w:tc>
          <w:tcPr>
            <w:tcW w:w="7621" w:type="dxa"/>
            <w:gridSpan w:val="2"/>
            <w:tcBorders>
              <w:top w:val="single" w:color="000000" w:sz="6" w:space="0"/>
              <w:bottom w:val="single" w:color="000000" w:sz="6" w:space="0"/>
            </w:tcBorders>
          </w:tcPr>
          <w:p w:rsidRPr="00B80EAF" w:rsidR="00813411" w:rsidP="007A7E76" w:rsidRDefault="00813411" w14:paraId="1EA2290E" w14:textId="77777777">
            <w:pPr>
              <w:pStyle w:val="naiskr"/>
              <w:spacing w:before="0" w:after="0"/>
              <w:ind w:firstLine="720"/>
            </w:pPr>
          </w:p>
        </w:tc>
      </w:tr>
      <w:tr w:rsidRPr="00B80EAF" w:rsidR="00813411" w:rsidTr="00487E18" w14:paraId="276E8B03" w14:textId="77777777">
        <w:tc>
          <w:tcPr>
            <w:tcW w:w="6662" w:type="dxa"/>
            <w:gridSpan w:val="2"/>
          </w:tcPr>
          <w:p w:rsidRPr="00B80EAF" w:rsidR="00813411" w:rsidP="007A7E76" w:rsidRDefault="00813411" w14:paraId="7FAF23FB" w14:textId="77777777">
            <w:pPr>
              <w:pStyle w:val="naiskr"/>
              <w:spacing w:before="0" w:after="0"/>
              <w:ind w:firstLine="720"/>
            </w:pPr>
          </w:p>
        </w:tc>
        <w:tc>
          <w:tcPr>
            <w:tcW w:w="7621" w:type="dxa"/>
            <w:gridSpan w:val="2"/>
            <w:tcBorders>
              <w:bottom w:val="single" w:color="000000" w:sz="6" w:space="0"/>
            </w:tcBorders>
          </w:tcPr>
          <w:p w:rsidRPr="00B80EAF" w:rsidR="00813411" w:rsidP="007A7E76" w:rsidRDefault="00813411" w14:paraId="7D044240" w14:textId="77777777">
            <w:pPr>
              <w:pStyle w:val="naiskr"/>
              <w:spacing w:before="0" w:after="0"/>
              <w:ind w:firstLine="720"/>
            </w:pPr>
          </w:p>
        </w:tc>
      </w:tr>
    </w:tbl>
    <w:p w:rsidRPr="00B80EAF" w:rsidR="00A15169" w:rsidP="007A7E76" w:rsidRDefault="00A15169" w14:paraId="56D7AC02" w14:textId="77777777">
      <w:pPr>
        <w:pStyle w:val="naisf"/>
        <w:spacing w:before="0" w:after="0"/>
        <w:ind w:firstLine="0"/>
      </w:pPr>
    </w:p>
    <w:p w:rsidRPr="00B80EAF" w:rsidR="009D15A1" w:rsidP="007A7E76" w:rsidRDefault="009D15A1" w14:paraId="2AEEB23A" w14:textId="77777777">
      <w:pPr>
        <w:pStyle w:val="naisf"/>
        <w:spacing w:before="0" w:after="0"/>
        <w:jc w:val="center"/>
        <w:rPr>
          <w:b/>
          <w:szCs w:val="20"/>
        </w:rPr>
      </w:pPr>
      <w:r w:rsidRPr="00B80EAF">
        <w:rPr>
          <w:b/>
          <w:szCs w:val="20"/>
        </w:rPr>
        <w:t>II. Jautājumi, par kuriem saskaņošanā vienošanās ir panākta</w:t>
      </w:r>
    </w:p>
    <w:p w:rsidRPr="00B80EAF" w:rsidR="009D15A1" w:rsidP="007A7E76" w:rsidRDefault="009D15A1" w14:paraId="22382B52" w14:textId="77777777">
      <w:pPr>
        <w:pStyle w:val="naisf"/>
        <w:spacing w:before="0" w:after="0"/>
        <w:jc w:val="center"/>
        <w:rPr>
          <w:b/>
          <w:szCs w:val="20"/>
        </w:rPr>
      </w:pPr>
    </w:p>
    <w:tbl>
      <w:tblPr>
        <w:tblW w:w="14209"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09"/>
        <w:gridCol w:w="2402"/>
        <w:gridCol w:w="575"/>
        <w:gridCol w:w="2088"/>
        <w:gridCol w:w="2306"/>
        <w:gridCol w:w="2835"/>
        <w:gridCol w:w="589"/>
        <w:gridCol w:w="2663"/>
        <w:gridCol w:w="34"/>
      </w:tblGrid>
      <w:tr w:rsidRPr="00B80EAF" w:rsidR="009D15A1" w:rsidTr="00337546" w14:paraId="4CFA6F3A"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vAlign w:val="center"/>
          </w:tcPr>
          <w:p w:rsidRPr="00B80EAF" w:rsidR="009D15A1" w:rsidP="007A7E76" w:rsidRDefault="009D15A1" w14:paraId="5FE2B0DE" w14:textId="77777777">
            <w:pPr>
              <w:pStyle w:val="naisf"/>
              <w:spacing w:before="0" w:after="0"/>
              <w:ind w:firstLine="0"/>
              <w:rPr>
                <w:szCs w:val="20"/>
              </w:rPr>
            </w:pPr>
            <w:r w:rsidRPr="00B80EAF">
              <w:rPr>
                <w:szCs w:val="20"/>
              </w:rPr>
              <w:t>Nr. p.k.</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rsidRPr="00B80EAF" w:rsidR="009D15A1" w:rsidP="007A7E76" w:rsidRDefault="009D15A1" w14:paraId="16A82AD0" w14:textId="77777777">
            <w:pPr>
              <w:pStyle w:val="naisf"/>
              <w:spacing w:before="0" w:after="0"/>
              <w:jc w:val="center"/>
              <w:rPr>
                <w:szCs w:val="20"/>
              </w:rPr>
            </w:pPr>
            <w:r w:rsidRPr="00B80EAF">
              <w:rPr>
                <w:szCs w:val="20"/>
              </w:rPr>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B80EAF" w:rsidR="009D15A1" w:rsidP="007A7E76" w:rsidRDefault="009D15A1" w14:paraId="4C7F3232" w14:textId="77777777">
            <w:pPr>
              <w:pStyle w:val="naisf"/>
              <w:spacing w:before="0" w:after="0"/>
              <w:jc w:val="center"/>
              <w:rPr>
                <w:szCs w:val="20"/>
              </w:rPr>
            </w:pPr>
            <w:r w:rsidRPr="00B80EAF">
              <w:rPr>
                <w:szCs w:val="20"/>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B80EAF" w:rsidR="009D15A1" w:rsidP="007A7E76" w:rsidRDefault="009D15A1" w14:paraId="46B590B0" w14:textId="77777777">
            <w:pPr>
              <w:pStyle w:val="naisf"/>
              <w:spacing w:before="0" w:after="0"/>
              <w:jc w:val="center"/>
              <w:rPr>
                <w:szCs w:val="20"/>
              </w:rPr>
            </w:pPr>
            <w:r w:rsidRPr="00B80EAF">
              <w:rPr>
                <w:szCs w:val="20"/>
              </w:rPr>
              <w:t>Atbildīgās ministrijas norāde par to, ka iebildums ir ņemts vērā, vai informācija par saskaņošanā panākto alternatīvo risinājumu</w:t>
            </w:r>
          </w:p>
        </w:tc>
        <w:tc>
          <w:tcPr>
            <w:tcW w:w="3286" w:type="dxa"/>
            <w:gridSpan w:val="3"/>
            <w:tcBorders>
              <w:top w:val="single" w:color="auto" w:sz="4" w:space="0"/>
              <w:left w:val="single" w:color="auto" w:sz="4" w:space="0"/>
              <w:bottom w:val="single" w:color="auto" w:sz="4" w:space="0"/>
            </w:tcBorders>
            <w:vAlign w:val="center"/>
          </w:tcPr>
          <w:p w:rsidRPr="00B80EAF" w:rsidR="009D15A1" w:rsidP="007A7E76" w:rsidRDefault="009D15A1" w14:paraId="3E7C98B0" w14:textId="77777777">
            <w:pPr>
              <w:pStyle w:val="naisf"/>
              <w:spacing w:before="0" w:after="0"/>
              <w:jc w:val="center"/>
              <w:rPr>
                <w:szCs w:val="20"/>
              </w:rPr>
            </w:pPr>
            <w:r w:rsidRPr="00B80EAF">
              <w:rPr>
                <w:szCs w:val="20"/>
              </w:rPr>
              <w:t>Projekta attiecīgā punkta (panta) galīgā redakcija</w:t>
            </w:r>
          </w:p>
        </w:tc>
      </w:tr>
      <w:tr w:rsidRPr="00B80EAF" w:rsidR="009D15A1" w:rsidTr="00337546" w14:paraId="045B4F6E"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B80EAF" w:rsidR="009D15A1" w:rsidP="007A7E76" w:rsidRDefault="009D15A1" w14:paraId="3E89F55D" w14:textId="77777777">
            <w:pPr>
              <w:pStyle w:val="naisf"/>
              <w:spacing w:before="0" w:after="0"/>
              <w:ind w:firstLine="0"/>
              <w:rPr>
                <w:szCs w:val="20"/>
              </w:rPr>
            </w:pPr>
            <w:r w:rsidRPr="00B80EAF">
              <w:rPr>
                <w:szCs w:val="20"/>
              </w:rPr>
              <w:t>1</w:t>
            </w:r>
          </w:p>
        </w:tc>
        <w:tc>
          <w:tcPr>
            <w:tcW w:w="2977" w:type="dxa"/>
            <w:gridSpan w:val="2"/>
            <w:tcBorders>
              <w:top w:val="single" w:color="000000" w:sz="6" w:space="0"/>
              <w:left w:val="single" w:color="000000" w:sz="6" w:space="0"/>
              <w:bottom w:val="single" w:color="000000" w:sz="6" w:space="0"/>
              <w:right w:val="single" w:color="000000" w:sz="6" w:space="0"/>
            </w:tcBorders>
          </w:tcPr>
          <w:p w:rsidRPr="00B80EAF" w:rsidR="009D15A1" w:rsidP="007A7E76" w:rsidRDefault="009D15A1" w14:paraId="4D96BCD6" w14:textId="77777777">
            <w:pPr>
              <w:pStyle w:val="naisf"/>
              <w:spacing w:before="0" w:after="0"/>
              <w:rPr>
                <w:szCs w:val="20"/>
              </w:rPr>
            </w:pPr>
            <w:r w:rsidRPr="00B80EAF">
              <w:rPr>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B80EAF" w:rsidR="009D15A1" w:rsidP="007A7E76" w:rsidRDefault="009D15A1" w14:paraId="2AD74598" w14:textId="77777777">
            <w:pPr>
              <w:pStyle w:val="naisf"/>
              <w:spacing w:before="0" w:after="0"/>
              <w:rPr>
                <w:szCs w:val="20"/>
              </w:rPr>
            </w:pPr>
            <w:r w:rsidRPr="00B80EAF">
              <w:rPr>
                <w:szCs w:val="20"/>
              </w:rPr>
              <w:t>3</w:t>
            </w:r>
          </w:p>
        </w:tc>
        <w:tc>
          <w:tcPr>
            <w:tcW w:w="2835" w:type="dxa"/>
            <w:tcBorders>
              <w:top w:val="single" w:color="000000" w:sz="6" w:space="0"/>
              <w:left w:val="single" w:color="000000" w:sz="6" w:space="0"/>
              <w:bottom w:val="single" w:color="000000" w:sz="6" w:space="0"/>
              <w:right w:val="single" w:color="000000" w:sz="6" w:space="0"/>
            </w:tcBorders>
          </w:tcPr>
          <w:p w:rsidRPr="00B80EAF" w:rsidR="009D15A1" w:rsidP="007A7E76" w:rsidRDefault="009D15A1" w14:paraId="1F95A89E" w14:textId="77777777">
            <w:pPr>
              <w:pStyle w:val="naisf"/>
              <w:spacing w:before="0" w:after="0"/>
              <w:rPr>
                <w:szCs w:val="20"/>
              </w:rPr>
            </w:pPr>
            <w:r w:rsidRPr="00B80EAF">
              <w:rPr>
                <w:szCs w:val="20"/>
              </w:rPr>
              <w:t>4</w:t>
            </w:r>
          </w:p>
        </w:tc>
        <w:tc>
          <w:tcPr>
            <w:tcW w:w="3286" w:type="dxa"/>
            <w:gridSpan w:val="3"/>
            <w:tcBorders>
              <w:top w:val="single" w:color="auto" w:sz="4" w:space="0"/>
              <w:left w:val="single" w:color="auto" w:sz="4" w:space="0"/>
              <w:bottom w:val="single" w:color="auto" w:sz="4" w:space="0"/>
            </w:tcBorders>
          </w:tcPr>
          <w:p w:rsidRPr="00B80EAF" w:rsidR="009D15A1" w:rsidP="007A7E76" w:rsidRDefault="009D15A1" w14:paraId="4B728B6A" w14:textId="77777777">
            <w:pPr>
              <w:pStyle w:val="naisf"/>
              <w:spacing w:before="0" w:after="0"/>
              <w:rPr>
                <w:szCs w:val="20"/>
              </w:rPr>
            </w:pPr>
            <w:r w:rsidRPr="00B80EAF">
              <w:rPr>
                <w:szCs w:val="20"/>
              </w:rPr>
              <w:t>5</w:t>
            </w:r>
          </w:p>
        </w:tc>
      </w:tr>
      <w:tr w:rsidRPr="00B80EAF" w:rsidR="00AB4486" w:rsidTr="00337546" w14:paraId="25C9CE54" w14:textId="77777777">
        <w:trPr>
          <w:gridBefore w:val="1"/>
          <w:wBefore w:w="8" w:type="dxa"/>
        </w:trPr>
        <w:tc>
          <w:tcPr>
            <w:tcW w:w="14201" w:type="dxa"/>
            <w:gridSpan w:val="9"/>
            <w:tcBorders>
              <w:top w:val="single" w:color="000000" w:sz="6" w:space="0"/>
              <w:left w:val="single" w:color="000000" w:sz="6" w:space="0"/>
              <w:bottom w:val="single" w:color="000000" w:sz="6" w:space="0"/>
            </w:tcBorders>
          </w:tcPr>
          <w:p w:rsidRPr="00B80EAF" w:rsidR="00AB4486" w:rsidP="00AB4486" w:rsidRDefault="007C0273" w14:paraId="6AC86B50" w14:textId="372BF8D9">
            <w:pPr>
              <w:pStyle w:val="naisf"/>
              <w:spacing w:before="0" w:after="0"/>
              <w:jc w:val="center"/>
              <w:rPr>
                <w:b/>
                <w:bCs/>
                <w:szCs w:val="20"/>
              </w:rPr>
            </w:pPr>
            <w:r>
              <w:rPr>
                <w:b/>
                <w:bCs/>
                <w:szCs w:val="20"/>
              </w:rPr>
              <w:t>Finanšu ministrija</w:t>
            </w:r>
          </w:p>
        </w:tc>
      </w:tr>
      <w:tr w:rsidRPr="00B80EAF" w:rsidR="00AA5688" w:rsidTr="00337546" w14:paraId="01AE8E36"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B80EAF" w:rsidR="00AA5688" w:rsidP="007A7E76" w:rsidRDefault="00AA5688" w14:paraId="77854EB4" w14:textId="2CF6740D">
            <w:pPr>
              <w:pStyle w:val="naisf"/>
              <w:spacing w:before="0" w:after="0"/>
              <w:ind w:firstLine="0"/>
              <w:rPr>
                <w:szCs w:val="20"/>
              </w:rPr>
            </w:pPr>
          </w:p>
        </w:tc>
        <w:tc>
          <w:tcPr>
            <w:tcW w:w="2977" w:type="dxa"/>
            <w:gridSpan w:val="2"/>
            <w:tcBorders>
              <w:top w:val="single" w:color="000000" w:sz="6" w:space="0"/>
              <w:left w:val="single" w:color="000000" w:sz="6" w:space="0"/>
              <w:bottom w:val="single" w:color="000000" w:sz="6" w:space="0"/>
              <w:right w:val="single" w:color="000000" w:sz="6" w:space="0"/>
            </w:tcBorders>
          </w:tcPr>
          <w:p w:rsidRPr="00B80EAF" w:rsidR="00AA5688" w:rsidP="00AB4486" w:rsidRDefault="00AA5688" w14:paraId="50294F11" w14:textId="64B647C8">
            <w:pPr>
              <w:pStyle w:val="naisf"/>
              <w:spacing w:before="0" w:after="0"/>
              <w:ind w:firstLine="0"/>
              <w:rPr>
                <w:szCs w:val="20"/>
              </w:rPr>
            </w:pPr>
            <w:r w:rsidRPr="00B80EAF">
              <w:rPr>
                <w:szCs w:val="20"/>
              </w:rPr>
              <w:t xml:space="preserve">Noteikumu projekta </w:t>
            </w:r>
            <w:r w:rsidRPr="00B80EAF">
              <w:rPr>
                <w:bCs/>
                <w:szCs w:val="20"/>
              </w:rPr>
              <w:t>sākotnējās ietekmes novērtējuma ziņojums (anotācija</w:t>
            </w:r>
            <w:r w:rsidRPr="00B80EAF">
              <w:rPr>
                <w:szCs w:val="20"/>
              </w:rPr>
              <w:t>).</w:t>
            </w:r>
          </w:p>
        </w:tc>
        <w:tc>
          <w:tcPr>
            <w:tcW w:w="4394" w:type="dxa"/>
            <w:gridSpan w:val="2"/>
            <w:tcBorders>
              <w:top w:val="single" w:color="000000" w:sz="6" w:space="0"/>
              <w:left w:val="single" w:color="000000" w:sz="6" w:space="0"/>
              <w:bottom w:val="single" w:color="000000" w:sz="6" w:space="0"/>
              <w:right w:val="single" w:color="000000" w:sz="6" w:space="0"/>
            </w:tcBorders>
          </w:tcPr>
          <w:p w:rsidRPr="00B80EAF" w:rsidR="00AA5688" w:rsidP="00E955F7" w:rsidRDefault="007132B7" w14:paraId="5020D874" w14:textId="77777777">
            <w:pPr>
              <w:jc w:val="center"/>
              <w:rPr>
                <w:b/>
                <w:bCs/>
                <w:szCs w:val="20"/>
                <w:lang w:eastAsia="en-US"/>
              </w:rPr>
            </w:pPr>
            <w:r w:rsidRPr="00B80EAF">
              <w:rPr>
                <w:b/>
                <w:bCs/>
                <w:szCs w:val="20"/>
                <w:lang w:eastAsia="en-US"/>
              </w:rPr>
              <w:t>(01.06.2021. atzinums)</w:t>
            </w:r>
          </w:p>
          <w:p w:rsidRPr="00B80EAF" w:rsidR="007132B7" w:rsidP="007132B7" w:rsidRDefault="00067310" w14:paraId="5BCB2CCB" w14:textId="3761ADB2">
            <w:pPr>
              <w:jc w:val="both"/>
              <w:rPr>
                <w:szCs w:val="20"/>
                <w:lang w:eastAsia="en-US"/>
              </w:rPr>
            </w:pPr>
            <w:r w:rsidRPr="00B80EAF">
              <w:rPr>
                <w:szCs w:val="20"/>
                <w:lang w:eastAsia="en-US"/>
              </w:rPr>
              <w:t>Ņemot vērā, ka anotācijas III sadaļas 8. punkts ir papildināts ar informāciju par ieņēmumu samazinājumu kompensējošiem pasākumiem, atzīmējam, ka finanšu līdzekļi kompensējošiem pasākumiem jānorāda arī anotācijas III sadaļas 4. punktā, attiecīgi precizējot šīs sadaļas 5. punktu.</w:t>
            </w:r>
          </w:p>
        </w:tc>
        <w:tc>
          <w:tcPr>
            <w:tcW w:w="2835" w:type="dxa"/>
            <w:tcBorders>
              <w:top w:val="single" w:color="000000" w:sz="6" w:space="0"/>
              <w:left w:val="single" w:color="000000" w:sz="6" w:space="0"/>
              <w:bottom w:val="single" w:color="000000" w:sz="6" w:space="0"/>
              <w:right w:val="single" w:color="000000" w:sz="6" w:space="0"/>
            </w:tcBorders>
          </w:tcPr>
          <w:p w:rsidRPr="00B80EAF" w:rsidR="00AA5688" w:rsidP="007132B7" w:rsidRDefault="007132B7" w14:paraId="1C825DFC" w14:textId="19FD25EA">
            <w:pPr>
              <w:pStyle w:val="naisf"/>
              <w:spacing w:before="0" w:after="0"/>
              <w:ind w:firstLine="0"/>
              <w:jc w:val="center"/>
              <w:rPr>
                <w:b/>
                <w:bCs/>
                <w:szCs w:val="20"/>
              </w:rPr>
            </w:pPr>
            <w:r w:rsidRPr="00B80EAF">
              <w:rPr>
                <w:b/>
                <w:bCs/>
                <w:szCs w:val="20"/>
              </w:rPr>
              <w:t>Ņemts vērā</w:t>
            </w:r>
          </w:p>
        </w:tc>
        <w:tc>
          <w:tcPr>
            <w:tcW w:w="3286" w:type="dxa"/>
            <w:gridSpan w:val="3"/>
            <w:tcBorders>
              <w:top w:val="single" w:color="auto" w:sz="4" w:space="0"/>
              <w:left w:val="single" w:color="auto" w:sz="4" w:space="0"/>
              <w:bottom w:val="single" w:color="auto" w:sz="4" w:space="0"/>
            </w:tcBorders>
          </w:tcPr>
          <w:p w:rsidRPr="00B80EAF" w:rsidR="00AA5688" w:rsidP="00014BE8" w:rsidRDefault="00AA5688" w14:paraId="505C5826" w14:textId="28437A18">
            <w:pPr>
              <w:jc w:val="both"/>
              <w:rPr>
                <w:szCs w:val="20"/>
              </w:rPr>
            </w:pPr>
            <w:r w:rsidRPr="00B80EAF">
              <w:rPr>
                <w:szCs w:val="20"/>
              </w:rPr>
              <w:t xml:space="preserve">Skatīt noteikumu projekta </w:t>
            </w:r>
            <w:r w:rsidRPr="00B80EAF">
              <w:rPr>
                <w:bCs/>
                <w:szCs w:val="20"/>
              </w:rPr>
              <w:t>sākotnējās ietekmes novērtējuma ziņojuma (anotācijas</w:t>
            </w:r>
            <w:r w:rsidRPr="00B80EAF">
              <w:rPr>
                <w:szCs w:val="20"/>
              </w:rPr>
              <w:t>) III sadaļu</w:t>
            </w:r>
            <w:r w:rsidRPr="00B80EAF" w:rsidR="007132B7">
              <w:rPr>
                <w:szCs w:val="20"/>
              </w:rPr>
              <w:t>, kas precizēta atbilstoši izteiktajam iebildumam</w:t>
            </w:r>
            <w:r w:rsidRPr="00B80EAF">
              <w:rPr>
                <w:szCs w:val="20"/>
              </w:rPr>
              <w:t>.</w:t>
            </w:r>
          </w:p>
        </w:tc>
      </w:tr>
      <w:tr w:rsidRPr="00B80EAF" w:rsidR="00EA366C" w:rsidTr="00337546" w14:paraId="1E32279F" w14:textId="77777777">
        <w:tblPrEx>
          <w:tblBorders>
            <w:top w:val="none" w:color="auto" w:sz="0" w:space="0"/>
            <w:left w:val="none" w:color="auto" w:sz="0" w:space="0"/>
            <w:bottom w:val="none" w:color="auto" w:sz="0" w:space="0"/>
            <w:right w:val="none" w:color="auto" w:sz="0" w:space="0"/>
          </w:tblBorders>
        </w:tblPrEx>
        <w:trPr>
          <w:gridAfter w:val="1"/>
          <w:wAfter w:w="34" w:type="dxa"/>
        </w:trPr>
        <w:tc>
          <w:tcPr>
            <w:tcW w:w="5782" w:type="dxa"/>
            <w:gridSpan w:val="5"/>
          </w:tcPr>
          <w:p w:rsidRPr="00B80EAF" w:rsidR="00EA366C" w:rsidP="007A7E76" w:rsidRDefault="00EA366C" w14:paraId="339B1D3F" w14:textId="77777777">
            <w:pPr>
              <w:pStyle w:val="naisf"/>
              <w:spacing w:before="0" w:after="0"/>
              <w:ind w:firstLine="0"/>
              <w:rPr>
                <w:szCs w:val="20"/>
              </w:rPr>
            </w:pPr>
            <w:r w:rsidRPr="00B80EAF">
              <w:rPr>
                <w:szCs w:val="20"/>
              </w:rPr>
              <w:t>Atbildīgā amatpersona</w:t>
            </w:r>
          </w:p>
        </w:tc>
        <w:tc>
          <w:tcPr>
            <w:tcW w:w="8393" w:type="dxa"/>
            <w:gridSpan w:val="4"/>
          </w:tcPr>
          <w:p w:rsidRPr="00B80EAF" w:rsidR="00692CC9" w:rsidP="007A7E76" w:rsidRDefault="00692CC9" w14:paraId="60BDBDFF" w14:textId="77777777">
            <w:pPr>
              <w:pStyle w:val="naisf"/>
              <w:spacing w:before="0" w:after="0"/>
              <w:ind w:firstLine="0"/>
              <w:rPr>
                <w:szCs w:val="20"/>
              </w:rPr>
            </w:pPr>
          </w:p>
          <w:p w:rsidRPr="00B80EAF" w:rsidR="00EA366C" w:rsidP="007A7E76" w:rsidRDefault="00EA366C" w14:paraId="6A2EBDBF" w14:textId="77777777"/>
        </w:tc>
      </w:tr>
      <w:tr w:rsidRPr="00B80EAF" w:rsidR="00EA366C" w:rsidTr="00337546" w14:paraId="7329C554" w14:textId="77777777">
        <w:tblPrEx>
          <w:tblBorders>
            <w:top w:val="none" w:color="auto" w:sz="0" w:space="0"/>
            <w:left w:val="none" w:color="auto" w:sz="0" w:space="0"/>
            <w:bottom w:val="none" w:color="auto" w:sz="0" w:space="0"/>
            <w:right w:val="none" w:color="auto" w:sz="0" w:space="0"/>
          </w:tblBorders>
        </w:tblPrEx>
        <w:trPr>
          <w:gridAfter w:val="2"/>
          <w:wAfter w:w="2697" w:type="dxa"/>
        </w:trPr>
        <w:tc>
          <w:tcPr>
            <w:tcW w:w="3119" w:type="dxa"/>
            <w:gridSpan w:val="3"/>
          </w:tcPr>
          <w:p w:rsidRPr="00B80EAF" w:rsidR="00EA366C" w:rsidP="007A7E76" w:rsidRDefault="00EA366C" w14:paraId="0526D36F" w14:textId="77777777">
            <w:pPr>
              <w:pStyle w:val="naisf"/>
              <w:spacing w:before="0" w:after="0"/>
              <w:rPr>
                <w:szCs w:val="20"/>
              </w:rPr>
            </w:pPr>
          </w:p>
        </w:tc>
        <w:tc>
          <w:tcPr>
            <w:tcW w:w="8393" w:type="dxa"/>
            <w:gridSpan w:val="5"/>
            <w:tcBorders>
              <w:top w:val="single" w:color="000000" w:sz="6" w:space="0"/>
            </w:tcBorders>
          </w:tcPr>
          <w:p w:rsidRPr="00B80EAF" w:rsidR="00EA366C" w:rsidP="007A7E76" w:rsidRDefault="00EA366C" w14:paraId="3D8A068B" w14:textId="77777777">
            <w:pPr>
              <w:pStyle w:val="naisf"/>
              <w:spacing w:before="0" w:after="0"/>
              <w:rPr>
                <w:szCs w:val="20"/>
              </w:rPr>
            </w:pPr>
            <w:r w:rsidRPr="00B80EAF">
              <w:rPr>
                <w:szCs w:val="20"/>
              </w:rPr>
              <w:t>(paraksts)</w:t>
            </w:r>
          </w:p>
        </w:tc>
      </w:tr>
    </w:tbl>
    <w:p w:rsidRPr="00B80EAF" w:rsidR="00EA366C" w:rsidP="007A7E76" w:rsidRDefault="00DD630A" w14:paraId="2484289E" w14:textId="77777777">
      <w:pPr>
        <w:pStyle w:val="naisf"/>
        <w:spacing w:before="0" w:after="0"/>
        <w:ind w:firstLine="0"/>
        <w:rPr>
          <w:szCs w:val="20"/>
        </w:rPr>
      </w:pPr>
      <w:r w:rsidRPr="00B80EAF">
        <w:rPr>
          <w:szCs w:val="20"/>
        </w:rPr>
        <w:t>Kristīne Miļevska</w:t>
      </w:r>
    </w:p>
    <w:p w:rsidRPr="00B80EAF" w:rsidR="00EA366C" w:rsidP="007A7E76" w:rsidRDefault="00EA366C" w14:paraId="7D170E09" w14:textId="77777777">
      <w:pPr>
        <w:pStyle w:val="naisf"/>
        <w:spacing w:before="0" w:after="0"/>
        <w:ind w:firstLine="0"/>
        <w:rPr>
          <w:szCs w:val="20"/>
        </w:rPr>
      </w:pPr>
      <w:r w:rsidRPr="00B80EAF">
        <w:rPr>
          <w:szCs w:val="20"/>
        </w:rPr>
        <w:t>Tieslietu ministrijas</w:t>
      </w:r>
    </w:p>
    <w:p w:rsidRPr="00B80EAF" w:rsidR="00EA366C" w:rsidP="007A7E76" w:rsidRDefault="00EA366C" w14:paraId="78826AE6" w14:textId="77777777">
      <w:pPr>
        <w:pStyle w:val="naisf"/>
        <w:spacing w:before="0" w:after="0"/>
        <w:ind w:firstLine="0"/>
        <w:rPr>
          <w:szCs w:val="20"/>
        </w:rPr>
      </w:pPr>
      <w:r w:rsidRPr="00B80EAF">
        <w:rPr>
          <w:szCs w:val="20"/>
        </w:rPr>
        <w:t>Tiesu sistēmas politikas departamenta direktore</w:t>
      </w:r>
    </w:p>
    <w:p w:rsidRPr="00B80EAF" w:rsidR="00EA366C" w:rsidP="007A7E76" w:rsidRDefault="00EA366C" w14:paraId="3E4BEEAB" w14:textId="77777777">
      <w:pPr>
        <w:pStyle w:val="naisf"/>
        <w:spacing w:before="0" w:after="0"/>
        <w:ind w:firstLine="0"/>
        <w:rPr>
          <w:szCs w:val="20"/>
        </w:rPr>
      </w:pPr>
      <w:r w:rsidRPr="00B80EAF">
        <w:rPr>
          <w:szCs w:val="20"/>
        </w:rPr>
        <w:t>Tālr</w:t>
      </w:r>
      <w:r w:rsidRPr="00B80EAF" w:rsidR="004805A5">
        <w:rPr>
          <w:szCs w:val="20"/>
        </w:rPr>
        <w:t>.</w:t>
      </w:r>
      <w:r w:rsidRPr="00B80EAF">
        <w:rPr>
          <w:szCs w:val="20"/>
        </w:rPr>
        <w:t>: 6703681</w:t>
      </w:r>
      <w:r w:rsidRPr="00B80EAF" w:rsidR="00DD630A">
        <w:rPr>
          <w:szCs w:val="20"/>
        </w:rPr>
        <w:t>3</w:t>
      </w:r>
    </w:p>
    <w:p w:rsidRPr="00933DD6" w:rsidR="006A1C6D" w:rsidP="007A7E76" w:rsidRDefault="004805A5" w14:paraId="020FEC5E" w14:textId="77777777">
      <w:pPr>
        <w:pStyle w:val="naisf"/>
        <w:spacing w:before="0" w:after="0"/>
        <w:ind w:firstLine="0"/>
        <w:rPr>
          <w:szCs w:val="20"/>
        </w:rPr>
      </w:pPr>
      <w:r w:rsidRPr="00B80EAF">
        <w:rPr>
          <w:szCs w:val="20"/>
        </w:rPr>
        <w:t xml:space="preserve">E-pasts: </w:t>
      </w:r>
      <w:r w:rsidRPr="00B80EAF" w:rsidR="00DD630A">
        <w:rPr>
          <w:szCs w:val="20"/>
        </w:rPr>
        <w:t>Kristine.Milevska</w:t>
      </w:r>
      <w:r w:rsidRPr="00B80EAF" w:rsidR="00EA366C">
        <w:rPr>
          <w:szCs w:val="20"/>
        </w:rPr>
        <w:t>@tm.gov.lv</w:t>
      </w:r>
    </w:p>
    <w:sectPr w:rsidRPr="00933DD6" w:rsidR="006A1C6D" w:rsidSect="00FC7039">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C1E6" w14:textId="77777777" w:rsidR="000A610E" w:rsidRDefault="000A610E">
      <w:r>
        <w:separator/>
      </w:r>
    </w:p>
  </w:endnote>
  <w:endnote w:type="continuationSeparator" w:id="0">
    <w:p w14:paraId="054CC926" w14:textId="77777777" w:rsidR="000A610E" w:rsidRDefault="000A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EDBF" w14:textId="20D2D625" w:rsidR="00E31887" w:rsidRPr="00445498" w:rsidRDefault="00E31887" w:rsidP="00FC7039">
    <w:pPr>
      <w:pStyle w:val="Kjene"/>
      <w:jc w:val="both"/>
    </w:pPr>
    <w:r>
      <w:rPr>
        <w:sz w:val="20"/>
        <w:szCs w:val="20"/>
      </w:rPr>
      <w:t>TMIzz_</w:t>
    </w:r>
    <w:r w:rsidR="00CD19B9">
      <w:rPr>
        <w:sz w:val="20"/>
        <w:szCs w:val="20"/>
      </w:rPr>
      <w:t>14</w:t>
    </w:r>
    <w:r w:rsidR="00E955F7">
      <w:rPr>
        <w:sz w:val="20"/>
        <w:szCs w:val="20"/>
      </w:rPr>
      <w:t>06</w:t>
    </w:r>
    <w:r w:rsidR="00915E1C">
      <w:rPr>
        <w:sz w:val="20"/>
        <w:szCs w:val="20"/>
      </w:rPr>
      <w:t>21_nodevas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AEE3" w14:textId="378CC890" w:rsidR="00E31887" w:rsidRPr="009F19AA" w:rsidRDefault="00E31887" w:rsidP="009F19AA">
    <w:pPr>
      <w:pStyle w:val="Kjene"/>
      <w:jc w:val="both"/>
      <w:rPr>
        <w:sz w:val="20"/>
        <w:szCs w:val="20"/>
      </w:rPr>
    </w:pPr>
    <w:r>
      <w:rPr>
        <w:sz w:val="20"/>
        <w:szCs w:val="20"/>
      </w:rPr>
      <w:t>TMIzz_</w:t>
    </w:r>
    <w:r w:rsidR="00CD19B9">
      <w:rPr>
        <w:sz w:val="20"/>
        <w:szCs w:val="20"/>
      </w:rPr>
      <w:t>14</w:t>
    </w:r>
    <w:r w:rsidR="00E955F7">
      <w:rPr>
        <w:sz w:val="20"/>
        <w:szCs w:val="20"/>
      </w:rPr>
      <w:t>06</w:t>
    </w:r>
    <w:r w:rsidR="00915E1C">
      <w:rPr>
        <w:sz w:val="20"/>
        <w:szCs w:val="20"/>
      </w:rPr>
      <w:t>21_nodevas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57DC" w14:textId="77777777" w:rsidR="000A610E" w:rsidRDefault="000A610E">
      <w:r>
        <w:separator/>
      </w:r>
    </w:p>
  </w:footnote>
  <w:footnote w:type="continuationSeparator" w:id="0">
    <w:p w14:paraId="1A0DBA81" w14:textId="77777777" w:rsidR="000A610E" w:rsidRDefault="000A610E">
      <w:r>
        <w:continuationSeparator/>
      </w:r>
    </w:p>
  </w:footnote>
  <w:footnote w:id="1">
    <w:p w14:paraId="24D340F7" w14:textId="77777777" w:rsidR="001839C4" w:rsidRDefault="001839C4" w:rsidP="001839C4">
      <w:r>
        <w:rPr>
          <w:rStyle w:val="Vresatsauce"/>
        </w:rPr>
        <w:footnoteRef/>
      </w:r>
      <w:hyperlink r:id="rId1" w:history="1">
        <w:r>
          <w:rPr>
            <w:rStyle w:val="Hipersaite"/>
          </w:rPr>
          <w:t>https://data.stat.gov.lv/pxweb/lv/OSP_PUB/START__NOZ__BU__BUE/BUE020c/table/tableViewLayout1/</w:t>
        </w:r>
      </w:hyperlink>
    </w:p>
  </w:footnote>
  <w:footnote w:id="2">
    <w:p w14:paraId="576FFF4C" w14:textId="77777777" w:rsidR="001839C4" w:rsidRDefault="001839C4" w:rsidP="001839C4">
      <w:pPr>
        <w:pStyle w:val="Vresteksts"/>
      </w:pPr>
      <w:r>
        <w:rPr>
          <w:rStyle w:val="Vresatsauce"/>
        </w:rPr>
        <w:footnoteRef/>
      </w:r>
      <w:r>
        <w:t xml:space="preserve"> </w:t>
      </w:r>
      <w:hyperlink r:id="rId2" w:history="1">
        <w:r>
          <w:rPr>
            <w:rStyle w:val="Hipersaite"/>
          </w:rPr>
          <w:t>http://tap.mk.gov.lv/doc/2021_04/FMINF_07042021_SP.832.DOCX</w:t>
        </w:r>
      </w:hyperlink>
    </w:p>
    <w:p w14:paraId="7EA1EFF4" w14:textId="77777777" w:rsidR="001839C4" w:rsidRDefault="001839C4" w:rsidP="001839C4">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887" w:rsidP="00364BB6" w:rsidRDefault="00E31887" w14:paraId="151EA865"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1887" w:rsidRDefault="00E31887" w14:paraId="542EE7D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887" w:rsidP="00364BB6" w:rsidRDefault="00E31887" w14:paraId="3337178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E31887" w:rsidRDefault="00E31887" w14:paraId="638E949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41A30CC"/>
    <w:multiLevelType w:val="hybridMultilevel"/>
    <w:tmpl w:val="2A5EB3DE"/>
    <w:lvl w:ilvl="0" w:tplc="79AC2D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2B37081B"/>
    <w:multiLevelType w:val="hybridMultilevel"/>
    <w:tmpl w:val="D4E29516"/>
    <w:lvl w:ilvl="0" w:tplc="4FB8A69C">
      <w:start w:val="1"/>
      <w:numFmt w:val="lowerLetter"/>
      <w:lvlText w:val="%1)"/>
      <w:lvlJc w:val="left"/>
      <w:pPr>
        <w:ind w:left="786" w:hanging="360"/>
      </w:pPr>
      <w:rPr>
        <w:rFonts w:ascii="Times New Roman" w:eastAsia="Calibri" w:hAnsi="Times New Roman" w:cs="Times New Roman"/>
      </w:rPr>
    </w:lvl>
    <w:lvl w:ilvl="1" w:tplc="59A2377E" w:tentative="1">
      <w:start w:val="1"/>
      <w:numFmt w:val="lowerLetter"/>
      <w:lvlText w:val="%2."/>
      <w:lvlJc w:val="left"/>
      <w:pPr>
        <w:ind w:left="1506" w:hanging="360"/>
      </w:pPr>
    </w:lvl>
    <w:lvl w:ilvl="2" w:tplc="3A704764" w:tentative="1">
      <w:start w:val="1"/>
      <w:numFmt w:val="lowerRoman"/>
      <w:lvlText w:val="%3."/>
      <w:lvlJc w:val="right"/>
      <w:pPr>
        <w:ind w:left="2226" w:hanging="180"/>
      </w:pPr>
    </w:lvl>
    <w:lvl w:ilvl="3" w:tplc="15EC6160" w:tentative="1">
      <w:start w:val="1"/>
      <w:numFmt w:val="decimal"/>
      <w:lvlText w:val="%4."/>
      <w:lvlJc w:val="left"/>
      <w:pPr>
        <w:ind w:left="2946" w:hanging="360"/>
      </w:pPr>
    </w:lvl>
    <w:lvl w:ilvl="4" w:tplc="0ECAC612" w:tentative="1">
      <w:start w:val="1"/>
      <w:numFmt w:val="lowerLetter"/>
      <w:lvlText w:val="%5."/>
      <w:lvlJc w:val="left"/>
      <w:pPr>
        <w:ind w:left="3666" w:hanging="360"/>
      </w:pPr>
    </w:lvl>
    <w:lvl w:ilvl="5" w:tplc="19261ED4" w:tentative="1">
      <w:start w:val="1"/>
      <w:numFmt w:val="lowerRoman"/>
      <w:lvlText w:val="%6."/>
      <w:lvlJc w:val="right"/>
      <w:pPr>
        <w:ind w:left="4386" w:hanging="180"/>
      </w:pPr>
    </w:lvl>
    <w:lvl w:ilvl="6" w:tplc="33B6151C" w:tentative="1">
      <w:start w:val="1"/>
      <w:numFmt w:val="decimal"/>
      <w:lvlText w:val="%7."/>
      <w:lvlJc w:val="left"/>
      <w:pPr>
        <w:ind w:left="5106" w:hanging="360"/>
      </w:pPr>
    </w:lvl>
    <w:lvl w:ilvl="7" w:tplc="251C22B8" w:tentative="1">
      <w:start w:val="1"/>
      <w:numFmt w:val="lowerLetter"/>
      <w:lvlText w:val="%8."/>
      <w:lvlJc w:val="left"/>
      <w:pPr>
        <w:ind w:left="5826" w:hanging="360"/>
      </w:pPr>
    </w:lvl>
    <w:lvl w:ilvl="8" w:tplc="3EE43F52" w:tentative="1">
      <w:start w:val="1"/>
      <w:numFmt w:val="lowerRoman"/>
      <w:lvlText w:val="%9."/>
      <w:lvlJc w:val="right"/>
      <w:pPr>
        <w:ind w:left="6546" w:hanging="180"/>
      </w:pPr>
    </w:lvl>
  </w:abstractNum>
  <w:abstractNum w:abstractNumId="3" w15:restartNumberingAfterBreak="0">
    <w:nsid w:val="2B8D0A28"/>
    <w:multiLevelType w:val="hybridMultilevel"/>
    <w:tmpl w:val="BE204244"/>
    <w:lvl w:ilvl="0" w:tplc="7EAC0094">
      <w:start w:val="1"/>
      <w:numFmt w:val="decimal"/>
      <w:lvlText w:val="%1."/>
      <w:lvlJc w:val="left"/>
      <w:pPr>
        <w:ind w:left="1080" w:hanging="360"/>
      </w:pPr>
      <w:rPr>
        <w:rFonts w:hint="default"/>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503E58"/>
    <w:multiLevelType w:val="hybridMultilevel"/>
    <w:tmpl w:val="7550F394"/>
    <w:lvl w:ilvl="0" w:tplc="60340E72">
      <w:start w:val="1"/>
      <w:numFmt w:val="bullet"/>
      <w:lvlText w:val="-"/>
      <w:lvlJc w:val="left"/>
      <w:pPr>
        <w:ind w:left="1440" w:hanging="360"/>
      </w:pPr>
      <w:rPr>
        <w:rFonts w:ascii="Times New Roman" w:eastAsia="Calibri" w:hAnsi="Times New Roman" w:cs="Times New Roman" w:hint="default"/>
        <w:color w:val="7030A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D2A31BB"/>
    <w:multiLevelType w:val="hybridMultilevel"/>
    <w:tmpl w:val="3A6CCD42"/>
    <w:lvl w:ilvl="0" w:tplc="BB0C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250ACA"/>
    <w:multiLevelType w:val="hybridMultilevel"/>
    <w:tmpl w:val="0B787458"/>
    <w:lvl w:ilvl="0" w:tplc="7A2EA8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1">
    <w:nsid w:val="57AE7556"/>
    <w:multiLevelType w:val="multilevel"/>
    <w:tmpl w:val="B3CC42C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950D0A"/>
    <w:multiLevelType w:val="multilevel"/>
    <w:tmpl w:val="C49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9"/>
  </w:num>
  <w:num w:numId="5">
    <w:abstractNumId w:val="6"/>
  </w:num>
  <w:num w:numId="6">
    <w:abstractNumId w:val="0"/>
  </w:num>
  <w:num w:numId="7">
    <w:abstractNumId w:val="1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73C"/>
    <w:rsid w:val="00003066"/>
    <w:rsid w:val="00003C53"/>
    <w:rsid w:val="00004032"/>
    <w:rsid w:val="0000414A"/>
    <w:rsid w:val="0000456E"/>
    <w:rsid w:val="000055EA"/>
    <w:rsid w:val="00006BF1"/>
    <w:rsid w:val="0001118D"/>
    <w:rsid w:val="0001131F"/>
    <w:rsid w:val="0001143B"/>
    <w:rsid w:val="00011663"/>
    <w:rsid w:val="0001249F"/>
    <w:rsid w:val="000125C0"/>
    <w:rsid w:val="0001270C"/>
    <w:rsid w:val="000136AA"/>
    <w:rsid w:val="00013B4C"/>
    <w:rsid w:val="00013BF6"/>
    <w:rsid w:val="00014BE8"/>
    <w:rsid w:val="0001554C"/>
    <w:rsid w:val="00015864"/>
    <w:rsid w:val="00015B94"/>
    <w:rsid w:val="00015D85"/>
    <w:rsid w:val="00015DE5"/>
    <w:rsid w:val="000172E2"/>
    <w:rsid w:val="00017449"/>
    <w:rsid w:val="00020249"/>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37719"/>
    <w:rsid w:val="00040A5C"/>
    <w:rsid w:val="00040FAC"/>
    <w:rsid w:val="000415C6"/>
    <w:rsid w:val="00043005"/>
    <w:rsid w:val="0004345F"/>
    <w:rsid w:val="00044026"/>
    <w:rsid w:val="00046075"/>
    <w:rsid w:val="00046CAD"/>
    <w:rsid w:val="00046F5C"/>
    <w:rsid w:val="00047385"/>
    <w:rsid w:val="00050554"/>
    <w:rsid w:val="000509A2"/>
    <w:rsid w:val="00053706"/>
    <w:rsid w:val="00053E04"/>
    <w:rsid w:val="0005416F"/>
    <w:rsid w:val="000544E1"/>
    <w:rsid w:val="00054551"/>
    <w:rsid w:val="00054A34"/>
    <w:rsid w:val="000579E6"/>
    <w:rsid w:val="00060E03"/>
    <w:rsid w:val="000641CE"/>
    <w:rsid w:val="00064798"/>
    <w:rsid w:val="00065271"/>
    <w:rsid w:val="00066176"/>
    <w:rsid w:val="0006618D"/>
    <w:rsid w:val="00066885"/>
    <w:rsid w:val="0006694E"/>
    <w:rsid w:val="00066A37"/>
    <w:rsid w:val="00066F05"/>
    <w:rsid w:val="00067310"/>
    <w:rsid w:val="00072628"/>
    <w:rsid w:val="000728ED"/>
    <w:rsid w:val="000733F5"/>
    <w:rsid w:val="000733FF"/>
    <w:rsid w:val="0007564E"/>
    <w:rsid w:val="0007577A"/>
    <w:rsid w:val="00075783"/>
    <w:rsid w:val="000775D0"/>
    <w:rsid w:val="00081667"/>
    <w:rsid w:val="00081B0F"/>
    <w:rsid w:val="0008283D"/>
    <w:rsid w:val="00083090"/>
    <w:rsid w:val="00083214"/>
    <w:rsid w:val="00083B8F"/>
    <w:rsid w:val="00084B11"/>
    <w:rsid w:val="00085186"/>
    <w:rsid w:val="00085322"/>
    <w:rsid w:val="0008656F"/>
    <w:rsid w:val="00086AB9"/>
    <w:rsid w:val="00086BCE"/>
    <w:rsid w:val="00086F36"/>
    <w:rsid w:val="00090168"/>
    <w:rsid w:val="00090C76"/>
    <w:rsid w:val="00091033"/>
    <w:rsid w:val="00091567"/>
    <w:rsid w:val="00091F10"/>
    <w:rsid w:val="0009302B"/>
    <w:rsid w:val="00093C1C"/>
    <w:rsid w:val="00093EC2"/>
    <w:rsid w:val="000958A2"/>
    <w:rsid w:val="000965E7"/>
    <w:rsid w:val="00096D24"/>
    <w:rsid w:val="000976F5"/>
    <w:rsid w:val="00097D1A"/>
    <w:rsid w:val="00097F6E"/>
    <w:rsid w:val="000A0041"/>
    <w:rsid w:val="000A06FC"/>
    <w:rsid w:val="000A0F78"/>
    <w:rsid w:val="000A1A02"/>
    <w:rsid w:val="000A4035"/>
    <w:rsid w:val="000A483A"/>
    <w:rsid w:val="000A55D2"/>
    <w:rsid w:val="000A610E"/>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FC"/>
    <w:rsid w:val="000C57DF"/>
    <w:rsid w:val="000C59D7"/>
    <w:rsid w:val="000C76BE"/>
    <w:rsid w:val="000C7907"/>
    <w:rsid w:val="000C7A11"/>
    <w:rsid w:val="000C7F5E"/>
    <w:rsid w:val="000D00AC"/>
    <w:rsid w:val="000D0AED"/>
    <w:rsid w:val="000D2426"/>
    <w:rsid w:val="000D25BC"/>
    <w:rsid w:val="000D2A8B"/>
    <w:rsid w:val="000D3263"/>
    <w:rsid w:val="000D3602"/>
    <w:rsid w:val="000D4D89"/>
    <w:rsid w:val="000D6BBD"/>
    <w:rsid w:val="000D6C3C"/>
    <w:rsid w:val="000D7751"/>
    <w:rsid w:val="000D7C23"/>
    <w:rsid w:val="000E0A16"/>
    <w:rsid w:val="000E1953"/>
    <w:rsid w:val="000E1BFA"/>
    <w:rsid w:val="000E2142"/>
    <w:rsid w:val="000E21D0"/>
    <w:rsid w:val="000E2A38"/>
    <w:rsid w:val="000E2ACC"/>
    <w:rsid w:val="000E5509"/>
    <w:rsid w:val="000E585F"/>
    <w:rsid w:val="000E66F8"/>
    <w:rsid w:val="000E7A25"/>
    <w:rsid w:val="000F054F"/>
    <w:rsid w:val="000F079D"/>
    <w:rsid w:val="000F09EE"/>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59"/>
    <w:rsid w:val="00110AA9"/>
    <w:rsid w:val="00111400"/>
    <w:rsid w:val="0011254D"/>
    <w:rsid w:val="001139C2"/>
    <w:rsid w:val="00114559"/>
    <w:rsid w:val="00114EA9"/>
    <w:rsid w:val="00115967"/>
    <w:rsid w:val="00115ED0"/>
    <w:rsid w:val="00116650"/>
    <w:rsid w:val="0011683C"/>
    <w:rsid w:val="0011718A"/>
    <w:rsid w:val="001179E8"/>
    <w:rsid w:val="0012021B"/>
    <w:rsid w:val="0012055F"/>
    <w:rsid w:val="00121E5A"/>
    <w:rsid w:val="0012222D"/>
    <w:rsid w:val="001255E6"/>
    <w:rsid w:val="0013053A"/>
    <w:rsid w:val="0013066A"/>
    <w:rsid w:val="00131220"/>
    <w:rsid w:val="001315EF"/>
    <w:rsid w:val="00131F39"/>
    <w:rsid w:val="00132375"/>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666"/>
    <w:rsid w:val="00157A57"/>
    <w:rsid w:val="00157DB6"/>
    <w:rsid w:val="00157EC2"/>
    <w:rsid w:val="00160158"/>
    <w:rsid w:val="001605FB"/>
    <w:rsid w:val="00162A68"/>
    <w:rsid w:val="00162E08"/>
    <w:rsid w:val="001633F1"/>
    <w:rsid w:val="0016351A"/>
    <w:rsid w:val="0016531E"/>
    <w:rsid w:val="0016565C"/>
    <w:rsid w:val="00166314"/>
    <w:rsid w:val="00166746"/>
    <w:rsid w:val="00167590"/>
    <w:rsid w:val="00167918"/>
    <w:rsid w:val="00167C1E"/>
    <w:rsid w:val="0017043B"/>
    <w:rsid w:val="001706A1"/>
    <w:rsid w:val="00170914"/>
    <w:rsid w:val="00170DF2"/>
    <w:rsid w:val="00171F89"/>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39C4"/>
    <w:rsid w:val="00184479"/>
    <w:rsid w:val="0018472C"/>
    <w:rsid w:val="00184838"/>
    <w:rsid w:val="00184B1C"/>
    <w:rsid w:val="00184F40"/>
    <w:rsid w:val="00185755"/>
    <w:rsid w:val="00185E79"/>
    <w:rsid w:val="00186F57"/>
    <w:rsid w:val="00187398"/>
    <w:rsid w:val="001875B9"/>
    <w:rsid w:val="00187F73"/>
    <w:rsid w:val="00187FB0"/>
    <w:rsid w:val="001902E9"/>
    <w:rsid w:val="00190327"/>
    <w:rsid w:val="0019047E"/>
    <w:rsid w:val="00190A0A"/>
    <w:rsid w:val="001926F2"/>
    <w:rsid w:val="00192E9B"/>
    <w:rsid w:val="00193BCE"/>
    <w:rsid w:val="00194B87"/>
    <w:rsid w:val="00194E1D"/>
    <w:rsid w:val="0019569A"/>
    <w:rsid w:val="00195962"/>
    <w:rsid w:val="00197533"/>
    <w:rsid w:val="001977E7"/>
    <w:rsid w:val="00197CCA"/>
    <w:rsid w:val="001A0D8A"/>
    <w:rsid w:val="001A192D"/>
    <w:rsid w:val="001A342D"/>
    <w:rsid w:val="001A7C72"/>
    <w:rsid w:val="001B084B"/>
    <w:rsid w:val="001B0CEC"/>
    <w:rsid w:val="001B0FFC"/>
    <w:rsid w:val="001B18A9"/>
    <w:rsid w:val="001B19D7"/>
    <w:rsid w:val="001B1CF2"/>
    <w:rsid w:val="001B3ECE"/>
    <w:rsid w:val="001B4388"/>
    <w:rsid w:val="001B463E"/>
    <w:rsid w:val="001B49E0"/>
    <w:rsid w:val="001B5377"/>
    <w:rsid w:val="001B6159"/>
    <w:rsid w:val="001B6553"/>
    <w:rsid w:val="001B6647"/>
    <w:rsid w:val="001B6A47"/>
    <w:rsid w:val="001B6B0A"/>
    <w:rsid w:val="001B6BE5"/>
    <w:rsid w:val="001B6C3C"/>
    <w:rsid w:val="001C0824"/>
    <w:rsid w:val="001C0B83"/>
    <w:rsid w:val="001C1510"/>
    <w:rsid w:val="001C1989"/>
    <w:rsid w:val="001C28FD"/>
    <w:rsid w:val="001C3349"/>
    <w:rsid w:val="001C4ABA"/>
    <w:rsid w:val="001C546B"/>
    <w:rsid w:val="001C552D"/>
    <w:rsid w:val="001C5EA2"/>
    <w:rsid w:val="001C6608"/>
    <w:rsid w:val="001C672E"/>
    <w:rsid w:val="001C6C7D"/>
    <w:rsid w:val="001D1CB1"/>
    <w:rsid w:val="001D2AC0"/>
    <w:rsid w:val="001D2DBA"/>
    <w:rsid w:val="001D2FD0"/>
    <w:rsid w:val="001D3830"/>
    <w:rsid w:val="001D3BA6"/>
    <w:rsid w:val="001D5564"/>
    <w:rsid w:val="001D6FAA"/>
    <w:rsid w:val="001D70FA"/>
    <w:rsid w:val="001D7BA9"/>
    <w:rsid w:val="001E0010"/>
    <w:rsid w:val="001E039D"/>
    <w:rsid w:val="001E0C26"/>
    <w:rsid w:val="001E10E7"/>
    <w:rsid w:val="001E22E7"/>
    <w:rsid w:val="001E2714"/>
    <w:rsid w:val="001E398C"/>
    <w:rsid w:val="001E4456"/>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38A9"/>
    <w:rsid w:val="00204271"/>
    <w:rsid w:val="00204D0F"/>
    <w:rsid w:val="00204DB6"/>
    <w:rsid w:val="002051E3"/>
    <w:rsid w:val="002056ED"/>
    <w:rsid w:val="00205C3A"/>
    <w:rsid w:val="00206C00"/>
    <w:rsid w:val="00210C82"/>
    <w:rsid w:val="00211793"/>
    <w:rsid w:val="00211C11"/>
    <w:rsid w:val="00212345"/>
    <w:rsid w:val="00212960"/>
    <w:rsid w:val="00214809"/>
    <w:rsid w:val="002149A1"/>
    <w:rsid w:val="00214E7A"/>
    <w:rsid w:val="00215082"/>
    <w:rsid w:val="00215BFE"/>
    <w:rsid w:val="00215C44"/>
    <w:rsid w:val="00216E73"/>
    <w:rsid w:val="0021774C"/>
    <w:rsid w:val="00217FF6"/>
    <w:rsid w:val="002213CE"/>
    <w:rsid w:val="00222386"/>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37"/>
    <w:rsid w:val="00232F90"/>
    <w:rsid w:val="0023339B"/>
    <w:rsid w:val="0023469C"/>
    <w:rsid w:val="00234C71"/>
    <w:rsid w:val="00235511"/>
    <w:rsid w:val="002366E0"/>
    <w:rsid w:val="00236913"/>
    <w:rsid w:val="00236AC1"/>
    <w:rsid w:val="00236DE1"/>
    <w:rsid w:val="002372EE"/>
    <w:rsid w:val="002372FD"/>
    <w:rsid w:val="0023764D"/>
    <w:rsid w:val="002415BC"/>
    <w:rsid w:val="00241ADB"/>
    <w:rsid w:val="002434B2"/>
    <w:rsid w:val="002442F4"/>
    <w:rsid w:val="002445EA"/>
    <w:rsid w:val="00244ECE"/>
    <w:rsid w:val="00244FC5"/>
    <w:rsid w:val="00245729"/>
    <w:rsid w:val="00245D1D"/>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3FE3"/>
    <w:rsid w:val="00264441"/>
    <w:rsid w:val="00265593"/>
    <w:rsid w:val="002675EA"/>
    <w:rsid w:val="00267BC5"/>
    <w:rsid w:val="00267CBE"/>
    <w:rsid w:val="00267E0B"/>
    <w:rsid w:val="00270680"/>
    <w:rsid w:val="00271103"/>
    <w:rsid w:val="0027124A"/>
    <w:rsid w:val="00271F6D"/>
    <w:rsid w:val="002721FA"/>
    <w:rsid w:val="0027230C"/>
    <w:rsid w:val="00272B99"/>
    <w:rsid w:val="00273357"/>
    <w:rsid w:val="0027380D"/>
    <w:rsid w:val="00273A32"/>
    <w:rsid w:val="0027468E"/>
    <w:rsid w:val="00274826"/>
    <w:rsid w:val="00274A03"/>
    <w:rsid w:val="00275005"/>
    <w:rsid w:val="002752AB"/>
    <w:rsid w:val="002756D6"/>
    <w:rsid w:val="0027573C"/>
    <w:rsid w:val="00280FC4"/>
    <w:rsid w:val="002815D0"/>
    <w:rsid w:val="00281680"/>
    <w:rsid w:val="002820A7"/>
    <w:rsid w:val="00282CAD"/>
    <w:rsid w:val="00283957"/>
    <w:rsid w:val="00283B82"/>
    <w:rsid w:val="00283E13"/>
    <w:rsid w:val="00284712"/>
    <w:rsid w:val="00286089"/>
    <w:rsid w:val="00286478"/>
    <w:rsid w:val="00287D86"/>
    <w:rsid w:val="00287EDD"/>
    <w:rsid w:val="0029141B"/>
    <w:rsid w:val="002927D3"/>
    <w:rsid w:val="002933F6"/>
    <w:rsid w:val="00294BDE"/>
    <w:rsid w:val="00295DB6"/>
    <w:rsid w:val="002975F5"/>
    <w:rsid w:val="0029788B"/>
    <w:rsid w:val="00297980"/>
    <w:rsid w:val="00297D1B"/>
    <w:rsid w:val="00297F4D"/>
    <w:rsid w:val="002A0226"/>
    <w:rsid w:val="002A0661"/>
    <w:rsid w:val="002A0FFE"/>
    <w:rsid w:val="002A1CF2"/>
    <w:rsid w:val="002A2ED0"/>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892"/>
    <w:rsid w:val="002C3CA3"/>
    <w:rsid w:val="002C453C"/>
    <w:rsid w:val="002C58AB"/>
    <w:rsid w:val="002C6D84"/>
    <w:rsid w:val="002C75F3"/>
    <w:rsid w:val="002C7D21"/>
    <w:rsid w:val="002D1564"/>
    <w:rsid w:val="002D1CA4"/>
    <w:rsid w:val="002D2A83"/>
    <w:rsid w:val="002D2C09"/>
    <w:rsid w:val="002D2C45"/>
    <w:rsid w:val="002D4969"/>
    <w:rsid w:val="002D4EE1"/>
    <w:rsid w:val="002D4F49"/>
    <w:rsid w:val="002D5970"/>
    <w:rsid w:val="002D778E"/>
    <w:rsid w:val="002E04D7"/>
    <w:rsid w:val="002E06DD"/>
    <w:rsid w:val="002E171A"/>
    <w:rsid w:val="002E2A24"/>
    <w:rsid w:val="002E3A39"/>
    <w:rsid w:val="002E3D66"/>
    <w:rsid w:val="002E3F11"/>
    <w:rsid w:val="002E4B11"/>
    <w:rsid w:val="002E4F70"/>
    <w:rsid w:val="002E5404"/>
    <w:rsid w:val="002E5886"/>
    <w:rsid w:val="002E58AA"/>
    <w:rsid w:val="002E5AD3"/>
    <w:rsid w:val="002E635D"/>
    <w:rsid w:val="002E7562"/>
    <w:rsid w:val="002F071F"/>
    <w:rsid w:val="002F16D5"/>
    <w:rsid w:val="002F1A90"/>
    <w:rsid w:val="002F1C2F"/>
    <w:rsid w:val="002F1F77"/>
    <w:rsid w:val="002F3D1C"/>
    <w:rsid w:val="002F4EA1"/>
    <w:rsid w:val="002F52DE"/>
    <w:rsid w:val="002F55C1"/>
    <w:rsid w:val="002F797A"/>
    <w:rsid w:val="002F7E9B"/>
    <w:rsid w:val="00300342"/>
    <w:rsid w:val="00300483"/>
    <w:rsid w:val="00301C91"/>
    <w:rsid w:val="00303F2B"/>
    <w:rsid w:val="0030422B"/>
    <w:rsid w:val="00304607"/>
    <w:rsid w:val="0030467A"/>
    <w:rsid w:val="00304991"/>
    <w:rsid w:val="00304D4E"/>
    <w:rsid w:val="00304FFD"/>
    <w:rsid w:val="00305608"/>
    <w:rsid w:val="00305B72"/>
    <w:rsid w:val="0030610A"/>
    <w:rsid w:val="003062B4"/>
    <w:rsid w:val="00306627"/>
    <w:rsid w:val="003069DD"/>
    <w:rsid w:val="00306CAB"/>
    <w:rsid w:val="003077B9"/>
    <w:rsid w:val="0031146F"/>
    <w:rsid w:val="00311795"/>
    <w:rsid w:val="003117B1"/>
    <w:rsid w:val="00311B70"/>
    <w:rsid w:val="00311CBE"/>
    <w:rsid w:val="00312280"/>
    <w:rsid w:val="00312CD0"/>
    <w:rsid w:val="0031449F"/>
    <w:rsid w:val="003145A5"/>
    <w:rsid w:val="003148B9"/>
    <w:rsid w:val="00314A2E"/>
    <w:rsid w:val="00314E34"/>
    <w:rsid w:val="00315266"/>
    <w:rsid w:val="0031693B"/>
    <w:rsid w:val="003169CE"/>
    <w:rsid w:val="00316F0A"/>
    <w:rsid w:val="0031783B"/>
    <w:rsid w:val="00317AC9"/>
    <w:rsid w:val="00317DC7"/>
    <w:rsid w:val="003200F9"/>
    <w:rsid w:val="00320F38"/>
    <w:rsid w:val="00321183"/>
    <w:rsid w:val="00321694"/>
    <w:rsid w:val="00321F0A"/>
    <w:rsid w:val="003223CE"/>
    <w:rsid w:val="00322A2D"/>
    <w:rsid w:val="00322E80"/>
    <w:rsid w:val="00323C03"/>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37546"/>
    <w:rsid w:val="003421E1"/>
    <w:rsid w:val="00343CB3"/>
    <w:rsid w:val="00344152"/>
    <w:rsid w:val="003443DD"/>
    <w:rsid w:val="00344D5A"/>
    <w:rsid w:val="00346EB6"/>
    <w:rsid w:val="00347EDB"/>
    <w:rsid w:val="00350797"/>
    <w:rsid w:val="00351A85"/>
    <w:rsid w:val="003522E8"/>
    <w:rsid w:val="0035398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79E"/>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7C87"/>
    <w:rsid w:val="003A157A"/>
    <w:rsid w:val="003A283F"/>
    <w:rsid w:val="003A2A16"/>
    <w:rsid w:val="003A2FDD"/>
    <w:rsid w:val="003A3C43"/>
    <w:rsid w:val="003A5CCC"/>
    <w:rsid w:val="003A5D8A"/>
    <w:rsid w:val="003A70FF"/>
    <w:rsid w:val="003A74D2"/>
    <w:rsid w:val="003A756B"/>
    <w:rsid w:val="003A7902"/>
    <w:rsid w:val="003A7E54"/>
    <w:rsid w:val="003B1C7A"/>
    <w:rsid w:val="003B2375"/>
    <w:rsid w:val="003B23D7"/>
    <w:rsid w:val="003B34CB"/>
    <w:rsid w:val="003B3AB4"/>
    <w:rsid w:val="003B3CA8"/>
    <w:rsid w:val="003B45D5"/>
    <w:rsid w:val="003B4D53"/>
    <w:rsid w:val="003B52FE"/>
    <w:rsid w:val="003B572A"/>
    <w:rsid w:val="003B6325"/>
    <w:rsid w:val="003B71E0"/>
    <w:rsid w:val="003B78A4"/>
    <w:rsid w:val="003B7F0B"/>
    <w:rsid w:val="003C144E"/>
    <w:rsid w:val="003C1A07"/>
    <w:rsid w:val="003C1E74"/>
    <w:rsid w:val="003C20A2"/>
    <w:rsid w:val="003C2673"/>
    <w:rsid w:val="003C2781"/>
    <w:rsid w:val="003C27A2"/>
    <w:rsid w:val="003C567C"/>
    <w:rsid w:val="003C59B8"/>
    <w:rsid w:val="003C5D00"/>
    <w:rsid w:val="003C6809"/>
    <w:rsid w:val="003C7897"/>
    <w:rsid w:val="003D0937"/>
    <w:rsid w:val="003D17E6"/>
    <w:rsid w:val="003D1A20"/>
    <w:rsid w:val="003D1AC9"/>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FA8"/>
    <w:rsid w:val="003E6252"/>
    <w:rsid w:val="003E6B51"/>
    <w:rsid w:val="003E7FDF"/>
    <w:rsid w:val="003F0009"/>
    <w:rsid w:val="003F1200"/>
    <w:rsid w:val="003F1421"/>
    <w:rsid w:val="003F1844"/>
    <w:rsid w:val="003F1FDC"/>
    <w:rsid w:val="003F2184"/>
    <w:rsid w:val="003F241E"/>
    <w:rsid w:val="003F26CF"/>
    <w:rsid w:val="003F28C0"/>
    <w:rsid w:val="003F34A1"/>
    <w:rsid w:val="003F52B2"/>
    <w:rsid w:val="003F5C8C"/>
    <w:rsid w:val="003F716E"/>
    <w:rsid w:val="00400061"/>
    <w:rsid w:val="0040068A"/>
    <w:rsid w:val="00400813"/>
    <w:rsid w:val="004013AD"/>
    <w:rsid w:val="00402215"/>
    <w:rsid w:val="00402A48"/>
    <w:rsid w:val="00402C35"/>
    <w:rsid w:val="00403244"/>
    <w:rsid w:val="00403D7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5A7E"/>
    <w:rsid w:val="00416277"/>
    <w:rsid w:val="00416E24"/>
    <w:rsid w:val="004172EA"/>
    <w:rsid w:val="0042063D"/>
    <w:rsid w:val="00422B23"/>
    <w:rsid w:val="00423A60"/>
    <w:rsid w:val="0042651C"/>
    <w:rsid w:val="00426E9B"/>
    <w:rsid w:val="00427D55"/>
    <w:rsid w:val="0043233C"/>
    <w:rsid w:val="004345A6"/>
    <w:rsid w:val="00434C7A"/>
    <w:rsid w:val="00435B2F"/>
    <w:rsid w:val="00435E03"/>
    <w:rsid w:val="004373E1"/>
    <w:rsid w:val="004374A3"/>
    <w:rsid w:val="00437A7E"/>
    <w:rsid w:val="00437B6C"/>
    <w:rsid w:val="00440144"/>
    <w:rsid w:val="0044064E"/>
    <w:rsid w:val="00440805"/>
    <w:rsid w:val="00440DED"/>
    <w:rsid w:val="004412E1"/>
    <w:rsid w:val="00441554"/>
    <w:rsid w:val="00442E48"/>
    <w:rsid w:val="00443DCD"/>
    <w:rsid w:val="00443E7E"/>
    <w:rsid w:val="004445BB"/>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305C"/>
    <w:rsid w:val="00464B48"/>
    <w:rsid w:val="00465231"/>
    <w:rsid w:val="004662AD"/>
    <w:rsid w:val="00466516"/>
    <w:rsid w:val="00467B65"/>
    <w:rsid w:val="00471EA5"/>
    <w:rsid w:val="004720C9"/>
    <w:rsid w:val="00472257"/>
    <w:rsid w:val="00472E49"/>
    <w:rsid w:val="004732BB"/>
    <w:rsid w:val="0047372A"/>
    <w:rsid w:val="004746AB"/>
    <w:rsid w:val="00474C60"/>
    <w:rsid w:val="00475388"/>
    <w:rsid w:val="00475944"/>
    <w:rsid w:val="00475DF0"/>
    <w:rsid w:val="00476525"/>
    <w:rsid w:val="004772E2"/>
    <w:rsid w:val="0047739F"/>
    <w:rsid w:val="00477710"/>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27D4"/>
    <w:rsid w:val="004B2F20"/>
    <w:rsid w:val="004B3EC7"/>
    <w:rsid w:val="004B41AD"/>
    <w:rsid w:val="004B5664"/>
    <w:rsid w:val="004B7B84"/>
    <w:rsid w:val="004C12E9"/>
    <w:rsid w:val="004C2107"/>
    <w:rsid w:val="004C4E86"/>
    <w:rsid w:val="004C5FC6"/>
    <w:rsid w:val="004C6435"/>
    <w:rsid w:val="004C649B"/>
    <w:rsid w:val="004C6524"/>
    <w:rsid w:val="004C677A"/>
    <w:rsid w:val="004C7907"/>
    <w:rsid w:val="004C7B9C"/>
    <w:rsid w:val="004C7D55"/>
    <w:rsid w:val="004D089A"/>
    <w:rsid w:val="004D119B"/>
    <w:rsid w:val="004D2CE7"/>
    <w:rsid w:val="004D3184"/>
    <w:rsid w:val="004D5030"/>
    <w:rsid w:val="004D6045"/>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F0070"/>
    <w:rsid w:val="004F00BC"/>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9F7"/>
    <w:rsid w:val="00503D4C"/>
    <w:rsid w:val="00504C0C"/>
    <w:rsid w:val="00504E48"/>
    <w:rsid w:val="005070FF"/>
    <w:rsid w:val="00507695"/>
    <w:rsid w:val="00507723"/>
    <w:rsid w:val="005122FC"/>
    <w:rsid w:val="00512BBC"/>
    <w:rsid w:val="005134FB"/>
    <w:rsid w:val="005135FD"/>
    <w:rsid w:val="0051366C"/>
    <w:rsid w:val="00515C2C"/>
    <w:rsid w:val="0051684F"/>
    <w:rsid w:val="00516A92"/>
    <w:rsid w:val="00516B9F"/>
    <w:rsid w:val="00517693"/>
    <w:rsid w:val="00517814"/>
    <w:rsid w:val="005205AB"/>
    <w:rsid w:val="005205E8"/>
    <w:rsid w:val="005211CD"/>
    <w:rsid w:val="00523378"/>
    <w:rsid w:val="005235B1"/>
    <w:rsid w:val="00524FF0"/>
    <w:rsid w:val="0052550F"/>
    <w:rsid w:val="005265E4"/>
    <w:rsid w:val="00526C0F"/>
    <w:rsid w:val="0052702A"/>
    <w:rsid w:val="00527960"/>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8F2"/>
    <w:rsid w:val="00567E8F"/>
    <w:rsid w:val="005702D6"/>
    <w:rsid w:val="00572588"/>
    <w:rsid w:val="0057298A"/>
    <w:rsid w:val="00573A50"/>
    <w:rsid w:val="005746D2"/>
    <w:rsid w:val="00574E8A"/>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33AA"/>
    <w:rsid w:val="005940AA"/>
    <w:rsid w:val="00594614"/>
    <w:rsid w:val="00594E10"/>
    <w:rsid w:val="005958A4"/>
    <w:rsid w:val="00596306"/>
    <w:rsid w:val="00596487"/>
    <w:rsid w:val="00596EE8"/>
    <w:rsid w:val="005978D1"/>
    <w:rsid w:val="005A0809"/>
    <w:rsid w:val="005A0B91"/>
    <w:rsid w:val="005A0BB9"/>
    <w:rsid w:val="005A1494"/>
    <w:rsid w:val="005A1998"/>
    <w:rsid w:val="005A3590"/>
    <w:rsid w:val="005A4A1C"/>
    <w:rsid w:val="005A5BD8"/>
    <w:rsid w:val="005A692A"/>
    <w:rsid w:val="005A6AB8"/>
    <w:rsid w:val="005A7580"/>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78B0"/>
    <w:rsid w:val="005C7B95"/>
    <w:rsid w:val="005D01EB"/>
    <w:rsid w:val="005D0DFB"/>
    <w:rsid w:val="005D1112"/>
    <w:rsid w:val="005D236E"/>
    <w:rsid w:val="005D237C"/>
    <w:rsid w:val="005D25E2"/>
    <w:rsid w:val="005D25FF"/>
    <w:rsid w:val="005D2632"/>
    <w:rsid w:val="005D38E0"/>
    <w:rsid w:val="005D3F32"/>
    <w:rsid w:val="005D4E3E"/>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4869"/>
    <w:rsid w:val="005F4BFD"/>
    <w:rsid w:val="005F5311"/>
    <w:rsid w:val="005F5748"/>
    <w:rsid w:val="005F5834"/>
    <w:rsid w:val="005F5E11"/>
    <w:rsid w:val="005F7D21"/>
    <w:rsid w:val="006003E5"/>
    <w:rsid w:val="00600E63"/>
    <w:rsid w:val="00601561"/>
    <w:rsid w:val="00601E55"/>
    <w:rsid w:val="00602034"/>
    <w:rsid w:val="00602037"/>
    <w:rsid w:val="006029DD"/>
    <w:rsid w:val="00602C6A"/>
    <w:rsid w:val="00603AF5"/>
    <w:rsid w:val="00606C66"/>
    <w:rsid w:val="00610145"/>
    <w:rsid w:val="00610D1F"/>
    <w:rsid w:val="006123C6"/>
    <w:rsid w:val="00612C02"/>
    <w:rsid w:val="00612CDD"/>
    <w:rsid w:val="00614D80"/>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9ED"/>
    <w:rsid w:val="00627337"/>
    <w:rsid w:val="00630069"/>
    <w:rsid w:val="00630583"/>
    <w:rsid w:val="00630D2E"/>
    <w:rsid w:val="00630D39"/>
    <w:rsid w:val="00631E19"/>
    <w:rsid w:val="0063298B"/>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61A1"/>
    <w:rsid w:val="00647422"/>
    <w:rsid w:val="00647959"/>
    <w:rsid w:val="00647E6B"/>
    <w:rsid w:val="00650E84"/>
    <w:rsid w:val="006515D7"/>
    <w:rsid w:val="0065198B"/>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940"/>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C9"/>
    <w:rsid w:val="0069493F"/>
    <w:rsid w:val="0069596E"/>
    <w:rsid w:val="00696566"/>
    <w:rsid w:val="006966BA"/>
    <w:rsid w:val="0069722D"/>
    <w:rsid w:val="006A0052"/>
    <w:rsid w:val="006A0A9E"/>
    <w:rsid w:val="006A1C6D"/>
    <w:rsid w:val="006A1E8E"/>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6FC"/>
    <w:rsid w:val="006B620A"/>
    <w:rsid w:val="006B649F"/>
    <w:rsid w:val="006B6DDA"/>
    <w:rsid w:val="006B73D9"/>
    <w:rsid w:val="006B7B1D"/>
    <w:rsid w:val="006B7DF0"/>
    <w:rsid w:val="006B7E74"/>
    <w:rsid w:val="006C0D75"/>
    <w:rsid w:val="006C1C48"/>
    <w:rsid w:val="006C3C1D"/>
    <w:rsid w:val="006C41FF"/>
    <w:rsid w:val="006C5145"/>
    <w:rsid w:val="006C65A8"/>
    <w:rsid w:val="006C70BF"/>
    <w:rsid w:val="006C78E9"/>
    <w:rsid w:val="006D05AD"/>
    <w:rsid w:val="006D0EC1"/>
    <w:rsid w:val="006D16F8"/>
    <w:rsid w:val="006D1813"/>
    <w:rsid w:val="006D24A9"/>
    <w:rsid w:val="006D2AF3"/>
    <w:rsid w:val="006D3CE9"/>
    <w:rsid w:val="006D3D3E"/>
    <w:rsid w:val="006D4D79"/>
    <w:rsid w:val="006D4FBD"/>
    <w:rsid w:val="006D53F6"/>
    <w:rsid w:val="006D5879"/>
    <w:rsid w:val="006D63FD"/>
    <w:rsid w:val="006D65B4"/>
    <w:rsid w:val="006D754A"/>
    <w:rsid w:val="006D7B9C"/>
    <w:rsid w:val="006E048F"/>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B9C"/>
    <w:rsid w:val="006F37F7"/>
    <w:rsid w:val="006F4A61"/>
    <w:rsid w:val="006F4ADC"/>
    <w:rsid w:val="006F643D"/>
    <w:rsid w:val="006F675C"/>
    <w:rsid w:val="006F6D13"/>
    <w:rsid w:val="006F7759"/>
    <w:rsid w:val="006F7D95"/>
    <w:rsid w:val="007009FE"/>
    <w:rsid w:val="00700D41"/>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76C"/>
    <w:rsid w:val="00711C5A"/>
    <w:rsid w:val="00712B66"/>
    <w:rsid w:val="00712C9D"/>
    <w:rsid w:val="007132B7"/>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6730"/>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7769"/>
    <w:rsid w:val="0076067E"/>
    <w:rsid w:val="00761BFD"/>
    <w:rsid w:val="00761D5C"/>
    <w:rsid w:val="00761FE5"/>
    <w:rsid w:val="00762476"/>
    <w:rsid w:val="00762A18"/>
    <w:rsid w:val="00763AE2"/>
    <w:rsid w:val="0076467D"/>
    <w:rsid w:val="00766D90"/>
    <w:rsid w:val="00766F18"/>
    <w:rsid w:val="00767C19"/>
    <w:rsid w:val="00767D4E"/>
    <w:rsid w:val="007708EF"/>
    <w:rsid w:val="00771067"/>
    <w:rsid w:val="00771F84"/>
    <w:rsid w:val="007722ED"/>
    <w:rsid w:val="0077408B"/>
    <w:rsid w:val="00774AF6"/>
    <w:rsid w:val="00774EC8"/>
    <w:rsid w:val="00776781"/>
    <w:rsid w:val="007776CC"/>
    <w:rsid w:val="00777CE9"/>
    <w:rsid w:val="00780293"/>
    <w:rsid w:val="00780D05"/>
    <w:rsid w:val="0078194E"/>
    <w:rsid w:val="00783C7B"/>
    <w:rsid w:val="0078556C"/>
    <w:rsid w:val="007855C5"/>
    <w:rsid w:val="007855C8"/>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490F"/>
    <w:rsid w:val="00795512"/>
    <w:rsid w:val="00795AB7"/>
    <w:rsid w:val="00795E37"/>
    <w:rsid w:val="00795FFD"/>
    <w:rsid w:val="00796789"/>
    <w:rsid w:val="0079694C"/>
    <w:rsid w:val="00796D89"/>
    <w:rsid w:val="00796DA2"/>
    <w:rsid w:val="0079751B"/>
    <w:rsid w:val="00797D4D"/>
    <w:rsid w:val="007A0415"/>
    <w:rsid w:val="007A06BA"/>
    <w:rsid w:val="007A0D58"/>
    <w:rsid w:val="007A17AE"/>
    <w:rsid w:val="007A278A"/>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A7E76"/>
    <w:rsid w:val="007B03C5"/>
    <w:rsid w:val="007B12AC"/>
    <w:rsid w:val="007B1BC5"/>
    <w:rsid w:val="007B217A"/>
    <w:rsid w:val="007B26E1"/>
    <w:rsid w:val="007B3045"/>
    <w:rsid w:val="007B4C0F"/>
    <w:rsid w:val="007B5E25"/>
    <w:rsid w:val="007B6E0E"/>
    <w:rsid w:val="007C0273"/>
    <w:rsid w:val="007C155E"/>
    <w:rsid w:val="007C27FB"/>
    <w:rsid w:val="007C2CBB"/>
    <w:rsid w:val="007C309C"/>
    <w:rsid w:val="007C4209"/>
    <w:rsid w:val="007C5EB9"/>
    <w:rsid w:val="007C7449"/>
    <w:rsid w:val="007C7DEC"/>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3C59"/>
    <w:rsid w:val="00804BCF"/>
    <w:rsid w:val="00804FA4"/>
    <w:rsid w:val="00805275"/>
    <w:rsid w:val="00806A62"/>
    <w:rsid w:val="00806E47"/>
    <w:rsid w:val="00806E55"/>
    <w:rsid w:val="008075CE"/>
    <w:rsid w:val="008115F7"/>
    <w:rsid w:val="00812179"/>
    <w:rsid w:val="008124E2"/>
    <w:rsid w:val="00813411"/>
    <w:rsid w:val="00813928"/>
    <w:rsid w:val="00815321"/>
    <w:rsid w:val="008162BF"/>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351"/>
    <w:rsid w:val="008333B7"/>
    <w:rsid w:val="008336EC"/>
    <w:rsid w:val="008337B9"/>
    <w:rsid w:val="008340E4"/>
    <w:rsid w:val="00834FD2"/>
    <w:rsid w:val="00835084"/>
    <w:rsid w:val="00835184"/>
    <w:rsid w:val="00835569"/>
    <w:rsid w:val="00835802"/>
    <w:rsid w:val="00835942"/>
    <w:rsid w:val="00836095"/>
    <w:rsid w:val="00836295"/>
    <w:rsid w:val="008370D2"/>
    <w:rsid w:val="008370EE"/>
    <w:rsid w:val="008379C0"/>
    <w:rsid w:val="00837CBA"/>
    <w:rsid w:val="0084093F"/>
    <w:rsid w:val="0084098A"/>
    <w:rsid w:val="00840DB0"/>
    <w:rsid w:val="00840EDE"/>
    <w:rsid w:val="008418A5"/>
    <w:rsid w:val="00843548"/>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465C"/>
    <w:rsid w:val="00854967"/>
    <w:rsid w:val="0085540B"/>
    <w:rsid w:val="00855511"/>
    <w:rsid w:val="0085582C"/>
    <w:rsid w:val="00855FD3"/>
    <w:rsid w:val="00857086"/>
    <w:rsid w:val="00857572"/>
    <w:rsid w:val="00857EB9"/>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71C7"/>
    <w:rsid w:val="00867EB8"/>
    <w:rsid w:val="008700B9"/>
    <w:rsid w:val="00870335"/>
    <w:rsid w:val="00870AA2"/>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3BA"/>
    <w:rsid w:val="00892DB5"/>
    <w:rsid w:val="0089474B"/>
    <w:rsid w:val="00894B61"/>
    <w:rsid w:val="00895255"/>
    <w:rsid w:val="00895763"/>
    <w:rsid w:val="00895DF1"/>
    <w:rsid w:val="00896645"/>
    <w:rsid w:val="00896D86"/>
    <w:rsid w:val="008975D2"/>
    <w:rsid w:val="008A035B"/>
    <w:rsid w:val="008A0459"/>
    <w:rsid w:val="008A1218"/>
    <w:rsid w:val="008A15B6"/>
    <w:rsid w:val="008A1A6E"/>
    <w:rsid w:val="008A202A"/>
    <w:rsid w:val="008A36C9"/>
    <w:rsid w:val="008A44EE"/>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06"/>
    <w:rsid w:val="008C2A46"/>
    <w:rsid w:val="008C4278"/>
    <w:rsid w:val="008C51C0"/>
    <w:rsid w:val="008C520E"/>
    <w:rsid w:val="008C563B"/>
    <w:rsid w:val="008C567E"/>
    <w:rsid w:val="008C5DEE"/>
    <w:rsid w:val="008C6285"/>
    <w:rsid w:val="008C7182"/>
    <w:rsid w:val="008C7268"/>
    <w:rsid w:val="008C7CA5"/>
    <w:rsid w:val="008C7D9D"/>
    <w:rsid w:val="008D0416"/>
    <w:rsid w:val="008D13C6"/>
    <w:rsid w:val="008D1605"/>
    <w:rsid w:val="008D1B04"/>
    <w:rsid w:val="008D2412"/>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6241"/>
    <w:rsid w:val="008E7209"/>
    <w:rsid w:val="008E7448"/>
    <w:rsid w:val="008F11BB"/>
    <w:rsid w:val="008F16FF"/>
    <w:rsid w:val="008F182F"/>
    <w:rsid w:val="008F1E95"/>
    <w:rsid w:val="008F2304"/>
    <w:rsid w:val="008F2536"/>
    <w:rsid w:val="008F452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42B2"/>
    <w:rsid w:val="00914514"/>
    <w:rsid w:val="00914549"/>
    <w:rsid w:val="00914C08"/>
    <w:rsid w:val="00914F2F"/>
    <w:rsid w:val="00915E1C"/>
    <w:rsid w:val="00916057"/>
    <w:rsid w:val="00916AD1"/>
    <w:rsid w:val="00917637"/>
    <w:rsid w:val="00917FEE"/>
    <w:rsid w:val="00920011"/>
    <w:rsid w:val="0092023D"/>
    <w:rsid w:val="0092039A"/>
    <w:rsid w:val="00920472"/>
    <w:rsid w:val="00921251"/>
    <w:rsid w:val="00921861"/>
    <w:rsid w:val="0092189E"/>
    <w:rsid w:val="009219FD"/>
    <w:rsid w:val="00921DF7"/>
    <w:rsid w:val="009257B0"/>
    <w:rsid w:val="009258BD"/>
    <w:rsid w:val="00925DEB"/>
    <w:rsid w:val="009263C0"/>
    <w:rsid w:val="0092746B"/>
    <w:rsid w:val="009302D4"/>
    <w:rsid w:val="009307F2"/>
    <w:rsid w:val="00930CEC"/>
    <w:rsid w:val="00930F4A"/>
    <w:rsid w:val="00931294"/>
    <w:rsid w:val="0093149C"/>
    <w:rsid w:val="00932036"/>
    <w:rsid w:val="0093375E"/>
    <w:rsid w:val="00933BEF"/>
    <w:rsid w:val="00933DD6"/>
    <w:rsid w:val="00934210"/>
    <w:rsid w:val="00935223"/>
    <w:rsid w:val="0093787E"/>
    <w:rsid w:val="00940B95"/>
    <w:rsid w:val="00940EC7"/>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48E4"/>
    <w:rsid w:val="00975EC7"/>
    <w:rsid w:val="00976D65"/>
    <w:rsid w:val="00976ECD"/>
    <w:rsid w:val="00977CE6"/>
    <w:rsid w:val="009807AC"/>
    <w:rsid w:val="00980C18"/>
    <w:rsid w:val="009810E9"/>
    <w:rsid w:val="0098141C"/>
    <w:rsid w:val="00981AA9"/>
    <w:rsid w:val="00981C44"/>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48ED"/>
    <w:rsid w:val="00994BF2"/>
    <w:rsid w:val="00995614"/>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1E1"/>
    <w:rsid w:val="009B020D"/>
    <w:rsid w:val="009B072F"/>
    <w:rsid w:val="009B07A1"/>
    <w:rsid w:val="009B09CC"/>
    <w:rsid w:val="009B173B"/>
    <w:rsid w:val="009B17F2"/>
    <w:rsid w:val="009B1A1A"/>
    <w:rsid w:val="009B2608"/>
    <w:rsid w:val="009B2A71"/>
    <w:rsid w:val="009B4027"/>
    <w:rsid w:val="009B4975"/>
    <w:rsid w:val="009B561F"/>
    <w:rsid w:val="009B5773"/>
    <w:rsid w:val="009B5D2D"/>
    <w:rsid w:val="009B5F4D"/>
    <w:rsid w:val="009B6C97"/>
    <w:rsid w:val="009C058F"/>
    <w:rsid w:val="009C0C5A"/>
    <w:rsid w:val="009C2B3E"/>
    <w:rsid w:val="009C2EA2"/>
    <w:rsid w:val="009C3449"/>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417F"/>
    <w:rsid w:val="009D45E5"/>
    <w:rsid w:val="009D4B85"/>
    <w:rsid w:val="009D535B"/>
    <w:rsid w:val="009D630B"/>
    <w:rsid w:val="009D6CAA"/>
    <w:rsid w:val="009D6CF6"/>
    <w:rsid w:val="009D6E69"/>
    <w:rsid w:val="009E02DC"/>
    <w:rsid w:val="009E0DFF"/>
    <w:rsid w:val="009E2040"/>
    <w:rsid w:val="009E465A"/>
    <w:rsid w:val="009E49AE"/>
    <w:rsid w:val="009E4DC7"/>
    <w:rsid w:val="009E660A"/>
    <w:rsid w:val="009E6B64"/>
    <w:rsid w:val="009E72E5"/>
    <w:rsid w:val="009E7A7F"/>
    <w:rsid w:val="009F08FB"/>
    <w:rsid w:val="009F19AA"/>
    <w:rsid w:val="009F1B8A"/>
    <w:rsid w:val="009F1F2D"/>
    <w:rsid w:val="009F46C8"/>
    <w:rsid w:val="009F4F2A"/>
    <w:rsid w:val="009F660B"/>
    <w:rsid w:val="009F671E"/>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5951"/>
    <w:rsid w:val="00A16179"/>
    <w:rsid w:val="00A16A1A"/>
    <w:rsid w:val="00A16D6D"/>
    <w:rsid w:val="00A17C75"/>
    <w:rsid w:val="00A211C8"/>
    <w:rsid w:val="00A2121E"/>
    <w:rsid w:val="00A21EAC"/>
    <w:rsid w:val="00A221DE"/>
    <w:rsid w:val="00A22CB2"/>
    <w:rsid w:val="00A23138"/>
    <w:rsid w:val="00A237BF"/>
    <w:rsid w:val="00A23940"/>
    <w:rsid w:val="00A23ECC"/>
    <w:rsid w:val="00A24024"/>
    <w:rsid w:val="00A24CD3"/>
    <w:rsid w:val="00A25461"/>
    <w:rsid w:val="00A262BC"/>
    <w:rsid w:val="00A26367"/>
    <w:rsid w:val="00A2678A"/>
    <w:rsid w:val="00A269E1"/>
    <w:rsid w:val="00A27C1C"/>
    <w:rsid w:val="00A30F6A"/>
    <w:rsid w:val="00A32AEA"/>
    <w:rsid w:val="00A32F32"/>
    <w:rsid w:val="00A3394A"/>
    <w:rsid w:val="00A33E80"/>
    <w:rsid w:val="00A33EFE"/>
    <w:rsid w:val="00A342E1"/>
    <w:rsid w:val="00A350E8"/>
    <w:rsid w:val="00A358BC"/>
    <w:rsid w:val="00A36B8E"/>
    <w:rsid w:val="00A40554"/>
    <w:rsid w:val="00A4148D"/>
    <w:rsid w:val="00A44D0E"/>
    <w:rsid w:val="00A4501A"/>
    <w:rsid w:val="00A45F29"/>
    <w:rsid w:val="00A4621D"/>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77D76"/>
    <w:rsid w:val="00A811F1"/>
    <w:rsid w:val="00A8242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0F3"/>
    <w:rsid w:val="00AA5688"/>
    <w:rsid w:val="00AA59A6"/>
    <w:rsid w:val="00AA6299"/>
    <w:rsid w:val="00AA6E05"/>
    <w:rsid w:val="00AB0262"/>
    <w:rsid w:val="00AB041A"/>
    <w:rsid w:val="00AB14A1"/>
    <w:rsid w:val="00AB19DB"/>
    <w:rsid w:val="00AB202A"/>
    <w:rsid w:val="00AB3D34"/>
    <w:rsid w:val="00AB4486"/>
    <w:rsid w:val="00AB5555"/>
    <w:rsid w:val="00AB55AD"/>
    <w:rsid w:val="00AB5D1B"/>
    <w:rsid w:val="00AB6918"/>
    <w:rsid w:val="00AB6B40"/>
    <w:rsid w:val="00AB740A"/>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68E2"/>
    <w:rsid w:val="00AE7EE4"/>
    <w:rsid w:val="00AF0157"/>
    <w:rsid w:val="00AF2EC7"/>
    <w:rsid w:val="00AF3AC0"/>
    <w:rsid w:val="00AF4F4A"/>
    <w:rsid w:val="00AF78F1"/>
    <w:rsid w:val="00B00C24"/>
    <w:rsid w:val="00B00F93"/>
    <w:rsid w:val="00B01BBE"/>
    <w:rsid w:val="00B03F92"/>
    <w:rsid w:val="00B055D8"/>
    <w:rsid w:val="00B06CD6"/>
    <w:rsid w:val="00B06EBC"/>
    <w:rsid w:val="00B103B1"/>
    <w:rsid w:val="00B11D2D"/>
    <w:rsid w:val="00B123F0"/>
    <w:rsid w:val="00B12891"/>
    <w:rsid w:val="00B12B8B"/>
    <w:rsid w:val="00B146C1"/>
    <w:rsid w:val="00B146E7"/>
    <w:rsid w:val="00B14C2D"/>
    <w:rsid w:val="00B156DF"/>
    <w:rsid w:val="00B15ABB"/>
    <w:rsid w:val="00B16973"/>
    <w:rsid w:val="00B2036A"/>
    <w:rsid w:val="00B206C2"/>
    <w:rsid w:val="00B21057"/>
    <w:rsid w:val="00B2202B"/>
    <w:rsid w:val="00B23422"/>
    <w:rsid w:val="00B24948"/>
    <w:rsid w:val="00B24CBD"/>
    <w:rsid w:val="00B259B1"/>
    <w:rsid w:val="00B25CA3"/>
    <w:rsid w:val="00B26E57"/>
    <w:rsid w:val="00B30028"/>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926"/>
    <w:rsid w:val="00B51F9A"/>
    <w:rsid w:val="00B533CF"/>
    <w:rsid w:val="00B54DA7"/>
    <w:rsid w:val="00B55194"/>
    <w:rsid w:val="00B600C6"/>
    <w:rsid w:val="00B60167"/>
    <w:rsid w:val="00B60C35"/>
    <w:rsid w:val="00B60FC0"/>
    <w:rsid w:val="00B61665"/>
    <w:rsid w:val="00B63528"/>
    <w:rsid w:val="00B63DAF"/>
    <w:rsid w:val="00B63E98"/>
    <w:rsid w:val="00B65754"/>
    <w:rsid w:val="00B661AA"/>
    <w:rsid w:val="00B66242"/>
    <w:rsid w:val="00B670D3"/>
    <w:rsid w:val="00B67958"/>
    <w:rsid w:val="00B701D1"/>
    <w:rsid w:val="00B70482"/>
    <w:rsid w:val="00B716BB"/>
    <w:rsid w:val="00B716FD"/>
    <w:rsid w:val="00B7276D"/>
    <w:rsid w:val="00B734C2"/>
    <w:rsid w:val="00B73BDA"/>
    <w:rsid w:val="00B74053"/>
    <w:rsid w:val="00B747D1"/>
    <w:rsid w:val="00B765A0"/>
    <w:rsid w:val="00B76C02"/>
    <w:rsid w:val="00B77BD2"/>
    <w:rsid w:val="00B80EAF"/>
    <w:rsid w:val="00B814CB"/>
    <w:rsid w:val="00B81B6A"/>
    <w:rsid w:val="00B820F4"/>
    <w:rsid w:val="00B8272D"/>
    <w:rsid w:val="00B835E0"/>
    <w:rsid w:val="00B8396D"/>
    <w:rsid w:val="00B90331"/>
    <w:rsid w:val="00B903ED"/>
    <w:rsid w:val="00B90B2D"/>
    <w:rsid w:val="00B90E79"/>
    <w:rsid w:val="00B9127F"/>
    <w:rsid w:val="00B91B50"/>
    <w:rsid w:val="00B9349E"/>
    <w:rsid w:val="00B935A1"/>
    <w:rsid w:val="00B94E01"/>
    <w:rsid w:val="00B95DAD"/>
    <w:rsid w:val="00B96C0C"/>
    <w:rsid w:val="00B9734D"/>
    <w:rsid w:val="00B97732"/>
    <w:rsid w:val="00B97933"/>
    <w:rsid w:val="00BA00F3"/>
    <w:rsid w:val="00BA1096"/>
    <w:rsid w:val="00BA27F4"/>
    <w:rsid w:val="00BA2E40"/>
    <w:rsid w:val="00BA3CB7"/>
    <w:rsid w:val="00BA41DE"/>
    <w:rsid w:val="00BA556C"/>
    <w:rsid w:val="00BB0F31"/>
    <w:rsid w:val="00BB15AB"/>
    <w:rsid w:val="00BB189B"/>
    <w:rsid w:val="00BB1D21"/>
    <w:rsid w:val="00BB2E51"/>
    <w:rsid w:val="00BB3C0C"/>
    <w:rsid w:val="00BB4BEA"/>
    <w:rsid w:val="00BB4C1A"/>
    <w:rsid w:val="00BB4E78"/>
    <w:rsid w:val="00BB50AB"/>
    <w:rsid w:val="00BB6664"/>
    <w:rsid w:val="00BB6AE6"/>
    <w:rsid w:val="00BB7190"/>
    <w:rsid w:val="00BC01FC"/>
    <w:rsid w:val="00BC1F79"/>
    <w:rsid w:val="00BC2201"/>
    <w:rsid w:val="00BC3C7A"/>
    <w:rsid w:val="00BC3D98"/>
    <w:rsid w:val="00BC435D"/>
    <w:rsid w:val="00BC48E5"/>
    <w:rsid w:val="00BC7DC6"/>
    <w:rsid w:val="00BD0DC5"/>
    <w:rsid w:val="00BD1039"/>
    <w:rsid w:val="00BD13B5"/>
    <w:rsid w:val="00BD2EFC"/>
    <w:rsid w:val="00BD340E"/>
    <w:rsid w:val="00BD60AD"/>
    <w:rsid w:val="00BD68E9"/>
    <w:rsid w:val="00BD6C02"/>
    <w:rsid w:val="00BD7862"/>
    <w:rsid w:val="00BE0328"/>
    <w:rsid w:val="00BE1244"/>
    <w:rsid w:val="00BE165D"/>
    <w:rsid w:val="00BE2394"/>
    <w:rsid w:val="00BE2702"/>
    <w:rsid w:val="00BE4326"/>
    <w:rsid w:val="00BE57ED"/>
    <w:rsid w:val="00BE5F4F"/>
    <w:rsid w:val="00BE60DB"/>
    <w:rsid w:val="00BE79A1"/>
    <w:rsid w:val="00BF0191"/>
    <w:rsid w:val="00BF13EC"/>
    <w:rsid w:val="00BF1C07"/>
    <w:rsid w:val="00BF3DEE"/>
    <w:rsid w:val="00BF40AE"/>
    <w:rsid w:val="00BF54AC"/>
    <w:rsid w:val="00BF54BD"/>
    <w:rsid w:val="00BF5D67"/>
    <w:rsid w:val="00BF6B8E"/>
    <w:rsid w:val="00BF78A4"/>
    <w:rsid w:val="00C025A5"/>
    <w:rsid w:val="00C03C78"/>
    <w:rsid w:val="00C04CF8"/>
    <w:rsid w:val="00C04FD3"/>
    <w:rsid w:val="00C05C8A"/>
    <w:rsid w:val="00C065A2"/>
    <w:rsid w:val="00C0671B"/>
    <w:rsid w:val="00C07919"/>
    <w:rsid w:val="00C103F9"/>
    <w:rsid w:val="00C104AC"/>
    <w:rsid w:val="00C110E1"/>
    <w:rsid w:val="00C1198F"/>
    <w:rsid w:val="00C11FA1"/>
    <w:rsid w:val="00C12E21"/>
    <w:rsid w:val="00C12E65"/>
    <w:rsid w:val="00C13C20"/>
    <w:rsid w:val="00C13F74"/>
    <w:rsid w:val="00C146D3"/>
    <w:rsid w:val="00C14917"/>
    <w:rsid w:val="00C16BE0"/>
    <w:rsid w:val="00C20854"/>
    <w:rsid w:val="00C21C39"/>
    <w:rsid w:val="00C2325C"/>
    <w:rsid w:val="00C236A4"/>
    <w:rsid w:val="00C239ED"/>
    <w:rsid w:val="00C24593"/>
    <w:rsid w:val="00C24D9D"/>
    <w:rsid w:val="00C25CF3"/>
    <w:rsid w:val="00C263E9"/>
    <w:rsid w:val="00C2775A"/>
    <w:rsid w:val="00C278A6"/>
    <w:rsid w:val="00C27986"/>
    <w:rsid w:val="00C27E71"/>
    <w:rsid w:val="00C3063A"/>
    <w:rsid w:val="00C30996"/>
    <w:rsid w:val="00C30BAD"/>
    <w:rsid w:val="00C31E8F"/>
    <w:rsid w:val="00C335DA"/>
    <w:rsid w:val="00C33D3E"/>
    <w:rsid w:val="00C351B7"/>
    <w:rsid w:val="00C35417"/>
    <w:rsid w:val="00C362E0"/>
    <w:rsid w:val="00C36ED4"/>
    <w:rsid w:val="00C376CC"/>
    <w:rsid w:val="00C37AAA"/>
    <w:rsid w:val="00C400F7"/>
    <w:rsid w:val="00C40EC6"/>
    <w:rsid w:val="00C419AD"/>
    <w:rsid w:val="00C41B5F"/>
    <w:rsid w:val="00C4293C"/>
    <w:rsid w:val="00C437BA"/>
    <w:rsid w:val="00C44395"/>
    <w:rsid w:val="00C443B3"/>
    <w:rsid w:val="00C4480E"/>
    <w:rsid w:val="00C453B9"/>
    <w:rsid w:val="00C45CE8"/>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AB8"/>
    <w:rsid w:val="00C61F3A"/>
    <w:rsid w:val="00C629CB"/>
    <w:rsid w:val="00C62B75"/>
    <w:rsid w:val="00C646C4"/>
    <w:rsid w:val="00C652D1"/>
    <w:rsid w:val="00C657B5"/>
    <w:rsid w:val="00C661E1"/>
    <w:rsid w:val="00C66686"/>
    <w:rsid w:val="00C678C4"/>
    <w:rsid w:val="00C71215"/>
    <w:rsid w:val="00C7216B"/>
    <w:rsid w:val="00C727BE"/>
    <w:rsid w:val="00C732A9"/>
    <w:rsid w:val="00C73448"/>
    <w:rsid w:val="00C73E2E"/>
    <w:rsid w:val="00C74546"/>
    <w:rsid w:val="00C748E2"/>
    <w:rsid w:val="00C76292"/>
    <w:rsid w:val="00C7643C"/>
    <w:rsid w:val="00C7776C"/>
    <w:rsid w:val="00C8398D"/>
    <w:rsid w:val="00C84BC2"/>
    <w:rsid w:val="00C85139"/>
    <w:rsid w:val="00C85657"/>
    <w:rsid w:val="00C86D24"/>
    <w:rsid w:val="00C91C88"/>
    <w:rsid w:val="00C939C3"/>
    <w:rsid w:val="00C93C2B"/>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6F4B"/>
    <w:rsid w:val="00CA7558"/>
    <w:rsid w:val="00CA785F"/>
    <w:rsid w:val="00CA792A"/>
    <w:rsid w:val="00CA7949"/>
    <w:rsid w:val="00CB0161"/>
    <w:rsid w:val="00CB0C6E"/>
    <w:rsid w:val="00CB0C89"/>
    <w:rsid w:val="00CB226B"/>
    <w:rsid w:val="00CB229B"/>
    <w:rsid w:val="00CB2431"/>
    <w:rsid w:val="00CB2BB1"/>
    <w:rsid w:val="00CB33B4"/>
    <w:rsid w:val="00CB3D93"/>
    <w:rsid w:val="00CB4441"/>
    <w:rsid w:val="00CB4B1A"/>
    <w:rsid w:val="00CB4E1F"/>
    <w:rsid w:val="00CB50BA"/>
    <w:rsid w:val="00CC04A5"/>
    <w:rsid w:val="00CC152E"/>
    <w:rsid w:val="00CC1629"/>
    <w:rsid w:val="00CC237A"/>
    <w:rsid w:val="00CC2493"/>
    <w:rsid w:val="00CC26F7"/>
    <w:rsid w:val="00CC3222"/>
    <w:rsid w:val="00CC35F1"/>
    <w:rsid w:val="00CC35FF"/>
    <w:rsid w:val="00CC3FD6"/>
    <w:rsid w:val="00CC40B8"/>
    <w:rsid w:val="00CD0E6E"/>
    <w:rsid w:val="00CD19B9"/>
    <w:rsid w:val="00CD23AE"/>
    <w:rsid w:val="00CD2472"/>
    <w:rsid w:val="00CD27DF"/>
    <w:rsid w:val="00CD2D8A"/>
    <w:rsid w:val="00CD3BAC"/>
    <w:rsid w:val="00CD3FF2"/>
    <w:rsid w:val="00CD4A65"/>
    <w:rsid w:val="00CD531F"/>
    <w:rsid w:val="00CD53D1"/>
    <w:rsid w:val="00CD585B"/>
    <w:rsid w:val="00CD6F10"/>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487B"/>
    <w:rsid w:val="00D06776"/>
    <w:rsid w:val="00D06E46"/>
    <w:rsid w:val="00D06F95"/>
    <w:rsid w:val="00D075E1"/>
    <w:rsid w:val="00D10D8A"/>
    <w:rsid w:val="00D1158C"/>
    <w:rsid w:val="00D11600"/>
    <w:rsid w:val="00D119A2"/>
    <w:rsid w:val="00D12E31"/>
    <w:rsid w:val="00D137F9"/>
    <w:rsid w:val="00D1458C"/>
    <w:rsid w:val="00D14605"/>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33C2"/>
    <w:rsid w:val="00D340E2"/>
    <w:rsid w:val="00D35415"/>
    <w:rsid w:val="00D36887"/>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2AB2"/>
    <w:rsid w:val="00D534C2"/>
    <w:rsid w:val="00D53A18"/>
    <w:rsid w:val="00D5410F"/>
    <w:rsid w:val="00D54D85"/>
    <w:rsid w:val="00D564DF"/>
    <w:rsid w:val="00D576DD"/>
    <w:rsid w:val="00D57CB4"/>
    <w:rsid w:val="00D601E1"/>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62AC"/>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1C85"/>
    <w:rsid w:val="00DA1CC9"/>
    <w:rsid w:val="00DA2E58"/>
    <w:rsid w:val="00DA328E"/>
    <w:rsid w:val="00DA3AA6"/>
    <w:rsid w:val="00DA46C1"/>
    <w:rsid w:val="00DA5100"/>
    <w:rsid w:val="00DA70DD"/>
    <w:rsid w:val="00DB088F"/>
    <w:rsid w:val="00DB0B4A"/>
    <w:rsid w:val="00DB1487"/>
    <w:rsid w:val="00DB19B4"/>
    <w:rsid w:val="00DB19F1"/>
    <w:rsid w:val="00DB26AE"/>
    <w:rsid w:val="00DB32FB"/>
    <w:rsid w:val="00DB42AE"/>
    <w:rsid w:val="00DB4411"/>
    <w:rsid w:val="00DB466D"/>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AFD"/>
    <w:rsid w:val="00DC4D87"/>
    <w:rsid w:val="00DC4D8A"/>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30A"/>
    <w:rsid w:val="00DD686C"/>
    <w:rsid w:val="00DD6E86"/>
    <w:rsid w:val="00DD761B"/>
    <w:rsid w:val="00DE0E5D"/>
    <w:rsid w:val="00DE0FE2"/>
    <w:rsid w:val="00DE2348"/>
    <w:rsid w:val="00DE447F"/>
    <w:rsid w:val="00DE48F0"/>
    <w:rsid w:val="00DE4A77"/>
    <w:rsid w:val="00DE68EE"/>
    <w:rsid w:val="00DE6D24"/>
    <w:rsid w:val="00DE7285"/>
    <w:rsid w:val="00DE7C40"/>
    <w:rsid w:val="00DF0EA5"/>
    <w:rsid w:val="00DF1F1D"/>
    <w:rsid w:val="00DF23A5"/>
    <w:rsid w:val="00DF4C6E"/>
    <w:rsid w:val="00DF6666"/>
    <w:rsid w:val="00DF6E24"/>
    <w:rsid w:val="00DF745E"/>
    <w:rsid w:val="00DF762E"/>
    <w:rsid w:val="00DF7E9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D83"/>
    <w:rsid w:val="00E14FA6"/>
    <w:rsid w:val="00E15A0D"/>
    <w:rsid w:val="00E16640"/>
    <w:rsid w:val="00E1740F"/>
    <w:rsid w:val="00E200CF"/>
    <w:rsid w:val="00E21298"/>
    <w:rsid w:val="00E2173C"/>
    <w:rsid w:val="00E21BA4"/>
    <w:rsid w:val="00E24287"/>
    <w:rsid w:val="00E2588E"/>
    <w:rsid w:val="00E25999"/>
    <w:rsid w:val="00E31367"/>
    <w:rsid w:val="00E3181C"/>
    <w:rsid w:val="00E31887"/>
    <w:rsid w:val="00E32EF3"/>
    <w:rsid w:val="00E33E21"/>
    <w:rsid w:val="00E34BC4"/>
    <w:rsid w:val="00E3540C"/>
    <w:rsid w:val="00E36187"/>
    <w:rsid w:val="00E36332"/>
    <w:rsid w:val="00E36C9B"/>
    <w:rsid w:val="00E36ED8"/>
    <w:rsid w:val="00E37638"/>
    <w:rsid w:val="00E37E9D"/>
    <w:rsid w:val="00E41B71"/>
    <w:rsid w:val="00E42569"/>
    <w:rsid w:val="00E42A85"/>
    <w:rsid w:val="00E434A0"/>
    <w:rsid w:val="00E44D30"/>
    <w:rsid w:val="00E4597F"/>
    <w:rsid w:val="00E46CB7"/>
    <w:rsid w:val="00E4723D"/>
    <w:rsid w:val="00E47406"/>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6B7F"/>
    <w:rsid w:val="00E5774E"/>
    <w:rsid w:val="00E57EEB"/>
    <w:rsid w:val="00E60318"/>
    <w:rsid w:val="00E60BA8"/>
    <w:rsid w:val="00E60BD1"/>
    <w:rsid w:val="00E61E25"/>
    <w:rsid w:val="00E61E28"/>
    <w:rsid w:val="00E628E4"/>
    <w:rsid w:val="00E647F7"/>
    <w:rsid w:val="00E6517B"/>
    <w:rsid w:val="00E65FF5"/>
    <w:rsid w:val="00E663C7"/>
    <w:rsid w:val="00E66857"/>
    <w:rsid w:val="00E67556"/>
    <w:rsid w:val="00E67FCF"/>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0FAA"/>
    <w:rsid w:val="00E81779"/>
    <w:rsid w:val="00E8205B"/>
    <w:rsid w:val="00E82444"/>
    <w:rsid w:val="00E8341C"/>
    <w:rsid w:val="00E858B4"/>
    <w:rsid w:val="00E8602B"/>
    <w:rsid w:val="00E86041"/>
    <w:rsid w:val="00E86B5F"/>
    <w:rsid w:val="00E87D05"/>
    <w:rsid w:val="00E91F96"/>
    <w:rsid w:val="00E92E99"/>
    <w:rsid w:val="00E93876"/>
    <w:rsid w:val="00E941E6"/>
    <w:rsid w:val="00E94270"/>
    <w:rsid w:val="00E955F7"/>
    <w:rsid w:val="00E968FD"/>
    <w:rsid w:val="00E96D55"/>
    <w:rsid w:val="00E96F14"/>
    <w:rsid w:val="00E97993"/>
    <w:rsid w:val="00EA0D5D"/>
    <w:rsid w:val="00EA1192"/>
    <w:rsid w:val="00EA1342"/>
    <w:rsid w:val="00EA153F"/>
    <w:rsid w:val="00EA2788"/>
    <w:rsid w:val="00EA2C6E"/>
    <w:rsid w:val="00EA366C"/>
    <w:rsid w:val="00EA4964"/>
    <w:rsid w:val="00EA4F1A"/>
    <w:rsid w:val="00EA5687"/>
    <w:rsid w:val="00EA697D"/>
    <w:rsid w:val="00EA7E2A"/>
    <w:rsid w:val="00EB00B2"/>
    <w:rsid w:val="00EB02DE"/>
    <w:rsid w:val="00EB0A07"/>
    <w:rsid w:val="00EB0C0C"/>
    <w:rsid w:val="00EB1B69"/>
    <w:rsid w:val="00EB1C78"/>
    <w:rsid w:val="00EB3B46"/>
    <w:rsid w:val="00EB3EB7"/>
    <w:rsid w:val="00EB4F08"/>
    <w:rsid w:val="00EC0612"/>
    <w:rsid w:val="00EC1BA8"/>
    <w:rsid w:val="00EC2E07"/>
    <w:rsid w:val="00EC43C7"/>
    <w:rsid w:val="00EC465D"/>
    <w:rsid w:val="00EC5C89"/>
    <w:rsid w:val="00EC66D2"/>
    <w:rsid w:val="00EC67E7"/>
    <w:rsid w:val="00ED0A1B"/>
    <w:rsid w:val="00ED21BC"/>
    <w:rsid w:val="00ED26BD"/>
    <w:rsid w:val="00ED2FEC"/>
    <w:rsid w:val="00ED3173"/>
    <w:rsid w:val="00ED3F67"/>
    <w:rsid w:val="00ED440A"/>
    <w:rsid w:val="00ED58F0"/>
    <w:rsid w:val="00ED7971"/>
    <w:rsid w:val="00EE0748"/>
    <w:rsid w:val="00EE17B4"/>
    <w:rsid w:val="00EE29A0"/>
    <w:rsid w:val="00EE2CEA"/>
    <w:rsid w:val="00EE3365"/>
    <w:rsid w:val="00EE450A"/>
    <w:rsid w:val="00EE48DF"/>
    <w:rsid w:val="00EE4AB3"/>
    <w:rsid w:val="00EE7405"/>
    <w:rsid w:val="00EF033E"/>
    <w:rsid w:val="00EF06EC"/>
    <w:rsid w:val="00EF14FF"/>
    <w:rsid w:val="00EF2BFE"/>
    <w:rsid w:val="00EF2D85"/>
    <w:rsid w:val="00EF402C"/>
    <w:rsid w:val="00EF45E0"/>
    <w:rsid w:val="00EF4816"/>
    <w:rsid w:val="00EF4E6F"/>
    <w:rsid w:val="00EF5C82"/>
    <w:rsid w:val="00EF792D"/>
    <w:rsid w:val="00EF7A15"/>
    <w:rsid w:val="00F01F8C"/>
    <w:rsid w:val="00F02967"/>
    <w:rsid w:val="00F02CF4"/>
    <w:rsid w:val="00F03308"/>
    <w:rsid w:val="00F035A6"/>
    <w:rsid w:val="00F04AD0"/>
    <w:rsid w:val="00F06B9A"/>
    <w:rsid w:val="00F10033"/>
    <w:rsid w:val="00F10848"/>
    <w:rsid w:val="00F10B68"/>
    <w:rsid w:val="00F11B1C"/>
    <w:rsid w:val="00F11F55"/>
    <w:rsid w:val="00F125AC"/>
    <w:rsid w:val="00F12DEC"/>
    <w:rsid w:val="00F13151"/>
    <w:rsid w:val="00F15523"/>
    <w:rsid w:val="00F1554D"/>
    <w:rsid w:val="00F16391"/>
    <w:rsid w:val="00F2062B"/>
    <w:rsid w:val="00F21A18"/>
    <w:rsid w:val="00F21E61"/>
    <w:rsid w:val="00F220EA"/>
    <w:rsid w:val="00F222CD"/>
    <w:rsid w:val="00F22966"/>
    <w:rsid w:val="00F2394E"/>
    <w:rsid w:val="00F2462A"/>
    <w:rsid w:val="00F24EA4"/>
    <w:rsid w:val="00F2625A"/>
    <w:rsid w:val="00F27C8F"/>
    <w:rsid w:val="00F31A03"/>
    <w:rsid w:val="00F3283C"/>
    <w:rsid w:val="00F32D0F"/>
    <w:rsid w:val="00F343F0"/>
    <w:rsid w:val="00F34620"/>
    <w:rsid w:val="00F34AAB"/>
    <w:rsid w:val="00F34C4D"/>
    <w:rsid w:val="00F350CF"/>
    <w:rsid w:val="00F35582"/>
    <w:rsid w:val="00F37004"/>
    <w:rsid w:val="00F376A1"/>
    <w:rsid w:val="00F37B8E"/>
    <w:rsid w:val="00F41746"/>
    <w:rsid w:val="00F41CA4"/>
    <w:rsid w:val="00F41E79"/>
    <w:rsid w:val="00F4315F"/>
    <w:rsid w:val="00F445F6"/>
    <w:rsid w:val="00F4512F"/>
    <w:rsid w:val="00F452B0"/>
    <w:rsid w:val="00F45763"/>
    <w:rsid w:val="00F45BCF"/>
    <w:rsid w:val="00F45BEA"/>
    <w:rsid w:val="00F45CFE"/>
    <w:rsid w:val="00F46877"/>
    <w:rsid w:val="00F47F3E"/>
    <w:rsid w:val="00F52606"/>
    <w:rsid w:val="00F530E6"/>
    <w:rsid w:val="00F532C7"/>
    <w:rsid w:val="00F53430"/>
    <w:rsid w:val="00F54D75"/>
    <w:rsid w:val="00F54EE5"/>
    <w:rsid w:val="00F55358"/>
    <w:rsid w:val="00F5603C"/>
    <w:rsid w:val="00F5605C"/>
    <w:rsid w:val="00F564B9"/>
    <w:rsid w:val="00F57909"/>
    <w:rsid w:val="00F6031D"/>
    <w:rsid w:val="00F612D6"/>
    <w:rsid w:val="00F63400"/>
    <w:rsid w:val="00F636C6"/>
    <w:rsid w:val="00F6433D"/>
    <w:rsid w:val="00F6573E"/>
    <w:rsid w:val="00F662EB"/>
    <w:rsid w:val="00F67606"/>
    <w:rsid w:val="00F70327"/>
    <w:rsid w:val="00F70FEF"/>
    <w:rsid w:val="00F72FA8"/>
    <w:rsid w:val="00F74167"/>
    <w:rsid w:val="00F74674"/>
    <w:rsid w:val="00F75415"/>
    <w:rsid w:val="00F759C9"/>
    <w:rsid w:val="00F773F9"/>
    <w:rsid w:val="00F7768D"/>
    <w:rsid w:val="00F8101C"/>
    <w:rsid w:val="00F817B9"/>
    <w:rsid w:val="00F81CB7"/>
    <w:rsid w:val="00F82280"/>
    <w:rsid w:val="00F8235F"/>
    <w:rsid w:val="00F83A22"/>
    <w:rsid w:val="00F83A97"/>
    <w:rsid w:val="00F83C3A"/>
    <w:rsid w:val="00F841F0"/>
    <w:rsid w:val="00F844F0"/>
    <w:rsid w:val="00F84895"/>
    <w:rsid w:val="00F84E9D"/>
    <w:rsid w:val="00F853AA"/>
    <w:rsid w:val="00F8659E"/>
    <w:rsid w:val="00F86CE4"/>
    <w:rsid w:val="00F86F42"/>
    <w:rsid w:val="00F87C51"/>
    <w:rsid w:val="00F90AFD"/>
    <w:rsid w:val="00F91941"/>
    <w:rsid w:val="00F924F7"/>
    <w:rsid w:val="00F92E3F"/>
    <w:rsid w:val="00F938D2"/>
    <w:rsid w:val="00F96389"/>
    <w:rsid w:val="00F9650E"/>
    <w:rsid w:val="00F96B73"/>
    <w:rsid w:val="00F96C01"/>
    <w:rsid w:val="00F977C7"/>
    <w:rsid w:val="00FA0890"/>
    <w:rsid w:val="00FA164A"/>
    <w:rsid w:val="00FA3F3E"/>
    <w:rsid w:val="00FA4272"/>
    <w:rsid w:val="00FA4648"/>
    <w:rsid w:val="00FA4855"/>
    <w:rsid w:val="00FA4ACD"/>
    <w:rsid w:val="00FA6428"/>
    <w:rsid w:val="00FA7144"/>
    <w:rsid w:val="00FA7184"/>
    <w:rsid w:val="00FB0130"/>
    <w:rsid w:val="00FB1D9D"/>
    <w:rsid w:val="00FB3304"/>
    <w:rsid w:val="00FB46B8"/>
    <w:rsid w:val="00FB4B38"/>
    <w:rsid w:val="00FB54BB"/>
    <w:rsid w:val="00FB5AC0"/>
    <w:rsid w:val="00FB6C91"/>
    <w:rsid w:val="00FB721D"/>
    <w:rsid w:val="00FB74E8"/>
    <w:rsid w:val="00FC0117"/>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CBCBEA"/>
  <w15:chartTrackingRefBased/>
  <w15:docId w15:val="{F0772082-1886-411A-BFB5-9D6E70DA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lang w:val="lv-LV" w:eastAsia="lv-LV"/>
    </w:rPr>
  </w:style>
  <w:style w:type="paragraph" w:styleId="Sarakstarindkopa">
    <w:name w:val="List Paragraph"/>
    <w:basedOn w:val="Parasts"/>
    <w:uiPriority w:val="34"/>
    <w:qFormat/>
    <w:rsid w:val="004E4204"/>
    <w:pPr>
      <w:ind w:left="720"/>
    </w:pPr>
  </w:style>
  <w:style w:type="character" w:styleId="Neatrisintapieminana">
    <w:name w:val="Unresolved Mention"/>
    <w:uiPriority w:val="99"/>
    <w:semiHidden/>
    <w:unhideWhenUsed/>
    <w:rsid w:val="006A1C6D"/>
    <w:rPr>
      <w:color w:val="808080"/>
      <w:shd w:val="clear" w:color="auto" w:fill="E6E6E6"/>
    </w:rPr>
  </w:style>
  <w:style w:type="paragraph" w:styleId="Vresteksts">
    <w:name w:val="footnote text"/>
    <w:basedOn w:val="Parasts"/>
    <w:link w:val="VrestekstsRakstz"/>
    <w:uiPriority w:val="99"/>
    <w:semiHidden/>
    <w:unhideWhenUsed/>
    <w:rsid w:val="007448BF"/>
    <w:rPr>
      <w:rFonts w:ascii="Calibri" w:eastAsia="Calibri" w:hAnsi="Calibri"/>
      <w:sz w:val="20"/>
      <w:szCs w:val="20"/>
      <w:lang w:eastAsia="en-US"/>
    </w:rPr>
  </w:style>
  <w:style w:type="character" w:customStyle="1" w:styleId="VrestekstsRakstz">
    <w:name w:val="Vēres teksts Rakstz."/>
    <w:link w:val="Vresteksts"/>
    <w:uiPriority w:val="99"/>
    <w:semiHidden/>
    <w:rsid w:val="007448BF"/>
    <w:rPr>
      <w:rFonts w:ascii="Calibri" w:eastAsia="Calibri" w:hAnsi="Calibri"/>
      <w:lang w:eastAsia="en-US"/>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unhideWhenUsed/>
    <w:rsid w:val="00744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1798">
      <w:bodyDiv w:val="1"/>
      <w:marLeft w:val="0"/>
      <w:marRight w:val="0"/>
      <w:marTop w:val="0"/>
      <w:marBottom w:val="0"/>
      <w:divBdr>
        <w:top w:val="none" w:sz="0" w:space="0" w:color="auto"/>
        <w:left w:val="none" w:sz="0" w:space="0" w:color="auto"/>
        <w:bottom w:val="none" w:sz="0" w:space="0" w:color="auto"/>
        <w:right w:val="none" w:sz="0" w:space="0" w:color="auto"/>
      </w:divBdr>
      <w:divsChild>
        <w:div w:id="25302524">
          <w:marLeft w:val="0"/>
          <w:marRight w:val="0"/>
          <w:marTop w:val="0"/>
          <w:marBottom w:val="0"/>
          <w:divBdr>
            <w:top w:val="none" w:sz="0" w:space="0" w:color="auto"/>
            <w:left w:val="none" w:sz="0" w:space="0" w:color="auto"/>
            <w:bottom w:val="none" w:sz="0" w:space="0" w:color="auto"/>
            <w:right w:val="none" w:sz="0" w:space="0" w:color="auto"/>
          </w:divBdr>
          <w:divsChild>
            <w:div w:id="1968195879">
              <w:marLeft w:val="0"/>
              <w:marRight w:val="0"/>
              <w:marTop w:val="0"/>
              <w:marBottom w:val="0"/>
              <w:divBdr>
                <w:top w:val="none" w:sz="0" w:space="0" w:color="auto"/>
                <w:left w:val="none" w:sz="0" w:space="0" w:color="auto"/>
                <w:bottom w:val="none" w:sz="0" w:space="0" w:color="auto"/>
                <w:right w:val="none" w:sz="0" w:space="0" w:color="auto"/>
              </w:divBdr>
              <w:divsChild>
                <w:div w:id="375547687">
                  <w:marLeft w:val="0"/>
                  <w:marRight w:val="0"/>
                  <w:marTop w:val="0"/>
                  <w:marBottom w:val="0"/>
                  <w:divBdr>
                    <w:top w:val="none" w:sz="0" w:space="0" w:color="auto"/>
                    <w:left w:val="none" w:sz="0" w:space="0" w:color="auto"/>
                    <w:bottom w:val="none" w:sz="0" w:space="0" w:color="auto"/>
                    <w:right w:val="none" w:sz="0" w:space="0" w:color="auto"/>
                  </w:divBdr>
                  <w:divsChild>
                    <w:div w:id="741483249">
                      <w:marLeft w:val="0"/>
                      <w:marRight w:val="0"/>
                      <w:marTop w:val="0"/>
                      <w:marBottom w:val="0"/>
                      <w:divBdr>
                        <w:top w:val="none" w:sz="0" w:space="0" w:color="auto"/>
                        <w:left w:val="none" w:sz="0" w:space="0" w:color="auto"/>
                        <w:bottom w:val="none" w:sz="0" w:space="0" w:color="auto"/>
                        <w:right w:val="none" w:sz="0" w:space="0" w:color="auto"/>
                      </w:divBdr>
                      <w:divsChild>
                        <w:div w:id="1458723291">
                          <w:marLeft w:val="0"/>
                          <w:marRight w:val="0"/>
                          <w:marTop w:val="0"/>
                          <w:marBottom w:val="0"/>
                          <w:divBdr>
                            <w:top w:val="none" w:sz="0" w:space="0" w:color="auto"/>
                            <w:left w:val="none" w:sz="0" w:space="0" w:color="auto"/>
                            <w:bottom w:val="none" w:sz="0" w:space="0" w:color="auto"/>
                            <w:right w:val="none" w:sz="0" w:space="0" w:color="auto"/>
                          </w:divBdr>
                          <w:divsChild>
                            <w:div w:id="1961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4112">
      <w:bodyDiv w:val="1"/>
      <w:marLeft w:val="0"/>
      <w:marRight w:val="0"/>
      <w:marTop w:val="0"/>
      <w:marBottom w:val="0"/>
      <w:divBdr>
        <w:top w:val="none" w:sz="0" w:space="0" w:color="auto"/>
        <w:left w:val="none" w:sz="0" w:space="0" w:color="auto"/>
        <w:bottom w:val="none" w:sz="0" w:space="0" w:color="auto"/>
        <w:right w:val="none" w:sz="0" w:space="0" w:color="auto"/>
      </w:divBdr>
    </w:div>
    <w:div w:id="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710764044">
          <w:marLeft w:val="0"/>
          <w:marRight w:val="0"/>
          <w:marTop w:val="0"/>
          <w:marBottom w:val="0"/>
          <w:divBdr>
            <w:top w:val="none" w:sz="0" w:space="0" w:color="auto"/>
            <w:left w:val="none" w:sz="0" w:space="0" w:color="auto"/>
            <w:bottom w:val="none" w:sz="0" w:space="0" w:color="auto"/>
            <w:right w:val="none" w:sz="0" w:space="0" w:color="auto"/>
          </w:divBdr>
          <w:divsChild>
            <w:div w:id="978727487">
              <w:marLeft w:val="0"/>
              <w:marRight w:val="0"/>
              <w:marTop w:val="0"/>
              <w:marBottom w:val="0"/>
              <w:divBdr>
                <w:top w:val="none" w:sz="0" w:space="0" w:color="auto"/>
                <w:left w:val="none" w:sz="0" w:space="0" w:color="auto"/>
                <w:bottom w:val="none" w:sz="0" w:space="0" w:color="auto"/>
                <w:right w:val="none" w:sz="0" w:space="0" w:color="auto"/>
              </w:divBdr>
              <w:divsChild>
                <w:div w:id="637805071">
                  <w:marLeft w:val="0"/>
                  <w:marRight w:val="0"/>
                  <w:marTop w:val="0"/>
                  <w:marBottom w:val="0"/>
                  <w:divBdr>
                    <w:top w:val="none" w:sz="0" w:space="0" w:color="auto"/>
                    <w:left w:val="none" w:sz="0" w:space="0" w:color="auto"/>
                    <w:bottom w:val="none" w:sz="0" w:space="0" w:color="auto"/>
                    <w:right w:val="none" w:sz="0" w:space="0" w:color="auto"/>
                  </w:divBdr>
                  <w:divsChild>
                    <w:div w:id="1259292364">
                      <w:marLeft w:val="0"/>
                      <w:marRight w:val="0"/>
                      <w:marTop w:val="0"/>
                      <w:marBottom w:val="0"/>
                      <w:divBdr>
                        <w:top w:val="none" w:sz="0" w:space="0" w:color="auto"/>
                        <w:left w:val="none" w:sz="0" w:space="0" w:color="auto"/>
                        <w:bottom w:val="none" w:sz="0" w:space="0" w:color="auto"/>
                        <w:right w:val="none" w:sz="0" w:space="0" w:color="auto"/>
                      </w:divBdr>
                      <w:divsChild>
                        <w:div w:id="1626085331">
                          <w:marLeft w:val="0"/>
                          <w:marRight w:val="0"/>
                          <w:marTop w:val="0"/>
                          <w:marBottom w:val="0"/>
                          <w:divBdr>
                            <w:top w:val="none" w:sz="0" w:space="0" w:color="auto"/>
                            <w:left w:val="none" w:sz="0" w:space="0" w:color="auto"/>
                            <w:bottom w:val="none" w:sz="0" w:space="0" w:color="auto"/>
                            <w:right w:val="none" w:sz="0" w:space="0" w:color="auto"/>
                          </w:divBdr>
                          <w:divsChild>
                            <w:div w:id="399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9101893">
      <w:bodyDiv w:val="1"/>
      <w:marLeft w:val="0"/>
      <w:marRight w:val="0"/>
      <w:marTop w:val="0"/>
      <w:marBottom w:val="0"/>
      <w:divBdr>
        <w:top w:val="none" w:sz="0" w:space="0" w:color="auto"/>
        <w:left w:val="none" w:sz="0" w:space="0" w:color="auto"/>
        <w:bottom w:val="none" w:sz="0" w:space="0" w:color="auto"/>
        <w:right w:val="none" w:sz="0" w:space="0" w:color="auto"/>
      </w:divBdr>
      <w:divsChild>
        <w:div w:id="605117484">
          <w:marLeft w:val="0"/>
          <w:marRight w:val="0"/>
          <w:marTop w:val="0"/>
          <w:marBottom w:val="0"/>
          <w:divBdr>
            <w:top w:val="none" w:sz="0" w:space="0" w:color="auto"/>
            <w:left w:val="none" w:sz="0" w:space="0" w:color="auto"/>
            <w:bottom w:val="none" w:sz="0" w:space="0" w:color="auto"/>
            <w:right w:val="none" w:sz="0" w:space="0" w:color="auto"/>
          </w:divBdr>
          <w:divsChild>
            <w:div w:id="1909920530">
              <w:marLeft w:val="0"/>
              <w:marRight w:val="0"/>
              <w:marTop w:val="0"/>
              <w:marBottom w:val="0"/>
              <w:divBdr>
                <w:top w:val="none" w:sz="0" w:space="0" w:color="auto"/>
                <w:left w:val="none" w:sz="0" w:space="0" w:color="auto"/>
                <w:bottom w:val="none" w:sz="0" w:space="0" w:color="auto"/>
                <w:right w:val="none" w:sz="0" w:space="0" w:color="auto"/>
              </w:divBdr>
              <w:divsChild>
                <w:div w:id="637340702">
                  <w:marLeft w:val="0"/>
                  <w:marRight w:val="0"/>
                  <w:marTop w:val="0"/>
                  <w:marBottom w:val="0"/>
                  <w:divBdr>
                    <w:top w:val="none" w:sz="0" w:space="0" w:color="auto"/>
                    <w:left w:val="none" w:sz="0" w:space="0" w:color="auto"/>
                    <w:bottom w:val="none" w:sz="0" w:space="0" w:color="auto"/>
                    <w:right w:val="none" w:sz="0" w:space="0" w:color="auto"/>
                  </w:divBdr>
                  <w:divsChild>
                    <w:div w:id="1943150141">
                      <w:marLeft w:val="0"/>
                      <w:marRight w:val="0"/>
                      <w:marTop w:val="0"/>
                      <w:marBottom w:val="0"/>
                      <w:divBdr>
                        <w:top w:val="none" w:sz="0" w:space="0" w:color="auto"/>
                        <w:left w:val="none" w:sz="0" w:space="0" w:color="auto"/>
                        <w:bottom w:val="none" w:sz="0" w:space="0" w:color="auto"/>
                        <w:right w:val="none" w:sz="0" w:space="0" w:color="auto"/>
                      </w:divBdr>
                      <w:divsChild>
                        <w:div w:id="1408384502">
                          <w:marLeft w:val="0"/>
                          <w:marRight w:val="0"/>
                          <w:marTop w:val="0"/>
                          <w:marBottom w:val="0"/>
                          <w:divBdr>
                            <w:top w:val="none" w:sz="0" w:space="0" w:color="auto"/>
                            <w:left w:val="none" w:sz="0" w:space="0" w:color="auto"/>
                            <w:bottom w:val="none" w:sz="0" w:space="0" w:color="auto"/>
                            <w:right w:val="none" w:sz="0" w:space="0" w:color="auto"/>
                          </w:divBdr>
                          <w:divsChild>
                            <w:div w:id="1411274545">
                              <w:marLeft w:val="0"/>
                              <w:marRight w:val="0"/>
                              <w:marTop w:val="0"/>
                              <w:marBottom w:val="0"/>
                              <w:divBdr>
                                <w:top w:val="none" w:sz="0" w:space="0" w:color="auto"/>
                                <w:left w:val="none" w:sz="0" w:space="0" w:color="auto"/>
                                <w:bottom w:val="none" w:sz="0" w:space="0" w:color="auto"/>
                                <w:right w:val="none" w:sz="0" w:space="0" w:color="auto"/>
                              </w:divBdr>
                              <w:divsChild>
                                <w:div w:id="1151484112">
                                  <w:marLeft w:val="0"/>
                                  <w:marRight w:val="0"/>
                                  <w:marTop w:val="0"/>
                                  <w:marBottom w:val="0"/>
                                  <w:divBdr>
                                    <w:top w:val="none" w:sz="0" w:space="0" w:color="auto"/>
                                    <w:left w:val="none" w:sz="0" w:space="0" w:color="auto"/>
                                    <w:bottom w:val="none" w:sz="0" w:space="0" w:color="auto"/>
                                    <w:right w:val="none" w:sz="0" w:space="0" w:color="auto"/>
                                  </w:divBdr>
                                </w:div>
                                <w:div w:id="1164249264">
                                  <w:marLeft w:val="0"/>
                                  <w:marRight w:val="0"/>
                                  <w:marTop w:val="0"/>
                                  <w:marBottom w:val="0"/>
                                  <w:divBdr>
                                    <w:top w:val="none" w:sz="0" w:space="0" w:color="auto"/>
                                    <w:left w:val="none" w:sz="0" w:space="0" w:color="auto"/>
                                    <w:bottom w:val="none" w:sz="0" w:space="0" w:color="auto"/>
                                    <w:right w:val="none" w:sz="0" w:space="0" w:color="auto"/>
                                  </w:divBdr>
                                  <w:divsChild>
                                    <w:div w:id="2028487010">
                                      <w:marLeft w:val="0"/>
                                      <w:marRight w:val="0"/>
                                      <w:marTop w:val="0"/>
                                      <w:marBottom w:val="0"/>
                                      <w:divBdr>
                                        <w:top w:val="none" w:sz="0" w:space="0" w:color="auto"/>
                                        <w:left w:val="none" w:sz="0" w:space="0" w:color="auto"/>
                                        <w:bottom w:val="none" w:sz="0" w:space="0" w:color="auto"/>
                                        <w:right w:val="none" w:sz="0" w:space="0" w:color="auto"/>
                                      </w:divBdr>
                                      <w:divsChild>
                                        <w:div w:id="1426076352">
                                          <w:marLeft w:val="0"/>
                                          <w:marRight w:val="0"/>
                                          <w:marTop w:val="0"/>
                                          <w:marBottom w:val="0"/>
                                          <w:divBdr>
                                            <w:top w:val="none" w:sz="0" w:space="0" w:color="auto"/>
                                            <w:left w:val="none" w:sz="0" w:space="0" w:color="auto"/>
                                            <w:bottom w:val="none" w:sz="0" w:space="0" w:color="auto"/>
                                            <w:right w:val="none" w:sz="0" w:space="0" w:color="auto"/>
                                          </w:divBdr>
                                        </w:div>
                                        <w:div w:id="20191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3199183">
      <w:bodyDiv w:val="1"/>
      <w:marLeft w:val="0"/>
      <w:marRight w:val="0"/>
      <w:marTop w:val="0"/>
      <w:marBottom w:val="0"/>
      <w:divBdr>
        <w:top w:val="none" w:sz="0" w:space="0" w:color="auto"/>
        <w:left w:val="none" w:sz="0" w:space="0" w:color="auto"/>
        <w:bottom w:val="none" w:sz="0" w:space="0" w:color="auto"/>
        <w:right w:val="none" w:sz="0" w:space="0" w:color="auto"/>
      </w:divBdr>
    </w:div>
    <w:div w:id="965240689">
      <w:bodyDiv w:val="1"/>
      <w:marLeft w:val="0"/>
      <w:marRight w:val="0"/>
      <w:marTop w:val="0"/>
      <w:marBottom w:val="0"/>
      <w:divBdr>
        <w:top w:val="none" w:sz="0" w:space="0" w:color="auto"/>
        <w:left w:val="none" w:sz="0" w:space="0" w:color="auto"/>
        <w:bottom w:val="none" w:sz="0" w:space="0" w:color="auto"/>
        <w:right w:val="none" w:sz="0" w:space="0" w:color="auto"/>
      </w:divBdr>
      <w:divsChild>
        <w:div w:id="215821003">
          <w:marLeft w:val="0"/>
          <w:marRight w:val="0"/>
          <w:marTop w:val="0"/>
          <w:marBottom w:val="0"/>
          <w:divBdr>
            <w:top w:val="none" w:sz="0" w:space="0" w:color="auto"/>
            <w:left w:val="none" w:sz="0" w:space="0" w:color="auto"/>
            <w:bottom w:val="none" w:sz="0" w:space="0" w:color="auto"/>
            <w:right w:val="none" w:sz="0" w:space="0" w:color="auto"/>
          </w:divBdr>
          <w:divsChild>
            <w:div w:id="977227134">
              <w:marLeft w:val="0"/>
              <w:marRight w:val="0"/>
              <w:marTop w:val="0"/>
              <w:marBottom w:val="0"/>
              <w:divBdr>
                <w:top w:val="none" w:sz="0" w:space="0" w:color="auto"/>
                <w:left w:val="none" w:sz="0" w:space="0" w:color="auto"/>
                <w:bottom w:val="none" w:sz="0" w:space="0" w:color="auto"/>
                <w:right w:val="none" w:sz="0" w:space="0" w:color="auto"/>
              </w:divBdr>
              <w:divsChild>
                <w:div w:id="475804780">
                  <w:marLeft w:val="0"/>
                  <w:marRight w:val="0"/>
                  <w:marTop w:val="0"/>
                  <w:marBottom w:val="0"/>
                  <w:divBdr>
                    <w:top w:val="none" w:sz="0" w:space="0" w:color="auto"/>
                    <w:left w:val="none" w:sz="0" w:space="0" w:color="auto"/>
                    <w:bottom w:val="none" w:sz="0" w:space="0" w:color="auto"/>
                    <w:right w:val="none" w:sz="0" w:space="0" w:color="auto"/>
                  </w:divBdr>
                  <w:divsChild>
                    <w:div w:id="1345210560">
                      <w:marLeft w:val="0"/>
                      <w:marRight w:val="0"/>
                      <w:marTop w:val="0"/>
                      <w:marBottom w:val="0"/>
                      <w:divBdr>
                        <w:top w:val="none" w:sz="0" w:space="0" w:color="auto"/>
                        <w:left w:val="none" w:sz="0" w:space="0" w:color="auto"/>
                        <w:bottom w:val="none" w:sz="0" w:space="0" w:color="auto"/>
                        <w:right w:val="none" w:sz="0" w:space="0" w:color="auto"/>
                      </w:divBdr>
                      <w:divsChild>
                        <w:div w:id="607472452">
                          <w:marLeft w:val="0"/>
                          <w:marRight w:val="0"/>
                          <w:marTop w:val="0"/>
                          <w:marBottom w:val="0"/>
                          <w:divBdr>
                            <w:top w:val="none" w:sz="0" w:space="0" w:color="auto"/>
                            <w:left w:val="none" w:sz="0" w:space="0" w:color="auto"/>
                            <w:bottom w:val="none" w:sz="0" w:space="0" w:color="auto"/>
                            <w:right w:val="none" w:sz="0" w:space="0" w:color="auto"/>
                          </w:divBdr>
                          <w:divsChild>
                            <w:div w:id="1282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60525349">
      <w:bodyDiv w:val="1"/>
      <w:marLeft w:val="0"/>
      <w:marRight w:val="0"/>
      <w:marTop w:val="0"/>
      <w:marBottom w:val="0"/>
      <w:divBdr>
        <w:top w:val="none" w:sz="0" w:space="0" w:color="auto"/>
        <w:left w:val="none" w:sz="0" w:space="0" w:color="auto"/>
        <w:bottom w:val="none" w:sz="0" w:space="0" w:color="auto"/>
        <w:right w:val="none" w:sz="0" w:space="0" w:color="auto"/>
      </w:divBdr>
    </w:div>
    <w:div w:id="126773339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394890498">
      <w:bodyDiv w:val="1"/>
      <w:marLeft w:val="0"/>
      <w:marRight w:val="0"/>
      <w:marTop w:val="0"/>
      <w:marBottom w:val="0"/>
      <w:divBdr>
        <w:top w:val="none" w:sz="0" w:space="0" w:color="auto"/>
        <w:left w:val="none" w:sz="0" w:space="0" w:color="auto"/>
        <w:bottom w:val="none" w:sz="0" w:space="0" w:color="auto"/>
        <w:right w:val="none" w:sz="0" w:space="0" w:color="auto"/>
      </w:divBdr>
    </w:div>
    <w:div w:id="1483235484">
      <w:bodyDiv w:val="1"/>
      <w:marLeft w:val="0"/>
      <w:marRight w:val="0"/>
      <w:marTop w:val="0"/>
      <w:marBottom w:val="0"/>
      <w:divBdr>
        <w:top w:val="none" w:sz="0" w:space="0" w:color="auto"/>
        <w:left w:val="none" w:sz="0" w:space="0" w:color="auto"/>
        <w:bottom w:val="none" w:sz="0" w:space="0" w:color="auto"/>
        <w:right w:val="none" w:sz="0" w:space="0" w:color="auto"/>
      </w:divBdr>
      <w:divsChild>
        <w:div w:id="210000401">
          <w:marLeft w:val="0"/>
          <w:marRight w:val="0"/>
          <w:marTop w:val="0"/>
          <w:marBottom w:val="0"/>
          <w:divBdr>
            <w:top w:val="none" w:sz="0" w:space="0" w:color="auto"/>
            <w:left w:val="none" w:sz="0" w:space="0" w:color="auto"/>
            <w:bottom w:val="none" w:sz="0" w:space="0" w:color="auto"/>
            <w:right w:val="none" w:sz="0" w:space="0" w:color="auto"/>
          </w:divBdr>
          <w:divsChild>
            <w:div w:id="1013261338">
              <w:marLeft w:val="0"/>
              <w:marRight w:val="0"/>
              <w:marTop w:val="0"/>
              <w:marBottom w:val="0"/>
              <w:divBdr>
                <w:top w:val="none" w:sz="0" w:space="0" w:color="auto"/>
                <w:left w:val="none" w:sz="0" w:space="0" w:color="auto"/>
                <w:bottom w:val="none" w:sz="0" w:space="0" w:color="auto"/>
                <w:right w:val="none" w:sz="0" w:space="0" w:color="auto"/>
              </w:divBdr>
              <w:divsChild>
                <w:div w:id="375617192">
                  <w:marLeft w:val="0"/>
                  <w:marRight w:val="0"/>
                  <w:marTop w:val="0"/>
                  <w:marBottom w:val="0"/>
                  <w:divBdr>
                    <w:top w:val="none" w:sz="0" w:space="0" w:color="auto"/>
                    <w:left w:val="none" w:sz="0" w:space="0" w:color="auto"/>
                    <w:bottom w:val="none" w:sz="0" w:space="0" w:color="auto"/>
                    <w:right w:val="none" w:sz="0" w:space="0" w:color="auto"/>
                  </w:divBdr>
                  <w:divsChild>
                    <w:div w:id="1046293598">
                      <w:marLeft w:val="0"/>
                      <w:marRight w:val="0"/>
                      <w:marTop w:val="0"/>
                      <w:marBottom w:val="0"/>
                      <w:divBdr>
                        <w:top w:val="none" w:sz="0" w:space="0" w:color="auto"/>
                        <w:left w:val="none" w:sz="0" w:space="0" w:color="auto"/>
                        <w:bottom w:val="none" w:sz="0" w:space="0" w:color="auto"/>
                        <w:right w:val="none" w:sz="0" w:space="0" w:color="auto"/>
                      </w:divBdr>
                      <w:divsChild>
                        <w:div w:id="1712529795">
                          <w:marLeft w:val="0"/>
                          <w:marRight w:val="0"/>
                          <w:marTop w:val="0"/>
                          <w:marBottom w:val="0"/>
                          <w:divBdr>
                            <w:top w:val="none" w:sz="0" w:space="0" w:color="auto"/>
                            <w:left w:val="none" w:sz="0" w:space="0" w:color="auto"/>
                            <w:bottom w:val="none" w:sz="0" w:space="0" w:color="auto"/>
                            <w:right w:val="none" w:sz="0" w:space="0" w:color="auto"/>
                          </w:divBdr>
                          <w:divsChild>
                            <w:div w:id="5809165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70333237">
      <w:bodyDiv w:val="1"/>
      <w:marLeft w:val="0"/>
      <w:marRight w:val="0"/>
      <w:marTop w:val="0"/>
      <w:marBottom w:val="0"/>
      <w:divBdr>
        <w:top w:val="none" w:sz="0" w:space="0" w:color="auto"/>
        <w:left w:val="none" w:sz="0" w:space="0" w:color="auto"/>
        <w:bottom w:val="none" w:sz="0" w:space="0" w:color="auto"/>
        <w:right w:val="none" w:sz="0" w:space="0" w:color="auto"/>
      </w:divBdr>
      <w:divsChild>
        <w:div w:id="515119596">
          <w:marLeft w:val="0"/>
          <w:marRight w:val="0"/>
          <w:marTop w:val="0"/>
          <w:marBottom w:val="0"/>
          <w:divBdr>
            <w:top w:val="none" w:sz="0" w:space="0" w:color="auto"/>
            <w:left w:val="none" w:sz="0" w:space="0" w:color="auto"/>
            <w:bottom w:val="none" w:sz="0" w:space="0" w:color="auto"/>
            <w:right w:val="none" w:sz="0" w:space="0" w:color="auto"/>
          </w:divBdr>
          <w:divsChild>
            <w:div w:id="835152554">
              <w:marLeft w:val="0"/>
              <w:marRight w:val="0"/>
              <w:marTop w:val="0"/>
              <w:marBottom w:val="0"/>
              <w:divBdr>
                <w:top w:val="none" w:sz="0" w:space="0" w:color="auto"/>
                <w:left w:val="none" w:sz="0" w:space="0" w:color="auto"/>
                <w:bottom w:val="none" w:sz="0" w:space="0" w:color="auto"/>
                <w:right w:val="none" w:sz="0" w:space="0" w:color="auto"/>
              </w:divBdr>
              <w:divsChild>
                <w:div w:id="1145439931">
                  <w:marLeft w:val="0"/>
                  <w:marRight w:val="0"/>
                  <w:marTop w:val="0"/>
                  <w:marBottom w:val="0"/>
                  <w:divBdr>
                    <w:top w:val="none" w:sz="0" w:space="0" w:color="auto"/>
                    <w:left w:val="none" w:sz="0" w:space="0" w:color="auto"/>
                    <w:bottom w:val="none" w:sz="0" w:space="0" w:color="auto"/>
                    <w:right w:val="none" w:sz="0" w:space="0" w:color="auto"/>
                  </w:divBdr>
                  <w:divsChild>
                    <w:div w:id="1474904013">
                      <w:marLeft w:val="0"/>
                      <w:marRight w:val="0"/>
                      <w:marTop w:val="0"/>
                      <w:marBottom w:val="0"/>
                      <w:divBdr>
                        <w:top w:val="none" w:sz="0" w:space="0" w:color="auto"/>
                        <w:left w:val="none" w:sz="0" w:space="0" w:color="auto"/>
                        <w:bottom w:val="none" w:sz="0" w:space="0" w:color="auto"/>
                        <w:right w:val="none" w:sz="0" w:space="0" w:color="auto"/>
                      </w:divBdr>
                      <w:divsChild>
                        <w:div w:id="74015988">
                          <w:marLeft w:val="0"/>
                          <w:marRight w:val="0"/>
                          <w:marTop w:val="0"/>
                          <w:marBottom w:val="0"/>
                          <w:divBdr>
                            <w:top w:val="none" w:sz="0" w:space="0" w:color="auto"/>
                            <w:left w:val="none" w:sz="0" w:space="0" w:color="auto"/>
                            <w:bottom w:val="none" w:sz="0" w:space="0" w:color="auto"/>
                            <w:right w:val="none" w:sz="0" w:space="0" w:color="auto"/>
                          </w:divBdr>
                          <w:divsChild>
                            <w:div w:id="1057704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doc/2021_04/FMINF_07042021_SP.832.DOCX" TargetMode="External"/><Relationship Id="rId1" Type="http://schemas.openxmlformats.org/officeDocument/2006/relationships/hyperlink" Target="https://data.stat.gov.lv/pxweb/lv/OSP_PUB/START__NOZ__BU__BUE/BUE020c/table/tableView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8E62-861F-4197-B3CE-09423B9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10175</Characters>
  <Application>Microsoft Office Word</Application>
  <DocSecurity>4</DocSecurity>
  <Lines>84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"Grozījumi Ministru kabineta 2009. gada 27. oktobra noteikumos Nr. 1250 "Noteikumi par valsts nodevu par īpašuma tiesību un ķīlas tiesību nostiprināšanu zemesgrāmatā"" </vt:lpstr>
      <vt:lpstr>Izziņa par atzinumos sniegtajiem iebildumiem par likumprojektu "Grozījumi Zemesgrāmatu likumā"</vt:lpstr>
    </vt:vector>
  </TitlesOfParts>
  <Company>Tieslietu ministrija</Company>
  <LinksUpToDate>false</LinksUpToDate>
  <CharactersWithSpaces>11620</CharactersWithSpaces>
  <SharedDoc>false</SharedDoc>
  <HLinks>
    <vt:vector size="18" baseType="variant">
      <vt:variant>
        <vt:i4>2621500</vt:i4>
      </vt:variant>
      <vt:variant>
        <vt:i4>0</vt:i4>
      </vt:variant>
      <vt:variant>
        <vt:i4>0</vt:i4>
      </vt:variant>
      <vt:variant>
        <vt:i4>5</vt:i4>
      </vt:variant>
      <vt:variant>
        <vt:lpwstr>https://likumi.lv/ta/id/225418-civillikums</vt:lpwstr>
      </vt:variant>
      <vt:variant>
        <vt:lpwstr/>
      </vt:variant>
      <vt:variant>
        <vt:i4>262172</vt:i4>
      </vt:variant>
      <vt:variant>
        <vt:i4>3</vt:i4>
      </vt:variant>
      <vt:variant>
        <vt:i4>0</vt:i4>
      </vt:variant>
      <vt:variant>
        <vt:i4>5</vt:i4>
      </vt:variant>
      <vt:variant>
        <vt:lpwstr>https://www.latvijasnotars.lv/pages/tiesibu-akti</vt:lpwstr>
      </vt:variant>
      <vt:variant>
        <vt:lpwstr/>
      </vt:variant>
      <vt:variant>
        <vt:i4>262172</vt:i4>
      </vt:variant>
      <vt:variant>
        <vt:i4>0</vt:i4>
      </vt:variant>
      <vt:variant>
        <vt:i4>0</vt:i4>
      </vt:variant>
      <vt:variant>
        <vt:i4>5</vt:i4>
      </vt:variant>
      <vt:variant>
        <vt:lpwstr>https://www.latvijasnotars.lv/pages/tiesibu-akti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2009. gada 27. oktobra noteikumos Nr. 1250 "Noteikumi par valsts nodevu par īpašuma tiesību un ķīlas tiesību nostiprināšanu zemesgrāmatā"" </dc:title>
  <dc:subject>Izziņa</dc:subject>
  <dc:creator>Kristīne Alberinga</dc:creator>
  <cp:keywords/>
  <dc:description>67036835,Kristine.Alberinga@tm.gov.lv</dc:description>
  <cp:lastModifiedBy>Kristīne Alberinga</cp:lastModifiedBy>
  <cp:revision>2</cp:revision>
  <cp:lastPrinted>2012-01-18T09:50:00Z</cp:lastPrinted>
  <dcterms:created xsi:type="dcterms:W3CDTF">2021-06-14T08:46:00Z</dcterms:created>
  <dcterms:modified xsi:type="dcterms:W3CDTF">2021-06-14T08:46:00Z</dcterms:modified>
</cp:coreProperties>
</file>