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00EE6" w:rsidR="0053681F" w:rsidP="00337C30" w:rsidRDefault="007A59CA" w14:paraId="7825ADAE" w14:textId="17F2DE45">
      <w:pPr>
        <w:pStyle w:val="naisnod"/>
        <w:spacing w:before="0" w:after="0"/>
        <w:rPr>
          <w:b w:val="0"/>
        </w:rPr>
      </w:pPr>
      <w:bookmarkStart w:name="_GoBack" w:id="0"/>
      <w:bookmarkEnd w:id="0"/>
      <w:r w:rsidRPr="009F4B3D">
        <w:t>Izziņa par atzinumos sniegtajiem iebildumiem</w:t>
      </w:r>
      <w:r>
        <w:t xml:space="preserve"> </w:t>
      </w:r>
      <w:r w:rsidRPr="00C00EE6" w:rsidR="0053681F">
        <w:t>par</w:t>
      </w:r>
    </w:p>
    <w:p w:rsidR="0053681F" w:rsidP="00337C30" w:rsidRDefault="00290F4F" w14:paraId="7FD2E037" w14:textId="3FD45E99">
      <w:pPr>
        <w:pStyle w:val="naisf"/>
        <w:spacing w:before="0" w:after="0"/>
        <w:ind w:firstLine="0"/>
        <w:jc w:val="center"/>
        <w:rPr>
          <w:b/>
          <w:bCs/>
        </w:rPr>
      </w:pPr>
      <w:r w:rsidRPr="00F21E4E">
        <w:rPr>
          <w:b/>
          <w:bCs/>
        </w:rPr>
        <w:t>Ministru kabineta noteikumu projekt</w:t>
      </w:r>
      <w:r>
        <w:rPr>
          <w:b/>
          <w:bCs/>
        </w:rPr>
        <w:t>u</w:t>
      </w:r>
      <w:r w:rsidRPr="00F21E4E">
        <w:rPr>
          <w:b/>
          <w:bCs/>
        </w:rPr>
        <w:t xml:space="preserve"> "Grozījumi Ministru kabineta 2015. gada 22. decembra noteikumos Nr. 787 "Valsts zemes dienesta maksas pakalpojumu cenrādis un samaksas kārtība""</w:t>
      </w:r>
    </w:p>
    <w:p w:rsidR="00A73AAA" w:rsidP="00337C30" w:rsidRDefault="00A73AAA" w14:paraId="513DD9A4" w14:textId="77777777">
      <w:pPr>
        <w:pStyle w:val="naisf"/>
        <w:spacing w:before="0" w:after="0"/>
        <w:ind w:firstLine="0"/>
        <w:jc w:val="center"/>
        <w:rPr>
          <w:b/>
          <w:bCs/>
        </w:rPr>
      </w:pPr>
    </w:p>
    <w:p w:rsidR="007A59CA" w:rsidP="00337C30" w:rsidRDefault="007A59CA" w14:paraId="0FABA38F" w14:textId="77777777">
      <w:pPr>
        <w:pStyle w:val="naisf"/>
        <w:spacing w:before="0" w:after="0"/>
        <w:ind w:firstLine="0"/>
        <w:jc w:val="center"/>
        <w:rPr>
          <w:b/>
        </w:rPr>
      </w:pPr>
      <w:r w:rsidRPr="00712B66">
        <w:rPr>
          <w:b/>
        </w:rPr>
        <w:t>I</w:t>
      </w:r>
      <w:r>
        <w:rPr>
          <w:b/>
        </w:rPr>
        <w:t>. </w:t>
      </w:r>
      <w:r w:rsidRPr="00712B66">
        <w:rPr>
          <w:b/>
        </w:rPr>
        <w:t>Jautājumi, par kuriem saskaņošanā vienošanās nav panākta</w:t>
      </w:r>
    </w:p>
    <w:p w:rsidRPr="009F4B3D" w:rsidR="007A59CA" w:rsidP="00337C30" w:rsidRDefault="007A59CA" w14:paraId="46AE6C5B" w14:textId="77777777">
      <w:pPr>
        <w:pStyle w:val="naisf"/>
        <w:spacing w:before="0" w:after="0"/>
        <w:ind w:firstLine="0"/>
        <w:jc w:val="center"/>
        <w:rPr>
          <w:b/>
        </w:rPr>
      </w:pPr>
    </w:p>
    <w:tbl>
      <w:tblPr>
        <w:tblW w:w="0" w:type="auto"/>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646"/>
        <w:gridCol w:w="2648"/>
        <w:gridCol w:w="3809"/>
        <w:gridCol w:w="2382"/>
        <w:gridCol w:w="2979"/>
        <w:gridCol w:w="1809"/>
      </w:tblGrid>
      <w:tr w:rsidRPr="00A73AAA" w:rsidR="00AF66E0" w:rsidTr="00AF66E0" w14:paraId="1D50BEE5" w14:textId="77777777">
        <w:tc>
          <w:tcPr>
            <w:tcW w:w="0" w:type="auto"/>
            <w:tcBorders>
              <w:top w:val="single" w:color="000000" w:sz="6" w:space="0"/>
              <w:left w:val="single" w:color="000000" w:sz="6" w:space="0"/>
              <w:bottom w:val="single" w:color="000000" w:sz="6" w:space="0"/>
              <w:right w:val="single" w:color="000000" w:sz="6" w:space="0"/>
            </w:tcBorders>
            <w:vAlign w:val="center"/>
          </w:tcPr>
          <w:p w:rsidRPr="00A73AAA" w:rsidR="007A59CA" w:rsidP="00337C30" w:rsidRDefault="007A59CA" w14:paraId="2C7FBCDF" w14:textId="77777777">
            <w:pPr>
              <w:pStyle w:val="naisc"/>
              <w:spacing w:before="0" w:after="0"/>
            </w:pPr>
            <w:r w:rsidRPr="00A73AAA">
              <w:t>Nr. p.k.</w:t>
            </w:r>
          </w:p>
        </w:tc>
        <w:tc>
          <w:tcPr>
            <w:tcW w:w="0" w:type="auto"/>
            <w:tcBorders>
              <w:top w:val="single" w:color="000000" w:sz="6" w:space="0"/>
              <w:left w:val="single" w:color="000000" w:sz="6" w:space="0"/>
              <w:bottom w:val="single" w:color="000000" w:sz="6" w:space="0"/>
              <w:right w:val="single" w:color="000000" w:sz="6" w:space="0"/>
            </w:tcBorders>
            <w:vAlign w:val="center"/>
          </w:tcPr>
          <w:p w:rsidRPr="00A73AAA" w:rsidR="007A59CA" w:rsidP="00337C30" w:rsidRDefault="007A59CA" w14:paraId="3B7D7A5F" w14:textId="77777777">
            <w:pPr>
              <w:pStyle w:val="naisc"/>
              <w:spacing w:before="0" w:after="0"/>
              <w:ind w:firstLine="12"/>
            </w:pPr>
            <w:r w:rsidRPr="00A73AAA">
              <w:t>Saskaņošanai nosūtītā projekta redakcija (konkrēta punkta (panta) redakcija)</w:t>
            </w:r>
          </w:p>
        </w:tc>
        <w:tc>
          <w:tcPr>
            <w:tcW w:w="0" w:type="auto"/>
            <w:tcBorders>
              <w:top w:val="single" w:color="000000" w:sz="6" w:space="0"/>
              <w:left w:val="single" w:color="000000" w:sz="6" w:space="0"/>
              <w:bottom w:val="single" w:color="000000" w:sz="6" w:space="0"/>
              <w:right w:val="single" w:color="000000" w:sz="6" w:space="0"/>
            </w:tcBorders>
            <w:vAlign w:val="center"/>
          </w:tcPr>
          <w:p w:rsidRPr="00A73AAA" w:rsidR="007A59CA" w:rsidP="00337C30" w:rsidRDefault="007A59CA" w14:paraId="57CC73AA" w14:textId="77777777">
            <w:pPr>
              <w:pStyle w:val="naisc"/>
              <w:spacing w:before="0" w:after="0"/>
              <w:ind w:right="3"/>
            </w:pPr>
            <w:r w:rsidRPr="00A73AAA">
              <w:t>Atzinumā norādītais ministrijas (citas institūcijas) iebildums, kā arī saskaņošanā papildus izteiktais iebildums par projekta konkrēto punktu (pantu)</w:t>
            </w:r>
          </w:p>
        </w:tc>
        <w:tc>
          <w:tcPr>
            <w:tcW w:w="0" w:type="auto"/>
            <w:tcBorders>
              <w:top w:val="single" w:color="000000" w:sz="6" w:space="0"/>
              <w:left w:val="single" w:color="000000" w:sz="6" w:space="0"/>
              <w:bottom w:val="single" w:color="000000" w:sz="6" w:space="0"/>
              <w:right w:val="single" w:color="000000" w:sz="6" w:space="0"/>
            </w:tcBorders>
            <w:vAlign w:val="center"/>
          </w:tcPr>
          <w:p w:rsidRPr="00A73AAA" w:rsidR="007A59CA" w:rsidP="00337C30" w:rsidRDefault="007A59CA" w14:paraId="597E22D6" w14:textId="77777777">
            <w:pPr>
              <w:pStyle w:val="naisc"/>
              <w:spacing w:before="0" w:after="0"/>
              <w:ind w:firstLine="21"/>
            </w:pPr>
            <w:r w:rsidRPr="00A73AAA">
              <w:t>Atbildīgās ministrijas pamatojums iebilduma noraidījumam</w:t>
            </w:r>
          </w:p>
        </w:tc>
        <w:tc>
          <w:tcPr>
            <w:tcW w:w="0" w:type="auto"/>
            <w:tcBorders>
              <w:top w:val="single" w:color="auto" w:sz="4" w:space="0"/>
              <w:left w:val="single" w:color="auto" w:sz="4" w:space="0"/>
              <w:bottom w:val="single" w:color="auto" w:sz="4" w:space="0"/>
              <w:right w:val="single" w:color="auto" w:sz="4" w:space="0"/>
            </w:tcBorders>
            <w:vAlign w:val="center"/>
          </w:tcPr>
          <w:p w:rsidRPr="00A73AAA" w:rsidR="007A59CA" w:rsidP="00337C30" w:rsidRDefault="007A59CA" w14:paraId="570B6307" w14:textId="77777777">
            <w:pPr>
              <w:jc w:val="center"/>
            </w:pPr>
            <w:r w:rsidRPr="00A73AAA">
              <w:t>Atzinuma sniedzēja uzturētais iebildums, ja tas atšķiras no atzinumā norādītā iebilduma pamatojuma</w:t>
            </w:r>
          </w:p>
        </w:tc>
        <w:tc>
          <w:tcPr>
            <w:tcW w:w="0" w:type="auto"/>
            <w:tcBorders>
              <w:top w:val="single" w:color="auto" w:sz="4" w:space="0"/>
              <w:left w:val="single" w:color="auto" w:sz="4" w:space="0"/>
              <w:bottom w:val="single" w:color="auto" w:sz="4" w:space="0"/>
            </w:tcBorders>
            <w:vAlign w:val="center"/>
          </w:tcPr>
          <w:p w:rsidRPr="00A73AAA" w:rsidR="007A59CA" w:rsidP="00337C30" w:rsidRDefault="007A59CA" w14:paraId="6AE2E3F9" w14:textId="77777777">
            <w:pPr>
              <w:jc w:val="center"/>
            </w:pPr>
            <w:r w:rsidRPr="00A73AAA">
              <w:t>Projekta attiecīgā punkta (panta) galīgā redakcija</w:t>
            </w:r>
          </w:p>
        </w:tc>
      </w:tr>
      <w:tr w:rsidRPr="00A73AAA" w:rsidR="00AF66E0" w:rsidTr="00AF66E0" w14:paraId="3CAD2D93" w14:textId="77777777">
        <w:tc>
          <w:tcPr>
            <w:tcW w:w="0" w:type="auto"/>
            <w:tcBorders>
              <w:top w:val="single" w:color="000000" w:sz="6" w:space="0"/>
              <w:left w:val="single" w:color="000000" w:sz="6" w:space="0"/>
              <w:bottom w:val="single" w:color="000000" w:sz="6" w:space="0"/>
              <w:right w:val="single" w:color="000000" w:sz="6" w:space="0"/>
            </w:tcBorders>
          </w:tcPr>
          <w:p w:rsidRPr="00281651" w:rsidR="007A59CA" w:rsidP="00337C30" w:rsidRDefault="007A59CA" w14:paraId="3DB81F59" w14:textId="77777777">
            <w:pPr>
              <w:pStyle w:val="naisc"/>
              <w:spacing w:before="0" w:after="0"/>
            </w:pPr>
            <w:r w:rsidRPr="00281651">
              <w:t>1</w:t>
            </w:r>
          </w:p>
        </w:tc>
        <w:tc>
          <w:tcPr>
            <w:tcW w:w="0" w:type="auto"/>
            <w:tcBorders>
              <w:top w:val="single" w:color="000000" w:sz="6" w:space="0"/>
              <w:left w:val="single" w:color="000000" w:sz="6" w:space="0"/>
              <w:bottom w:val="single" w:color="000000" w:sz="6" w:space="0"/>
              <w:right w:val="single" w:color="000000" w:sz="6" w:space="0"/>
            </w:tcBorders>
          </w:tcPr>
          <w:p w:rsidRPr="00281651" w:rsidR="007A59CA" w:rsidP="00337C30" w:rsidRDefault="007A59CA" w14:paraId="5B977019" w14:textId="77777777">
            <w:pPr>
              <w:pStyle w:val="naisc"/>
              <w:spacing w:before="0" w:after="0"/>
              <w:ind w:firstLine="720"/>
            </w:pPr>
            <w:r w:rsidRPr="00281651">
              <w:t>2</w:t>
            </w:r>
          </w:p>
        </w:tc>
        <w:tc>
          <w:tcPr>
            <w:tcW w:w="0" w:type="auto"/>
            <w:tcBorders>
              <w:top w:val="single" w:color="000000" w:sz="6" w:space="0"/>
              <w:left w:val="single" w:color="000000" w:sz="6" w:space="0"/>
              <w:bottom w:val="single" w:color="000000" w:sz="6" w:space="0"/>
              <w:right w:val="single" w:color="000000" w:sz="6" w:space="0"/>
            </w:tcBorders>
          </w:tcPr>
          <w:p w:rsidRPr="00281651" w:rsidR="007A59CA" w:rsidP="00337C30" w:rsidRDefault="007A59CA" w14:paraId="5BB455F5" w14:textId="77777777">
            <w:pPr>
              <w:pStyle w:val="naisc"/>
              <w:spacing w:before="0" w:after="0"/>
              <w:ind w:firstLine="720"/>
            </w:pPr>
            <w:r w:rsidRPr="00281651">
              <w:t>3</w:t>
            </w:r>
          </w:p>
        </w:tc>
        <w:tc>
          <w:tcPr>
            <w:tcW w:w="0" w:type="auto"/>
            <w:tcBorders>
              <w:top w:val="single" w:color="000000" w:sz="6" w:space="0"/>
              <w:left w:val="single" w:color="000000" w:sz="6" w:space="0"/>
              <w:bottom w:val="single" w:color="000000" w:sz="6" w:space="0"/>
              <w:right w:val="single" w:color="000000" w:sz="6" w:space="0"/>
            </w:tcBorders>
          </w:tcPr>
          <w:p w:rsidRPr="00281651" w:rsidR="007A59CA" w:rsidP="00337C30" w:rsidRDefault="007A59CA" w14:paraId="305280E8" w14:textId="77777777">
            <w:pPr>
              <w:pStyle w:val="naisc"/>
              <w:spacing w:before="0" w:after="0"/>
              <w:ind w:firstLine="720"/>
            </w:pPr>
            <w:r w:rsidRPr="00281651">
              <w:t>4</w:t>
            </w:r>
          </w:p>
        </w:tc>
        <w:tc>
          <w:tcPr>
            <w:tcW w:w="0" w:type="auto"/>
            <w:tcBorders>
              <w:top w:val="single" w:color="auto" w:sz="4" w:space="0"/>
              <w:left w:val="single" w:color="auto" w:sz="4" w:space="0"/>
              <w:bottom w:val="single" w:color="auto" w:sz="4" w:space="0"/>
              <w:right w:val="single" w:color="auto" w:sz="4" w:space="0"/>
            </w:tcBorders>
          </w:tcPr>
          <w:p w:rsidRPr="00281651" w:rsidR="007A59CA" w:rsidP="00337C30" w:rsidRDefault="007A59CA" w14:paraId="68280325" w14:textId="77777777">
            <w:pPr>
              <w:jc w:val="center"/>
            </w:pPr>
            <w:r w:rsidRPr="00281651">
              <w:t>5</w:t>
            </w:r>
          </w:p>
        </w:tc>
        <w:tc>
          <w:tcPr>
            <w:tcW w:w="0" w:type="auto"/>
            <w:tcBorders>
              <w:top w:val="single" w:color="auto" w:sz="4" w:space="0"/>
              <w:left w:val="single" w:color="auto" w:sz="4" w:space="0"/>
              <w:bottom w:val="single" w:color="auto" w:sz="4" w:space="0"/>
            </w:tcBorders>
          </w:tcPr>
          <w:p w:rsidRPr="00281651" w:rsidR="007A59CA" w:rsidP="00337C30" w:rsidRDefault="007A59CA" w14:paraId="620D8B7D" w14:textId="77777777">
            <w:pPr>
              <w:jc w:val="center"/>
            </w:pPr>
            <w:r w:rsidRPr="00281651">
              <w:t>6</w:t>
            </w:r>
          </w:p>
        </w:tc>
      </w:tr>
      <w:tr w:rsidRPr="00A73AAA" w:rsidR="00065FD3" w:rsidTr="00337C30" w14:paraId="05C90E50" w14:textId="77777777">
        <w:tc>
          <w:tcPr>
            <w:tcW w:w="0" w:type="auto"/>
            <w:tcBorders>
              <w:top w:val="single" w:color="000000" w:sz="6" w:space="0"/>
              <w:left w:val="single" w:color="000000" w:sz="6" w:space="0"/>
              <w:bottom w:val="single" w:color="000000" w:sz="6" w:space="0"/>
              <w:right w:val="single" w:color="000000" w:sz="6" w:space="0"/>
            </w:tcBorders>
          </w:tcPr>
          <w:p w:rsidRPr="00215A18" w:rsidR="00065FD3" w:rsidP="00337C30" w:rsidRDefault="00065FD3" w14:paraId="74687F89" w14:textId="44146C73">
            <w:pPr>
              <w:pStyle w:val="naisc"/>
              <w:spacing w:before="0" w:after="0"/>
              <w:jc w:val="both"/>
            </w:pPr>
          </w:p>
        </w:tc>
        <w:tc>
          <w:tcPr>
            <w:tcW w:w="0" w:type="auto"/>
            <w:tcBorders>
              <w:top w:val="single" w:color="000000" w:sz="6" w:space="0"/>
              <w:left w:val="single" w:color="000000" w:sz="6" w:space="0"/>
              <w:bottom w:val="single" w:color="000000" w:sz="6" w:space="0"/>
              <w:right w:val="single" w:color="000000" w:sz="6" w:space="0"/>
            </w:tcBorders>
          </w:tcPr>
          <w:p w:rsidRPr="00215A18" w:rsidR="00065FD3" w:rsidP="00337C30" w:rsidRDefault="00065FD3" w14:paraId="67F1A1D4" w14:textId="4DB0886D">
            <w:pPr>
              <w:jc w:val="both"/>
            </w:pPr>
          </w:p>
        </w:tc>
        <w:tc>
          <w:tcPr>
            <w:tcW w:w="0" w:type="auto"/>
            <w:tcBorders>
              <w:top w:val="single" w:color="000000" w:sz="6" w:space="0"/>
              <w:left w:val="single" w:color="000000" w:sz="6" w:space="0"/>
              <w:bottom w:val="single" w:color="000000" w:sz="6" w:space="0"/>
              <w:right w:val="single" w:color="000000" w:sz="6" w:space="0"/>
            </w:tcBorders>
          </w:tcPr>
          <w:p w:rsidRPr="00215A18" w:rsidR="00065FD3" w:rsidP="00337C30" w:rsidRDefault="00065FD3" w14:paraId="3BDA33FB" w14:textId="7119F382">
            <w:pPr>
              <w:pStyle w:val="Pamatteksts"/>
              <w:kinsoku w:val="0"/>
              <w:overflowPunct w:val="0"/>
              <w:spacing w:after="0"/>
              <w:ind w:left="33"/>
              <w:jc w:val="both"/>
            </w:pPr>
          </w:p>
        </w:tc>
        <w:tc>
          <w:tcPr>
            <w:tcW w:w="0" w:type="auto"/>
            <w:tcBorders>
              <w:top w:val="single" w:color="000000" w:sz="6" w:space="0"/>
              <w:left w:val="single" w:color="000000" w:sz="6" w:space="0"/>
              <w:bottom w:val="single" w:color="000000" w:sz="6" w:space="0"/>
              <w:right w:val="single" w:color="000000" w:sz="6" w:space="0"/>
            </w:tcBorders>
          </w:tcPr>
          <w:p w:rsidRPr="00215A18" w:rsidR="005A2453" w:rsidP="00AF66E0" w:rsidRDefault="005A2453" w14:paraId="3D090897" w14:textId="1E459D03">
            <w:pPr>
              <w:jc w:val="both"/>
            </w:pPr>
          </w:p>
        </w:tc>
        <w:tc>
          <w:tcPr>
            <w:tcW w:w="0" w:type="auto"/>
            <w:tcBorders>
              <w:top w:val="single" w:color="auto" w:sz="4" w:space="0"/>
              <w:left w:val="single" w:color="auto" w:sz="4" w:space="0"/>
              <w:bottom w:val="single" w:color="auto" w:sz="4" w:space="0"/>
              <w:right w:val="single" w:color="auto" w:sz="4" w:space="0"/>
            </w:tcBorders>
          </w:tcPr>
          <w:p w:rsidRPr="00215A18" w:rsidR="00065FD3" w:rsidP="00337C30" w:rsidRDefault="00065FD3" w14:paraId="1E9B4B9E" w14:textId="77777777">
            <w:pPr>
              <w:jc w:val="both"/>
            </w:pPr>
          </w:p>
        </w:tc>
        <w:tc>
          <w:tcPr>
            <w:tcW w:w="0" w:type="auto"/>
            <w:tcBorders>
              <w:top w:val="single" w:color="auto" w:sz="4" w:space="0"/>
              <w:left w:val="single" w:color="auto" w:sz="4" w:space="0"/>
              <w:bottom w:val="single" w:color="auto" w:sz="4" w:space="0"/>
            </w:tcBorders>
          </w:tcPr>
          <w:p w:rsidRPr="00A73AAA" w:rsidR="00065FD3" w:rsidP="00337C30" w:rsidRDefault="00065FD3" w14:paraId="46B0C02B" w14:textId="55316859">
            <w:pPr>
              <w:jc w:val="both"/>
            </w:pPr>
          </w:p>
        </w:tc>
      </w:tr>
    </w:tbl>
    <w:p w:rsidRPr="009F4B3D" w:rsidR="007A59CA" w:rsidP="00337C30" w:rsidRDefault="007A59CA" w14:paraId="0D36BAA1" w14:textId="77777777">
      <w:pPr>
        <w:pStyle w:val="naisf"/>
        <w:spacing w:before="0" w:after="0"/>
        <w:ind w:firstLine="0"/>
        <w:rPr>
          <w:b/>
        </w:rPr>
      </w:pPr>
    </w:p>
    <w:p w:rsidRPr="009F4B3D" w:rsidR="007A59CA" w:rsidP="00337C30" w:rsidRDefault="007A59CA" w14:paraId="07A2625F" w14:textId="6A8995C0">
      <w:pPr>
        <w:pStyle w:val="naisf"/>
        <w:spacing w:before="0" w:after="0"/>
        <w:ind w:firstLine="0"/>
        <w:rPr>
          <w:b/>
        </w:rPr>
      </w:pPr>
      <w:r w:rsidRPr="009F4B3D">
        <w:rPr>
          <w:b/>
        </w:rPr>
        <w:t xml:space="preserve">Informācija par starpministriju </w:t>
      </w:r>
      <w:r w:rsidRPr="00281651">
        <w:rPr>
          <w:b/>
        </w:rPr>
        <w:t>(starpinstitūciju) sanāksmi</w:t>
      </w:r>
      <w:r w:rsidRPr="009F4B3D">
        <w:rPr>
          <w:b/>
        </w:rPr>
        <w:t xml:space="preserve"> vai </w:t>
      </w:r>
      <w:r w:rsidRPr="00281651">
        <w:rPr>
          <w:b/>
          <w:u w:val="single"/>
        </w:rPr>
        <w:t>elektronisko saskaņošanu</w:t>
      </w:r>
    </w:p>
    <w:p w:rsidRPr="009F4B3D" w:rsidR="007A59CA" w:rsidP="00337C30" w:rsidRDefault="007A59CA" w14:paraId="7BA48C9B" w14:textId="77777777">
      <w:pPr>
        <w:pStyle w:val="naisf"/>
        <w:spacing w:before="0" w:after="0"/>
        <w:ind w:firstLine="0"/>
        <w:rPr>
          <w:b/>
        </w:rPr>
      </w:pPr>
    </w:p>
    <w:tbl>
      <w:tblPr>
        <w:tblpPr w:leftFromText="180" w:rightFromText="180" w:vertAnchor="text" w:tblpY="1"/>
        <w:tblOverlap w:val="never"/>
        <w:tblW w:w="14283" w:type="dxa"/>
        <w:tblLook w:val="00A0" w:firstRow="1" w:lastRow="0" w:firstColumn="1" w:lastColumn="0" w:noHBand="0" w:noVBand="0"/>
      </w:tblPr>
      <w:tblGrid>
        <w:gridCol w:w="6204"/>
        <w:gridCol w:w="425"/>
        <w:gridCol w:w="7654"/>
      </w:tblGrid>
      <w:tr w:rsidRPr="009F4B3D" w:rsidR="007A59CA" w:rsidTr="00F13867" w14:paraId="572A6C95" w14:textId="77777777">
        <w:trPr>
          <w:trHeight w:val="140"/>
        </w:trPr>
        <w:tc>
          <w:tcPr>
            <w:tcW w:w="6204" w:type="dxa"/>
          </w:tcPr>
          <w:p w:rsidRPr="009F4B3D" w:rsidR="007A59CA" w:rsidP="00337C30" w:rsidRDefault="007A59CA" w14:paraId="72B31C0E" w14:textId="77777777">
            <w:pPr>
              <w:pStyle w:val="naisf"/>
              <w:spacing w:before="0" w:after="0"/>
              <w:ind w:firstLine="0"/>
            </w:pPr>
            <w:r w:rsidRPr="009F4B3D">
              <w:t>Datums</w:t>
            </w:r>
          </w:p>
        </w:tc>
        <w:tc>
          <w:tcPr>
            <w:tcW w:w="8079" w:type="dxa"/>
            <w:gridSpan w:val="2"/>
          </w:tcPr>
          <w:p w:rsidRPr="009F4B3D" w:rsidR="00F13867" w:rsidP="00337C30" w:rsidRDefault="005C7C7C" w14:paraId="5C4827C4" w14:textId="33E124D1">
            <w:pPr>
              <w:pStyle w:val="Paraststmeklis"/>
              <w:spacing w:before="0" w:beforeAutospacing="0" w:after="0" w:afterAutospacing="0"/>
              <w:jc w:val="both"/>
            </w:pPr>
            <w:r w:rsidRPr="009A6704">
              <w:t>2021.</w:t>
            </w:r>
            <w:r w:rsidRPr="009A6704" w:rsidR="009A6704">
              <w:t> </w:t>
            </w:r>
            <w:r w:rsidRPr="009A6704">
              <w:t xml:space="preserve">gada </w:t>
            </w:r>
            <w:r w:rsidRPr="009A6704" w:rsidR="009A6704">
              <w:t>2</w:t>
            </w:r>
            <w:r w:rsidRPr="009A6704">
              <w:t>.</w:t>
            </w:r>
            <w:r w:rsidRPr="009A6704" w:rsidR="009A6704">
              <w:t> </w:t>
            </w:r>
            <w:r w:rsidRPr="009A6704">
              <w:t>jūnijā</w:t>
            </w:r>
          </w:p>
        </w:tc>
      </w:tr>
      <w:tr w:rsidRPr="009F4B3D" w:rsidR="007A59CA" w:rsidTr="003D1FCF" w14:paraId="19367EEF" w14:textId="77777777">
        <w:trPr>
          <w:trHeight w:val="135"/>
        </w:trPr>
        <w:tc>
          <w:tcPr>
            <w:tcW w:w="6204" w:type="dxa"/>
          </w:tcPr>
          <w:p w:rsidRPr="009F4B3D" w:rsidR="007A59CA" w:rsidP="00337C30" w:rsidRDefault="007A59CA" w14:paraId="11947CEE" w14:textId="77777777">
            <w:pPr>
              <w:pStyle w:val="naisf"/>
              <w:spacing w:before="0" w:after="0"/>
              <w:ind w:firstLine="0"/>
            </w:pPr>
          </w:p>
        </w:tc>
        <w:tc>
          <w:tcPr>
            <w:tcW w:w="8079" w:type="dxa"/>
            <w:gridSpan w:val="2"/>
          </w:tcPr>
          <w:p w:rsidRPr="009F4B3D" w:rsidR="007A59CA" w:rsidP="00337C30" w:rsidRDefault="007A59CA" w14:paraId="0889600D" w14:textId="77777777">
            <w:pPr>
              <w:pStyle w:val="Paraststmeklis"/>
              <w:spacing w:before="0" w:beforeAutospacing="0" w:after="0" w:afterAutospacing="0"/>
              <w:ind w:left="33"/>
            </w:pPr>
          </w:p>
        </w:tc>
      </w:tr>
      <w:tr w:rsidRPr="009F4B3D" w:rsidR="007A59CA" w:rsidTr="003D1FCF" w14:paraId="1AE7BF4A" w14:textId="77777777">
        <w:tc>
          <w:tcPr>
            <w:tcW w:w="6204" w:type="dxa"/>
          </w:tcPr>
          <w:p w:rsidRPr="009F4B3D" w:rsidR="007A59CA" w:rsidP="00337C30" w:rsidRDefault="007A59CA" w14:paraId="5AB050BE" w14:textId="77777777">
            <w:pPr>
              <w:pStyle w:val="naiskr"/>
              <w:spacing w:before="0" w:after="0"/>
              <w:ind w:right="-108"/>
            </w:pPr>
            <w:r w:rsidRPr="009F4B3D">
              <w:t>Saskaņošanas dalībnieki</w:t>
            </w:r>
          </w:p>
        </w:tc>
        <w:tc>
          <w:tcPr>
            <w:tcW w:w="8079" w:type="dxa"/>
            <w:gridSpan w:val="2"/>
          </w:tcPr>
          <w:p w:rsidRPr="00520FD3" w:rsidR="007A59CA" w:rsidP="00337C30" w:rsidRDefault="007A59CA" w14:paraId="39167286" w14:textId="77777777">
            <w:pPr>
              <w:ind w:left="33" w:right="-108"/>
            </w:pPr>
            <w:r w:rsidRPr="00520FD3">
              <w:t>Finanšu ministrija</w:t>
            </w:r>
          </w:p>
          <w:p w:rsidRPr="00520FD3" w:rsidR="007A59CA" w:rsidP="00337C30" w:rsidRDefault="007A59CA" w14:paraId="7A4E4C4B" w14:textId="77777777">
            <w:pPr>
              <w:ind w:left="33" w:right="-108"/>
            </w:pPr>
            <w:r w:rsidRPr="00520FD3">
              <w:t>Ekonomikas ministrija</w:t>
            </w:r>
          </w:p>
          <w:p w:rsidRPr="00520FD3" w:rsidR="007A59CA" w:rsidP="00337C30" w:rsidRDefault="007A59CA" w14:paraId="35CD48C4" w14:textId="77777777">
            <w:pPr>
              <w:ind w:left="33" w:right="-108"/>
            </w:pPr>
            <w:r w:rsidRPr="00520FD3">
              <w:t>Vides aizsardzības un reģionālās attīstības ministrija</w:t>
            </w:r>
          </w:p>
          <w:p w:rsidRPr="00520FD3" w:rsidR="007A59CA" w:rsidP="00337C30" w:rsidRDefault="007A59CA" w14:paraId="1F6D579A" w14:textId="796A552C">
            <w:pPr>
              <w:ind w:left="33" w:right="-108"/>
            </w:pPr>
            <w:r w:rsidRPr="00520FD3">
              <w:t>Zemkopības ministrija</w:t>
            </w:r>
          </w:p>
          <w:p w:rsidRPr="00520FD3" w:rsidR="007A59CA" w:rsidP="00337C30" w:rsidRDefault="007A59CA" w14:paraId="7F52675A" w14:textId="09034CB4">
            <w:pPr>
              <w:ind w:left="33" w:right="-108"/>
            </w:pPr>
            <w:r w:rsidRPr="00520FD3">
              <w:t>Valsts kanceleja</w:t>
            </w:r>
          </w:p>
          <w:p w:rsidRPr="00520FD3" w:rsidR="007A59CA" w:rsidP="00337C30" w:rsidRDefault="007A59CA" w14:paraId="40C684F7" w14:textId="72D96B68">
            <w:pPr>
              <w:ind w:left="33" w:right="-108"/>
            </w:pPr>
            <w:r w:rsidRPr="00520FD3">
              <w:t xml:space="preserve">Biedrība </w:t>
            </w:r>
            <w:r w:rsidRPr="00520FD3" w:rsidR="00DB15CC">
              <w:t>"L</w:t>
            </w:r>
            <w:r w:rsidRPr="00520FD3">
              <w:t>atvijas atvērto tehnoloģiju asociācija</w:t>
            </w:r>
            <w:r w:rsidRPr="00520FD3" w:rsidR="00DB15CC">
              <w:t>"</w:t>
            </w:r>
          </w:p>
        </w:tc>
      </w:tr>
      <w:tr w:rsidRPr="009F4B3D" w:rsidR="007A59CA" w:rsidTr="003D1FCF" w14:paraId="6707F1FA" w14:textId="77777777">
        <w:trPr>
          <w:trHeight w:val="285"/>
        </w:trPr>
        <w:tc>
          <w:tcPr>
            <w:tcW w:w="6204" w:type="dxa"/>
          </w:tcPr>
          <w:p w:rsidRPr="009F4B3D" w:rsidR="007A59CA" w:rsidP="00337C30" w:rsidRDefault="007A59CA" w14:paraId="47A23F44" w14:textId="77777777">
            <w:pPr>
              <w:pStyle w:val="naiskr"/>
              <w:spacing w:before="0" w:after="0"/>
              <w:ind w:right="-108"/>
            </w:pPr>
          </w:p>
        </w:tc>
        <w:tc>
          <w:tcPr>
            <w:tcW w:w="8079" w:type="dxa"/>
            <w:gridSpan w:val="2"/>
          </w:tcPr>
          <w:p w:rsidRPr="009F4B3D" w:rsidR="007A59CA" w:rsidP="00337C30" w:rsidRDefault="007A59CA" w14:paraId="3661F530" w14:textId="77777777">
            <w:pPr>
              <w:pStyle w:val="naiskr"/>
              <w:spacing w:before="0" w:after="0"/>
              <w:ind w:left="33" w:right="-108"/>
            </w:pPr>
          </w:p>
        </w:tc>
      </w:tr>
      <w:tr w:rsidRPr="009F4B3D" w:rsidR="007A59CA" w:rsidTr="003D1FCF" w14:paraId="790574F6" w14:textId="77777777">
        <w:trPr>
          <w:trHeight w:val="285"/>
        </w:trPr>
        <w:tc>
          <w:tcPr>
            <w:tcW w:w="6629" w:type="dxa"/>
            <w:gridSpan w:val="2"/>
          </w:tcPr>
          <w:p w:rsidRPr="009F4B3D" w:rsidR="007A59CA" w:rsidP="00337C30" w:rsidRDefault="007A59CA" w14:paraId="36DADEDC" w14:textId="19FA70A4">
            <w:pPr>
              <w:pStyle w:val="naiskr"/>
              <w:spacing w:before="0" w:after="0"/>
            </w:pPr>
            <w:r w:rsidRPr="009F4B3D">
              <w:t>Saskaņošanas dalībnieki izskatīja šādu</w:t>
            </w:r>
            <w:r w:rsidR="00215A18">
              <w:t xml:space="preserve"> </w:t>
            </w:r>
            <w:r w:rsidRPr="009F4B3D">
              <w:t>ministriju (citu institūciju) iebildumus</w:t>
            </w:r>
          </w:p>
        </w:tc>
        <w:tc>
          <w:tcPr>
            <w:tcW w:w="7654" w:type="dxa"/>
          </w:tcPr>
          <w:p w:rsidR="00520FD3" w:rsidP="00337C30" w:rsidRDefault="00520FD3" w14:paraId="6BE8180A" w14:textId="1DFE5B78">
            <w:pPr>
              <w:pStyle w:val="naiskr"/>
              <w:spacing w:before="0" w:after="0"/>
              <w:ind w:left="33" w:right="-108"/>
            </w:pPr>
            <w:r>
              <w:t>Zemkopības ministrijas</w:t>
            </w:r>
          </w:p>
          <w:p w:rsidR="00520FD3" w:rsidP="00337C30" w:rsidRDefault="00520FD3" w14:paraId="41EF3A62" w14:textId="4207DD2A">
            <w:pPr>
              <w:pStyle w:val="naiskr"/>
              <w:spacing w:before="0" w:after="0"/>
              <w:ind w:left="33" w:right="-108"/>
            </w:pPr>
            <w:r>
              <w:t>Valsts kancelejas</w:t>
            </w:r>
          </w:p>
          <w:p w:rsidR="007A59CA" w:rsidP="00337C30" w:rsidRDefault="00520FD3" w14:paraId="1C715FEA" w14:textId="42BC748A">
            <w:pPr>
              <w:pStyle w:val="naiskr"/>
              <w:spacing w:before="0" w:after="0"/>
              <w:ind w:left="33" w:right="-108"/>
            </w:pPr>
            <w:r>
              <w:t>Biedrības "Latvijas atvērto tehnoloģiju asociācija"</w:t>
            </w:r>
          </w:p>
          <w:p w:rsidRPr="009F4B3D" w:rsidR="007A59CA" w:rsidP="00337C30" w:rsidRDefault="007A59CA" w14:paraId="43DFBA93" w14:textId="649AA9CF">
            <w:pPr>
              <w:pStyle w:val="naiskr"/>
              <w:spacing w:before="0" w:after="0"/>
              <w:ind w:left="33" w:right="-108"/>
            </w:pPr>
          </w:p>
        </w:tc>
      </w:tr>
      <w:tr w:rsidRPr="009F4B3D" w:rsidR="00F13867" w:rsidTr="003D1FCF" w14:paraId="12458F73" w14:textId="77777777">
        <w:trPr>
          <w:trHeight w:val="95"/>
        </w:trPr>
        <w:tc>
          <w:tcPr>
            <w:tcW w:w="6629" w:type="dxa"/>
            <w:gridSpan w:val="2"/>
          </w:tcPr>
          <w:p w:rsidRPr="00520FD3" w:rsidR="00F13867" w:rsidP="00F13867" w:rsidRDefault="00F13867" w14:paraId="119CEA6C" w14:textId="77777777">
            <w:pPr>
              <w:pStyle w:val="naiskr"/>
              <w:spacing w:before="0" w:after="0"/>
            </w:pPr>
            <w:r w:rsidRPr="00520FD3">
              <w:t>Ministrijas (citas institūcijas), kuras nav ieradušās uz sanāksmi vai kuras nav atbildējušas uz uzaicinājumu piedalīties elektroniskajā saskaņošanā</w:t>
            </w:r>
          </w:p>
          <w:p w:rsidRPr="009F4B3D" w:rsidR="00F13867" w:rsidP="00F13867" w:rsidRDefault="00F13867" w14:paraId="2746B0F1" w14:textId="77777777">
            <w:pPr>
              <w:pStyle w:val="naiskr"/>
              <w:spacing w:before="0" w:after="0"/>
            </w:pPr>
          </w:p>
        </w:tc>
        <w:tc>
          <w:tcPr>
            <w:tcW w:w="7654" w:type="dxa"/>
          </w:tcPr>
          <w:p w:rsidR="00F13867" w:rsidP="00F13867" w:rsidRDefault="00F13867" w14:paraId="5DFEC7D8" w14:textId="4BD9FB30">
            <w:pPr>
              <w:pStyle w:val="naiskr"/>
              <w:spacing w:before="0" w:after="0"/>
              <w:ind w:left="33" w:right="-108"/>
            </w:pPr>
            <w:r w:rsidRPr="00281651">
              <w:lastRenderedPageBreak/>
              <w:t>Nav</w:t>
            </w:r>
          </w:p>
        </w:tc>
      </w:tr>
    </w:tbl>
    <w:p w:rsidRPr="009F4B3D" w:rsidR="007A59CA" w:rsidP="00337C30" w:rsidRDefault="007A59CA" w14:paraId="7EA98073" w14:textId="66962E44">
      <w:pPr>
        <w:pStyle w:val="naisf"/>
        <w:spacing w:before="0" w:after="0"/>
        <w:ind w:firstLine="0"/>
        <w:jc w:val="center"/>
        <w:rPr>
          <w:b/>
        </w:rPr>
      </w:pPr>
      <w:r w:rsidRPr="009F4B3D">
        <w:rPr>
          <w:b/>
        </w:rPr>
        <w:t>II. Jautājumi, par kuriem saskaņošanā vienošanās ir panākta</w:t>
      </w:r>
    </w:p>
    <w:p w:rsidRPr="009F4B3D" w:rsidR="007A59CA" w:rsidP="00337C30" w:rsidRDefault="007A59CA" w14:paraId="47B1C45F" w14:textId="77777777">
      <w:pPr>
        <w:pStyle w:val="naisf"/>
        <w:spacing w:before="0" w:after="0"/>
        <w:ind w:firstLine="0"/>
        <w:jc w:val="center"/>
        <w:rPr>
          <w:b/>
        </w:rPr>
      </w:pPr>
    </w:p>
    <w:tbl>
      <w:tblPr>
        <w:tblW w:w="14273"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85"/>
        <w:gridCol w:w="1984"/>
        <w:gridCol w:w="1534"/>
        <w:gridCol w:w="3119"/>
        <w:gridCol w:w="1857"/>
        <w:gridCol w:w="1568"/>
        <w:gridCol w:w="3626"/>
      </w:tblGrid>
      <w:tr w:rsidRPr="009F4B3D" w:rsidR="00AF66E0" w:rsidTr="00C941F7" w14:paraId="63CBA7F6" w14:textId="77777777">
        <w:tc>
          <w:tcPr>
            <w:tcW w:w="585" w:type="dxa"/>
            <w:tcBorders>
              <w:top w:val="single" w:color="000000" w:sz="6" w:space="0"/>
              <w:left w:val="single" w:color="000000" w:sz="6" w:space="0"/>
              <w:bottom w:val="single" w:color="000000" w:sz="6" w:space="0"/>
              <w:right w:val="single" w:color="000000" w:sz="6" w:space="0"/>
            </w:tcBorders>
            <w:vAlign w:val="center"/>
          </w:tcPr>
          <w:p w:rsidRPr="009F4B3D" w:rsidR="007A59CA" w:rsidP="00337C30" w:rsidRDefault="007A59CA" w14:paraId="09C74F73" w14:textId="77777777">
            <w:pPr>
              <w:pStyle w:val="naisc"/>
              <w:spacing w:before="0" w:after="0"/>
            </w:pPr>
            <w:r w:rsidRPr="009F4B3D">
              <w:t>Nr. p.k.</w:t>
            </w:r>
          </w:p>
        </w:tc>
        <w:tc>
          <w:tcPr>
            <w:tcW w:w="3518" w:type="dxa"/>
            <w:gridSpan w:val="2"/>
            <w:tcBorders>
              <w:top w:val="single" w:color="000000" w:sz="6" w:space="0"/>
              <w:left w:val="single" w:color="000000" w:sz="6" w:space="0"/>
              <w:bottom w:val="single" w:color="000000" w:sz="6" w:space="0"/>
              <w:right w:val="single" w:color="000000" w:sz="6" w:space="0"/>
            </w:tcBorders>
            <w:vAlign w:val="center"/>
          </w:tcPr>
          <w:p w:rsidRPr="009F4B3D" w:rsidR="007A59CA" w:rsidP="00337C30" w:rsidRDefault="007A59CA" w14:paraId="3E3FA793" w14:textId="77777777">
            <w:pPr>
              <w:pStyle w:val="naisc"/>
              <w:spacing w:before="0" w:after="0"/>
              <w:ind w:firstLine="12"/>
            </w:pPr>
            <w:r w:rsidRPr="009F4B3D">
              <w:t>Saskaņošanai nosūtītā projekta redakcija (konkrēta punkta (panta) redakcija)</w:t>
            </w:r>
          </w:p>
        </w:tc>
        <w:tc>
          <w:tcPr>
            <w:tcW w:w="3119" w:type="dxa"/>
            <w:tcBorders>
              <w:top w:val="single" w:color="000000" w:sz="6" w:space="0"/>
              <w:left w:val="single" w:color="000000" w:sz="6" w:space="0"/>
              <w:bottom w:val="single" w:color="000000" w:sz="6" w:space="0"/>
              <w:right w:val="single" w:color="000000" w:sz="6" w:space="0"/>
            </w:tcBorders>
            <w:vAlign w:val="center"/>
          </w:tcPr>
          <w:p w:rsidRPr="009F4B3D" w:rsidR="007A59CA" w:rsidP="00337C30" w:rsidRDefault="007A59CA" w14:paraId="2B0C801B" w14:textId="77777777">
            <w:pPr>
              <w:pStyle w:val="naisc"/>
              <w:spacing w:before="0" w:after="0"/>
              <w:ind w:right="3"/>
            </w:pPr>
            <w:r w:rsidRPr="009F4B3D">
              <w:t>Atzinumā norādītais ministrijas (citas institūcijas) iebildums, kā arī saskaņošanā papildus izteiktais iebildums par projekta konkrēto punktu (pantu)</w:t>
            </w:r>
          </w:p>
        </w:tc>
        <w:tc>
          <w:tcPr>
            <w:tcW w:w="3425" w:type="dxa"/>
            <w:gridSpan w:val="2"/>
            <w:tcBorders>
              <w:top w:val="single" w:color="000000" w:sz="6" w:space="0"/>
              <w:left w:val="single" w:color="000000" w:sz="6" w:space="0"/>
              <w:bottom w:val="single" w:color="000000" w:sz="6" w:space="0"/>
              <w:right w:val="single" w:color="000000" w:sz="6" w:space="0"/>
            </w:tcBorders>
            <w:vAlign w:val="center"/>
          </w:tcPr>
          <w:p w:rsidRPr="009F4B3D" w:rsidR="007A59CA" w:rsidP="00337C30" w:rsidRDefault="007A59CA" w14:paraId="199B4D26" w14:textId="77777777">
            <w:pPr>
              <w:pStyle w:val="naisc"/>
              <w:spacing w:before="0" w:after="0"/>
              <w:ind w:firstLine="21"/>
            </w:pPr>
            <w:r w:rsidRPr="009F4B3D">
              <w:t>Atbildīgās ministrijas norāde par to, ka iebildums ir ņemts vērā, vai informācija par saskaņošanā panākto alternatīvo risinājumu</w:t>
            </w:r>
          </w:p>
        </w:tc>
        <w:tc>
          <w:tcPr>
            <w:tcW w:w="3626" w:type="dxa"/>
            <w:tcBorders>
              <w:top w:val="single" w:color="auto" w:sz="4" w:space="0"/>
              <w:left w:val="single" w:color="auto" w:sz="4" w:space="0"/>
              <w:bottom w:val="single" w:color="auto" w:sz="4" w:space="0"/>
            </w:tcBorders>
            <w:vAlign w:val="center"/>
          </w:tcPr>
          <w:p w:rsidRPr="009F4B3D" w:rsidR="007A59CA" w:rsidP="00337C30" w:rsidRDefault="007A59CA" w14:paraId="75EB6D43" w14:textId="77777777">
            <w:pPr>
              <w:jc w:val="center"/>
            </w:pPr>
            <w:r w:rsidRPr="009F4B3D">
              <w:t>Projekta attiecīgā punkta (panta) galīgā redakcija</w:t>
            </w:r>
          </w:p>
        </w:tc>
      </w:tr>
      <w:tr w:rsidRPr="009F4B3D" w:rsidR="00AF66E0" w:rsidTr="00C941F7" w14:paraId="0962BFC0" w14:textId="77777777">
        <w:tc>
          <w:tcPr>
            <w:tcW w:w="585" w:type="dxa"/>
            <w:tcBorders>
              <w:top w:val="single" w:color="000000" w:sz="6" w:space="0"/>
              <w:left w:val="single" w:color="000000" w:sz="6" w:space="0"/>
              <w:bottom w:val="single" w:color="000000" w:sz="6" w:space="0"/>
              <w:right w:val="single" w:color="000000" w:sz="6" w:space="0"/>
            </w:tcBorders>
          </w:tcPr>
          <w:p w:rsidRPr="009F4B3D" w:rsidR="007A59CA" w:rsidP="00337C30" w:rsidRDefault="007A59CA" w14:paraId="16F775B1" w14:textId="77777777">
            <w:pPr>
              <w:pStyle w:val="naisc"/>
              <w:spacing w:before="0" w:after="0"/>
              <w:rPr>
                <w:sz w:val="20"/>
                <w:szCs w:val="20"/>
              </w:rPr>
            </w:pPr>
            <w:r w:rsidRPr="009F4B3D">
              <w:rPr>
                <w:sz w:val="20"/>
                <w:szCs w:val="20"/>
              </w:rPr>
              <w:t>1</w:t>
            </w:r>
          </w:p>
        </w:tc>
        <w:tc>
          <w:tcPr>
            <w:tcW w:w="3518" w:type="dxa"/>
            <w:gridSpan w:val="2"/>
            <w:tcBorders>
              <w:top w:val="single" w:color="000000" w:sz="6" w:space="0"/>
              <w:left w:val="single" w:color="000000" w:sz="6" w:space="0"/>
              <w:bottom w:val="single" w:color="000000" w:sz="6" w:space="0"/>
              <w:right w:val="single" w:color="000000" w:sz="6" w:space="0"/>
            </w:tcBorders>
          </w:tcPr>
          <w:p w:rsidRPr="009F4B3D" w:rsidR="007A59CA" w:rsidP="00337C30" w:rsidRDefault="007A59CA" w14:paraId="2E6ABB4D" w14:textId="77777777">
            <w:pPr>
              <w:pStyle w:val="naisc"/>
              <w:spacing w:before="0" w:after="0"/>
              <w:ind w:firstLine="720"/>
              <w:rPr>
                <w:sz w:val="20"/>
                <w:szCs w:val="20"/>
              </w:rPr>
            </w:pPr>
            <w:r w:rsidRPr="009F4B3D">
              <w:rPr>
                <w:sz w:val="20"/>
                <w:szCs w:val="20"/>
              </w:rPr>
              <w:t>2</w:t>
            </w:r>
          </w:p>
        </w:tc>
        <w:tc>
          <w:tcPr>
            <w:tcW w:w="3119" w:type="dxa"/>
            <w:tcBorders>
              <w:top w:val="single" w:color="000000" w:sz="6" w:space="0"/>
              <w:left w:val="single" w:color="000000" w:sz="6" w:space="0"/>
              <w:bottom w:val="single" w:color="000000" w:sz="6" w:space="0"/>
              <w:right w:val="single" w:color="000000" w:sz="6" w:space="0"/>
            </w:tcBorders>
          </w:tcPr>
          <w:p w:rsidRPr="009F4B3D" w:rsidR="007A59CA" w:rsidP="00337C30" w:rsidRDefault="007A59CA" w14:paraId="4FA0550F" w14:textId="77777777">
            <w:pPr>
              <w:pStyle w:val="naisc"/>
              <w:spacing w:before="0" w:after="0"/>
              <w:ind w:firstLine="720"/>
              <w:rPr>
                <w:sz w:val="20"/>
                <w:szCs w:val="20"/>
              </w:rPr>
            </w:pPr>
            <w:r w:rsidRPr="009F4B3D">
              <w:rPr>
                <w:sz w:val="20"/>
                <w:szCs w:val="20"/>
              </w:rPr>
              <w:t>3</w:t>
            </w:r>
          </w:p>
        </w:tc>
        <w:tc>
          <w:tcPr>
            <w:tcW w:w="3425" w:type="dxa"/>
            <w:gridSpan w:val="2"/>
            <w:tcBorders>
              <w:top w:val="single" w:color="000000" w:sz="6" w:space="0"/>
              <w:left w:val="single" w:color="000000" w:sz="6" w:space="0"/>
              <w:bottom w:val="single" w:color="000000" w:sz="6" w:space="0"/>
              <w:right w:val="single" w:color="000000" w:sz="6" w:space="0"/>
            </w:tcBorders>
          </w:tcPr>
          <w:p w:rsidRPr="009F4B3D" w:rsidR="007A59CA" w:rsidP="00337C30" w:rsidRDefault="007A59CA" w14:paraId="54EC035B" w14:textId="77777777">
            <w:pPr>
              <w:pStyle w:val="naisc"/>
              <w:spacing w:before="0" w:after="0"/>
              <w:ind w:firstLine="720"/>
              <w:rPr>
                <w:sz w:val="20"/>
                <w:szCs w:val="20"/>
              </w:rPr>
            </w:pPr>
            <w:r w:rsidRPr="009F4B3D">
              <w:rPr>
                <w:sz w:val="20"/>
                <w:szCs w:val="20"/>
              </w:rPr>
              <w:t>4</w:t>
            </w:r>
          </w:p>
        </w:tc>
        <w:tc>
          <w:tcPr>
            <w:tcW w:w="3626" w:type="dxa"/>
            <w:tcBorders>
              <w:top w:val="single" w:color="auto" w:sz="4" w:space="0"/>
              <w:left w:val="single" w:color="auto" w:sz="4" w:space="0"/>
              <w:bottom w:val="single" w:color="auto" w:sz="4" w:space="0"/>
            </w:tcBorders>
          </w:tcPr>
          <w:p w:rsidRPr="009F4B3D" w:rsidR="007A59CA" w:rsidP="00337C30" w:rsidRDefault="007A59CA" w14:paraId="7D498AE7" w14:textId="77777777">
            <w:pPr>
              <w:jc w:val="center"/>
              <w:rPr>
                <w:sz w:val="20"/>
                <w:szCs w:val="20"/>
              </w:rPr>
            </w:pPr>
            <w:r w:rsidRPr="009F4B3D">
              <w:rPr>
                <w:sz w:val="20"/>
                <w:szCs w:val="20"/>
              </w:rPr>
              <w:t>5</w:t>
            </w:r>
          </w:p>
        </w:tc>
      </w:tr>
      <w:tr w:rsidRPr="009F4B3D" w:rsidR="00AF66E0" w:rsidTr="00C941F7" w14:paraId="0010C051" w14:textId="77777777">
        <w:tc>
          <w:tcPr>
            <w:tcW w:w="585" w:type="dxa"/>
            <w:tcBorders>
              <w:top w:val="single" w:color="000000" w:sz="6" w:space="0"/>
              <w:left w:val="single" w:color="000000" w:sz="6" w:space="0"/>
              <w:bottom w:val="single" w:color="000000" w:sz="6" w:space="0"/>
              <w:right w:val="single" w:color="000000" w:sz="6" w:space="0"/>
            </w:tcBorders>
          </w:tcPr>
          <w:p w:rsidRPr="009F4B3D" w:rsidR="007A59CA" w:rsidP="00337C30" w:rsidRDefault="007A59CA" w14:paraId="2C62D7BB" w14:textId="77777777">
            <w:pPr>
              <w:pStyle w:val="naisc"/>
              <w:spacing w:before="0" w:after="0"/>
            </w:pPr>
            <w:r>
              <w:t>1.</w:t>
            </w:r>
          </w:p>
        </w:tc>
        <w:tc>
          <w:tcPr>
            <w:tcW w:w="3518" w:type="dxa"/>
            <w:gridSpan w:val="2"/>
            <w:tcBorders>
              <w:top w:val="single" w:color="000000" w:sz="6" w:space="0"/>
              <w:left w:val="single" w:color="000000" w:sz="6" w:space="0"/>
              <w:bottom w:val="single" w:color="000000" w:sz="6" w:space="0"/>
              <w:right w:val="single" w:color="000000" w:sz="6" w:space="0"/>
            </w:tcBorders>
          </w:tcPr>
          <w:p w:rsidR="00E945B2" w:rsidP="00337C30" w:rsidRDefault="00E945B2" w14:paraId="1891A982" w14:textId="5BEB54F2">
            <w:pPr>
              <w:jc w:val="both"/>
            </w:pPr>
            <w:r>
              <w:t>Anotācijas III sadaļas 6. punkts</w:t>
            </w:r>
            <w:r w:rsidR="00215A18">
              <w:t>:</w:t>
            </w:r>
          </w:p>
          <w:p w:rsidRPr="00E945B2" w:rsidR="00E945B2" w:rsidP="00337C30" w:rsidRDefault="00215A18" w14:paraId="2B6CC86C" w14:textId="6B878C62">
            <w:pPr>
              <w:jc w:val="both"/>
              <w:rPr>
                <w:rFonts w:eastAsiaTheme="minorHAnsi"/>
                <w:lang w:eastAsia="en-US"/>
              </w:rPr>
            </w:pPr>
            <w:r>
              <w:rPr>
                <w:rFonts w:eastAsiaTheme="minorHAnsi"/>
                <w:lang w:eastAsia="en-US"/>
              </w:rPr>
              <w:t>"</w:t>
            </w:r>
            <w:r w:rsidRPr="00E945B2" w:rsidR="00E945B2">
              <w:rPr>
                <w:rFonts w:eastAsiaTheme="minorHAnsi"/>
                <w:lang w:eastAsia="en-US"/>
              </w:rPr>
              <w:t>Saistībā ar to, ka atsevišķiem maksas pakalpojumiem samazinās izcenojums un vienlaicīgi atsevišķiem maksas pakalpojumu veidiem izcenojums ir palielināts, kā arī tiek noteikti jauni pakalpojumi saskaņā ar maksas pakalpojumu izcenojumu aprēķiniem, 2021., 2022. un 2023. gadā plānots ieņēmumu un ar tiem saistīto izdevumu palielinājums par 8 251 </w:t>
            </w:r>
            <w:r w:rsidRPr="00E945B2" w:rsidR="00E945B2">
              <w:rPr>
                <w:rFonts w:eastAsiaTheme="minorHAnsi"/>
                <w:i/>
                <w:iCs/>
                <w:lang w:eastAsia="en-US"/>
              </w:rPr>
              <w:t>euro</w:t>
            </w:r>
            <w:r w:rsidRPr="00E945B2" w:rsidR="00E945B2">
              <w:rPr>
                <w:rFonts w:eastAsiaTheme="minorHAnsi"/>
                <w:lang w:eastAsia="en-US"/>
              </w:rPr>
              <w:t>.</w:t>
            </w:r>
          </w:p>
          <w:p w:rsidRPr="00E945B2" w:rsidR="00E945B2" w:rsidP="00337C30" w:rsidRDefault="00E945B2" w14:paraId="07519A00" w14:textId="77777777">
            <w:pPr>
              <w:jc w:val="both"/>
              <w:rPr>
                <w:rFonts w:eastAsiaTheme="minorHAnsi"/>
                <w:lang w:eastAsia="en-US"/>
              </w:rPr>
            </w:pPr>
            <w:r w:rsidRPr="00E945B2">
              <w:rPr>
                <w:rFonts w:eastAsiaTheme="minorHAnsi"/>
                <w:lang w:eastAsia="en-US"/>
              </w:rPr>
              <w:t xml:space="preserve">Aktualizējot maksas pakalpojumu izcenojumus, atbilstoši Ministru kabineta 2011. gada 3. maija noteikumu Nr. 333 "Kārtība, kādā plānojami un uzskaitāmi ieņēmumi no maksas pakalpojumiem un ar šo pakalpojumu sniegšanu saistītie izdevumi, kā arī maksas </w:t>
            </w:r>
            <w:r w:rsidRPr="00E945B2">
              <w:rPr>
                <w:rFonts w:eastAsiaTheme="minorHAnsi"/>
                <w:lang w:eastAsia="en-US"/>
              </w:rPr>
              <w:lastRenderedPageBreak/>
              <w:t>pakalpojumu izcenojumu noteikšanas metodika un izcenojumu apstiprināšanas kārtība" prasībām tika izvērtēti katra maksas pakalpojuma nodrošināšanai nepieciešamie tiešie izdevumi un ņemtas vērā uz katra pakalpojuma sniegšanu attiecināmās netiešās izmaksas. Maksas pakalpojumu izcenojumi tika rēķināti atbilstoši esošajai situācijai.</w:t>
            </w:r>
          </w:p>
          <w:p w:rsidRPr="009F4B3D" w:rsidR="007A59CA" w:rsidP="00337C30" w:rsidRDefault="00E945B2" w14:paraId="66FAF680" w14:textId="5CCF6074">
            <w:pPr>
              <w:jc w:val="both"/>
            </w:pPr>
            <w:r w:rsidRPr="00E945B2">
              <w:rPr>
                <w:rFonts w:eastAsiaTheme="minorHAnsi"/>
                <w:lang w:eastAsia="en-US"/>
              </w:rPr>
              <w:t>Veikta maksas pakalpojumu apjoma izvērtēšana, un attiecīgi precizētas maksas pakalpojumu cenas un plānotie ieņēmumi, kas pievienoti projekta sākotnējās ietekmes novērtējuma ziņojuma (anotācijas) 1. pielikumā "Maksas pakalpojumu izcenojuma aprēķina kopsavilkums", 2. pielikumā "Informācija par maksas pakalpojumu cenu un plānoto ieņēmumu izmaiņām" un 3. pielikumā "Detalizēts maksas pakalpojumu izdevumu aprēķins".</w:t>
            </w:r>
            <w:r w:rsidR="00215A18">
              <w:rPr>
                <w:rFonts w:eastAsiaTheme="minorHAnsi"/>
                <w:lang w:eastAsia="en-US"/>
              </w:rPr>
              <w:t>"</w:t>
            </w:r>
          </w:p>
        </w:tc>
        <w:tc>
          <w:tcPr>
            <w:tcW w:w="3119" w:type="dxa"/>
            <w:tcBorders>
              <w:top w:val="single" w:color="000000" w:sz="6" w:space="0"/>
              <w:left w:val="single" w:color="000000" w:sz="6" w:space="0"/>
              <w:bottom w:val="single" w:color="000000" w:sz="6" w:space="0"/>
              <w:right w:val="single" w:color="000000" w:sz="6" w:space="0"/>
            </w:tcBorders>
          </w:tcPr>
          <w:p w:rsidR="007A59CA" w:rsidP="00337C30" w:rsidRDefault="007A59CA" w14:paraId="258406AF" w14:textId="1035B53B">
            <w:pPr>
              <w:jc w:val="both"/>
              <w:rPr>
                <w:b/>
                <w:shd w:val="clear" w:color="auto" w:fill="FFFFFF"/>
              </w:rPr>
            </w:pPr>
            <w:r>
              <w:rPr>
                <w:b/>
                <w:shd w:val="clear" w:color="auto" w:fill="FFFFFF"/>
              </w:rPr>
              <w:lastRenderedPageBreak/>
              <w:t>Valsts kanceleja</w:t>
            </w:r>
          </w:p>
          <w:p w:rsidRPr="007A59CA" w:rsidR="00E945B2" w:rsidP="00337C30" w:rsidRDefault="00E945B2" w14:paraId="55E6D366" w14:textId="77777777">
            <w:pPr>
              <w:jc w:val="both"/>
              <w:rPr>
                <w:b/>
                <w:shd w:val="clear" w:color="auto" w:fill="FFFFFF"/>
              </w:rPr>
            </w:pPr>
          </w:p>
          <w:p w:rsidR="007A59CA" w:rsidP="00337C30" w:rsidRDefault="007A59CA" w14:paraId="38ADEB3A" w14:textId="5B3AB93B">
            <w:pPr>
              <w:jc w:val="both"/>
            </w:pPr>
            <w:r w:rsidRPr="00055F13">
              <w:rPr>
                <w:shd w:val="clear" w:color="auto" w:fill="FFFFFF"/>
              </w:rPr>
              <w:t>Noteikumu projekta sākotnējās ietekmes novērtējuma</w:t>
            </w:r>
            <w:r w:rsidRPr="006370F7">
              <w:t xml:space="preserve"> ziņojum</w:t>
            </w:r>
            <w:r>
              <w:t>a</w:t>
            </w:r>
            <w:r w:rsidRPr="006370F7">
              <w:t xml:space="preserve"> (anotācij</w:t>
            </w:r>
            <w:r>
              <w:t>ai</w:t>
            </w:r>
            <w:r w:rsidRPr="006370F7">
              <w:t>)</w:t>
            </w:r>
            <w:r>
              <w:t xml:space="preserve"> pievienotajos</w:t>
            </w:r>
            <w:r w:rsidR="00215A18">
              <w:t xml:space="preserve"> </w:t>
            </w:r>
            <w:r>
              <w:t xml:space="preserve">pielikumos ir iekļauta detalizēta informācija maksas pakalpojumu cenrāža aprēķinam. </w:t>
            </w:r>
            <w:r w:rsidRPr="00055F13">
              <w:t xml:space="preserve">Maksas pakalpojumu izcenojuma aprēķina kopsavilkumā (1.pielikums) ir ietverta tiešo izmaksu sadaļa - EKK 1100 Atalgojums, ka arī 3.pielikumā (Detalizēts maksas pakalpojumu izdevumu aprēķins) ir iekļauta informācija, par </w:t>
            </w:r>
            <w:bookmarkStart w:name="_Hlk66197456" w:id="1"/>
            <w:r w:rsidRPr="00055F13">
              <w:t xml:space="preserve">atalgojuma pozīcijas izmaiņām </w:t>
            </w:r>
            <w:r>
              <w:t xml:space="preserve">2022.gadā un turpmākajos gados </w:t>
            </w:r>
            <w:r w:rsidRPr="00055F13">
              <w:t>– 10 268 euro apmērā.</w:t>
            </w:r>
            <w:bookmarkEnd w:id="1"/>
          </w:p>
          <w:p w:rsidRPr="009F4B3D" w:rsidR="007A59CA" w:rsidP="00337C30" w:rsidRDefault="007A59CA" w14:paraId="44CF76F9" w14:textId="0A96C632">
            <w:pPr>
              <w:jc w:val="both"/>
            </w:pPr>
            <w:r w:rsidRPr="000F4217">
              <w:lastRenderedPageBreak/>
              <w:t>Lūdzam papildināt sākotnējās ietekmes novērtējuma ziņojumu (anotāciju) ar detalizētu informāciju par to, kā tiek aprēķināta atalgojuma komponente maksas pakalpojumu cenrādī, un kas pamato 3.pielikumā ietvertās atalgojuma pozīcijas izmaiņas 2022.gadā un turpmākajos gados – 10 268 euro apmērā. Aprēķinā lūdzam ietvert detalizētu informāciju par pakalpojuma sniegšanā iesaistītā personāla atalgojumu, tai skaitā tā sasaisti ar personāla amata saimi, līmeni un mēnešalgu grupu.</w:t>
            </w:r>
          </w:p>
        </w:tc>
        <w:tc>
          <w:tcPr>
            <w:tcW w:w="3425" w:type="dxa"/>
            <w:gridSpan w:val="2"/>
            <w:tcBorders>
              <w:top w:val="single" w:color="000000" w:sz="6" w:space="0"/>
              <w:left w:val="single" w:color="000000" w:sz="6" w:space="0"/>
              <w:bottom w:val="single" w:color="000000" w:sz="6" w:space="0"/>
              <w:right w:val="single" w:color="000000" w:sz="6" w:space="0"/>
            </w:tcBorders>
          </w:tcPr>
          <w:p w:rsidRPr="00281651" w:rsidR="007A59CA" w:rsidP="00337C30" w:rsidRDefault="00E945B2" w14:paraId="019124F7" w14:textId="5512289D">
            <w:pPr>
              <w:pStyle w:val="naisc"/>
              <w:spacing w:before="0" w:after="0"/>
              <w:jc w:val="left"/>
              <w:rPr>
                <w:b/>
              </w:rPr>
            </w:pPr>
            <w:r>
              <w:rPr>
                <w:b/>
              </w:rPr>
              <w:lastRenderedPageBreak/>
              <w:t>Ņ</w:t>
            </w:r>
            <w:r w:rsidRPr="00E945B2" w:rsidR="001A4F07">
              <w:rPr>
                <w:b/>
              </w:rPr>
              <w:t>emts</w:t>
            </w:r>
            <w:r w:rsidRPr="00281651" w:rsidR="001A4F07">
              <w:rPr>
                <w:b/>
              </w:rPr>
              <w:t xml:space="preserve"> vērā</w:t>
            </w:r>
          </w:p>
          <w:p w:rsidRPr="00E945B2" w:rsidR="00E945B2" w:rsidP="00337C30" w:rsidRDefault="00E945B2" w14:paraId="34E85869" w14:textId="39329592">
            <w:pPr>
              <w:pStyle w:val="naisc"/>
              <w:spacing w:before="0" w:after="0"/>
              <w:jc w:val="left"/>
            </w:pPr>
          </w:p>
          <w:p w:rsidRPr="009F4B3D" w:rsidR="001A4F07" w:rsidP="00337C30" w:rsidRDefault="00E945B2" w14:paraId="66140C91" w14:textId="78874AEA">
            <w:pPr>
              <w:pStyle w:val="naisc"/>
              <w:spacing w:before="0" w:after="0"/>
              <w:jc w:val="both"/>
            </w:pPr>
            <w:r w:rsidRPr="00E945B2">
              <w:t>Anot</w:t>
            </w:r>
            <w:r>
              <w:t>ācija papildināta ar attiecīgu skaidrojumu, kas pasvītrots 4. kolonnā.</w:t>
            </w:r>
          </w:p>
        </w:tc>
        <w:tc>
          <w:tcPr>
            <w:tcW w:w="3626" w:type="dxa"/>
            <w:tcBorders>
              <w:top w:val="single" w:color="auto" w:sz="4" w:space="0"/>
              <w:left w:val="single" w:color="auto" w:sz="4" w:space="0"/>
              <w:bottom w:val="single" w:color="auto" w:sz="4" w:space="0"/>
            </w:tcBorders>
          </w:tcPr>
          <w:p w:rsidRPr="00337C30" w:rsidR="00E945B2" w:rsidP="00337C30" w:rsidRDefault="00E945B2" w14:paraId="523630AC" w14:textId="117E7F56">
            <w:pPr>
              <w:jc w:val="both"/>
            </w:pPr>
            <w:r w:rsidRPr="00337C30">
              <w:t>Anotācijas III sadaļas 6. punkts</w:t>
            </w:r>
            <w:r w:rsidRPr="00337C30" w:rsidR="00215A18">
              <w:t>:</w:t>
            </w:r>
          </w:p>
          <w:p w:rsidRPr="00337C30" w:rsidR="00337C30" w:rsidP="00337C30" w:rsidRDefault="00215A18" w14:paraId="7B64D0B4" w14:textId="3C64040F">
            <w:pPr>
              <w:jc w:val="both"/>
              <w:rPr>
                <w:rFonts w:eastAsiaTheme="minorHAnsi"/>
                <w:lang w:eastAsia="en-US"/>
              </w:rPr>
            </w:pPr>
            <w:r w:rsidRPr="00337C30">
              <w:rPr>
                <w:rFonts w:eastAsiaTheme="minorHAnsi"/>
                <w:lang w:eastAsia="en-US"/>
              </w:rPr>
              <w:t>"</w:t>
            </w:r>
            <w:r w:rsidRPr="00337C30" w:rsidR="00337C30">
              <w:rPr>
                <w:rFonts w:eastAsiaTheme="minorHAnsi"/>
                <w:lang w:eastAsia="en-US"/>
              </w:rPr>
              <w:t>Saistībā ar to, ka atsevišķiem maksas pakalpojumiem samazinās izcenojums un vienlaicīgi atsevišķiem maksas pakalpojumu veidiem izcenojums ir palielināts, kā arī tiek noteikti jauni pakalpojumi saskaņā ar maksas pakalpojumu izcenojumu aprēķiniem, 2021., 2022. un 2023. gadā plānots ieņēmumu un ar tiem saistīto izdevumu palielinājums par 8 251 </w:t>
            </w:r>
            <w:r w:rsidRPr="00337C30" w:rsidR="00337C30">
              <w:rPr>
                <w:rFonts w:eastAsiaTheme="minorHAnsi"/>
                <w:i/>
                <w:iCs/>
                <w:lang w:eastAsia="en-US"/>
              </w:rPr>
              <w:t>euro</w:t>
            </w:r>
            <w:r w:rsidRPr="00337C30" w:rsidR="00337C30">
              <w:rPr>
                <w:rFonts w:eastAsiaTheme="minorHAnsi"/>
                <w:lang w:eastAsia="en-US"/>
              </w:rPr>
              <w:t>.</w:t>
            </w:r>
          </w:p>
          <w:p w:rsidRPr="00337C30" w:rsidR="00337C30" w:rsidP="00337C30" w:rsidRDefault="00337C30" w14:paraId="65A79222" w14:textId="77777777">
            <w:pPr>
              <w:jc w:val="both"/>
              <w:rPr>
                <w:rFonts w:eastAsiaTheme="minorHAnsi"/>
                <w:lang w:eastAsia="en-US"/>
              </w:rPr>
            </w:pPr>
            <w:r w:rsidRPr="00337C30">
              <w:rPr>
                <w:rFonts w:eastAsiaTheme="minorHAnsi"/>
                <w:lang w:eastAsia="en-US"/>
              </w:rPr>
              <w:t xml:space="preserve">Aktualizējot maksas pakalpojumu izcenojumus, atbilstoši Ministru kabineta 2011. gada 3. maija noteikumu Nr. 333 "Kārtība, kādā plānojami un uzskaitāmi ieņēmumi no maksas pakalpojumiem un ar šo pakalpojumu sniegšanu saistītie izdevumi, kā arī maksas pakalpojumu izcenojumu </w:t>
            </w:r>
            <w:r w:rsidRPr="00337C30">
              <w:rPr>
                <w:rFonts w:eastAsiaTheme="minorHAnsi"/>
                <w:lang w:eastAsia="en-US"/>
              </w:rPr>
              <w:lastRenderedPageBreak/>
              <w:t>noteikšanas metodika un izcenojumu apstiprināšanas kārtība" prasībām tika izvērtēti katra maksas pakalpojuma nodrošināšanai nepieciešamie tiešie izdevumi un ņemtas vērā uz katra pakalpojuma sniegšanu attiecināmās netiešās izmaksas. Maksas pakalpojumu izcenojumi tika rēķināti atbilstoši esošajai situācijai.</w:t>
            </w:r>
          </w:p>
          <w:p w:rsidRPr="00337C30" w:rsidR="00337C30" w:rsidP="00337C30" w:rsidRDefault="00337C30" w14:paraId="689E0F38" w14:textId="77777777">
            <w:pPr>
              <w:jc w:val="both"/>
              <w:rPr>
                <w:rFonts w:eastAsiaTheme="minorHAnsi"/>
                <w:lang w:eastAsia="en-US"/>
              </w:rPr>
            </w:pPr>
            <w:r w:rsidRPr="00337C30">
              <w:rPr>
                <w:rFonts w:eastAsiaTheme="minorHAnsi"/>
                <w:lang w:eastAsia="en-US"/>
              </w:rPr>
              <w:t>Veikta maksas pakalpojumu apjoma izvērtēšana, un attiecīgi precizētas maksas pakalpojumu cenas un plānotie ieņēmumi, kas pievienoti projekta sākotnējās ietekmes novērtējuma ziņojuma (anotācijas) 1. pielikumā "Maksas pakalpojumu izcenojuma aprēķina kopsavilkums", 2. pielikumā "Informācija par maksas pakalpojumu cenu un plānoto ieņēmumu izmaiņām" un 3. pielikumā "Detalizēts maksas pakalpojumu izdevumu aprēķins".</w:t>
            </w:r>
          </w:p>
          <w:p w:rsidRPr="00AF66E0" w:rsidR="00BC366C" w:rsidP="00337C30" w:rsidRDefault="00337C30" w14:paraId="2A32F5E9" w14:textId="69DDF8D2">
            <w:pPr>
              <w:jc w:val="both"/>
            </w:pPr>
            <w:r w:rsidRPr="00337C30">
              <w:rPr>
                <w:rFonts w:eastAsiaTheme="minorHAnsi" w:cstheme="minorBidi"/>
                <w:szCs w:val="22"/>
                <w:u w:val="single"/>
                <w:lang w:eastAsia="en-US"/>
              </w:rPr>
              <w:t xml:space="preserve">Atalgojuma izmaksu izmaiņas </w:t>
            </w:r>
            <w:r w:rsidRPr="00337C30">
              <w:rPr>
                <w:rFonts w:eastAsiaTheme="minorHAnsi"/>
                <w:u w:val="single"/>
                <w:lang w:eastAsia="en-US"/>
              </w:rPr>
              <w:t>projektā</w:t>
            </w:r>
            <w:r w:rsidRPr="00337C30">
              <w:rPr>
                <w:rFonts w:eastAsiaTheme="minorHAnsi" w:cstheme="minorBidi"/>
                <w:szCs w:val="22"/>
                <w:u w:val="single"/>
                <w:lang w:eastAsia="en-US"/>
              </w:rPr>
              <w:t xml:space="preserve"> saistītas ar jaunajiem pakalpojumiem, lai nodrošinātu klientu pieprasījumu pēc papīra izdrukām, jo to nodrošināšanā ir nepieciešams manuāls </w:t>
            </w:r>
            <w:r w:rsidRPr="00337C30">
              <w:rPr>
                <w:rFonts w:eastAsiaTheme="minorHAnsi"/>
                <w:u w:val="single"/>
                <w:lang w:eastAsia="en-US"/>
              </w:rPr>
              <w:t>arhīva</w:t>
            </w:r>
            <w:r w:rsidRPr="00337C30">
              <w:rPr>
                <w:rFonts w:eastAsiaTheme="minorHAnsi" w:cstheme="minorBidi"/>
                <w:szCs w:val="22"/>
                <w:u w:val="single"/>
                <w:lang w:eastAsia="en-US"/>
              </w:rPr>
              <w:t xml:space="preserve"> speciālista </w:t>
            </w:r>
            <w:r w:rsidRPr="00337C30">
              <w:rPr>
                <w:rFonts w:eastAsiaTheme="minorHAnsi"/>
                <w:u w:val="single"/>
                <w:lang w:eastAsia="en-US"/>
              </w:rPr>
              <w:t>–</w:t>
            </w:r>
            <w:r w:rsidRPr="00337C30">
              <w:rPr>
                <w:rFonts w:eastAsiaTheme="minorHAnsi" w:cstheme="minorBidi"/>
                <w:szCs w:val="22"/>
                <w:u w:val="single"/>
                <w:lang w:eastAsia="en-US"/>
              </w:rPr>
              <w:t xml:space="preserve"> profesijas klasifikators </w:t>
            </w:r>
            <w:r w:rsidRPr="00337C30">
              <w:rPr>
                <w:rFonts w:eastAsiaTheme="minorHAnsi" w:cstheme="minorBidi"/>
                <w:szCs w:val="22"/>
                <w:u w:val="single"/>
                <w:lang w:eastAsia="en-US"/>
              </w:rPr>
              <w:lastRenderedPageBreak/>
              <w:t xml:space="preserve">262101, saime 18.1, saimes līmenis I, mēnešalgas grupa 7 vai klientu apkalpošanas konsultanta </w:t>
            </w:r>
            <w:r w:rsidRPr="00337C30">
              <w:rPr>
                <w:rFonts w:eastAsiaTheme="minorHAnsi"/>
                <w:u w:val="single"/>
                <w:lang w:eastAsia="en-US"/>
              </w:rPr>
              <w:t>–</w:t>
            </w:r>
            <w:r w:rsidRPr="00337C30">
              <w:rPr>
                <w:rFonts w:eastAsiaTheme="minorHAnsi" w:cstheme="minorBidi"/>
                <w:szCs w:val="22"/>
                <w:u w:val="single"/>
                <w:lang w:eastAsia="en-US"/>
              </w:rPr>
              <w:t xml:space="preserve"> profesijas klasifikators 242102, saime 23, saimes līmenis </w:t>
            </w:r>
            <w:r w:rsidRPr="00337C30">
              <w:rPr>
                <w:rFonts w:eastAsiaTheme="minorHAnsi"/>
                <w:u w:val="single"/>
                <w:lang w:eastAsia="en-US"/>
              </w:rPr>
              <w:t>III B</w:t>
            </w:r>
            <w:r w:rsidRPr="00337C30">
              <w:rPr>
                <w:rFonts w:eastAsiaTheme="minorHAnsi" w:cstheme="minorBidi"/>
                <w:szCs w:val="22"/>
                <w:u w:val="single"/>
                <w:lang w:eastAsia="en-US"/>
              </w:rPr>
              <w:t xml:space="preserve">, mēnešalgas grupa 9, darbs. Papildus izmaiņu pieaugums atalgojumam ir arī saistīts ar informācijas izsniegšanas pakalpojumiem, </w:t>
            </w:r>
            <w:r w:rsidRPr="00337C30">
              <w:rPr>
                <w:rFonts w:eastAsiaTheme="minorHAnsi"/>
                <w:u w:val="single"/>
                <w:lang w:eastAsia="en-US"/>
              </w:rPr>
              <w:t>kas</w:t>
            </w:r>
            <w:r w:rsidRPr="00337C30">
              <w:rPr>
                <w:rFonts w:eastAsiaTheme="minorHAnsi" w:cstheme="minorBidi"/>
                <w:szCs w:val="22"/>
                <w:u w:val="single"/>
                <w:lang w:eastAsia="en-US"/>
              </w:rPr>
              <w:t xml:space="preserve"> iepriekš nav bijuši pieprasīti, vai pieprasīti ļoti nelielā apjomā</w:t>
            </w:r>
            <w:r w:rsidRPr="00337C30">
              <w:rPr>
                <w:rFonts w:eastAsiaTheme="minorHAnsi"/>
                <w:u w:val="single"/>
                <w:lang w:eastAsia="en-US"/>
              </w:rPr>
              <w:t>,</w:t>
            </w:r>
            <w:r w:rsidRPr="00337C30">
              <w:rPr>
                <w:rFonts w:eastAsiaTheme="minorHAnsi" w:cstheme="minorBidi"/>
                <w:szCs w:val="22"/>
                <w:u w:val="single"/>
                <w:lang w:eastAsia="en-US"/>
              </w:rPr>
              <w:t xml:space="preserve"> un tādu pakalpojumu sniegšanā izmaksas līdz šim nebija vai bija ļoti nelielas. Līdz ar projektu plānots, ka, samazinot informācijas pakalpojuma cenu vai mainot maksas aprēķināšanas principu, piemēram, </w:t>
            </w:r>
            <w:r w:rsidRPr="00337C30">
              <w:rPr>
                <w:rFonts w:eastAsiaTheme="minorHAnsi"/>
                <w:u w:val="single"/>
                <w:lang w:eastAsia="en-US"/>
              </w:rPr>
              <w:t xml:space="preserve">pielikuma </w:t>
            </w:r>
            <w:r w:rsidRPr="00337C30">
              <w:rPr>
                <w:rFonts w:eastAsiaTheme="minorHAnsi" w:cstheme="minorBidi"/>
                <w:szCs w:val="22"/>
                <w:u w:val="single"/>
                <w:lang w:eastAsia="en-US"/>
              </w:rPr>
              <w:t>19.1.</w:t>
            </w:r>
            <w:r w:rsidRPr="00337C30">
              <w:rPr>
                <w:rFonts w:eastAsiaTheme="minorHAnsi"/>
                <w:u w:val="single"/>
                <w:lang w:eastAsia="en-US"/>
              </w:rPr>
              <w:t> apakšpunktam – kadastra</w:t>
            </w:r>
            <w:r w:rsidRPr="00337C30">
              <w:rPr>
                <w:rFonts w:eastAsiaTheme="minorHAnsi" w:cstheme="minorBidi"/>
                <w:szCs w:val="22"/>
                <w:u w:val="single"/>
                <w:lang w:eastAsia="en-US"/>
              </w:rPr>
              <w:t xml:space="preserve"> kartes dati galalietotājam un pakalpojumu sniedzējam par Latvijas Republikas teritoriju (WMS, ArcGIS</w:t>
            </w:r>
            <w:r w:rsidRPr="00337C30">
              <w:rPr>
                <w:rFonts w:eastAsiaTheme="minorHAnsi"/>
                <w:u w:val="single"/>
                <w:lang w:eastAsia="en-US"/>
              </w:rPr>
              <w:t>),</w:t>
            </w:r>
            <w:r w:rsidRPr="00337C30">
              <w:rPr>
                <w:rFonts w:eastAsiaTheme="minorHAnsi" w:cstheme="minorBidi"/>
                <w:szCs w:val="22"/>
                <w:u w:val="single"/>
                <w:lang w:eastAsia="en-US"/>
              </w:rPr>
              <w:t xml:space="preserve"> pieaugs šī pakalpojuma pieprasījums, un tādēļ attiecīgi palielinās izmaksas atalgojuma komponentei. </w:t>
            </w:r>
            <w:r w:rsidRPr="00337C30">
              <w:rPr>
                <w:rFonts w:eastAsiaTheme="minorHAnsi"/>
                <w:u w:val="single"/>
                <w:lang w:eastAsia="en-US"/>
              </w:rPr>
              <w:t>Projektā</w:t>
            </w:r>
            <w:r w:rsidRPr="00337C30">
              <w:rPr>
                <w:rFonts w:eastAsiaTheme="minorHAnsi" w:cstheme="minorBidi"/>
                <w:szCs w:val="22"/>
                <w:u w:val="single"/>
                <w:lang w:eastAsia="en-US"/>
              </w:rPr>
              <w:t xml:space="preserve"> atalgojuma pozīcijas izmaiņas neattiecas </w:t>
            </w:r>
            <w:r w:rsidRPr="00337C30">
              <w:rPr>
                <w:rFonts w:eastAsiaTheme="minorHAnsi"/>
                <w:u w:val="single"/>
                <w:lang w:eastAsia="en-US"/>
              </w:rPr>
              <w:t xml:space="preserve">uz </w:t>
            </w:r>
            <w:r w:rsidRPr="00337C30">
              <w:rPr>
                <w:rFonts w:eastAsiaTheme="minorHAnsi" w:cstheme="minorBidi"/>
                <w:szCs w:val="22"/>
                <w:u w:val="single"/>
                <w:lang w:eastAsia="en-US"/>
              </w:rPr>
              <w:t>būves kadastrālās uzmērīšanas speciālistu atalgojumu</w:t>
            </w:r>
            <w:r w:rsidRPr="00337C30">
              <w:rPr>
                <w:rFonts w:eastAsiaTheme="minorHAnsi"/>
                <w:u w:val="single"/>
                <w:lang w:eastAsia="en-US"/>
              </w:rPr>
              <w:t>.</w:t>
            </w:r>
            <w:r w:rsidRPr="00AF66E0" w:rsidR="00215A18">
              <w:rPr>
                <w:rFonts w:eastAsiaTheme="minorHAnsi"/>
              </w:rPr>
              <w:t>"</w:t>
            </w:r>
          </w:p>
        </w:tc>
      </w:tr>
      <w:tr w:rsidRPr="009F4B3D" w:rsidR="0002262A" w:rsidTr="00C941F7" w14:paraId="0B7CD850" w14:textId="12341BCD">
        <w:tc>
          <w:tcPr>
            <w:tcW w:w="585" w:type="dxa"/>
            <w:tcBorders>
              <w:top w:val="single" w:color="000000" w:sz="6" w:space="0"/>
              <w:left w:val="single" w:color="000000" w:sz="6" w:space="0"/>
              <w:bottom w:val="single" w:color="000000" w:sz="6" w:space="0"/>
              <w:right w:val="single" w:color="000000" w:sz="6" w:space="0"/>
            </w:tcBorders>
          </w:tcPr>
          <w:p w:rsidR="0002262A" w:rsidP="0002262A" w:rsidRDefault="0002262A" w14:paraId="25A339E4" w14:textId="0055F971">
            <w:pPr>
              <w:pStyle w:val="naisc"/>
              <w:spacing w:before="0" w:after="0"/>
            </w:pPr>
            <w:r>
              <w:lastRenderedPageBreak/>
              <w:t>2.</w:t>
            </w:r>
          </w:p>
        </w:tc>
        <w:tc>
          <w:tcPr>
            <w:tcW w:w="3518" w:type="dxa"/>
            <w:gridSpan w:val="2"/>
            <w:tcBorders>
              <w:top w:val="single" w:color="000000" w:sz="6" w:space="0"/>
              <w:left w:val="single" w:color="000000" w:sz="6" w:space="0"/>
              <w:bottom w:val="single" w:color="000000" w:sz="6" w:space="0"/>
              <w:right w:val="single" w:color="000000" w:sz="6" w:space="0"/>
            </w:tcBorders>
          </w:tcPr>
          <w:p w:rsidR="0002262A" w:rsidP="0002262A" w:rsidRDefault="0002262A" w14:paraId="01F0B0AE" w14:textId="548BC41F">
            <w:pPr>
              <w:jc w:val="both"/>
            </w:pPr>
            <w:r w:rsidRPr="00215A18">
              <w:t>Iebildums par projektu kopumā.</w:t>
            </w:r>
          </w:p>
        </w:tc>
        <w:tc>
          <w:tcPr>
            <w:tcW w:w="3119" w:type="dxa"/>
            <w:tcBorders>
              <w:top w:val="single" w:color="000000" w:sz="6" w:space="0"/>
              <w:left w:val="single" w:color="000000" w:sz="6" w:space="0"/>
              <w:bottom w:val="single" w:color="000000" w:sz="6" w:space="0"/>
              <w:right w:val="single" w:color="000000" w:sz="6" w:space="0"/>
            </w:tcBorders>
          </w:tcPr>
          <w:p w:rsidRPr="00215A18" w:rsidR="0002262A" w:rsidP="0002262A" w:rsidRDefault="0002262A" w14:paraId="10EFAC83" w14:textId="77777777">
            <w:pPr>
              <w:ind w:left="33"/>
              <w:jc w:val="both"/>
              <w:rPr>
                <w:b/>
              </w:rPr>
            </w:pPr>
            <w:r w:rsidRPr="00215A18">
              <w:rPr>
                <w:b/>
              </w:rPr>
              <w:t>Biedrība "Latvijas atvērto tehnoloģiju asociācija"</w:t>
            </w:r>
            <w:r w:rsidRPr="00215A18">
              <w:t xml:space="preserve"> (turpmāk – LATA)</w:t>
            </w:r>
          </w:p>
          <w:p w:rsidRPr="00215A18" w:rsidR="0002262A" w:rsidP="0002262A" w:rsidRDefault="0002262A" w14:paraId="55B9C97F" w14:textId="77777777">
            <w:pPr>
              <w:ind w:left="33"/>
              <w:jc w:val="both"/>
            </w:pPr>
          </w:p>
          <w:p w:rsidRPr="00215A18" w:rsidR="0002262A" w:rsidP="0002262A" w:rsidRDefault="0002262A" w14:paraId="5373F7E9" w14:textId="77777777">
            <w:pPr>
              <w:ind w:left="33"/>
              <w:jc w:val="both"/>
            </w:pPr>
            <w:r w:rsidRPr="00215A18">
              <w:t>LATA atkārtoti iebilst Noteikumu projekta esošajai redakcijai, kas paredz ģeotelpisko datu iegūšanu par maksu. LATA iepriekš iebildumus par Noteikumu projektu nosūtīja Tieslietu ministrijai un Valsts zemes dienestam š.g. 26. janvārī (vēstule Nr. 12/21), kad norisinājās Noteikumu projekta sabiedriskā apspriešana.</w:t>
            </w:r>
          </w:p>
          <w:p w:rsidRPr="00215A18" w:rsidR="0002262A" w:rsidP="0002262A" w:rsidRDefault="0002262A" w14:paraId="22FA7944" w14:textId="77777777">
            <w:pPr>
              <w:pStyle w:val="Pamatteksts"/>
              <w:kinsoku w:val="0"/>
              <w:overflowPunct w:val="0"/>
              <w:spacing w:after="0"/>
              <w:ind w:left="33"/>
              <w:jc w:val="both"/>
              <w:rPr>
                <w:color w:val="000000"/>
              </w:rPr>
            </w:pPr>
            <w:r w:rsidRPr="00215A18">
              <w:t xml:space="preserve">LATA uzsver, ka tieši ģeotelpiskie dati ir prioritāri atverami dati, un aicina Valsts zemes dienestu ievērot Latvijas atvērto datu stratēģijā paustos pamatprincipus, kas rosina publiskajam sektoram neveidot jaunus produktus vai pakalpojumus, tādējādi konkurējot ar privāto sektoru. Līdz ar to LATA aicina Valsts zemes dienesta resursus izmantot atvērto datu publicēšanai, nevis maksas pakalpojumu sagatavošanai. </w:t>
            </w:r>
            <w:r w:rsidRPr="00215A18">
              <w:rPr>
                <w:spacing w:val="-12"/>
              </w:rPr>
              <w:lastRenderedPageBreak/>
              <w:t xml:space="preserve">LATA </w:t>
            </w:r>
            <w:r w:rsidRPr="00215A18">
              <w:t xml:space="preserve">norāda, ka apgrūtināta pieejamība vai datu ieguve par maksu, rada šķēršļus kvalitatīvu pakalpojumu izstrādē. Kā piemēru var minēt neprecīzo vakcinācijas punktu karti, plašāk – </w:t>
            </w:r>
            <w:r w:rsidRPr="00215A18">
              <w:rPr>
                <w:color w:val="00007F"/>
                <w:u w:val="single"/>
              </w:rPr>
              <w:t>http://mernieks.lv/article/3285</w:t>
            </w:r>
            <w:r w:rsidRPr="00215A18">
              <w:rPr>
                <w:color w:val="000000"/>
              </w:rPr>
              <w:t xml:space="preserve">. </w:t>
            </w:r>
            <w:r w:rsidRPr="00215A18">
              <w:rPr>
                <w:color w:val="000000"/>
                <w:spacing w:val="-3"/>
              </w:rPr>
              <w:t xml:space="preserve">Vakcinācijas </w:t>
            </w:r>
            <w:r w:rsidRPr="00215A18">
              <w:rPr>
                <w:color w:val="000000"/>
              </w:rPr>
              <w:t>punktu kartē radušās kļūdas ir saistītas ar grūtībām ērti piekļūt adrešu datiem. Atverot ģeotelpiskos datus, tiktu vienkāršota datu ieguve un jaunu pakalpojumu izveide būtu</w:t>
            </w:r>
            <w:r w:rsidRPr="00215A18">
              <w:rPr>
                <w:color w:val="000000"/>
                <w:spacing w:val="-2"/>
              </w:rPr>
              <w:t xml:space="preserve"> </w:t>
            </w:r>
            <w:r w:rsidRPr="00215A18">
              <w:rPr>
                <w:color w:val="000000"/>
              </w:rPr>
              <w:t>kvalitatīvāka.</w:t>
            </w:r>
          </w:p>
          <w:p w:rsidR="0002262A" w:rsidP="0002262A" w:rsidRDefault="0002262A" w14:paraId="09B6B651" w14:textId="7E0AF473">
            <w:pPr>
              <w:jc w:val="both"/>
              <w:rPr>
                <w:b/>
                <w:shd w:val="clear" w:color="auto" w:fill="FFFFFF"/>
              </w:rPr>
            </w:pPr>
            <w:r w:rsidRPr="00215A18">
              <w:t xml:space="preserve">LATA uzsver, ka 2018. gada 6. februāra Ministru kabineta protokollēmuma </w:t>
            </w:r>
            <w:r w:rsidRPr="00215A18">
              <w:rPr>
                <w:i/>
                <w:iCs/>
              </w:rPr>
              <w:t xml:space="preserve">(prot. Nr. 7 30. §) </w:t>
            </w:r>
            <w:r w:rsidRPr="00215A18">
              <w:t xml:space="preserve">2. un 3. punktu mērķis ir nodrošināt, ka </w:t>
            </w:r>
            <w:r w:rsidRPr="00215A18">
              <w:rPr>
                <w:spacing w:val="-5"/>
              </w:rPr>
              <w:t xml:space="preserve">Valsts </w:t>
            </w:r>
            <w:r w:rsidRPr="00215A18">
              <w:t xml:space="preserve">zemes dienests sniegtu </w:t>
            </w:r>
            <w:r w:rsidRPr="00215A18">
              <w:rPr>
                <w:spacing w:val="-5"/>
              </w:rPr>
              <w:t xml:space="preserve">Valsts </w:t>
            </w:r>
            <w:r w:rsidRPr="00215A18">
              <w:t xml:space="preserve">adrešu reģistra un administratīvo robežu datus kā atvērtos datus (https://likumi.lv/ta/id/297019-ministru-kabineta-sedes-protokols). </w:t>
            </w:r>
            <w:r w:rsidRPr="00215A18">
              <w:rPr>
                <w:spacing w:val="-11"/>
              </w:rPr>
              <w:t xml:space="preserve">LATA </w:t>
            </w:r>
            <w:r w:rsidRPr="00215A18">
              <w:t xml:space="preserve">lūdz rast iespēju Tieslietu ministram Jānim Bordānam un </w:t>
            </w:r>
            <w:r w:rsidRPr="00215A18">
              <w:rPr>
                <w:spacing w:val="-5"/>
              </w:rPr>
              <w:t xml:space="preserve">Valsts </w:t>
            </w:r>
            <w:r w:rsidRPr="00215A18">
              <w:t xml:space="preserve">zemes dienesta ģenerāldirektorei </w:t>
            </w:r>
            <w:r w:rsidRPr="00215A18">
              <w:rPr>
                <w:spacing w:val="-3"/>
              </w:rPr>
              <w:t xml:space="preserve">Vitai </w:t>
            </w:r>
            <w:r w:rsidRPr="00215A18">
              <w:t xml:space="preserve">Narnickai tikties ar </w:t>
            </w:r>
            <w:r w:rsidRPr="00215A18">
              <w:rPr>
                <w:spacing w:val="-12"/>
              </w:rPr>
              <w:t xml:space="preserve">LATA </w:t>
            </w:r>
            <w:r w:rsidRPr="00215A18">
              <w:t xml:space="preserve">pārstāvjiem, lai pārrunātu, kā </w:t>
            </w:r>
            <w:r w:rsidRPr="00215A18">
              <w:lastRenderedPageBreak/>
              <w:t>nodrošināt nepieciešamo finansējumu datu atvēršanai, kā tas norādīts 2018. gada 6. februāra protokollēmumā.</w:t>
            </w:r>
          </w:p>
        </w:tc>
        <w:tc>
          <w:tcPr>
            <w:tcW w:w="3425" w:type="dxa"/>
            <w:gridSpan w:val="2"/>
            <w:tcBorders>
              <w:top w:val="single" w:color="000000" w:sz="6" w:space="0"/>
              <w:left w:val="single" w:color="000000" w:sz="6" w:space="0"/>
              <w:bottom w:val="single" w:color="000000" w:sz="6" w:space="0"/>
              <w:right w:val="single" w:color="000000" w:sz="6" w:space="0"/>
            </w:tcBorders>
          </w:tcPr>
          <w:p w:rsidR="0002262A" w:rsidP="0002262A" w:rsidRDefault="00AF66E0" w14:paraId="0A209859" w14:textId="284D1B32">
            <w:pPr>
              <w:jc w:val="both"/>
              <w:rPr>
                <w:b/>
              </w:rPr>
            </w:pPr>
            <w:r>
              <w:rPr>
                <w:b/>
              </w:rPr>
              <w:lastRenderedPageBreak/>
              <w:t>Panākta vienošanās</w:t>
            </w:r>
          </w:p>
          <w:p w:rsidRPr="00215A18" w:rsidR="00AF66E0" w:rsidP="0002262A" w:rsidRDefault="00AF66E0" w14:paraId="31191852" w14:textId="77777777">
            <w:pPr>
              <w:jc w:val="both"/>
              <w:rPr>
                <w:b/>
              </w:rPr>
            </w:pPr>
          </w:p>
          <w:p w:rsidR="0002262A" w:rsidP="0002262A" w:rsidRDefault="0002262A" w14:paraId="614D2DE0" w14:textId="0D06F076">
            <w:pPr>
              <w:jc w:val="both"/>
            </w:pPr>
            <w:r w:rsidRPr="00AF66E0">
              <w:t xml:space="preserve">Tieslietu </w:t>
            </w:r>
            <w:r w:rsidRPr="00337C30">
              <w:t>ministrija</w:t>
            </w:r>
            <w:r>
              <w:t>s</w:t>
            </w:r>
            <w:r w:rsidRPr="00AF66E0">
              <w:t xml:space="preserve"> un </w:t>
            </w:r>
            <w:r w:rsidRPr="00AF66E0" w:rsidR="00AF66E0">
              <w:t>Valsts zemes dienest</w:t>
            </w:r>
            <w:r w:rsidR="00AF66E0">
              <w:t>a</w:t>
            </w:r>
            <w:r w:rsidRPr="00AF66E0" w:rsidR="00AF66E0">
              <w:t xml:space="preserve"> (turpmāk – Dienests)</w:t>
            </w:r>
            <w:r w:rsidR="00AF66E0">
              <w:t xml:space="preserve"> </w:t>
            </w:r>
            <w:r w:rsidRPr="00AF66E0">
              <w:t xml:space="preserve">pārstāvji tikšanās laikā ar </w:t>
            </w:r>
            <w:r w:rsidRPr="00AF66E0">
              <w:rPr>
                <w:spacing w:val="-12"/>
              </w:rPr>
              <w:t xml:space="preserve">LATA </w:t>
            </w:r>
            <w:r w:rsidRPr="00AF66E0">
              <w:t xml:space="preserve">pārstāvjiem </w:t>
            </w:r>
            <w:r>
              <w:t>2021.</w:t>
            </w:r>
            <w:r w:rsidR="00AF66E0">
              <w:t> </w:t>
            </w:r>
            <w:r>
              <w:t xml:space="preserve">gada </w:t>
            </w:r>
            <w:r w:rsidR="00D039FC">
              <w:t>23</w:t>
            </w:r>
            <w:r>
              <w:t>.</w:t>
            </w:r>
            <w:r w:rsidR="00AF66E0">
              <w:t> </w:t>
            </w:r>
            <w:r>
              <w:t xml:space="preserve">martā </w:t>
            </w:r>
            <w:r w:rsidRPr="00AF66E0">
              <w:t>pārrunāja darbības</w:t>
            </w:r>
            <w:r>
              <w:t>,</w:t>
            </w:r>
            <w:r w:rsidRPr="00AF66E0">
              <w:t xml:space="preserve"> kā nodrošināt nepieciešamo finansējumu datu atvēršanai</w:t>
            </w:r>
            <w:r>
              <w:t>. Tikšanās</w:t>
            </w:r>
            <w:r w:rsidRPr="00AF66E0">
              <w:t xml:space="preserve"> laikā tika nolemts virzīt attiecīgu prioritāro pasākumu par papildu nepieciešamā finansējuma</w:t>
            </w:r>
            <w:r>
              <w:t xml:space="preserve"> </w:t>
            </w:r>
            <w:r w:rsidRPr="00AF66E0">
              <w:t>piešķiršanu Tieslietu ministrijas valsts budžeta programmā 07.00.00 "Nekustamā īpašuma tiesību politikas īstenošana" Ministru kabinetā likumprojekta "Par valsts budžetu 2022. gadam" un likumprojekta "Par vidēja termiņa budžeta ietvaru 2022., 2023. un 2024. gadam" sagatavošanas un izskatīšanas procesā kopā ar visu ministriju un citu centrālo valsts iestāžu priekšlikumiem prioritārajiem pasākumiem un iesniegtajiem papildu finansējuma pieprasījumiem.</w:t>
            </w:r>
          </w:p>
          <w:p w:rsidR="0002262A" w:rsidP="0002262A" w:rsidRDefault="0002262A" w14:paraId="3A902D59" w14:textId="0623D5E1">
            <w:pPr>
              <w:jc w:val="both"/>
            </w:pPr>
            <w:r w:rsidRPr="00215A18">
              <w:t xml:space="preserve">Ģeotelpisko datu atvēršana bez maksas neattiecas uz </w:t>
            </w:r>
            <w:r>
              <w:t>p</w:t>
            </w:r>
            <w:r w:rsidRPr="00215A18">
              <w:t xml:space="preserve">rojektu. </w:t>
            </w:r>
            <w:r>
              <w:t>Dienests</w:t>
            </w:r>
            <w:r w:rsidRPr="00215A18">
              <w:t xml:space="preserve"> norāda, ka ar </w:t>
            </w:r>
            <w:r>
              <w:t>p</w:t>
            </w:r>
            <w:r w:rsidRPr="00215A18">
              <w:t xml:space="preserve">rojektu </w:t>
            </w:r>
            <w:r w:rsidRPr="00215A18">
              <w:lastRenderedPageBreak/>
              <w:t>netiek veidoti jauni pakalpojumi ģeotelpisko datu izsniegšanā</w:t>
            </w:r>
            <w:r>
              <w:t>.</w:t>
            </w:r>
            <w:r w:rsidRPr="00215A18">
              <w:t xml:space="preserve"> Dienests esošajiem datu izsniegšanas pakalpojumiem maina maksas piemērošanas principus, jo, </w:t>
            </w:r>
            <w:r w:rsidRPr="00FE544B">
              <w:t>samazinot pakalpojuma cenu,</w:t>
            </w:r>
            <w:r w:rsidRPr="00215A18">
              <w:t xml:space="preserve"> pakalpojuma pieejamība būs daudz lielāka, būs radīti labvēlīgi nosacījumi plašākam lietotāju lokam, sniedzot iespēju izmantot ģeotelpiskos datus par atbilstošu samaksu, jo arī noteiktais pieprasījumu skaits mēnesī neietekmēs lielāko daļu klientu, kas datus izmanto savām vajadzībām. Projekts paredz, ka atsevišķiem pakalpojumiem tiks samazināta arī cena (līdz šim maksa par pieprasījumu diennaktī bija 23,00 </w:t>
            </w:r>
            <w:r w:rsidRPr="00215A18">
              <w:rPr>
                <w:i/>
              </w:rPr>
              <w:t>euro</w:t>
            </w:r>
            <w:r w:rsidRPr="00281651">
              <w:t xml:space="preserve">, </w:t>
            </w:r>
            <w:r w:rsidRPr="00215A18">
              <w:t>projekts paredz samazināt cenu pakalpojumam līdz 5,70 </w:t>
            </w:r>
            <w:r w:rsidRPr="00215A18">
              <w:rPr>
                <w:i/>
              </w:rPr>
              <w:t>euro</w:t>
            </w:r>
            <w:r w:rsidRPr="00215A18">
              <w:t xml:space="preserve"> par pieslēgumu diennaktī) ar mērķi veicināt pakalpojuma pieejamību plašākam lietotāju lokam. Projekta ietekmē 78 % klientiem ikmēneša izmaksas par datu servisa izmantošanu samazināsies par 50 –75 %.</w:t>
            </w:r>
          </w:p>
          <w:p w:rsidRPr="0002262A" w:rsidR="0002262A" w:rsidP="0002262A" w:rsidRDefault="0002262A" w14:paraId="417CF042" w14:textId="1979E76D">
            <w:pPr>
              <w:jc w:val="both"/>
            </w:pPr>
            <w:r w:rsidRPr="00215A18">
              <w:t xml:space="preserve">Valsts adrešu reģistra informācijas sistēmas (turpmāk – </w:t>
            </w:r>
            <w:r w:rsidRPr="00215A18">
              <w:lastRenderedPageBreak/>
              <w:t xml:space="preserve">VARIS) datu atvēršana nav iespējama esošā Dienesta budžeta ietvaros un </w:t>
            </w:r>
            <w:r>
              <w:t>p</w:t>
            </w:r>
            <w:r w:rsidRPr="00215A18">
              <w:t>rojekta ietvarā, jo datu publicēšana Latvijas Atvērto datu portālā (</w:t>
            </w:r>
            <w:hyperlink w:history="1" r:id="rId8">
              <w:r w:rsidRPr="00215A18">
                <w:t>https://data.gov.lv</w:t>
              </w:r>
            </w:hyperlink>
            <w:r w:rsidRPr="00215A18">
              <w:t>) radīs tiešu un ilgtermiņa ietekmi uz Dienesta budžetu, jo vairs netiks saņemti maksas pakalpojumu ieņēmumi par adrešu datu izsniegšanu, kurus Dienests šobrīd novirza VARIS darbības nodrošināšanai, tai skaitā VARIS datu izsniegšanas servisu uzturēšanai.</w:t>
            </w:r>
            <w:r w:rsidR="00AF66E0">
              <w:t xml:space="preserve"> </w:t>
            </w:r>
            <w:r w:rsidRPr="00215A18">
              <w:t>Papildu</w:t>
            </w:r>
            <w:r w:rsidR="0099089C">
              <w:t>s</w:t>
            </w:r>
            <w:r w:rsidRPr="00215A18">
              <w:t xml:space="preserve"> nepieciešamo finansējumu VARIS darbības nodrošināšanai, tai skaitā VARIS datu publicēšanai bez maksas atvērto datu veidā, Dienests </w:t>
            </w:r>
            <w:r>
              <w:t xml:space="preserve">turpinās </w:t>
            </w:r>
            <w:r w:rsidRPr="00215A18">
              <w:t>pieprasī</w:t>
            </w:r>
            <w:r w:rsidR="00AF66E0">
              <w:t>t</w:t>
            </w:r>
            <w:r w:rsidRPr="00215A18">
              <w:t xml:space="preserve"> arī turpmāk Ministru kabinetā ikgadējo likumprojektu "Par valsts budžetu" un likumprojektu "Par vidēja termiņa budžeta ietvaru" sagatavošanas un izskatīšanas procesā kopā ar visu ministriju un citu centrālo valsts iestāžu priekšlikumiem prioritārajiem pasākumiem un </w:t>
            </w:r>
            <w:r w:rsidRPr="00337C30">
              <w:t>iesniegtajiem papildu finansējuma pieprasījumiem.</w:t>
            </w:r>
          </w:p>
        </w:tc>
        <w:tc>
          <w:tcPr>
            <w:tcW w:w="3626" w:type="dxa"/>
            <w:tcBorders>
              <w:top w:val="single" w:color="auto" w:sz="4" w:space="0"/>
              <w:left w:val="single" w:color="auto" w:sz="4" w:space="0"/>
              <w:bottom w:val="single" w:color="auto" w:sz="4" w:space="0"/>
            </w:tcBorders>
          </w:tcPr>
          <w:p w:rsidRPr="00337C30" w:rsidR="0002262A" w:rsidP="0002262A" w:rsidRDefault="0002262A" w14:paraId="7119F299" w14:textId="0627F30C">
            <w:pPr>
              <w:ind w:right="-6"/>
              <w:jc w:val="both"/>
            </w:pPr>
            <w:r w:rsidRPr="00215A18">
              <w:lastRenderedPageBreak/>
              <w:t>Projekts saistībā ar šo iebildumu nav grozīts</w:t>
            </w:r>
            <w:r>
              <w:t>.</w:t>
            </w:r>
          </w:p>
        </w:tc>
      </w:tr>
      <w:tr w:rsidRPr="00A73AAA" w:rsidR="00AF66E0" w:rsidTr="00C941F7" w14:paraId="7E8FCF3D" w14:textId="77777777">
        <w:tc>
          <w:tcPr>
            <w:tcW w:w="585" w:type="dxa"/>
            <w:tcBorders>
              <w:top w:val="single" w:color="000000" w:sz="6" w:space="0"/>
              <w:left w:val="single" w:color="000000" w:sz="6" w:space="0"/>
              <w:bottom w:val="single" w:color="000000" w:sz="6" w:space="0"/>
              <w:right w:val="single" w:color="000000" w:sz="6" w:space="0"/>
            </w:tcBorders>
          </w:tcPr>
          <w:p w:rsidRPr="00A73AAA" w:rsidR="0002262A" w:rsidP="0002262A" w:rsidRDefault="0002262A" w14:paraId="5302DCC2" w14:textId="2AC6BC62">
            <w:pPr>
              <w:pStyle w:val="naisc"/>
              <w:spacing w:before="0" w:after="0"/>
              <w:jc w:val="both"/>
            </w:pPr>
            <w:r>
              <w:lastRenderedPageBreak/>
              <w:t>3</w:t>
            </w:r>
            <w:r w:rsidRPr="00A73AAA">
              <w:t>.</w:t>
            </w:r>
          </w:p>
        </w:tc>
        <w:tc>
          <w:tcPr>
            <w:tcW w:w="3518" w:type="dxa"/>
            <w:gridSpan w:val="2"/>
            <w:tcBorders>
              <w:top w:val="single" w:color="000000" w:sz="6" w:space="0"/>
              <w:left w:val="single" w:color="000000" w:sz="6" w:space="0"/>
              <w:bottom w:val="single" w:color="000000" w:sz="6" w:space="0"/>
              <w:right w:val="single" w:color="000000" w:sz="6" w:space="0"/>
            </w:tcBorders>
          </w:tcPr>
          <w:p w:rsidR="0002262A" w:rsidP="0002262A" w:rsidRDefault="0002262A" w14:paraId="7F1B7F4B" w14:textId="382434FE">
            <w:pPr>
              <w:jc w:val="both"/>
            </w:pPr>
            <w:r>
              <w:t>20. Papildināt pielikumu ar 18. un 19. piezīmi šādā redakcijā:</w:t>
            </w:r>
          </w:p>
          <w:p w:rsidR="0002262A" w:rsidP="0002262A" w:rsidRDefault="0002262A" w14:paraId="5CEF61DF" w14:textId="508169FE">
            <w:pPr>
              <w:jc w:val="both"/>
            </w:pPr>
            <w:r>
              <w:t>"18. Pārsniedzot noteikto servisa pieprasījumu skaitu kalendārajā mēnesī, cenu piemēro par katriem 25 000 datu pieprasījumiem. Pieprasījumu skaits ir viens nedalāms kopums. Maksu par mēnesi, kurā tiek pārtrauktas līgumsaistības, aprēķina pilnā apmērā.</w:t>
            </w:r>
          </w:p>
          <w:p w:rsidR="0002262A" w:rsidP="0002262A" w:rsidRDefault="0002262A" w14:paraId="54874BDB" w14:textId="77777777">
            <w:pPr>
              <w:jc w:val="both"/>
            </w:pPr>
            <w:r>
              <w:t>(..)."</w:t>
            </w:r>
          </w:p>
          <w:p w:rsidR="0002262A" w:rsidP="0002262A" w:rsidRDefault="0002262A" w14:paraId="7857B518" w14:textId="77777777">
            <w:pPr>
              <w:jc w:val="both"/>
            </w:pPr>
          </w:p>
          <w:p w:rsidR="0002262A" w:rsidP="0002262A" w:rsidRDefault="0002262A" w14:paraId="3945F345" w14:textId="1A5C62B9">
            <w:pPr>
              <w:jc w:val="both"/>
            </w:pPr>
            <w:r>
              <w:t>Anotācijas I sadaļas 2. punkts:</w:t>
            </w:r>
          </w:p>
          <w:p w:rsidRPr="00E1637A" w:rsidR="0002262A" w:rsidP="0002262A" w:rsidRDefault="0002262A" w14:paraId="4AF0B807" w14:textId="77777777">
            <w:pPr>
              <w:jc w:val="both"/>
              <w:rPr>
                <w:rFonts w:eastAsiaTheme="minorHAnsi"/>
                <w:lang w:eastAsia="en-US"/>
              </w:rPr>
            </w:pPr>
            <w:r>
              <w:t>"</w:t>
            </w:r>
            <w:r w:rsidRPr="00E1637A">
              <w:rPr>
                <w:rFonts w:eastAsiaTheme="minorHAnsi"/>
                <w:lang w:eastAsia="en-US"/>
              </w:rPr>
              <w:t>5. Paredzēts pievienot jaunu MK noteikumu Nr. 787 pielikuma 18. </w:t>
            </w:r>
            <w:r w:rsidRPr="00E1637A">
              <w:t>piezīmi</w:t>
            </w:r>
            <w:r w:rsidRPr="00E1637A">
              <w:rPr>
                <w:rFonts w:eastAsiaTheme="minorHAnsi"/>
                <w:lang w:eastAsia="en-US"/>
              </w:rPr>
              <w:t>, kas paskaidro, ka tīmekļa pakalpes datu pieprasījumu skaits mēnesī ir nedalāms kopums:</w:t>
            </w:r>
          </w:p>
          <w:p w:rsidRPr="00A73AAA" w:rsidR="0002262A" w:rsidP="0002262A" w:rsidRDefault="0002262A" w14:paraId="2FDBF28B" w14:textId="4FE3EC38">
            <w:pPr>
              <w:jc w:val="both"/>
            </w:pPr>
            <w:r w:rsidRPr="00E1637A">
              <w:rPr>
                <w:rFonts w:eastAsiaTheme="minorHAnsi"/>
                <w:lang w:eastAsia="en-US"/>
              </w:rPr>
              <w:t>"18. Pārsniedzot noteikto servisa pieprasījumu skaitu kalendārajā mēnesī, cenu piemēro par katriem 25 000 datu pieprasījumiem. Pieprasījumu skaits ir viens nedalāms kopums. Maksu par mēnesi, kurā tiek pārtrauktas līgumsaistības, aprēķina pilnā apmērā."</w:t>
            </w:r>
          </w:p>
        </w:tc>
        <w:tc>
          <w:tcPr>
            <w:tcW w:w="3119" w:type="dxa"/>
            <w:tcBorders>
              <w:top w:val="single" w:color="000000" w:sz="6" w:space="0"/>
              <w:left w:val="single" w:color="000000" w:sz="6" w:space="0"/>
              <w:bottom w:val="single" w:color="000000" w:sz="6" w:space="0"/>
              <w:right w:val="single" w:color="000000" w:sz="6" w:space="0"/>
            </w:tcBorders>
          </w:tcPr>
          <w:p w:rsidRPr="00A73AAA" w:rsidR="0002262A" w:rsidP="0002262A" w:rsidRDefault="0002262A" w14:paraId="23F47FD6" w14:textId="77777777">
            <w:pPr>
              <w:ind w:left="33" w:right="-108"/>
              <w:jc w:val="both"/>
              <w:rPr>
                <w:b/>
              </w:rPr>
            </w:pPr>
            <w:r w:rsidRPr="00A73AAA">
              <w:rPr>
                <w:b/>
              </w:rPr>
              <w:t>Zemkopības ministrija</w:t>
            </w:r>
          </w:p>
          <w:p w:rsidRPr="00A73AAA" w:rsidR="0002262A" w:rsidP="0002262A" w:rsidRDefault="0002262A" w14:paraId="75D8F733" w14:textId="77777777">
            <w:pPr>
              <w:ind w:left="33" w:right="-108"/>
              <w:jc w:val="both"/>
              <w:rPr>
                <w:b/>
              </w:rPr>
            </w:pPr>
          </w:p>
          <w:p w:rsidRPr="00A73AAA" w:rsidR="0002262A" w:rsidP="0002262A" w:rsidRDefault="0002262A" w14:paraId="1F906427" w14:textId="77777777">
            <w:pPr>
              <w:jc w:val="both"/>
            </w:pPr>
            <w:r w:rsidRPr="00A73AAA">
              <w:t>Ņemot vērā plānotās izmaiņas Dienesta maksas pakalpojumos un to izcenojumos par</w:t>
            </w:r>
            <w:r>
              <w:t xml:space="preserve"> </w:t>
            </w:r>
            <w:r w:rsidRPr="00A73AAA">
              <w:t>ģeotelpisko datu izplatīšanas tīmekļa pakalpju izmantošanu, iebilstam par Projekta</w:t>
            </w:r>
            <w:r>
              <w:t xml:space="preserve"> </w:t>
            </w:r>
            <w:r w:rsidRPr="00A73AAA">
              <w:t>6., 7., 8., 9. un 10. punkta nosacījumiem.</w:t>
            </w:r>
          </w:p>
          <w:p w:rsidRPr="00A73AAA" w:rsidR="0002262A" w:rsidP="0002262A" w:rsidRDefault="0002262A" w14:paraId="015EF321" w14:textId="77777777">
            <w:pPr>
              <w:jc w:val="both"/>
            </w:pPr>
            <w:r w:rsidRPr="00A73AAA">
              <w:t>Tieslietu ministrija ir norādījusi, ka par vienu pieprasījumu jeb katru vienu tīmekļa pakalpes izsaukumu tiks samazināta pakalpojuma cena, un pārejot uz maksas piemērošanu par pieprasījumu skaitu, pozitīvi ietekmēs lielāko daļu klientu. Ievērojot minēto, analizējot izmaksas, to tīmekļa</w:t>
            </w:r>
            <w:r>
              <w:t xml:space="preserve"> </w:t>
            </w:r>
            <w:r w:rsidRPr="00A73AAA">
              <w:t xml:space="preserve">pakalpes lietotājiem, kuri par saņemto pakalpojumu maksā atbilstoši veikto pieprasījumu skaitam, un datu pieprasījuma apjoms veido 70 % no kopējā datu pieprasījumu skaita mēnesī ( 2020. gadā 4,09 milj./mēn. ), ir aprēķināts, ka pie plānotajām izmaiņām cenrādī, ikmēneša </w:t>
            </w:r>
            <w:r w:rsidRPr="00A73AAA">
              <w:lastRenderedPageBreak/>
              <w:t>maksājums palielināsies 27 reizes, sasniedzot aptuveni 5000 EUR/mēn. (60 000 gadā). Vēršam uzmanību, ka šāds izmaksu pieaugums ir ļoti būtisks un nesamērīgs pret saņemtā pakalpojuma saturu, kā arī radīs situāciju, kad</w:t>
            </w:r>
            <w:r>
              <w:t xml:space="preserve"> </w:t>
            </w:r>
            <w:r w:rsidRPr="00A73AAA">
              <w:t>pakalpojumu lietotāju skaits samazināsies un būtiski radīs negatīvu ietekmi uz datu pieejamību sabiedrībai.</w:t>
            </w:r>
          </w:p>
          <w:p w:rsidRPr="00A73AAA" w:rsidR="0002262A" w:rsidP="0002262A" w:rsidRDefault="0002262A" w14:paraId="32A1ECFD" w14:textId="77777777">
            <w:pPr>
              <w:jc w:val="both"/>
            </w:pPr>
            <w:r w:rsidRPr="00A73AAA">
              <w:t>Apstiprinot šādus Projekta grozījumus, nebūs vairs publiski pieejami vairāki ģeotelpiskā informācijas pakalpojumi, kā piemēram Dienesta kadastra dati,</w:t>
            </w:r>
            <w:r>
              <w:t xml:space="preserve"> </w:t>
            </w:r>
            <w:r w:rsidRPr="00A73AAA">
              <w:t>LVM GEO, ne arī adrešu meklēšana https://lvmgeo.lvm.lv vietnē un cietīs ļoti daudzi publiskā pakalpojuma lietotāji.</w:t>
            </w:r>
          </w:p>
        </w:tc>
        <w:tc>
          <w:tcPr>
            <w:tcW w:w="3425" w:type="dxa"/>
            <w:gridSpan w:val="2"/>
            <w:tcBorders>
              <w:top w:val="single" w:color="000000" w:sz="6" w:space="0"/>
              <w:left w:val="single" w:color="000000" w:sz="6" w:space="0"/>
              <w:bottom w:val="single" w:color="000000" w:sz="6" w:space="0"/>
              <w:right w:val="single" w:color="000000" w:sz="6" w:space="0"/>
            </w:tcBorders>
          </w:tcPr>
          <w:p w:rsidR="0002262A" w:rsidP="0002262A" w:rsidRDefault="0002262A" w14:paraId="090D8200" w14:textId="65D09A45">
            <w:pPr>
              <w:jc w:val="both"/>
              <w:rPr>
                <w:b/>
              </w:rPr>
            </w:pPr>
            <w:r>
              <w:rPr>
                <w:b/>
              </w:rPr>
              <w:lastRenderedPageBreak/>
              <w:t>Ņ</w:t>
            </w:r>
            <w:r w:rsidRPr="00281651">
              <w:rPr>
                <w:b/>
              </w:rPr>
              <w:t>emts vērā</w:t>
            </w:r>
          </w:p>
          <w:p w:rsidRPr="00AF66E0" w:rsidR="0002262A" w:rsidP="0002262A" w:rsidRDefault="0002262A" w14:paraId="6641020B" w14:textId="75EA0E1C">
            <w:pPr>
              <w:jc w:val="both"/>
            </w:pPr>
          </w:p>
          <w:p w:rsidRPr="00671B3A" w:rsidR="0002262A" w:rsidP="00AF66E0" w:rsidRDefault="0002262A" w14:paraId="4BDC9E94" w14:textId="2213E0EA">
            <w:pPr>
              <w:jc w:val="both"/>
              <w:rPr>
                <w:bCs/>
                <w:u w:val="single"/>
              </w:rPr>
            </w:pPr>
            <w:r w:rsidRPr="00E1637A">
              <w:t>M</w:t>
            </w:r>
            <w:r>
              <w:t>inistru kabineta noteikumu pielikuma 18. piezīme papildināta, paredzot</w:t>
            </w:r>
            <w:r w:rsidRPr="00AF66E0">
              <w:t>, ka</w:t>
            </w:r>
            <w:r>
              <w:t>,</w:t>
            </w:r>
            <w:r w:rsidRPr="00AF66E0">
              <w:t xml:space="preserve"> </w:t>
            </w:r>
            <w:r>
              <w:t>p</w:t>
            </w:r>
            <w:r w:rsidRPr="00E1637A">
              <w:t>ārsniedzot 1</w:t>
            </w:r>
            <w:r>
              <w:t> </w:t>
            </w:r>
            <w:r w:rsidRPr="00E1637A">
              <w:t>000</w:t>
            </w:r>
            <w:r>
              <w:t> </w:t>
            </w:r>
            <w:r w:rsidRPr="00E1637A">
              <w:t>000</w:t>
            </w:r>
            <w:r>
              <w:t> </w:t>
            </w:r>
            <w:r w:rsidRPr="00E1637A">
              <w:t>datu pieprasījumu kalendārajā mēnesī, cena par turpmākiem datu pieprasījumiem šajā kalendārajā mēnesī netiek piemērota.</w:t>
            </w:r>
            <w:r>
              <w:t xml:space="preserve"> Tādejādi tīmekļa pakalpes lietotāji varēs plānot savas izmaksas.</w:t>
            </w:r>
          </w:p>
        </w:tc>
        <w:tc>
          <w:tcPr>
            <w:tcW w:w="3626" w:type="dxa"/>
            <w:tcBorders>
              <w:top w:val="single" w:color="auto" w:sz="4" w:space="0"/>
              <w:left w:val="single" w:color="auto" w:sz="4" w:space="0"/>
              <w:bottom w:val="single" w:color="auto" w:sz="4" w:space="0"/>
              <w:right w:val="single" w:color="auto" w:sz="4" w:space="0"/>
            </w:tcBorders>
          </w:tcPr>
          <w:p w:rsidRPr="00337C30" w:rsidR="0002262A" w:rsidP="0002262A" w:rsidRDefault="0002262A" w14:paraId="64ACD2E3" w14:textId="77777777">
            <w:pPr>
              <w:pStyle w:val="Sarakstarindkopa"/>
              <w:ind w:left="0"/>
              <w:jc w:val="both"/>
            </w:pPr>
            <w:r w:rsidRPr="00337C30">
              <w:t>20. Papildināt pielikumu ar 18. un 19. piezīmi šādā redakcijā:</w:t>
            </w:r>
          </w:p>
          <w:p w:rsidRPr="00337C30" w:rsidR="0002262A" w:rsidP="0002262A" w:rsidRDefault="0002262A" w14:paraId="55233318" w14:textId="21AA2106">
            <w:pPr>
              <w:pStyle w:val="Sarakstarindkopa"/>
              <w:ind w:left="0"/>
              <w:jc w:val="both"/>
            </w:pPr>
            <w:r w:rsidRPr="00AF66E0">
              <w:t>"</w:t>
            </w:r>
            <w:r w:rsidRPr="00337C30">
              <w:t>18. Cenu piemēro par katriem 25 000 datu pieprasījumiem kalendārajā mēnesī līdz 1 000 000 datu pieprasījumu kalendārajā mēnesī. Pārsniedzot 1 000 000 datu pieprasījumu kalendārajā mēnesī, cena par turpmākiem datu pieprasījumiem šajā kalendārajā mēnesī netiek piemērota. Pieprasījumu skaits ir viens nedalāms kopums. Maksu par kalendāro mēnesi, kurā tiek pārtrauktas līgumsaistības, aprēķina šajā piezīmē noteiktajā kārtībā, proporcionāli nesamazinot maksu."</w:t>
            </w:r>
          </w:p>
          <w:p w:rsidR="0002262A" w:rsidP="0002262A" w:rsidRDefault="0002262A" w14:paraId="0FA91F27" w14:textId="77777777">
            <w:pPr>
              <w:jc w:val="both"/>
            </w:pPr>
            <w:r>
              <w:t>(..)</w:t>
            </w:r>
            <w:r w:rsidRPr="00337C30">
              <w:t>."</w:t>
            </w:r>
          </w:p>
          <w:p w:rsidR="0002262A" w:rsidP="0002262A" w:rsidRDefault="0002262A" w14:paraId="7C6F47BF" w14:textId="77777777">
            <w:pPr>
              <w:jc w:val="both"/>
            </w:pPr>
          </w:p>
          <w:p w:rsidR="0002262A" w:rsidP="0002262A" w:rsidRDefault="0002262A" w14:paraId="6C8B6D3D" w14:textId="77777777">
            <w:pPr>
              <w:jc w:val="both"/>
            </w:pPr>
            <w:r>
              <w:t>Anotācijas I sadaļas 2. punkts:</w:t>
            </w:r>
          </w:p>
          <w:p w:rsidRPr="00E1637A" w:rsidR="0002262A" w:rsidP="0002262A" w:rsidRDefault="0002262A" w14:paraId="3A5C479C" w14:textId="77777777">
            <w:pPr>
              <w:jc w:val="both"/>
              <w:rPr>
                <w:rFonts w:eastAsiaTheme="minorHAnsi"/>
                <w:lang w:eastAsia="en-US"/>
              </w:rPr>
            </w:pPr>
            <w:r>
              <w:t>"</w:t>
            </w:r>
            <w:r w:rsidRPr="00E1637A">
              <w:rPr>
                <w:rFonts w:eastAsiaTheme="minorHAnsi"/>
                <w:lang w:eastAsia="en-US"/>
              </w:rPr>
              <w:t>5. Paredzēts pievienot jaunu MK noteikumu Nr. 787 pielikuma 18. </w:t>
            </w:r>
            <w:r w:rsidRPr="00E1637A">
              <w:t>piezīmi</w:t>
            </w:r>
            <w:r w:rsidRPr="00E1637A">
              <w:rPr>
                <w:rFonts w:eastAsiaTheme="minorHAnsi"/>
                <w:lang w:eastAsia="en-US"/>
              </w:rPr>
              <w:t>, kas paskaidro, ka tīmekļa pakalpes datu pieprasījumu skaits mēnesī ir nedalāms kopums:</w:t>
            </w:r>
          </w:p>
          <w:p w:rsidRPr="00337C30" w:rsidR="0002262A" w:rsidP="0002262A" w:rsidRDefault="0002262A" w14:paraId="69BC6908" w14:textId="3FF5D01A">
            <w:pPr>
              <w:jc w:val="both"/>
            </w:pPr>
            <w:r w:rsidRPr="00E1637A">
              <w:rPr>
                <w:rFonts w:eastAsiaTheme="minorHAnsi"/>
                <w:lang w:eastAsia="en-US"/>
              </w:rPr>
              <w:t xml:space="preserve">"18. Cenu piemēro par katriem 25 000 datu pieprasījumiem kalendārajā mēnesī līdz 1 000 000 datu pieprasījumu kalendārajā mēnesī. Pārsniedzot 1 000 000 datu pieprasījumu kalendārajā mēnesī, </w:t>
            </w:r>
            <w:r w:rsidRPr="00E1637A">
              <w:rPr>
                <w:rFonts w:eastAsiaTheme="minorHAnsi"/>
                <w:lang w:eastAsia="en-US"/>
              </w:rPr>
              <w:lastRenderedPageBreak/>
              <w:t>cena par turpmākiem datu pieprasījumiem šajā kalendārajā mēnesī netiek piemērota. Pieprasījumu skaits ir viens nedalāms kopums. Maksu par kalendāro mēnesi, kurā tiek pārtrauktas līgumsaistības, aprēķina šajā piezīmē noteiktajā kārtībā, proporcionāli nesamazinot maksu."</w:t>
            </w:r>
          </w:p>
        </w:tc>
      </w:tr>
      <w:tr w:rsidRPr="00A73AAA" w:rsidR="00F13867" w:rsidTr="00C941F7" w14:paraId="1D5573C0" w14:textId="77777777">
        <w:tc>
          <w:tcPr>
            <w:tcW w:w="585" w:type="dxa"/>
            <w:tcBorders>
              <w:top w:val="single" w:color="000000" w:sz="6" w:space="0"/>
              <w:left w:val="single" w:color="000000" w:sz="6" w:space="0"/>
              <w:bottom w:val="single" w:color="000000" w:sz="6" w:space="0"/>
              <w:right w:val="single" w:color="000000" w:sz="6" w:space="0"/>
            </w:tcBorders>
          </w:tcPr>
          <w:p w:rsidR="00F13867" w:rsidP="0002262A" w:rsidRDefault="00F13867" w14:paraId="42CAF2D4" w14:textId="0E87A6D0">
            <w:pPr>
              <w:pStyle w:val="naisc"/>
              <w:spacing w:before="0" w:after="0"/>
              <w:jc w:val="both"/>
            </w:pPr>
            <w:r>
              <w:lastRenderedPageBreak/>
              <w:t>4.</w:t>
            </w:r>
          </w:p>
        </w:tc>
        <w:tc>
          <w:tcPr>
            <w:tcW w:w="3518" w:type="dxa"/>
            <w:gridSpan w:val="2"/>
            <w:tcBorders>
              <w:top w:val="single" w:color="000000" w:sz="6" w:space="0"/>
              <w:left w:val="single" w:color="000000" w:sz="6" w:space="0"/>
              <w:bottom w:val="single" w:color="000000" w:sz="6" w:space="0"/>
              <w:right w:val="single" w:color="000000" w:sz="6" w:space="0"/>
            </w:tcBorders>
          </w:tcPr>
          <w:p w:rsidR="00F13867" w:rsidP="0002262A" w:rsidRDefault="00F13867" w14:paraId="7ED27DFD" w14:textId="325785CC">
            <w:pPr>
              <w:jc w:val="both"/>
            </w:pPr>
            <w:r w:rsidRPr="00215A18">
              <w:t>Iebildums par projektu kopumā</w:t>
            </w:r>
            <w:r>
              <w:t xml:space="preserve"> (atkārtotā saskaņošana)</w:t>
            </w:r>
          </w:p>
        </w:tc>
        <w:tc>
          <w:tcPr>
            <w:tcW w:w="3119" w:type="dxa"/>
            <w:tcBorders>
              <w:top w:val="single" w:color="000000" w:sz="6" w:space="0"/>
              <w:left w:val="single" w:color="000000" w:sz="6" w:space="0"/>
              <w:bottom w:val="single" w:color="000000" w:sz="6" w:space="0"/>
              <w:right w:val="single" w:color="000000" w:sz="6" w:space="0"/>
            </w:tcBorders>
          </w:tcPr>
          <w:p w:rsidR="00F13867" w:rsidP="0002262A" w:rsidRDefault="00F13867" w14:paraId="07F14F96" w14:textId="77777777">
            <w:pPr>
              <w:ind w:left="33" w:right="-108"/>
              <w:jc w:val="both"/>
              <w:rPr>
                <w:b/>
              </w:rPr>
            </w:pPr>
            <w:r w:rsidRPr="00215A18">
              <w:rPr>
                <w:b/>
              </w:rPr>
              <w:t>Biedrība "Latvijas atvērto tehnoloģiju asociācija</w:t>
            </w:r>
          </w:p>
          <w:p w:rsidR="00C544D4" w:rsidP="00C544D4" w:rsidRDefault="00C544D4" w14:paraId="04601C8C" w14:textId="77777777">
            <w:pPr>
              <w:pStyle w:val="Pamatteksts"/>
              <w:spacing w:before="114"/>
              <w:ind w:left="-66" w:right="111" w:firstLine="66"/>
              <w:jc w:val="both"/>
            </w:pPr>
            <w:r>
              <w:rPr>
                <w:spacing w:val="-12"/>
              </w:rPr>
              <w:t xml:space="preserve">LATA </w:t>
            </w:r>
            <w:r>
              <w:t xml:space="preserve">atkārtoti uzsver, ka 2018. gada 6. februāra Ministru kabineta protokollēmuma (prot. </w:t>
            </w:r>
            <w:r>
              <w:rPr>
                <w:spacing w:val="-5"/>
              </w:rPr>
              <w:t xml:space="preserve">Nr. </w:t>
            </w:r>
            <w:r>
              <w:t xml:space="preserve">7 30. §) 2. un 3. punktu mērķis ir nodrošināt, ka </w:t>
            </w:r>
            <w:r>
              <w:rPr>
                <w:spacing w:val="-5"/>
              </w:rPr>
              <w:t xml:space="preserve">Valsts </w:t>
            </w:r>
            <w:r>
              <w:t xml:space="preserve">zemes dienests sniegtu </w:t>
            </w:r>
            <w:r>
              <w:rPr>
                <w:spacing w:val="-5"/>
              </w:rPr>
              <w:t xml:space="preserve">Valsts </w:t>
            </w:r>
            <w:r>
              <w:t xml:space="preserve">adrešu reģistra un administratīvo </w:t>
            </w:r>
            <w:r>
              <w:lastRenderedPageBreak/>
              <w:t>robežu datus kā atvērtos datus (</w:t>
            </w:r>
            <w:hyperlink r:id="rId9">
              <w:r>
                <w:rPr>
                  <w:color w:val="00007F"/>
                  <w:u w:val="single" w:color="00007F"/>
                </w:rPr>
                <w:t>https://likumi.lv/ta/id/297019-ministru-</w:t>
              </w:r>
            </w:hyperlink>
            <w:r>
              <w:rPr>
                <w:color w:val="00007F"/>
              </w:rPr>
              <w:t xml:space="preserve"> </w:t>
            </w:r>
            <w:hyperlink r:id="rId10">
              <w:r>
                <w:rPr>
                  <w:color w:val="00007F"/>
                  <w:u w:val="single" w:color="00007F"/>
                </w:rPr>
                <w:t>kabineta-</w:t>
              </w:r>
              <w:proofErr w:type="spellStart"/>
              <w:r>
                <w:rPr>
                  <w:color w:val="00007F"/>
                  <w:u w:val="single" w:color="00007F"/>
                </w:rPr>
                <w:t>sedes</w:t>
              </w:r>
              <w:proofErr w:type="spellEnd"/>
              <w:r>
                <w:rPr>
                  <w:color w:val="00007F"/>
                  <w:u w:val="single" w:color="00007F"/>
                </w:rPr>
                <w:t>-protokols</w:t>
              </w:r>
            </w:hyperlink>
            <w:r>
              <w:t xml:space="preserve">) (turpmāk - </w:t>
            </w:r>
            <w:proofErr w:type="spellStart"/>
            <w:r>
              <w:t>Protokollēmums</w:t>
            </w:r>
            <w:proofErr w:type="spellEnd"/>
            <w:r>
              <w:t xml:space="preserve">). </w:t>
            </w:r>
            <w:r>
              <w:rPr>
                <w:spacing w:val="-12"/>
              </w:rPr>
              <w:t xml:space="preserve">LATA </w:t>
            </w:r>
            <w:r>
              <w:t xml:space="preserve">norāda, ka Protokollēmums nav izpildīts, jo finansējums </w:t>
            </w:r>
            <w:r>
              <w:rPr>
                <w:spacing w:val="-6"/>
              </w:rPr>
              <w:t xml:space="preserve">Valsts </w:t>
            </w:r>
            <w:r>
              <w:t xml:space="preserve">zemes dienesta datu atvēršanai 2018. gadā un  papildu nepieciešamais finansējums 2019.gadā un turpmāk Tieslietu ministrijai </w:t>
            </w:r>
            <w:r>
              <w:rPr>
                <w:spacing w:val="-5"/>
              </w:rPr>
              <w:t xml:space="preserve">(Valsts </w:t>
            </w:r>
            <w:r>
              <w:t>zemes dienestam) atvērto datu nodrošināšanai nav paredzēts saistībā ar likumu "Par valsts budžetu 2019.gadam" un likumu "Par vidēja termiņa budžeta ietvaru 2019., 2020. un</w:t>
            </w:r>
            <w:r>
              <w:rPr>
                <w:spacing w:val="-4"/>
              </w:rPr>
              <w:t xml:space="preserve"> </w:t>
            </w:r>
            <w:r>
              <w:t>2021.gadam".</w:t>
            </w:r>
          </w:p>
          <w:p w:rsidR="00C544D4" w:rsidP="00C544D4" w:rsidRDefault="00C544D4" w14:paraId="7633CC3F" w14:textId="77777777">
            <w:pPr>
              <w:pStyle w:val="Pamatteksts"/>
              <w:spacing w:before="114"/>
              <w:ind w:right="112"/>
              <w:jc w:val="both"/>
            </w:pPr>
            <w:r>
              <w:t xml:space="preserve">Atbilstoši 2021. gada 23. marta </w:t>
            </w:r>
            <w:r>
              <w:rPr>
                <w:spacing w:val="-10"/>
              </w:rPr>
              <w:t xml:space="preserve">LATA, </w:t>
            </w:r>
            <w:r>
              <w:t xml:space="preserve">Tieslietu ministrijas un VZD pārstāvju tikšanās laikā pārrunātajam un nolemtajam, lai nodrošinātu finanšu līdzekļu ieguvi, kas nepieciešami adrešu datu atvēršanai un turpmākai to pieejamības nodrošināšanai, </w:t>
            </w:r>
            <w:r>
              <w:rPr>
                <w:spacing w:val="-12"/>
              </w:rPr>
              <w:t xml:space="preserve">LATA </w:t>
            </w:r>
            <w:r>
              <w:t xml:space="preserve">lūdz Tieslietu ministriju virzīt attiecīgu prioritāro </w:t>
            </w:r>
            <w:r>
              <w:lastRenderedPageBreak/>
              <w:t>pasākumu par papildu nepieciešamā finansējuma piešķiršanu Tieslietu ministrijas valsts budžeta programmā 07.00.00 "Nekustamā īpašuma tiesību politikas īstenošana" Ministru kabinetā likumprojekta "Par valsts budžetu 2022. gadam" un likumprojekta "Par vidēja termiņa budžeta ietvaru 2022., 2023. un 2024. gadam" sagatavošanas un izskatīšanas</w:t>
            </w:r>
            <w:r>
              <w:rPr>
                <w:spacing w:val="-11"/>
              </w:rPr>
              <w:t xml:space="preserve"> </w:t>
            </w:r>
            <w:r>
              <w:t>procesā.</w:t>
            </w:r>
          </w:p>
          <w:p w:rsidRPr="00A73AAA" w:rsidR="00C544D4" w:rsidP="00C544D4" w:rsidRDefault="00C544D4" w14:paraId="6C383DFB" w14:textId="0CFD77F3">
            <w:pPr>
              <w:pStyle w:val="Pamatteksts"/>
              <w:spacing w:before="115"/>
              <w:ind w:left="-66" w:right="116" w:firstLine="66"/>
              <w:jc w:val="both"/>
              <w:rPr>
                <w:b/>
              </w:rPr>
            </w:pPr>
            <w:r>
              <w:t>LATA saskaņo Noteikumu projektu pie nosacījuma, ka 2022. gada budžetā ir paredzēti finanšu līdzekļi Valsts zemes dienestam (turpmāk – VZD) adrešu datu atvērtības nodrošināšanai turpmāk.</w:t>
            </w:r>
          </w:p>
        </w:tc>
        <w:tc>
          <w:tcPr>
            <w:tcW w:w="3425" w:type="dxa"/>
            <w:gridSpan w:val="2"/>
            <w:tcBorders>
              <w:top w:val="single" w:color="000000" w:sz="6" w:space="0"/>
              <w:left w:val="single" w:color="000000" w:sz="6" w:space="0"/>
              <w:bottom w:val="single" w:color="000000" w:sz="6" w:space="0"/>
              <w:right w:val="single" w:color="000000" w:sz="6" w:space="0"/>
            </w:tcBorders>
          </w:tcPr>
          <w:p w:rsidR="00F13867" w:rsidP="00F13867" w:rsidRDefault="00F13867" w14:paraId="38089F89" w14:textId="77777777">
            <w:pPr>
              <w:jc w:val="both"/>
              <w:rPr>
                <w:b/>
              </w:rPr>
            </w:pPr>
            <w:r>
              <w:rPr>
                <w:b/>
              </w:rPr>
              <w:lastRenderedPageBreak/>
              <w:t>Ņ</w:t>
            </w:r>
            <w:r w:rsidRPr="00281651">
              <w:rPr>
                <w:b/>
              </w:rPr>
              <w:t>emts vērā</w:t>
            </w:r>
          </w:p>
          <w:p w:rsidR="00F13867" w:rsidP="0002262A" w:rsidRDefault="0099089C" w14:paraId="44AEB5C0" w14:textId="04AC5D13">
            <w:pPr>
              <w:jc w:val="both"/>
              <w:rPr>
                <w:b/>
              </w:rPr>
            </w:pPr>
            <w:r>
              <w:t>D</w:t>
            </w:r>
            <w:r w:rsidR="00F13867">
              <w:t xml:space="preserve">ienests iesniedza Tieslietu ministrijā pieteikumu prioritārā pasākuma </w:t>
            </w:r>
            <w:r>
              <w:t>"</w:t>
            </w:r>
            <w:r w:rsidRPr="00E15D6E" w:rsidR="00F13867">
              <w:t>Valsts adrešu reģistra un administratīvo robežu datu nodrošināšana uz atvērto kodu bāzes</w:t>
            </w:r>
            <w:r>
              <w:t>"</w:t>
            </w:r>
            <w:r w:rsidR="00F13867">
              <w:t xml:space="preserve"> valsts budžeta programmā 07.00.00 "Nekustamā īpašuma tiesību politikas īstenošana" izskatīšanai likumprojekta "Par </w:t>
            </w:r>
            <w:r w:rsidR="00F13867">
              <w:lastRenderedPageBreak/>
              <w:t>vidēja termiņa budžeta ietvaru 2022., 2023. un 2024. gadam" sagatavošanas un izskatīšanas procesā kopā ar visu ministriju un citu centrālo valsts iestāžu priekšlikumiem prioritārajiem pasākumiem un iesniegtajiem papildu finansējuma pieprasījumiem.</w:t>
            </w:r>
            <w:r w:rsidR="00942C31">
              <w:t xml:space="preserve"> </w:t>
            </w:r>
            <w:r w:rsidRPr="00942C31" w:rsidR="00942C31">
              <w:t>Tieslietu ministrija plāno minēto prioritāro pasākumu iesniegt Finanšu ministrijā izskatīšanai likumprojekta "Par vidēja termiņa budžeta ietvaru 2022., 2023. un 2024.</w:t>
            </w:r>
            <w:r w:rsidR="00942C31">
              <w:t> </w:t>
            </w:r>
            <w:r w:rsidRPr="00942C31" w:rsidR="00942C31">
              <w:t>gadam" sagatavošanas un izskatīšanas procesā kopā ar visu ministriju un citu centrālo valsts iestāžu priekšlikumiem prioritārajiem pasākumiem un iesniegtajiem papildu finansējuma pieprasījumiem.</w:t>
            </w:r>
          </w:p>
        </w:tc>
        <w:tc>
          <w:tcPr>
            <w:tcW w:w="3626" w:type="dxa"/>
            <w:tcBorders>
              <w:top w:val="single" w:color="auto" w:sz="4" w:space="0"/>
              <w:left w:val="single" w:color="auto" w:sz="4" w:space="0"/>
              <w:bottom w:val="single" w:color="auto" w:sz="4" w:space="0"/>
              <w:right w:val="single" w:color="auto" w:sz="4" w:space="0"/>
            </w:tcBorders>
          </w:tcPr>
          <w:p w:rsidRPr="00337C30" w:rsidR="00F13867" w:rsidP="0002262A" w:rsidRDefault="005C7C7C" w14:paraId="7D7F726B" w14:textId="7C81339D">
            <w:pPr>
              <w:pStyle w:val="Sarakstarindkopa"/>
              <w:ind w:left="0"/>
              <w:jc w:val="both"/>
            </w:pPr>
            <w:r w:rsidRPr="00215A18">
              <w:lastRenderedPageBreak/>
              <w:t>Projekts saistībā ar šo iebildumu nav grozīts</w:t>
            </w:r>
            <w:r>
              <w:t>.</w:t>
            </w:r>
          </w:p>
        </w:tc>
      </w:tr>
      <w:tr w:rsidRPr="00712B66" w:rsidR="0002262A" w:rsidTr="00AF66E0" w14:paraId="56B1185B" w14:textId="77777777">
        <w:tblPrEx>
          <w:tblBorders>
            <w:top w:val="none" w:color="auto" w:sz="0" w:space="0"/>
            <w:left w:val="none" w:color="auto" w:sz="0" w:space="0"/>
            <w:bottom w:val="none" w:color="auto" w:sz="0" w:space="0"/>
            <w:right w:val="none" w:color="auto" w:sz="0" w:space="0"/>
          </w:tblBorders>
        </w:tblPrEx>
        <w:trPr>
          <w:gridAfter w:val="2"/>
          <w:wAfter w:w="5194" w:type="dxa"/>
        </w:trPr>
        <w:tc>
          <w:tcPr>
            <w:tcW w:w="2569" w:type="dxa"/>
            <w:gridSpan w:val="2"/>
          </w:tcPr>
          <w:p w:rsidR="0002262A" w:rsidP="0002262A" w:rsidRDefault="0002262A" w14:paraId="1DAEA0A5" w14:textId="77777777">
            <w:pPr>
              <w:pStyle w:val="naiskr"/>
              <w:spacing w:before="0" w:after="0"/>
              <w:ind w:left="-120"/>
            </w:pPr>
          </w:p>
          <w:p w:rsidRPr="00712B66" w:rsidR="0002262A" w:rsidP="0002262A" w:rsidRDefault="0002262A" w14:paraId="226C66AC" w14:textId="77777777">
            <w:pPr>
              <w:pStyle w:val="naiskr"/>
              <w:spacing w:before="0" w:after="0"/>
            </w:pPr>
            <w:r w:rsidRPr="00712B66">
              <w:t>Atbildīgā amatpersona</w:t>
            </w:r>
          </w:p>
        </w:tc>
        <w:tc>
          <w:tcPr>
            <w:tcW w:w="6510" w:type="dxa"/>
            <w:gridSpan w:val="3"/>
          </w:tcPr>
          <w:p w:rsidRPr="00712B66" w:rsidR="0002262A" w:rsidP="0002262A" w:rsidRDefault="0002262A" w14:paraId="33AB88EF" w14:textId="77777777">
            <w:pPr>
              <w:pStyle w:val="naiskr"/>
              <w:spacing w:before="0" w:after="0"/>
              <w:ind w:firstLine="720"/>
            </w:pPr>
          </w:p>
        </w:tc>
      </w:tr>
      <w:tr w:rsidRPr="00712B66" w:rsidR="0002262A" w:rsidTr="00AF66E0" w14:paraId="32FD3855" w14:textId="77777777">
        <w:tblPrEx>
          <w:tblBorders>
            <w:top w:val="none" w:color="auto" w:sz="0" w:space="0"/>
            <w:left w:val="none" w:color="auto" w:sz="0" w:space="0"/>
            <w:bottom w:val="none" w:color="auto" w:sz="0" w:space="0"/>
            <w:right w:val="none" w:color="auto" w:sz="0" w:space="0"/>
          </w:tblBorders>
        </w:tblPrEx>
        <w:trPr>
          <w:gridAfter w:val="2"/>
          <w:wAfter w:w="5194" w:type="dxa"/>
        </w:trPr>
        <w:tc>
          <w:tcPr>
            <w:tcW w:w="2569" w:type="dxa"/>
            <w:gridSpan w:val="2"/>
          </w:tcPr>
          <w:p w:rsidRPr="00712B66" w:rsidR="0002262A" w:rsidP="0002262A" w:rsidRDefault="0002262A" w14:paraId="63004B99" w14:textId="77777777">
            <w:pPr>
              <w:pStyle w:val="naiskr"/>
              <w:spacing w:before="0" w:after="0"/>
              <w:ind w:firstLine="720"/>
            </w:pPr>
          </w:p>
        </w:tc>
        <w:tc>
          <w:tcPr>
            <w:tcW w:w="6510" w:type="dxa"/>
            <w:gridSpan w:val="3"/>
            <w:tcBorders>
              <w:top w:val="single" w:color="000000" w:sz="6" w:space="0"/>
            </w:tcBorders>
          </w:tcPr>
          <w:p w:rsidRPr="00712B66" w:rsidR="0002262A" w:rsidP="0002262A" w:rsidRDefault="0002262A" w14:paraId="1D61260B" w14:textId="77777777">
            <w:pPr>
              <w:pStyle w:val="naisc"/>
              <w:spacing w:before="0" w:after="0"/>
              <w:ind w:firstLine="720"/>
            </w:pPr>
            <w:r w:rsidRPr="00712B66">
              <w:t>(paraksts)</w:t>
            </w:r>
          </w:p>
        </w:tc>
      </w:tr>
    </w:tbl>
    <w:p w:rsidRPr="00C941F7" w:rsidR="007A59CA" w:rsidP="00337C30" w:rsidRDefault="007A59CA" w14:paraId="36C30696" w14:textId="77777777">
      <w:r w:rsidRPr="00C941F7">
        <w:t xml:space="preserve">Vita Narnicka </w:t>
      </w:r>
    </w:p>
    <w:p w:rsidRPr="00C941F7" w:rsidR="007A59CA" w:rsidP="00337C30" w:rsidRDefault="007A59CA" w14:paraId="72E08181" w14:textId="77777777">
      <w:r w:rsidRPr="00C941F7">
        <w:t xml:space="preserve">Valsts zemes dienesta </w:t>
      </w:r>
    </w:p>
    <w:p w:rsidRPr="00C941F7" w:rsidR="007A59CA" w:rsidP="00337C30" w:rsidRDefault="007A59CA" w14:paraId="29D53570" w14:textId="77777777">
      <w:r w:rsidRPr="00C941F7">
        <w:t>ģenerāldirektore</w:t>
      </w:r>
    </w:p>
    <w:p w:rsidRPr="00C941F7" w:rsidR="007A59CA" w:rsidP="00337C30" w:rsidRDefault="007A59CA" w14:paraId="736FE206" w14:textId="77777777">
      <w:r w:rsidRPr="00C941F7">
        <w:t>tālr. 67038620, fakss 67038815</w:t>
      </w:r>
    </w:p>
    <w:p w:rsidRPr="0013618C" w:rsidR="005F7EF8" w:rsidP="00337C30" w:rsidRDefault="007A59CA" w14:paraId="0CE77D8C" w14:textId="25E43AB0">
      <w:r w:rsidRPr="00C941F7">
        <w:t>vita.narnicka@vzd.gov.lv</w:t>
      </w:r>
    </w:p>
    <w:sectPr w:rsidRPr="0013618C" w:rsidR="005F7EF8" w:rsidSect="005F7EF8">
      <w:headerReference w:type="even" r:id="rId11"/>
      <w:headerReference w:type="default" r:id="rId12"/>
      <w:footerReference w:type="default" r:id="rId13"/>
      <w:footerReference w:type="first" r:id="rId14"/>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7F7BE" w14:textId="77777777" w:rsidR="00F63D36" w:rsidRDefault="00F63D36">
      <w:r>
        <w:separator/>
      </w:r>
    </w:p>
  </w:endnote>
  <w:endnote w:type="continuationSeparator" w:id="0">
    <w:p w14:paraId="211851F0" w14:textId="77777777" w:rsidR="00F63D36" w:rsidRDefault="00F63D36">
      <w:r>
        <w:continuationSeparator/>
      </w:r>
    </w:p>
  </w:endnote>
  <w:endnote w:type="continuationNotice" w:id="1">
    <w:p w14:paraId="18F0ED03" w14:textId="77777777" w:rsidR="00F63D36" w:rsidRDefault="00F63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4D62" w14:textId="2525CCD2" w:rsidR="00287A3F" w:rsidRPr="00C97853" w:rsidRDefault="00DB15CC" w:rsidP="00281651">
    <w:pPr>
      <w:tabs>
        <w:tab w:val="left" w:pos="5565"/>
      </w:tabs>
    </w:pPr>
    <w:r w:rsidRPr="00DB15CC">
      <w:rPr>
        <w:rFonts w:eastAsiaTheme="minorHAnsi"/>
        <w:sz w:val="20"/>
        <w:szCs w:val="20"/>
        <w:lang w:eastAsia="en-US"/>
      </w:rPr>
      <w:fldChar w:fldCharType="begin"/>
    </w:r>
    <w:r w:rsidRPr="00DB15CC">
      <w:rPr>
        <w:rFonts w:eastAsiaTheme="minorHAnsi"/>
        <w:sz w:val="20"/>
        <w:szCs w:val="20"/>
        <w:lang w:eastAsia="en-US"/>
      </w:rPr>
      <w:instrText xml:space="preserve"> FILENAME   \* MERGEFORMAT </w:instrText>
    </w:r>
    <w:r w:rsidRPr="00DB15CC">
      <w:rPr>
        <w:rFonts w:eastAsiaTheme="minorHAnsi"/>
        <w:sz w:val="20"/>
        <w:szCs w:val="20"/>
        <w:lang w:eastAsia="en-US"/>
      </w:rPr>
      <w:fldChar w:fldCharType="separate"/>
    </w:r>
    <w:r w:rsidR="0013618C">
      <w:rPr>
        <w:rFonts w:eastAsiaTheme="minorHAnsi"/>
        <w:noProof/>
        <w:sz w:val="20"/>
        <w:szCs w:val="20"/>
        <w:lang w:eastAsia="en-US"/>
      </w:rPr>
      <w:t>TMizz_220621_cen</w:t>
    </w:r>
    <w:r w:rsidRPr="00DB15CC">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33AE" w14:textId="1531A6C8" w:rsidR="00287A3F" w:rsidRDefault="00DB15CC" w:rsidP="00281651">
    <w:pPr>
      <w:tabs>
        <w:tab w:val="left" w:pos="5565"/>
      </w:tabs>
    </w:pPr>
    <w:r w:rsidRPr="00DB15CC">
      <w:rPr>
        <w:rFonts w:eastAsiaTheme="minorHAnsi"/>
        <w:sz w:val="20"/>
        <w:szCs w:val="20"/>
        <w:lang w:eastAsia="en-US"/>
      </w:rPr>
      <w:fldChar w:fldCharType="begin"/>
    </w:r>
    <w:r w:rsidRPr="00DB15CC">
      <w:rPr>
        <w:rFonts w:eastAsiaTheme="minorHAnsi"/>
        <w:sz w:val="20"/>
        <w:szCs w:val="20"/>
        <w:lang w:eastAsia="en-US"/>
      </w:rPr>
      <w:instrText xml:space="preserve"> FILENAME   \* MERGEFORMAT </w:instrText>
    </w:r>
    <w:r w:rsidRPr="00DB15CC">
      <w:rPr>
        <w:rFonts w:eastAsiaTheme="minorHAnsi"/>
        <w:sz w:val="20"/>
        <w:szCs w:val="20"/>
        <w:lang w:eastAsia="en-US"/>
      </w:rPr>
      <w:fldChar w:fldCharType="separate"/>
    </w:r>
    <w:r w:rsidR="0013618C">
      <w:rPr>
        <w:rFonts w:eastAsiaTheme="minorHAnsi"/>
        <w:noProof/>
        <w:sz w:val="20"/>
        <w:szCs w:val="20"/>
        <w:lang w:eastAsia="en-US"/>
      </w:rPr>
      <w:t>TMizz_220621_cen</w:t>
    </w:r>
    <w:r w:rsidRPr="00DB15C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77214" w14:textId="77777777" w:rsidR="00F63D36" w:rsidRDefault="00F63D36">
      <w:r>
        <w:separator/>
      </w:r>
    </w:p>
  </w:footnote>
  <w:footnote w:type="continuationSeparator" w:id="0">
    <w:p w14:paraId="7BA140D6" w14:textId="77777777" w:rsidR="00F63D36" w:rsidRDefault="00F63D36">
      <w:r>
        <w:continuationSeparator/>
      </w:r>
    </w:p>
  </w:footnote>
  <w:footnote w:type="continuationNotice" w:id="1">
    <w:p w14:paraId="07FD2DBB" w14:textId="77777777" w:rsidR="00F63D36" w:rsidRDefault="00F63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A3F" w:rsidP="00364BB6" w:rsidRDefault="00287A3F" w14:paraId="1D05EC35"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87A3F" w:rsidRDefault="00287A3F" w14:paraId="07436574"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A3F" w:rsidP="00364BB6" w:rsidRDefault="00287A3F" w14:paraId="3DFE9DCF" w14:textId="5CC9B40E">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56</w:t>
    </w:r>
    <w:r>
      <w:rPr>
        <w:rStyle w:val="Lappusesnumurs"/>
      </w:rPr>
      <w:fldChar w:fldCharType="end"/>
    </w:r>
  </w:p>
  <w:p w:rsidR="00287A3F" w:rsidP="002B6D44" w:rsidRDefault="00287A3F" w14:paraId="6BF8F406"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5D1C"/>
    <w:multiLevelType w:val="hybridMultilevel"/>
    <w:tmpl w:val="42C2773E"/>
    <w:lvl w:ilvl="0" w:tplc="8FDEE0A2">
      <w:start w:val="1"/>
      <w:numFmt w:val="decimal"/>
      <w:lvlText w:val="%1."/>
      <w:lvlJc w:val="left"/>
      <w:pPr>
        <w:ind w:left="630" w:hanging="360"/>
      </w:pPr>
      <w:rPr>
        <w:rFonts w:hint="default"/>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1" w15:restartNumberingAfterBreak="0">
    <w:nsid w:val="248F4088"/>
    <w:multiLevelType w:val="hybridMultilevel"/>
    <w:tmpl w:val="50CE7C5E"/>
    <w:lvl w:ilvl="0" w:tplc="E9FE732E">
      <w:start w:val="22"/>
      <w:numFmt w:val="bullet"/>
      <w:suff w:val="space"/>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351C43B1"/>
    <w:multiLevelType w:val="hybridMultilevel"/>
    <w:tmpl w:val="A08A47CC"/>
    <w:lvl w:ilvl="0" w:tplc="0D90BD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62B3F29"/>
    <w:multiLevelType w:val="hybridMultilevel"/>
    <w:tmpl w:val="D480E5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5C22FA"/>
    <w:multiLevelType w:val="hybridMultilevel"/>
    <w:tmpl w:val="1C86B2A6"/>
    <w:lvl w:ilvl="0" w:tplc="78A240B0">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B7639F"/>
    <w:multiLevelType w:val="hybridMultilevel"/>
    <w:tmpl w:val="6B808A5E"/>
    <w:lvl w:ilvl="0" w:tplc="AA2CEC14">
      <w:start w:val="1"/>
      <w:numFmt w:val="decimal"/>
      <w:lvlText w:val="%1."/>
      <w:lvlJc w:val="left"/>
      <w:pPr>
        <w:ind w:left="1571" w:hanging="360"/>
      </w:pPr>
      <w:rPr>
        <w:i w:val="0"/>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F106063"/>
    <w:multiLevelType w:val="hybridMultilevel"/>
    <w:tmpl w:val="DC5C5FA6"/>
    <w:lvl w:ilvl="0" w:tplc="14D2055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0B1407"/>
    <w:multiLevelType w:val="multilevel"/>
    <w:tmpl w:val="1330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3676A0"/>
    <w:multiLevelType w:val="hybridMultilevel"/>
    <w:tmpl w:val="62AAAA30"/>
    <w:lvl w:ilvl="0" w:tplc="666A54D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0"/>
  </w:num>
  <w:num w:numId="4">
    <w:abstractNumId w:val="8"/>
  </w:num>
  <w:num w:numId="5">
    <w:abstractNumId w:val="6"/>
  </w:num>
  <w:num w:numId="6">
    <w:abstractNumId w:val="5"/>
  </w:num>
  <w:num w:numId="7">
    <w:abstractNumId w:val="3"/>
  </w:num>
  <w:num w:numId="8">
    <w:abstractNumId w:val="0"/>
  </w:num>
  <w:num w:numId="9">
    <w:abstractNumId w:val="9"/>
  </w:num>
  <w:num w:numId="10">
    <w:abstractNumId w:val="1"/>
  </w:num>
  <w:num w:numId="11">
    <w:abstractNumId w:val="2"/>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B2F"/>
    <w:rsid w:val="00003BAE"/>
    <w:rsid w:val="00003C53"/>
    <w:rsid w:val="00003DDB"/>
    <w:rsid w:val="00003F66"/>
    <w:rsid w:val="0000456E"/>
    <w:rsid w:val="000055EA"/>
    <w:rsid w:val="00006BF1"/>
    <w:rsid w:val="0001118D"/>
    <w:rsid w:val="0001131F"/>
    <w:rsid w:val="00011663"/>
    <w:rsid w:val="0001249F"/>
    <w:rsid w:val="000125C0"/>
    <w:rsid w:val="0001270C"/>
    <w:rsid w:val="000136AA"/>
    <w:rsid w:val="00013B4C"/>
    <w:rsid w:val="00013BF6"/>
    <w:rsid w:val="000142D5"/>
    <w:rsid w:val="0001554C"/>
    <w:rsid w:val="00015B94"/>
    <w:rsid w:val="00015DE5"/>
    <w:rsid w:val="000172E2"/>
    <w:rsid w:val="00017449"/>
    <w:rsid w:val="00020249"/>
    <w:rsid w:val="00021040"/>
    <w:rsid w:val="00022338"/>
    <w:rsid w:val="00022566"/>
    <w:rsid w:val="0002262A"/>
    <w:rsid w:val="00022771"/>
    <w:rsid w:val="0002296A"/>
    <w:rsid w:val="00022B0F"/>
    <w:rsid w:val="00022B9A"/>
    <w:rsid w:val="00023323"/>
    <w:rsid w:val="00023FD6"/>
    <w:rsid w:val="0002416A"/>
    <w:rsid w:val="00024CCD"/>
    <w:rsid w:val="00024D20"/>
    <w:rsid w:val="000253DB"/>
    <w:rsid w:val="00027147"/>
    <w:rsid w:val="000278E7"/>
    <w:rsid w:val="00027A63"/>
    <w:rsid w:val="00027F9D"/>
    <w:rsid w:val="000307B5"/>
    <w:rsid w:val="00032457"/>
    <w:rsid w:val="00032E4F"/>
    <w:rsid w:val="0003413A"/>
    <w:rsid w:val="000349CA"/>
    <w:rsid w:val="0003557A"/>
    <w:rsid w:val="00035C06"/>
    <w:rsid w:val="000366DF"/>
    <w:rsid w:val="00037536"/>
    <w:rsid w:val="000376CD"/>
    <w:rsid w:val="00040A5C"/>
    <w:rsid w:val="00043005"/>
    <w:rsid w:val="0004345F"/>
    <w:rsid w:val="00044026"/>
    <w:rsid w:val="00046075"/>
    <w:rsid w:val="00046CAD"/>
    <w:rsid w:val="00046F5C"/>
    <w:rsid w:val="00047385"/>
    <w:rsid w:val="00050554"/>
    <w:rsid w:val="00052B01"/>
    <w:rsid w:val="00053706"/>
    <w:rsid w:val="00053710"/>
    <w:rsid w:val="000539E7"/>
    <w:rsid w:val="00053E04"/>
    <w:rsid w:val="000544E1"/>
    <w:rsid w:val="000579E6"/>
    <w:rsid w:val="00060278"/>
    <w:rsid w:val="00060E03"/>
    <w:rsid w:val="00061899"/>
    <w:rsid w:val="0006250D"/>
    <w:rsid w:val="00063CB0"/>
    <w:rsid w:val="000641CE"/>
    <w:rsid w:val="00065271"/>
    <w:rsid w:val="00065A65"/>
    <w:rsid w:val="00065FD3"/>
    <w:rsid w:val="00066176"/>
    <w:rsid w:val="0006618D"/>
    <w:rsid w:val="00066885"/>
    <w:rsid w:val="0006694E"/>
    <w:rsid w:val="00066A37"/>
    <w:rsid w:val="00066F05"/>
    <w:rsid w:val="00067CB3"/>
    <w:rsid w:val="00072628"/>
    <w:rsid w:val="000728ED"/>
    <w:rsid w:val="000733F5"/>
    <w:rsid w:val="000733FF"/>
    <w:rsid w:val="000745A3"/>
    <w:rsid w:val="00075074"/>
    <w:rsid w:val="0007577A"/>
    <w:rsid w:val="0007610B"/>
    <w:rsid w:val="000775D0"/>
    <w:rsid w:val="00077895"/>
    <w:rsid w:val="00080158"/>
    <w:rsid w:val="00080457"/>
    <w:rsid w:val="00081331"/>
    <w:rsid w:val="00081B0F"/>
    <w:rsid w:val="0008283D"/>
    <w:rsid w:val="00083090"/>
    <w:rsid w:val="00083214"/>
    <w:rsid w:val="00083460"/>
    <w:rsid w:val="00083B8F"/>
    <w:rsid w:val="00084B11"/>
    <w:rsid w:val="00085322"/>
    <w:rsid w:val="0008656F"/>
    <w:rsid w:val="000866BD"/>
    <w:rsid w:val="00086AB9"/>
    <w:rsid w:val="00086BCE"/>
    <w:rsid w:val="00086F36"/>
    <w:rsid w:val="0008707C"/>
    <w:rsid w:val="00087B4D"/>
    <w:rsid w:val="00090168"/>
    <w:rsid w:val="00090C76"/>
    <w:rsid w:val="00091033"/>
    <w:rsid w:val="00091335"/>
    <w:rsid w:val="00091F10"/>
    <w:rsid w:val="0009302B"/>
    <w:rsid w:val="00093EC2"/>
    <w:rsid w:val="000958A2"/>
    <w:rsid w:val="000963A4"/>
    <w:rsid w:val="000965E7"/>
    <w:rsid w:val="000966D2"/>
    <w:rsid w:val="00097612"/>
    <w:rsid w:val="00097694"/>
    <w:rsid w:val="000A0041"/>
    <w:rsid w:val="000A06FC"/>
    <w:rsid w:val="000A0C92"/>
    <w:rsid w:val="000A1A02"/>
    <w:rsid w:val="000A22D6"/>
    <w:rsid w:val="000A27A1"/>
    <w:rsid w:val="000A2E52"/>
    <w:rsid w:val="000A4035"/>
    <w:rsid w:val="000A483A"/>
    <w:rsid w:val="000A55D2"/>
    <w:rsid w:val="000A63C5"/>
    <w:rsid w:val="000A64D3"/>
    <w:rsid w:val="000A76BD"/>
    <w:rsid w:val="000A77B9"/>
    <w:rsid w:val="000A7EA7"/>
    <w:rsid w:val="000B0403"/>
    <w:rsid w:val="000B057B"/>
    <w:rsid w:val="000B06E7"/>
    <w:rsid w:val="000B0C94"/>
    <w:rsid w:val="000B15E5"/>
    <w:rsid w:val="000B1BC4"/>
    <w:rsid w:val="000B2382"/>
    <w:rsid w:val="000B2E6F"/>
    <w:rsid w:val="000B3171"/>
    <w:rsid w:val="000B34A5"/>
    <w:rsid w:val="000B4543"/>
    <w:rsid w:val="000B4746"/>
    <w:rsid w:val="000B51D9"/>
    <w:rsid w:val="000B61D2"/>
    <w:rsid w:val="000B7966"/>
    <w:rsid w:val="000B7CB1"/>
    <w:rsid w:val="000C0AE6"/>
    <w:rsid w:val="000C0D0D"/>
    <w:rsid w:val="000C114E"/>
    <w:rsid w:val="000C2555"/>
    <w:rsid w:val="000C267A"/>
    <w:rsid w:val="000C33FF"/>
    <w:rsid w:val="000C3545"/>
    <w:rsid w:val="000C498A"/>
    <w:rsid w:val="000C4A3D"/>
    <w:rsid w:val="000C4C16"/>
    <w:rsid w:val="000C4EBA"/>
    <w:rsid w:val="000C56FC"/>
    <w:rsid w:val="000C5835"/>
    <w:rsid w:val="000C7708"/>
    <w:rsid w:val="000C7907"/>
    <w:rsid w:val="000C7A11"/>
    <w:rsid w:val="000C7F5E"/>
    <w:rsid w:val="000D00AC"/>
    <w:rsid w:val="000D0AED"/>
    <w:rsid w:val="000D26ED"/>
    <w:rsid w:val="000D3393"/>
    <w:rsid w:val="000D3602"/>
    <w:rsid w:val="000D42FF"/>
    <w:rsid w:val="000D4D89"/>
    <w:rsid w:val="000D55ED"/>
    <w:rsid w:val="000D6BBD"/>
    <w:rsid w:val="000D75E4"/>
    <w:rsid w:val="000D7751"/>
    <w:rsid w:val="000D7BAD"/>
    <w:rsid w:val="000D7C23"/>
    <w:rsid w:val="000E0A16"/>
    <w:rsid w:val="000E19D3"/>
    <w:rsid w:val="000E1BFA"/>
    <w:rsid w:val="000E2142"/>
    <w:rsid w:val="000E21D0"/>
    <w:rsid w:val="000E246F"/>
    <w:rsid w:val="000E2A38"/>
    <w:rsid w:val="000E2ACC"/>
    <w:rsid w:val="000E502B"/>
    <w:rsid w:val="000E5509"/>
    <w:rsid w:val="000E585F"/>
    <w:rsid w:val="000E66F8"/>
    <w:rsid w:val="000F054F"/>
    <w:rsid w:val="000F079D"/>
    <w:rsid w:val="000F0D9D"/>
    <w:rsid w:val="000F1D56"/>
    <w:rsid w:val="000F2534"/>
    <w:rsid w:val="000F28D9"/>
    <w:rsid w:val="000F2BC8"/>
    <w:rsid w:val="000F2D43"/>
    <w:rsid w:val="000F2F9A"/>
    <w:rsid w:val="000F3AA0"/>
    <w:rsid w:val="000F4217"/>
    <w:rsid w:val="000F4781"/>
    <w:rsid w:val="000F4AEB"/>
    <w:rsid w:val="000F4B40"/>
    <w:rsid w:val="000F4C3B"/>
    <w:rsid w:val="000F4E7B"/>
    <w:rsid w:val="000F57C3"/>
    <w:rsid w:val="000F5C37"/>
    <w:rsid w:val="000F5DF0"/>
    <w:rsid w:val="000F5F57"/>
    <w:rsid w:val="000F6A0B"/>
    <w:rsid w:val="000F6D13"/>
    <w:rsid w:val="000F7695"/>
    <w:rsid w:val="000F7F8B"/>
    <w:rsid w:val="001012E3"/>
    <w:rsid w:val="00101EEB"/>
    <w:rsid w:val="00102481"/>
    <w:rsid w:val="0010375A"/>
    <w:rsid w:val="001038ED"/>
    <w:rsid w:val="00103D39"/>
    <w:rsid w:val="00104065"/>
    <w:rsid w:val="001042B0"/>
    <w:rsid w:val="00106F4F"/>
    <w:rsid w:val="001071D3"/>
    <w:rsid w:val="001075A8"/>
    <w:rsid w:val="00107A53"/>
    <w:rsid w:val="00110259"/>
    <w:rsid w:val="00110AA9"/>
    <w:rsid w:val="00111982"/>
    <w:rsid w:val="0011254D"/>
    <w:rsid w:val="001139C2"/>
    <w:rsid w:val="00114559"/>
    <w:rsid w:val="00114A7F"/>
    <w:rsid w:val="00114EA9"/>
    <w:rsid w:val="00115ED0"/>
    <w:rsid w:val="0011683C"/>
    <w:rsid w:val="00116F6F"/>
    <w:rsid w:val="001179E8"/>
    <w:rsid w:val="0012021B"/>
    <w:rsid w:val="001202BA"/>
    <w:rsid w:val="0012222D"/>
    <w:rsid w:val="001223FA"/>
    <w:rsid w:val="001226C2"/>
    <w:rsid w:val="00124BF1"/>
    <w:rsid w:val="001255E6"/>
    <w:rsid w:val="00125B60"/>
    <w:rsid w:val="00127434"/>
    <w:rsid w:val="0013053A"/>
    <w:rsid w:val="0013066A"/>
    <w:rsid w:val="001309F8"/>
    <w:rsid w:val="0013143D"/>
    <w:rsid w:val="001315EF"/>
    <w:rsid w:val="00131F39"/>
    <w:rsid w:val="00132375"/>
    <w:rsid w:val="00132E73"/>
    <w:rsid w:val="00132FC1"/>
    <w:rsid w:val="00133505"/>
    <w:rsid w:val="00134188"/>
    <w:rsid w:val="0013618C"/>
    <w:rsid w:val="00137403"/>
    <w:rsid w:val="00140706"/>
    <w:rsid w:val="0014122A"/>
    <w:rsid w:val="00141E85"/>
    <w:rsid w:val="00142A48"/>
    <w:rsid w:val="00142F70"/>
    <w:rsid w:val="0014319C"/>
    <w:rsid w:val="00143633"/>
    <w:rsid w:val="001436B3"/>
    <w:rsid w:val="00143976"/>
    <w:rsid w:val="00143DAC"/>
    <w:rsid w:val="00144622"/>
    <w:rsid w:val="00144781"/>
    <w:rsid w:val="00144917"/>
    <w:rsid w:val="00144BED"/>
    <w:rsid w:val="00145C80"/>
    <w:rsid w:val="0014702D"/>
    <w:rsid w:val="00147596"/>
    <w:rsid w:val="001476A2"/>
    <w:rsid w:val="001477AA"/>
    <w:rsid w:val="0015145F"/>
    <w:rsid w:val="00151C63"/>
    <w:rsid w:val="00152087"/>
    <w:rsid w:val="00152718"/>
    <w:rsid w:val="001530CF"/>
    <w:rsid w:val="00153F12"/>
    <w:rsid w:val="001543DB"/>
    <w:rsid w:val="00155339"/>
    <w:rsid w:val="00155473"/>
    <w:rsid w:val="00155DC2"/>
    <w:rsid w:val="00156D90"/>
    <w:rsid w:val="00156E9F"/>
    <w:rsid w:val="00157A57"/>
    <w:rsid w:val="00157DB6"/>
    <w:rsid w:val="00157EC2"/>
    <w:rsid w:val="00160564"/>
    <w:rsid w:val="00162A68"/>
    <w:rsid w:val="00162AC5"/>
    <w:rsid w:val="00162CCF"/>
    <w:rsid w:val="00162E08"/>
    <w:rsid w:val="001633F1"/>
    <w:rsid w:val="00164035"/>
    <w:rsid w:val="0016408E"/>
    <w:rsid w:val="001640D2"/>
    <w:rsid w:val="00164B09"/>
    <w:rsid w:val="00164C69"/>
    <w:rsid w:val="00164D2C"/>
    <w:rsid w:val="0016531E"/>
    <w:rsid w:val="0016565C"/>
    <w:rsid w:val="00166314"/>
    <w:rsid w:val="00166746"/>
    <w:rsid w:val="00167590"/>
    <w:rsid w:val="001676E7"/>
    <w:rsid w:val="00167918"/>
    <w:rsid w:val="00167C1E"/>
    <w:rsid w:val="0017043B"/>
    <w:rsid w:val="001706A1"/>
    <w:rsid w:val="00170914"/>
    <w:rsid w:val="00170DF2"/>
    <w:rsid w:val="00170E70"/>
    <w:rsid w:val="0017346C"/>
    <w:rsid w:val="00174841"/>
    <w:rsid w:val="001757DF"/>
    <w:rsid w:val="001761FD"/>
    <w:rsid w:val="00177D61"/>
    <w:rsid w:val="00180125"/>
    <w:rsid w:val="001808CA"/>
    <w:rsid w:val="00180923"/>
    <w:rsid w:val="00180CE5"/>
    <w:rsid w:val="0018139A"/>
    <w:rsid w:val="00181BAA"/>
    <w:rsid w:val="00181D2D"/>
    <w:rsid w:val="0018210A"/>
    <w:rsid w:val="00182DE0"/>
    <w:rsid w:val="0018386C"/>
    <w:rsid w:val="00184479"/>
    <w:rsid w:val="0018472C"/>
    <w:rsid w:val="00184838"/>
    <w:rsid w:val="00185755"/>
    <w:rsid w:val="00186889"/>
    <w:rsid w:val="001870D3"/>
    <w:rsid w:val="00187398"/>
    <w:rsid w:val="00187F73"/>
    <w:rsid w:val="00187FB0"/>
    <w:rsid w:val="001902E9"/>
    <w:rsid w:val="00190327"/>
    <w:rsid w:val="00190A0A"/>
    <w:rsid w:val="00190A59"/>
    <w:rsid w:val="001913D4"/>
    <w:rsid w:val="001926F2"/>
    <w:rsid w:val="00193BCE"/>
    <w:rsid w:val="00194A8F"/>
    <w:rsid w:val="00194B87"/>
    <w:rsid w:val="00195527"/>
    <w:rsid w:val="0019569A"/>
    <w:rsid w:val="00195962"/>
    <w:rsid w:val="00197300"/>
    <w:rsid w:val="00197533"/>
    <w:rsid w:val="001977E7"/>
    <w:rsid w:val="00197CCA"/>
    <w:rsid w:val="001A0032"/>
    <w:rsid w:val="001A0D8A"/>
    <w:rsid w:val="001A0FAF"/>
    <w:rsid w:val="001A192D"/>
    <w:rsid w:val="001A3C29"/>
    <w:rsid w:val="001A4F07"/>
    <w:rsid w:val="001A518B"/>
    <w:rsid w:val="001A56DD"/>
    <w:rsid w:val="001A7C72"/>
    <w:rsid w:val="001B084B"/>
    <w:rsid w:val="001B0CEC"/>
    <w:rsid w:val="001B0FFC"/>
    <w:rsid w:val="001B142F"/>
    <w:rsid w:val="001B1CF2"/>
    <w:rsid w:val="001B2278"/>
    <w:rsid w:val="001B4388"/>
    <w:rsid w:val="001B463E"/>
    <w:rsid w:val="001B49E0"/>
    <w:rsid w:val="001B5365"/>
    <w:rsid w:val="001B5377"/>
    <w:rsid w:val="001B5596"/>
    <w:rsid w:val="001B6553"/>
    <w:rsid w:val="001B6647"/>
    <w:rsid w:val="001B6A47"/>
    <w:rsid w:val="001B6B0A"/>
    <w:rsid w:val="001B6C3C"/>
    <w:rsid w:val="001B7156"/>
    <w:rsid w:val="001C0824"/>
    <w:rsid w:val="001C0B83"/>
    <w:rsid w:val="001C1510"/>
    <w:rsid w:val="001C15F2"/>
    <w:rsid w:val="001C163F"/>
    <w:rsid w:val="001C196D"/>
    <w:rsid w:val="001C1989"/>
    <w:rsid w:val="001C2436"/>
    <w:rsid w:val="001C28FD"/>
    <w:rsid w:val="001C2BE3"/>
    <w:rsid w:val="001C316C"/>
    <w:rsid w:val="001C3349"/>
    <w:rsid w:val="001C335F"/>
    <w:rsid w:val="001C4869"/>
    <w:rsid w:val="001C4ABA"/>
    <w:rsid w:val="001C546B"/>
    <w:rsid w:val="001C5EA2"/>
    <w:rsid w:val="001C6608"/>
    <w:rsid w:val="001C6C7D"/>
    <w:rsid w:val="001C72CF"/>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60CA"/>
    <w:rsid w:val="001E7473"/>
    <w:rsid w:val="001E774F"/>
    <w:rsid w:val="001E7C1D"/>
    <w:rsid w:val="001E7FA6"/>
    <w:rsid w:val="001F073F"/>
    <w:rsid w:val="001F0969"/>
    <w:rsid w:val="001F2A59"/>
    <w:rsid w:val="001F3009"/>
    <w:rsid w:val="001F3358"/>
    <w:rsid w:val="001F35CB"/>
    <w:rsid w:val="001F390F"/>
    <w:rsid w:val="001F5875"/>
    <w:rsid w:val="001F5CD1"/>
    <w:rsid w:val="001F6713"/>
    <w:rsid w:val="001F69A7"/>
    <w:rsid w:val="001F6F31"/>
    <w:rsid w:val="001F7257"/>
    <w:rsid w:val="001F7739"/>
    <w:rsid w:val="0020011B"/>
    <w:rsid w:val="002014D8"/>
    <w:rsid w:val="0020187E"/>
    <w:rsid w:val="00201DC6"/>
    <w:rsid w:val="00202375"/>
    <w:rsid w:val="002025EA"/>
    <w:rsid w:val="0020278A"/>
    <w:rsid w:val="00202884"/>
    <w:rsid w:val="00202E44"/>
    <w:rsid w:val="00203556"/>
    <w:rsid w:val="00203722"/>
    <w:rsid w:val="00204D0F"/>
    <w:rsid w:val="00204DB6"/>
    <w:rsid w:val="002056ED"/>
    <w:rsid w:val="00205B3C"/>
    <w:rsid w:val="00205C3A"/>
    <w:rsid w:val="00206825"/>
    <w:rsid w:val="00210D8E"/>
    <w:rsid w:val="00211793"/>
    <w:rsid w:val="00211C11"/>
    <w:rsid w:val="00212345"/>
    <w:rsid w:val="0021239B"/>
    <w:rsid w:val="00214757"/>
    <w:rsid w:val="00214809"/>
    <w:rsid w:val="002148D4"/>
    <w:rsid w:val="002149A1"/>
    <w:rsid w:val="00214C91"/>
    <w:rsid w:val="00214E7A"/>
    <w:rsid w:val="00215A18"/>
    <w:rsid w:val="00215BFE"/>
    <w:rsid w:val="00215C44"/>
    <w:rsid w:val="00216E73"/>
    <w:rsid w:val="0021774C"/>
    <w:rsid w:val="00217FF6"/>
    <w:rsid w:val="00222386"/>
    <w:rsid w:val="00222F51"/>
    <w:rsid w:val="002230E1"/>
    <w:rsid w:val="00223361"/>
    <w:rsid w:val="00223B80"/>
    <w:rsid w:val="00223D62"/>
    <w:rsid w:val="002244BA"/>
    <w:rsid w:val="002247AA"/>
    <w:rsid w:val="00224DA7"/>
    <w:rsid w:val="0022515A"/>
    <w:rsid w:val="002261CB"/>
    <w:rsid w:val="002268BF"/>
    <w:rsid w:val="00227BDE"/>
    <w:rsid w:val="00230045"/>
    <w:rsid w:val="0023014E"/>
    <w:rsid w:val="002308FA"/>
    <w:rsid w:val="002309BD"/>
    <w:rsid w:val="0023132F"/>
    <w:rsid w:val="00231AA5"/>
    <w:rsid w:val="00231C13"/>
    <w:rsid w:val="00232F90"/>
    <w:rsid w:val="0023339B"/>
    <w:rsid w:val="002333B3"/>
    <w:rsid w:val="00234107"/>
    <w:rsid w:val="00234115"/>
    <w:rsid w:val="0023469C"/>
    <w:rsid w:val="00234C71"/>
    <w:rsid w:val="00235511"/>
    <w:rsid w:val="002366E0"/>
    <w:rsid w:val="00236B2D"/>
    <w:rsid w:val="00236DE1"/>
    <w:rsid w:val="002372EE"/>
    <w:rsid w:val="002372FD"/>
    <w:rsid w:val="0023764D"/>
    <w:rsid w:val="0023770F"/>
    <w:rsid w:val="00237FE4"/>
    <w:rsid w:val="002415BC"/>
    <w:rsid w:val="002434B2"/>
    <w:rsid w:val="002442F4"/>
    <w:rsid w:val="002445EA"/>
    <w:rsid w:val="00244777"/>
    <w:rsid w:val="00244ECE"/>
    <w:rsid w:val="00244FC5"/>
    <w:rsid w:val="00245D1D"/>
    <w:rsid w:val="0024629A"/>
    <w:rsid w:val="00250929"/>
    <w:rsid w:val="00250EDA"/>
    <w:rsid w:val="00251502"/>
    <w:rsid w:val="002518E8"/>
    <w:rsid w:val="00251C10"/>
    <w:rsid w:val="002524A0"/>
    <w:rsid w:val="00252E1E"/>
    <w:rsid w:val="002538BA"/>
    <w:rsid w:val="00253DD1"/>
    <w:rsid w:val="002540CC"/>
    <w:rsid w:val="0025469D"/>
    <w:rsid w:val="002552B1"/>
    <w:rsid w:val="00255D01"/>
    <w:rsid w:val="00256E55"/>
    <w:rsid w:val="00257E0E"/>
    <w:rsid w:val="00257FF4"/>
    <w:rsid w:val="00260FCB"/>
    <w:rsid w:val="002615F5"/>
    <w:rsid w:val="002616B9"/>
    <w:rsid w:val="0026217B"/>
    <w:rsid w:val="002629E4"/>
    <w:rsid w:val="00262E3A"/>
    <w:rsid w:val="00263D26"/>
    <w:rsid w:val="00263FE3"/>
    <w:rsid w:val="00265593"/>
    <w:rsid w:val="002655F1"/>
    <w:rsid w:val="00266160"/>
    <w:rsid w:val="0026715F"/>
    <w:rsid w:val="002675EA"/>
    <w:rsid w:val="00267BC5"/>
    <w:rsid w:val="00267CBE"/>
    <w:rsid w:val="00267E0B"/>
    <w:rsid w:val="00270680"/>
    <w:rsid w:val="00271103"/>
    <w:rsid w:val="0027165E"/>
    <w:rsid w:val="002721FA"/>
    <w:rsid w:val="0027230C"/>
    <w:rsid w:val="00272431"/>
    <w:rsid w:val="00272B99"/>
    <w:rsid w:val="0027380D"/>
    <w:rsid w:val="0027468E"/>
    <w:rsid w:val="00274826"/>
    <w:rsid w:val="00275005"/>
    <w:rsid w:val="0027516C"/>
    <w:rsid w:val="002752AB"/>
    <w:rsid w:val="002752FF"/>
    <w:rsid w:val="00275346"/>
    <w:rsid w:val="002756D6"/>
    <w:rsid w:val="0027573C"/>
    <w:rsid w:val="002762F4"/>
    <w:rsid w:val="002766AB"/>
    <w:rsid w:val="00276769"/>
    <w:rsid w:val="00276F29"/>
    <w:rsid w:val="00276F94"/>
    <w:rsid w:val="002815D0"/>
    <w:rsid w:val="00281651"/>
    <w:rsid w:val="002820A7"/>
    <w:rsid w:val="0028342E"/>
    <w:rsid w:val="00283B82"/>
    <w:rsid w:val="00283E13"/>
    <w:rsid w:val="00286222"/>
    <w:rsid w:val="00286478"/>
    <w:rsid w:val="00287A3F"/>
    <w:rsid w:val="00287EDD"/>
    <w:rsid w:val="00290F4F"/>
    <w:rsid w:val="0029141B"/>
    <w:rsid w:val="002927D3"/>
    <w:rsid w:val="00294BDE"/>
    <w:rsid w:val="00295DB6"/>
    <w:rsid w:val="0029788B"/>
    <w:rsid w:val="00297CD7"/>
    <w:rsid w:val="00297D1B"/>
    <w:rsid w:val="00297F4D"/>
    <w:rsid w:val="002A0226"/>
    <w:rsid w:val="002A0661"/>
    <w:rsid w:val="002A12E3"/>
    <w:rsid w:val="002A1CF2"/>
    <w:rsid w:val="002A2A47"/>
    <w:rsid w:val="002A2ED0"/>
    <w:rsid w:val="002A3A84"/>
    <w:rsid w:val="002A4965"/>
    <w:rsid w:val="002A4C3E"/>
    <w:rsid w:val="002A56BC"/>
    <w:rsid w:val="002A5C53"/>
    <w:rsid w:val="002A6AD6"/>
    <w:rsid w:val="002A6C32"/>
    <w:rsid w:val="002A72CC"/>
    <w:rsid w:val="002A76AB"/>
    <w:rsid w:val="002A7A4F"/>
    <w:rsid w:val="002A7AFE"/>
    <w:rsid w:val="002B01DB"/>
    <w:rsid w:val="002B09C0"/>
    <w:rsid w:val="002B13B3"/>
    <w:rsid w:val="002B183D"/>
    <w:rsid w:val="002B1A77"/>
    <w:rsid w:val="002B1DBF"/>
    <w:rsid w:val="002B1EFF"/>
    <w:rsid w:val="002B207F"/>
    <w:rsid w:val="002B2A48"/>
    <w:rsid w:val="002B2BEE"/>
    <w:rsid w:val="002B31AD"/>
    <w:rsid w:val="002B3A3F"/>
    <w:rsid w:val="002B3EA7"/>
    <w:rsid w:val="002B4021"/>
    <w:rsid w:val="002B4BAE"/>
    <w:rsid w:val="002B538B"/>
    <w:rsid w:val="002B563F"/>
    <w:rsid w:val="002B581B"/>
    <w:rsid w:val="002B6D44"/>
    <w:rsid w:val="002C0AB1"/>
    <w:rsid w:val="002C1A97"/>
    <w:rsid w:val="002C2892"/>
    <w:rsid w:val="002C3B0E"/>
    <w:rsid w:val="002C4D8E"/>
    <w:rsid w:val="002C4EFC"/>
    <w:rsid w:val="002C58AB"/>
    <w:rsid w:val="002C6D84"/>
    <w:rsid w:val="002C7A7A"/>
    <w:rsid w:val="002C7D21"/>
    <w:rsid w:val="002D141D"/>
    <w:rsid w:val="002D1564"/>
    <w:rsid w:val="002D1954"/>
    <w:rsid w:val="002D1CA4"/>
    <w:rsid w:val="002D2C09"/>
    <w:rsid w:val="002D2C45"/>
    <w:rsid w:val="002D31CA"/>
    <w:rsid w:val="002D4969"/>
    <w:rsid w:val="002D4EE1"/>
    <w:rsid w:val="002D4F49"/>
    <w:rsid w:val="002D778E"/>
    <w:rsid w:val="002E04D7"/>
    <w:rsid w:val="002E06DD"/>
    <w:rsid w:val="002E08BD"/>
    <w:rsid w:val="002E171A"/>
    <w:rsid w:val="002E2A24"/>
    <w:rsid w:val="002E3BBB"/>
    <w:rsid w:val="002E3D66"/>
    <w:rsid w:val="002E3F11"/>
    <w:rsid w:val="002E4320"/>
    <w:rsid w:val="002E4B11"/>
    <w:rsid w:val="002E4F70"/>
    <w:rsid w:val="002E57E6"/>
    <w:rsid w:val="002E5886"/>
    <w:rsid w:val="002E5AD3"/>
    <w:rsid w:val="002E635D"/>
    <w:rsid w:val="002E6E35"/>
    <w:rsid w:val="002E7562"/>
    <w:rsid w:val="002F071F"/>
    <w:rsid w:val="002F16D5"/>
    <w:rsid w:val="002F1748"/>
    <w:rsid w:val="002F1A90"/>
    <w:rsid w:val="002F1C2F"/>
    <w:rsid w:val="002F27B7"/>
    <w:rsid w:val="002F3D1C"/>
    <w:rsid w:val="002F3F62"/>
    <w:rsid w:val="002F4DEB"/>
    <w:rsid w:val="002F4EA1"/>
    <w:rsid w:val="002F52DE"/>
    <w:rsid w:val="002F55C1"/>
    <w:rsid w:val="002F68B2"/>
    <w:rsid w:val="002F797A"/>
    <w:rsid w:val="00300483"/>
    <w:rsid w:val="00300704"/>
    <w:rsid w:val="00300BEB"/>
    <w:rsid w:val="00300EF6"/>
    <w:rsid w:val="00301738"/>
    <w:rsid w:val="00301C91"/>
    <w:rsid w:val="00303F2B"/>
    <w:rsid w:val="00304607"/>
    <w:rsid w:val="0030467A"/>
    <w:rsid w:val="00304D4E"/>
    <w:rsid w:val="00304FFD"/>
    <w:rsid w:val="00305608"/>
    <w:rsid w:val="00305B72"/>
    <w:rsid w:val="0030610A"/>
    <w:rsid w:val="00306627"/>
    <w:rsid w:val="003069DD"/>
    <w:rsid w:val="00306CAB"/>
    <w:rsid w:val="00310B0D"/>
    <w:rsid w:val="00310BC5"/>
    <w:rsid w:val="0031139E"/>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C34"/>
    <w:rsid w:val="00316F0A"/>
    <w:rsid w:val="003176FA"/>
    <w:rsid w:val="003179A3"/>
    <w:rsid w:val="00317DC7"/>
    <w:rsid w:val="003200F9"/>
    <w:rsid w:val="00320427"/>
    <w:rsid w:val="00320670"/>
    <w:rsid w:val="00320F38"/>
    <w:rsid w:val="00321183"/>
    <w:rsid w:val="00321694"/>
    <w:rsid w:val="00321F0A"/>
    <w:rsid w:val="003223CE"/>
    <w:rsid w:val="0032298C"/>
    <w:rsid w:val="00322A2D"/>
    <w:rsid w:val="00322AA1"/>
    <w:rsid w:val="00322E80"/>
    <w:rsid w:val="003242C1"/>
    <w:rsid w:val="0032489B"/>
    <w:rsid w:val="00324984"/>
    <w:rsid w:val="00324D5B"/>
    <w:rsid w:val="00324DF7"/>
    <w:rsid w:val="00325045"/>
    <w:rsid w:val="00325D91"/>
    <w:rsid w:val="003267B4"/>
    <w:rsid w:val="00331193"/>
    <w:rsid w:val="00332043"/>
    <w:rsid w:val="003333D4"/>
    <w:rsid w:val="00333B53"/>
    <w:rsid w:val="00334951"/>
    <w:rsid w:val="00334D29"/>
    <w:rsid w:val="003354E8"/>
    <w:rsid w:val="00336025"/>
    <w:rsid w:val="00336411"/>
    <w:rsid w:val="0033678D"/>
    <w:rsid w:val="0033720D"/>
    <w:rsid w:val="003373E8"/>
    <w:rsid w:val="00337C30"/>
    <w:rsid w:val="00337F99"/>
    <w:rsid w:val="00342309"/>
    <w:rsid w:val="003443DD"/>
    <w:rsid w:val="00344D5A"/>
    <w:rsid w:val="00346EB6"/>
    <w:rsid w:val="00347314"/>
    <w:rsid w:val="0034781A"/>
    <w:rsid w:val="00347EDB"/>
    <w:rsid w:val="00350797"/>
    <w:rsid w:val="00351A85"/>
    <w:rsid w:val="003522E8"/>
    <w:rsid w:val="003525AF"/>
    <w:rsid w:val="00353989"/>
    <w:rsid w:val="00355B7A"/>
    <w:rsid w:val="00355D84"/>
    <w:rsid w:val="003560D3"/>
    <w:rsid w:val="0035617C"/>
    <w:rsid w:val="00356E7E"/>
    <w:rsid w:val="00356EB8"/>
    <w:rsid w:val="00357B83"/>
    <w:rsid w:val="003614A8"/>
    <w:rsid w:val="0036160E"/>
    <w:rsid w:val="0036194C"/>
    <w:rsid w:val="00361959"/>
    <w:rsid w:val="00362610"/>
    <w:rsid w:val="003627C8"/>
    <w:rsid w:val="00363830"/>
    <w:rsid w:val="00363D2D"/>
    <w:rsid w:val="00364BB6"/>
    <w:rsid w:val="00364D6B"/>
    <w:rsid w:val="00365408"/>
    <w:rsid w:val="00365CC0"/>
    <w:rsid w:val="003668DF"/>
    <w:rsid w:val="00367688"/>
    <w:rsid w:val="00371525"/>
    <w:rsid w:val="00372221"/>
    <w:rsid w:val="0037290F"/>
    <w:rsid w:val="00372B8E"/>
    <w:rsid w:val="00372CF2"/>
    <w:rsid w:val="00374C7E"/>
    <w:rsid w:val="00377353"/>
    <w:rsid w:val="0037736B"/>
    <w:rsid w:val="00377428"/>
    <w:rsid w:val="00380265"/>
    <w:rsid w:val="00381F57"/>
    <w:rsid w:val="0038216E"/>
    <w:rsid w:val="003822E5"/>
    <w:rsid w:val="003830B8"/>
    <w:rsid w:val="00383262"/>
    <w:rsid w:val="00385293"/>
    <w:rsid w:val="00385EAF"/>
    <w:rsid w:val="00392595"/>
    <w:rsid w:val="00397138"/>
    <w:rsid w:val="003979B0"/>
    <w:rsid w:val="003A0329"/>
    <w:rsid w:val="003A0691"/>
    <w:rsid w:val="003A1233"/>
    <w:rsid w:val="003A157A"/>
    <w:rsid w:val="003A283F"/>
    <w:rsid w:val="003A28D1"/>
    <w:rsid w:val="003A2A16"/>
    <w:rsid w:val="003A2FDD"/>
    <w:rsid w:val="003A3C43"/>
    <w:rsid w:val="003A4E90"/>
    <w:rsid w:val="003A5CCC"/>
    <w:rsid w:val="003A6848"/>
    <w:rsid w:val="003A70FF"/>
    <w:rsid w:val="003A74D2"/>
    <w:rsid w:val="003A756B"/>
    <w:rsid w:val="003A7902"/>
    <w:rsid w:val="003B23D7"/>
    <w:rsid w:val="003B34CB"/>
    <w:rsid w:val="003B35E4"/>
    <w:rsid w:val="003B3AB4"/>
    <w:rsid w:val="003B3CA8"/>
    <w:rsid w:val="003B45D5"/>
    <w:rsid w:val="003B52FE"/>
    <w:rsid w:val="003B572A"/>
    <w:rsid w:val="003B6325"/>
    <w:rsid w:val="003B71E0"/>
    <w:rsid w:val="003B78A4"/>
    <w:rsid w:val="003C0DFD"/>
    <w:rsid w:val="003C144E"/>
    <w:rsid w:val="003C1A07"/>
    <w:rsid w:val="003C1E74"/>
    <w:rsid w:val="003C20A2"/>
    <w:rsid w:val="003C2673"/>
    <w:rsid w:val="003C27A2"/>
    <w:rsid w:val="003C286C"/>
    <w:rsid w:val="003C405B"/>
    <w:rsid w:val="003C567C"/>
    <w:rsid w:val="003C572A"/>
    <w:rsid w:val="003C589C"/>
    <w:rsid w:val="003C59B8"/>
    <w:rsid w:val="003C677B"/>
    <w:rsid w:val="003C6809"/>
    <w:rsid w:val="003C7897"/>
    <w:rsid w:val="003D0937"/>
    <w:rsid w:val="003D157B"/>
    <w:rsid w:val="003D17E6"/>
    <w:rsid w:val="003D1A20"/>
    <w:rsid w:val="003D1AC9"/>
    <w:rsid w:val="003D2AC9"/>
    <w:rsid w:val="003D2CD8"/>
    <w:rsid w:val="003D314D"/>
    <w:rsid w:val="003D3724"/>
    <w:rsid w:val="003D46A7"/>
    <w:rsid w:val="003D6376"/>
    <w:rsid w:val="003D698E"/>
    <w:rsid w:val="003D6CF1"/>
    <w:rsid w:val="003E09B7"/>
    <w:rsid w:val="003E1235"/>
    <w:rsid w:val="003E298A"/>
    <w:rsid w:val="003E2A35"/>
    <w:rsid w:val="003E2B45"/>
    <w:rsid w:val="003E2B56"/>
    <w:rsid w:val="003E2CE1"/>
    <w:rsid w:val="003E2DCB"/>
    <w:rsid w:val="003E39CF"/>
    <w:rsid w:val="003E40CA"/>
    <w:rsid w:val="003E4C3F"/>
    <w:rsid w:val="003E4D7C"/>
    <w:rsid w:val="003E5219"/>
    <w:rsid w:val="003E5FA8"/>
    <w:rsid w:val="003E6252"/>
    <w:rsid w:val="003E6996"/>
    <w:rsid w:val="003E7373"/>
    <w:rsid w:val="003F1200"/>
    <w:rsid w:val="003F1379"/>
    <w:rsid w:val="003F1421"/>
    <w:rsid w:val="003F1844"/>
    <w:rsid w:val="003F241E"/>
    <w:rsid w:val="003F28C0"/>
    <w:rsid w:val="003F4BFE"/>
    <w:rsid w:val="003F52B2"/>
    <w:rsid w:val="003F6158"/>
    <w:rsid w:val="003F716E"/>
    <w:rsid w:val="003F73BB"/>
    <w:rsid w:val="00400061"/>
    <w:rsid w:val="0040068A"/>
    <w:rsid w:val="00400813"/>
    <w:rsid w:val="00400C99"/>
    <w:rsid w:val="00401270"/>
    <w:rsid w:val="0040131C"/>
    <w:rsid w:val="004013AD"/>
    <w:rsid w:val="0040155E"/>
    <w:rsid w:val="00401C07"/>
    <w:rsid w:val="00402215"/>
    <w:rsid w:val="00402C35"/>
    <w:rsid w:val="0040405B"/>
    <w:rsid w:val="00404195"/>
    <w:rsid w:val="00404211"/>
    <w:rsid w:val="004042A4"/>
    <w:rsid w:val="00404346"/>
    <w:rsid w:val="004043F3"/>
    <w:rsid w:val="0040482A"/>
    <w:rsid w:val="00404DAA"/>
    <w:rsid w:val="00404DDD"/>
    <w:rsid w:val="0040578B"/>
    <w:rsid w:val="004065D6"/>
    <w:rsid w:val="0040687D"/>
    <w:rsid w:val="00406FBC"/>
    <w:rsid w:val="0040709D"/>
    <w:rsid w:val="0040713F"/>
    <w:rsid w:val="004075A3"/>
    <w:rsid w:val="004108CF"/>
    <w:rsid w:val="00410C48"/>
    <w:rsid w:val="00412159"/>
    <w:rsid w:val="00413C8F"/>
    <w:rsid w:val="00414361"/>
    <w:rsid w:val="00416277"/>
    <w:rsid w:val="00416E24"/>
    <w:rsid w:val="0042063D"/>
    <w:rsid w:val="00422B23"/>
    <w:rsid w:val="00423A60"/>
    <w:rsid w:val="0042651C"/>
    <w:rsid w:val="00426B38"/>
    <w:rsid w:val="00426E9B"/>
    <w:rsid w:val="00427AC4"/>
    <w:rsid w:val="00427D55"/>
    <w:rsid w:val="004316E5"/>
    <w:rsid w:val="0043233C"/>
    <w:rsid w:val="00434099"/>
    <w:rsid w:val="004345A6"/>
    <w:rsid w:val="00435B2F"/>
    <w:rsid w:val="00435E03"/>
    <w:rsid w:val="00435EFF"/>
    <w:rsid w:val="00435F1E"/>
    <w:rsid w:val="004373E1"/>
    <w:rsid w:val="004374A3"/>
    <w:rsid w:val="00437A7E"/>
    <w:rsid w:val="00437B6C"/>
    <w:rsid w:val="00440144"/>
    <w:rsid w:val="0044064E"/>
    <w:rsid w:val="00440805"/>
    <w:rsid w:val="004410D8"/>
    <w:rsid w:val="004412E1"/>
    <w:rsid w:val="00441554"/>
    <w:rsid w:val="00442891"/>
    <w:rsid w:val="00442E48"/>
    <w:rsid w:val="00443DCD"/>
    <w:rsid w:val="00443E7E"/>
    <w:rsid w:val="00444937"/>
    <w:rsid w:val="00444C06"/>
    <w:rsid w:val="004454DF"/>
    <w:rsid w:val="00446804"/>
    <w:rsid w:val="00446832"/>
    <w:rsid w:val="004478D4"/>
    <w:rsid w:val="00450380"/>
    <w:rsid w:val="004505C6"/>
    <w:rsid w:val="004514EB"/>
    <w:rsid w:val="00451EDD"/>
    <w:rsid w:val="004520CD"/>
    <w:rsid w:val="00452DE8"/>
    <w:rsid w:val="00452DF3"/>
    <w:rsid w:val="004534F5"/>
    <w:rsid w:val="00453765"/>
    <w:rsid w:val="00453F31"/>
    <w:rsid w:val="00454EC3"/>
    <w:rsid w:val="0045530A"/>
    <w:rsid w:val="004554AE"/>
    <w:rsid w:val="004554C3"/>
    <w:rsid w:val="00455FB6"/>
    <w:rsid w:val="0045657A"/>
    <w:rsid w:val="00457197"/>
    <w:rsid w:val="00457555"/>
    <w:rsid w:val="00457971"/>
    <w:rsid w:val="00457DD8"/>
    <w:rsid w:val="004603D0"/>
    <w:rsid w:val="00460D63"/>
    <w:rsid w:val="004624AE"/>
    <w:rsid w:val="0046250E"/>
    <w:rsid w:val="00462E9C"/>
    <w:rsid w:val="00464B48"/>
    <w:rsid w:val="00465231"/>
    <w:rsid w:val="004662AD"/>
    <w:rsid w:val="00466516"/>
    <w:rsid w:val="00467B65"/>
    <w:rsid w:val="00467DB4"/>
    <w:rsid w:val="004703C4"/>
    <w:rsid w:val="0047091F"/>
    <w:rsid w:val="0047095A"/>
    <w:rsid w:val="004709D3"/>
    <w:rsid w:val="00471EA5"/>
    <w:rsid w:val="004720C9"/>
    <w:rsid w:val="00472257"/>
    <w:rsid w:val="00472E49"/>
    <w:rsid w:val="004732BB"/>
    <w:rsid w:val="00474C60"/>
    <w:rsid w:val="00475944"/>
    <w:rsid w:val="00475DF0"/>
    <w:rsid w:val="00476525"/>
    <w:rsid w:val="004772E2"/>
    <w:rsid w:val="0047739F"/>
    <w:rsid w:val="00477F44"/>
    <w:rsid w:val="00477F97"/>
    <w:rsid w:val="00480A2D"/>
    <w:rsid w:val="00480AFB"/>
    <w:rsid w:val="00481247"/>
    <w:rsid w:val="004828DC"/>
    <w:rsid w:val="00482FF7"/>
    <w:rsid w:val="00483098"/>
    <w:rsid w:val="00483AFB"/>
    <w:rsid w:val="0048402B"/>
    <w:rsid w:val="0048414A"/>
    <w:rsid w:val="00484AB2"/>
    <w:rsid w:val="00485362"/>
    <w:rsid w:val="00485C56"/>
    <w:rsid w:val="00486B79"/>
    <w:rsid w:val="00486CA2"/>
    <w:rsid w:val="004905FB"/>
    <w:rsid w:val="00490B25"/>
    <w:rsid w:val="00490FD6"/>
    <w:rsid w:val="004911C4"/>
    <w:rsid w:val="0049142A"/>
    <w:rsid w:val="0049499C"/>
    <w:rsid w:val="00494CC8"/>
    <w:rsid w:val="00494F6F"/>
    <w:rsid w:val="004955E7"/>
    <w:rsid w:val="0049589C"/>
    <w:rsid w:val="00495EF1"/>
    <w:rsid w:val="0049689D"/>
    <w:rsid w:val="00496A91"/>
    <w:rsid w:val="00496ED4"/>
    <w:rsid w:val="00497D4A"/>
    <w:rsid w:val="004A0035"/>
    <w:rsid w:val="004A0441"/>
    <w:rsid w:val="004A084C"/>
    <w:rsid w:val="004A15B3"/>
    <w:rsid w:val="004A18EC"/>
    <w:rsid w:val="004A1D01"/>
    <w:rsid w:val="004A2A54"/>
    <w:rsid w:val="004A2EF3"/>
    <w:rsid w:val="004A3537"/>
    <w:rsid w:val="004A3B0D"/>
    <w:rsid w:val="004A402D"/>
    <w:rsid w:val="004A4055"/>
    <w:rsid w:val="004A4F43"/>
    <w:rsid w:val="004A52F5"/>
    <w:rsid w:val="004A5C62"/>
    <w:rsid w:val="004A5D3A"/>
    <w:rsid w:val="004A6897"/>
    <w:rsid w:val="004A692B"/>
    <w:rsid w:val="004A6EB6"/>
    <w:rsid w:val="004A794C"/>
    <w:rsid w:val="004B31B1"/>
    <w:rsid w:val="004B3EC7"/>
    <w:rsid w:val="004B4362"/>
    <w:rsid w:val="004B5664"/>
    <w:rsid w:val="004B5B6B"/>
    <w:rsid w:val="004C011E"/>
    <w:rsid w:val="004C1B00"/>
    <w:rsid w:val="004C2107"/>
    <w:rsid w:val="004C4FF2"/>
    <w:rsid w:val="004C5AC7"/>
    <w:rsid w:val="004C5FC6"/>
    <w:rsid w:val="004C6435"/>
    <w:rsid w:val="004C649B"/>
    <w:rsid w:val="004C7B9C"/>
    <w:rsid w:val="004C7D55"/>
    <w:rsid w:val="004D0623"/>
    <w:rsid w:val="004D089A"/>
    <w:rsid w:val="004D3184"/>
    <w:rsid w:val="004D3991"/>
    <w:rsid w:val="004D5030"/>
    <w:rsid w:val="004D542E"/>
    <w:rsid w:val="004D6045"/>
    <w:rsid w:val="004D6727"/>
    <w:rsid w:val="004D7546"/>
    <w:rsid w:val="004D789E"/>
    <w:rsid w:val="004D7EC5"/>
    <w:rsid w:val="004E02B0"/>
    <w:rsid w:val="004E0B29"/>
    <w:rsid w:val="004E0E11"/>
    <w:rsid w:val="004E0F08"/>
    <w:rsid w:val="004E1546"/>
    <w:rsid w:val="004E19DC"/>
    <w:rsid w:val="004E35E8"/>
    <w:rsid w:val="004E50F0"/>
    <w:rsid w:val="004E61F5"/>
    <w:rsid w:val="004E6A03"/>
    <w:rsid w:val="004F0070"/>
    <w:rsid w:val="004F0468"/>
    <w:rsid w:val="004F0C51"/>
    <w:rsid w:val="004F2356"/>
    <w:rsid w:val="004F263C"/>
    <w:rsid w:val="004F2BB1"/>
    <w:rsid w:val="004F2EC7"/>
    <w:rsid w:val="004F341E"/>
    <w:rsid w:val="004F3CE8"/>
    <w:rsid w:val="004F3D35"/>
    <w:rsid w:val="004F4D4F"/>
    <w:rsid w:val="004F6BFB"/>
    <w:rsid w:val="004F7E4A"/>
    <w:rsid w:val="0050107F"/>
    <w:rsid w:val="0050147C"/>
    <w:rsid w:val="0050182B"/>
    <w:rsid w:val="00502579"/>
    <w:rsid w:val="005029F7"/>
    <w:rsid w:val="00503D4C"/>
    <w:rsid w:val="00504C0C"/>
    <w:rsid w:val="00504DC4"/>
    <w:rsid w:val="00504E48"/>
    <w:rsid w:val="00505B30"/>
    <w:rsid w:val="00506A67"/>
    <w:rsid w:val="005070FF"/>
    <w:rsid w:val="00507D71"/>
    <w:rsid w:val="0051114B"/>
    <w:rsid w:val="00512BBC"/>
    <w:rsid w:val="005134FB"/>
    <w:rsid w:val="005135FD"/>
    <w:rsid w:val="0051366C"/>
    <w:rsid w:val="0051684F"/>
    <w:rsid w:val="00516A92"/>
    <w:rsid w:val="00516B9F"/>
    <w:rsid w:val="00517693"/>
    <w:rsid w:val="005205AB"/>
    <w:rsid w:val="005206F2"/>
    <w:rsid w:val="005209B4"/>
    <w:rsid w:val="00520D37"/>
    <w:rsid w:val="00520FD3"/>
    <w:rsid w:val="00523378"/>
    <w:rsid w:val="0052393A"/>
    <w:rsid w:val="00525074"/>
    <w:rsid w:val="0052550F"/>
    <w:rsid w:val="00526C0F"/>
    <w:rsid w:val="0052702A"/>
    <w:rsid w:val="00527C5A"/>
    <w:rsid w:val="00530397"/>
    <w:rsid w:val="00530F73"/>
    <w:rsid w:val="0053102E"/>
    <w:rsid w:val="00533B8E"/>
    <w:rsid w:val="00533C24"/>
    <w:rsid w:val="00534C97"/>
    <w:rsid w:val="00535417"/>
    <w:rsid w:val="00535833"/>
    <w:rsid w:val="00535996"/>
    <w:rsid w:val="00535AE8"/>
    <w:rsid w:val="0053681F"/>
    <w:rsid w:val="00536D28"/>
    <w:rsid w:val="005372C5"/>
    <w:rsid w:val="00537A26"/>
    <w:rsid w:val="00540E47"/>
    <w:rsid w:val="00542078"/>
    <w:rsid w:val="00543283"/>
    <w:rsid w:val="0054364C"/>
    <w:rsid w:val="00543E05"/>
    <w:rsid w:val="005464BF"/>
    <w:rsid w:val="00546747"/>
    <w:rsid w:val="00547510"/>
    <w:rsid w:val="00547ECC"/>
    <w:rsid w:val="005514F6"/>
    <w:rsid w:val="00551D5A"/>
    <w:rsid w:val="00551EC3"/>
    <w:rsid w:val="00553E5F"/>
    <w:rsid w:val="005543E7"/>
    <w:rsid w:val="00554A44"/>
    <w:rsid w:val="00554C53"/>
    <w:rsid w:val="00554F18"/>
    <w:rsid w:val="00555220"/>
    <w:rsid w:val="005555F0"/>
    <w:rsid w:val="00555739"/>
    <w:rsid w:val="00556AD7"/>
    <w:rsid w:val="00556E75"/>
    <w:rsid w:val="00557B53"/>
    <w:rsid w:val="0056069A"/>
    <w:rsid w:val="00560C3B"/>
    <w:rsid w:val="00560F27"/>
    <w:rsid w:val="00561EA1"/>
    <w:rsid w:val="00562799"/>
    <w:rsid w:val="005633D6"/>
    <w:rsid w:val="00564804"/>
    <w:rsid w:val="00565598"/>
    <w:rsid w:val="005657C3"/>
    <w:rsid w:val="00565B5A"/>
    <w:rsid w:val="005664E2"/>
    <w:rsid w:val="005671D9"/>
    <w:rsid w:val="00567E8F"/>
    <w:rsid w:val="005702D6"/>
    <w:rsid w:val="00570412"/>
    <w:rsid w:val="0057187C"/>
    <w:rsid w:val="00572588"/>
    <w:rsid w:val="00573A50"/>
    <w:rsid w:val="005746D2"/>
    <w:rsid w:val="00574E8A"/>
    <w:rsid w:val="00577775"/>
    <w:rsid w:val="00580996"/>
    <w:rsid w:val="0058121A"/>
    <w:rsid w:val="00581863"/>
    <w:rsid w:val="00581EA3"/>
    <w:rsid w:val="0058205A"/>
    <w:rsid w:val="005824E5"/>
    <w:rsid w:val="0058260B"/>
    <w:rsid w:val="00583756"/>
    <w:rsid w:val="005842A4"/>
    <w:rsid w:val="00584955"/>
    <w:rsid w:val="00584D1E"/>
    <w:rsid w:val="005853E1"/>
    <w:rsid w:val="00586795"/>
    <w:rsid w:val="00586B82"/>
    <w:rsid w:val="005877D9"/>
    <w:rsid w:val="00587E13"/>
    <w:rsid w:val="00590911"/>
    <w:rsid w:val="00592D97"/>
    <w:rsid w:val="005933AA"/>
    <w:rsid w:val="005940AA"/>
    <w:rsid w:val="00594614"/>
    <w:rsid w:val="00594868"/>
    <w:rsid w:val="00594E10"/>
    <w:rsid w:val="00596306"/>
    <w:rsid w:val="00596487"/>
    <w:rsid w:val="00596E98"/>
    <w:rsid w:val="005A0809"/>
    <w:rsid w:val="005A08D0"/>
    <w:rsid w:val="005A0B91"/>
    <w:rsid w:val="005A1494"/>
    <w:rsid w:val="005A2453"/>
    <w:rsid w:val="005A27A6"/>
    <w:rsid w:val="005A3590"/>
    <w:rsid w:val="005A4A1C"/>
    <w:rsid w:val="005A5738"/>
    <w:rsid w:val="005A592A"/>
    <w:rsid w:val="005A5BD8"/>
    <w:rsid w:val="005A692A"/>
    <w:rsid w:val="005A6AB8"/>
    <w:rsid w:val="005B11C2"/>
    <w:rsid w:val="005B180A"/>
    <w:rsid w:val="005B2A60"/>
    <w:rsid w:val="005B382C"/>
    <w:rsid w:val="005B3C11"/>
    <w:rsid w:val="005B40DA"/>
    <w:rsid w:val="005B4226"/>
    <w:rsid w:val="005B5AA4"/>
    <w:rsid w:val="005B656B"/>
    <w:rsid w:val="005B71B3"/>
    <w:rsid w:val="005B76A4"/>
    <w:rsid w:val="005C04A7"/>
    <w:rsid w:val="005C10FC"/>
    <w:rsid w:val="005C17A4"/>
    <w:rsid w:val="005C27CC"/>
    <w:rsid w:val="005C370D"/>
    <w:rsid w:val="005C49B0"/>
    <w:rsid w:val="005C504E"/>
    <w:rsid w:val="005C6153"/>
    <w:rsid w:val="005C6805"/>
    <w:rsid w:val="005C7369"/>
    <w:rsid w:val="005C78B0"/>
    <w:rsid w:val="005C7924"/>
    <w:rsid w:val="005C7B95"/>
    <w:rsid w:val="005C7C7C"/>
    <w:rsid w:val="005D0061"/>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46"/>
    <w:rsid w:val="005E60B3"/>
    <w:rsid w:val="005E676C"/>
    <w:rsid w:val="005E6CB9"/>
    <w:rsid w:val="005E6DC2"/>
    <w:rsid w:val="005E7070"/>
    <w:rsid w:val="005E7F14"/>
    <w:rsid w:val="005F0154"/>
    <w:rsid w:val="005F0176"/>
    <w:rsid w:val="005F021D"/>
    <w:rsid w:val="005F1EAC"/>
    <w:rsid w:val="005F1ED3"/>
    <w:rsid w:val="005F308F"/>
    <w:rsid w:val="005F3B45"/>
    <w:rsid w:val="005F4869"/>
    <w:rsid w:val="005F4BFD"/>
    <w:rsid w:val="005F5748"/>
    <w:rsid w:val="005F57CB"/>
    <w:rsid w:val="005F5834"/>
    <w:rsid w:val="005F5990"/>
    <w:rsid w:val="005F5DCA"/>
    <w:rsid w:val="005F5E11"/>
    <w:rsid w:val="005F685A"/>
    <w:rsid w:val="005F6895"/>
    <w:rsid w:val="005F69DB"/>
    <w:rsid w:val="005F732E"/>
    <w:rsid w:val="005F7EF8"/>
    <w:rsid w:val="006003E5"/>
    <w:rsid w:val="00600E63"/>
    <w:rsid w:val="00601561"/>
    <w:rsid w:val="00601E55"/>
    <w:rsid w:val="00602037"/>
    <w:rsid w:val="006029DD"/>
    <w:rsid w:val="00602C6A"/>
    <w:rsid w:val="00603AF5"/>
    <w:rsid w:val="00606499"/>
    <w:rsid w:val="00606C66"/>
    <w:rsid w:val="00606C77"/>
    <w:rsid w:val="006075F6"/>
    <w:rsid w:val="00610145"/>
    <w:rsid w:val="0061037D"/>
    <w:rsid w:val="00610D1F"/>
    <w:rsid w:val="006123C6"/>
    <w:rsid w:val="00612C02"/>
    <w:rsid w:val="00612C67"/>
    <w:rsid w:val="00612CDD"/>
    <w:rsid w:val="00612F6E"/>
    <w:rsid w:val="00614B5D"/>
    <w:rsid w:val="0061562E"/>
    <w:rsid w:val="00616D41"/>
    <w:rsid w:val="00617292"/>
    <w:rsid w:val="00617414"/>
    <w:rsid w:val="006200A9"/>
    <w:rsid w:val="00621AFB"/>
    <w:rsid w:val="00622225"/>
    <w:rsid w:val="00622D03"/>
    <w:rsid w:val="00622DCD"/>
    <w:rsid w:val="00622F57"/>
    <w:rsid w:val="00623DD5"/>
    <w:rsid w:val="006240DA"/>
    <w:rsid w:val="00624269"/>
    <w:rsid w:val="006245A6"/>
    <w:rsid w:val="00624A34"/>
    <w:rsid w:val="0062568D"/>
    <w:rsid w:val="006256D3"/>
    <w:rsid w:val="006267F5"/>
    <w:rsid w:val="00627337"/>
    <w:rsid w:val="00630069"/>
    <w:rsid w:val="00630550"/>
    <w:rsid w:val="00630583"/>
    <w:rsid w:val="00630D2E"/>
    <w:rsid w:val="00630D39"/>
    <w:rsid w:val="00630FA0"/>
    <w:rsid w:val="00631A28"/>
    <w:rsid w:val="00631E19"/>
    <w:rsid w:val="006321F6"/>
    <w:rsid w:val="0063254D"/>
    <w:rsid w:val="00632FE0"/>
    <w:rsid w:val="00633E76"/>
    <w:rsid w:val="00633EC9"/>
    <w:rsid w:val="006340F5"/>
    <w:rsid w:val="00634542"/>
    <w:rsid w:val="00635E4D"/>
    <w:rsid w:val="0063620C"/>
    <w:rsid w:val="00637E18"/>
    <w:rsid w:val="0064032E"/>
    <w:rsid w:val="0064038D"/>
    <w:rsid w:val="006409A5"/>
    <w:rsid w:val="00640B06"/>
    <w:rsid w:val="00641A0B"/>
    <w:rsid w:val="00641D5A"/>
    <w:rsid w:val="00641E06"/>
    <w:rsid w:val="00643007"/>
    <w:rsid w:val="006431D0"/>
    <w:rsid w:val="006432C5"/>
    <w:rsid w:val="006436FA"/>
    <w:rsid w:val="00643852"/>
    <w:rsid w:val="00643C27"/>
    <w:rsid w:val="006452B7"/>
    <w:rsid w:val="006455E7"/>
    <w:rsid w:val="00645758"/>
    <w:rsid w:val="00645877"/>
    <w:rsid w:val="006461A1"/>
    <w:rsid w:val="00646879"/>
    <w:rsid w:val="00647422"/>
    <w:rsid w:val="00647E6B"/>
    <w:rsid w:val="006509B7"/>
    <w:rsid w:val="00650E84"/>
    <w:rsid w:val="0065198B"/>
    <w:rsid w:val="006525AF"/>
    <w:rsid w:val="0065266A"/>
    <w:rsid w:val="00653F9C"/>
    <w:rsid w:val="00653FDC"/>
    <w:rsid w:val="00655470"/>
    <w:rsid w:val="00655A55"/>
    <w:rsid w:val="00656FEE"/>
    <w:rsid w:val="0065758F"/>
    <w:rsid w:val="00657A15"/>
    <w:rsid w:val="00660897"/>
    <w:rsid w:val="00661028"/>
    <w:rsid w:val="006617BD"/>
    <w:rsid w:val="0066194D"/>
    <w:rsid w:val="00662C95"/>
    <w:rsid w:val="00664683"/>
    <w:rsid w:val="00664695"/>
    <w:rsid w:val="00664840"/>
    <w:rsid w:val="00664B44"/>
    <w:rsid w:val="006652BF"/>
    <w:rsid w:val="00665D16"/>
    <w:rsid w:val="0066630C"/>
    <w:rsid w:val="00666634"/>
    <w:rsid w:val="00666795"/>
    <w:rsid w:val="00666B77"/>
    <w:rsid w:val="00667BBD"/>
    <w:rsid w:val="00670854"/>
    <w:rsid w:val="00671149"/>
    <w:rsid w:val="00671615"/>
    <w:rsid w:val="00671741"/>
    <w:rsid w:val="00671766"/>
    <w:rsid w:val="00671B3A"/>
    <w:rsid w:val="00671FCF"/>
    <w:rsid w:val="00672914"/>
    <w:rsid w:val="00672DD4"/>
    <w:rsid w:val="00673C5E"/>
    <w:rsid w:val="006744C3"/>
    <w:rsid w:val="0067537F"/>
    <w:rsid w:val="006754BB"/>
    <w:rsid w:val="00676410"/>
    <w:rsid w:val="00680509"/>
    <w:rsid w:val="006805CB"/>
    <w:rsid w:val="00680763"/>
    <w:rsid w:val="00681CC1"/>
    <w:rsid w:val="0068233B"/>
    <w:rsid w:val="00682E11"/>
    <w:rsid w:val="00683081"/>
    <w:rsid w:val="00684C95"/>
    <w:rsid w:val="006850D3"/>
    <w:rsid w:val="00685249"/>
    <w:rsid w:val="006856B9"/>
    <w:rsid w:val="00685BDE"/>
    <w:rsid w:val="00686085"/>
    <w:rsid w:val="00686B2C"/>
    <w:rsid w:val="00687C0D"/>
    <w:rsid w:val="00687C20"/>
    <w:rsid w:val="00690F57"/>
    <w:rsid w:val="00691237"/>
    <w:rsid w:val="006920E6"/>
    <w:rsid w:val="00692555"/>
    <w:rsid w:val="006963F0"/>
    <w:rsid w:val="00696566"/>
    <w:rsid w:val="006966BA"/>
    <w:rsid w:val="0069672E"/>
    <w:rsid w:val="0069722D"/>
    <w:rsid w:val="006A0052"/>
    <w:rsid w:val="006A0497"/>
    <w:rsid w:val="006A09BA"/>
    <w:rsid w:val="006A0A9E"/>
    <w:rsid w:val="006A1F1C"/>
    <w:rsid w:val="006A3309"/>
    <w:rsid w:val="006A3836"/>
    <w:rsid w:val="006A3DD3"/>
    <w:rsid w:val="006A45EE"/>
    <w:rsid w:val="006A4625"/>
    <w:rsid w:val="006A47AE"/>
    <w:rsid w:val="006A4FD4"/>
    <w:rsid w:val="006A55D8"/>
    <w:rsid w:val="006A5B5E"/>
    <w:rsid w:val="006A67CB"/>
    <w:rsid w:val="006A7FAB"/>
    <w:rsid w:val="006B02F2"/>
    <w:rsid w:val="006B0368"/>
    <w:rsid w:val="006B0F6E"/>
    <w:rsid w:val="006B1D7B"/>
    <w:rsid w:val="006B27D4"/>
    <w:rsid w:val="006B2C9C"/>
    <w:rsid w:val="006B48EB"/>
    <w:rsid w:val="006B4AAE"/>
    <w:rsid w:val="006B4C00"/>
    <w:rsid w:val="006B56FC"/>
    <w:rsid w:val="006B5C34"/>
    <w:rsid w:val="006B6DDA"/>
    <w:rsid w:val="006B73D9"/>
    <w:rsid w:val="006B7DF0"/>
    <w:rsid w:val="006B7E74"/>
    <w:rsid w:val="006C0197"/>
    <w:rsid w:val="006C07C6"/>
    <w:rsid w:val="006C0D75"/>
    <w:rsid w:val="006C18BC"/>
    <w:rsid w:val="006C1C48"/>
    <w:rsid w:val="006C2241"/>
    <w:rsid w:val="006C3C1D"/>
    <w:rsid w:val="006C41FF"/>
    <w:rsid w:val="006C5145"/>
    <w:rsid w:val="006C65A8"/>
    <w:rsid w:val="006D02D8"/>
    <w:rsid w:val="006D05AD"/>
    <w:rsid w:val="006D0EC1"/>
    <w:rsid w:val="006D16F8"/>
    <w:rsid w:val="006D1813"/>
    <w:rsid w:val="006D21E1"/>
    <w:rsid w:val="006D24A9"/>
    <w:rsid w:val="006D2607"/>
    <w:rsid w:val="006D2AF3"/>
    <w:rsid w:val="006D2C89"/>
    <w:rsid w:val="006D364D"/>
    <w:rsid w:val="006D4D79"/>
    <w:rsid w:val="006D4FBD"/>
    <w:rsid w:val="006D5879"/>
    <w:rsid w:val="006D63FD"/>
    <w:rsid w:val="006D65B4"/>
    <w:rsid w:val="006D754A"/>
    <w:rsid w:val="006D7B9C"/>
    <w:rsid w:val="006D7E26"/>
    <w:rsid w:val="006E03EA"/>
    <w:rsid w:val="006E04C6"/>
    <w:rsid w:val="006E0768"/>
    <w:rsid w:val="006E0A65"/>
    <w:rsid w:val="006E0AFA"/>
    <w:rsid w:val="006E1B01"/>
    <w:rsid w:val="006E1D67"/>
    <w:rsid w:val="006E3306"/>
    <w:rsid w:val="006E3E3D"/>
    <w:rsid w:val="006E4836"/>
    <w:rsid w:val="006E5ACD"/>
    <w:rsid w:val="006E5DDD"/>
    <w:rsid w:val="006E7811"/>
    <w:rsid w:val="006F02E8"/>
    <w:rsid w:val="006F04DA"/>
    <w:rsid w:val="006F0557"/>
    <w:rsid w:val="006F0EA3"/>
    <w:rsid w:val="006F17C6"/>
    <w:rsid w:val="006F1B5D"/>
    <w:rsid w:val="006F212B"/>
    <w:rsid w:val="006F24FD"/>
    <w:rsid w:val="006F2DBA"/>
    <w:rsid w:val="006F37F7"/>
    <w:rsid w:val="006F4A61"/>
    <w:rsid w:val="006F4ADC"/>
    <w:rsid w:val="006F5CF4"/>
    <w:rsid w:val="006F643D"/>
    <w:rsid w:val="006F65BE"/>
    <w:rsid w:val="006F675C"/>
    <w:rsid w:val="006F6D13"/>
    <w:rsid w:val="006F7759"/>
    <w:rsid w:val="006F7D95"/>
    <w:rsid w:val="00700D41"/>
    <w:rsid w:val="00701B21"/>
    <w:rsid w:val="00702384"/>
    <w:rsid w:val="00703354"/>
    <w:rsid w:val="00704BAE"/>
    <w:rsid w:val="00704D25"/>
    <w:rsid w:val="00705807"/>
    <w:rsid w:val="00705C74"/>
    <w:rsid w:val="00705C78"/>
    <w:rsid w:val="007060E1"/>
    <w:rsid w:val="00706824"/>
    <w:rsid w:val="00706B85"/>
    <w:rsid w:val="00707050"/>
    <w:rsid w:val="007070DB"/>
    <w:rsid w:val="007071FC"/>
    <w:rsid w:val="007075D6"/>
    <w:rsid w:val="00707C84"/>
    <w:rsid w:val="00710702"/>
    <w:rsid w:val="00710A59"/>
    <w:rsid w:val="00710FDE"/>
    <w:rsid w:val="007116C7"/>
    <w:rsid w:val="00711C5A"/>
    <w:rsid w:val="00712B66"/>
    <w:rsid w:val="00713C31"/>
    <w:rsid w:val="0071428D"/>
    <w:rsid w:val="007144C9"/>
    <w:rsid w:val="00716A39"/>
    <w:rsid w:val="00716B3C"/>
    <w:rsid w:val="007170C2"/>
    <w:rsid w:val="00717EE4"/>
    <w:rsid w:val="00717F2D"/>
    <w:rsid w:val="007202A7"/>
    <w:rsid w:val="00720453"/>
    <w:rsid w:val="00720853"/>
    <w:rsid w:val="00721A1D"/>
    <w:rsid w:val="00722129"/>
    <w:rsid w:val="00724173"/>
    <w:rsid w:val="0072588B"/>
    <w:rsid w:val="00726730"/>
    <w:rsid w:val="00730598"/>
    <w:rsid w:val="00731C24"/>
    <w:rsid w:val="0073257E"/>
    <w:rsid w:val="00732A32"/>
    <w:rsid w:val="00732C6D"/>
    <w:rsid w:val="00733066"/>
    <w:rsid w:val="00733469"/>
    <w:rsid w:val="00733539"/>
    <w:rsid w:val="00735557"/>
    <w:rsid w:val="00737108"/>
    <w:rsid w:val="007379CE"/>
    <w:rsid w:val="0074028D"/>
    <w:rsid w:val="007419A7"/>
    <w:rsid w:val="00741B21"/>
    <w:rsid w:val="00741DD8"/>
    <w:rsid w:val="00741E49"/>
    <w:rsid w:val="0074250D"/>
    <w:rsid w:val="0074280F"/>
    <w:rsid w:val="00744210"/>
    <w:rsid w:val="007445E2"/>
    <w:rsid w:val="00745496"/>
    <w:rsid w:val="007460DA"/>
    <w:rsid w:val="00746BEB"/>
    <w:rsid w:val="0074705B"/>
    <w:rsid w:val="007470EC"/>
    <w:rsid w:val="00747EEC"/>
    <w:rsid w:val="0075020B"/>
    <w:rsid w:val="00751017"/>
    <w:rsid w:val="00751960"/>
    <w:rsid w:val="00752191"/>
    <w:rsid w:val="007535C7"/>
    <w:rsid w:val="00753BF6"/>
    <w:rsid w:val="00753C65"/>
    <w:rsid w:val="00753ECA"/>
    <w:rsid w:val="00754F62"/>
    <w:rsid w:val="00756551"/>
    <w:rsid w:val="00757572"/>
    <w:rsid w:val="00757769"/>
    <w:rsid w:val="0076067E"/>
    <w:rsid w:val="007609DD"/>
    <w:rsid w:val="00761BFD"/>
    <w:rsid w:val="00761D5C"/>
    <w:rsid w:val="00761FE5"/>
    <w:rsid w:val="00762476"/>
    <w:rsid w:val="00762A18"/>
    <w:rsid w:val="00762C2B"/>
    <w:rsid w:val="00763AE2"/>
    <w:rsid w:val="0076467D"/>
    <w:rsid w:val="00764C06"/>
    <w:rsid w:val="00766D90"/>
    <w:rsid w:val="007671B5"/>
    <w:rsid w:val="00767AE3"/>
    <w:rsid w:val="00767C19"/>
    <w:rsid w:val="00767D4E"/>
    <w:rsid w:val="00771067"/>
    <w:rsid w:val="007722ED"/>
    <w:rsid w:val="0077408B"/>
    <w:rsid w:val="00774AF6"/>
    <w:rsid w:val="00774DD0"/>
    <w:rsid w:val="00774EC8"/>
    <w:rsid w:val="00775419"/>
    <w:rsid w:val="00776781"/>
    <w:rsid w:val="007776CC"/>
    <w:rsid w:val="00777CE9"/>
    <w:rsid w:val="007803E6"/>
    <w:rsid w:val="00780519"/>
    <w:rsid w:val="00780C68"/>
    <w:rsid w:val="00780D05"/>
    <w:rsid w:val="00782730"/>
    <w:rsid w:val="00783C7B"/>
    <w:rsid w:val="007847D3"/>
    <w:rsid w:val="00785099"/>
    <w:rsid w:val="00785214"/>
    <w:rsid w:val="0078556C"/>
    <w:rsid w:val="007855C5"/>
    <w:rsid w:val="007856D3"/>
    <w:rsid w:val="00785ABD"/>
    <w:rsid w:val="00785F2E"/>
    <w:rsid w:val="007860C6"/>
    <w:rsid w:val="00786254"/>
    <w:rsid w:val="0078656B"/>
    <w:rsid w:val="00786DB0"/>
    <w:rsid w:val="00787D47"/>
    <w:rsid w:val="0079014E"/>
    <w:rsid w:val="007912F2"/>
    <w:rsid w:val="00791483"/>
    <w:rsid w:val="0079148B"/>
    <w:rsid w:val="007922D9"/>
    <w:rsid w:val="00792971"/>
    <w:rsid w:val="007935C6"/>
    <w:rsid w:val="00794129"/>
    <w:rsid w:val="00794516"/>
    <w:rsid w:val="00794878"/>
    <w:rsid w:val="00795467"/>
    <w:rsid w:val="00795512"/>
    <w:rsid w:val="00795644"/>
    <w:rsid w:val="00795AB7"/>
    <w:rsid w:val="00795E37"/>
    <w:rsid w:val="0079694C"/>
    <w:rsid w:val="00796D89"/>
    <w:rsid w:val="00796DA2"/>
    <w:rsid w:val="0079751B"/>
    <w:rsid w:val="007A02C5"/>
    <w:rsid w:val="007A0415"/>
    <w:rsid w:val="007A06BA"/>
    <w:rsid w:val="007A094E"/>
    <w:rsid w:val="007A27BD"/>
    <w:rsid w:val="007A294A"/>
    <w:rsid w:val="007A2A3D"/>
    <w:rsid w:val="007A4C96"/>
    <w:rsid w:val="007A51A6"/>
    <w:rsid w:val="007A523D"/>
    <w:rsid w:val="007A5629"/>
    <w:rsid w:val="007A56E5"/>
    <w:rsid w:val="007A59CA"/>
    <w:rsid w:val="007A60CA"/>
    <w:rsid w:val="007A6F0F"/>
    <w:rsid w:val="007A708C"/>
    <w:rsid w:val="007A75B5"/>
    <w:rsid w:val="007A7985"/>
    <w:rsid w:val="007A7ABE"/>
    <w:rsid w:val="007B01A4"/>
    <w:rsid w:val="007B03C5"/>
    <w:rsid w:val="007B053F"/>
    <w:rsid w:val="007B1575"/>
    <w:rsid w:val="007B26E1"/>
    <w:rsid w:val="007B2865"/>
    <w:rsid w:val="007B2C1A"/>
    <w:rsid w:val="007B3045"/>
    <w:rsid w:val="007B4C0F"/>
    <w:rsid w:val="007B5E25"/>
    <w:rsid w:val="007B6E0E"/>
    <w:rsid w:val="007C27FB"/>
    <w:rsid w:val="007C2CBB"/>
    <w:rsid w:val="007C309C"/>
    <w:rsid w:val="007C4209"/>
    <w:rsid w:val="007C5EB9"/>
    <w:rsid w:val="007C7449"/>
    <w:rsid w:val="007C7B2C"/>
    <w:rsid w:val="007C7EA5"/>
    <w:rsid w:val="007D1A95"/>
    <w:rsid w:val="007D245E"/>
    <w:rsid w:val="007D3764"/>
    <w:rsid w:val="007D485A"/>
    <w:rsid w:val="007D54FF"/>
    <w:rsid w:val="007D57D4"/>
    <w:rsid w:val="007D6315"/>
    <w:rsid w:val="007D69A0"/>
    <w:rsid w:val="007D724A"/>
    <w:rsid w:val="007D75A3"/>
    <w:rsid w:val="007E0491"/>
    <w:rsid w:val="007E09DF"/>
    <w:rsid w:val="007E16E2"/>
    <w:rsid w:val="007E19FE"/>
    <w:rsid w:val="007E1AAC"/>
    <w:rsid w:val="007E3B9C"/>
    <w:rsid w:val="007E40D1"/>
    <w:rsid w:val="007E4A2F"/>
    <w:rsid w:val="007E5C4A"/>
    <w:rsid w:val="007E5CC3"/>
    <w:rsid w:val="007E6915"/>
    <w:rsid w:val="007E6AD4"/>
    <w:rsid w:val="007E6B4E"/>
    <w:rsid w:val="007E74CA"/>
    <w:rsid w:val="007E7AD3"/>
    <w:rsid w:val="007F0070"/>
    <w:rsid w:val="007F0441"/>
    <w:rsid w:val="007F0E99"/>
    <w:rsid w:val="007F1F08"/>
    <w:rsid w:val="007F20F1"/>
    <w:rsid w:val="007F4224"/>
    <w:rsid w:val="007F4246"/>
    <w:rsid w:val="007F42D7"/>
    <w:rsid w:val="007F4DD2"/>
    <w:rsid w:val="007F4FB9"/>
    <w:rsid w:val="007F50E3"/>
    <w:rsid w:val="007F7022"/>
    <w:rsid w:val="007F70CF"/>
    <w:rsid w:val="007F7690"/>
    <w:rsid w:val="008011CC"/>
    <w:rsid w:val="00801223"/>
    <w:rsid w:val="00801404"/>
    <w:rsid w:val="008016C3"/>
    <w:rsid w:val="008017AA"/>
    <w:rsid w:val="00801CBA"/>
    <w:rsid w:val="00801D92"/>
    <w:rsid w:val="00801EC4"/>
    <w:rsid w:val="00802D74"/>
    <w:rsid w:val="00804BCF"/>
    <w:rsid w:val="00804FA4"/>
    <w:rsid w:val="00805275"/>
    <w:rsid w:val="008062BF"/>
    <w:rsid w:val="00806A62"/>
    <w:rsid w:val="00806D3C"/>
    <w:rsid w:val="00806E55"/>
    <w:rsid w:val="008073E6"/>
    <w:rsid w:val="008075CE"/>
    <w:rsid w:val="00807CB9"/>
    <w:rsid w:val="0081124F"/>
    <w:rsid w:val="00812179"/>
    <w:rsid w:val="008124E2"/>
    <w:rsid w:val="008125B9"/>
    <w:rsid w:val="00813928"/>
    <w:rsid w:val="00813B0B"/>
    <w:rsid w:val="00815321"/>
    <w:rsid w:val="00816104"/>
    <w:rsid w:val="008166DB"/>
    <w:rsid w:val="008173E0"/>
    <w:rsid w:val="008175C1"/>
    <w:rsid w:val="008200D4"/>
    <w:rsid w:val="008201EB"/>
    <w:rsid w:val="00820370"/>
    <w:rsid w:val="00820CC6"/>
    <w:rsid w:val="00821D2D"/>
    <w:rsid w:val="00822C41"/>
    <w:rsid w:val="00823644"/>
    <w:rsid w:val="00825043"/>
    <w:rsid w:val="00825267"/>
    <w:rsid w:val="008264EC"/>
    <w:rsid w:val="00827C0D"/>
    <w:rsid w:val="00830642"/>
    <w:rsid w:val="00831250"/>
    <w:rsid w:val="00831375"/>
    <w:rsid w:val="00831D8D"/>
    <w:rsid w:val="00831EDB"/>
    <w:rsid w:val="008333B7"/>
    <w:rsid w:val="008336EC"/>
    <w:rsid w:val="008337B9"/>
    <w:rsid w:val="0083477D"/>
    <w:rsid w:val="00834C32"/>
    <w:rsid w:val="00834FD2"/>
    <w:rsid w:val="00835084"/>
    <w:rsid w:val="00835184"/>
    <w:rsid w:val="00835569"/>
    <w:rsid w:val="00835802"/>
    <w:rsid w:val="00836295"/>
    <w:rsid w:val="008370EE"/>
    <w:rsid w:val="0084093F"/>
    <w:rsid w:val="0084098A"/>
    <w:rsid w:val="00840B64"/>
    <w:rsid w:val="00840DB0"/>
    <w:rsid w:val="00840EDE"/>
    <w:rsid w:val="008418A5"/>
    <w:rsid w:val="00843548"/>
    <w:rsid w:val="0084383C"/>
    <w:rsid w:val="00843CC0"/>
    <w:rsid w:val="00844ADD"/>
    <w:rsid w:val="0084534E"/>
    <w:rsid w:val="00846062"/>
    <w:rsid w:val="00846D05"/>
    <w:rsid w:val="008474C1"/>
    <w:rsid w:val="00847C1C"/>
    <w:rsid w:val="008503F0"/>
    <w:rsid w:val="0085055E"/>
    <w:rsid w:val="00850B55"/>
    <w:rsid w:val="00850C3B"/>
    <w:rsid w:val="00851605"/>
    <w:rsid w:val="00852CA0"/>
    <w:rsid w:val="00852D85"/>
    <w:rsid w:val="00852F6C"/>
    <w:rsid w:val="008531C9"/>
    <w:rsid w:val="0085465C"/>
    <w:rsid w:val="00854967"/>
    <w:rsid w:val="00855154"/>
    <w:rsid w:val="0085540B"/>
    <w:rsid w:val="00855511"/>
    <w:rsid w:val="0085578A"/>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6FD5"/>
    <w:rsid w:val="008671C7"/>
    <w:rsid w:val="00867EB8"/>
    <w:rsid w:val="00870335"/>
    <w:rsid w:val="00870AA2"/>
    <w:rsid w:val="00870C69"/>
    <w:rsid w:val="00871A86"/>
    <w:rsid w:val="00873D88"/>
    <w:rsid w:val="0087433B"/>
    <w:rsid w:val="00874449"/>
    <w:rsid w:val="0087621E"/>
    <w:rsid w:val="008767B2"/>
    <w:rsid w:val="00877328"/>
    <w:rsid w:val="0087787A"/>
    <w:rsid w:val="008802F0"/>
    <w:rsid w:val="00880992"/>
    <w:rsid w:val="00880A0B"/>
    <w:rsid w:val="00881692"/>
    <w:rsid w:val="00882D35"/>
    <w:rsid w:val="00883143"/>
    <w:rsid w:val="00885EFE"/>
    <w:rsid w:val="00886154"/>
    <w:rsid w:val="0088669D"/>
    <w:rsid w:val="00890277"/>
    <w:rsid w:val="0089061A"/>
    <w:rsid w:val="00891070"/>
    <w:rsid w:val="008915C6"/>
    <w:rsid w:val="008915F5"/>
    <w:rsid w:val="00891677"/>
    <w:rsid w:val="00891DF0"/>
    <w:rsid w:val="00892DB5"/>
    <w:rsid w:val="00894B61"/>
    <w:rsid w:val="00895255"/>
    <w:rsid w:val="00895DF1"/>
    <w:rsid w:val="00896010"/>
    <w:rsid w:val="00896645"/>
    <w:rsid w:val="0089666F"/>
    <w:rsid w:val="008975D2"/>
    <w:rsid w:val="008A035B"/>
    <w:rsid w:val="008A0459"/>
    <w:rsid w:val="008A0EC4"/>
    <w:rsid w:val="008A1218"/>
    <w:rsid w:val="008A15B6"/>
    <w:rsid w:val="008A1672"/>
    <w:rsid w:val="008A1A6E"/>
    <w:rsid w:val="008A202A"/>
    <w:rsid w:val="008A2D66"/>
    <w:rsid w:val="008A36C9"/>
    <w:rsid w:val="008A45D4"/>
    <w:rsid w:val="008A4C85"/>
    <w:rsid w:val="008A565B"/>
    <w:rsid w:val="008A5AF9"/>
    <w:rsid w:val="008B01A3"/>
    <w:rsid w:val="008B0A78"/>
    <w:rsid w:val="008B16DE"/>
    <w:rsid w:val="008B251F"/>
    <w:rsid w:val="008B2602"/>
    <w:rsid w:val="008B2727"/>
    <w:rsid w:val="008B2983"/>
    <w:rsid w:val="008B316B"/>
    <w:rsid w:val="008B4E33"/>
    <w:rsid w:val="008B5059"/>
    <w:rsid w:val="008B5BF2"/>
    <w:rsid w:val="008B6873"/>
    <w:rsid w:val="008B6934"/>
    <w:rsid w:val="008B6CF8"/>
    <w:rsid w:val="008B72F6"/>
    <w:rsid w:val="008C119E"/>
    <w:rsid w:val="008C1254"/>
    <w:rsid w:val="008C1D8B"/>
    <w:rsid w:val="008C1E24"/>
    <w:rsid w:val="008C242E"/>
    <w:rsid w:val="008C296B"/>
    <w:rsid w:val="008C2A46"/>
    <w:rsid w:val="008C33D3"/>
    <w:rsid w:val="008C3D21"/>
    <w:rsid w:val="008C4278"/>
    <w:rsid w:val="008C442B"/>
    <w:rsid w:val="008C520E"/>
    <w:rsid w:val="008C563B"/>
    <w:rsid w:val="008C567E"/>
    <w:rsid w:val="008C5DEE"/>
    <w:rsid w:val="008C6285"/>
    <w:rsid w:val="008C7182"/>
    <w:rsid w:val="008C7268"/>
    <w:rsid w:val="008C7CA5"/>
    <w:rsid w:val="008C7D9D"/>
    <w:rsid w:val="008D026F"/>
    <w:rsid w:val="008D0416"/>
    <w:rsid w:val="008D04D8"/>
    <w:rsid w:val="008D0EA7"/>
    <w:rsid w:val="008D13C6"/>
    <w:rsid w:val="008D1B04"/>
    <w:rsid w:val="008D1F61"/>
    <w:rsid w:val="008D2861"/>
    <w:rsid w:val="008D3235"/>
    <w:rsid w:val="008D33C8"/>
    <w:rsid w:val="008D3893"/>
    <w:rsid w:val="008D45CD"/>
    <w:rsid w:val="008D55F1"/>
    <w:rsid w:val="008D56CD"/>
    <w:rsid w:val="008D5CD7"/>
    <w:rsid w:val="008D625D"/>
    <w:rsid w:val="008D718E"/>
    <w:rsid w:val="008E09C5"/>
    <w:rsid w:val="008E0AA7"/>
    <w:rsid w:val="008E1D21"/>
    <w:rsid w:val="008E2355"/>
    <w:rsid w:val="008E3151"/>
    <w:rsid w:val="008E3386"/>
    <w:rsid w:val="008E3EA2"/>
    <w:rsid w:val="008E4DCC"/>
    <w:rsid w:val="008E5410"/>
    <w:rsid w:val="008E5A3F"/>
    <w:rsid w:val="008E6D09"/>
    <w:rsid w:val="008E7209"/>
    <w:rsid w:val="008E7298"/>
    <w:rsid w:val="008E7448"/>
    <w:rsid w:val="008F11BB"/>
    <w:rsid w:val="008F16FF"/>
    <w:rsid w:val="008F182F"/>
    <w:rsid w:val="008F1E95"/>
    <w:rsid w:val="008F2304"/>
    <w:rsid w:val="008F2842"/>
    <w:rsid w:val="008F46B3"/>
    <w:rsid w:val="008F57DD"/>
    <w:rsid w:val="008F5AEE"/>
    <w:rsid w:val="008F6A3D"/>
    <w:rsid w:val="008F6EAA"/>
    <w:rsid w:val="008F7800"/>
    <w:rsid w:val="008F7BCA"/>
    <w:rsid w:val="00900F4D"/>
    <w:rsid w:val="0090167B"/>
    <w:rsid w:val="00902DEC"/>
    <w:rsid w:val="0090342E"/>
    <w:rsid w:val="00903D3A"/>
    <w:rsid w:val="009044B9"/>
    <w:rsid w:val="009047B1"/>
    <w:rsid w:val="00904C86"/>
    <w:rsid w:val="00906472"/>
    <w:rsid w:val="0090680D"/>
    <w:rsid w:val="0091045D"/>
    <w:rsid w:val="009123DB"/>
    <w:rsid w:val="0091281A"/>
    <w:rsid w:val="00912B24"/>
    <w:rsid w:val="009139B5"/>
    <w:rsid w:val="00914514"/>
    <w:rsid w:val="00914549"/>
    <w:rsid w:val="009148C3"/>
    <w:rsid w:val="00914C08"/>
    <w:rsid w:val="00914F2F"/>
    <w:rsid w:val="009153FF"/>
    <w:rsid w:val="00916057"/>
    <w:rsid w:val="00916AD1"/>
    <w:rsid w:val="00917637"/>
    <w:rsid w:val="00917FEE"/>
    <w:rsid w:val="0092023D"/>
    <w:rsid w:val="00920472"/>
    <w:rsid w:val="00920EAB"/>
    <w:rsid w:val="00921251"/>
    <w:rsid w:val="00921861"/>
    <w:rsid w:val="0092189E"/>
    <w:rsid w:val="009219FD"/>
    <w:rsid w:val="00921DF7"/>
    <w:rsid w:val="00925433"/>
    <w:rsid w:val="00925769"/>
    <w:rsid w:val="009257B0"/>
    <w:rsid w:val="009258BD"/>
    <w:rsid w:val="00925DEB"/>
    <w:rsid w:val="0092620E"/>
    <w:rsid w:val="009263C0"/>
    <w:rsid w:val="00926D90"/>
    <w:rsid w:val="009302D4"/>
    <w:rsid w:val="009307F2"/>
    <w:rsid w:val="00930CEC"/>
    <w:rsid w:val="00930F4A"/>
    <w:rsid w:val="00932438"/>
    <w:rsid w:val="0093375E"/>
    <w:rsid w:val="00933BEF"/>
    <w:rsid w:val="00935866"/>
    <w:rsid w:val="00936550"/>
    <w:rsid w:val="00936D76"/>
    <w:rsid w:val="0093787E"/>
    <w:rsid w:val="009412CC"/>
    <w:rsid w:val="00941860"/>
    <w:rsid w:val="009418C3"/>
    <w:rsid w:val="009429D0"/>
    <w:rsid w:val="00942C31"/>
    <w:rsid w:val="0094388B"/>
    <w:rsid w:val="00943AC1"/>
    <w:rsid w:val="00943D09"/>
    <w:rsid w:val="00944364"/>
    <w:rsid w:val="00944826"/>
    <w:rsid w:val="009457A1"/>
    <w:rsid w:val="00947C5D"/>
    <w:rsid w:val="00947CA9"/>
    <w:rsid w:val="00950478"/>
    <w:rsid w:val="00950888"/>
    <w:rsid w:val="00950AF9"/>
    <w:rsid w:val="00950B5F"/>
    <w:rsid w:val="00950D35"/>
    <w:rsid w:val="0095144C"/>
    <w:rsid w:val="00951500"/>
    <w:rsid w:val="0095165B"/>
    <w:rsid w:val="00951B17"/>
    <w:rsid w:val="00951B8D"/>
    <w:rsid w:val="0095240E"/>
    <w:rsid w:val="00953210"/>
    <w:rsid w:val="009536A8"/>
    <w:rsid w:val="00953C80"/>
    <w:rsid w:val="00954596"/>
    <w:rsid w:val="00955851"/>
    <w:rsid w:val="009566C6"/>
    <w:rsid w:val="00956B69"/>
    <w:rsid w:val="00957E23"/>
    <w:rsid w:val="00961487"/>
    <w:rsid w:val="009615F6"/>
    <w:rsid w:val="00961BA7"/>
    <w:rsid w:val="00961F01"/>
    <w:rsid w:val="00962162"/>
    <w:rsid w:val="009623BC"/>
    <w:rsid w:val="009628BE"/>
    <w:rsid w:val="009631C8"/>
    <w:rsid w:val="00963AE4"/>
    <w:rsid w:val="00963C14"/>
    <w:rsid w:val="009645CD"/>
    <w:rsid w:val="00964834"/>
    <w:rsid w:val="00965940"/>
    <w:rsid w:val="00965A4E"/>
    <w:rsid w:val="00966B2E"/>
    <w:rsid w:val="00966BE5"/>
    <w:rsid w:val="00966EB0"/>
    <w:rsid w:val="00967B5E"/>
    <w:rsid w:val="009710E7"/>
    <w:rsid w:val="00971116"/>
    <w:rsid w:val="00972E28"/>
    <w:rsid w:val="00973030"/>
    <w:rsid w:val="009733F3"/>
    <w:rsid w:val="009748E4"/>
    <w:rsid w:val="00975EC7"/>
    <w:rsid w:val="00976135"/>
    <w:rsid w:val="00976D65"/>
    <w:rsid w:val="0097797C"/>
    <w:rsid w:val="00977CE6"/>
    <w:rsid w:val="0098006D"/>
    <w:rsid w:val="009807AC"/>
    <w:rsid w:val="00980AA1"/>
    <w:rsid w:val="00980C18"/>
    <w:rsid w:val="009810E9"/>
    <w:rsid w:val="0098141C"/>
    <w:rsid w:val="00981AA9"/>
    <w:rsid w:val="00981C91"/>
    <w:rsid w:val="00983132"/>
    <w:rsid w:val="00983314"/>
    <w:rsid w:val="0098350C"/>
    <w:rsid w:val="009835CC"/>
    <w:rsid w:val="00983DF2"/>
    <w:rsid w:val="0098433A"/>
    <w:rsid w:val="009855E4"/>
    <w:rsid w:val="00985675"/>
    <w:rsid w:val="00985939"/>
    <w:rsid w:val="0098637F"/>
    <w:rsid w:val="009868CD"/>
    <w:rsid w:val="00986A9B"/>
    <w:rsid w:val="00986B9C"/>
    <w:rsid w:val="00987BAB"/>
    <w:rsid w:val="009906BF"/>
    <w:rsid w:val="0099089C"/>
    <w:rsid w:val="00990CF9"/>
    <w:rsid w:val="009913F3"/>
    <w:rsid w:val="00991DA1"/>
    <w:rsid w:val="00992795"/>
    <w:rsid w:val="009927F1"/>
    <w:rsid w:val="009930F6"/>
    <w:rsid w:val="009936C4"/>
    <w:rsid w:val="00993774"/>
    <w:rsid w:val="009948ED"/>
    <w:rsid w:val="00995292"/>
    <w:rsid w:val="00995ADA"/>
    <w:rsid w:val="00995C04"/>
    <w:rsid w:val="0099643A"/>
    <w:rsid w:val="00997959"/>
    <w:rsid w:val="009A0A24"/>
    <w:rsid w:val="009A0BAF"/>
    <w:rsid w:val="009A1431"/>
    <w:rsid w:val="009A153D"/>
    <w:rsid w:val="009A1634"/>
    <w:rsid w:val="009A3A34"/>
    <w:rsid w:val="009A3C56"/>
    <w:rsid w:val="009A3FE2"/>
    <w:rsid w:val="009A400C"/>
    <w:rsid w:val="009A4B2C"/>
    <w:rsid w:val="009A5458"/>
    <w:rsid w:val="009A5592"/>
    <w:rsid w:val="009A59BA"/>
    <w:rsid w:val="009A6417"/>
    <w:rsid w:val="009A6704"/>
    <w:rsid w:val="009B01DF"/>
    <w:rsid w:val="009B020D"/>
    <w:rsid w:val="009B072F"/>
    <w:rsid w:val="009B07A1"/>
    <w:rsid w:val="009B09CC"/>
    <w:rsid w:val="009B14DF"/>
    <w:rsid w:val="009B173B"/>
    <w:rsid w:val="009B1A1A"/>
    <w:rsid w:val="009B2608"/>
    <w:rsid w:val="009B2A71"/>
    <w:rsid w:val="009B4027"/>
    <w:rsid w:val="009B4975"/>
    <w:rsid w:val="009B561F"/>
    <w:rsid w:val="009B5773"/>
    <w:rsid w:val="009B5D2D"/>
    <w:rsid w:val="009C058F"/>
    <w:rsid w:val="009C09C8"/>
    <w:rsid w:val="009C2A1D"/>
    <w:rsid w:val="009C2B3E"/>
    <w:rsid w:val="009C2EA2"/>
    <w:rsid w:val="009C3721"/>
    <w:rsid w:val="009C4141"/>
    <w:rsid w:val="009C4B55"/>
    <w:rsid w:val="009C5FCC"/>
    <w:rsid w:val="009C61A2"/>
    <w:rsid w:val="009C6238"/>
    <w:rsid w:val="009C6C3C"/>
    <w:rsid w:val="009C6DF6"/>
    <w:rsid w:val="009C6E92"/>
    <w:rsid w:val="009C7665"/>
    <w:rsid w:val="009D04F7"/>
    <w:rsid w:val="009D0B48"/>
    <w:rsid w:val="009D1589"/>
    <w:rsid w:val="009D1A53"/>
    <w:rsid w:val="009D2003"/>
    <w:rsid w:val="009D38C2"/>
    <w:rsid w:val="009D417F"/>
    <w:rsid w:val="009D45E5"/>
    <w:rsid w:val="009D4B85"/>
    <w:rsid w:val="009D535B"/>
    <w:rsid w:val="009D630B"/>
    <w:rsid w:val="009D6CAA"/>
    <w:rsid w:val="009D6CF6"/>
    <w:rsid w:val="009D6E69"/>
    <w:rsid w:val="009E02DC"/>
    <w:rsid w:val="009E0F26"/>
    <w:rsid w:val="009E2040"/>
    <w:rsid w:val="009E3E8E"/>
    <w:rsid w:val="009E46CD"/>
    <w:rsid w:val="009E49AE"/>
    <w:rsid w:val="009E4DC7"/>
    <w:rsid w:val="009E660A"/>
    <w:rsid w:val="009E6B64"/>
    <w:rsid w:val="009E72E5"/>
    <w:rsid w:val="009F0C4D"/>
    <w:rsid w:val="009F46C8"/>
    <w:rsid w:val="009F4F2A"/>
    <w:rsid w:val="009F511D"/>
    <w:rsid w:val="009F522B"/>
    <w:rsid w:val="009F660B"/>
    <w:rsid w:val="009F671E"/>
    <w:rsid w:val="009F7ED1"/>
    <w:rsid w:val="00A0149B"/>
    <w:rsid w:val="00A01607"/>
    <w:rsid w:val="00A018D4"/>
    <w:rsid w:val="00A022E7"/>
    <w:rsid w:val="00A02F9D"/>
    <w:rsid w:val="00A03767"/>
    <w:rsid w:val="00A03FF5"/>
    <w:rsid w:val="00A04834"/>
    <w:rsid w:val="00A05628"/>
    <w:rsid w:val="00A07DCF"/>
    <w:rsid w:val="00A11DE5"/>
    <w:rsid w:val="00A11DF3"/>
    <w:rsid w:val="00A122C8"/>
    <w:rsid w:val="00A12979"/>
    <w:rsid w:val="00A131A9"/>
    <w:rsid w:val="00A1496E"/>
    <w:rsid w:val="00A14F84"/>
    <w:rsid w:val="00A1542C"/>
    <w:rsid w:val="00A16D28"/>
    <w:rsid w:val="00A16D6D"/>
    <w:rsid w:val="00A17342"/>
    <w:rsid w:val="00A17C75"/>
    <w:rsid w:val="00A211C8"/>
    <w:rsid w:val="00A2121E"/>
    <w:rsid w:val="00A21EAC"/>
    <w:rsid w:val="00A221DE"/>
    <w:rsid w:val="00A22CB2"/>
    <w:rsid w:val="00A23138"/>
    <w:rsid w:val="00A23940"/>
    <w:rsid w:val="00A23ECC"/>
    <w:rsid w:val="00A244EB"/>
    <w:rsid w:val="00A24CD3"/>
    <w:rsid w:val="00A25461"/>
    <w:rsid w:val="00A2566E"/>
    <w:rsid w:val="00A26367"/>
    <w:rsid w:val="00A2678A"/>
    <w:rsid w:val="00A269E1"/>
    <w:rsid w:val="00A27289"/>
    <w:rsid w:val="00A27C1C"/>
    <w:rsid w:val="00A30F6A"/>
    <w:rsid w:val="00A312B4"/>
    <w:rsid w:val="00A3137F"/>
    <w:rsid w:val="00A31F51"/>
    <w:rsid w:val="00A32AEA"/>
    <w:rsid w:val="00A32F32"/>
    <w:rsid w:val="00A33E80"/>
    <w:rsid w:val="00A33EFE"/>
    <w:rsid w:val="00A34770"/>
    <w:rsid w:val="00A34EE1"/>
    <w:rsid w:val="00A35123"/>
    <w:rsid w:val="00A35130"/>
    <w:rsid w:val="00A401BA"/>
    <w:rsid w:val="00A4148D"/>
    <w:rsid w:val="00A42923"/>
    <w:rsid w:val="00A42C65"/>
    <w:rsid w:val="00A44D0E"/>
    <w:rsid w:val="00A4569D"/>
    <w:rsid w:val="00A4621D"/>
    <w:rsid w:val="00A47323"/>
    <w:rsid w:val="00A509FB"/>
    <w:rsid w:val="00A51C19"/>
    <w:rsid w:val="00A51E04"/>
    <w:rsid w:val="00A522B5"/>
    <w:rsid w:val="00A52C08"/>
    <w:rsid w:val="00A52C31"/>
    <w:rsid w:val="00A52F37"/>
    <w:rsid w:val="00A533C5"/>
    <w:rsid w:val="00A5381E"/>
    <w:rsid w:val="00A5388C"/>
    <w:rsid w:val="00A5397B"/>
    <w:rsid w:val="00A53BE1"/>
    <w:rsid w:val="00A54644"/>
    <w:rsid w:val="00A54DEF"/>
    <w:rsid w:val="00A55921"/>
    <w:rsid w:val="00A560E3"/>
    <w:rsid w:val="00A5628F"/>
    <w:rsid w:val="00A564AF"/>
    <w:rsid w:val="00A566A8"/>
    <w:rsid w:val="00A56D0B"/>
    <w:rsid w:val="00A57059"/>
    <w:rsid w:val="00A5775C"/>
    <w:rsid w:val="00A60E72"/>
    <w:rsid w:val="00A61F0C"/>
    <w:rsid w:val="00A61FF0"/>
    <w:rsid w:val="00A62580"/>
    <w:rsid w:val="00A62DAF"/>
    <w:rsid w:val="00A63AC9"/>
    <w:rsid w:val="00A63CA9"/>
    <w:rsid w:val="00A64502"/>
    <w:rsid w:val="00A64824"/>
    <w:rsid w:val="00A64B5F"/>
    <w:rsid w:val="00A65EA0"/>
    <w:rsid w:val="00A66517"/>
    <w:rsid w:val="00A67B0E"/>
    <w:rsid w:val="00A70983"/>
    <w:rsid w:val="00A718EF"/>
    <w:rsid w:val="00A72134"/>
    <w:rsid w:val="00A726A8"/>
    <w:rsid w:val="00A727BB"/>
    <w:rsid w:val="00A72951"/>
    <w:rsid w:val="00A730E1"/>
    <w:rsid w:val="00A73505"/>
    <w:rsid w:val="00A738DA"/>
    <w:rsid w:val="00A73AAA"/>
    <w:rsid w:val="00A7471A"/>
    <w:rsid w:val="00A75E02"/>
    <w:rsid w:val="00A7697D"/>
    <w:rsid w:val="00A76E5D"/>
    <w:rsid w:val="00A76E79"/>
    <w:rsid w:val="00A7771B"/>
    <w:rsid w:val="00A77B53"/>
    <w:rsid w:val="00A811F1"/>
    <w:rsid w:val="00A82887"/>
    <w:rsid w:val="00A83010"/>
    <w:rsid w:val="00A83BF5"/>
    <w:rsid w:val="00A84CD1"/>
    <w:rsid w:val="00A85E2E"/>
    <w:rsid w:val="00A861F3"/>
    <w:rsid w:val="00A8728F"/>
    <w:rsid w:val="00A8756A"/>
    <w:rsid w:val="00A87F7D"/>
    <w:rsid w:val="00A9038A"/>
    <w:rsid w:val="00A906B7"/>
    <w:rsid w:val="00A9070E"/>
    <w:rsid w:val="00A9273A"/>
    <w:rsid w:val="00A92DD4"/>
    <w:rsid w:val="00A94B92"/>
    <w:rsid w:val="00A94D0F"/>
    <w:rsid w:val="00A94F13"/>
    <w:rsid w:val="00A9514A"/>
    <w:rsid w:val="00A9537C"/>
    <w:rsid w:val="00A953F4"/>
    <w:rsid w:val="00A9568C"/>
    <w:rsid w:val="00A95BED"/>
    <w:rsid w:val="00A95EA2"/>
    <w:rsid w:val="00A9787E"/>
    <w:rsid w:val="00A97AF9"/>
    <w:rsid w:val="00AA08E8"/>
    <w:rsid w:val="00AA0DB4"/>
    <w:rsid w:val="00AA11C5"/>
    <w:rsid w:val="00AA17E2"/>
    <w:rsid w:val="00AA1A3E"/>
    <w:rsid w:val="00AA1EB4"/>
    <w:rsid w:val="00AA21B7"/>
    <w:rsid w:val="00AA3827"/>
    <w:rsid w:val="00AA382D"/>
    <w:rsid w:val="00AA4356"/>
    <w:rsid w:val="00AA4A2C"/>
    <w:rsid w:val="00AA4F8A"/>
    <w:rsid w:val="00AA54A7"/>
    <w:rsid w:val="00AA59A6"/>
    <w:rsid w:val="00AA5F7E"/>
    <w:rsid w:val="00AA6299"/>
    <w:rsid w:val="00AA6E05"/>
    <w:rsid w:val="00AB0262"/>
    <w:rsid w:val="00AB0653"/>
    <w:rsid w:val="00AB14A1"/>
    <w:rsid w:val="00AB1A3A"/>
    <w:rsid w:val="00AB202A"/>
    <w:rsid w:val="00AB2E69"/>
    <w:rsid w:val="00AB3BFF"/>
    <w:rsid w:val="00AB3C67"/>
    <w:rsid w:val="00AB3D34"/>
    <w:rsid w:val="00AB3E46"/>
    <w:rsid w:val="00AB5135"/>
    <w:rsid w:val="00AB5555"/>
    <w:rsid w:val="00AB55AD"/>
    <w:rsid w:val="00AB5C77"/>
    <w:rsid w:val="00AB5D1B"/>
    <w:rsid w:val="00AB6918"/>
    <w:rsid w:val="00AB6B40"/>
    <w:rsid w:val="00AB72CE"/>
    <w:rsid w:val="00AB740A"/>
    <w:rsid w:val="00AC1377"/>
    <w:rsid w:val="00AC1DA5"/>
    <w:rsid w:val="00AC216B"/>
    <w:rsid w:val="00AC26B1"/>
    <w:rsid w:val="00AC42B8"/>
    <w:rsid w:val="00AC45C5"/>
    <w:rsid w:val="00AC4791"/>
    <w:rsid w:val="00AC4FB6"/>
    <w:rsid w:val="00AC4FD1"/>
    <w:rsid w:val="00AC5471"/>
    <w:rsid w:val="00AC59C5"/>
    <w:rsid w:val="00AC5FEF"/>
    <w:rsid w:val="00AC6036"/>
    <w:rsid w:val="00AC717D"/>
    <w:rsid w:val="00AC75B6"/>
    <w:rsid w:val="00AD0328"/>
    <w:rsid w:val="00AD0909"/>
    <w:rsid w:val="00AD11DC"/>
    <w:rsid w:val="00AD1966"/>
    <w:rsid w:val="00AD19E8"/>
    <w:rsid w:val="00AD2B03"/>
    <w:rsid w:val="00AD2E07"/>
    <w:rsid w:val="00AD307D"/>
    <w:rsid w:val="00AD38A9"/>
    <w:rsid w:val="00AD4071"/>
    <w:rsid w:val="00AD44EA"/>
    <w:rsid w:val="00AD4782"/>
    <w:rsid w:val="00AD5236"/>
    <w:rsid w:val="00AD527D"/>
    <w:rsid w:val="00AD52A3"/>
    <w:rsid w:val="00AD54E0"/>
    <w:rsid w:val="00AD6AC5"/>
    <w:rsid w:val="00AD758E"/>
    <w:rsid w:val="00AD7AB5"/>
    <w:rsid w:val="00AE08B7"/>
    <w:rsid w:val="00AE0DBA"/>
    <w:rsid w:val="00AE160F"/>
    <w:rsid w:val="00AE21DC"/>
    <w:rsid w:val="00AE239B"/>
    <w:rsid w:val="00AE25D2"/>
    <w:rsid w:val="00AE2B47"/>
    <w:rsid w:val="00AE2CAD"/>
    <w:rsid w:val="00AE2F2A"/>
    <w:rsid w:val="00AE2FB1"/>
    <w:rsid w:val="00AE3090"/>
    <w:rsid w:val="00AE380E"/>
    <w:rsid w:val="00AE3AAD"/>
    <w:rsid w:val="00AE4189"/>
    <w:rsid w:val="00AE503A"/>
    <w:rsid w:val="00AE6336"/>
    <w:rsid w:val="00AE68E2"/>
    <w:rsid w:val="00AF0157"/>
    <w:rsid w:val="00AF05D6"/>
    <w:rsid w:val="00AF15F1"/>
    <w:rsid w:val="00AF2EC7"/>
    <w:rsid w:val="00AF3049"/>
    <w:rsid w:val="00AF3AC0"/>
    <w:rsid w:val="00AF4D9E"/>
    <w:rsid w:val="00AF4F4A"/>
    <w:rsid w:val="00AF5313"/>
    <w:rsid w:val="00AF66E0"/>
    <w:rsid w:val="00B00C24"/>
    <w:rsid w:val="00B00F93"/>
    <w:rsid w:val="00B01BBE"/>
    <w:rsid w:val="00B022AD"/>
    <w:rsid w:val="00B03F92"/>
    <w:rsid w:val="00B042C5"/>
    <w:rsid w:val="00B04F8B"/>
    <w:rsid w:val="00B055D8"/>
    <w:rsid w:val="00B05DD9"/>
    <w:rsid w:val="00B06CD6"/>
    <w:rsid w:val="00B06EBC"/>
    <w:rsid w:val="00B07300"/>
    <w:rsid w:val="00B11D2D"/>
    <w:rsid w:val="00B11D39"/>
    <w:rsid w:val="00B12112"/>
    <w:rsid w:val="00B123F0"/>
    <w:rsid w:val="00B12891"/>
    <w:rsid w:val="00B13E64"/>
    <w:rsid w:val="00B146C1"/>
    <w:rsid w:val="00B146E7"/>
    <w:rsid w:val="00B156DF"/>
    <w:rsid w:val="00B15ABB"/>
    <w:rsid w:val="00B16973"/>
    <w:rsid w:val="00B1719A"/>
    <w:rsid w:val="00B17BCC"/>
    <w:rsid w:val="00B2036A"/>
    <w:rsid w:val="00B21057"/>
    <w:rsid w:val="00B2202B"/>
    <w:rsid w:val="00B22C6C"/>
    <w:rsid w:val="00B23422"/>
    <w:rsid w:val="00B23813"/>
    <w:rsid w:val="00B2398D"/>
    <w:rsid w:val="00B24948"/>
    <w:rsid w:val="00B24CBD"/>
    <w:rsid w:val="00B25CA3"/>
    <w:rsid w:val="00B30028"/>
    <w:rsid w:val="00B31A0A"/>
    <w:rsid w:val="00B31E8D"/>
    <w:rsid w:val="00B31FED"/>
    <w:rsid w:val="00B32EAA"/>
    <w:rsid w:val="00B3313B"/>
    <w:rsid w:val="00B331E8"/>
    <w:rsid w:val="00B331EA"/>
    <w:rsid w:val="00B34732"/>
    <w:rsid w:val="00B35390"/>
    <w:rsid w:val="00B353B8"/>
    <w:rsid w:val="00B35C56"/>
    <w:rsid w:val="00B36F17"/>
    <w:rsid w:val="00B372ED"/>
    <w:rsid w:val="00B40603"/>
    <w:rsid w:val="00B40AF6"/>
    <w:rsid w:val="00B41071"/>
    <w:rsid w:val="00B423DD"/>
    <w:rsid w:val="00B425C0"/>
    <w:rsid w:val="00B42DB6"/>
    <w:rsid w:val="00B446E8"/>
    <w:rsid w:val="00B46957"/>
    <w:rsid w:val="00B47B54"/>
    <w:rsid w:val="00B47D3E"/>
    <w:rsid w:val="00B50B7D"/>
    <w:rsid w:val="00B50E99"/>
    <w:rsid w:val="00B51926"/>
    <w:rsid w:val="00B51F9A"/>
    <w:rsid w:val="00B53843"/>
    <w:rsid w:val="00B54DA7"/>
    <w:rsid w:val="00B600C6"/>
    <w:rsid w:val="00B60167"/>
    <w:rsid w:val="00B60FC0"/>
    <w:rsid w:val="00B610C0"/>
    <w:rsid w:val="00B61665"/>
    <w:rsid w:val="00B63528"/>
    <w:rsid w:val="00B63DAF"/>
    <w:rsid w:val="00B63E98"/>
    <w:rsid w:val="00B6435B"/>
    <w:rsid w:val="00B65754"/>
    <w:rsid w:val="00B661AA"/>
    <w:rsid w:val="00B66242"/>
    <w:rsid w:val="00B664D9"/>
    <w:rsid w:val="00B670D3"/>
    <w:rsid w:val="00B67958"/>
    <w:rsid w:val="00B701D1"/>
    <w:rsid w:val="00B716BB"/>
    <w:rsid w:val="00B716FD"/>
    <w:rsid w:val="00B734C2"/>
    <w:rsid w:val="00B73BDA"/>
    <w:rsid w:val="00B74053"/>
    <w:rsid w:val="00B765A0"/>
    <w:rsid w:val="00B76C02"/>
    <w:rsid w:val="00B77BD2"/>
    <w:rsid w:val="00B80B23"/>
    <w:rsid w:val="00B814CB"/>
    <w:rsid w:val="00B81B6A"/>
    <w:rsid w:val="00B820F4"/>
    <w:rsid w:val="00B82B2D"/>
    <w:rsid w:val="00B835E0"/>
    <w:rsid w:val="00B8396D"/>
    <w:rsid w:val="00B84C40"/>
    <w:rsid w:val="00B85663"/>
    <w:rsid w:val="00B87D9C"/>
    <w:rsid w:val="00B90331"/>
    <w:rsid w:val="00B903ED"/>
    <w:rsid w:val="00B90B2D"/>
    <w:rsid w:val="00B92B0A"/>
    <w:rsid w:val="00B935A1"/>
    <w:rsid w:val="00B93C25"/>
    <w:rsid w:val="00B93F80"/>
    <w:rsid w:val="00B94F56"/>
    <w:rsid w:val="00B95DAD"/>
    <w:rsid w:val="00B96C0C"/>
    <w:rsid w:val="00B9734D"/>
    <w:rsid w:val="00B97732"/>
    <w:rsid w:val="00BA00F3"/>
    <w:rsid w:val="00BA27F4"/>
    <w:rsid w:val="00BA2E40"/>
    <w:rsid w:val="00BA34B5"/>
    <w:rsid w:val="00BA3CB7"/>
    <w:rsid w:val="00BA41DE"/>
    <w:rsid w:val="00BA556C"/>
    <w:rsid w:val="00BA5D06"/>
    <w:rsid w:val="00BA6F0A"/>
    <w:rsid w:val="00BA7203"/>
    <w:rsid w:val="00BB0F31"/>
    <w:rsid w:val="00BB15AB"/>
    <w:rsid w:val="00BB175F"/>
    <w:rsid w:val="00BB189B"/>
    <w:rsid w:val="00BB1D21"/>
    <w:rsid w:val="00BB2259"/>
    <w:rsid w:val="00BB2E51"/>
    <w:rsid w:val="00BB31BA"/>
    <w:rsid w:val="00BB3638"/>
    <w:rsid w:val="00BB4BEA"/>
    <w:rsid w:val="00BB4C1A"/>
    <w:rsid w:val="00BB50AB"/>
    <w:rsid w:val="00BB5AE6"/>
    <w:rsid w:val="00BB6664"/>
    <w:rsid w:val="00BB74DA"/>
    <w:rsid w:val="00BB7667"/>
    <w:rsid w:val="00BB7E5D"/>
    <w:rsid w:val="00BC01FC"/>
    <w:rsid w:val="00BC1F79"/>
    <w:rsid w:val="00BC2201"/>
    <w:rsid w:val="00BC366C"/>
    <w:rsid w:val="00BC3C7A"/>
    <w:rsid w:val="00BC60AB"/>
    <w:rsid w:val="00BC7DC6"/>
    <w:rsid w:val="00BD1039"/>
    <w:rsid w:val="00BD13B5"/>
    <w:rsid w:val="00BD1768"/>
    <w:rsid w:val="00BD1DEA"/>
    <w:rsid w:val="00BD2EFC"/>
    <w:rsid w:val="00BD340E"/>
    <w:rsid w:val="00BD5624"/>
    <w:rsid w:val="00BD5666"/>
    <w:rsid w:val="00BD598E"/>
    <w:rsid w:val="00BD60AD"/>
    <w:rsid w:val="00BD6C02"/>
    <w:rsid w:val="00BE0614"/>
    <w:rsid w:val="00BE1244"/>
    <w:rsid w:val="00BE165D"/>
    <w:rsid w:val="00BE2394"/>
    <w:rsid w:val="00BE2702"/>
    <w:rsid w:val="00BE4326"/>
    <w:rsid w:val="00BE516F"/>
    <w:rsid w:val="00BE57ED"/>
    <w:rsid w:val="00BE5F4F"/>
    <w:rsid w:val="00BE60DB"/>
    <w:rsid w:val="00BF0191"/>
    <w:rsid w:val="00BF12D7"/>
    <w:rsid w:val="00BF13EC"/>
    <w:rsid w:val="00BF1574"/>
    <w:rsid w:val="00BF1C07"/>
    <w:rsid w:val="00BF3DEE"/>
    <w:rsid w:val="00BF54AC"/>
    <w:rsid w:val="00BF54BD"/>
    <w:rsid w:val="00BF6B8E"/>
    <w:rsid w:val="00C00EE6"/>
    <w:rsid w:val="00C0163B"/>
    <w:rsid w:val="00C025A5"/>
    <w:rsid w:val="00C0287D"/>
    <w:rsid w:val="00C03588"/>
    <w:rsid w:val="00C03C78"/>
    <w:rsid w:val="00C04B18"/>
    <w:rsid w:val="00C04FD3"/>
    <w:rsid w:val="00C065A2"/>
    <w:rsid w:val="00C07154"/>
    <w:rsid w:val="00C07919"/>
    <w:rsid w:val="00C103F9"/>
    <w:rsid w:val="00C104AC"/>
    <w:rsid w:val="00C110E1"/>
    <w:rsid w:val="00C11471"/>
    <w:rsid w:val="00C1198F"/>
    <w:rsid w:val="00C11FA1"/>
    <w:rsid w:val="00C12E21"/>
    <w:rsid w:val="00C12E65"/>
    <w:rsid w:val="00C1313A"/>
    <w:rsid w:val="00C13C20"/>
    <w:rsid w:val="00C13F74"/>
    <w:rsid w:val="00C14059"/>
    <w:rsid w:val="00C146D3"/>
    <w:rsid w:val="00C16BE0"/>
    <w:rsid w:val="00C16DCA"/>
    <w:rsid w:val="00C21C39"/>
    <w:rsid w:val="00C22B9F"/>
    <w:rsid w:val="00C2325C"/>
    <w:rsid w:val="00C239ED"/>
    <w:rsid w:val="00C24941"/>
    <w:rsid w:val="00C24D9D"/>
    <w:rsid w:val="00C25709"/>
    <w:rsid w:val="00C25CF3"/>
    <w:rsid w:val="00C263E9"/>
    <w:rsid w:val="00C26F44"/>
    <w:rsid w:val="00C2775A"/>
    <w:rsid w:val="00C3063A"/>
    <w:rsid w:val="00C30BAD"/>
    <w:rsid w:val="00C31E8F"/>
    <w:rsid w:val="00C335DA"/>
    <w:rsid w:val="00C339B0"/>
    <w:rsid w:val="00C33D3E"/>
    <w:rsid w:val="00C362E0"/>
    <w:rsid w:val="00C36ED4"/>
    <w:rsid w:val="00C37385"/>
    <w:rsid w:val="00C376CC"/>
    <w:rsid w:val="00C400F7"/>
    <w:rsid w:val="00C406B2"/>
    <w:rsid w:val="00C40EC6"/>
    <w:rsid w:val="00C419AD"/>
    <w:rsid w:val="00C41B5F"/>
    <w:rsid w:val="00C432C8"/>
    <w:rsid w:val="00C437BA"/>
    <w:rsid w:val="00C43953"/>
    <w:rsid w:val="00C44395"/>
    <w:rsid w:val="00C443B3"/>
    <w:rsid w:val="00C45CE8"/>
    <w:rsid w:val="00C46F06"/>
    <w:rsid w:val="00C475E5"/>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4D4"/>
    <w:rsid w:val="00C5477F"/>
    <w:rsid w:val="00C547B7"/>
    <w:rsid w:val="00C54AAA"/>
    <w:rsid w:val="00C5503B"/>
    <w:rsid w:val="00C55A32"/>
    <w:rsid w:val="00C562C7"/>
    <w:rsid w:val="00C564F2"/>
    <w:rsid w:val="00C56F11"/>
    <w:rsid w:val="00C60FF4"/>
    <w:rsid w:val="00C611DC"/>
    <w:rsid w:val="00C61463"/>
    <w:rsid w:val="00C61F3A"/>
    <w:rsid w:val="00C629CB"/>
    <w:rsid w:val="00C62B75"/>
    <w:rsid w:val="00C64282"/>
    <w:rsid w:val="00C64B60"/>
    <w:rsid w:val="00C657B5"/>
    <w:rsid w:val="00C661E1"/>
    <w:rsid w:val="00C66686"/>
    <w:rsid w:val="00C678C4"/>
    <w:rsid w:val="00C67AB5"/>
    <w:rsid w:val="00C71215"/>
    <w:rsid w:val="00C7216B"/>
    <w:rsid w:val="00C727BE"/>
    <w:rsid w:val="00C732A9"/>
    <w:rsid w:val="00C73448"/>
    <w:rsid w:val="00C73E2E"/>
    <w:rsid w:val="00C74546"/>
    <w:rsid w:val="00C748E2"/>
    <w:rsid w:val="00C77046"/>
    <w:rsid w:val="00C77131"/>
    <w:rsid w:val="00C7776C"/>
    <w:rsid w:val="00C808DB"/>
    <w:rsid w:val="00C823A8"/>
    <w:rsid w:val="00C8281B"/>
    <w:rsid w:val="00C8398D"/>
    <w:rsid w:val="00C84BC2"/>
    <w:rsid w:val="00C85139"/>
    <w:rsid w:val="00C85657"/>
    <w:rsid w:val="00C87F77"/>
    <w:rsid w:val="00C91C88"/>
    <w:rsid w:val="00C939C3"/>
    <w:rsid w:val="00C941F7"/>
    <w:rsid w:val="00C94228"/>
    <w:rsid w:val="00C9429B"/>
    <w:rsid w:val="00C956BC"/>
    <w:rsid w:val="00C96D56"/>
    <w:rsid w:val="00C977E6"/>
    <w:rsid w:val="00C97853"/>
    <w:rsid w:val="00CA0020"/>
    <w:rsid w:val="00CA0B2E"/>
    <w:rsid w:val="00CA18CA"/>
    <w:rsid w:val="00CA1F60"/>
    <w:rsid w:val="00CA2557"/>
    <w:rsid w:val="00CA4FFA"/>
    <w:rsid w:val="00CA5413"/>
    <w:rsid w:val="00CA5674"/>
    <w:rsid w:val="00CA5BDA"/>
    <w:rsid w:val="00CA5C1A"/>
    <w:rsid w:val="00CA633F"/>
    <w:rsid w:val="00CA641E"/>
    <w:rsid w:val="00CA6A14"/>
    <w:rsid w:val="00CA6C4D"/>
    <w:rsid w:val="00CA7558"/>
    <w:rsid w:val="00CA785F"/>
    <w:rsid w:val="00CA792A"/>
    <w:rsid w:val="00CA7949"/>
    <w:rsid w:val="00CB0C6E"/>
    <w:rsid w:val="00CB0C89"/>
    <w:rsid w:val="00CB14BD"/>
    <w:rsid w:val="00CB1C38"/>
    <w:rsid w:val="00CB2143"/>
    <w:rsid w:val="00CB226B"/>
    <w:rsid w:val="00CB229B"/>
    <w:rsid w:val="00CB33B4"/>
    <w:rsid w:val="00CB3D93"/>
    <w:rsid w:val="00CB4441"/>
    <w:rsid w:val="00CB4B1A"/>
    <w:rsid w:val="00CB4E1F"/>
    <w:rsid w:val="00CB5EC6"/>
    <w:rsid w:val="00CB7B5F"/>
    <w:rsid w:val="00CC152E"/>
    <w:rsid w:val="00CC18CC"/>
    <w:rsid w:val="00CC2493"/>
    <w:rsid w:val="00CC2C14"/>
    <w:rsid w:val="00CC3222"/>
    <w:rsid w:val="00CC35F1"/>
    <w:rsid w:val="00CC35FF"/>
    <w:rsid w:val="00CC3786"/>
    <w:rsid w:val="00CD0E6E"/>
    <w:rsid w:val="00CD23AE"/>
    <w:rsid w:val="00CD24F7"/>
    <w:rsid w:val="00CD27DF"/>
    <w:rsid w:val="00CD2854"/>
    <w:rsid w:val="00CD2D8A"/>
    <w:rsid w:val="00CD3BAC"/>
    <w:rsid w:val="00CD3FF2"/>
    <w:rsid w:val="00CD46BC"/>
    <w:rsid w:val="00CD4A65"/>
    <w:rsid w:val="00CD4ABF"/>
    <w:rsid w:val="00CD531F"/>
    <w:rsid w:val="00CD6FA3"/>
    <w:rsid w:val="00CE0D0D"/>
    <w:rsid w:val="00CE2184"/>
    <w:rsid w:val="00CE23BF"/>
    <w:rsid w:val="00CE3B7F"/>
    <w:rsid w:val="00CE3FA2"/>
    <w:rsid w:val="00CE41A0"/>
    <w:rsid w:val="00CE4958"/>
    <w:rsid w:val="00CE5EFE"/>
    <w:rsid w:val="00CE68E2"/>
    <w:rsid w:val="00CE706E"/>
    <w:rsid w:val="00CE70B1"/>
    <w:rsid w:val="00CE7AE4"/>
    <w:rsid w:val="00CF0A4C"/>
    <w:rsid w:val="00CF150A"/>
    <w:rsid w:val="00CF1B3B"/>
    <w:rsid w:val="00CF2225"/>
    <w:rsid w:val="00CF25E7"/>
    <w:rsid w:val="00CF310F"/>
    <w:rsid w:val="00CF3C77"/>
    <w:rsid w:val="00CF45A2"/>
    <w:rsid w:val="00CF4F04"/>
    <w:rsid w:val="00CF52E7"/>
    <w:rsid w:val="00CF64B5"/>
    <w:rsid w:val="00CF7853"/>
    <w:rsid w:val="00D004ED"/>
    <w:rsid w:val="00D00C75"/>
    <w:rsid w:val="00D02409"/>
    <w:rsid w:val="00D0260F"/>
    <w:rsid w:val="00D03708"/>
    <w:rsid w:val="00D039FC"/>
    <w:rsid w:val="00D0581F"/>
    <w:rsid w:val="00D05F4E"/>
    <w:rsid w:val="00D06776"/>
    <w:rsid w:val="00D06E46"/>
    <w:rsid w:val="00D06F95"/>
    <w:rsid w:val="00D1158C"/>
    <w:rsid w:val="00D11600"/>
    <w:rsid w:val="00D119A2"/>
    <w:rsid w:val="00D12E31"/>
    <w:rsid w:val="00D137F9"/>
    <w:rsid w:val="00D1458C"/>
    <w:rsid w:val="00D159FF"/>
    <w:rsid w:val="00D1620E"/>
    <w:rsid w:val="00D163FF"/>
    <w:rsid w:val="00D16867"/>
    <w:rsid w:val="00D16EEC"/>
    <w:rsid w:val="00D17855"/>
    <w:rsid w:val="00D2047A"/>
    <w:rsid w:val="00D20631"/>
    <w:rsid w:val="00D207FC"/>
    <w:rsid w:val="00D22345"/>
    <w:rsid w:val="00D2260B"/>
    <w:rsid w:val="00D22D49"/>
    <w:rsid w:val="00D23930"/>
    <w:rsid w:val="00D23A23"/>
    <w:rsid w:val="00D24D8A"/>
    <w:rsid w:val="00D24DA4"/>
    <w:rsid w:val="00D24E95"/>
    <w:rsid w:val="00D25235"/>
    <w:rsid w:val="00D25383"/>
    <w:rsid w:val="00D25670"/>
    <w:rsid w:val="00D27100"/>
    <w:rsid w:val="00D301FF"/>
    <w:rsid w:val="00D31B44"/>
    <w:rsid w:val="00D3257F"/>
    <w:rsid w:val="00D340E2"/>
    <w:rsid w:val="00D36333"/>
    <w:rsid w:val="00D36887"/>
    <w:rsid w:val="00D37563"/>
    <w:rsid w:val="00D379EB"/>
    <w:rsid w:val="00D400B8"/>
    <w:rsid w:val="00D4022C"/>
    <w:rsid w:val="00D40ABD"/>
    <w:rsid w:val="00D41023"/>
    <w:rsid w:val="00D41440"/>
    <w:rsid w:val="00D41C6C"/>
    <w:rsid w:val="00D42465"/>
    <w:rsid w:val="00D42E5B"/>
    <w:rsid w:val="00D439D1"/>
    <w:rsid w:val="00D43C68"/>
    <w:rsid w:val="00D444B2"/>
    <w:rsid w:val="00D453E4"/>
    <w:rsid w:val="00D459FA"/>
    <w:rsid w:val="00D47226"/>
    <w:rsid w:val="00D50B21"/>
    <w:rsid w:val="00D50FDD"/>
    <w:rsid w:val="00D51349"/>
    <w:rsid w:val="00D52262"/>
    <w:rsid w:val="00D5229E"/>
    <w:rsid w:val="00D527AF"/>
    <w:rsid w:val="00D529E1"/>
    <w:rsid w:val="00D534C2"/>
    <w:rsid w:val="00D5410F"/>
    <w:rsid w:val="00D552BF"/>
    <w:rsid w:val="00D56442"/>
    <w:rsid w:val="00D564DF"/>
    <w:rsid w:val="00D576DD"/>
    <w:rsid w:val="00D57946"/>
    <w:rsid w:val="00D57CB4"/>
    <w:rsid w:val="00D61477"/>
    <w:rsid w:val="00D619E2"/>
    <w:rsid w:val="00D62036"/>
    <w:rsid w:val="00D620CC"/>
    <w:rsid w:val="00D62D1C"/>
    <w:rsid w:val="00D634B8"/>
    <w:rsid w:val="00D63EF3"/>
    <w:rsid w:val="00D64441"/>
    <w:rsid w:val="00D64BC5"/>
    <w:rsid w:val="00D650F3"/>
    <w:rsid w:val="00D65497"/>
    <w:rsid w:val="00D654DA"/>
    <w:rsid w:val="00D6609E"/>
    <w:rsid w:val="00D67A9F"/>
    <w:rsid w:val="00D67C20"/>
    <w:rsid w:val="00D70C1B"/>
    <w:rsid w:val="00D70E5C"/>
    <w:rsid w:val="00D7146C"/>
    <w:rsid w:val="00D718CD"/>
    <w:rsid w:val="00D7416F"/>
    <w:rsid w:val="00D755F2"/>
    <w:rsid w:val="00D762AC"/>
    <w:rsid w:val="00D76329"/>
    <w:rsid w:val="00D775E7"/>
    <w:rsid w:val="00D77B9E"/>
    <w:rsid w:val="00D814F3"/>
    <w:rsid w:val="00D81CA9"/>
    <w:rsid w:val="00D8269E"/>
    <w:rsid w:val="00D839D8"/>
    <w:rsid w:val="00D83F9E"/>
    <w:rsid w:val="00D840C2"/>
    <w:rsid w:val="00D84562"/>
    <w:rsid w:val="00D85271"/>
    <w:rsid w:val="00D85C16"/>
    <w:rsid w:val="00D86169"/>
    <w:rsid w:val="00D8732E"/>
    <w:rsid w:val="00D907E8"/>
    <w:rsid w:val="00D90A77"/>
    <w:rsid w:val="00D91294"/>
    <w:rsid w:val="00D9186A"/>
    <w:rsid w:val="00D9242D"/>
    <w:rsid w:val="00D92D47"/>
    <w:rsid w:val="00D934D0"/>
    <w:rsid w:val="00D94213"/>
    <w:rsid w:val="00D94BEB"/>
    <w:rsid w:val="00D94EA5"/>
    <w:rsid w:val="00D9521A"/>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0C5"/>
    <w:rsid w:val="00DB1487"/>
    <w:rsid w:val="00DB15CC"/>
    <w:rsid w:val="00DB19B4"/>
    <w:rsid w:val="00DB19F1"/>
    <w:rsid w:val="00DB26AE"/>
    <w:rsid w:val="00DB29EA"/>
    <w:rsid w:val="00DB2AAD"/>
    <w:rsid w:val="00DB32FB"/>
    <w:rsid w:val="00DB4411"/>
    <w:rsid w:val="00DB466D"/>
    <w:rsid w:val="00DB56EF"/>
    <w:rsid w:val="00DB5C3E"/>
    <w:rsid w:val="00DB5FD0"/>
    <w:rsid w:val="00DB6BBF"/>
    <w:rsid w:val="00DB7395"/>
    <w:rsid w:val="00DB75C2"/>
    <w:rsid w:val="00DB7E2C"/>
    <w:rsid w:val="00DC027B"/>
    <w:rsid w:val="00DC03BD"/>
    <w:rsid w:val="00DC0A64"/>
    <w:rsid w:val="00DC0BE2"/>
    <w:rsid w:val="00DC0DF1"/>
    <w:rsid w:val="00DC0DF6"/>
    <w:rsid w:val="00DC0FC4"/>
    <w:rsid w:val="00DC1B9A"/>
    <w:rsid w:val="00DC2344"/>
    <w:rsid w:val="00DC2E4F"/>
    <w:rsid w:val="00DC384C"/>
    <w:rsid w:val="00DC40C4"/>
    <w:rsid w:val="00DC4AFD"/>
    <w:rsid w:val="00DC4D87"/>
    <w:rsid w:val="00DC4D8A"/>
    <w:rsid w:val="00DC5CCB"/>
    <w:rsid w:val="00DC668D"/>
    <w:rsid w:val="00DC6B52"/>
    <w:rsid w:val="00DC6DF6"/>
    <w:rsid w:val="00DC7BFE"/>
    <w:rsid w:val="00DC7C5B"/>
    <w:rsid w:val="00DC7C76"/>
    <w:rsid w:val="00DD014E"/>
    <w:rsid w:val="00DD08C7"/>
    <w:rsid w:val="00DD1A10"/>
    <w:rsid w:val="00DD200D"/>
    <w:rsid w:val="00DD2990"/>
    <w:rsid w:val="00DD2FE9"/>
    <w:rsid w:val="00DD36BA"/>
    <w:rsid w:val="00DD3A7E"/>
    <w:rsid w:val="00DD434E"/>
    <w:rsid w:val="00DD4402"/>
    <w:rsid w:val="00DD4FAF"/>
    <w:rsid w:val="00DD58D0"/>
    <w:rsid w:val="00DD60D0"/>
    <w:rsid w:val="00DD6200"/>
    <w:rsid w:val="00DD686C"/>
    <w:rsid w:val="00DD6E86"/>
    <w:rsid w:val="00DE0E5D"/>
    <w:rsid w:val="00DE1186"/>
    <w:rsid w:val="00DE447F"/>
    <w:rsid w:val="00DE48F0"/>
    <w:rsid w:val="00DE4A77"/>
    <w:rsid w:val="00DE68EE"/>
    <w:rsid w:val="00DE6D24"/>
    <w:rsid w:val="00DE6DE0"/>
    <w:rsid w:val="00DE7285"/>
    <w:rsid w:val="00DE7B18"/>
    <w:rsid w:val="00DE7C40"/>
    <w:rsid w:val="00DE7D44"/>
    <w:rsid w:val="00DF0EA5"/>
    <w:rsid w:val="00DF12D9"/>
    <w:rsid w:val="00DF1887"/>
    <w:rsid w:val="00DF1F1D"/>
    <w:rsid w:val="00DF1F84"/>
    <w:rsid w:val="00DF23A5"/>
    <w:rsid w:val="00DF4C6E"/>
    <w:rsid w:val="00DF5689"/>
    <w:rsid w:val="00DF64C8"/>
    <w:rsid w:val="00DF6666"/>
    <w:rsid w:val="00DF745E"/>
    <w:rsid w:val="00DF762E"/>
    <w:rsid w:val="00E0044E"/>
    <w:rsid w:val="00E00816"/>
    <w:rsid w:val="00E0239F"/>
    <w:rsid w:val="00E0267B"/>
    <w:rsid w:val="00E02B33"/>
    <w:rsid w:val="00E02DAE"/>
    <w:rsid w:val="00E02DE7"/>
    <w:rsid w:val="00E04441"/>
    <w:rsid w:val="00E05152"/>
    <w:rsid w:val="00E05F03"/>
    <w:rsid w:val="00E06370"/>
    <w:rsid w:val="00E06B7B"/>
    <w:rsid w:val="00E06E20"/>
    <w:rsid w:val="00E07DD9"/>
    <w:rsid w:val="00E102F8"/>
    <w:rsid w:val="00E10907"/>
    <w:rsid w:val="00E10EBF"/>
    <w:rsid w:val="00E12FCF"/>
    <w:rsid w:val="00E13273"/>
    <w:rsid w:val="00E13379"/>
    <w:rsid w:val="00E139EE"/>
    <w:rsid w:val="00E13E77"/>
    <w:rsid w:val="00E1475B"/>
    <w:rsid w:val="00E14D83"/>
    <w:rsid w:val="00E14FA6"/>
    <w:rsid w:val="00E15A0D"/>
    <w:rsid w:val="00E16364"/>
    <w:rsid w:val="00E1637A"/>
    <w:rsid w:val="00E1659A"/>
    <w:rsid w:val="00E16640"/>
    <w:rsid w:val="00E1740F"/>
    <w:rsid w:val="00E200CF"/>
    <w:rsid w:val="00E205D1"/>
    <w:rsid w:val="00E24287"/>
    <w:rsid w:val="00E26803"/>
    <w:rsid w:val="00E301DD"/>
    <w:rsid w:val="00E31367"/>
    <w:rsid w:val="00E3181C"/>
    <w:rsid w:val="00E32EF3"/>
    <w:rsid w:val="00E33956"/>
    <w:rsid w:val="00E33E21"/>
    <w:rsid w:val="00E349B5"/>
    <w:rsid w:val="00E34BC4"/>
    <w:rsid w:val="00E3540C"/>
    <w:rsid w:val="00E35446"/>
    <w:rsid w:val="00E3571F"/>
    <w:rsid w:val="00E35784"/>
    <w:rsid w:val="00E36187"/>
    <w:rsid w:val="00E36332"/>
    <w:rsid w:val="00E367F4"/>
    <w:rsid w:val="00E36C9B"/>
    <w:rsid w:val="00E37094"/>
    <w:rsid w:val="00E37638"/>
    <w:rsid w:val="00E378D7"/>
    <w:rsid w:val="00E37E9D"/>
    <w:rsid w:val="00E40D14"/>
    <w:rsid w:val="00E41B71"/>
    <w:rsid w:val="00E42569"/>
    <w:rsid w:val="00E434A0"/>
    <w:rsid w:val="00E43B80"/>
    <w:rsid w:val="00E44D30"/>
    <w:rsid w:val="00E4597F"/>
    <w:rsid w:val="00E45E67"/>
    <w:rsid w:val="00E45FEA"/>
    <w:rsid w:val="00E46CB7"/>
    <w:rsid w:val="00E4723D"/>
    <w:rsid w:val="00E5077C"/>
    <w:rsid w:val="00E50EC8"/>
    <w:rsid w:val="00E5159B"/>
    <w:rsid w:val="00E515C6"/>
    <w:rsid w:val="00E52E0D"/>
    <w:rsid w:val="00E52FE2"/>
    <w:rsid w:val="00E540F7"/>
    <w:rsid w:val="00E54629"/>
    <w:rsid w:val="00E54715"/>
    <w:rsid w:val="00E54D6B"/>
    <w:rsid w:val="00E54E6F"/>
    <w:rsid w:val="00E55338"/>
    <w:rsid w:val="00E569AF"/>
    <w:rsid w:val="00E5774E"/>
    <w:rsid w:val="00E57EBC"/>
    <w:rsid w:val="00E57EEB"/>
    <w:rsid w:val="00E60318"/>
    <w:rsid w:val="00E60BA8"/>
    <w:rsid w:val="00E61E25"/>
    <w:rsid w:val="00E61E28"/>
    <w:rsid w:val="00E628E4"/>
    <w:rsid w:val="00E63542"/>
    <w:rsid w:val="00E64699"/>
    <w:rsid w:val="00E647F7"/>
    <w:rsid w:val="00E65FF5"/>
    <w:rsid w:val="00E66857"/>
    <w:rsid w:val="00E66E19"/>
    <w:rsid w:val="00E67391"/>
    <w:rsid w:val="00E67556"/>
    <w:rsid w:val="00E67996"/>
    <w:rsid w:val="00E70459"/>
    <w:rsid w:val="00E70669"/>
    <w:rsid w:val="00E7252F"/>
    <w:rsid w:val="00E72532"/>
    <w:rsid w:val="00E73CEA"/>
    <w:rsid w:val="00E73FC2"/>
    <w:rsid w:val="00E74481"/>
    <w:rsid w:val="00E74517"/>
    <w:rsid w:val="00E755D7"/>
    <w:rsid w:val="00E7566D"/>
    <w:rsid w:val="00E764C2"/>
    <w:rsid w:val="00E76E91"/>
    <w:rsid w:val="00E774B4"/>
    <w:rsid w:val="00E778F5"/>
    <w:rsid w:val="00E80E7C"/>
    <w:rsid w:val="00E81779"/>
    <w:rsid w:val="00E8205B"/>
    <w:rsid w:val="00E82348"/>
    <w:rsid w:val="00E82444"/>
    <w:rsid w:val="00E8276F"/>
    <w:rsid w:val="00E82DB9"/>
    <w:rsid w:val="00E830C2"/>
    <w:rsid w:val="00E8341C"/>
    <w:rsid w:val="00E845DB"/>
    <w:rsid w:val="00E8602B"/>
    <w:rsid w:val="00E86B5F"/>
    <w:rsid w:val="00E87223"/>
    <w:rsid w:val="00E87D05"/>
    <w:rsid w:val="00E903AD"/>
    <w:rsid w:val="00E90F3B"/>
    <w:rsid w:val="00E91F96"/>
    <w:rsid w:val="00E928D9"/>
    <w:rsid w:val="00E92E99"/>
    <w:rsid w:val="00E945B2"/>
    <w:rsid w:val="00E94658"/>
    <w:rsid w:val="00E968FD"/>
    <w:rsid w:val="00E96D55"/>
    <w:rsid w:val="00E97190"/>
    <w:rsid w:val="00E97993"/>
    <w:rsid w:val="00EA0D5D"/>
    <w:rsid w:val="00EA1192"/>
    <w:rsid w:val="00EA153F"/>
    <w:rsid w:val="00EA1546"/>
    <w:rsid w:val="00EA2788"/>
    <w:rsid w:val="00EA2C6E"/>
    <w:rsid w:val="00EA2CD7"/>
    <w:rsid w:val="00EA4964"/>
    <w:rsid w:val="00EA4F1A"/>
    <w:rsid w:val="00EB02DE"/>
    <w:rsid w:val="00EB0A07"/>
    <w:rsid w:val="00EB16A7"/>
    <w:rsid w:val="00EB1B69"/>
    <w:rsid w:val="00EB1C78"/>
    <w:rsid w:val="00EB2303"/>
    <w:rsid w:val="00EB29D7"/>
    <w:rsid w:val="00EB3B46"/>
    <w:rsid w:val="00EB3CD6"/>
    <w:rsid w:val="00EB40B1"/>
    <w:rsid w:val="00EB4F08"/>
    <w:rsid w:val="00EC0E4B"/>
    <w:rsid w:val="00EC1D52"/>
    <w:rsid w:val="00EC2677"/>
    <w:rsid w:val="00EC2E07"/>
    <w:rsid w:val="00EC43C7"/>
    <w:rsid w:val="00EC465D"/>
    <w:rsid w:val="00EC5C89"/>
    <w:rsid w:val="00EC66D2"/>
    <w:rsid w:val="00EC67E7"/>
    <w:rsid w:val="00EC6800"/>
    <w:rsid w:val="00ED0A1B"/>
    <w:rsid w:val="00ED21BC"/>
    <w:rsid w:val="00ED2FEC"/>
    <w:rsid w:val="00ED3F67"/>
    <w:rsid w:val="00ED43F5"/>
    <w:rsid w:val="00ED440A"/>
    <w:rsid w:val="00ED5126"/>
    <w:rsid w:val="00ED5A53"/>
    <w:rsid w:val="00ED7971"/>
    <w:rsid w:val="00EE0748"/>
    <w:rsid w:val="00EE0993"/>
    <w:rsid w:val="00EE29A0"/>
    <w:rsid w:val="00EE2CEA"/>
    <w:rsid w:val="00EE3365"/>
    <w:rsid w:val="00EE35B1"/>
    <w:rsid w:val="00EE44A8"/>
    <w:rsid w:val="00EE48DF"/>
    <w:rsid w:val="00EE49A1"/>
    <w:rsid w:val="00EE4AB3"/>
    <w:rsid w:val="00EE658C"/>
    <w:rsid w:val="00EE7405"/>
    <w:rsid w:val="00EF033E"/>
    <w:rsid w:val="00EF06EC"/>
    <w:rsid w:val="00EF14FF"/>
    <w:rsid w:val="00EF2BFE"/>
    <w:rsid w:val="00EF2D85"/>
    <w:rsid w:val="00EF402C"/>
    <w:rsid w:val="00EF4503"/>
    <w:rsid w:val="00EF45E0"/>
    <w:rsid w:val="00EF4E6F"/>
    <w:rsid w:val="00EF51EA"/>
    <w:rsid w:val="00EF57A1"/>
    <w:rsid w:val="00EF5C82"/>
    <w:rsid w:val="00EF6010"/>
    <w:rsid w:val="00EF7A15"/>
    <w:rsid w:val="00F00276"/>
    <w:rsid w:val="00F010D6"/>
    <w:rsid w:val="00F01E94"/>
    <w:rsid w:val="00F01F8C"/>
    <w:rsid w:val="00F035A6"/>
    <w:rsid w:val="00F03F83"/>
    <w:rsid w:val="00F04AD0"/>
    <w:rsid w:val="00F05333"/>
    <w:rsid w:val="00F06218"/>
    <w:rsid w:val="00F06D7F"/>
    <w:rsid w:val="00F07F2D"/>
    <w:rsid w:val="00F10033"/>
    <w:rsid w:val="00F10848"/>
    <w:rsid w:val="00F10B68"/>
    <w:rsid w:val="00F10D54"/>
    <w:rsid w:val="00F11F55"/>
    <w:rsid w:val="00F12DEC"/>
    <w:rsid w:val="00F13151"/>
    <w:rsid w:val="00F13867"/>
    <w:rsid w:val="00F15523"/>
    <w:rsid w:val="00F15971"/>
    <w:rsid w:val="00F159D7"/>
    <w:rsid w:val="00F15A6E"/>
    <w:rsid w:val="00F16391"/>
    <w:rsid w:val="00F16926"/>
    <w:rsid w:val="00F2062B"/>
    <w:rsid w:val="00F21A18"/>
    <w:rsid w:val="00F21E61"/>
    <w:rsid w:val="00F220EA"/>
    <w:rsid w:val="00F222CD"/>
    <w:rsid w:val="00F24EA4"/>
    <w:rsid w:val="00F2625A"/>
    <w:rsid w:val="00F31768"/>
    <w:rsid w:val="00F31A03"/>
    <w:rsid w:val="00F322DA"/>
    <w:rsid w:val="00F3283C"/>
    <w:rsid w:val="00F3297F"/>
    <w:rsid w:val="00F32D0F"/>
    <w:rsid w:val="00F343F0"/>
    <w:rsid w:val="00F34620"/>
    <w:rsid w:val="00F34AAB"/>
    <w:rsid w:val="00F34C4D"/>
    <w:rsid w:val="00F350CF"/>
    <w:rsid w:val="00F352F6"/>
    <w:rsid w:val="00F35582"/>
    <w:rsid w:val="00F37004"/>
    <w:rsid w:val="00F376A1"/>
    <w:rsid w:val="00F37B8E"/>
    <w:rsid w:val="00F37BA4"/>
    <w:rsid w:val="00F41746"/>
    <w:rsid w:val="00F41E0B"/>
    <w:rsid w:val="00F41E79"/>
    <w:rsid w:val="00F4315F"/>
    <w:rsid w:val="00F43F6D"/>
    <w:rsid w:val="00F445F6"/>
    <w:rsid w:val="00F4512F"/>
    <w:rsid w:val="00F45763"/>
    <w:rsid w:val="00F45BCF"/>
    <w:rsid w:val="00F45BEA"/>
    <w:rsid w:val="00F45CFE"/>
    <w:rsid w:val="00F46877"/>
    <w:rsid w:val="00F474BE"/>
    <w:rsid w:val="00F47F3E"/>
    <w:rsid w:val="00F530E6"/>
    <w:rsid w:val="00F532C7"/>
    <w:rsid w:val="00F53810"/>
    <w:rsid w:val="00F54EE5"/>
    <w:rsid w:val="00F55358"/>
    <w:rsid w:val="00F5603C"/>
    <w:rsid w:val="00F5605C"/>
    <w:rsid w:val="00F564B9"/>
    <w:rsid w:val="00F56C60"/>
    <w:rsid w:val="00F57909"/>
    <w:rsid w:val="00F609BC"/>
    <w:rsid w:val="00F612D6"/>
    <w:rsid w:val="00F63046"/>
    <w:rsid w:val="00F63400"/>
    <w:rsid w:val="00F636C6"/>
    <w:rsid w:val="00F63D36"/>
    <w:rsid w:val="00F6433D"/>
    <w:rsid w:val="00F6573E"/>
    <w:rsid w:val="00F65B7F"/>
    <w:rsid w:val="00F662EB"/>
    <w:rsid w:val="00F66C39"/>
    <w:rsid w:val="00F67606"/>
    <w:rsid w:val="00F70327"/>
    <w:rsid w:val="00F70471"/>
    <w:rsid w:val="00F70FEF"/>
    <w:rsid w:val="00F71A62"/>
    <w:rsid w:val="00F72FA8"/>
    <w:rsid w:val="00F74AEE"/>
    <w:rsid w:val="00F75415"/>
    <w:rsid w:val="00F75C54"/>
    <w:rsid w:val="00F7605C"/>
    <w:rsid w:val="00F76B45"/>
    <w:rsid w:val="00F76FA1"/>
    <w:rsid w:val="00F7728D"/>
    <w:rsid w:val="00F773F9"/>
    <w:rsid w:val="00F7764F"/>
    <w:rsid w:val="00F8101C"/>
    <w:rsid w:val="00F817B9"/>
    <w:rsid w:val="00F81CB7"/>
    <w:rsid w:val="00F82280"/>
    <w:rsid w:val="00F8235F"/>
    <w:rsid w:val="00F8341F"/>
    <w:rsid w:val="00F83A22"/>
    <w:rsid w:val="00F83A97"/>
    <w:rsid w:val="00F83FB8"/>
    <w:rsid w:val="00F844F0"/>
    <w:rsid w:val="00F84895"/>
    <w:rsid w:val="00F8492D"/>
    <w:rsid w:val="00F84E9D"/>
    <w:rsid w:val="00F8659E"/>
    <w:rsid w:val="00F86CE4"/>
    <w:rsid w:val="00F86F42"/>
    <w:rsid w:val="00F90889"/>
    <w:rsid w:val="00F9162D"/>
    <w:rsid w:val="00F91941"/>
    <w:rsid w:val="00F92E3F"/>
    <w:rsid w:val="00F938D2"/>
    <w:rsid w:val="00F95F83"/>
    <w:rsid w:val="00F96389"/>
    <w:rsid w:val="00F9650E"/>
    <w:rsid w:val="00F96B73"/>
    <w:rsid w:val="00F977C7"/>
    <w:rsid w:val="00FA0890"/>
    <w:rsid w:val="00FA164A"/>
    <w:rsid w:val="00FA29AA"/>
    <w:rsid w:val="00FA2E38"/>
    <w:rsid w:val="00FA393A"/>
    <w:rsid w:val="00FA3F3E"/>
    <w:rsid w:val="00FA4272"/>
    <w:rsid w:val="00FA4855"/>
    <w:rsid w:val="00FA4ACD"/>
    <w:rsid w:val="00FA591B"/>
    <w:rsid w:val="00FA5B44"/>
    <w:rsid w:val="00FA6428"/>
    <w:rsid w:val="00FA6DC3"/>
    <w:rsid w:val="00FA7144"/>
    <w:rsid w:val="00FA7184"/>
    <w:rsid w:val="00FB0489"/>
    <w:rsid w:val="00FB1C2A"/>
    <w:rsid w:val="00FB1D9D"/>
    <w:rsid w:val="00FB3304"/>
    <w:rsid w:val="00FB46B8"/>
    <w:rsid w:val="00FB4B38"/>
    <w:rsid w:val="00FB4F07"/>
    <w:rsid w:val="00FB54BB"/>
    <w:rsid w:val="00FB5AC0"/>
    <w:rsid w:val="00FB6C91"/>
    <w:rsid w:val="00FB74E8"/>
    <w:rsid w:val="00FC00E7"/>
    <w:rsid w:val="00FC0263"/>
    <w:rsid w:val="00FC0348"/>
    <w:rsid w:val="00FC0FB5"/>
    <w:rsid w:val="00FC102A"/>
    <w:rsid w:val="00FC1408"/>
    <w:rsid w:val="00FC154C"/>
    <w:rsid w:val="00FC1C3F"/>
    <w:rsid w:val="00FC1DBC"/>
    <w:rsid w:val="00FC2271"/>
    <w:rsid w:val="00FC2637"/>
    <w:rsid w:val="00FC3093"/>
    <w:rsid w:val="00FC393B"/>
    <w:rsid w:val="00FC3B58"/>
    <w:rsid w:val="00FC4052"/>
    <w:rsid w:val="00FC40E3"/>
    <w:rsid w:val="00FC4645"/>
    <w:rsid w:val="00FC5252"/>
    <w:rsid w:val="00FC6356"/>
    <w:rsid w:val="00FC7BB6"/>
    <w:rsid w:val="00FC7D01"/>
    <w:rsid w:val="00FD0130"/>
    <w:rsid w:val="00FD0373"/>
    <w:rsid w:val="00FD0582"/>
    <w:rsid w:val="00FD0C93"/>
    <w:rsid w:val="00FD1062"/>
    <w:rsid w:val="00FD1E8A"/>
    <w:rsid w:val="00FD2589"/>
    <w:rsid w:val="00FD4876"/>
    <w:rsid w:val="00FD52A3"/>
    <w:rsid w:val="00FD6616"/>
    <w:rsid w:val="00FD674B"/>
    <w:rsid w:val="00FD68D4"/>
    <w:rsid w:val="00FD7195"/>
    <w:rsid w:val="00FE00D9"/>
    <w:rsid w:val="00FE0497"/>
    <w:rsid w:val="00FE1186"/>
    <w:rsid w:val="00FE177A"/>
    <w:rsid w:val="00FE240A"/>
    <w:rsid w:val="00FE3E3C"/>
    <w:rsid w:val="00FE43E7"/>
    <w:rsid w:val="00FE4B66"/>
    <w:rsid w:val="00FE4F6E"/>
    <w:rsid w:val="00FE544B"/>
    <w:rsid w:val="00FE583F"/>
    <w:rsid w:val="00FE5CC4"/>
    <w:rsid w:val="00FE6B13"/>
    <w:rsid w:val="00FE6C9F"/>
    <w:rsid w:val="00FE6D5F"/>
    <w:rsid w:val="00FE7575"/>
    <w:rsid w:val="00FF03CA"/>
    <w:rsid w:val="00FF0B7E"/>
    <w:rsid w:val="00FF1070"/>
    <w:rsid w:val="00FF13E2"/>
    <w:rsid w:val="00FF1CE1"/>
    <w:rsid w:val="00FF2237"/>
    <w:rsid w:val="00FF26A9"/>
    <w:rsid w:val="00FF368A"/>
    <w:rsid w:val="00FF4953"/>
    <w:rsid w:val="00FF5FA3"/>
    <w:rsid w:val="00FF5FCE"/>
    <w:rsid w:val="00FF6177"/>
    <w:rsid w:val="00FF6AD9"/>
    <w:rsid w:val="00FF7D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A8727"/>
  <w15:docId w15:val="{73C682EE-3338-4B0D-B788-71613FC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20"/>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nhideWhenUsed/>
    <w:rsid w:val="00FE43E7"/>
    <w:rPr>
      <w:sz w:val="20"/>
      <w:szCs w:val="20"/>
    </w:rPr>
  </w:style>
  <w:style w:type="character" w:customStyle="1" w:styleId="KomentratekstsRakstz">
    <w:name w:val="Komentāra teksts Rakstz."/>
    <w:basedOn w:val="Noklusjumarindkopasfonts"/>
    <w:link w:val="Komentrateksts"/>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Bezatstarpm">
    <w:name w:val="No Spacing"/>
    <w:basedOn w:val="Parasts"/>
    <w:uiPriority w:val="1"/>
    <w:qFormat/>
    <w:rsid w:val="006963F0"/>
    <w:rPr>
      <w:rFonts w:ascii="Calibri" w:eastAsiaTheme="minorHAnsi" w:hAnsi="Calibri"/>
      <w:sz w:val="22"/>
      <w:szCs w:val="22"/>
      <w:lang w:eastAsia="en-US"/>
    </w:rPr>
  </w:style>
  <w:style w:type="paragraph" w:customStyle="1" w:styleId="labojumupamats">
    <w:name w:val="labojumu_pamats"/>
    <w:basedOn w:val="Parasts"/>
    <w:rsid w:val="006963F0"/>
    <w:pPr>
      <w:spacing w:before="100" w:beforeAutospacing="1" w:after="100" w:afterAutospacing="1"/>
    </w:pPr>
    <w:rPr>
      <w:rFonts w:eastAsiaTheme="minorHAnsi"/>
    </w:rPr>
  </w:style>
  <w:style w:type="paragraph" w:customStyle="1" w:styleId="tv213limenis2">
    <w:name w:val="tv213 limenis2"/>
    <w:basedOn w:val="Parasts"/>
    <w:rsid w:val="00401C07"/>
    <w:pPr>
      <w:spacing w:before="100" w:beforeAutospacing="1" w:after="100" w:afterAutospacing="1"/>
    </w:pPr>
    <w:rPr>
      <w:lang w:val="ru-RU" w:eastAsia="ru-RU"/>
    </w:rPr>
  </w:style>
  <w:style w:type="paragraph" w:styleId="Sarakstarindkopa">
    <w:name w:val="List Paragraph"/>
    <w:basedOn w:val="Parasts"/>
    <w:uiPriority w:val="34"/>
    <w:qFormat/>
    <w:rsid w:val="009148C3"/>
    <w:pPr>
      <w:ind w:left="720"/>
      <w:contextualSpacing/>
    </w:pPr>
  </w:style>
  <w:style w:type="paragraph" w:customStyle="1" w:styleId="tv2132">
    <w:name w:val="tv2132"/>
    <w:basedOn w:val="Parasts"/>
    <w:rsid w:val="00AE2FB1"/>
    <w:pPr>
      <w:spacing w:line="360" w:lineRule="auto"/>
      <w:ind w:firstLine="300"/>
    </w:pPr>
    <w:rPr>
      <w:color w:val="414142"/>
      <w:sz w:val="20"/>
      <w:szCs w:val="20"/>
    </w:rPr>
  </w:style>
  <w:style w:type="character" w:customStyle="1" w:styleId="fontsize21">
    <w:name w:val="fontsize21"/>
    <w:basedOn w:val="Noklusjumarindkopasfonts"/>
    <w:rsid w:val="00AE2FB1"/>
    <w:rPr>
      <w:b w:val="0"/>
      <w:bCs w:val="0"/>
      <w:i/>
      <w:iCs/>
    </w:rPr>
  </w:style>
  <w:style w:type="character" w:customStyle="1" w:styleId="force-inline-block">
    <w:name w:val="force-inline-block"/>
    <w:basedOn w:val="Noklusjumarindkopasfonts"/>
    <w:rsid w:val="00AF5313"/>
  </w:style>
  <w:style w:type="paragraph" w:customStyle="1" w:styleId="tv213">
    <w:name w:val="tv213"/>
    <w:basedOn w:val="Parasts"/>
    <w:rsid w:val="00925433"/>
    <w:pPr>
      <w:spacing w:before="100" w:beforeAutospacing="1" w:after="100" w:afterAutospacing="1"/>
    </w:pPr>
  </w:style>
  <w:style w:type="character" w:customStyle="1" w:styleId="ts810">
    <w:name w:val="ts810"/>
    <w:basedOn w:val="Noklusjumarindkopasfonts"/>
    <w:rsid w:val="00A27289"/>
    <w:rPr>
      <w:rFonts w:ascii="Tahoma" w:hAnsi="Tahoma" w:cs="Tahoma" w:hint="default"/>
      <w:color w:val="000000"/>
      <w:sz w:val="20"/>
      <w:szCs w:val="20"/>
    </w:rPr>
  </w:style>
  <w:style w:type="character" w:styleId="Neatrisintapieminana">
    <w:name w:val="Unresolved Mention"/>
    <w:basedOn w:val="Noklusjumarindkopasfonts"/>
    <w:uiPriority w:val="99"/>
    <w:semiHidden/>
    <w:unhideWhenUsed/>
    <w:rsid w:val="004709D3"/>
    <w:rPr>
      <w:color w:val="605E5C"/>
      <w:shd w:val="clear" w:color="auto" w:fill="E1DFDD"/>
    </w:rPr>
  </w:style>
  <w:style w:type="paragraph" w:styleId="Pamatteksts">
    <w:name w:val="Body Text"/>
    <w:basedOn w:val="Parasts"/>
    <w:link w:val="PamattekstsRakstz"/>
    <w:uiPriority w:val="99"/>
    <w:unhideWhenUsed/>
    <w:rsid w:val="00C22B9F"/>
    <w:pPr>
      <w:spacing w:after="120"/>
    </w:pPr>
  </w:style>
  <w:style w:type="character" w:customStyle="1" w:styleId="PamattekstsRakstz">
    <w:name w:val="Pamatteksts Rakstz."/>
    <w:basedOn w:val="Noklusjumarindkopasfonts"/>
    <w:link w:val="Pamatteksts"/>
    <w:uiPriority w:val="99"/>
    <w:rsid w:val="00C22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6641">
      <w:bodyDiv w:val="1"/>
      <w:marLeft w:val="0"/>
      <w:marRight w:val="0"/>
      <w:marTop w:val="0"/>
      <w:marBottom w:val="0"/>
      <w:divBdr>
        <w:top w:val="none" w:sz="0" w:space="0" w:color="auto"/>
        <w:left w:val="none" w:sz="0" w:space="0" w:color="auto"/>
        <w:bottom w:val="none" w:sz="0" w:space="0" w:color="auto"/>
        <w:right w:val="none" w:sz="0" w:space="0" w:color="auto"/>
      </w:divBdr>
      <w:divsChild>
        <w:div w:id="1755276646">
          <w:marLeft w:val="0"/>
          <w:marRight w:val="0"/>
          <w:marTop w:val="480"/>
          <w:marBottom w:val="240"/>
          <w:divBdr>
            <w:top w:val="none" w:sz="0" w:space="0" w:color="auto"/>
            <w:left w:val="none" w:sz="0" w:space="0" w:color="auto"/>
            <w:bottom w:val="none" w:sz="0" w:space="0" w:color="auto"/>
            <w:right w:val="none" w:sz="0" w:space="0" w:color="auto"/>
          </w:divBdr>
        </w:div>
        <w:div w:id="440338669">
          <w:marLeft w:val="0"/>
          <w:marRight w:val="0"/>
          <w:marTop w:val="0"/>
          <w:marBottom w:val="567"/>
          <w:divBdr>
            <w:top w:val="none" w:sz="0" w:space="0" w:color="auto"/>
            <w:left w:val="none" w:sz="0" w:space="0" w:color="auto"/>
            <w:bottom w:val="none" w:sz="0" w:space="0" w:color="auto"/>
            <w:right w:val="none" w:sz="0" w:space="0" w:color="auto"/>
          </w:divBdr>
        </w:div>
      </w:divsChild>
    </w:div>
    <w:div w:id="160238776">
      <w:bodyDiv w:val="1"/>
      <w:marLeft w:val="0"/>
      <w:marRight w:val="0"/>
      <w:marTop w:val="0"/>
      <w:marBottom w:val="0"/>
      <w:divBdr>
        <w:top w:val="none" w:sz="0" w:space="0" w:color="auto"/>
        <w:left w:val="none" w:sz="0" w:space="0" w:color="auto"/>
        <w:bottom w:val="none" w:sz="0" w:space="0" w:color="auto"/>
        <w:right w:val="none" w:sz="0" w:space="0" w:color="auto"/>
      </w:divBdr>
    </w:div>
    <w:div w:id="33248843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041116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72882309">
      <w:bodyDiv w:val="1"/>
      <w:marLeft w:val="0"/>
      <w:marRight w:val="0"/>
      <w:marTop w:val="0"/>
      <w:marBottom w:val="0"/>
      <w:divBdr>
        <w:top w:val="none" w:sz="0" w:space="0" w:color="auto"/>
        <w:left w:val="none" w:sz="0" w:space="0" w:color="auto"/>
        <w:bottom w:val="none" w:sz="0" w:space="0" w:color="auto"/>
        <w:right w:val="none" w:sz="0" w:space="0" w:color="auto"/>
      </w:divBdr>
    </w:div>
    <w:div w:id="824862101">
      <w:bodyDiv w:val="1"/>
      <w:marLeft w:val="0"/>
      <w:marRight w:val="0"/>
      <w:marTop w:val="0"/>
      <w:marBottom w:val="0"/>
      <w:divBdr>
        <w:top w:val="none" w:sz="0" w:space="0" w:color="auto"/>
        <w:left w:val="none" w:sz="0" w:space="0" w:color="auto"/>
        <w:bottom w:val="none" w:sz="0" w:space="0" w:color="auto"/>
        <w:right w:val="none" w:sz="0" w:space="0" w:color="auto"/>
      </w:divBdr>
    </w:div>
    <w:div w:id="924536575">
      <w:bodyDiv w:val="1"/>
      <w:marLeft w:val="0"/>
      <w:marRight w:val="0"/>
      <w:marTop w:val="0"/>
      <w:marBottom w:val="0"/>
      <w:divBdr>
        <w:top w:val="none" w:sz="0" w:space="0" w:color="auto"/>
        <w:left w:val="none" w:sz="0" w:space="0" w:color="auto"/>
        <w:bottom w:val="none" w:sz="0" w:space="0" w:color="auto"/>
        <w:right w:val="none" w:sz="0" w:space="0" w:color="auto"/>
      </w:divBdr>
    </w:div>
    <w:div w:id="93644672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10901680">
      <w:bodyDiv w:val="1"/>
      <w:marLeft w:val="0"/>
      <w:marRight w:val="0"/>
      <w:marTop w:val="0"/>
      <w:marBottom w:val="0"/>
      <w:divBdr>
        <w:top w:val="none" w:sz="0" w:space="0" w:color="auto"/>
        <w:left w:val="none" w:sz="0" w:space="0" w:color="auto"/>
        <w:bottom w:val="none" w:sz="0" w:space="0" w:color="auto"/>
        <w:right w:val="none" w:sz="0" w:space="0" w:color="auto"/>
      </w:divBdr>
      <w:divsChild>
        <w:div w:id="1451439553">
          <w:marLeft w:val="0"/>
          <w:marRight w:val="0"/>
          <w:marTop w:val="0"/>
          <w:marBottom w:val="0"/>
          <w:divBdr>
            <w:top w:val="none" w:sz="0" w:space="0" w:color="auto"/>
            <w:left w:val="none" w:sz="0" w:space="0" w:color="auto"/>
            <w:bottom w:val="none" w:sz="0" w:space="0" w:color="auto"/>
            <w:right w:val="none" w:sz="0" w:space="0" w:color="auto"/>
          </w:divBdr>
          <w:divsChild>
            <w:div w:id="894051686">
              <w:marLeft w:val="0"/>
              <w:marRight w:val="0"/>
              <w:marTop w:val="0"/>
              <w:marBottom w:val="0"/>
              <w:divBdr>
                <w:top w:val="none" w:sz="0" w:space="0" w:color="auto"/>
                <w:left w:val="none" w:sz="0" w:space="0" w:color="auto"/>
                <w:bottom w:val="none" w:sz="0" w:space="0" w:color="auto"/>
                <w:right w:val="none" w:sz="0" w:space="0" w:color="auto"/>
              </w:divBdr>
              <w:divsChild>
                <w:div w:id="2077508227">
                  <w:marLeft w:val="0"/>
                  <w:marRight w:val="0"/>
                  <w:marTop w:val="0"/>
                  <w:marBottom w:val="0"/>
                  <w:divBdr>
                    <w:top w:val="none" w:sz="0" w:space="0" w:color="auto"/>
                    <w:left w:val="none" w:sz="0" w:space="0" w:color="auto"/>
                    <w:bottom w:val="none" w:sz="0" w:space="0" w:color="auto"/>
                    <w:right w:val="none" w:sz="0" w:space="0" w:color="auto"/>
                  </w:divBdr>
                  <w:divsChild>
                    <w:div w:id="1162701494">
                      <w:marLeft w:val="0"/>
                      <w:marRight w:val="0"/>
                      <w:marTop w:val="0"/>
                      <w:marBottom w:val="0"/>
                      <w:divBdr>
                        <w:top w:val="none" w:sz="0" w:space="0" w:color="auto"/>
                        <w:left w:val="none" w:sz="0" w:space="0" w:color="auto"/>
                        <w:bottom w:val="none" w:sz="0" w:space="0" w:color="auto"/>
                        <w:right w:val="none" w:sz="0" w:space="0" w:color="auto"/>
                      </w:divBdr>
                      <w:divsChild>
                        <w:div w:id="577372475">
                          <w:marLeft w:val="0"/>
                          <w:marRight w:val="0"/>
                          <w:marTop w:val="0"/>
                          <w:marBottom w:val="0"/>
                          <w:divBdr>
                            <w:top w:val="none" w:sz="0" w:space="0" w:color="auto"/>
                            <w:left w:val="none" w:sz="0" w:space="0" w:color="auto"/>
                            <w:bottom w:val="none" w:sz="0" w:space="0" w:color="auto"/>
                            <w:right w:val="none" w:sz="0" w:space="0" w:color="auto"/>
                          </w:divBdr>
                          <w:divsChild>
                            <w:div w:id="16823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7108039">
      <w:bodyDiv w:val="1"/>
      <w:marLeft w:val="0"/>
      <w:marRight w:val="0"/>
      <w:marTop w:val="0"/>
      <w:marBottom w:val="0"/>
      <w:divBdr>
        <w:top w:val="none" w:sz="0" w:space="0" w:color="auto"/>
        <w:left w:val="none" w:sz="0" w:space="0" w:color="auto"/>
        <w:bottom w:val="none" w:sz="0" w:space="0" w:color="auto"/>
        <w:right w:val="none" w:sz="0" w:space="0" w:color="auto"/>
      </w:divBdr>
    </w:div>
    <w:div w:id="1315067580">
      <w:bodyDiv w:val="1"/>
      <w:marLeft w:val="0"/>
      <w:marRight w:val="0"/>
      <w:marTop w:val="0"/>
      <w:marBottom w:val="0"/>
      <w:divBdr>
        <w:top w:val="none" w:sz="0" w:space="0" w:color="auto"/>
        <w:left w:val="none" w:sz="0" w:space="0" w:color="auto"/>
        <w:bottom w:val="none" w:sz="0" w:space="0" w:color="auto"/>
        <w:right w:val="none" w:sz="0" w:space="0" w:color="auto"/>
      </w:divBdr>
    </w:div>
    <w:div w:id="1344554201">
      <w:bodyDiv w:val="1"/>
      <w:marLeft w:val="0"/>
      <w:marRight w:val="0"/>
      <w:marTop w:val="0"/>
      <w:marBottom w:val="0"/>
      <w:divBdr>
        <w:top w:val="none" w:sz="0" w:space="0" w:color="auto"/>
        <w:left w:val="none" w:sz="0" w:space="0" w:color="auto"/>
        <w:bottom w:val="none" w:sz="0" w:space="0" w:color="auto"/>
        <w:right w:val="none" w:sz="0" w:space="0" w:color="auto"/>
      </w:divBdr>
    </w:div>
    <w:div w:id="1388527183">
      <w:bodyDiv w:val="1"/>
      <w:marLeft w:val="0"/>
      <w:marRight w:val="0"/>
      <w:marTop w:val="0"/>
      <w:marBottom w:val="0"/>
      <w:divBdr>
        <w:top w:val="none" w:sz="0" w:space="0" w:color="auto"/>
        <w:left w:val="none" w:sz="0" w:space="0" w:color="auto"/>
        <w:bottom w:val="none" w:sz="0" w:space="0" w:color="auto"/>
        <w:right w:val="none" w:sz="0" w:space="0" w:color="auto"/>
      </w:divBdr>
    </w:div>
    <w:div w:id="1488791156">
      <w:bodyDiv w:val="1"/>
      <w:marLeft w:val="0"/>
      <w:marRight w:val="0"/>
      <w:marTop w:val="0"/>
      <w:marBottom w:val="0"/>
      <w:divBdr>
        <w:top w:val="none" w:sz="0" w:space="0" w:color="auto"/>
        <w:left w:val="none" w:sz="0" w:space="0" w:color="auto"/>
        <w:bottom w:val="none" w:sz="0" w:space="0" w:color="auto"/>
        <w:right w:val="none" w:sz="0" w:space="0" w:color="auto"/>
      </w:divBdr>
    </w:div>
    <w:div w:id="1506360149">
      <w:bodyDiv w:val="1"/>
      <w:marLeft w:val="0"/>
      <w:marRight w:val="0"/>
      <w:marTop w:val="0"/>
      <w:marBottom w:val="0"/>
      <w:divBdr>
        <w:top w:val="none" w:sz="0" w:space="0" w:color="auto"/>
        <w:left w:val="none" w:sz="0" w:space="0" w:color="auto"/>
        <w:bottom w:val="none" w:sz="0" w:space="0" w:color="auto"/>
        <w:right w:val="none" w:sz="0" w:space="0" w:color="auto"/>
      </w:divBdr>
      <w:divsChild>
        <w:div w:id="1538395126">
          <w:marLeft w:val="0"/>
          <w:marRight w:val="0"/>
          <w:marTop w:val="0"/>
          <w:marBottom w:val="0"/>
          <w:divBdr>
            <w:top w:val="none" w:sz="0" w:space="0" w:color="auto"/>
            <w:left w:val="none" w:sz="0" w:space="0" w:color="auto"/>
            <w:bottom w:val="none" w:sz="0" w:space="0" w:color="auto"/>
            <w:right w:val="none" w:sz="0" w:space="0" w:color="auto"/>
          </w:divBdr>
          <w:divsChild>
            <w:div w:id="154103641">
              <w:marLeft w:val="0"/>
              <w:marRight w:val="0"/>
              <w:marTop w:val="0"/>
              <w:marBottom w:val="0"/>
              <w:divBdr>
                <w:top w:val="none" w:sz="0" w:space="0" w:color="auto"/>
                <w:left w:val="none" w:sz="0" w:space="0" w:color="auto"/>
                <w:bottom w:val="none" w:sz="0" w:space="0" w:color="auto"/>
                <w:right w:val="none" w:sz="0" w:space="0" w:color="auto"/>
              </w:divBdr>
              <w:divsChild>
                <w:div w:id="1426459269">
                  <w:marLeft w:val="0"/>
                  <w:marRight w:val="0"/>
                  <w:marTop w:val="0"/>
                  <w:marBottom w:val="0"/>
                  <w:divBdr>
                    <w:top w:val="none" w:sz="0" w:space="0" w:color="auto"/>
                    <w:left w:val="none" w:sz="0" w:space="0" w:color="auto"/>
                    <w:bottom w:val="none" w:sz="0" w:space="0" w:color="auto"/>
                    <w:right w:val="none" w:sz="0" w:space="0" w:color="auto"/>
                  </w:divBdr>
                  <w:divsChild>
                    <w:div w:id="2083872240">
                      <w:marLeft w:val="0"/>
                      <w:marRight w:val="0"/>
                      <w:marTop w:val="0"/>
                      <w:marBottom w:val="0"/>
                      <w:divBdr>
                        <w:top w:val="none" w:sz="0" w:space="0" w:color="auto"/>
                        <w:left w:val="none" w:sz="0" w:space="0" w:color="auto"/>
                        <w:bottom w:val="none" w:sz="0" w:space="0" w:color="auto"/>
                        <w:right w:val="none" w:sz="0" w:space="0" w:color="auto"/>
                      </w:divBdr>
                      <w:divsChild>
                        <w:div w:id="1205949457">
                          <w:marLeft w:val="0"/>
                          <w:marRight w:val="0"/>
                          <w:marTop w:val="0"/>
                          <w:marBottom w:val="0"/>
                          <w:divBdr>
                            <w:top w:val="none" w:sz="0" w:space="0" w:color="auto"/>
                            <w:left w:val="none" w:sz="0" w:space="0" w:color="auto"/>
                            <w:bottom w:val="none" w:sz="0" w:space="0" w:color="auto"/>
                            <w:right w:val="none" w:sz="0" w:space="0" w:color="auto"/>
                          </w:divBdr>
                          <w:divsChild>
                            <w:div w:id="2054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71086738">
      <w:bodyDiv w:val="1"/>
      <w:marLeft w:val="0"/>
      <w:marRight w:val="0"/>
      <w:marTop w:val="0"/>
      <w:marBottom w:val="0"/>
      <w:divBdr>
        <w:top w:val="none" w:sz="0" w:space="0" w:color="auto"/>
        <w:left w:val="none" w:sz="0" w:space="0" w:color="auto"/>
        <w:bottom w:val="none" w:sz="0" w:space="0" w:color="auto"/>
        <w:right w:val="none" w:sz="0" w:space="0" w:color="auto"/>
      </w:divBdr>
      <w:divsChild>
        <w:div w:id="1019699170">
          <w:marLeft w:val="0"/>
          <w:marRight w:val="0"/>
          <w:marTop w:val="0"/>
          <w:marBottom w:val="0"/>
          <w:divBdr>
            <w:top w:val="none" w:sz="0" w:space="0" w:color="auto"/>
            <w:left w:val="none" w:sz="0" w:space="0" w:color="auto"/>
            <w:bottom w:val="none" w:sz="0" w:space="0" w:color="auto"/>
            <w:right w:val="none" w:sz="0" w:space="0" w:color="auto"/>
          </w:divBdr>
          <w:divsChild>
            <w:div w:id="1086659060">
              <w:marLeft w:val="0"/>
              <w:marRight w:val="0"/>
              <w:marTop w:val="0"/>
              <w:marBottom w:val="0"/>
              <w:divBdr>
                <w:top w:val="none" w:sz="0" w:space="0" w:color="auto"/>
                <w:left w:val="none" w:sz="0" w:space="0" w:color="auto"/>
                <w:bottom w:val="none" w:sz="0" w:space="0" w:color="auto"/>
                <w:right w:val="none" w:sz="0" w:space="0" w:color="auto"/>
              </w:divBdr>
              <w:divsChild>
                <w:div w:id="981812160">
                  <w:marLeft w:val="0"/>
                  <w:marRight w:val="0"/>
                  <w:marTop w:val="0"/>
                  <w:marBottom w:val="0"/>
                  <w:divBdr>
                    <w:top w:val="none" w:sz="0" w:space="0" w:color="auto"/>
                    <w:left w:val="none" w:sz="0" w:space="0" w:color="auto"/>
                    <w:bottom w:val="none" w:sz="0" w:space="0" w:color="auto"/>
                    <w:right w:val="none" w:sz="0" w:space="0" w:color="auto"/>
                  </w:divBdr>
                  <w:divsChild>
                    <w:div w:id="1114130739">
                      <w:marLeft w:val="0"/>
                      <w:marRight w:val="0"/>
                      <w:marTop w:val="0"/>
                      <w:marBottom w:val="0"/>
                      <w:divBdr>
                        <w:top w:val="none" w:sz="0" w:space="0" w:color="auto"/>
                        <w:left w:val="none" w:sz="0" w:space="0" w:color="auto"/>
                        <w:bottom w:val="none" w:sz="0" w:space="0" w:color="auto"/>
                        <w:right w:val="none" w:sz="0" w:space="0" w:color="auto"/>
                      </w:divBdr>
                      <w:divsChild>
                        <w:div w:id="685594915">
                          <w:marLeft w:val="0"/>
                          <w:marRight w:val="0"/>
                          <w:marTop w:val="0"/>
                          <w:marBottom w:val="0"/>
                          <w:divBdr>
                            <w:top w:val="none" w:sz="0" w:space="0" w:color="auto"/>
                            <w:left w:val="none" w:sz="0" w:space="0" w:color="auto"/>
                            <w:bottom w:val="none" w:sz="0" w:space="0" w:color="auto"/>
                            <w:right w:val="none" w:sz="0" w:space="0" w:color="auto"/>
                          </w:divBdr>
                          <w:divsChild>
                            <w:div w:id="688724469">
                              <w:marLeft w:val="0"/>
                              <w:marRight w:val="0"/>
                              <w:marTop w:val="0"/>
                              <w:marBottom w:val="0"/>
                              <w:divBdr>
                                <w:top w:val="none" w:sz="0" w:space="0" w:color="auto"/>
                                <w:left w:val="none" w:sz="0" w:space="0" w:color="auto"/>
                                <w:bottom w:val="none" w:sz="0" w:space="0" w:color="auto"/>
                                <w:right w:val="none" w:sz="0" w:space="0" w:color="auto"/>
                              </w:divBdr>
                              <w:divsChild>
                                <w:div w:id="1489831913">
                                  <w:marLeft w:val="0"/>
                                  <w:marRight w:val="0"/>
                                  <w:marTop w:val="0"/>
                                  <w:marBottom w:val="0"/>
                                  <w:divBdr>
                                    <w:top w:val="none" w:sz="0" w:space="0" w:color="auto"/>
                                    <w:left w:val="none" w:sz="0" w:space="0" w:color="auto"/>
                                    <w:bottom w:val="none" w:sz="0" w:space="0" w:color="auto"/>
                                    <w:right w:val="none" w:sz="0" w:space="0" w:color="auto"/>
                                  </w:divBdr>
                                </w:div>
                                <w:div w:id="1247769766">
                                  <w:marLeft w:val="0"/>
                                  <w:marRight w:val="0"/>
                                  <w:marTop w:val="0"/>
                                  <w:marBottom w:val="0"/>
                                  <w:divBdr>
                                    <w:top w:val="none" w:sz="0" w:space="0" w:color="auto"/>
                                    <w:left w:val="none" w:sz="0" w:space="0" w:color="auto"/>
                                    <w:bottom w:val="none" w:sz="0" w:space="0" w:color="auto"/>
                                    <w:right w:val="none" w:sz="0" w:space="0" w:color="auto"/>
                                  </w:divBdr>
                                  <w:divsChild>
                                    <w:div w:id="1810202578">
                                      <w:marLeft w:val="0"/>
                                      <w:marRight w:val="0"/>
                                      <w:marTop w:val="0"/>
                                      <w:marBottom w:val="0"/>
                                      <w:divBdr>
                                        <w:top w:val="none" w:sz="0" w:space="0" w:color="auto"/>
                                        <w:left w:val="none" w:sz="0" w:space="0" w:color="auto"/>
                                        <w:bottom w:val="none" w:sz="0" w:space="0" w:color="auto"/>
                                        <w:right w:val="none" w:sz="0" w:space="0" w:color="auto"/>
                                      </w:divBdr>
                                      <w:divsChild>
                                        <w:div w:id="1869296455">
                                          <w:marLeft w:val="0"/>
                                          <w:marRight w:val="0"/>
                                          <w:marTop w:val="0"/>
                                          <w:marBottom w:val="0"/>
                                          <w:divBdr>
                                            <w:top w:val="none" w:sz="0" w:space="0" w:color="auto"/>
                                            <w:left w:val="none" w:sz="0" w:space="0" w:color="auto"/>
                                            <w:bottom w:val="none" w:sz="0" w:space="0" w:color="auto"/>
                                            <w:right w:val="none" w:sz="0" w:space="0" w:color="auto"/>
                                          </w:divBdr>
                                        </w:div>
                                        <w:div w:id="7866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97019-ministru-kabineta-sedes-protokols" TargetMode="External"/><Relationship Id="rId4" Type="http://schemas.openxmlformats.org/officeDocument/2006/relationships/settings" Target="settings.xml"/><Relationship Id="rId9" Type="http://schemas.openxmlformats.org/officeDocument/2006/relationships/hyperlink" Target="https://likumi.lv/ta/id/297019-ministru-kabineta-sedes-protokols"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7FF0-10F1-47CB-928C-179E38BA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11469</Words>
  <Characters>6538</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22. decembra noteikumos Nr. 787 "Valsts zemes dienesta maksas pakalpojumu cenrādis un samaksas kārtība"</vt:lpstr>
      <vt:lpstr>Grozījumi Ministru kabineta 2015. gada 22. decembra noteikumos Nr. 787 "Valsts zemes dienesta maksas pakalpojumu cenrādis un samaksas kārtība"</vt:lpstr>
    </vt:vector>
  </TitlesOfParts>
  <Company>Tieslietu Ministrija</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22. decembra noteikumos Nr. 787 "Valsts zemes dienesta maksas pakalpojumu cenrādis un samaksas kārtība"</dc:title>
  <dc:subject>Sabiedrības iebildumi un priekšlikumi</dc:subject>
  <dc:creator>Anda Ērgle-Bīmane</dc:creator>
  <dc:description>67220290, anda.ergle-bimane@vzd.gov.lv</dc:description>
  <cp:lastModifiedBy>Inga Gedroviča-Juraga</cp:lastModifiedBy>
  <cp:revision>12</cp:revision>
  <cp:lastPrinted>2012-01-18T08:50:00Z</cp:lastPrinted>
  <dcterms:created xsi:type="dcterms:W3CDTF">2021-05-24T05:28:00Z</dcterms:created>
  <dcterms:modified xsi:type="dcterms:W3CDTF">2021-06-21T14:30:00Z</dcterms:modified>
</cp:coreProperties>
</file>