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24E6" w:rsidR="004C775F" w:rsidP="004C775F" w:rsidRDefault="004C775F" w14:paraId="60561F8A" w14:textId="77777777">
      <w:pPr>
        <w:jc w:val="right"/>
        <w:rPr>
          <w:sz w:val="28"/>
          <w:szCs w:val="28"/>
        </w:rPr>
      </w:pPr>
      <w:r w:rsidRPr="000B24E6">
        <w:rPr>
          <w:i/>
          <w:sz w:val="28"/>
          <w:szCs w:val="28"/>
        </w:rPr>
        <w:t>Projekts</w:t>
      </w:r>
    </w:p>
    <w:p w:rsidR="005064E7" w:rsidP="004C775F" w:rsidRDefault="005064E7" w14:paraId="3EB56FAE" w14:textId="77777777">
      <w:pPr>
        <w:jc w:val="center"/>
        <w:rPr>
          <w:sz w:val="28"/>
          <w:szCs w:val="28"/>
        </w:rPr>
      </w:pPr>
    </w:p>
    <w:p w:rsidRPr="000B24E6" w:rsidR="004C775F" w:rsidP="004C775F" w:rsidRDefault="004C775F" w14:paraId="4F1B8861" w14:textId="3D7EA60F">
      <w:pPr>
        <w:jc w:val="center"/>
        <w:rPr>
          <w:sz w:val="28"/>
          <w:szCs w:val="28"/>
        </w:rPr>
      </w:pPr>
      <w:r w:rsidRPr="000B24E6">
        <w:rPr>
          <w:sz w:val="28"/>
          <w:szCs w:val="28"/>
        </w:rPr>
        <w:t>LATVIJAS REPUBLIKAS MINISTRU KABINETS</w:t>
      </w:r>
    </w:p>
    <w:p w:rsidRPr="000B24E6" w:rsidR="004C775F" w:rsidP="004C775F" w:rsidRDefault="004C775F" w14:paraId="6E4BD8DD" w14:textId="77777777">
      <w:pPr>
        <w:rPr>
          <w:sz w:val="28"/>
          <w:szCs w:val="28"/>
        </w:rPr>
      </w:pPr>
    </w:p>
    <w:p w:rsidRPr="000B24E6" w:rsidR="004C775F" w:rsidP="004C775F" w:rsidRDefault="004C775F" w14:paraId="6ECB7824" w14:textId="77777777">
      <w:pPr>
        <w:tabs>
          <w:tab w:val="right" w:pos="9000"/>
        </w:tabs>
        <w:rPr>
          <w:sz w:val="28"/>
          <w:szCs w:val="28"/>
        </w:rPr>
      </w:pPr>
      <w:r w:rsidRPr="000B24E6">
        <w:rPr>
          <w:sz w:val="28"/>
          <w:szCs w:val="28"/>
        </w:rPr>
        <w:t>20__. gada __. ___</w:t>
      </w:r>
      <w:r w:rsidRPr="000B24E6">
        <w:rPr>
          <w:sz w:val="28"/>
          <w:szCs w:val="28"/>
        </w:rPr>
        <w:tab/>
        <w:t>Noteikumi Nr. __</w:t>
      </w:r>
    </w:p>
    <w:p w:rsidRPr="000B24E6" w:rsidR="004C775F" w:rsidP="004C775F" w:rsidRDefault="004C775F" w14:paraId="0ECCDF9D" w14:textId="77777777">
      <w:pPr>
        <w:tabs>
          <w:tab w:val="right" w:pos="9000"/>
        </w:tabs>
        <w:rPr>
          <w:sz w:val="28"/>
          <w:szCs w:val="28"/>
        </w:rPr>
      </w:pPr>
      <w:r w:rsidRPr="000B24E6">
        <w:rPr>
          <w:sz w:val="28"/>
          <w:szCs w:val="28"/>
        </w:rPr>
        <w:t>Rīgā</w:t>
      </w:r>
      <w:r w:rsidRPr="000B24E6">
        <w:rPr>
          <w:sz w:val="28"/>
          <w:szCs w:val="28"/>
        </w:rPr>
        <w:tab/>
        <w:t>(prot. Nr. __ __. §)</w:t>
      </w:r>
    </w:p>
    <w:p w:rsidRPr="000B24E6" w:rsidR="004C775F" w:rsidP="004C775F" w:rsidRDefault="004C775F" w14:paraId="64AB381D" w14:textId="77777777">
      <w:pPr>
        <w:jc w:val="center"/>
        <w:rPr>
          <w:b/>
          <w:bCs/>
          <w:sz w:val="28"/>
          <w:szCs w:val="28"/>
        </w:rPr>
      </w:pPr>
    </w:p>
    <w:p w:rsidRPr="000B24E6" w:rsidR="00503304" w:rsidP="00503304" w:rsidRDefault="00503304" w14:paraId="006F1751" w14:textId="27EAF40F">
      <w:pPr>
        <w:jc w:val="center"/>
        <w:rPr>
          <w:b/>
          <w:bCs/>
          <w:sz w:val="28"/>
          <w:szCs w:val="28"/>
        </w:rPr>
      </w:pPr>
      <w:r w:rsidRPr="000B24E6">
        <w:rPr>
          <w:b/>
          <w:bCs/>
          <w:sz w:val="28"/>
          <w:szCs w:val="28"/>
        </w:rPr>
        <w:t>Grozījumi Ministru kabineta 2015. gada 22. decembra noteikumos Nr. 787 "Valsts zemes dienesta maksas pakalpojumu cenrādis un samaksas kārtība"</w:t>
      </w:r>
    </w:p>
    <w:p w:rsidRPr="000B24E6" w:rsidR="004C775F" w:rsidP="004C775F" w:rsidRDefault="004C775F" w14:paraId="3CA0C79A" w14:textId="77777777">
      <w:pPr>
        <w:rPr>
          <w:sz w:val="28"/>
          <w:szCs w:val="28"/>
        </w:rPr>
      </w:pPr>
    </w:p>
    <w:p w:rsidR="00A1383F" w:rsidP="00A1383F" w:rsidRDefault="00503304" w14:paraId="4473DB83" w14:textId="1333AD05">
      <w:pPr>
        <w:jc w:val="right"/>
        <w:rPr>
          <w:sz w:val="28"/>
          <w:szCs w:val="28"/>
        </w:rPr>
      </w:pPr>
      <w:r w:rsidRPr="000B24E6">
        <w:rPr>
          <w:sz w:val="28"/>
          <w:szCs w:val="28"/>
        </w:rPr>
        <w:t>Izdoti saskaņā ar Likuma par budžetu</w:t>
      </w:r>
    </w:p>
    <w:p w:rsidR="00A1383F" w:rsidP="00A1383F" w:rsidRDefault="00A1383F" w14:paraId="2BB9021E" w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un finanšu vadību 5. panta devīto daļu,</w:t>
      </w:r>
    </w:p>
    <w:p w:rsidR="00A1383F" w:rsidP="00A1383F" w:rsidRDefault="00A1383F" w14:paraId="7392F4FD" w14:textId="77777777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Nekustamā </w:t>
      </w:r>
      <w:r>
        <w:rPr>
          <w:color w:val="000000"/>
          <w:sz w:val="28"/>
          <w:szCs w:val="28"/>
        </w:rPr>
        <w:t>īpašuma valsts kadastra likuma</w:t>
      </w:r>
    </w:p>
    <w:p w:rsidR="00A1383F" w:rsidP="00A1383F" w:rsidRDefault="00A1383F" w14:paraId="67CD81AC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 un 101. pantu, Administratīvo teritoriju</w:t>
      </w:r>
    </w:p>
    <w:p w:rsidR="00A1383F" w:rsidP="00A1383F" w:rsidRDefault="00A1383F" w14:paraId="51F495C0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apdzīvoto vietu likuma 13. panta trešās daļas</w:t>
      </w:r>
    </w:p>
    <w:p w:rsidR="00A1383F" w:rsidP="00A1383F" w:rsidRDefault="00A1383F" w14:paraId="2F21C0AA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punktu, Apgrūtināto teritoriju informācijas</w:t>
      </w:r>
    </w:p>
    <w:p w:rsidR="00A1383F" w:rsidP="00A1383F" w:rsidRDefault="00A1383F" w14:paraId="3CE91266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sistēmas likuma 12. panta trešo daļu</w:t>
      </w:r>
    </w:p>
    <w:p w:rsidR="00A1383F" w:rsidP="00A1383F" w:rsidRDefault="00A1383F" w14:paraId="5473A852" w14:textId="777777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 Ģeotelpiskās informācijas likuma</w:t>
      </w:r>
    </w:p>
    <w:p w:rsidRPr="00D27902" w:rsidR="00503304" w:rsidP="00503304" w:rsidRDefault="00A1383F" w14:paraId="7C609685" w14:textId="13875C6D">
      <w:pPr>
        <w:jc w:val="right"/>
        <w:rPr>
          <w:sz w:val="28"/>
        </w:rPr>
      </w:pPr>
      <w:r>
        <w:rPr>
          <w:color w:val="000000"/>
          <w:sz w:val="28"/>
          <w:szCs w:val="28"/>
        </w:rPr>
        <w:t>26. panta</w:t>
      </w:r>
      <w:r w:rsidRPr="00D27902" w:rsidR="00503304">
        <w:rPr>
          <w:sz w:val="28"/>
        </w:rPr>
        <w:t xml:space="preserve"> desmito daļu</w:t>
      </w:r>
    </w:p>
    <w:p w:rsidRPr="000B24E6" w:rsidR="004C775F" w:rsidP="004C775F" w:rsidRDefault="004C775F" w14:paraId="5DC24EC9" w14:textId="77777777">
      <w:pPr>
        <w:jc w:val="right"/>
        <w:rPr>
          <w:sz w:val="28"/>
          <w:szCs w:val="28"/>
        </w:rPr>
      </w:pPr>
    </w:p>
    <w:p w:rsidR="00C46F92" w:rsidP="00616190" w:rsidRDefault="00C46F92" w14:paraId="02556D95" w14:textId="40815416">
      <w:pPr>
        <w:ind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 xml:space="preserve">Izdarīt Ministru kabineta </w:t>
      </w:r>
      <w:r w:rsidRPr="000B24E6" w:rsidR="00503304">
        <w:rPr>
          <w:sz w:val="28"/>
          <w:szCs w:val="28"/>
        </w:rPr>
        <w:t xml:space="preserve">2015. gada 22. decembra noteikumos Nr. 787 "Valsts zemes dienesta maksas pakalpojumu cenrādis un samaksas kārtība" </w:t>
      </w:r>
      <w:r w:rsidRPr="000B24E6">
        <w:rPr>
          <w:sz w:val="28"/>
          <w:szCs w:val="28"/>
        </w:rPr>
        <w:t>(</w:t>
      </w:r>
      <w:hyperlink w:tgtFrame="_blank" w:history="1" r:id="rId8">
        <w:r w:rsidRPr="000B24E6" w:rsidR="00503304">
          <w:rPr>
            <w:sz w:val="28"/>
            <w:szCs w:val="28"/>
          </w:rPr>
          <w:t>Latvijas Vēstnesis</w:t>
        </w:r>
      </w:hyperlink>
      <w:r w:rsidRPr="000B24E6" w:rsidR="00503304">
        <w:rPr>
          <w:sz w:val="28"/>
          <w:szCs w:val="28"/>
        </w:rPr>
        <w:t>, 2015</w:t>
      </w:r>
      <w:r w:rsidRPr="000B24E6" w:rsidR="00FA6EB5">
        <w:rPr>
          <w:sz w:val="28"/>
          <w:szCs w:val="28"/>
        </w:rPr>
        <w:t>,</w:t>
      </w:r>
      <w:r w:rsidRPr="00024C34" w:rsidR="00FA6EB5">
        <w:rPr>
          <w:sz w:val="28"/>
        </w:rPr>
        <w:t xml:space="preserve"> 253.</w:t>
      </w:r>
      <w:r w:rsidRPr="00024C34" w:rsidR="00410A30">
        <w:rPr>
          <w:sz w:val="28"/>
        </w:rPr>
        <w:t> </w:t>
      </w:r>
      <w:r w:rsidRPr="00024C34" w:rsidR="00FA6EB5">
        <w:rPr>
          <w:sz w:val="28"/>
        </w:rPr>
        <w:t>nr.</w:t>
      </w:r>
      <w:r w:rsidRPr="000B24E6">
        <w:rPr>
          <w:sz w:val="28"/>
          <w:szCs w:val="28"/>
        </w:rPr>
        <w:t>) šādus grozījumus:</w:t>
      </w:r>
    </w:p>
    <w:p w:rsidR="00D27902" w:rsidP="00616190" w:rsidRDefault="00D27902" w14:paraId="78C66099" w14:textId="7E38C42F">
      <w:pPr>
        <w:ind w:firstLine="720"/>
        <w:jc w:val="both"/>
        <w:rPr>
          <w:sz w:val="28"/>
          <w:szCs w:val="28"/>
        </w:rPr>
      </w:pPr>
    </w:p>
    <w:p w:rsidR="00D27902" w:rsidP="00D27902" w:rsidRDefault="00D27902" w14:paraId="4099A607" w14:textId="07FE5C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Aizstāt norādē, uz kāda likuma pamata noteikumi izdoti, vārdu "budžeta" ar vārdu "budžetu" un vārdus un skaitļus "Administratīvo teritoriju un apdzīvoto vietu likuma 17. panta piektās daļas 3. punktu" – ar vārdiem un skaitļiem "Administratīvo teritoriju un apdzīvoto vietu likuma 13. panta trešās daļas 4. punktu".</w:t>
      </w:r>
    </w:p>
    <w:p w:rsidR="00CF670C" w:rsidP="00D27902" w:rsidRDefault="00CF670C" w14:paraId="442CACF8" w14:textId="00F48B1A">
      <w:pPr>
        <w:ind w:firstLine="720"/>
        <w:jc w:val="both"/>
        <w:rPr>
          <w:color w:val="000000"/>
          <w:sz w:val="28"/>
          <w:szCs w:val="28"/>
        </w:rPr>
      </w:pPr>
    </w:p>
    <w:p w:rsidRPr="000E474B" w:rsidR="000E474B" w:rsidP="00BE70C3" w:rsidRDefault="00BE70C3" w14:paraId="31B11B58" w14:textId="2B516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4E6">
        <w:rPr>
          <w:sz w:val="28"/>
          <w:szCs w:val="28"/>
        </w:rPr>
        <w:t>. </w:t>
      </w:r>
      <w:r w:rsidR="000E474B">
        <w:rPr>
          <w:sz w:val="28"/>
          <w:szCs w:val="28"/>
        </w:rPr>
        <w:t>Papildināt noteikumus ar 26.</w:t>
      </w:r>
      <w:r w:rsidRPr="000E474B" w:rsidR="000E474B">
        <w:rPr>
          <w:sz w:val="28"/>
          <w:szCs w:val="28"/>
          <w:vertAlign w:val="superscript"/>
        </w:rPr>
        <w:t>1</w:t>
      </w:r>
      <w:r w:rsidR="000E474B">
        <w:rPr>
          <w:sz w:val="28"/>
          <w:szCs w:val="28"/>
        </w:rPr>
        <w:t> </w:t>
      </w:r>
      <w:r w:rsidRPr="000E474B" w:rsidR="000E474B">
        <w:rPr>
          <w:sz w:val="28"/>
          <w:szCs w:val="28"/>
        </w:rPr>
        <w:t>punktu</w:t>
      </w:r>
      <w:r w:rsidR="000E474B">
        <w:rPr>
          <w:sz w:val="28"/>
          <w:szCs w:val="28"/>
        </w:rPr>
        <w:t xml:space="preserve"> šādā redakcijā:</w:t>
      </w:r>
    </w:p>
    <w:p w:rsidR="000E474B" w:rsidP="000E474B" w:rsidRDefault="00BE70C3" w14:paraId="414703FC" w14:textId="72835C7E">
      <w:pPr>
        <w:ind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>"</w:t>
      </w:r>
      <w:r w:rsidRPr="00BE70C3">
        <w:rPr>
          <w:sz w:val="28"/>
          <w:szCs w:val="28"/>
        </w:rPr>
        <w:t>26.</w:t>
      </w:r>
      <w:r w:rsidRPr="000E474B" w:rsidR="000E474B">
        <w:rPr>
          <w:sz w:val="28"/>
          <w:szCs w:val="28"/>
          <w:vertAlign w:val="superscript"/>
        </w:rPr>
        <w:t>1</w:t>
      </w:r>
      <w:r w:rsidR="000E474B">
        <w:rPr>
          <w:sz w:val="28"/>
          <w:szCs w:val="28"/>
        </w:rPr>
        <w:t> </w:t>
      </w:r>
      <w:bookmarkStart w:name="_Hlk52870828" w:id="0"/>
      <w:r w:rsidRPr="000B24E6" w:rsidR="000E474B">
        <w:rPr>
          <w:sz w:val="28"/>
          <w:szCs w:val="28"/>
        </w:rPr>
        <w:t>Maksa par pakalpojumu, kas pieprasīts līdz grozījumu šajos noteikumos spēkā stāšanās dienai</w:t>
      </w:r>
      <w:r w:rsidR="00767F64">
        <w:rPr>
          <w:sz w:val="28"/>
          <w:szCs w:val="28"/>
        </w:rPr>
        <w:t>,</w:t>
      </w:r>
      <w:r w:rsidRPr="00767F64" w:rsidR="00DC5C2A">
        <w:rPr>
          <w:sz w:val="28"/>
          <w:szCs w:val="28"/>
        </w:rPr>
        <w:t xml:space="preserve"> ja nav noslēgts līgums par pakalpojum</w:t>
      </w:r>
      <w:r w:rsidRPr="00767F64" w:rsidR="004E3B9E">
        <w:rPr>
          <w:sz w:val="28"/>
          <w:szCs w:val="28"/>
        </w:rPr>
        <w:t>a sniegšanu</w:t>
      </w:r>
      <w:r w:rsidRPr="00767F64" w:rsidR="00DC5C2A">
        <w:rPr>
          <w:sz w:val="28"/>
          <w:szCs w:val="28"/>
        </w:rPr>
        <w:t>, ir aprēķināma atbilstoši pakalpojuma maksai, kāda tā bija pieprasīšanas dienā. Ja ir noslēgts līgums par pakalpojum</w:t>
      </w:r>
      <w:r w:rsidRPr="00767F64" w:rsidR="004E3B9E">
        <w:rPr>
          <w:sz w:val="28"/>
          <w:szCs w:val="28"/>
        </w:rPr>
        <w:t>a sniegšanu</w:t>
      </w:r>
      <w:r w:rsidRPr="00767F64" w:rsidR="00DC5C2A">
        <w:rPr>
          <w:sz w:val="28"/>
          <w:szCs w:val="28"/>
        </w:rPr>
        <w:t xml:space="preserve"> un stājas spēkā grozījumi šajos noteikumos, tad maksu par pakalpojumu aprēķina</w:t>
      </w:r>
      <w:r w:rsidRPr="000B24E6" w:rsidR="000E474B">
        <w:rPr>
          <w:sz w:val="28"/>
          <w:szCs w:val="28"/>
        </w:rPr>
        <w:t xml:space="preserve"> atbilstoši </w:t>
      </w:r>
      <w:r w:rsidR="000E474B">
        <w:rPr>
          <w:sz w:val="28"/>
          <w:szCs w:val="28"/>
        </w:rPr>
        <w:t xml:space="preserve">jaunajai </w:t>
      </w:r>
      <w:r w:rsidRPr="000B24E6" w:rsidR="000E474B">
        <w:rPr>
          <w:sz w:val="28"/>
          <w:szCs w:val="28"/>
        </w:rPr>
        <w:t xml:space="preserve">pakalpojuma maksai, </w:t>
      </w:r>
      <w:r w:rsidR="000E474B">
        <w:rPr>
          <w:sz w:val="28"/>
          <w:szCs w:val="28"/>
        </w:rPr>
        <w:t xml:space="preserve">sākot ar nākamo kalendāro mēnesi pēc </w:t>
      </w:r>
      <w:r w:rsidRPr="000E474B" w:rsidR="000E474B">
        <w:rPr>
          <w:sz w:val="28"/>
          <w:szCs w:val="28"/>
        </w:rPr>
        <w:t>grozījumu šajos noteikumos spēkā stāšanās diena</w:t>
      </w:r>
      <w:r w:rsidR="000E474B">
        <w:rPr>
          <w:sz w:val="28"/>
          <w:szCs w:val="28"/>
        </w:rPr>
        <w:t>s</w:t>
      </w:r>
      <w:r w:rsidRPr="00767F64" w:rsidR="00DC5C2A">
        <w:rPr>
          <w:sz w:val="28"/>
          <w:szCs w:val="28"/>
        </w:rPr>
        <w:t>.</w:t>
      </w:r>
      <w:r w:rsidR="00920573">
        <w:rPr>
          <w:sz w:val="28"/>
          <w:szCs w:val="28"/>
        </w:rPr>
        <w:t>"</w:t>
      </w:r>
      <w:bookmarkEnd w:id="0"/>
    </w:p>
    <w:p w:rsidR="00CF670C" w:rsidP="000E474B" w:rsidRDefault="00CF670C" w14:paraId="34804AFB" w14:textId="38C946BE">
      <w:pPr>
        <w:ind w:firstLine="720"/>
        <w:jc w:val="both"/>
        <w:rPr>
          <w:sz w:val="28"/>
        </w:rPr>
      </w:pPr>
    </w:p>
    <w:p w:rsidR="000E474B" w:rsidP="00BE70C3" w:rsidRDefault="000E474B" w14:paraId="649E98CF" w14:textId="719A61FA">
      <w:pPr>
        <w:ind w:firstLine="720"/>
        <w:jc w:val="both"/>
        <w:rPr>
          <w:sz w:val="28"/>
          <w:szCs w:val="28"/>
        </w:rPr>
      </w:pPr>
      <w:r w:rsidRPr="000E474B">
        <w:rPr>
          <w:sz w:val="28"/>
          <w:szCs w:val="28"/>
        </w:rPr>
        <w:t>3. Aizstāt pielikuma 8. punktā tekstu "Tipveida kadastra informācija</w:t>
      </w:r>
      <w:r w:rsidRPr="000E474B">
        <w:rPr>
          <w:sz w:val="28"/>
          <w:szCs w:val="28"/>
          <w:vertAlign w:val="superscript"/>
        </w:rPr>
        <w:t>7</w:t>
      </w:r>
      <w:r w:rsidRPr="000E474B">
        <w:rPr>
          <w:sz w:val="28"/>
          <w:szCs w:val="28"/>
        </w:rPr>
        <w:t>" ar tekstu "Tipveida kadastra informācija</w:t>
      </w:r>
      <w:r w:rsidRPr="000E474B">
        <w:rPr>
          <w:sz w:val="28"/>
          <w:szCs w:val="28"/>
          <w:vertAlign w:val="superscript"/>
        </w:rPr>
        <w:t>7, 19</w:t>
      </w:r>
      <w:r w:rsidRPr="000E474B">
        <w:rPr>
          <w:sz w:val="28"/>
          <w:szCs w:val="28"/>
        </w:rPr>
        <w:t>".</w:t>
      </w:r>
    </w:p>
    <w:p w:rsidR="000E474B" w:rsidP="00BE70C3" w:rsidRDefault="000E474B" w14:paraId="19345AD8" w14:textId="37FDA4A3">
      <w:pPr>
        <w:ind w:firstLine="720"/>
        <w:jc w:val="both"/>
        <w:rPr>
          <w:sz w:val="28"/>
          <w:szCs w:val="28"/>
        </w:rPr>
      </w:pPr>
      <w:bookmarkStart w:name="_GoBack" w:id="1"/>
      <w:bookmarkEnd w:id="1"/>
    </w:p>
    <w:p w:rsidRPr="000E474B" w:rsidR="000E474B" w:rsidP="00BE70C3" w:rsidRDefault="000E474B" w14:paraId="41DC6A00" w14:textId="634FA2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9</w:t>
      </w:r>
      <w:r w:rsidRPr="000E474B">
        <w:rPr>
          <w:sz w:val="28"/>
          <w:szCs w:val="28"/>
        </w:rPr>
        <w:t>. punktā tekstu "Dati informācijas blokos par kadastra objektu atbilstoši personas pieprasījumam</w:t>
      </w:r>
      <w:r w:rsidRPr="000E474B">
        <w:rPr>
          <w:sz w:val="28"/>
          <w:szCs w:val="28"/>
          <w:vertAlign w:val="superscript"/>
        </w:rPr>
        <w:t>8</w:t>
      </w:r>
      <w:r w:rsidRPr="000E474B">
        <w:rPr>
          <w:sz w:val="28"/>
          <w:szCs w:val="28"/>
        </w:rPr>
        <w:t>" ar tekstu "</w:t>
      </w:r>
      <w:r w:rsidRPr="00123652" w:rsidR="00123652">
        <w:rPr>
          <w:sz w:val="28"/>
          <w:szCs w:val="28"/>
        </w:rPr>
        <w:t>Dati informācijas blokos par kadastra objektu atbilstoši personas pieprasījumam</w:t>
      </w:r>
      <w:r w:rsidRPr="00123652" w:rsidR="00123652">
        <w:rPr>
          <w:sz w:val="28"/>
          <w:szCs w:val="28"/>
          <w:vertAlign w:val="superscript"/>
        </w:rPr>
        <w:t>8</w:t>
      </w:r>
      <w:r w:rsidR="00123652">
        <w:rPr>
          <w:sz w:val="28"/>
          <w:szCs w:val="28"/>
          <w:vertAlign w:val="superscript"/>
        </w:rPr>
        <w:t>, 19</w:t>
      </w:r>
      <w:r w:rsidRPr="000E474B">
        <w:rPr>
          <w:sz w:val="28"/>
          <w:szCs w:val="28"/>
        </w:rPr>
        <w:t>".</w:t>
      </w:r>
    </w:p>
    <w:p w:rsidRPr="000E474B" w:rsidR="000E474B" w:rsidP="00BE70C3" w:rsidRDefault="000E474B" w14:paraId="607B7E86" w14:textId="7CB1BABC">
      <w:pPr>
        <w:ind w:firstLine="720"/>
        <w:jc w:val="both"/>
        <w:rPr>
          <w:sz w:val="28"/>
          <w:szCs w:val="28"/>
        </w:rPr>
      </w:pPr>
    </w:p>
    <w:p w:rsidRPr="000E474B" w:rsidR="00123652" w:rsidP="00123652" w:rsidRDefault="00123652" w14:paraId="3F3DBC48" w14:textId="31B67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10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>Informācija no kadastra telpiskajiem datiem par zemesgabaliem, uz kuriem atrodas publiskās lietošanas infrastruktūras objekti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>Informācija no kadastra telpiskajiem datiem par zemesgabaliem, uz kuriem atrodas publiskās lietošanas infrastruktūras objekti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E474B" w:rsidP="00BE70C3" w:rsidRDefault="000E474B" w14:paraId="4955B941" w14:textId="78B0CF4C">
      <w:pPr>
        <w:ind w:firstLine="720"/>
        <w:jc w:val="both"/>
        <w:rPr>
          <w:sz w:val="28"/>
          <w:szCs w:val="28"/>
        </w:rPr>
      </w:pPr>
    </w:p>
    <w:p w:rsidRPr="000B24E6" w:rsidR="00F26EE7" w:rsidP="00123652" w:rsidRDefault="00123652" w14:paraId="53FFAAC0" w14:textId="1FDEF3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B24E6" w:rsidR="009D2D3F">
        <w:rPr>
          <w:sz w:val="28"/>
          <w:szCs w:val="28"/>
        </w:rPr>
        <w:t>. </w:t>
      </w:r>
      <w:r w:rsidRPr="000B24E6" w:rsidR="00396D6B">
        <w:rPr>
          <w:sz w:val="28"/>
          <w:szCs w:val="28"/>
        </w:rPr>
        <w:t xml:space="preserve">Izteikt </w:t>
      </w:r>
      <w:r w:rsidRPr="000B24E6" w:rsidR="00E31CC2">
        <w:rPr>
          <w:sz w:val="28"/>
          <w:szCs w:val="28"/>
        </w:rPr>
        <w:t>p</w:t>
      </w:r>
      <w:r w:rsidRPr="000B24E6" w:rsidR="00B2047F">
        <w:rPr>
          <w:sz w:val="28"/>
          <w:szCs w:val="28"/>
        </w:rPr>
        <w:t>ielikum</w:t>
      </w:r>
      <w:r w:rsidRPr="000B24E6" w:rsidR="00503304">
        <w:rPr>
          <w:sz w:val="28"/>
          <w:szCs w:val="28"/>
        </w:rPr>
        <w:t xml:space="preserve">a </w:t>
      </w:r>
      <w:r w:rsidRPr="000B24E6" w:rsidR="00B3651E">
        <w:rPr>
          <w:sz w:val="28"/>
          <w:szCs w:val="28"/>
        </w:rPr>
        <w:t>18</w:t>
      </w:r>
      <w:r w:rsidR="00B3651E">
        <w:rPr>
          <w:sz w:val="28"/>
          <w:szCs w:val="28"/>
        </w:rPr>
        <w:t>.</w:t>
      </w:r>
      <w:r>
        <w:rPr>
          <w:sz w:val="28"/>
          <w:szCs w:val="28"/>
        </w:rPr>
        <w:t xml:space="preserve"> un</w:t>
      </w:r>
      <w:r w:rsidR="006A4B97">
        <w:rPr>
          <w:sz w:val="28"/>
          <w:szCs w:val="28"/>
        </w:rPr>
        <w:t xml:space="preserve"> </w:t>
      </w:r>
      <w:r w:rsidRPr="000B24E6" w:rsidR="00B3651E">
        <w:rPr>
          <w:sz w:val="28"/>
          <w:szCs w:val="28"/>
        </w:rPr>
        <w:t>19.</w:t>
      </w:r>
      <w:r w:rsidRPr="000B24E6" w:rsidR="00F23283">
        <w:rPr>
          <w:sz w:val="28"/>
          <w:szCs w:val="28"/>
        </w:rPr>
        <w:t> </w:t>
      </w:r>
      <w:r w:rsidRPr="000B24E6" w:rsidR="00503304">
        <w:rPr>
          <w:sz w:val="28"/>
          <w:szCs w:val="28"/>
        </w:rPr>
        <w:t xml:space="preserve">punktu </w:t>
      </w:r>
      <w:r w:rsidRPr="000B24E6" w:rsidR="00396D6B">
        <w:rPr>
          <w:sz w:val="28"/>
          <w:szCs w:val="28"/>
        </w:rPr>
        <w:t>šādā</w:t>
      </w:r>
      <w:r w:rsidRPr="000B24E6" w:rsidR="00B2047F">
        <w:rPr>
          <w:sz w:val="28"/>
          <w:szCs w:val="28"/>
        </w:rPr>
        <w:t xml:space="preserve"> redakcijā:</w:t>
      </w:r>
    </w:p>
    <w:p w:rsidRPr="000B24E6" w:rsidR="0000162E" w:rsidP="00216063" w:rsidRDefault="0000162E" w14:paraId="471DC016" w14:textId="77777777">
      <w:pPr>
        <w:ind w:firstLine="709"/>
        <w:jc w:val="both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7B4C3CB1" w14:textId="77777777">
        <w:trPr>
          <w:trHeight w:val="630"/>
        </w:trPr>
        <w:tc>
          <w:tcPr>
            <w:tcW w:w="851" w:type="dxa"/>
            <w:shd w:val="clear" w:color="000000" w:fill="FFFFFF"/>
            <w:hideMark/>
          </w:tcPr>
          <w:p w:rsidRPr="000B24E6" w:rsidR="002A0CEA" w:rsidP="002A0CEA" w:rsidRDefault="002A0CEA" w14:paraId="798BF59A" w14:textId="598F5BF4">
            <w:pPr>
              <w:jc w:val="center"/>
              <w:rPr>
                <w:sz w:val="28"/>
                <w:szCs w:val="28"/>
              </w:rPr>
            </w:pPr>
            <w:r w:rsidRPr="000B24E6">
              <w:rPr>
                <w:color w:val="414142"/>
                <w:sz w:val="28"/>
                <w:szCs w:val="28"/>
              </w:rPr>
              <w:t>"</w:t>
            </w:r>
            <w:r w:rsidRPr="000B24E6"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2A0CEA" w:rsidP="002A0CEA" w:rsidRDefault="002A0CEA" w14:paraId="095A1B72" w14:textId="2EFE1854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Kadastra objekta atrašanās vietas (X, Y koordinātas) noteikšanas tīmekļa pakalpe galalietotājam un pakalpojumu sniedzējam</w:t>
            </w:r>
            <w:r w:rsidRPr="000B24E6" w:rsidR="000B24E6">
              <w:rPr>
                <w:sz w:val="28"/>
                <w:szCs w:val="28"/>
                <w:vertAlign w:val="superscript"/>
              </w:rPr>
              <w:t>11, 18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60DB99B0" w14:textId="28EC5C6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 w:rsidR="0051568E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63A3D465" w14:textId="16F8861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1F181045" w14:textId="61DCDFAD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  <w:hideMark/>
          </w:tcPr>
          <w:p w:rsidRPr="000B24E6" w:rsidR="002A0CEA" w:rsidP="002A0CEA" w:rsidRDefault="002A0CEA" w14:paraId="7934D7EB" w14:textId="044CF87B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</w:tr>
      <w:tr w:rsidRPr="000B24E6" w:rsidR="0051568E" w:rsidTr="00B634D4" w14:paraId="7D947F05" w14:textId="77777777">
        <w:trPr>
          <w:trHeight w:val="433"/>
        </w:trPr>
        <w:tc>
          <w:tcPr>
            <w:tcW w:w="851" w:type="dxa"/>
            <w:shd w:val="clear" w:color="000000" w:fill="FFFFFF"/>
            <w:hideMark/>
          </w:tcPr>
          <w:p w:rsidRPr="000B24E6" w:rsidR="002A3898" w:rsidP="006E386E" w:rsidRDefault="002A3898" w14:paraId="36C148EA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19.</w:t>
            </w:r>
          </w:p>
        </w:tc>
        <w:tc>
          <w:tcPr>
            <w:tcW w:w="8221" w:type="dxa"/>
            <w:gridSpan w:val="5"/>
            <w:shd w:val="clear" w:color="000000" w:fill="FFFFFF"/>
            <w:hideMark/>
          </w:tcPr>
          <w:p w:rsidRPr="000B24E6" w:rsidR="002A3898" w:rsidP="006E386E" w:rsidRDefault="002A0CEA" w14:paraId="3017012A" w14:textId="403EB11A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Kadastra karte, izmantojot tīmekļa pakalpes</w:t>
            </w:r>
          </w:p>
        </w:tc>
      </w:tr>
      <w:tr w:rsidRPr="000B24E6" w:rsidR="00D27902" w:rsidTr="00B634D4" w14:paraId="4BADE142" w14:textId="77777777">
        <w:trPr>
          <w:trHeight w:val="585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2A0CEA" w:rsidP="002A0CEA" w:rsidRDefault="002A0CEA" w14:paraId="44D9F00E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19.1.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2A0CEA" w:rsidP="002A0CEA" w:rsidRDefault="002A0CEA" w14:paraId="77DB320F" w14:textId="6E952F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kadastra kartes dati galalietotājam un pakalpojumu sniedzējam par Latvijas Republikas teritoriju</w:t>
            </w:r>
            <w:r w:rsidRPr="000B24E6" w:rsidR="000B24E6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2A0CEA" w:rsidP="002A0CEA" w:rsidRDefault="002A0CEA" w14:paraId="2F1C55A6" w14:textId="48DE60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2A0CEA" w:rsidP="002A0CEA" w:rsidRDefault="002A0CEA" w14:paraId="6D0E7FDE" w14:textId="786DC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2A0CEA" w:rsidP="002A0CEA" w:rsidRDefault="002A0CEA" w14:paraId="604C5B30" w14:textId="0AADE31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2A0CEA" w:rsidP="002A0CEA" w:rsidRDefault="002A0CEA" w14:paraId="6C531DDF" w14:textId="191930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D27902" w:rsidTr="00B634D4" w14:paraId="730A19E2" w14:textId="77777777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Pr="000B24E6" w:rsidR="009F6BDD" w:rsidP="009F6BDD" w:rsidRDefault="009F6BDD" w14:paraId="68A77485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9F6BDD" w:rsidP="009F6BDD" w:rsidRDefault="009F6BDD" w14:paraId="7B2E0075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123652" w:rsidRDefault="009F6BDD" w14:paraId="2ED48928" w14:textId="3B36771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 w:rsidR="001236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24E6" w:rsid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A9E98BA" w14:textId="286E3C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155DF34" w14:textId="7AB3A2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76609A3D" w14:textId="2B946DD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</w:tr>
      <w:tr w:rsidRPr="000B24E6" w:rsidR="00D27902" w:rsidTr="00B634D4" w14:paraId="009B38B7" w14:textId="77777777">
        <w:trPr>
          <w:trHeight w:val="885"/>
        </w:trPr>
        <w:tc>
          <w:tcPr>
            <w:tcW w:w="851" w:type="dxa"/>
            <w:shd w:val="clear" w:color="auto" w:fill="auto"/>
            <w:hideMark/>
          </w:tcPr>
          <w:p w:rsidRPr="000B24E6" w:rsidR="009F6BDD" w:rsidP="009F6BDD" w:rsidRDefault="009F6BDD" w14:paraId="658FD987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19.2.</w:t>
            </w:r>
          </w:p>
        </w:tc>
        <w:tc>
          <w:tcPr>
            <w:tcW w:w="3260" w:type="dxa"/>
            <w:shd w:val="clear" w:color="auto" w:fill="auto"/>
            <w:hideMark/>
          </w:tcPr>
          <w:p w:rsidRPr="000B24E6" w:rsidR="009F6BDD" w:rsidP="009F6BDD" w:rsidRDefault="009F6BDD" w14:paraId="5A98F592" w14:textId="170D12E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kadastra kartes dati galalietotājam un pakalpojumu sniedzējam par Latvijas Republikas teritoriju</w:t>
            </w:r>
          </w:p>
        </w:tc>
        <w:tc>
          <w:tcPr>
            <w:tcW w:w="1701" w:type="dxa"/>
            <w:shd w:val="clear" w:color="auto" w:fill="auto"/>
            <w:hideMark/>
          </w:tcPr>
          <w:p w:rsidRPr="000B24E6" w:rsidR="009F6BDD" w:rsidP="009F6BDD" w:rsidRDefault="009F6BDD" w14:paraId="3911C099" w14:textId="2355CD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viens mēnesis (</w:t>
            </w:r>
            <w:r w:rsidRPr="000B24E6" w:rsidR="00990FBE">
              <w:rPr>
                <w:color w:val="000000" w:themeColor="text1"/>
                <w:sz w:val="28"/>
                <w:szCs w:val="28"/>
              </w:rPr>
              <w:t>WMS, ArcGIS</w:t>
            </w:r>
            <w:r w:rsidRPr="000B24E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9F6BDD" w:rsidP="009F6BDD" w:rsidRDefault="009F6BDD" w14:paraId="79169042" w14:textId="7C5D7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12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71A93CA5" w14:textId="3C1B22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Pr="000B24E6" w:rsidR="009F6BDD" w:rsidP="009F6BDD" w:rsidRDefault="009F6BDD" w14:paraId="04886BC6" w14:textId="2810E1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12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000,00</w:t>
            </w:r>
          </w:p>
        </w:tc>
      </w:tr>
      <w:tr w:rsidRPr="000B24E6" w:rsidR="00D27902" w:rsidTr="00B634D4" w14:paraId="5867C53D" w14:textId="77777777">
        <w:trPr>
          <w:trHeight w:val="510"/>
        </w:trPr>
        <w:tc>
          <w:tcPr>
            <w:tcW w:w="851" w:type="dxa"/>
            <w:vMerge w:val="restart"/>
            <w:shd w:val="clear" w:color="auto" w:fill="auto"/>
            <w:hideMark/>
          </w:tcPr>
          <w:p w:rsidRPr="000B24E6" w:rsidR="009F6BDD" w:rsidP="009F6BDD" w:rsidRDefault="009F6BDD" w14:paraId="5DDB7748" w14:textId="7777777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19.3.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9F6BDD" w:rsidP="009F6BDD" w:rsidRDefault="009F6BDD" w14:paraId="477BE4D7" w14:textId="7A6775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kadastrālo vērtību bāzes zonējumi (tai skaitā administratīvo robežu dati) galalietotājam un pakalpojumu sniedzējam par Latvijas Republikas teritoriju</w:t>
            </w:r>
            <w:r w:rsidRPr="000B24E6" w:rsidR="008E4511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9F6BDD" w:rsidP="009F6BDD" w:rsidRDefault="009F6BDD" w14:paraId="7706EFAF" w14:textId="0DEBEE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9F6BDD" w:rsidP="009F6BDD" w:rsidRDefault="009F6BDD" w14:paraId="6025F5C6" w14:textId="2AA994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2B5287AB" w14:textId="3E67FF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9F6BDD" w:rsidP="009F6BDD" w:rsidRDefault="009F6BDD" w14:paraId="182B83B0" w14:textId="1BDC88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A065E0" w:rsidTr="00B634D4" w14:paraId="3EF3B093" w14:textId="77777777">
        <w:trPr>
          <w:trHeight w:val="600"/>
        </w:trPr>
        <w:tc>
          <w:tcPr>
            <w:tcW w:w="851" w:type="dxa"/>
            <w:vMerge/>
            <w:vAlign w:val="center"/>
            <w:hideMark/>
          </w:tcPr>
          <w:p w:rsidRPr="000B24E6" w:rsidR="009F6BDD" w:rsidP="009F6BDD" w:rsidRDefault="009F6BDD" w14:paraId="200687E2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9F6BDD" w:rsidP="008C65CF" w:rsidRDefault="009F6BDD" w14:paraId="3597B0F5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176C8843" w14:textId="46FA8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 w:rsidR="0051568E"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 w:rsidR="0012365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3652" w:rsid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39B44357" w14:textId="5BE8DDC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538821A4" w14:textId="221C55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9F6BDD" w:rsidP="009F6BDD" w:rsidRDefault="009F6BDD" w14:paraId="287F83E5" w14:textId="543D24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  <w:r w:rsidRPr="008C65CF" w:rsidR="00123652">
              <w:rPr>
                <w:color w:val="000000" w:themeColor="text1"/>
                <w:sz w:val="28"/>
              </w:rPr>
              <w:t>"</w:t>
            </w:r>
          </w:p>
        </w:tc>
      </w:tr>
    </w:tbl>
    <w:p w:rsidR="0000162E" w:rsidP="0000162E" w:rsidRDefault="0000162E" w14:paraId="45A6FAA9" w14:textId="48C116C3">
      <w:pPr>
        <w:pStyle w:val="Sarakstarindkopa"/>
        <w:ind w:left="0"/>
        <w:rPr>
          <w:bCs/>
          <w:sz w:val="28"/>
          <w:szCs w:val="28"/>
        </w:rPr>
      </w:pPr>
    </w:p>
    <w:p w:rsidRPr="000B24E6" w:rsidR="00123652" w:rsidP="00123652" w:rsidRDefault="00123652" w14:paraId="63DF5BE4" w14:textId="1F82E2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B24E6">
        <w:rPr>
          <w:sz w:val="28"/>
          <w:szCs w:val="28"/>
        </w:rPr>
        <w:t xml:space="preserve">. Izteikt pielikuma </w:t>
      </w:r>
      <w:r>
        <w:rPr>
          <w:sz w:val="28"/>
          <w:szCs w:val="28"/>
        </w:rPr>
        <w:t>20</w:t>
      </w:r>
      <w:r w:rsidRPr="000B24E6">
        <w:rPr>
          <w:sz w:val="28"/>
          <w:szCs w:val="28"/>
        </w:rPr>
        <w:t>. punktu šādā redakcijā:</w:t>
      </w:r>
    </w:p>
    <w:p w:rsidR="00123652" w:rsidP="0000162E" w:rsidRDefault="00123652" w14:paraId="329325A9" w14:textId="521890AC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123652" w:rsidTr="00B634D4" w14:paraId="16695E76" w14:textId="77777777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123652" w:rsidP="002023F0" w:rsidRDefault="00123652" w14:paraId="17786EBC" w14:textId="130861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</w:t>
            </w:r>
            <w:r w:rsidRPr="000B24E6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123652" w:rsidP="002023F0" w:rsidRDefault="00123652" w14:paraId="023CE06B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Valsts adrešu reģistra telpiskie dati (tai skaitā administratīvo robežu dati) galalietotājam un pakalpojumu sniedzējam par Latvijas Republikas teritoriju</w:t>
            </w:r>
            <w:r w:rsidRPr="000B24E6">
              <w:rPr>
                <w:color w:val="000000" w:themeColor="text1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  <w:hideMark/>
          </w:tcPr>
          <w:p w:rsidRPr="000B24E6" w:rsidR="00123652" w:rsidP="002023F0" w:rsidRDefault="00123652" w14:paraId="747A0C3C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123652" w:rsidP="002023F0" w:rsidRDefault="00123652" w14:paraId="09344FD1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123652" w:rsidP="002023F0" w:rsidRDefault="00123652" w14:paraId="36E6AC44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123652" w:rsidP="002023F0" w:rsidRDefault="00123652" w14:paraId="4A6B6E0A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5,70</w:t>
            </w:r>
          </w:p>
        </w:tc>
      </w:tr>
      <w:tr w:rsidRPr="000B24E6" w:rsidR="00123652" w:rsidTr="00B634D4" w14:paraId="0E8532DF" w14:textId="77777777">
        <w:trPr>
          <w:trHeight w:val="810"/>
        </w:trPr>
        <w:tc>
          <w:tcPr>
            <w:tcW w:w="851" w:type="dxa"/>
            <w:vMerge/>
            <w:vAlign w:val="center"/>
            <w:hideMark/>
          </w:tcPr>
          <w:p w:rsidRPr="000B24E6" w:rsidR="00123652" w:rsidP="002023F0" w:rsidRDefault="00123652" w14:paraId="63598CC3" w14:textId="7777777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123652" w:rsidP="002023F0" w:rsidRDefault="00123652" w14:paraId="7D7A0202" w14:textId="7777777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7C902147" w14:textId="0476A2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par katriem 25 000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0B24E6">
              <w:rPr>
                <w:color w:val="000000" w:themeColor="text1"/>
                <w:sz w:val="28"/>
                <w:szCs w:val="28"/>
              </w:rPr>
              <w:t>datu pieprasījumiem mēnesī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23652">
              <w:rPr>
                <w:color w:val="000000" w:themeColor="text1"/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4059A950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4AC13A1A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0B24E6" w:rsidR="00123652" w:rsidP="002023F0" w:rsidRDefault="00123652" w14:paraId="71DEE1B1" w14:textId="777777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24E6">
              <w:rPr>
                <w:color w:val="000000" w:themeColor="text1"/>
                <w:sz w:val="28"/>
                <w:szCs w:val="28"/>
              </w:rPr>
              <w:t>42,05</w:t>
            </w:r>
            <w:r w:rsidRPr="000B24E6">
              <w:rPr>
                <w:color w:val="414142"/>
                <w:sz w:val="28"/>
                <w:szCs w:val="28"/>
              </w:rPr>
              <w:t>"</w:t>
            </w:r>
          </w:p>
        </w:tc>
      </w:tr>
    </w:tbl>
    <w:p w:rsidR="00123652" w:rsidP="0000162E" w:rsidRDefault="00123652" w14:paraId="6FDA7287" w14:textId="2A688E2B">
      <w:pPr>
        <w:pStyle w:val="Sarakstarindkopa"/>
        <w:ind w:left="0"/>
        <w:rPr>
          <w:bCs/>
          <w:sz w:val="28"/>
          <w:szCs w:val="28"/>
        </w:rPr>
      </w:pPr>
    </w:p>
    <w:p w:rsidR="0000162E" w:rsidP="00123652" w:rsidRDefault="00123652" w14:paraId="487F3EE4" w14:textId="555C388D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B24E6" w:rsidR="00D634FF">
        <w:rPr>
          <w:bCs/>
          <w:sz w:val="28"/>
          <w:szCs w:val="28"/>
        </w:rPr>
        <w:t>.</w:t>
      </w:r>
      <w:r w:rsidRPr="000B24E6" w:rsidR="005B7AB0">
        <w:rPr>
          <w:bCs/>
          <w:sz w:val="28"/>
          <w:szCs w:val="28"/>
        </w:rPr>
        <w:t> </w:t>
      </w:r>
      <w:r w:rsidRPr="000B24E6" w:rsidR="00D634FF">
        <w:rPr>
          <w:bCs/>
          <w:sz w:val="28"/>
          <w:szCs w:val="28"/>
        </w:rPr>
        <w:t>Izteikt pielikuma 2</w:t>
      </w:r>
      <w:r w:rsidRPr="000B24E6" w:rsidR="00E24D46">
        <w:rPr>
          <w:bCs/>
          <w:sz w:val="28"/>
          <w:szCs w:val="28"/>
        </w:rPr>
        <w:t>6</w:t>
      </w:r>
      <w:r w:rsidRPr="000B24E6" w:rsidR="00D634FF">
        <w:rPr>
          <w:bCs/>
          <w:sz w:val="28"/>
          <w:szCs w:val="28"/>
        </w:rPr>
        <w:t>.</w:t>
      </w:r>
      <w:r w:rsidRPr="000B24E6" w:rsidR="00E24D46">
        <w:rPr>
          <w:bCs/>
          <w:sz w:val="28"/>
          <w:szCs w:val="28"/>
        </w:rPr>
        <w:t xml:space="preserve"> un 27.</w:t>
      </w:r>
      <w:r w:rsidRPr="000B24E6" w:rsidR="00D634FF">
        <w:rPr>
          <w:bCs/>
          <w:sz w:val="28"/>
          <w:szCs w:val="28"/>
        </w:rPr>
        <w:t> punktu šādā redakcijā:</w:t>
      </w:r>
    </w:p>
    <w:p w:rsidRPr="000B24E6" w:rsidR="0051568E" w:rsidP="00732E7C" w:rsidRDefault="0051568E" w14:paraId="032D8999" w14:textId="77777777">
      <w:pPr>
        <w:pStyle w:val="Sarakstarindkopa"/>
        <w:ind w:left="0" w:firstLine="709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42DDB4F8" w14:textId="77777777">
        <w:trPr>
          <w:trHeight w:val="510"/>
        </w:trPr>
        <w:tc>
          <w:tcPr>
            <w:tcW w:w="851" w:type="dxa"/>
            <w:vMerge w:val="restart"/>
            <w:shd w:val="clear" w:color="000000" w:fill="FFFFFF"/>
            <w:hideMark/>
          </w:tcPr>
          <w:p w:rsidRPr="000B24E6" w:rsidR="00D634FF" w:rsidP="00D634FF" w:rsidRDefault="00D634FF" w14:paraId="61F25458" w14:textId="41B0354E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"26.</w:t>
            </w:r>
          </w:p>
        </w:tc>
        <w:tc>
          <w:tcPr>
            <w:tcW w:w="3260" w:type="dxa"/>
            <w:vMerge w:val="restart"/>
            <w:shd w:val="clear" w:color="000000" w:fill="FFFFFF"/>
            <w:hideMark/>
          </w:tcPr>
          <w:p w:rsidRPr="000B24E6" w:rsidR="00D634FF" w:rsidP="00D634FF" w:rsidRDefault="00D634FF" w14:paraId="289AAB2E" w14:textId="43D45E95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Administratīvo robežu karte galalietotājam un pakalpojumu sniedzējam par Latvijas Republikas teritoriju vektordatu formātā</w:t>
            </w:r>
            <w:r w:rsidRPr="008E4511" w:rsidR="008E4511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Pr="000B24E6" w:rsidR="00D634FF" w:rsidP="00D634FF" w:rsidRDefault="00D634FF" w14:paraId="50A5DD2D" w14:textId="01E208C9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(WFS)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D634FF" w:rsidP="00D634FF" w:rsidRDefault="00D634FF" w14:paraId="0622DC8C" w14:textId="27AD66A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02738822" w14:textId="4743187D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Pr="000B24E6" w:rsidR="00D634FF" w:rsidP="00D634FF" w:rsidRDefault="00D634FF" w14:paraId="253A2658" w14:textId="09F9831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D27902" w:rsidTr="00B634D4" w14:paraId="1CA51890" w14:textId="77777777">
        <w:trPr>
          <w:trHeight w:val="510"/>
        </w:trPr>
        <w:tc>
          <w:tcPr>
            <w:tcW w:w="851" w:type="dxa"/>
            <w:vMerge/>
            <w:vAlign w:val="center"/>
            <w:hideMark/>
          </w:tcPr>
          <w:p w:rsidRPr="000B24E6" w:rsidR="00D634FF" w:rsidP="00D634FF" w:rsidRDefault="00D634FF" w14:paraId="4E746503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Pr="000B24E6" w:rsidR="00D634FF" w:rsidP="00D634FF" w:rsidRDefault="00D634FF" w14:paraId="6253F28A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Pr="000B24E6" w:rsidR="00D634FF" w:rsidP="00D634FF" w:rsidRDefault="00D634FF" w14:paraId="498C78CA" w14:textId="4DF2557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</w:t>
            </w:r>
            <w:r w:rsidR="0071777D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000</w:t>
            </w:r>
            <w:r w:rsidR="00810987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(WFS)</w:t>
            </w:r>
          </w:p>
        </w:tc>
        <w:tc>
          <w:tcPr>
            <w:tcW w:w="1276" w:type="dxa"/>
            <w:shd w:val="clear" w:color="000000" w:fill="FFFFFF"/>
            <w:hideMark/>
          </w:tcPr>
          <w:p w:rsidRPr="000B24E6" w:rsidR="00D634FF" w:rsidP="00D634FF" w:rsidRDefault="00D634FF" w14:paraId="2D02C35D" w14:textId="46EC245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5E0D826D" w14:textId="2AE09CD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Pr="000B24E6" w:rsidR="00D634FF" w:rsidP="00D634FF" w:rsidRDefault="00D634FF" w14:paraId="47517FEA" w14:textId="7346C363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</w:tr>
      <w:tr w:rsidRPr="000B24E6" w:rsidR="00D27902" w:rsidTr="00B634D4" w14:paraId="6468422A" w14:textId="77777777">
        <w:trPr>
          <w:trHeight w:val="510"/>
        </w:trPr>
        <w:tc>
          <w:tcPr>
            <w:tcW w:w="851" w:type="dxa"/>
          </w:tcPr>
          <w:p w:rsidRPr="000B24E6" w:rsidR="008E4511" w:rsidP="008E4511" w:rsidRDefault="008E4511" w14:paraId="56CA2097" w14:textId="40779EF5">
            <w:pPr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Pr="000B24E6" w:rsidR="008E4511" w:rsidP="008E4511" w:rsidRDefault="008E4511" w14:paraId="2351348C" w14:textId="6BE23DE2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Administratīvo robežu karte savietojumā ar citu iestāžu ģeotelpiskajiem datiem galalietotājam un pakalpojumu sniedzējam par Latvijas Republikas teritoriju ar tīmekļa pakalpi</w:t>
            </w:r>
            <w:r w:rsidRPr="000B24E6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Pr="000B24E6" w:rsidR="008E4511" w:rsidP="008E4511" w:rsidRDefault="008E4511" w14:paraId="7D59A3B7" w14:textId="64C55A5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 w:rsidR="00810987"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(WFS)</w:t>
            </w:r>
          </w:p>
        </w:tc>
        <w:tc>
          <w:tcPr>
            <w:tcW w:w="1276" w:type="dxa"/>
            <w:shd w:val="clear" w:color="000000" w:fill="FFFFFF"/>
          </w:tcPr>
          <w:p w:rsidRPr="000B24E6" w:rsidR="008E4511" w:rsidP="008E4511" w:rsidRDefault="008E4511" w14:paraId="72EAA0E8" w14:textId="0BFBD650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8E4511" w:rsidP="008E4511" w:rsidRDefault="008E4511" w14:paraId="2E2BE72F" w14:textId="19A85A0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8E4511" w:rsidP="008E4511" w:rsidRDefault="008E4511" w14:paraId="6550B623" w14:textId="4FBE88AA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42,05"</w:t>
            </w:r>
          </w:p>
        </w:tc>
      </w:tr>
    </w:tbl>
    <w:p w:rsidRPr="000B24E6" w:rsidR="00974924" w:rsidP="00DF02D4" w:rsidRDefault="00974924" w14:paraId="3D4FF5BF" w14:textId="3E5B0462">
      <w:pPr>
        <w:pStyle w:val="Sarakstarindkopa"/>
        <w:ind w:left="0"/>
        <w:rPr>
          <w:b/>
          <w:bCs/>
        </w:rPr>
      </w:pPr>
    </w:p>
    <w:p w:rsidRPr="000B24E6" w:rsidR="007167D4" w:rsidP="00123652" w:rsidRDefault="00123652" w14:paraId="3AE1381B" w14:textId="4C876167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0B24E6" w:rsidR="007167D4">
        <w:rPr>
          <w:bCs/>
          <w:sz w:val="28"/>
          <w:szCs w:val="28"/>
        </w:rPr>
        <w:t>. Izteikt pielikuma 30. punktu šādā redakcijā:</w:t>
      </w:r>
    </w:p>
    <w:p w:rsidRPr="000B24E6" w:rsidR="007167D4" w:rsidP="00024C34" w:rsidRDefault="007167D4" w14:paraId="3655DE16" w14:textId="1735D068">
      <w:pPr>
        <w:pStyle w:val="Sarakstarindkopa"/>
        <w:ind w:left="0" w:firstLine="709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141B221C" w14:textId="77777777">
        <w:trPr>
          <w:trHeight w:val="510"/>
        </w:trPr>
        <w:tc>
          <w:tcPr>
            <w:tcW w:w="851" w:type="dxa"/>
            <w:vMerge w:val="restart"/>
            <w:shd w:val="clear" w:color="auto" w:fill="auto"/>
          </w:tcPr>
          <w:p w:rsidRPr="000B24E6" w:rsidR="0021161C" w:rsidP="0021161C" w:rsidRDefault="0021161C" w14:paraId="37ADF630" w14:textId="185C624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Pr="000B24E6" w:rsidR="0021161C" w:rsidP="0021161C" w:rsidRDefault="0021161C" w14:paraId="27CA4F5A" w14:textId="5B8DAEEF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Augstas detalizācijas topogrāfiskā informācija gala lietotājam un pakalpojumu sniedzējam par Latvijas Republikas teritoriju</w:t>
            </w:r>
            <w:r w:rsidRPr="00024C34" w:rsidR="000B24E6">
              <w:rPr>
                <w:sz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Pr="000B24E6" w:rsidR="0021161C" w:rsidP="0021161C" w:rsidRDefault="0021161C" w14:paraId="17530737" w14:textId="50C34206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</w:tcPr>
          <w:p w:rsidRPr="000B24E6" w:rsidR="0021161C" w:rsidP="0021161C" w:rsidRDefault="0021161C" w14:paraId="67488273" w14:textId="6DC8C2B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</w:tcPr>
          <w:p w:rsidRPr="000B24E6" w:rsidR="0021161C" w:rsidP="0021161C" w:rsidRDefault="0021161C" w14:paraId="63C15BD4" w14:textId="49E2947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21161C" w:rsidP="0021161C" w:rsidRDefault="0021161C" w14:paraId="0BECBCFE" w14:textId="1467474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D27902" w:rsidTr="00B634D4" w14:paraId="60B95D6D" w14:textId="77777777">
        <w:trPr>
          <w:trHeight w:val="510"/>
        </w:trPr>
        <w:tc>
          <w:tcPr>
            <w:tcW w:w="851" w:type="dxa"/>
            <w:vMerge/>
            <w:vAlign w:val="center"/>
          </w:tcPr>
          <w:p w:rsidRPr="000B24E6" w:rsidR="0021161C" w:rsidP="0021161C" w:rsidRDefault="0021161C" w14:paraId="6FF84ABC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Pr="000B24E6" w:rsidR="0021161C" w:rsidP="0021161C" w:rsidRDefault="0021161C" w14:paraId="235801D7" w14:textId="7777777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Pr="000B24E6" w:rsidR="0021161C" w:rsidP="00123652" w:rsidRDefault="0021161C" w14:paraId="024B4C2F" w14:textId="5B4A24D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 datu pieprasījumiem mēnesī</w:t>
            </w:r>
            <w:r w:rsidR="00123652">
              <w:rPr>
                <w:sz w:val="28"/>
                <w:szCs w:val="28"/>
              </w:rPr>
              <w:t xml:space="preserve"> </w:t>
            </w:r>
            <w:r w:rsidRPr="000B24E6" w:rsidR="00123652">
              <w:rPr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shd w:val="clear" w:color="000000" w:fill="FFFFFF"/>
          </w:tcPr>
          <w:p w:rsidRPr="000B24E6" w:rsidR="0021161C" w:rsidP="0021161C" w:rsidRDefault="0021161C" w14:paraId="1DB64798" w14:textId="07370D6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21161C" w:rsidP="0021161C" w:rsidRDefault="0021161C" w14:paraId="74E5659D" w14:textId="66092FDB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21161C" w:rsidP="0021161C" w:rsidRDefault="0021161C" w14:paraId="1F782F40" w14:textId="2DC240E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  <w:r w:rsidR="00123652">
              <w:rPr>
                <w:sz w:val="28"/>
                <w:szCs w:val="28"/>
              </w:rPr>
              <w:t>"</w:t>
            </w:r>
          </w:p>
        </w:tc>
      </w:tr>
    </w:tbl>
    <w:p w:rsidR="005C56FD" w:rsidP="007167D4" w:rsidRDefault="005C56FD" w14:paraId="3054039F" w14:textId="59D7AF0E">
      <w:pPr>
        <w:pStyle w:val="Sarakstarindkopa"/>
        <w:ind w:left="0"/>
        <w:rPr>
          <w:bCs/>
          <w:sz w:val="28"/>
          <w:szCs w:val="28"/>
        </w:rPr>
      </w:pPr>
    </w:p>
    <w:p w:rsidRPr="000B24E6" w:rsidR="00123652" w:rsidP="00123652" w:rsidRDefault="00123652" w14:paraId="7849479F" w14:textId="0D5B0ED4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0B24E6">
        <w:rPr>
          <w:bCs/>
          <w:sz w:val="28"/>
          <w:szCs w:val="28"/>
        </w:rPr>
        <w:t>. Izteikt pielikuma 3</w:t>
      </w:r>
      <w:r>
        <w:rPr>
          <w:bCs/>
          <w:sz w:val="28"/>
          <w:szCs w:val="28"/>
        </w:rPr>
        <w:t>1</w:t>
      </w:r>
      <w:r w:rsidRPr="000B24E6">
        <w:rPr>
          <w:bCs/>
          <w:sz w:val="28"/>
          <w:szCs w:val="28"/>
        </w:rPr>
        <w:t>. punktu šādā redakcijā:</w:t>
      </w:r>
    </w:p>
    <w:p w:rsidR="00123652" w:rsidP="007167D4" w:rsidRDefault="00123652" w14:paraId="42638B9F" w14:textId="04471C98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123652" w:rsidTr="00B634D4" w14:paraId="798005AE" w14:textId="77777777">
        <w:trPr>
          <w:trHeight w:val="300"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Pr="000B24E6" w:rsidR="00123652" w:rsidP="002023F0" w:rsidRDefault="00123652" w14:paraId="3D367A5F" w14:textId="4271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"</w:t>
            </w:r>
            <w:r w:rsidRPr="000B24E6">
              <w:rPr>
                <w:sz w:val="28"/>
                <w:szCs w:val="28"/>
              </w:rPr>
              <w:t>31.</w:t>
            </w:r>
          </w:p>
        </w:tc>
        <w:tc>
          <w:tcPr>
            <w:tcW w:w="3260" w:type="dxa"/>
            <w:vMerge w:val="restart"/>
            <w:shd w:val="clear" w:color="000000" w:fill="FFFFFF"/>
          </w:tcPr>
          <w:p w:rsidRPr="000B24E6" w:rsidR="00123652" w:rsidP="002023F0" w:rsidRDefault="00123652" w14:paraId="6E017204" w14:textId="77777777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 xml:space="preserve">Apgrūtināto teritoriju, apgrūtināto objektu un to robežu informācija </w:t>
            </w:r>
            <w:r w:rsidRPr="00810987">
              <w:rPr>
                <w:sz w:val="28"/>
                <w:szCs w:val="28"/>
              </w:rPr>
              <w:t>galalietotājam un pakalpojumu sniedzējam par Latvijas Republik</w:t>
            </w:r>
            <w:r>
              <w:rPr>
                <w:sz w:val="28"/>
                <w:szCs w:val="28"/>
              </w:rPr>
              <w:t>as teritoriju</w:t>
            </w:r>
            <w:r w:rsidRPr="00810987">
              <w:rPr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1701" w:type="dxa"/>
            <w:shd w:val="clear" w:color="000000" w:fill="FFFFFF"/>
          </w:tcPr>
          <w:p w:rsidRPr="000B24E6" w:rsidR="00123652" w:rsidP="002023F0" w:rsidRDefault="00123652" w14:paraId="487FFCB0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pieslēgumi diennaktī (WMS)</w:t>
            </w:r>
          </w:p>
        </w:tc>
        <w:tc>
          <w:tcPr>
            <w:tcW w:w="1276" w:type="dxa"/>
            <w:shd w:val="clear" w:color="000000" w:fill="FFFFFF"/>
          </w:tcPr>
          <w:p w:rsidRPr="000B24E6" w:rsidR="00123652" w:rsidP="002023F0" w:rsidRDefault="00123652" w14:paraId="710DC1E1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37D3BBB1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50D43EF4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5,70</w:t>
            </w:r>
          </w:p>
        </w:tc>
      </w:tr>
      <w:tr w:rsidRPr="000B24E6" w:rsidR="00123652" w:rsidTr="00B634D4" w14:paraId="33F292B9" w14:textId="77777777">
        <w:trPr>
          <w:trHeight w:val="300"/>
        </w:trPr>
        <w:tc>
          <w:tcPr>
            <w:tcW w:w="851" w:type="dxa"/>
            <w:vMerge/>
            <w:shd w:val="clear" w:color="000000" w:fill="FFFFFF"/>
          </w:tcPr>
          <w:p w:rsidRPr="000B24E6" w:rsidR="00123652" w:rsidP="002023F0" w:rsidRDefault="00123652" w14:paraId="3F66EBC2" w14:textId="7777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000000" w:fill="FFFFFF"/>
          </w:tcPr>
          <w:p w:rsidRPr="000B24E6" w:rsidR="00123652" w:rsidP="002023F0" w:rsidRDefault="00123652" w14:paraId="6A6F3B94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Pr="000B24E6" w:rsidR="00123652" w:rsidP="00123652" w:rsidRDefault="00123652" w14:paraId="627D9F6E" w14:textId="7FA47D8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par katriem 25 000</w:t>
            </w:r>
            <w:r>
              <w:rPr>
                <w:sz w:val="28"/>
                <w:szCs w:val="28"/>
              </w:rPr>
              <w:t> </w:t>
            </w:r>
            <w:r w:rsidRPr="000B24E6">
              <w:rPr>
                <w:sz w:val="28"/>
                <w:szCs w:val="28"/>
              </w:rPr>
              <w:t>datu pieprasījumiem mēnesī</w:t>
            </w:r>
            <w:r>
              <w:rPr>
                <w:sz w:val="28"/>
                <w:szCs w:val="28"/>
              </w:rPr>
              <w:t xml:space="preserve"> </w:t>
            </w:r>
            <w:r w:rsidRPr="000B24E6">
              <w:rPr>
                <w:sz w:val="28"/>
                <w:szCs w:val="28"/>
              </w:rPr>
              <w:t>(WMS, ArcGIS)</w:t>
            </w:r>
          </w:p>
        </w:tc>
        <w:tc>
          <w:tcPr>
            <w:tcW w:w="1276" w:type="dxa"/>
            <w:shd w:val="clear" w:color="000000" w:fill="FFFFFF"/>
          </w:tcPr>
          <w:p w:rsidRPr="000B24E6" w:rsidR="00123652" w:rsidP="002023F0" w:rsidRDefault="00123652" w14:paraId="085A319B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072DB757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123652" w:rsidP="002023F0" w:rsidRDefault="00123652" w14:paraId="7FDF48A3" w14:textId="77777777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42,05"</w:t>
            </w:r>
          </w:p>
        </w:tc>
      </w:tr>
    </w:tbl>
    <w:p w:rsidR="00123652" w:rsidP="007167D4" w:rsidRDefault="00123652" w14:paraId="39931CA6" w14:textId="5BBED0B6">
      <w:pPr>
        <w:pStyle w:val="Sarakstarindkopa"/>
        <w:ind w:left="0"/>
        <w:rPr>
          <w:bCs/>
          <w:sz w:val="28"/>
          <w:szCs w:val="28"/>
        </w:rPr>
      </w:pPr>
    </w:p>
    <w:p w:rsidR="00123652" w:rsidP="00123652" w:rsidRDefault="00123652" w14:paraId="492F870A" w14:textId="21880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35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>Cita veida Valsts zemes dienesta atzinums vai saskaņojums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>Cita veida Valsts zemes dienesta atzinums vai saskaņojums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123652" w:rsidP="00123652" w:rsidRDefault="00123652" w14:paraId="7994E4D6" w14:textId="601BD070">
      <w:pPr>
        <w:ind w:firstLine="720"/>
        <w:jc w:val="both"/>
        <w:rPr>
          <w:sz w:val="28"/>
          <w:szCs w:val="28"/>
        </w:rPr>
      </w:pPr>
    </w:p>
    <w:p w:rsidR="00123652" w:rsidP="00123652" w:rsidRDefault="00123652" w14:paraId="6C9CDB53" w14:textId="097A31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37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tekstu</w:t>
      </w:r>
      <w:r w:rsidRPr="000E474B">
        <w:rPr>
          <w:sz w:val="28"/>
          <w:szCs w:val="28"/>
        </w:rPr>
        <w:t xml:space="preserve"> "</w:t>
      </w:r>
      <w:r w:rsidRPr="00123652">
        <w:rPr>
          <w:sz w:val="28"/>
          <w:szCs w:val="28"/>
        </w:rPr>
        <w:t>Lēmums zemes reformas ietvaros</w:t>
      </w:r>
      <w:r w:rsidRPr="00123652">
        <w:rPr>
          <w:sz w:val="28"/>
          <w:szCs w:val="28"/>
          <w:vertAlign w:val="superscript"/>
        </w:rPr>
        <w:t>14</w:t>
      </w:r>
      <w:r w:rsidRPr="000E474B">
        <w:rPr>
          <w:sz w:val="28"/>
          <w:szCs w:val="28"/>
        </w:rPr>
        <w:t>" ar tekstu "</w:t>
      </w:r>
      <w:r w:rsidRPr="00123652">
        <w:rPr>
          <w:sz w:val="28"/>
          <w:szCs w:val="28"/>
        </w:rPr>
        <w:t>Lēmums zemes reformas ietvaros</w:t>
      </w:r>
      <w:r w:rsidRPr="00123652">
        <w:rPr>
          <w:sz w:val="28"/>
          <w:szCs w:val="28"/>
          <w:vertAlign w:val="superscript"/>
        </w:rPr>
        <w:t>14</w:t>
      </w:r>
      <w:r w:rsidR="00094BDC">
        <w:rPr>
          <w:sz w:val="28"/>
          <w:szCs w:val="28"/>
          <w:vertAlign w:val="superscript"/>
        </w:rPr>
        <w:t xml:space="preserve">, 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123652" w:rsidP="00123652" w:rsidRDefault="00123652" w14:paraId="26184BB4" w14:textId="0D1D0B44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14A16B1E" w14:textId="1B985D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41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Izraksta vai noraksta sagatavošana (tai skaitā caurauklošana, numurēšana un apliecināšana)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Izraksta vai noraksta sagatavošana (tai skaitā caurauklošana, numurēšana un apliecināšana)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3F4920A5" w14:textId="7376258B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73D345AD" w14:textId="2F4DA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42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Kadastrālās uzmērīšanas lietas vai tās papildu oriģināla eksemplāra sagatavošana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Kadastrālās uzmērīšanas lietas vai tās papildu oriģināla eksemplāra sagatavošana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5059FD6F" w14:textId="275C61A5">
      <w:pPr>
        <w:ind w:firstLine="720"/>
        <w:jc w:val="both"/>
        <w:rPr>
          <w:sz w:val="28"/>
          <w:szCs w:val="28"/>
        </w:rPr>
      </w:pPr>
    </w:p>
    <w:p w:rsidR="00094BDC" w:rsidP="00094BDC" w:rsidRDefault="00094BDC" w14:paraId="089F4BE5" w14:textId="61AD5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43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Informācija par vienu pieprasījuma objektu no informācijas sistēmām un arhīva dokumentiem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Informācija par vienu pieprasījuma objektu no informācijas sistēmām un arhīva dokumentiem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1E1AB403" w14:textId="77777777">
      <w:pPr>
        <w:ind w:firstLine="720"/>
        <w:jc w:val="both"/>
        <w:rPr>
          <w:sz w:val="28"/>
          <w:szCs w:val="28"/>
        </w:rPr>
      </w:pPr>
    </w:p>
    <w:p w:rsidRPr="000B24E6" w:rsidR="00FB4401" w:rsidP="00094BDC" w:rsidRDefault="00094BDC" w14:paraId="1213C882" w14:textId="654695B7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0B24E6" w:rsidR="00FB4401">
        <w:rPr>
          <w:bCs/>
          <w:sz w:val="28"/>
          <w:szCs w:val="28"/>
        </w:rPr>
        <w:t>. Izteikt pielikuma 44. punktu šādā redakcijā:</w:t>
      </w:r>
    </w:p>
    <w:p w:rsidRPr="000B24E6" w:rsidR="0021161C" w:rsidP="00810987" w:rsidRDefault="0021161C" w14:paraId="6282E898" w14:textId="77777777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40C7CD29" w14:textId="77777777">
        <w:trPr>
          <w:trHeight w:val="440"/>
        </w:trPr>
        <w:tc>
          <w:tcPr>
            <w:tcW w:w="851" w:type="dxa"/>
            <w:vMerge w:val="restart"/>
            <w:shd w:val="clear" w:color="auto" w:fill="auto"/>
            <w:hideMark/>
          </w:tcPr>
          <w:p w:rsidRPr="000B24E6" w:rsidR="008A10F4" w:rsidP="008A10F4" w:rsidRDefault="00BD76AB" w14:paraId="5044D0D6" w14:textId="209DEAD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"</w:t>
            </w:r>
            <w:r w:rsidRPr="000B24E6" w:rsidR="008A10F4"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Pr="000B24E6" w:rsidR="008A10F4" w:rsidP="008A10F4" w:rsidRDefault="008A10F4" w14:paraId="7B0C792E" w14:textId="75EBEAD8">
            <w:pPr>
              <w:jc w:val="both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Arhīva vai cita dokumenta kopijas sagatavošana un izsniegšana</w:t>
            </w:r>
            <w:r w:rsidRPr="000B24E6">
              <w:rPr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Pr="000B24E6" w:rsidR="008A10F4" w:rsidP="008A10F4" w:rsidRDefault="008A10F4" w14:paraId="2891D8F1" w14:textId="45F89E7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viens dokuments</w:t>
            </w:r>
          </w:p>
        </w:tc>
        <w:tc>
          <w:tcPr>
            <w:tcW w:w="1276" w:type="dxa"/>
            <w:shd w:val="clear" w:color="000000" w:fill="FFFFFF"/>
          </w:tcPr>
          <w:p w:rsidRPr="000B24E6" w:rsidR="008A10F4" w:rsidP="008A10F4" w:rsidRDefault="008A10F4" w14:paraId="7E3C5982" w14:textId="6DE4D4B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shd w:val="clear" w:color="000000" w:fill="FFFFFF"/>
          </w:tcPr>
          <w:p w:rsidRPr="000B24E6" w:rsidR="008A10F4" w:rsidP="008A10F4" w:rsidRDefault="008A10F4" w14:paraId="6C42C6C3" w14:textId="7EC21A6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8A10F4" w:rsidP="008A10F4" w:rsidRDefault="008A10F4" w14:paraId="58D00E77" w14:textId="777B765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3,00</w:t>
            </w:r>
          </w:p>
        </w:tc>
      </w:tr>
      <w:tr w:rsidRPr="000B24E6" w:rsidR="00D27902" w:rsidTr="00B634D4" w14:paraId="65C0D993" w14:textId="77777777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Pr="000B24E6" w:rsidR="008A10F4" w:rsidP="008A10F4" w:rsidRDefault="008A10F4" w14:paraId="4C16873E" w14:textId="777777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Pr="000B24E6" w:rsidR="008A10F4" w:rsidP="008A10F4" w:rsidRDefault="008A10F4" w14:paraId="174F3E33" w14:textId="777777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Pr="000B24E6" w:rsidR="008A10F4" w:rsidP="008A10F4" w:rsidRDefault="008A10F4" w14:paraId="5611FAD9" w14:textId="1F91DA5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viena lieta</w:t>
            </w:r>
          </w:p>
        </w:tc>
        <w:tc>
          <w:tcPr>
            <w:tcW w:w="1276" w:type="dxa"/>
            <w:shd w:val="clear" w:color="000000" w:fill="FFFFFF"/>
          </w:tcPr>
          <w:p w:rsidRPr="000B24E6" w:rsidR="008A10F4" w:rsidP="008A10F4" w:rsidRDefault="008A10F4" w14:paraId="0AD14C40" w14:textId="397226FA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shd w:val="clear" w:color="000000" w:fill="FFFFFF"/>
          </w:tcPr>
          <w:p w:rsidRPr="000B24E6" w:rsidR="008A10F4" w:rsidP="008A10F4" w:rsidRDefault="008A10F4" w14:paraId="1A66D891" w14:textId="6B4E29D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Pr="000B24E6" w:rsidR="008A10F4" w:rsidP="008A10F4" w:rsidRDefault="008A10F4" w14:paraId="768EF7AF" w14:textId="2CB26F4C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15,00</w:t>
            </w:r>
            <w:r w:rsidRPr="000B24E6" w:rsidR="00BD76AB">
              <w:rPr>
                <w:sz w:val="28"/>
                <w:szCs w:val="28"/>
              </w:rPr>
              <w:t>"</w:t>
            </w:r>
          </w:p>
        </w:tc>
      </w:tr>
    </w:tbl>
    <w:p w:rsidR="0021161C" w:rsidP="007167D4" w:rsidRDefault="0021161C" w14:paraId="479E038F" w14:textId="441F2630">
      <w:pPr>
        <w:pStyle w:val="Sarakstarindkopa"/>
        <w:ind w:left="0"/>
        <w:rPr>
          <w:bCs/>
          <w:sz w:val="28"/>
          <w:szCs w:val="28"/>
        </w:rPr>
      </w:pPr>
    </w:p>
    <w:p w:rsidR="00094BDC" w:rsidP="00094BDC" w:rsidRDefault="00094BDC" w14:paraId="6784984A" w14:textId="7954A2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0E474B">
        <w:rPr>
          <w:sz w:val="28"/>
          <w:szCs w:val="28"/>
        </w:rPr>
        <w:t xml:space="preserve">Aizstāt pielikuma </w:t>
      </w:r>
      <w:r>
        <w:rPr>
          <w:sz w:val="28"/>
          <w:szCs w:val="28"/>
        </w:rPr>
        <w:t>45</w:t>
      </w:r>
      <w:r w:rsidRPr="000E474B">
        <w:rPr>
          <w:sz w:val="28"/>
          <w:szCs w:val="28"/>
        </w:rPr>
        <w:t xml:space="preserve">. punktā </w:t>
      </w:r>
      <w:r>
        <w:rPr>
          <w:sz w:val="28"/>
          <w:szCs w:val="28"/>
        </w:rPr>
        <w:t>vārdus</w:t>
      </w:r>
      <w:r w:rsidRPr="000E474B">
        <w:rPr>
          <w:sz w:val="28"/>
          <w:szCs w:val="28"/>
        </w:rPr>
        <w:t xml:space="preserve"> "</w:t>
      </w:r>
      <w:r w:rsidRPr="00094BDC">
        <w:rPr>
          <w:sz w:val="28"/>
          <w:szCs w:val="28"/>
        </w:rPr>
        <w:t>Zemes robežu vai apvienotā zemes robežu, situācijas un apgrūtinājuma plāna sagatavošana no arhīva dokumentiem</w:t>
      </w:r>
      <w:r w:rsidRPr="000E474B">
        <w:rPr>
          <w:sz w:val="28"/>
          <w:szCs w:val="28"/>
        </w:rPr>
        <w:t>" ar tekstu "</w:t>
      </w:r>
      <w:r w:rsidRPr="00094BDC">
        <w:rPr>
          <w:sz w:val="28"/>
          <w:szCs w:val="28"/>
        </w:rPr>
        <w:t>Zemes robežu vai apvienotā zemes robežu, situācijas un apgrūtinājuma plāna sagatavošana no arhīva dokumentiem</w:t>
      </w:r>
      <w:r w:rsidRPr="00123652">
        <w:rPr>
          <w:sz w:val="28"/>
          <w:szCs w:val="28"/>
          <w:vertAlign w:val="superscript"/>
        </w:rPr>
        <w:t>19</w:t>
      </w:r>
      <w:r w:rsidRPr="000E474B">
        <w:rPr>
          <w:sz w:val="28"/>
          <w:szCs w:val="28"/>
        </w:rPr>
        <w:t>".</w:t>
      </w:r>
    </w:p>
    <w:p w:rsidR="00094BDC" w:rsidP="00094BDC" w:rsidRDefault="00094BDC" w14:paraId="7A08C9EA" w14:textId="3E3704FA">
      <w:pPr>
        <w:pStyle w:val="Sarakstarindkopa"/>
        <w:ind w:left="0" w:firstLine="720"/>
        <w:rPr>
          <w:bCs/>
          <w:sz w:val="28"/>
          <w:szCs w:val="28"/>
        </w:rPr>
      </w:pPr>
    </w:p>
    <w:p w:rsidRPr="000B24E6" w:rsidR="008A10F4" w:rsidP="00094BDC" w:rsidRDefault="00094BDC" w14:paraId="13606AFD" w14:textId="5B09131E">
      <w:pPr>
        <w:pStyle w:val="Sarakstarindkopa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10987">
        <w:rPr>
          <w:bCs/>
          <w:sz w:val="28"/>
          <w:szCs w:val="28"/>
        </w:rPr>
        <w:t>8</w:t>
      </w:r>
      <w:r w:rsidRPr="000B24E6" w:rsidR="00D027FA">
        <w:rPr>
          <w:bCs/>
          <w:sz w:val="28"/>
          <w:szCs w:val="28"/>
        </w:rPr>
        <w:t>. Papildināt pielikum</w:t>
      </w:r>
      <w:r w:rsidRPr="000B24E6" w:rsidR="00234FE4">
        <w:rPr>
          <w:bCs/>
          <w:sz w:val="28"/>
          <w:szCs w:val="28"/>
        </w:rPr>
        <w:t>u</w:t>
      </w:r>
      <w:r w:rsidRPr="000B24E6" w:rsidR="00D027FA">
        <w:rPr>
          <w:bCs/>
          <w:sz w:val="28"/>
          <w:szCs w:val="28"/>
        </w:rPr>
        <w:t xml:space="preserve"> </w:t>
      </w:r>
      <w:r w:rsidRPr="000B24E6" w:rsidR="00234FE4">
        <w:rPr>
          <w:bCs/>
          <w:sz w:val="28"/>
          <w:szCs w:val="28"/>
        </w:rPr>
        <w:t>ar</w:t>
      </w:r>
      <w:r w:rsidRPr="000B24E6" w:rsidR="00D027FA">
        <w:rPr>
          <w:bCs/>
          <w:sz w:val="28"/>
          <w:szCs w:val="28"/>
        </w:rPr>
        <w:t xml:space="preserve"> 50.5. un 50.6. apakšpunktu šādā redakcijā:</w:t>
      </w:r>
    </w:p>
    <w:p w:rsidRPr="000B24E6" w:rsidR="00D027FA" w:rsidP="00810987" w:rsidRDefault="00D027FA" w14:paraId="0B800BE9" w14:textId="050F64A4">
      <w:pPr>
        <w:pStyle w:val="Sarakstarindkopa"/>
        <w:ind w:left="0"/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276"/>
        <w:gridCol w:w="992"/>
        <w:gridCol w:w="992"/>
      </w:tblGrid>
      <w:tr w:rsidRPr="000B24E6" w:rsidR="00D27902" w:rsidTr="00B634D4" w14:paraId="6F94A43B" w14:textId="77777777">
        <w:trPr>
          <w:trHeight w:val="615"/>
        </w:trPr>
        <w:tc>
          <w:tcPr>
            <w:tcW w:w="851" w:type="dxa"/>
            <w:shd w:val="clear" w:color="000000" w:fill="FFFFFF"/>
            <w:hideMark/>
          </w:tcPr>
          <w:p w:rsidRPr="000B24E6" w:rsidR="00723FF0" w:rsidP="00723FF0" w:rsidRDefault="00723FF0" w14:paraId="644EDB7F" w14:textId="34A2CBDF">
            <w:pPr>
              <w:jc w:val="right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lastRenderedPageBreak/>
              <w:t>"50.5.</w:t>
            </w:r>
          </w:p>
        </w:tc>
        <w:tc>
          <w:tcPr>
            <w:tcW w:w="3260" w:type="dxa"/>
            <w:shd w:val="clear" w:color="000000" w:fill="FFFFFF"/>
          </w:tcPr>
          <w:p w:rsidRPr="000B24E6" w:rsidR="00723FF0" w:rsidP="00723FF0" w:rsidRDefault="009740EA" w14:paraId="40477373" w14:textId="3ED99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B24E6" w:rsidR="00723FF0">
              <w:rPr>
                <w:sz w:val="28"/>
                <w:szCs w:val="28"/>
              </w:rPr>
              <w:t>nformācijas izsniegšana papīra formā, ja dokumenta apjoms pārsniedz 10</w:t>
            </w:r>
            <w:r w:rsidR="00A1383F">
              <w:rPr>
                <w:sz w:val="28"/>
                <w:szCs w:val="28"/>
              </w:rPr>
              <w:t> </w:t>
            </w:r>
            <w:r w:rsidRPr="000B24E6" w:rsidR="00723FF0">
              <w:rPr>
                <w:sz w:val="28"/>
                <w:szCs w:val="28"/>
              </w:rPr>
              <w:t>lapas</w:t>
            </w:r>
          </w:p>
        </w:tc>
        <w:tc>
          <w:tcPr>
            <w:tcW w:w="1701" w:type="dxa"/>
            <w:shd w:val="clear" w:color="000000" w:fill="FFFFFF"/>
          </w:tcPr>
          <w:p w:rsidRPr="000B24E6" w:rsidR="00723FF0" w:rsidP="00723FF0" w:rsidRDefault="009740EA" w14:paraId="1024D43A" w14:textId="3BF0A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B24E6" w:rsidR="00723FF0">
              <w:rPr>
                <w:sz w:val="28"/>
                <w:szCs w:val="28"/>
              </w:rPr>
              <w:t>ar katrām 10 lapām</w:t>
            </w:r>
          </w:p>
        </w:tc>
        <w:tc>
          <w:tcPr>
            <w:tcW w:w="1276" w:type="dxa"/>
            <w:shd w:val="clear" w:color="000000" w:fill="FFFFFF"/>
          </w:tcPr>
          <w:p w:rsidRPr="000B24E6" w:rsidR="00723FF0" w:rsidP="00723FF0" w:rsidRDefault="00723FF0" w14:paraId="6FEE798D" w14:textId="05037038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1,55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2ABA172D" w14:textId="6FF4C6C5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4017E40D" w14:textId="1C7A56C6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1,55</w:t>
            </w:r>
          </w:p>
        </w:tc>
      </w:tr>
      <w:tr w:rsidRPr="000B24E6" w:rsidR="00D27902" w:rsidTr="00B634D4" w14:paraId="5D14255B" w14:textId="77777777">
        <w:trPr>
          <w:trHeight w:val="648"/>
        </w:trPr>
        <w:tc>
          <w:tcPr>
            <w:tcW w:w="851" w:type="dxa"/>
            <w:shd w:val="clear" w:color="000000" w:fill="FFFFFF"/>
            <w:hideMark/>
          </w:tcPr>
          <w:p w:rsidRPr="000B24E6" w:rsidR="00723FF0" w:rsidP="00723FF0" w:rsidRDefault="00723FF0" w14:paraId="346D5FA6" w14:textId="4C3C5542">
            <w:pPr>
              <w:jc w:val="right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50.6.</w:t>
            </w:r>
          </w:p>
        </w:tc>
        <w:tc>
          <w:tcPr>
            <w:tcW w:w="3260" w:type="dxa"/>
            <w:shd w:val="clear" w:color="000000" w:fill="FFFFFF"/>
          </w:tcPr>
          <w:p w:rsidRPr="000B24E6" w:rsidR="00723FF0" w:rsidP="00723FF0" w:rsidRDefault="00A065E0" w14:paraId="62FB32A7" w14:textId="1A0B0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0B24E6">
              <w:rPr>
                <w:sz w:val="28"/>
                <w:szCs w:val="28"/>
              </w:rPr>
              <w:t xml:space="preserve">nformācijas </w:t>
            </w:r>
            <w:r w:rsidRPr="000B24E6" w:rsidR="00723FF0">
              <w:rPr>
                <w:sz w:val="28"/>
                <w:szCs w:val="28"/>
              </w:rPr>
              <w:t>izsniegšana lielformāta (A0, A1, A2) papīra formā</w:t>
            </w:r>
          </w:p>
        </w:tc>
        <w:tc>
          <w:tcPr>
            <w:tcW w:w="1701" w:type="dxa"/>
            <w:shd w:val="clear" w:color="000000" w:fill="FFFFFF"/>
          </w:tcPr>
          <w:p w:rsidRPr="000B24E6" w:rsidR="00723FF0" w:rsidP="00723FF0" w:rsidRDefault="009740EA" w14:paraId="59D31838" w14:textId="34189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0B24E6" w:rsidR="00723FF0">
              <w:rPr>
                <w:sz w:val="28"/>
                <w:szCs w:val="28"/>
              </w:rPr>
              <w:t>iena lapa</w:t>
            </w:r>
          </w:p>
        </w:tc>
        <w:tc>
          <w:tcPr>
            <w:tcW w:w="1276" w:type="dxa"/>
            <w:shd w:val="clear" w:color="000000" w:fill="FFFFFF"/>
          </w:tcPr>
          <w:p w:rsidRPr="000B24E6" w:rsidR="00723FF0" w:rsidP="00723FF0" w:rsidRDefault="00723FF0" w14:paraId="1254F73C" w14:textId="0F8E2083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8,</w:t>
            </w:r>
            <w:r w:rsidRPr="000B24E6" w:rsidR="00892669">
              <w:rPr>
                <w:sz w:val="28"/>
                <w:szCs w:val="28"/>
              </w:rPr>
              <w:t>5</w:t>
            </w:r>
            <w:r w:rsidRPr="000B24E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609D78EF" w14:textId="25199AC4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Pr="000B24E6" w:rsidR="00723FF0" w:rsidP="00723FF0" w:rsidRDefault="00723FF0" w14:paraId="14355540" w14:textId="5A8207F2">
            <w:pPr>
              <w:jc w:val="center"/>
              <w:rPr>
                <w:sz w:val="28"/>
                <w:szCs w:val="28"/>
              </w:rPr>
            </w:pPr>
            <w:r w:rsidRPr="000B24E6">
              <w:rPr>
                <w:sz w:val="28"/>
                <w:szCs w:val="28"/>
              </w:rPr>
              <w:t>8,</w:t>
            </w:r>
            <w:r w:rsidRPr="000B24E6" w:rsidR="00892669">
              <w:rPr>
                <w:sz w:val="28"/>
                <w:szCs w:val="28"/>
              </w:rPr>
              <w:t>5</w:t>
            </w:r>
            <w:r w:rsidRPr="000B24E6">
              <w:rPr>
                <w:sz w:val="28"/>
                <w:szCs w:val="28"/>
              </w:rPr>
              <w:t>5"</w:t>
            </w:r>
          </w:p>
        </w:tc>
      </w:tr>
    </w:tbl>
    <w:p w:rsidR="00874415" w:rsidP="00024C34" w:rsidRDefault="00874415" w14:paraId="34201A7A" w14:textId="6144DDF2">
      <w:pPr>
        <w:pStyle w:val="Sarakstarindkopa"/>
        <w:ind w:left="1080"/>
        <w:jc w:val="both"/>
        <w:rPr>
          <w:sz w:val="28"/>
          <w:szCs w:val="28"/>
        </w:rPr>
      </w:pPr>
    </w:p>
    <w:p w:rsidR="00094BDC" w:rsidP="008C65CF" w:rsidRDefault="00094BDC" w14:paraId="0817BF59" w14:textId="54D38A6D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Aizstāt</w:t>
      </w:r>
      <w:r w:rsidRPr="000B24E6">
        <w:rPr>
          <w:sz w:val="28"/>
          <w:szCs w:val="28"/>
        </w:rPr>
        <w:t xml:space="preserve"> pielikuma 14. piezīm</w:t>
      </w:r>
      <w:r>
        <w:rPr>
          <w:sz w:val="28"/>
          <w:szCs w:val="28"/>
        </w:rPr>
        <w:t>ē</w:t>
      </w:r>
      <w:r w:rsidRPr="000B24E6">
        <w:rPr>
          <w:sz w:val="28"/>
          <w:szCs w:val="28"/>
        </w:rPr>
        <w:t xml:space="preserve"> vārd</w:t>
      </w:r>
      <w:r>
        <w:rPr>
          <w:sz w:val="28"/>
          <w:szCs w:val="28"/>
        </w:rPr>
        <w:t>us</w:t>
      </w:r>
      <w:r w:rsidRPr="000B24E6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(lauku </w:t>
      </w:r>
      <w:r w:rsidRPr="000B24E6">
        <w:rPr>
          <w:sz w:val="28"/>
          <w:szCs w:val="28"/>
        </w:rPr>
        <w:t>teritorijā</w:t>
      </w:r>
      <w:r>
        <w:rPr>
          <w:sz w:val="28"/>
          <w:szCs w:val="28"/>
        </w:rPr>
        <w:t>s)</w:t>
      </w:r>
      <w:r w:rsidRPr="000B24E6">
        <w:rPr>
          <w:sz w:val="28"/>
          <w:szCs w:val="28"/>
        </w:rPr>
        <w:t>" ar vārdiem</w:t>
      </w:r>
      <w:r>
        <w:rPr>
          <w:sz w:val="28"/>
          <w:szCs w:val="28"/>
        </w:rPr>
        <w:t xml:space="preserve"> un skaitli</w:t>
      </w:r>
      <w:r w:rsidRPr="000B24E6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(lauku teritorijās, </w:t>
      </w:r>
      <w:r w:rsidRPr="000B24E6">
        <w:rPr>
          <w:sz w:val="28"/>
          <w:szCs w:val="28"/>
        </w:rPr>
        <w:t>izņemot likuma "Par zemes reformas pabeigšanu lauku apvidos" 16. panta otrās daļas noteiktajos gadījumos</w:t>
      </w:r>
      <w:r>
        <w:rPr>
          <w:sz w:val="28"/>
          <w:szCs w:val="28"/>
        </w:rPr>
        <w:t>)</w:t>
      </w:r>
      <w:r w:rsidRPr="00BD76A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94BDC" w:rsidP="008C65CF" w:rsidRDefault="00094BDC" w14:paraId="378A713F" w14:textId="77777777">
      <w:pPr>
        <w:pStyle w:val="Sarakstarindkopa"/>
        <w:ind w:left="0" w:firstLine="720"/>
        <w:jc w:val="both"/>
        <w:rPr>
          <w:sz w:val="28"/>
          <w:szCs w:val="28"/>
        </w:rPr>
      </w:pPr>
    </w:p>
    <w:p w:rsidR="00094BDC" w:rsidP="008C65CF" w:rsidRDefault="006E4177" w14:paraId="3F8328A2" w14:textId="52725149">
      <w:pPr>
        <w:pStyle w:val="Sarakstarindkop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B24E6" w:rsidR="00BC0209">
        <w:rPr>
          <w:sz w:val="28"/>
          <w:szCs w:val="28"/>
        </w:rPr>
        <w:t>. </w:t>
      </w:r>
      <w:r w:rsidRPr="000B24E6" w:rsidR="005B1158">
        <w:rPr>
          <w:sz w:val="28"/>
          <w:szCs w:val="28"/>
        </w:rPr>
        <w:t xml:space="preserve">Papildināt </w:t>
      </w:r>
      <w:r w:rsidRPr="000B24E6" w:rsidR="00BC0209">
        <w:rPr>
          <w:sz w:val="28"/>
          <w:szCs w:val="28"/>
        </w:rPr>
        <w:t>p</w:t>
      </w:r>
      <w:r w:rsidRPr="000B24E6" w:rsidR="005B1158">
        <w:rPr>
          <w:sz w:val="28"/>
          <w:szCs w:val="28"/>
        </w:rPr>
        <w:t>ielikumu ar 18. un 19.</w:t>
      </w:r>
      <w:r w:rsidRPr="000B24E6" w:rsidR="00BC0209">
        <w:rPr>
          <w:sz w:val="28"/>
          <w:szCs w:val="28"/>
        </w:rPr>
        <w:t xml:space="preserve"> piezīmi </w:t>
      </w:r>
      <w:r w:rsidRPr="000B24E6" w:rsidR="005B1158">
        <w:rPr>
          <w:sz w:val="28"/>
          <w:szCs w:val="28"/>
        </w:rPr>
        <w:t>šādā redakcijā:</w:t>
      </w:r>
    </w:p>
    <w:p w:rsidR="00DF3BB7" w:rsidP="00094BDC" w:rsidRDefault="00BC0209" w14:paraId="4033C7BE" w14:textId="321363ED">
      <w:pPr>
        <w:pStyle w:val="Sarakstarindkopa"/>
        <w:ind w:left="0"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>"</w:t>
      </w:r>
      <w:r w:rsidRPr="000B24E6" w:rsidR="005B1158">
        <w:rPr>
          <w:sz w:val="28"/>
          <w:szCs w:val="28"/>
        </w:rPr>
        <w:t>18.</w:t>
      </w:r>
      <w:r w:rsidRPr="000B24E6">
        <w:rPr>
          <w:sz w:val="28"/>
          <w:szCs w:val="28"/>
        </w:rPr>
        <w:t> </w:t>
      </w:r>
      <w:r w:rsidR="00652285">
        <w:rPr>
          <w:sz w:val="28"/>
          <w:szCs w:val="28"/>
        </w:rPr>
        <w:t>C</w:t>
      </w:r>
      <w:r w:rsidRPr="000B24E6" w:rsidR="00652285">
        <w:rPr>
          <w:sz w:val="28"/>
          <w:szCs w:val="28"/>
        </w:rPr>
        <w:t>enu piemēro par katriem 25 000 datu pieprasījumiem</w:t>
      </w:r>
      <w:r w:rsidR="00652285">
        <w:rPr>
          <w:sz w:val="28"/>
          <w:szCs w:val="28"/>
        </w:rPr>
        <w:t xml:space="preserve"> </w:t>
      </w:r>
      <w:r w:rsidR="00094BDC">
        <w:rPr>
          <w:sz w:val="28"/>
          <w:szCs w:val="28"/>
        </w:rPr>
        <w:t xml:space="preserve">kalendārajā </w:t>
      </w:r>
      <w:r w:rsidRPr="000B24E6" w:rsidR="005B1158">
        <w:rPr>
          <w:sz w:val="28"/>
          <w:szCs w:val="28"/>
        </w:rPr>
        <w:t>mēnes</w:t>
      </w:r>
      <w:r w:rsidR="00440FCC">
        <w:rPr>
          <w:sz w:val="28"/>
          <w:szCs w:val="28"/>
        </w:rPr>
        <w:t>ī</w:t>
      </w:r>
      <w:r w:rsidR="00652285">
        <w:rPr>
          <w:sz w:val="28"/>
          <w:szCs w:val="28"/>
        </w:rPr>
        <w:t xml:space="preserve"> līdz 1 000 000 datu pieprasījum</w:t>
      </w:r>
      <w:r w:rsidR="00DF3BB7">
        <w:rPr>
          <w:sz w:val="28"/>
          <w:szCs w:val="28"/>
        </w:rPr>
        <w:t>u kalendārajā</w:t>
      </w:r>
      <w:r w:rsidR="00652285">
        <w:rPr>
          <w:sz w:val="28"/>
          <w:szCs w:val="28"/>
        </w:rPr>
        <w:t xml:space="preserve"> mēnesī</w:t>
      </w:r>
      <w:r w:rsidR="00094BDC">
        <w:rPr>
          <w:sz w:val="28"/>
          <w:szCs w:val="28"/>
        </w:rPr>
        <w:t xml:space="preserve">. </w:t>
      </w:r>
      <w:r w:rsidRPr="00DF3BB7" w:rsidR="00DF3BB7">
        <w:rPr>
          <w:sz w:val="28"/>
          <w:szCs w:val="28"/>
        </w:rPr>
        <w:t>Pārsniedzot 1</w:t>
      </w:r>
      <w:r w:rsidR="00DF3BB7">
        <w:rPr>
          <w:sz w:val="28"/>
          <w:szCs w:val="28"/>
        </w:rPr>
        <w:t> </w:t>
      </w:r>
      <w:r w:rsidRPr="00DF3BB7" w:rsidR="00DF3BB7">
        <w:rPr>
          <w:sz w:val="28"/>
          <w:szCs w:val="28"/>
        </w:rPr>
        <w:t>000</w:t>
      </w:r>
      <w:r w:rsidR="00DF3BB7">
        <w:rPr>
          <w:sz w:val="28"/>
          <w:szCs w:val="28"/>
        </w:rPr>
        <w:t> </w:t>
      </w:r>
      <w:r w:rsidRPr="00DF3BB7" w:rsidR="00DF3BB7">
        <w:rPr>
          <w:sz w:val="28"/>
          <w:szCs w:val="28"/>
        </w:rPr>
        <w:t>000</w:t>
      </w:r>
      <w:r w:rsidR="00DF3BB7">
        <w:rPr>
          <w:sz w:val="28"/>
          <w:szCs w:val="28"/>
        </w:rPr>
        <w:t> </w:t>
      </w:r>
      <w:r w:rsidRPr="00DF3BB7" w:rsidR="00DF3BB7">
        <w:rPr>
          <w:sz w:val="28"/>
          <w:szCs w:val="28"/>
        </w:rPr>
        <w:t xml:space="preserve">datu pieprasījumu </w:t>
      </w:r>
      <w:r w:rsidR="00906295">
        <w:rPr>
          <w:sz w:val="28"/>
          <w:szCs w:val="28"/>
        </w:rPr>
        <w:t xml:space="preserve">kalendārajā </w:t>
      </w:r>
      <w:r w:rsidRPr="00DF3BB7" w:rsidR="00DF3BB7">
        <w:rPr>
          <w:sz w:val="28"/>
          <w:szCs w:val="28"/>
        </w:rPr>
        <w:t>mēnesī</w:t>
      </w:r>
      <w:r w:rsidR="00906295">
        <w:rPr>
          <w:sz w:val="28"/>
          <w:szCs w:val="28"/>
        </w:rPr>
        <w:t>,</w:t>
      </w:r>
      <w:r w:rsidRPr="00DF3BB7" w:rsidR="00DF3BB7">
        <w:rPr>
          <w:sz w:val="28"/>
          <w:szCs w:val="28"/>
        </w:rPr>
        <w:t xml:space="preserve"> cena par </w:t>
      </w:r>
      <w:r w:rsidR="00906295">
        <w:rPr>
          <w:sz w:val="28"/>
          <w:szCs w:val="28"/>
        </w:rPr>
        <w:t xml:space="preserve">turpmākiem </w:t>
      </w:r>
      <w:r w:rsidRPr="00DF3BB7" w:rsidR="00DF3BB7">
        <w:rPr>
          <w:sz w:val="28"/>
          <w:szCs w:val="28"/>
        </w:rPr>
        <w:t xml:space="preserve">datu pieprasījumiem </w:t>
      </w:r>
      <w:r w:rsidR="00906295">
        <w:rPr>
          <w:sz w:val="28"/>
          <w:szCs w:val="28"/>
        </w:rPr>
        <w:t xml:space="preserve">šajā kalendārajā mēnesī </w:t>
      </w:r>
      <w:r w:rsidRPr="00DF3BB7" w:rsidR="00DF3BB7">
        <w:rPr>
          <w:sz w:val="28"/>
          <w:szCs w:val="28"/>
        </w:rPr>
        <w:t>netiek piemērota.</w:t>
      </w:r>
      <w:r w:rsidR="00DF3BB7">
        <w:rPr>
          <w:sz w:val="28"/>
          <w:szCs w:val="28"/>
        </w:rPr>
        <w:t xml:space="preserve"> </w:t>
      </w:r>
      <w:r w:rsidR="00094BDC">
        <w:rPr>
          <w:sz w:val="28"/>
          <w:szCs w:val="28"/>
        </w:rPr>
        <w:t>P</w:t>
      </w:r>
      <w:r w:rsidRPr="000B24E6" w:rsidR="005B1158">
        <w:rPr>
          <w:sz w:val="28"/>
          <w:szCs w:val="28"/>
        </w:rPr>
        <w:t xml:space="preserve">ieprasījumu skaits ir viens nedalāms kopums. </w:t>
      </w:r>
      <w:r w:rsidRPr="005B1158" w:rsidR="005B1158">
        <w:rPr>
          <w:sz w:val="28"/>
          <w:szCs w:val="28"/>
        </w:rPr>
        <w:t>Maks</w:t>
      </w:r>
      <w:r w:rsidR="00F03ABF">
        <w:rPr>
          <w:sz w:val="28"/>
          <w:szCs w:val="28"/>
        </w:rPr>
        <w:t>u</w:t>
      </w:r>
      <w:r w:rsidRPr="000B24E6" w:rsidR="005B1158">
        <w:rPr>
          <w:sz w:val="28"/>
          <w:szCs w:val="28"/>
        </w:rPr>
        <w:t xml:space="preserve"> par </w:t>
      </w:r>
      <w:r w:rsidR="00DF3BB7">
        <w:rPr>
          <w:sz w:val="28"/>
          <w:szCs w:val="28"/>
        </w:rPr>
        <w:t xml:space="preserve">kalendāro </w:t>
      </w:r>
      <w:r w:rsidRPr="000B24E6" w:rsidR="005B1158">
        <w:rPr>
          <w:sz w:val="28"/>
          <w:szCs w:val="28"/>
        </w:rPr>
        <w:t xml:space="preserve">mēnesi, kurā tiek pārtrauktas līgumsaistības, </w:t>
      </w:r>
      <w:r w:rsidRPr="005B1158" w:rsidR="005B1158">
        <w:rPr>
          <w:sz w:val="28"/>
          <w:szCs w:val="28"/>
        </w:rPr>
        <w:t>aprēķin</w:t>
      </w:r>
      <w:r w:rsidR="00F03ABF">
        <w:rPr>
          <w:sz w:val="28"/>
          <w:szCs w:val="28"/>
        </w:rPr>
        <w:t>a</w:t>
      </w:r>
      <w:r w:rsidRPr="000B24E6" w:rsidR="005B1158">
        <w:rPr>
          <w:sz w:val="28"/>
          <w:szCs w:val="28"/>
        </w:rPr>
        <w:t xml:space="preserve"> </w:t>
      </w:r>
      <w:r w:rsidR="00906295">
        <w:rPr>
          <w:sz w:val="28"/>
          <w:szCs w:val="28"/>
        </w:rPr>
        <w:t>šajā piezīmē noteiktajā kārtībā, proporcionāli nesamazinot maksu."</w:t>
      </w:r>
    </w:p>
    <w:p w:rsidR="00DF3BB7" w:rsidP="00094BDC" w:rsidRDefault="00DF3BB7" w14:paraId="36763E64" w14:textId="77777777">
      <w:pPr>
        <w:pStyle w:val="Sarakstarindkopa"/>
        <w:ind w:left="0" w:firstLine="720"/>
        <w:jc w:val="both"/>
        <w:rPr>
          <w:sz w:val="28"/>
          <w:szCs w:val="28"/>
        </w:rPr>
      </w:pPr>
    </w:p>
    <w:p w:rsidRPr="000B24E6" w:rsidR="005B1158" w:rsidP="00094BDC" w:rsidRDefault="005B1158" w14:paraId="0A6031D5" w14:textId="5910A54E">
      <w:pPr>
        <w:pStyle w:val="Sarakstarindkopa"/>
        <w:ind w:left="0" w:firstLine="720"/>
        <w:jc w:val="both"/>
        <w:rPr>
          <w:sz w:val="28"/>
          <w:szCs w:val="28"/>
        </w:rPr>
      </w:pPr>
      <w:r w:rsidRPr="000B24E6">
        <w:rPr>
          <w:sz w:val="28"/>
          <w:szCs w:val="28"/>
        </w:rPr>
        <w:t>19.</w:t>
      </w:r>
      <w:r w:rsidRPr="000B24E6" w:rsidR="00BC0209">
        <w:rPr>
          <w:sz w:val="28"/>
          <w:szCs w:val="28"/>
        </w:rPr>
        <w:t> </w:t>
      </w:r>
      <w:r w:rsidRPr="000B24E6">
        <w:rPr>
          <w:sz w:val="28"/>
          <w:szCs w:val="28"/>
        </w:rPr>
        <w:t xml:space="preserve">Pakalpojuma cenai papildus pieskaita maksu </w:t>
      </w:r>
      <w:r w:rsidRPr="000B24E6" w:rsidR="00EF0A9F">
        <w:rPr>
          <w:sz w:val="28"/>
          <w:szCs w:val="28"/>
        </w:rPr>
        <w:t xml:space="preserve">pēc nepieciešamības </w:t>
      </w:r>
      <w:r w:rsidRPr="000B24E6">
        <w:rPr>
          <w:sz w:val="28"/>
          <w:szCs w:val="28"/>
        </w:rPr>
        <w:t>saskaņā ar šā pielikuma 5</w:t>
      </w:r>
      <w:r w:rsidRPr="000B24E6" w:rsidR="00BC0209">
        <w:rPr>
          <w:sz w:val="28"/>
          <w:szCs w:val="28"/>
        </w:rPr>
        <w:t>0</w:t>
      </w:r>
      <w:r w:rsidRPr="000B24E6">
        <w:rPr>
          <w:sz w:val="28"/>
          <w:szCs w:val="28"/>
        </w:rPr>
        <w:t>.5. un 5</w:t>
      </w:r>
      <w:r w:rsidRPr="000B24E6" w:rsidR="00BC0209">
        <w:rPr>
          <w:sz w:val="28"/>
          <w:szCs w:val="28"/>
        </w:rPr>
        <w:t>0</w:t>
      </w:r>
      <w:r w:rsidRPr="000B24E6">
        <w:rPr>
          <w:sz w:val="28"/>
          <w:szCs w:val="28"/>
        </w:rPr>
        <w:t>.6.</w:t>
      </w:r>
      <w:r w:rsidRPr="000B24E6" w:rsidR="00BC0209">
        <w:rPr>
          <w:sz w:val="28"/>
          <w:szCs w:val="28"/>
        </w:rPr>
        <w:t> </w:t>
      </w:r>
      <w:r w:rsidRPr="000B24E6">
        <w:rPr>
          <w:sz w:val="28"/>
          <w:szCs w:val="28"/>
        </w:rPr>
        <w:t>apakšpunktu.</w:t>
      </w:r>
      <w:r w:rsidRPr="000B24E6" w:rsidR="00BC0209">
        <w:rPr>
          <w:sz w:val="28"/>
          <w:szCs w:val="28"/>
        </w:rPr>
        <w:t>"</w:t>
      </w:r>
    </w:p>
    <w:p w:rsidR="00C46F92" w:rsidP="005B1158" w:rsidRDefault="00C46F92" w14:paraId="03DA9B0E" w14:textId="5D5B442C">
      <w:pPr>
        <w:pStyle w:val="Sarakstarindkopa"/>
        <w:ind w:left="1080"/>
        <w:jc w:val="both"/>
        <w:rPr>
          <w:sz w:val="28"/>
        </w:rPr>
      </w:pPr>
    </w:p>
    <w:p w:rsidRPr="000B24E6" w:rsidR="00810987" w:rsidP="005B1158" w:rsidRDefault="00810987" w14:paraId="11532620" w14:textId="77777777">
      <w:pPr>
        <w:pStyle w:val="Sarakstarindkopa"/>
        <w:ind w:left="1080"/>
        <w:jc w:val="both"/>
        <w:rPr>
          <w:sz w:val="28"/>
        </w:rPr>
      </w:pPr>
    </w:p>
    <w:p w:rsidRPr="000B24E6" w:rsidR="00C46F92" w:rsidP="00C46F92" w:rsidRDefault="00C46F92" w14:paraId="747B1D35" w14:textId="0C82CFF3">
      <w:pPr>
        <w:tabs>
          <w:tab w:val="right" w:pos="9074"/>
        </w:tabs>
        <w:rPr>
          <w:sz w:val="28"/>
          <w:szCs w:val="28"/>
        </w:rPr>
      </w:pPr>
      <w:r w:rsidRPr="000B24E6">
        <w:rPr>
          <w:sz w:val="28"/>
          <w:szCs w:val="28"/>
        </w:rPr>
        <w:t>Ministru prezidents</w:t>
      </w:r>
      <w:r w:rsidRPr="000B24E6">
        <w:rPr>
          <w:sz w:val="28"/>
          <w:szCs w:val="28"/>
        </w:rPr>
        <w:tab/>
        <w:t>Arturs Krišjānis Kariņš</w:t>
      </w:r>
    </w:p>
    <w:p w:rsidRPr="000B24E6" w:rsidR="00C46F92" w:rsidP="00C46F92" w:rsidRDefault="00C46F92" w14:paraId="321C7224" w14:textId="77777777">
      <w:pPr>
        <w:rPr>
          <w:sz w:val="28"/>
          <w:szCs w:val="28"/>
        </w:rPr>
      </w:pPr>
    </w:p>
    <w:p w:rsidRPr="000B24E6" w:rsidR="00C46F92" w:rsidP="00C46F92" w:rsidRDefault="00C46F92" w14:paraId="08539A89" w14:textId="77777777">
      <w:pPr>
        <w:tabs>
          <w:tab w:val="right" w:pos="9074"/>
        </w:tabs>
        <w:rPr>
          <w:sz w:val="28"/>
          <w:szCs w:val="28"/>
        </w:rPr>
      </w:pPr>
      <w:r w:rsidRPr="000B24E6">
        <w:rPr>
          <w:sz w:val="28"/>
          <w:szCs w:val="28"/>
        </w:rPr>
        <w:t>Ministru prezidenta biedrs,</w:t>
      </w:r>
    </w:p>
    <w:p w:rsidRPr="000B24E6" w:rsidR="00C46F92" w:rsidP="00C46F92" w:rsidRDefault="00C46F92" w14:paraId="0A5C29E1" w14:textId="77777777">
      <w:pPr>
        <w:tabs>
          <w:tab w:val="right" w:pos="9072"/>
        </w:tabs>
        <w:rPr>
          <w:sz w:val="28"/>
        </w:rPr>
      </w:pPr>
      <w:r w:rsidRPr="000B24E6">
        <w:rPr>
          <w:sz w:val="28"/>
          <w:szCs w:val="28"/>
        </w:rPr>
        <w:t>tieslietu ministrs</w:t>
      </w:r>
      <w:r w:rsidRPr="000B24E6">
        <w:rPr>
          <w:sz w:val="28"/>
          <w:szCs w:val="28"/>
        </w:rPr>
        <w:tab/>
        <w:t>Jānis Bordāns</w:t>
      </w:r>
      <w:bookmarkStart w:name="piel2" w:id="2"/>
      <w:bookmarkEnd w:id="2"/>
    </w:p>
    <w:p w:rsidRPr="000B24E6" w:rsidR="00C46F92" w:rsidP="00C46F92" w:rsidRDefault="00C46F92" w14:paraId="0CBF4162" w14:textId="77777777">
      <w:pPr>
        <w:jc w:val="both"/>
        <w:rPr>
          <w:sz w:val="28"/>
          <w:szCs w:val="28"/>
          <w:lang w:eastAsia="en-US"/>
        </w:rPr>
      </w:pPr>
    </w:p>
    <w:p w:rsidRPr="002C760F" w:rsidR="0095098A" w:rsidP="0095098A" w:rsidRDefault="0095098A" w14:paraId="7A6D9A97" w14:textId="77777777">
      <w:pPr>
        <w:jc w:val="both"/>
        <w:rPr>
          <w:sz w:val="28"/>
          <w:szCs w:val="28"/>
          <w:lang w:eastAsia="en-US"/>
        </w:rPr>
      </w:pPr>
      <w:r w:rsidRPr="002C760F">
        <w:rPr>
          <w:sz w:val="28"/>
          <w:szCs w:val="28"/>
          <w:lang w:eastAsia="en-US"/>
        </w:rPr>
        <w:t>Iesniedzējs:</w:t>
      </w:r>
    </w:p>
    <w:p w:rsidRPr="002C760F" w:rsidR="0095098A" w:rsidP="0095098A" w:rsidRDefault="0095098A" w14:paraId="59D093F5" w14:textId="26F07CDA">
      <w:pPr>
        <w:tabs>
          <w:tab w:val="right" w:pos="9074"/>
        </w:tabs>
        <w:rPr>
          <w:sz w:val="28"/>
          <w:szCs w:val="28"/>
        </w:rPr>
      </w:pPr>
      <w:r w:rsidRPr="002C760F">
        <w:rPr>
          <w:sz w:val="28"/>
          <w:szCs w:val="28"/>
        </w:rPr>
        <w:t>Ministru prezidenta biedrs,</w:t>
      </w:r>
    </w:p>
    <w:p w:rsidRPr="005B1158" w:rsidR="002B1C45" w:rsidP="0095098A" w:rsidRDefault="0095098A" w14:paraId="4BC2FC25" w14:textId="02FDCF94">
      <w:pPr>
        <w:tabs>
          <w:tab w:val="right" w:pos="9074"/>
        </w:tabs>
        <w:rPr>
          <w:sz w:val="28"/>
          <w:szCs w:val="28"/>
        </w:rPr>
      </w:pPr>
      <w:r w:rsidRPr="002C760F">
        <w:rPr>
          <w:sz w:val="28"/>
          <w:szCs w:val="28"/>
        </w:rPr>
        <w:t>tieslietu ministrs</w:t>
      </w:r>
      <w:r w:rsidRPr="002C760F">
        <w:rPr>
          <w:sz w:val="28"/>
          <w:szCs w:val="28"/>
        </w:rPr>
        <w:tab/>
        <w:t>Jānis Bordāns</w:t>
      </w:r>
    </w:p>
    <w:sectPr w:rsidRPr="005B1158" w:rsidR="002B1C45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ABBD" w14:textId="77777777" w:rsidR="004C67C9" w:rsidRDefault="004C67C9">
      <w:r>
        <w:separator/>
      </w:r>
    </w:p>
  </w:endnote>
  <w:endnote w:type="continuationSeparator" w:id="0">
    <w:p w14:paraId="5D4C4B96" w14:textId="77777777" w:rsidR="004C67C9" w:rsidRDefault="004C67C9">
      <w:r>
        <w:continuationSeparator/>
      </w:r>
    </w:p>
  </w:endnote>
  <w:endnote w:type="continuationNotice" w:id="1">
    <w:p w14:paraId="4067A1A3" w14:textId="77777777" w:rsidR="004C67C9" w:rsidRDefault="004C6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3819" w14:textId="02345C42" w:rsidR="008D66C9" w:rsidRPr="00095046" w:rsidRDefault="008D66C9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CF670C">
      <w:rPr>
        <w:noProof/>
        <w:sz w:val="20"/>
        <w:szCs w:val="20"/>
      </w:rPr>
      <w:t>TMnot_1</w:t>
    </w:r>
    <w:r w:rsidR="00AB7EB3">
      <w:rPr>
        <w:noProof/>
        <w:sz w:val="20"/>
        <w:szCs w:val="20"/>
      </w:rPr>
      <w:t>8</w:t>
    </w:r>
    <w:r w:rsidR="00CF670C">
      <w:rPr>
        <w:noProof/>
        <w:sz w:val="20"/>
        <w:szCs w:val="20"/>
      </w:rPr>
      <w:t>0</w:t>
    </w:r>
    <w:r w:rsidR="00AB7EB3">
      <w:rPr>
        <w:noProof/>
        <w:sz w:val="20"/>
        <w:szCs w:val="20"/>
      </w:rPr>
      <w:t>6</w:t>
    </w:r>
    <w:r w:rsidR="00CF670C">
      <w:rPr>
        <w:noProof/>
        <w:sz w:val="20"/>
        <w:szCs w:val="20"/>
      </w:rPr>
      <w:t>21_cen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FBCD" w14:textId="057635B3" w:rsidR="008D66C9" w:rsidRPr="00095046" w:rsidRDefault="008D66C9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CF670C">
      <w:rPr>
        <w:noProof/>
        <w:sz w:val="20"/>
        <w:szCs w:val="20"/>
      </w:rPr>
      <w:t>TMnot_1</w:t>
    </w:r>
    <w:r w:rsidR="00AB7EB3">
      <w:rPr>
        <w:noProof/>
        <w:sz w:val="20"/>
        <w:szCs w:val="20"/>
      </w:rPr>
      <w:t>8</w:t>
    </w:r>
    <w:r w:rsidR="00CF670C">
      <w:rPr>
        <w:noProof/>
        <w:sz w:val="20"/>
        <w:szCs w:val="20"/>
      </w:rPr>
      <w:t>0</w:t>
    </w:r>
    <w:r w:rsidR="00AB7EB3">
      <w:rPr>
        <w:noProof/>
        <w:sz w:val="20"/>
        <w:szCs w:val="20"/>
      </w:rPr>
      <w:t>6</w:t>
    </w:r>
    <w:r w:rsidR="00CF670C">
      <w:rPr>
        <w:noProof/>
        <w:sz w:val="20"/>
        <w:szCs w:val="20"/>
      </w:rPr>
      <w:t>21_cen</w:t>
    </w:r>
    <w:r w:rsidRPr="000950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AE56" w14:textId="77777777" w:rsidR="004C67C9" w:rsidRDefault="004C67C9">
      <w:r>
        <w:separator/>
      </w:r>
    </w:p>
  </w:footnote>
  <w:footnote w:type="continuationSeparator" w:id="0">
    <w:p w14:paraId="17E70C88" w14:textId="77777777" w:rsidR="004C67C9" w:rsidRDefault="004C67C9">
      <w:r>
        <w:continuationSeparator/>
      </w:r>
    </w:p>
  </w:footnote>
  <w:footnote w:type="continuationNotice" w:id="1">
    <w:p w14:paraId="2A4FECB5" w14:textId="77777777" w:rsidR="004C67C9" w:rsidRDefault="004C6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C9" w:rsidP="0089213E" w:rsidRDefault="008D66C9" w14:paraId="5B2FFC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D66C9" w:rsidRDefault="008D66C9" w14:paraId="5AFB538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C9" w:rsidP="0089213E" w:rsidRDefault="008D66C9" w14:paraId="45AC96F5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D66C9" w:rsidRDefault="008D66C9" w14:paraId="092811D8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4BF"/>
    <w:multiLevelType w:val="hybridMultilevel"/>
    <w:tmpl w:val="A31C0586"/>
    <w:lvl w:ilvl="0" w:tplc="47225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71A63"/>
    <w:multiLevelType w:val="hybridMultilevel"/>
    <w:tmpl w:val="7BFE29D2"/>
    <w:lvl w:ilvl="0" w:tplc="C29EA83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84BE0"/>
    <w:multiLevelType w:val="hybridMultilevel"/>
    <w:tmpl w:val="72628A5C"/>
    <w:lvl w:ilvl="0" w:tplc="4F62F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3165"/>
    <w:multiLevelType w:val="hybridMultilevel"/>
    <w:tmpl w:val="DB2CA90C"/>
    <w:lvl w:ilvl="0" w:tplc="FCB2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3B0B507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223A7"/>
    <w:multiLevelType w:val="hybridMultilevel"/>
    <w:tmpl w:val="645A589E"/>
    <w:lvl w:ilvl="0" w:tplc="E5D6D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3040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92E43"/>
    <w:multiLevelType w:val="hybridMultilevel"/>
    <w:tmpl w:val="81B0A63C"/>
    <w:lvl w:ilvl="0" w:tplc="442E133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B11D5"/>
    <w:multiLevelType w:val="hybridMultilevel"/>
    <w:tmpl w:val="B112A26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A6E3E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E4683A"/>
    <w:multiLevelType w:val="hybridMultilevel"/>
    <w:tmpl w:val="F4A61088"/>
    <w:lvl w:ilvl="0" w:tplc="EE721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62E"/>
    <w:rsid w:val="000024C3"/>
    <w:rsid w:val="00003C72"/>
    <w:rsid w:val="00012368"/>
    <w:rsid w:val="00020E31"/>
    <w:rsid w:val="00021FDA"/>
    <w:rsid w:val="00024C34"/>
    <w:rsid w:val="00025985"/>
    <w:rsid w:val="000271D4"/>
    <w:rsid w:val="00030530"/>
    <w:rsid w:val="000353FF"/>
    <w:rsid w:val="00037AAD"/>
    <w:rsid w:val="00040994"/>
    <w:rsid w:val="00044295"/>
    <w:rsid w:val="00050DE9"/>
    <w:rsid w:val="000560D1"/>
    <w:rsid w:val="00060EE4"/>
    <w:rsid w:val="00064960"/>
    <w:rsid w:val="000674DD"/>
    <w:rsid w:val="00073F6E"/>
    <w:rsid w:val="00080171"/>
    <w:rsid w:val="00080CC3"/>
    <w:rsid w:val="000857A4"/>
    <w:rsid w:val="00087644"/>
    <w:rsid w:val="00087CAA"/>
    <w:rsid w:val="000920F2"/>
    <w:rsid w:val="0009285A"/>
    <w:rsid w:val="00094BDC"/>
    <w:rsid w:val="00095046"/>
    <w:rsid w:val="000A3D1D"/>
    <w:rsid w:val="000A56BF"/>
    <w:rsid w:val="000B24E6"/>
    <w:rsid w:val="000C05D3"/>
    <w:rsid w:val="000C1114"/>
    <w:rsid w:val="000D0120"/>
    <w:rsid w:val="000D0BFE"/>
    <w:rsid w:val="000E474B"/>
    <w:rsid w:val="000E5E04"/>
    <w:rsid w:val="000E7544"/>
    <w:rsid w:val="000F21B7"/>
    <w:rsid w:val="000F537E"/>
    <w:rsid w:val="001026A0"/>
    <w:rsid w:val="00104D8C"/>
    <w:rsid w:val="00105081"/>
    <w:rsid w:val="00122FA2"/>
    <w:rsid w:val="00123652"/>
    <w:rsid w:val="0012798A"/>
    <w:rsid w:val="0014092E"/>
    <w:rsid w:val="001444E0"/>
    <w:rsid w:val="00153733"/>
    <w:rsid w:val="00161DA8"/>
    <w:rsid w:val="00163A39"/>
    <w:rsid w:val="00164D3C"/>
    <w:rsid w:val="00180811"/>
    <w:rsid w:val="00181692"/>
    <w:rsid w:val="00183F7B"/>
    <w:rsid w:val="00185291"/>
    <w:rsid w:val="00190673"/>
    <w:rsid w:val="00191215"/>
    <w:rsid w:val="001935DC"/>
    <w:rsid w:val="00194720"/>
    <w:rsid w:val="00194EF0"/>
    <w:rsid w:val="00195E91"/>
    <w:rsid w:val="001A1245"/>
    <w:rsid w:val="001A6496"/>
    <w:rsid w:val="001B0413"/>
    <w:rsid w:val="001C3658"/>
    <w:rsid w:val="001C62D7"/>
    <w:rsid w:val="001D0763"/>
    <w:rsid w:val="001D7768"/>
    <w:rsid w:val="001D7A4E"/>
    <w:rsid w:val="001E002F"/>
    <w:rsid w:val="001F229E"/>
    <w:rsid w:val="001F4EEE"/>
    <w:rsid w:val="00203744"/>
    <w:rsid w:val="0021161C"/>
    <w:rsid w:val="00215DB2"/>
    <w:rsid w:val="00216063"/>
    <w:rsid w:val="00222F36"/>
    <w:rsid w:val="002260C8"/>
    <w:rsid w:val="00234FE4"/>
    <w:rsid w:val="0024505B"/>
    <w:rsid w:val="00246A80"/>
    <w:rsid w:val="002510DC"/>
    <w:rsid w:val="00251431"/>
    <w:rsid w:val="0025608F"/>
    <w:rsid w:val="00257F9D"/>
    <w:rsid w:val="00263518"/>
    <w:rsid w:val="002807AE"/>
    <w:rsid w:val="00282F8A"/>
    <w:rsid w:val="002A0CEA"/>
    <w:rsid w:val="002A2959"/>
    <w:rsid w:val="002A3898"/>
    <w:rsid w:val="002A47F7"/>
    <w:rsid w:val="002B1C45"/>
    <w:rsid w:val="002C26A7"/>
    <w:rsid w:val="002C7132"/>
    <w:rsid w:val="002C760F"/>
    <w:rsid w:val="002D127F"/>
    <w:rsid w:val="002D5F74"/>
    <w:rsid w:val="002E3683"/>
    <w:rsid w:val="002E5942"/>
    <w:rsid w:val="002E77DE"/>
    <w:rsid w:val="002F5099"/>
    <w:rsid w:val="00303ED3"/>
    <w:rsid w:val="00305A23"/>
    <w:rsid w:val="0030713A"/>
    <w:rsid w:val="00307F8D"/>
    <w:rsid w:val="00310FCA"/>
    <w:rsid w:val="003117FC"/>
    <w:rsid w:val="00312A35"/>
    <w:rsid w:val="00313611"/>
    <w:rsid w:val="00313EA1"/>
    <w:rsid w:val="00317274"/>
    <w:rsid w:val="0032065B"/>
    <w:rsid w:val="003255C3"/>
    <w:rsid w:val="00327BAA"/>
    <w:rsid w:val="0033358C"/>
    <w:rsid w:val="0033378B"/>
    <w:rsid w:val="0033471A"/>
    <w:rsid w:val="003362AC"/>
    <w:rsid w:val="0034425B"/>
    <w:rsid w:val="003603FB"/>
    <w:rsid w:val="00361457"/>
    <w:rsid w:val="00361FB8"/>
    <w:rsid w:val="003674EB"/>
    <w:rsid w:val="003733B9"/>
    <w:rsid w:val="003776B7"/>
    <w:rsid w:val="00390423"/>
    <w:rsid w:val="00393280"/>
    <w:rsid w:val="0039633E"/>
    <w:rsid w:val="00396D6B"/>
    <w:rsid w:val="003A655F"/>
    <w:rsid w:val="003B01FB"/>
    <w:rsid w:val="003B6487"/>
    <w:rsid w:val="003C1A6F"/>
    <w:rsid w:val="003C73C4"/>
    <w:rsid w:val="003D1633"/>
    <w:rsid w:val="003D4E54"/>
    <w:rsid w:val="003D6780"/>
    <w:rsid w:val="003D6BDC"/>
    <w:rsid w:val="003D6F9C"/>
    <w:rsid w:val="003E6E9D"/>
    <w:rsid w:val="003F3D31"/>
    <w:rsid w:val="003F5711"/>
    <w:rsid w:val="003F5DC3"/>
    <w:rsid w:val="00403D59"/>
    <w:rsid w:val="0040616A"/>
    <w:rsid w:val="00410A30"/>
    <w:rsid w:val="00410CAC"/>
    <w:rsid w:val="004211E1"/>
    <w:rsid w:val="0042245B"/>
    <w:rsid w:val="00422A7A"/>
    <w:rsid w:val="0042552D"/>
    <w:rsid w:val="0042572C"/>
    <w:rsid w:val="00427309"/>
    <w:rsid w:val="00440FCC"/>
    <w:rsid w:val="004478B6"/>
    <w:rsid w:val="00455C69"/>
    <w:rsid w:val="00460138"/>
    <w:rsid w:val="00464541"/>
    <w:rsid w:val="00465698"/>
    <w:rsid w:val="00465C91"/>
    <w:rsid w:val="00467C3D"/>
    <w:rsid w:val="004705A0"/>
    <w:rsid w:val="0047484F"/>
    <w:rsid w:val="0047694F"/>
    <w:rsid w:val="0048375B"/>
    <w:rsid w:val="00484CD6"/>
    <w:rsid w:val="0049156C"/>
    <w:rsid w:val="004950DD"/>
    <w:rsid w:val="004A1B6D"/>
    <w:rsid w:val="004A224C"/>
    <w:rsid w:val="004A2866"/>
    <w:rsid w:val="004A43F7"/>
    <w:rsid w:val="004A59C3"/>
    <w:rsid w:val="004A7652"/>
    <w:rsid w:val="004B364B"/>
    <w:rsid w:val="004B634B"/>
    <w:rsid w:val="004C3615"/>
    <w:rsid w:val="004C3C70"/>
    <w:rsid w:val="004C6002"/>
    <w:rsid w:val="004C67C9"/>
    <w:rsid w:val="004C775F"/>
    <w:rsid w:val="004E3B9E"/>
    <w:rsid w:val="004F0DF1"/>
    <w:rsid w:val="004F41B5"/>
    <w:rsid w:val="004F68B1"/>
    <w:rsid w:val="004F6DB2"/>
    <w:rsid w:val="005018A7"/>
    <w:rsid w:val="00502E90"/>
    <w:rsid w:val="00503304"/>
    <w:rsid w:val="0050417C"/>
    <w:rsid w:val="005064E7"/>
    <w:rsid w:val="005114EE"/>
    <w:rsid w:val="00512E7B"/>
    <w:rsid w:val="0051568E"/>
    <w:rsid w:val="00521911"/>
    <w:rsid w:val="0052659E"/>
    <w:rsid w:val="0054116B"/>
    <w:rsid w:val="0054151A"/>
    <w:rsid w:val="0054334D"/>
    <w:rsid w:val="00552947"/>
    <w:rsid w:val="00554CDA"/>
    <w:rsid w:val="00555348"/>
    <w:rsid w:val="0055699A"/>
    <w:rsid w:val="005606B2"/>
    <w:rsid w:val="00564523"/>
    <w:rsid w:val="00572BBE"/>
    <w:rsid w:val="00574EB9"/>
    <w:rsid w:val="0057587F"/>
    <w:rsid w:val="005819A2"/>
    <w:rsid w:val="00582D35"/>
    <w:rsid w:val="00583D32"/>
    <w:rsid w:val="00583FC2"/>
    <w:rsid w:val="00595C0B"/>
    <w:rsid w:val="005A0CC8"/>
    <w:rsid w:val="005A2202"/>
    <w:rsid w:val="005A2217"/>
    <w:rsid w:val="005A36F5"/>
    <w:rsid w:val="005B1158"/>
    <w:rsid w:val="005B7AB0"/>
    <w:rsid w:val="005C025F"/>
    <w:rsid w:val="005C56FD"/>
    <w:rsid w:val="005C62C8"/>
    <w:rsid w:val="005C7BA1"/>
    <w:rsid w:val="005D18DE"/>
    <w:rsid w:val="005E5531"/>
    <w:rsid w:val="005E7E38"/>
    <w:rsid w:val="005F14CD"/>
    <w:rsid w:val="005F1A69"/>
    <w:rsid w:val="00604D5F"/>
    <w:rsid w:val="00610574"/>
    <w:rsid w:val="0061262F"/>
    <w:rsid w:val="00616190"/>
    <w:rsid w:val="0062597C"/>
    <w:rsid w:val="00633DD9"/>
    <w:rsid w:val="0064226D"/>
    <w:rsid w:val="00646781"/>
    <w:rsid w:val="00651DED"/>
    <w:rsid w:val="00652285"/>
    <w:rsid w:val="0066140F"/>
    <w:rsid w:val="006615BA"/>
    <w:rsid w:val="00662B90"/>
    <w:rsid w:val="00665401"/>
    <w:rsid w:val="006858F0"/>
    <w:rsid w:val="00687480"/>
    <w:rsid w:val="006A05A7"/>
    <w:rsid w:val="006A4B97"/>
    <w:rsid w:val="006B1C1A"/>
    <w:rsid w:val="006B53D1"/>
    <w:rsid w:val="006C113A"/>
    <w:rsid w:val="006D11F5"/>
    <w:rsid w:val="006D142C"/>
    <w:rsid w:val="006D431B"/>
    <w:rsid w:val="006D7C2B"/>
    <w:rsid w:val="006E138A"/>
    <w:rsid w:val="006E4177"/>
    <w:rsid w:val="006E762F"/>
    <w:rsid w:val="006F0FA6"/>
    <w:rsid w:val="007020A2"/>
    <w:rsid w:val="007036ED"/>
    <w:rsid w:val="00706898"/>
    <w:rsid w:val="007148DA"/>
    <w:rsid w:val="0071599B"/>
    <w:rsid w:val="00715A85"/>
    <w:rsid w:val="007167D4"/>
    <w:rsid w:val="00716BC2"/>
    <w:rsid w:val="0071777D"/>
    <w:rsid w:val="00720570"/>
    <w:rsid w:val="00723FF0"/>
    <w:rsid w:val="00727420"/>
    <w:rsid w:val="00727AEF"/>
    <w:rsid w:val="007326AF"/>
    <w:rsid w:val="00732E7C"/>
    <w:rsid w:val="00733FD0"/>
    <w:rsid w:val="00734BDE"/>
    <w:rsid w:val="00743A18"/>
    <w:rsid w:val="00750F04"/>
    <w:rsid w:val="007534B9"/>
    <w:rsid w:val="00761BF2"/>
    <w:rsid w:val="0076421E"/>
    <w:rsid w:val="007675C6"/>
    <w:rsid w:val="00767F64"/>
    <w:rsid w:val="0077439F"/>
    <w:rsid w:val="00794D3C"/>
    <w:rsid w:val="007A7848"/>
    <w:rsid w:val="007B2E8E"/>
    <w:rsid w:val="007B6294"/>
    <w:rsid w:val="007C4723"/>
    <w:rsid w:val="007C69D2"/>
    <w:rsid w:val="007E43E8"/>
    <w:rsid w:val="007F2B3E"/>
    <w:rsid w:val="00804179"/>
    <w:rsid w:val="00807B6A"/>
    <w:rsid w:val="00810987"/>
    <w:rsid w:val="00812EED"/>
    <w:rsid w:val="008226B6"/>
    <w:rsid w:val="00823528"/>
    <w:rsid w:val="0082744A"/>
    <w:rsid w:val="00834795"/>
    <w:rsid w:val="008354D2"/>
    <w:rsid w:val="00835900"/>
    <w:rsid w:val="008407E9"/>
    <w:rsid w:val="00840B33"/>
    <w:rsid w:val="00846A52"/>
    <w:rsid w:val="00851401"/>
    <w:rsid w:val="008559E3"/>
    <w:rsid w:val="008560D3"/>
    <w:rsid w:val="00861685"/>
    <w:rsid w:val="008618FC"/>
    <w:rsid w:val="008669F2"/>
    <w:rsid w:val="008712B2"/>
    <w:rsid w:val="00871878"/>
    <w:rsid w:val="00874415"/>
    <w:rsid w:val="00874590"/>
    <w:rsid w:val="00881C49"/>
    <w:rsid w:val="00885B6D"/>
    <w:rsid w:val="00887B06"/>
    <w:rsid w:val="00890601"/>
    <w:rsid w:val="0089213E"/>
    <w:rsid w:val="00892655"/>
    <w:rsid w:val="00892669"/>
    <w:rsid w:val="008A10F4"/>
    <w:rsid w:val="008A1978"/>
    <w:rsid w:val="008A7D92"/>
    <w:rsid w:val="008B1545"/>
    <w:rsid w:val="008B3E17"/>
    <w:rsid w:val="008B474C"/>
    <w:rsid w:val="008B5CAD"/>
    <w:rsid w:val="008B6108"/>
    <w:rsid w:val="008B7330"/>
    <w:rsid w:val="008C3AFA"/>
    <w:rsid w:val="008C61C4"/>
    <w:rsid w:val="008C65CF"/>
    <w:rsid w:val="008C7A51"/>
    <w:rsid w:val="008D4538"/>
    <w:rsid w:val="008D66C9"/>
    <w:rsid w:val="008D7A88"/>
    <w:rsid w:val="008E089A"/>
    <w:rsid w:val="008E261B"/>
    <w:rsid w:val="008E4511"/>
    <w:rsid w:val="008F35A1"/>
    <w:rsid w:val="008F54F2"/>
    <w:rsid w:val="008F6C77"/>
    <w:rsid w:val="00903FA0"/>
    <w:rsid w:val="00906295"/>
    <w:rsid w:val="009168ED"/>
    <w:rsid w:val="00920573"/>
    <w:rsid w:val="00922D25"/>
    <w:rsid w:val="00924EB3"/>
    <w:rsid w:val="00930348"/>
    <w:rsid w:val="00935443"/>
    <w:rsid w:val="009362CF"/>
    <w:rsid w:val="009373CF"/>
    <w:rsid w:val="00942F01"/>
    <w:rsid w:val="0095098A"/>
    <w:rsid w:val="0095346D"/>
    <w:rsid w:val="00953493"/>
    <w:rsid w:val="00954376"/>
    <w:rsid w:val="009604C4"/>
    <w:rsid w:val="0097127D"/>
    <w:rsid w:val="009740EA"/>
    <w:rsid w:val="00974924"/>
    <w:rsid w:val="00977B80"/>
    <w:rsid w:val="00980160"/>
    <w:rsid w:val="00984383"/>
    <w:rsid w:val="00984EC6"/>
    <w:rsid w:val="00986D6B"/>
    <w:rsid w:val="00990A4E"/>
    <w:rsid w:val="00990FBE"/>
    <w:rsid w:val="009A45D4"/>
    <w:rsid w:val="009B01E0"/>
    <w:rsid w:val="009B1F81"/>
    <w:rsid w:val="009B2293"/>
    <w:rsid w:val="009C432D"/>
    <w:rsid w:val="009C5116"/>
    <w:rsid w:val="009C5405"/>
    <w:rsid w:val="009D04C8"/>
    <w:rsid w:val="009D1F8B"/>
    <w:rsid w:val="009D2D3F"/>
    <w:rsid w:val="009D673D"/>
    <w:rsid w:val="009E1D71"/>
    <w:rsid w:val="009F3956"/>
    <w:rsid w:val="009F4366"/>
    <w:rsid w:val="009F6BDD"/>
    <w:rsid w:val="00A00F4D"/>
    <w:rsid w:val="00A02D27"/>
    <w:rsid w:val="00A02D5E"/>
    <w:rsid w:val="00A065E0"/>
    <w:rsid w:val="00A1006B"/>
    <w:rsid w:val="00A1383F"/>
    <w:rsid w:val="00A13FA1"/>
    <w:rsid w:val="00A27469"/>
    <w:rsid w:val="00A316A6"/>
    <w:rsid w:val="00A51F12"/>
    <w:rsid w:val="00A5757B"/>
    <w:rsid w:val="00A57BC1"/>
    <w:rsid w:val="00A6571C"/>
    <w:rsid w:val="00A72A1A"/>
    <w:rsid w:val="00A73B01"/>
    <w:rsid w:val="00A816C5"/>
    <w:rsid w:val="00A83584"/>
    <w:rsid w:val="00A862D0"/>
    <w:rsid w:val="00A864FF"/>
    <w:rsid w:val="00A95054"/>
    <w:rsid w:val="00AA5ACD"/>
    <w:rsid w:val="00AA7A33"/>
    <w:rsid w:val="00AB7EB3"/>
    <w:rsid w:val="00AE13B8"/>
    <w:rsid w:val="00AE74BA"/>
    <w:rsid w:val="00AF4797"/>
    <w:rsid w:val="00AF515F"/>
    <w:rsid w:val="00B0107B"/>
    <w:rsid w:val="00B03430"/>
    <w:rsid w:val="00B11E02"/>
    <w:rsid w:val="00B2047F"/>
    <w:rsid w:val="00B235EE"/>
    <w:rsid w:val="00B3266E"/>
    <w:rsid w:val="00B34C00"/>
    <w:rsid w:val="00B3651E"/>
    <w:rsid w:val="00B36E1F"/>
    <w:rsid w:val="00B416BC"/>
    <w:rsid w:val="00B505A3"/>
    <w:rsid w:val="00B51A2D"/>
    <w:rsid w:val="00B5242C"/>
    <w:rsid w:val="00B52CE2"/>
    <w:rsid w:val="00B634D4"/>
    <w:rsid w:val="00B709E7"/>
    <w:rsid w:val="00B70B80"/>
    <w:rsid w:val="00B71A80"/>
    <w:rsid w:val="00B74DA5"/>
    <w:rsid w:val="00B8205F"/>
    <w:rsid w:val="00B92E13"/>
    <w:rsid w:val="00B9381B"/>
    <w:rsid w:val="00B9401D"/>
    <w:rsid w:val="00BA11C6"/>
    <w:rsid w:val="00BB113A"/>
    <w:rsid w:val="00BB71F9"/>
    <w:rsid w:val="00BC0209"/>
    <w:rsid w:val="00BC097E"/>
    <w:rsid w:val="00BC7786"/>
    <w:rsid w:val="00BD0CA6"/>
    <w:rsid w:val="00BD2C1E"/>
    <w:rsid w:val="00BD5C15"/>
    <w:rsid w:val="00BD76AB"/>
    <w:rsid w:val="00BD791B"/>
    <w:rsid w:val="00BE1727"/>
    <w:rsid w:val="00BE31AC"/>
    <w:rsid w:val="00BE5D9E"/>
    <w:rsid w:val="00BE70C3"/>
    <w:rsid w:val="00BE7364"/>
    <w:rsid w:val="00C0245F"/>
    <w:rsid w:val="00C12DEA"/>
    <w:rsid w:val="00C15BFF"/>
    <w:rsid w:val="00C3013A"/>
    <w:rsid w:val="00C30687"/>
    <w:rsid w:val="00C325E3"/>
    <w:rsid w:val="00C378CE"/>
    <w:rsid w:val="00C43053"/>
    <w:rsid w:val="00C46F92"/>
    <w:rsid w:val="00C543BA"/>
    <w:rsid w:val="00C60942"/>
    <w:rsid w:val="00C766A5"/>
    <w:rsid w:val="00C87EDE"/>
    <w:rsid w:val="00CA3F58"/>
    <w:rsid w:val="00CA604F"/>
    <w:rsid w:val="00CA6716"/>
    <w:rsid w:val="00CA6C14"/>
    <w:rsid w:val="00CB0225"/>
    <w:rsid w:val="00CD778B"/>
    <w:rsid w:val="00CE1A1E"/>
    <w:rsid w:val="00CE3BA0"/>
    <w:rsid w:val="00CE43C9"/>
    <w:rsid w:val="00CF670C"/>
    <w:rsid w:val="00D027FA"/>
    <w:rsid w:val="00D03B00"/>
    <w:rsid w:val="00D07501"/>
    <w:rsid w:val="00D17F6A"/>
    <w:rsid w:val="00D208B1"/>
    <w:rsid w:val="00D22BB2"/>
    <w:rsid w:val="00D27902"/>
    <w:rsid w:val="00D43BB6"/>
    <w:rsid w:val="00D45D9A"/>
    <w:rsid w:val="00D53B37"/>
    <w:rsid w:val="00D5448E"/>
    <w:rsid w:val="00D60566"/>
    <w:rsid w:val="00D6090D"/>
    <w:rsid w:val="00D634FF"/>
    <w:rsid w:val="00D71767"/>
    <w:rsid w:val="00D8591B"/>
    <w:rsid w:val="00D87218"/>
    <w:rsid w:val="00D91927"/>
    <w:rsid w:val="00D94002"/>
    <w:rsid w:val="00D97E67"/>
    <w:rsid w:val="00DA155D"/>
    <w:rsid w:val="00DB0F23"/>
    <w:rsid w:val="00DB251B"/>
    <w:rsid w:val="00DB3ECB"/>
    <w:rsid w:val="00DC09C7"/>
    <w:rsid w:val="00DC115E"/>
    <w:rsid w:val="00DC54F3"/>
    <w:rsid w:val="00DC5C2A"/>
    <w:rsid w:val="00DD3D58"/>
    <w:rsid w:val="00DE4170"/>
    <w:rsid w:val="00DF02D4"/>
    <w:rsid w:val="00DF1F5F"/>
    <w:rsid w:val="00DF3BB7"/>
    <w:rsid w:val="00DF5BDF"/>
    <w:rsid w:val="00E04875"/>
    <w:rsid w:val="00E112DB"/>
    <w:rsid w:val="00E117E5"/>
    <w:rsid w:val="00E126A6"/>
    <w:rsid w:val="00E13EBE"/>
    <w:rsid w:val="00E1573D"/>
    <w:rsid w:val="00E21400"/>
    <w:rsid w:val="00E24D46"/>
    <w:rsid w:val="00E262CE"/>
    <w:rsid w:val="00E26C27"/>
    <w:rsid w:val="00E27130"/>
    <w:rsid w:val="00E31CC2"/>
    <w:rsid w:val="00E339C0"/>
    <w:rsid w:val="00E34875"/>
    <w:rsid w:val="00E36118"/>
    <w:rsid w:val="00E4055F"/>
    <w:rsid w:val="00E42D04"/>
    <w:rsid w:val="00E45DD8"/>
    <w:rsid w:val="00E53C11"/>
    <w:rsid w:val="00E543B3"/>
    <w:rsid w:val="00E54D45"/>
    <w:rsid w:val="00E55F75"/>
    <w:rsid w:val="00E56406"/>
    <w:rsid w:val="00E56B06"/>
    <w:rsid w:val="00E60FFF"/>
    <w:rsid w:val="00E666B9"/>
    <w:rsid w:val="00E66FBD"/>
    <w:rsid w:val="00E67471"/>
    <w:rsid w:val="00E721CA"/>
    <w:rsid w:val="00E74B37"/>
    <w:rsid w:val="00E752E9"/>
    <w:rsid w:val="00E760E1"/>
    <w:rsid w:val="00E83D65"/>
    <w:rsid w:val="00E90016"/>
    <w:rsid w:val="00E9495D"/>
    <w:rsid w:val="00E974F3"/>
    <w:rsid w:val="00EA1654"/>
    <w:rsid w:val="00EA4343"/>
    <w:rsid w:val="00EA5183"/>
    <w:rsid w:val="00EA61D5"/>
    <w:rsid w:val="00EA7705"/>
    <w:rsid w:val="00EB431D"/>
    <w:rsid w:val="00EC4636"/>
    <w:rsid w:val="00EC66F1"/>
    <w:rsid w:val="00EE436E"/>
    <w:rsid w:val="00EE66B3"/>
    <w:rsid w:val="00EF0A9F"/>
    <w:rsid w:val="00EF18EA"/>
    <w:rsid w:val="00F00145"/>
    <w:rsid w:val="00F03ABF"/>
    <w:rsid w:val="00F044DC"/>
    <w:rsid w:val="00F05CBF"/>
    <w:rsid w:val="00F10146"/>
    <w:rsid w:val="00F143DA"/>
    <w:rsid w:val="00F2113C"/>
    <w:rsid w:val="00F22E4A"/>
    <w:rsid w:val="00F23283"/>
    <w:rsid w:val="00F256D3"/>
    <w:rsid w:val="00F26EE7"/>
    <w:rsid w:val="00F33C28"/>
    <w:rsid w:val="00F34193"/>
    <w:rsid w:val="00F36F4D"/>
    <w:rsid w:val="00F42B70"/>
    <w:rsid w:val="00F5358E"/>
    <w:rsid w:val="00F5496D"/>
    <w:rsid w:val="00F5609E"/>
    <w:rsid w:val="00F569D9"/>
    <w:rsid w:val="00F70245"/>
    <w:rsid w:val="00F72693"/>
    <w:rsid w:val="00F83D12"/>
    <w:rsid w:val="00F85BCB"/>
    <w:rsid w:val="00F90BD3"/>
    <w:rsid w:val="00F93A89"/>
    <w:rsid w:val="00F96CD5"/>
    <w:rsid w:val="00FA41CD"/>
    <w:rsid w:val="00FA5B3A"/>
    <w:rsid w:val="00FA6EB5"/>
    <w:rsid w:val="00FB13A6"/>
    <w:rsid w:val="00FB4401"/>
    <w:rsid w:val="00FD16A1"/>
    <w:rsid w:val="00FD62BC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8D7034F"/>
  <w15:docId w15:val="{D882FDFD-54C6-450C-8F40-1D056A0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A81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4">
    <w:name w:val="heading 4"/>
    <w:basedOn w:val="Parasts"/>
    <w:link w:val="Virsraksts4Rakstz"/>
    <w:uiPriority w:val="9"/>
    <w:qFormat/>
    <w:rsid w:val="00A816C5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link w:val="BalontekstsRakstz"/>
    <w:uiPriority w:val="99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46454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464541"/>
    <w:rPr>
      <w:b/>
      <w:bCs/>
    </w:rPr>
  </w:style>
  <w:style w:type="paragraph" w:styleId="Prskatjums">
    <w:name w:val="Revision"/>
    <w:hidden/>
    <w:uiPriority w:val="99"/>
    <w:semiHidden/>
    <w:rsid w:val="00616190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Noklusjumarindkopasfonts"/>
    <w:rsid w:val="00903FA0"/>
  </w:style>
  <w:style w:type="paragraph" w:customStyle="1" w:styleId="Sarakstarindkopa1">
    <w:name w:val="Saraksta rindkopa1"/>
    <w:basedOn w:val="Parasts"/>
    <w:uiPriority w:val="34"/>
    <w:qFormat/>
    <w:rsid w:val="00F26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816C5"/>
    <w:rPr>
      <w:b/>
      <w:bCs/>
      <w:kern w:val="36"/>
      <w:sz w:val="48"/>
      <w:szCs w:val="4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A816C5"/>
    <w:rPr>
      <w:b/>
      <w:bCs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A816C5"/>
    <w:rPr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A816C5"/>
    <w:rPr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16C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3B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50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07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7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12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8870-valsts-zemes-dienesta-maksas-pakalpojumu-cenradis-un-samaksas-karti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9805C-C594-411E-A650-54902641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998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22. decembra noteikumos Nr. 787 "Valsts zemes dienesta maksas pakalpojumu cenrādis un samaksas kārtība"</vt:lpstr>
      <vt:lpstr>Grozījumi Ministru kabineta 2015. gada 22. decembra noteikumos Nr. 787 "Valsts zemes dienesta maksas pakalpojumu cenrādis un samaksas kārtība"</vt:lpstr>
    </vt:vector>
  </TitlesOfParts>
  <Company>Tieslietu ministrija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22. decembra noteikumos Nr. 787 "Valsts zemes dienesta maksas pakalpojumu cenrādis un samaksas kārtība"</dc:title>
  <dc:subject>Ministru kabineta noteikumu projekts</dc:subject>
  <dc:creator>Anda Ērgle-Bīmane</dc:creator>
  <dc:description>67220290, anda.ergle-bimane@vzd.gov.lv</dc:description>
  <cp:lastModifiedBy>Anda Ērgle-Bīmane</cp:lastModifiedBy>
  <cp:revision>3</cp:revision>
  <cp:lastPrinted>2019-09-24T13:26:00Z</cp:lastPrinted>
  <dcterms:created xsi:type="dcterms:W3CDTF">2021-04-13T07:11:00Z</dcterms:created>
  <dcterms:modified xsi:type="dcterms:W3CDTF">2021-06-18T08:52:00Z</dcterms:modified>
</cp:coreProperties>
</file>