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1B8B6" w14:textId="531E7E54" w:rsidR="003E185C" w:rsidRDefault="003E185C" w:rsidP="003E185C">
      <w:pPr>
        <w:shd w:val="clear" w:color="auto" w:fill="FFFFFF"/>
        <w:jc w:val="center"/>
        <w:rPr>
          <w:b/>
          <w:bCs/>
          <w:sz w:val="28"/>
        </w:rPr>
      </w:pPr>
      <w:bookmarkStart w:id="0" w:name="OLE_LINK1"/>
      <w:bookmarkStart w:id="1" w:name="OLE_LINK2"/>
      <w:r w:rsidRPr="003E185C">
        <w:rPr>
          <w:b/>
          <w:bCs/>
          <w:sz w:val="28"/>
        </w:rPr>
        <w:t xml:space="preserve">Ministru kabineta noteikumu </w:t>
      </w:r>
      <w:r w:rsidR="00C53410" w:rsidRPr="003E185C">
        <w:rPr>
          <w:b/>
          <w:bCs/>
          <w:sz w:val="28"/>
        </w:rPr>
        <w:t>projekt</w:t>
      </w:r>
      <w:r w:rsidR="00C53410">
        <w:rPr>
          <w:b/>
          <w:bCs/>
          <w:sz w:val="28"/>
        </w:rPr>
        <w:t>s</w:t>
      </w:r>
      <w:r w:rsidRPr="003E185C">
        <w:rPr>
          <w:b/>
          <w:bCs/>
          <w:sz w:val="28"/>
        </w:rPr>
        <w:t xml:space="preserve"> “</w:t>
      </w:r>
      <w:r w:rsidR="00A11C80">
        <w:rPr>
          <w:b/>
          <w:bCs/>
          <w:sz w:val="28"/>
        </w:rPr>
        <w:t>E</w:t>
      </w:r>
      <w:r w:rsidRPr="003E185C">
        <w:rPr>
          <w:b/>
          <w:bCs/>
          <w:sz w:val="28"/>
        </w:rPr>
        <w:t>misijas kvotu piešķiršanas kārtība stacionāro tehnoloģisko iekārtu operatoriem” sākotnējās ietekmes novērtējuma ziņojums (anotācija)</w:t>
      </w:r>
      <w:r w:rsidR="006C7EB1">
        <w:rPr>
          <w:b/>
          <w:bCs/>
          <w:sz w:val="28"/>
        </w:rPr>
        <w:t xml:space="preserve"> </w:t>
      </w:r>
    </w:p>
    <w:p w14:paraId="26F1DA73" w14:textId="245A2CF1" w:rsidR="003E185C" w:rsidRPr="003E2522" w:rsidRDefault="003E185C" w:rsidP="003E185C">
      <w:pPr>
        <w:shd w:val="clear" w:color="auto" w:fill="FFFFFF"/>
        <w:rPr>
          <w:b/>
          <w:bCs/>
          <w:sz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E185C" w:rsidRPr="00330D38" w14:paraId="0794529B" w14:textId="77777777" w:rsidTr="58D7DCA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99516B1" w14:textId="77777777" w:rsidR="003E185C" w:rsidRPr="00330D38" w:rsidRDefault="003E185C" w:rsidP="003E185C">
            <w:pPr>
              <w:rPr>
                <w:b/>
                <w:bCs/>
                <w:iCs/>
              </w:rPr>
            </w:pPr>
            <w:r w:rsidRPr="00330D38">
              <w:rPr>
                <w:b/>
                <w:bCs/>
                <w:iCs/>
              </w:rPr>
              <w:t>Tiesību akta projekta anotācijas kopsavilkums</w:t>
            </w:r>
          </w:p>
        </w:tc>
      </w:tr>
      <w:tr w:rsidR="003E185C" w:rsidRPr="00330D38" w14:paraId="3C14176A" w14:textId="77777777" w:rsidTr="58D7DCA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031B0AA" w14:textId="77777777" w:rsidR="003E185C" w:rsidRPr="00330D38" w:rsidRDefault="003E185C" w:rsidP="003E185C">
            <w:pPr>
              <w:rPr>
                <w:iCs/>
              </w:rPr>
            </w:pPr>
            <w:r w:rsidRPr="00330D38">
              <w:rPr>
                <w:iCs/>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706152E5" w14:textId="63999593" w:rsidR="000F124E" w:rsidRDefault="003E185C" w:rsidP="00031CE8">
            <w:pPr>
              <w:jc w:val="both"/>
              <w:rPr>
                <w:iCs/>
              </w:rPr>
            </w:pPr>
            <w:r w:rsidRPr="00330D38">
              <w:rPr>
                <w:iCs/>
              </w:rPr>
              <w:t xml:space="preserve">Noteikumu </w:t>
            </w:r>
            <w:r w:rsidR="00C53410" w:rsidRPr="00C53410">
              <w:rPr>
                <w:iCs/>
              </w:rPr>
              <w:t>projekt</w:t>
            </w:r>
            <w:r w:rsidR="00C53410">
              <w:rPr>
                <w:iCs/>
              </w:rPr>
              <w:t>a</w:t>
            </w:r>
            <w:r w:rsidR="00C53410" w:rsidRPr="00C53410">
              <w:rPr>
                <w:iCs/>
              </w:rPr>
              <w:t xml:space="preserve"> </w:t>
            </w:r>
            <w:r w:rsidRPr="00C53410">
              <w:rPr>
                <w:iCs/>
              </w:rPr>
              <w:t>“</w:t>
            </w:r>
            <w:r w:rsidR="00291ABF">
              <w:rPr>
                <w:iCs/>
              </w:rPr>
              <w:t>E</w:t>
            </w:r>
            <w:r w:rsidR="00B20C0A" w:rsidRPr="00C53410">
              <w:rPr>
                <w:iCs/>
              </w:rPr>
              <w:t xml:space="preserve">misijas </w:t>
            </w:r>
            <w:r w:rsidRPr="00C53410">
              <w:rPr>
                <w:iCs/>
              </w:rPr>
              <w:t>kvotu piešķiršanas kārtība stacionāro tehnoloģisko iekārtu operatoriem” (turpmāk – Noteikumu projekts)</w:t>
            </w:r>
            <w:r w:rsidRPr="00330D38">
              <w:rPr>
                <w:iCs/>
              </w:rPr>
              <w:t xml:space="preserve"> mērķis ir nodrošināt Eiropas Savienības emisijas kvotu tirdzniecības sistēmas (turpmāk – ES ETS)</w:t>
            </w:r>
            <w:r w:rsidR="00031CE8">
              <w:rPr>
                <w:iCs/>
              </w:rPr>
              <w:t xml:space="preserve"> </w:t>
            </w:r>
            <w:r w:rsidR="00D12CAA">
              <w:rPr>
                <w:iCs/>
              </w:rPr>
              <w:t>ceturtā</w:t>
            </w:r>
            <w:r w:rsidR="00031CE8">
              <w:rPr>
                <w:iCs/>
              </w:rPr>
              <w:t xml:space="preserve"> perioda</w:t>
            </w:r>
            <w:r w:rsidRPr="00330D38">
              <w:rPr>
                <w:iCs/>
              </w:rPr>
              <w:t xml:space="preserve"> darbību Latvijā atbilstoši aktuālajiem Eiropa</w:t>
            </w:r>
            <w:r w:rsidR="00031CE8">
              <w:rPr>
                <w:iCs/>
              </w:rPr>
              <w:t>s Komisijas</w:t>
            </w:r>
            <w:r w:rsidR="00B57DE3">
              <w:rPr>
                <w:iCs/>
              </w:rPr>
              <w:t xml:space="preserve"> (turpmāk – EK)</w:t>
            </w:r>
            <w:r w:rsidR="00031CE8">
              <w:rPr>
                <w:iCs/>
              </w:rPr>
              <w:t xml:space="preserve"> deleģētajiem </w:t>
            </w:r>
            <w:r w:rsidR="00B57DE3">
              <w:rPr>
                <w:iCs/>
              </w:rPr>
              <w:t xml:space="preserve">tiesību </w:t>
            </w:r>
            <w:r w:rsidR="00031CE8">
              <w:rPr>
                <w:iCs/>
              </w:rPr>
              <w:t xml:space="preserve">aktiem, aktualizējot </w:t>
            </w:r>
            <w:r>
              <w:rPr>
                <w:iCs/>
              </w:rPr>
              <w:t>kārtīb</w:t>
            </w:r>
            <w:r w:rsidR="00031CE8">
              <w:rPr>
                <w:iCs/>
              </w:rPr>
              <w:t>u</w:t>
            </w:r>
            <w:r w:rsidRPr="003E185C">
              <w:rPr>
                <w:iCs/>
              </w:rPr>
              <w:t xml:space="preserve"> emisijas kvotu </w:t>
            </w:r>
            <w:r w:rsidR="00C21FB5">
              <w:rPr>
                <w:iCs/>
              </w:rPr>
              <w:t xml:space="preserve">daudzuma </w:t>
            </w:r>
            <w:r w:rsidR="000F124E">
              <w:rPr>
                <w:iCs/>
              </w:rPr>
              <w:t>noteik</w:t>
            </w:r>
            <w:r w:rsidR="00D12CAA">
              <w:rPr>
                <w:iCs/>
              </w:rPr>
              <w:t>šanai</w:t>
            </w:r>
            <w:r w:rsidR="000F124E">
              <w:rPr>
                <w:iCs/>
              </w:rPr>
              <w:t>.</w:t>
            </w:r>
          </w:p>
          <w:p w14:paraId="3162F314" w14:textId="6D4C8587" w:rsidR="003E185C" w:rsidRPr="00330D38" w:rsidRDefault="00585BAE" w:rsidP="00D12CAA">
            <w:pPr>
              <w:jc w:val="both"/>
            </w:pPr>
            <w:r w:rsidRPr="00EB62AE">
              <w:rPr>
                <w:iCs/>
              </w:rPr>
              <w:t>Noteikumu projekts stājas spēkā Oficiālo publikāciju un tiesiskās informācijas likuma 7. panta otrajā daļā noteiktajā kārtībā.</w:t>
            </w:r>
          </w:p>
        </w:tc>
      </w:tr>
    </w:tbl>
    <w:p w14:paraId="2927E7DE" w14:textId="7DE3CD89" w:rsidR="003E185C" w:rsidRPr="003E185C" w:rsidRDefault="003E185C" w:rsidP="00461E20">
      <w:pPr>
        <w:spacing w:before="120" w:after="120"/>
        <w:jc w:val="center"/>
        <w:rPr>
          <w:i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E185C" w:rsidRPr="007844BF" w14:paraId="47C73D81" w14:textId="77777777" w:rsidTr="2A37A0A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56B1311" w14:textId="77777777" w:rsidR="003E185C" w:rsidRPr="007844BF" w:rsidRDefault="003E185C" w:rsidP="003E185C">
            <w:pPr>
              <w:rPr>
                <w:b/>
                <w:bCs/>
                <w:iCs/>
              </w:rPr>
            </w:pPr>
            <w:r w:rsidRPr="007844BF">
              <w:rPr>
                <w:b/>
                <w:bCs/>
                <w:iCs/>
              </w:rPr>
              <w:t>I. Tiesību akta projekta izstrādes nepieciešamība</w:t>
            </w:r>
          </w:p>
        </w:tc>
      </w:tr>
      <w:tr w:rsidR="003E185C" w:rsidRPr="007844BF" w14:paraId="1078A596" w14:textId="77777777" w:rsidTr="2A37A0A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8F5EE5" w14:textId="77777777" w:rsidR="003E185C" w:rsidRPr="007844BF" w:rsidRDefault="003E185C" w:rsidP="003E185C">
            <w:pPr>
              <w:rPr>
                <w:iCs/>
              </w:rPr>
            </w:pPr>
            <w:r w:rsidRPr="007844BF">
              <w:rPr>
                <w:iCs/>
              </w:rPr>
              <w:t>1.</w:t>
            </w:r>
          </w:p>
        </w:tc>
        <w:tc>
          <w:tcPr>
            <w:tcW w:w="1700" w:type="pct"/>
            <w:tcBorders>
              <w:top w:val="outset" w:sz="6" w:space="0" w:color="auto"/>
              <w:left w:val="outset" w:sz="6" w:space="0" w:color="auto"/>
              <w:bottom w:val="outset" w:sz="6" w:space="0" w:color="auto"/>
              <w:right w:val="outset" w:sz="6" w:space="0" w:color="auto"/>
            </w:tcBorders>
            <w:hideMark/>
          </w:tcPr>
          <w:p w14:paraId="343859A6" w14:textId="77777777" w:rsidR="003E185C" w:rsidRPr="007844BF" w:rsidRDefault="003E185C" w:rsidP="003E185C">
            <w:pPr>
              <w:rPr>
                <w:iCs/>
              </w:rPr>
            </w:pPr>
            <w:r w:rsidRPr="007844BF">
              <w:rPr>
                <w:iCs/>
              </w:rPr>
              <w:t>Pamatojums</w:t>
            </w:r>
          </w:p>
        </w:tc>
        <w:tc>
          <w:tcPr>
            <w:tcW w:w="3000" w:type="pct"/>
            <w:tcBorders>
              <w:top w:val="outset" w:sz="6" w:space="0" w:color="auto"/>
              <w:left w:val="outset" w:sz="6" w:space="0" w:color="auto"/>
              <w:bottom w:val="outset" w:sz="6" w:space="0" w:color="auto"/>
              <w:right w:val="outset" w:sz="6" w:space="0" w:color="auto"/>
            </w:tcBorders>
            <w:hideMark/>
          </w:tcPr>
          <w:p w14:paraId="70D402B4" w14:textId="2BAB7039" w:rsidR="00660010" w:rsidRPr="007844BF" w:rsidRDefault="00660010" w:rsidP="00C53410">
            <w:pPr>
              <w:jc w:val="both"/>
              <w:rPr>
                <w:iCs/>
              </w:rPr>
            </w:pPr>
            <w:r w:rsidRPr="00C53410">
              <w:rPr>
                <w:iCs/>
              </w:rPr>
              <w:t xml:space="preserve">Noteikumu </w:t>
            </w:r>
            <w:r>
              <w:rPr>
                <w:iCs/>
              </w:rPr>
              <w:t>projekts</w:t>
            </w:r>
            <w:r w:rsidRPr="007844BF">
              <w:t xml:space="preserve"> sagatavots pēc Vides aizsardzības un reģionālās attīstības ministrijas </w:t>
            </w:r>
            <w:r w:rsidRPr="007844BF">
              <w:rPr>
                <w:iCs/>
              </w:rPr>
              <w:t xml:space="preserve">(turpmāk - VARAM) </w:t>
            </w:r>
            <w:r w:rsidRPr="007844BF">
              <w:t xml:space="preserve">iniciatīvas, lai nodrošinātu ES ETS funkcionēšanu Latvijā </w:t>
            </w:r>
            <w:r w:rsidR="00B57DE3">
              <w:t xml:space="preserve">ES ETS </w:t>
            </w:r>
            <w:r w:rsidRPr="007844BF">
              <w:t>ceturtajā periodā</w:t>
            </w:r>
            <w:r w:rsidR="00B57DE3">
              <w:t xml:space="preserve"> (2021. – 2030.</w:t>
            </w:r>
            <w:r w:rsidR="00585BAE">
              <w:t> </w:t>
            </w:r>
            <w:r w:rsidR="00B57DE3">
              <w:t>gads)</w:t>
            </w:r>
            <w:r w:rsidRPr="007844BF">
              <w:t xml:space="preserve">, balstoties uz jaunākajiem </w:t>
            </w:r>
            <w:r w:rsidR="00DB3EFC">
              <w:t>EK</w:t>
            </w:r>
            <w:r w:rsidR="00B57DE3">
              <w:t xml:space="preserve"> </w:t>
            </w:r>
            <w:r w:rsidR="00585BAE">
              <w:t xml:space="preserve">deleģētajiem </w:t>
            </w:r>
            <w:r w:rsidR="00B57DE3">
              <w:t>tiesību</w:t>
            </w:r>
            <w:r w:rsidRPr="007844BF">
              <w:t xml:space="preserve"> aktiem.</w:t>
            </w:r>
          </w:p>
        </w:tc>
      </w:tr>
      <w:tr w:rsidR="003E185C" w:rsidRPr="007844BF" w14:paraId="6E303773" w14:textId="77777777" w:rsidTr="2A37A0A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751812" w14:textId="77777777" w:rsidR="003E185C" w:rsidRPr="007844BF" w:rsidRDefault="003E185C" w:rsidP="003E185C">
            <w:pPr>
              <w:rPr>
                <w:iCs/>
              </w:rPr>
            </w:pPr>
            <w:r w:rsidRPr="007844BF">
              <w:rPr>
                <w:iCs/>
              </w:rPr>
              <w:t>2.</w:t>
            </w:r>
          </w:p>
        </w:tc>
        <w:tc>
          <w:tcPr>
            <w:tcW w:w="1700" w:type="pct"/>
            <w:tcBorders>
              <w:top w:val="outset" w:sz="6" w:space="0" w:color="auto"/>
              <w:left w:val="outset" w:sz="6" w:space="0" w:color="auto"/>
              <w:bottom w:val="outset" w:sz="6" w:space="0" w:color="auto"/>
              <w:right w:val="outset" w:sz="6" w:space="0" w:color="auto"/>
            </w:tcBorders>
            <w:hideMark/>
          </w:tcPr>
          <w:p w14:paraId="4A296DAA" w14:textId="77777777" w:rsidR="003E185C" w:rsidRPr="007844BF" w:rsidRDefault="003E185C" w:rsidP="003E185C">
            <w:pPr>
              <w:rPr>
                <w:iCs/>
              </w:rPr>
            </w:pPr>
            <w:r w:rsidRPr="007844BF">
              <w:rPr>
                <w:iCs/>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1C5BA426" w14:textId="34E74D4F" w:rsidR="00745C69" w:rsidRPr="00B46498" w:rsidRDefault="00745C69" w:rsidP="00B46498">
            <w:pPr>
              <w:jc w:val="both"/>
              <w:rPr>
                <w:iCs/>
              </w:rPr>
            </w:pPr>
            <w:r w:rsidRPr="00745C69">
              <w:rPr>
                <w:iCs/>
              </w:rPr>
              <w:t xml:space="preserve">ES ETS darbība ES līmenī ir noteikta 2003. gada 13. oktobra Eiropas Parlamenta un Padomes Direktīvā 2003/87/EK, ar kuru nosaka sistēmu siltumnīcas efektu izraisošo gāzu emisijas kvotu tirdzniecībai Kopienā un groza Padomes Direktīvu 96/61/EK (turpmāk – Direktīva 2003/87/EK). Eiropadome 2014. gada 24. oktobrī pieņēma secinājumus “Par klimata un enerģētikas politikas satvaru laikposmam no 2020. gada līdz 2030. gadam” (turpmāk – Eiropadomes secinājumi), nosakot nosacījumus </w:t>
            </w:r>
            <w:r w:rsidR="00AD4922">
              <w:rPr>
                <w:iCs/>
              </w:rPr>
              <w:t>“</w:t>
            </w:r>
            <w:r w:rsidR="00AD4922" w:rsidRPr="00AD4922">
              <w:rPr>
                <w:iCs/>
              </w:rPr>
              <w:t>Klimata un enerģētikas politikas satvar</w:t>
            </w:r>
            <w:r w:rsidR="00AD4922">
              <w:rPr>
                <w:iCs/>
              </w:rPr>
              <w:t>a</w:t>
            </w:r>
            <w:r w:rsidR="00AD4922" w:rsidRPr="00AD4922">
              <w:rPr>
                <w:iCs/>
              </w:rPr>
              <w:t xml:space="preserve"> laikposmam līdz 2030. gadam</w:t>
            </w:r>
            <w:r w:rsidR="00AD4922">
              <w:rPr>
                <w:iCs/>
              </w:rPr>
              <w:t xml:space="preserve">” </w:t>
            </w:r>
            <w:r w:rsidRPr="00745C69">
              <w:rPr>
                <w:iCs/>
              </w:rPr>
              <w:t>noteikto mērķu īstenošanai, t.sk. nosacījumu, ka ES ETS jāreformē, jānodrošina tā laba un efektīva funkcionēšana, kā arī nosaukti elementi, kas jāiekļauj reformā.</w:t>
            </w:r>
          </w:p>
          <w:p w14:paraId="1BFE7254" w14:textId="77777777" w:rsidR="00745C69" w:rsidRPr="007844BF" w:rsidRDefault="00745C69" w:rsidP="00745C69">
            <w:pPr>
              <w:jc w:val="both"/>
              <w:rPr>
                <w:iCs/>
              </w:rPr>
            </w:pPr>
          </w:p>
          <w:p w14:paraId="7163B0C8" w14:textId="6973EE90" w:rsidR="00745C69" w:rsidRDefault="00745C69" w:rsidP="00745C69">
            <w:pPr>
              <w:jc w:val="both"/>
              <w:rPr>
                <w:iCs/>
              </w:rPr>
            </w:pPr>
            <w:r w:rsidRPr="007844BF">
              <w:rPr>
                <w:iCs/>
              </w:rPr>
              <w:t>Lai veicinātu</w:t>
            </w:r>
            <w:r w:rsidR="00B57DE3">
              <w:rPr>
                <w:iCs/>
              </w:rPr>
              <w:t xml:space="preserve"> siltumnīcefekta gāzu (turpmāk – SEG)</w:t>
            </w:r>
            <w:r w:rsidRPr="007844BF">
              <w:rPr>
                <w:iCs/>
              </w:rPr>
              <w:t xml:space="preserve"> emisiju samazināšanu visā </w:t>
            </w:r>
            <w:r w:rsidR="00B57DE3">
              <w:rPr>
                <w:iCs/>
              </w:rPr>
              <w:t>ES</w:t>
            </w:r>
            <w:r w:rsidRPr="007844BF">
              <w:rPr>
                <w:iCs/>
              </w:rPr>
              <w:t xml:space="preserve">, </w:t>
            </w:r>
            <w:r w:rsidR="00B57DE3">
              <w:rPr>
                <w:iCs/>
              </w:rPr>
              <w:t>EK</w:t>
            </w:r>
            <w:r w:rsidRPr="007844BF">
              <w:rPr>
                <w:iCs/>
              </w:rPr>
              <w:t xml:space="preserve"> ES ETS ceturtajam periodam (2021.</w:t>
            </w:r>
            <w:r w:rsidR="00B57DE3">
              <w:rPr>
                <w:iCs/>
              </w:rPr>
              <w:t xml:space="preserve"> </w:t>
            </w:r>
            <w:r w:rsidRPr="007844BF">
              <w:rPr>
                <w:iCs/>
              </w:rPr>
              <w:t>-</w:t>
            </w:r>
            <w:r w:rsidR="00B57DE3">
              <w:rPr>
                <w:iCs/>
              </w:rPr>
              <w:t xml:space="preserve"> </w:t>
            </w:r>
            <w:r w:rsidRPr="007844BF">
              <w:rPr>
                <w:iCs/>
              </w:rPr>
              <w:t>2030.</w:t>
            </w:r>
            <w:r w:rsidR="00B57DE3">
              <w:rPr>
                <w:iCs/>
              </w:rPr>
              <w:t xml:space="preserve"> </w:t>
            </w:r>
            <w:r w:rsidRPr="007844BF">
              <w:rPr>
                <w:iCs/>
              </w:rPr>
              <w:t xml:space="preserve">gads) izstrādāja jaunas prasības, ko noteica ar </w:t>
            </w:r>
            <w:r w:rsidRPr="007844BF">
              <w:t>Eiropas Parlamenta un Padomes 2018. gada 14. marta Direktīv</w:t>
            </w:r>
            <w:r w:rsidR="00D844C8">
              <w:t>u</w:t>
            </w:r>
            <w:r w:rsidRPr="007844BF">
              <w:t xml:space="preserve"> Nr. 2018/410/ES,</w:t>
            </w:r>
            <w:r w:rsidRPr="007844BF">
              <w:rPr>
                <w:iCs/>
              </w:rPr>
              <w:t xml:space="preserve"> ar ko groza Direktīvu 2003/87/EK, lai sekmētu emisiju </w:t>
            </w:r>
            <w:r w:rsidRPr="007844BF">
              <w:rPr>
                <w:iCs/>
              </w:rPr>
              <w:lastRenderedPageBreak/>
              <w:t xml:space="preserve">izmaksefektīvu samazināšanu un investīcijas mazoglekļa risinājumos, un Lēmumu 2015/1814 (turpmāk – Direktīva 2018/410), lai nodrošinātu, ka labi funkcionējoša un reformēta ES ETS ir galvenais </w:t>
            </w:r>
            <w:r w:rsidR="00B57DE3">
              <w:rPr>
                <w:iCs/>
              </w:rPr>
              <w:t>ES</w:t>
            </w:r>
            <w:r w:rsidR="00B57DE3" w:rsidRPr="007844BF">
              <w:rPr>
                <w:iCs/>
              </w:rPr>
              <w:t xml:space="preserve"> </w:t>
            </w:r>
            <w:r w:rsidRPr="007844BF">
              <w:rPr>
                <w:iCs/>
              </w:rPr>
              <w:t xml:space="preserve">instruments </w:t>
            </w:r>
            <w:r w:rsidR="00B57DE3">
              <w:rPr>
                <w:iCs/>
              </w:rPr>
              <w:t>SEG</w:t>
            </w:r>
            <w:r w:rsidRPr="007844BF">
              <w:rPr>
                <w:iCs/>
              </w:rPr>
              <w:t xml:space="preserve"> emisiju samazināšanas mērķa sasniegšanai. Ar </w:t>
            </w:r>
            <w:r>
              <w:rPr>
                <w:iCs/>
              </w:rPr>
              <w:t>Direktīvu 2018/410</w:t>
            </w:r>
            <w:r w:rsidRPr="007844BF">
              <w:rPr>
                <w:iCs/>
              </w:rPr>
              <w:t xml:space="preserve"> veikti grozījumi Direktīvā 2003/87/EK, reformējot ES ETS, nodrošinot tā efektīvu funkcionēšanu </w:t>
            </w:r>
            <w:r w:rsidR="00B57DE3">
              <w:rPr>
                <w:iCs/>
              </w:rPr>
              <w:t xml:space="preserve">ES ETS </w:t>
            </w:r>
            <w:r w:rsidRPr="007844BF">
              <w:rPr>
                <w:iCs/>
              </w:rPr>
              <w:t>ceturtajā periodā (2021. – 2030. gads).</w:t>
            </w:r>
          </w:p>
          <w:p w14:paraId="1F94026D" w14:textId="77777777" w:rsidR="00335FEC" w:rsidRPr="00335FEC" w:rsidRDefault="00335FEC" w:rsidP="00745C69">
            <w:pPr>
              <w:jc w:val="both"/>
              <w:rPr>
                <w:iCs/>
              </w:rPr>
            </w:pPr>
          </w:p>
          <w:p w14:paraId="08ABD5BF" w14:textId="72B8E3A0" w:rsidR="007743A3" w:rsidRPr="00AC1ACB" w:rsidRDefault="00745C69" w:rsidP="00745C69">
            <w:pPr>
              <w:jc w:val="both"/>
              <w:rPr>
                <w:iCs/>
              </w:rPr>
            </w:pPr>
            <w:r w:rsidRPr="00AC1ACB">
              <w:rPr>
                <w:iCs/>
              </w:rPr>
              <w:t>VARAM ir atbildīga par ES ETS darbību Latvijā atbilstoši likuma “Par piesārņojumu” 32.</w:t>
            </w:r>
            <w:r w:rsidRPr="00AC1ACB">
              <w:rPr>
                <w:iCs/>
                <w:vertAlign w:val="superscript"/>
              </w:rPr>
              <w:t>1</w:t>
            </w:r>
            <w:r w:rsidRPr="00AC1ACB">
              <w:rPr>
                <w:iCs/>
              </w:rPr>
              <w:t> </w:t>
            </w:r>
            <w:r w:rsidR="009120FD" w:rsidRPr="00AC1ACB">
              <w:rPr>
                <w:iCs/>
              </w:rPr>
              <w:t>un 32</w:t>
            </w:r>
            <w:r w:rsidR="00F42E9D" w:rsidRPr="00AC1ACB">
              <w:rPr>
                <w:iCs/>
              </w:rPr>
              <w:t>.</w:t>
            </w:r>
            <w:r w:rsidR="00F42E9D" w:rsidRPr="00AC1ACB">
              <w:rPr>
                <w:iCs/>
                <w:vertAlign w:val="superscript"/>
              </w:rPr>
              <w:t xml:space="preserve">2 </w:t>
            </w:r>
            <w:r w:rsidR="006E6831" w:rsidRPr="00AC1ACB">
              <w:rPr>
                <w:iCs/>
              </w:rPr>
              <w:t xml:space="preserve">panta astotajā daļā </w:t>
            </w:r>
            <w:r w:rsidRPr="00AC1ACB">
              <w:rPr>
                <w:iCs/>
              </w:rPr>
              <w:t xml:space="preserve">ietvertajam </w:t>
            </w:r>
            <w:r w:rsidR="00515B29" w:rsidRPr="00AC1ACB">
              <w:rPr>
                <w:iCs/>
              </w:rPr>
              <w:t>deleģējumam</w:t>
            </w:r>
            <w:r w:rsidR="008F20FA" w:rsidRPr="00AC1ACB">
              <w:rPr>
                <w:iCs/>
              </w:rPr>
              <w:t xml:space="preserve">, kas </w:t>
            </w:r>
            <w:r w:rsidR="007743A3" w:rsidRPr="00AC1ACB">
              <w:rPr>
                <w:iCs/>
              </w:rPr>
              <w:t xml:space="preserve">atbilstoši </w:t>
            </w:r>
            <w:r w:rsidR="009871C9" w:rsidRPr="00AC1ACB">
              <w:rPr>
                <w:iCs/>
              </w:rPr>
              <w:t xml:space="preserve">šā panta pirmajai daļai </w:t>
            </w:r>
            <w:r w:rsidR="008F20FA" w:rsidRPr="00AC1ACB">
              <w:rPr>
                <w:iCs/>
              </w:rPr>
              <w:t>nosaka</w:t>
            </w:r>
            <w:r w:rsidR="006A5E3D" w:rsidRPr="00AC1ACB">
              <w:rPr>
                <w:iCs/>
              </w:rPr>
              <w:t xml:space="preserve"> kārtību</w:t>
            </w:r>
            <w:r w:rsidR="008F20FA" w:rsidRPr="00AC1ACB">
              <w:rPr>
                <w:iCs/>
              </w:rPr>
              <w:t>, k</w:t>
            </w:r>
            <w:r w:rsidR="006A5E3D" w:rsidRPr="00AC1ACB">
              <w:rPr>
                <w:iCs/>
              </w:rPr>
              <w:t>ā</w:t>
            </w:r>
            <w:r w:rsidR="008F20FA" w:rsidRPr="00AC1ACB">
              <w:rPr>
                <w:iCs/>
              </w:rPr>
              <w:t xml:space="preserve"> </w:t>
            </w:r>
            <w:r w:rsidR="00A34F19" w:rsidRPr="00AC1ACB">
              <w:rPr>
                <w:iCs/>
              </w:rPr>
              <w:t>VARAM</w:t>
            </w:r>
            <w:r w:rsidR="007743A3" w:rsidRPr="00AC1ACB">
              <w:rPr>
                <w:iCs/>
              </w:rPr>
              <w:t xml:space="preserve">, izvērtējot arī sabiedrības viedokli un ņemot vērā </w:t>
            </w:r>
            <w:r w:rsidR="00D6253D" w:rsidRPr="00AC1ACB">
              <w:rPr>
                <w:iCs/>
              </w:rPr>
              <w:t>EK</w:t>
            </w:r>
            <w:r w:rsidR="007743A3" w:rsidRPr="00AC1ACB">
              <w:rPr>
                <w:iCs/>
              </w:rPr>
              <w:t xml:space="preserve"> apstiprināto iekārtu sarakstu un tā grozījumus, pieņem lēmumu par emisijas kvotu piešķiršanu operatoram, kurš ir saņēmis siltumnīcefekta gāzu emisijas atļauju, ne vēlāk kā divu mēnešu laikā pēc tam, kad saņemts Eiropas Komisijas apstiprinājums par iekārtu sarakstu vai tā grozījumiem. Vides aizsardzības un reģionālās attīstības ministrija pieņem lēmumu par emisijas kvotu piešķiršanu gaisa kuģa operatoram.</w:t>
            </w:r>
          </w:p>
          <w:p w14:paraId="4E9E0DD8" w14:textId="77777777" w:rsidR="00767E35" w:rsidRPr="00AC1ACB" w:rsidRDefault="00C445D9" w:rsidP="009C3CF6">
            <w:pPr>
              <w:jc w:val="both"/>
              <w:rPr>
                <w:iCs/>
              </w:rPr>
            </w:pPr>
            <w:r w:rsidRPr="00AC1ACB">
              <w:rPr>
                <w:iCs/>
              </w:rPr>
              <w:t xml:space="preserve">Tā kā </w:t>
            </w:r>
            <w:r w:rsidR="00A974B0" w:rsidRPr="00AC1ACB">
              <w:rPr>
                <w:iCs/>
              </w:rPr>
              <w:t xml:space="preserve">abi minētie </w:t>
            </w:r>
            <w:r w:rsidRPr="00AC1ACB">
              <w:rPr>
                <w:iCs/>
              </w:rPr>
              <w:t xml:space="preserve">lēmumi ir </w:t>
            </w:r>
            <w:r w:rsidR="00A974B0" w:rsidRPr="00AC1ACB">
              <w:rPr>
                <w:iCs/>
              </w:rPr>
              <w:t>specifiski</w:t>
            </w:r>
            <w:r w:rsidR="008D7E99" w:rsidRPr="00AC1ACB">
              <w:rPr>
                <w:iCs/>
              </w:rPr>
              <w:t xml:space="preserve"> </w:t>
            </w:r>
            <w:r w:rsidR="0034747B" w:rsidRPr="00AC1ACB">
              <w:rPr>
                <w:iCs/>
              </w:rPr>
              <w:t xml:space="preserve">un </w:t>
            </w:r>
            <w:r w:rsidR="00233449" w:rsidRPr="00AC1ACB">
              <w:rPr>
                <w:iCs/>
              </w:rPr>
              <w:t xml:space="preserve">nodalīti atsevišķos </w:t>
            </w:r>
            <w:r w:rsidR="00233449" w:rsidRPr="00AC1ACB">
              <w:t xml:space="preserve">Direktīvas 2003/87/EK pantos, </w:t>
            </w:r>
            <w:r w:rsidR="006821C7" w:rsidRPr="00AC1ACB">
              <w:t xml:space="preserve">Latvijā atbilstoši </w:t>
            </w:r>
            <w:r w:rsidR="006821C7" w:rsidRPr="00AC1ACB">
              <w:rPr>
                <w:iCs/>
              </w:rPr>
              <w:t>32.</w:t>
            </w:r>
            <w:r w:rsidR="006821C7" w:rsidRPr="00AC1ACB">
              <w:rPr>
                <w:iCs/>
                <w:vertAlign w:val="superscript"/>
              </w:rPr>
              <w:t xml:space="preserve">2 </w:t>
            </w:r>
            <w:r w:rsidR="006821C7" w:rsidRPr="00AC1ACB">
              <w:rPr>
                <w:iCs/>
              </w:rPr>
              <w:t>panta astotajā daļā ietvertajam deleģējumam</w:t>
            </w:r>
            <w:r w:rsidR="006821C7" w:rsidRPr="00AC1ACB">
              <w:t xml:space="preserve">  </w:t>
            </w:r>
            <w:r w:rsidR="00A974B0" w:rsidRPr="00AC1ACB">
              <w:rPr>
                <w:iCs/>
              </w:rPr>
              <w:t xml:space="preserve"> </w:t>
            </w:r>
            <w:r w:rsidR="006821C7" w:rsidRPr="00AC1ACB">
              <w:rPr>
                <w:iCs/>
              </w:rPr>
              <w:t>ir izdoti</w:t>
            </w:r>
            <w:r w:rsidR="00A974B0" w:rsidRPr="00AC1ACB">
              <w:rPr>
                <w:iCs/>
              </w:rPr>
              <w:t xml:space="preserve"> </w:t>
            </w:r>
            <w:r w:rsidR="00A127E6" w:rsidRPr="00AC1ACB">
              <w:rPr>
                <w:iCs/>
              </w:rPr>
              <w:t xml:space="preserve">2013.gada 9.jūlija </w:t>
            </w:r>
            <w:r w:rsidR="00D7686C" w:rsidRPr="00AC1ACB">
              <w:rPr>
                <w:iCs/>
              </w:rPr>
              <w:t>Ministru kabineta</w:t>
            </w:r>
            <w:r w:rsidR="009C3CF6" w:rsidRPr="00AC1ACB">
              <w:rPr>
                <w:iCs/>
              </w:rPr>
              <w:t xml:space="preserve"> noteikumi Nr.366</w:t>
            </w:r>
            <w:r w:rsidR="00B5193C" w:rsidRPr="00AC1ACB">
              <w:rPr>
                <w:iCs/>
              </w:rPr>
              <w:t xml:space="preserve"> </w:t>
            </w:r>
            <w:r w:rsidR="00A127E6" w:rsidRPr="00AC1ACB">
              <w:rPr>
                <w:iCs/>
              </w:rPr>
              <w:t>“</w:t>
            </w:r>
            <w:r w:rsidR="009C3CF6" w:rsidRPr="00AC1ACB">
              <w:rPr>
                <w:iCs/>
              </w:rPr>
              <w:t>Noteikumi par aviācijas darbību dalību Eiropas Savienības emisijas kvotu tirdzniecības sistēmā</w:t>
            </w:r>
            <w:r w:rsidR="00A127E6" w:rsidRPr="00AC1ACB">
              <w:rPr>
                <w:iCs/>
              </w:rPr>
              <w:t>”</w:t>
            </w:r>
            <w:r w:rsidR="00A127E6" w:rsidRPr="00AC1ACB">
              <w:t xml:space="preserve"> un </w:t>
            </w:r>
            <w:r w:rsidR="00E163F5" w:rsidRPr="00AC1ACB">
              <w:rPr>
                <w:iCs/>
              </w:rPr>
              <w:t>Ministru kabineta</w:t>
            </w:r>
            <w:r w:rsidR="00A127E6" w:rsidRPr="00AC1ACB">
              <w:rPr>
                <w:iCs/>
              </w:rPr>
              <w:t xml:space="preserve"> 2013.gada 26.februāra noteikumi Nr. 112 "Emisijas kvotu piešķiršanas kārtība stacionāro tehnoloģisko iekārtu operatoriem"</w:t>
            </w:r>
            <w:r w:rsidR="00FF7FFB" w:rsidRPr="00AC1ACB">
              <w:rPr>
                <w:iCs/>
              </w:rPr>
              <w:t xml:space="preserve">. </w:t>
            </w:r>
          </w:p>
          <w:p w14:paraId="19796BE1" w14:textId="6F86FE16" w:rsidR="00FF7FFB" w:rsidRPr="00AC1ACB" w:rsidRDefault="00981FFB" w:rsidP="009C3CF6">
            <w:pPr>
              <w:jc w:val="both"/>
              <w:rPr>
                <w:iCs/>
              </w:rPr>
            </w:pPr>
            <w:r w:rsidRPr="00AC1ACB">
              <w:rPr>
                <w:iCs/>
              </w:rPr>
              <w:t xml:space="preserve">Noteikumu projekts </w:t>
            </w:r>
            <w:r w:rsidR="00B271F5" w:rsidRPr="00AC1ACB">
              <w:rPr>
                <w:iCs/>
              </w:rPr>
              <w:t xml:space="preserve">nosaka </w:t>
            </w:r>
            <w:r w:rsidR="001A364A" w:rsidRPr="00AC1ACB">
              <w:rPr>
                <w:iCs/>
              </w:rPr>
              <w:t>kārtību lēmumā pieņemšanai par emisijas kvotu piešķiršanu stacionāro tehnoloģisko iekārtu operatoriem</w:t>
            </w:r>
            <w:r w:rsidRPr="00AC1ACB">
              <w:rPr>
                <w:iCs/>
              </w:rPr>
              <w:t xml:space="preserve"> likuma "Par piesārņojumu" 32.</w:t>
            </w:r>
            <w:r w:rsidRPr="00AC1ACB">
              <w:rPr>
                <w:iCs/>
                <w:vertAlign w:val="superscript"/>
              </w:rPr>
              <w:t>2</w:t>
            </w:r>
            <w:r w:rsidRPr="00AC1ACB">
              <w:rPr>
                <w:iCs/>
              </w:rPr>
              <w:t xml:space="preserve"> panta 1.</w:t>
            </w:r>
            <w:r w:rsidRPr="00AC1ACB">
              <w:rPr>
                <w:iCs/>
                <w:vertAlign w:val="superscript"/>
              </w:rPr>
              <w:t>1</w:t>
            </w:r>
            <w:r w:rsidRPr="00AC1ACB">
              <w:rPr>
                <w:iCs/>
              </w:rPr>
              <w:t xml:space="preserve"> daļas </w:t>
            </w:r>
            <w:r w:rsidR="00FB14A5" w:rsidRPr="00AC1ACB">
              <w:rPr>
                <w:iCs/>
              </w:rPr>
              <w:t xml:space="preserve">tikai </w:t>
            </w:r>
            <w:r w:rsidRPr="00AC1ACB">
              <w:rPr>
                <w:iCs/>
              </w:rPr>
              <w:t>4.</w:t>
            </w:r>
            <w:r w:rsidR="00832444" w:rsidRPr="00AC1ACB">
              <w:rPr>
                <w:iCs/>
              </w:rPr>
              <w:t xml:space="preserve"> </w:t>
            </w:r>
            <w:r w:rsidRPr="00AC1ACB">
              <w:rPr>
                <w:iCs/>
              </w:rPr>
              <w:t>punktā noteiktajiem periodam</w:t>
            </w:r>
            <w:r w:rsidR="00FB14A5" w:rsidRPr="00AC1ACB">
              <w:rPr>
                <w:iCs/>
              </w:rPr>
              <w:t xml:space="preserve">, jo 3. punktā minētais </w:t>
            </w:r>
            <w:r w:rsidR="00EB7C09" w:rsidRPr="00AC1ACB">
              <w:rPr>
                <w:iCs/>
              </w:rPr>
              <w:t>trešais periods — no 2013.gada 1.janvāra līdz 2020.gada 31.decembrim</w:t>
            </w:r>
            <w:r w:rsidR="00FB14A5" w:rsidRPr="00AC1ACB">
              <w:rPr>
                <w:iCs/>
              </w:rPr>
              <w:t xml:space="preserve"> </w:t>
            </w:r>
            <w:r w:rsidR="000A4D02" w:rsidRPr="00AC1ACB">
              <w:rPr>
                <w:iCs/>
              </w:rPr>
              <w:t>ir noslēdzies.</w:t>
            </w:r>
          </w:p>
          <w:p w14:paraId="5BA696CE" w14:textId="30E063D8" w:rsidR="00745C69" w:rsidRPr="007844BF" w:rsidRDefault="183D0913" w:rsidP="00745C69">
            <w:pPr>
              <w:jc w:val="both"/>
            </w:pPr>
            <w:r>
              <w:t xml:space="preserve">Lai arī Direktīva 2003/87/EK ir ES ETS pamatdokuments, kas nodrošina sistēmas funkcionēšanu, tā nav vienīgais normatīvais akts </w:t>
            </w:r>
            <w:r w:rsidR="00B57DE3">
              <w:t>ES</w:t>
            </w:r>
            <w:r>
              <w:t xml:space="preserve"> līmenī – Direktīva nodrošina deleģējumus dažādiem deleģētajiem</w:t>
            </w:r>
            <w:r w:rsidR="00B57DE3">
              <w:t xml:space="preserve"> tiesību</w:t>
            </w:r>
            <w:r>
              <w:t xml:space="preserve"> aktiem, kuri sīkāk nosaka ES ETS funkcijas. Šie deleģētie</w:t>
            </w:r>
            <w:r w:rsidR="00B57DE3">
              <w:t xml:space="preserve"> tiesību</w:t>
            </w:r>
            <w:r>
              <w:t xml:space="preserve"> akti nosaka detalizētāku kārtību</w:t>
            </w:r>
            <w:r w:rsidR="00B57DE3">
              <w:t>,</w:t>
            </w:r>
            <w:r>
              <w:t xml:space="preserve"> kādā funkcionēs ES ETS ceturtajā periodā.</w:t>
            </w:r>
          </w:p>
          <w:p w14:paraId="11922726" w14:textId="77777777" w:rsidR="00CA0729" w:rsidRDefault="00CA0729" w:rsidP="00CA0729">
            <w:pPr>
              <w:jc w:val="both"/>
              <w:rPr>
                <w:iCs/>
              </w:rPr>
            </w:pPr>
          </w:p>
          <w:p w14:paraId="68D335E5" w14:textId="753C7ED2" w:rsidR="00CA0729" w:rsidRDefault="00DD12B9" w:rsidP="00CA0729">
            <w:pPr>
              <w:jc w:val="both"/>
              <w:rPr>
                <w:iCs/>
                <w:highlight w:val="yellow"/>
              </w:rPr>
            </w:pPr>
            <w:r>
              <w:rPr>
                <w:iCs/>
              </w:rPr>
              <w:t>Spēkā esošais</w:t>
            </w:r>
            <w:r w:rsidR="00CA0729" w:rsidRPr="002A34FB">
              <w:rPr>
                <w:iCs/>
              </w:rPr>
              <w:t xml:space="preserve"> tiesiskais regulējums </w:t>
            </w:r>
            <w:r w:rsidR="00CA0729">
              <w:rPr>
                <w:iCs/>
              </w:rPr>
              <w:t xml:space="preserve">Latvijā vērsts uz </w:t>
            </w:r>
            <w:r w:rsidR="00CA0729" w:rsidRPr="002A34FB">
              <w:rPr>
                <w:iCs/>
              </w:rPr>
              <w:t>ES ETS funkcionēšanu trešajā periodā (2013.</w:t>
            </w:r>
            <w:r w:rsidR="00B57DE3">
              <w:rPr>
                <w:iCs/>
              </w:rPr>
              <w:t xml:space="preserve"> </w:t>
            </w:r>
            <w:r w:rsidR="00CA0729" w:rsidRPr="002A34FB">
              <w:rPr>
                <w:iCs/>
              </w:rPr>
              <w:t>-</w:t>
            </w:r>
            <w:r w:rsidR="00B57DE3">
              <w:rPr>
                <w:iCs/>
              </w:rPr>
              <w:t xml:space="preserve"> </w:t>
            </w:r>
            <w:r w:rsidR="00CA0729" w:rsidRPr="002A34FB">
              <w:rPr>
                <w:iCs/>
              </w:rPr>
              <w:t>2020. </w:t>
            </w:r>
            <w:r w:rsidR="00CA0729">
              <w:rPr>
                <w:iCs/>
              </w:rPr>
              <w:t xml:space="preserve">gads). Vairāki uz Direktīvas 2003/87/EK </w:t>
            </w:r>
            <w:r w:rsidR="00CA0729">
              <w:rPr>
                <w:iCs/>
              </w:rPr>
              <w:lastRenderedPageBreak/>
              <w:t>deleģējuma izdoti</w:t>
            </w:r>
            <w:r w:rsidR="00B57DE3">
              <w:rPr>
                <w:iCs/>
              </w:rPr>
              <w:t>e</w:t>
            </w:r>
            <w:r w:rsidR="00CA0729">
              <w:rPr>
                <w:iCs/>
              </w:rPr>
              <w:t xml:space="preserve"> normatīvie akti paredz būtiskas izmaiņas ES ETS ceturtajā periodā. </w:t>
            </w:r>
            <w:r w:rsidR="00B57DE3" w:rsidRPr="00330D38">
              <w:rPr>
                <w:iCs/>
              </w:rPr>
              <w:t>Noteikumu projekt</w:t>
            </w:r>
            <w:r w:rsidR="00B57DE3">
              <w:rPr>
                <w:iCs/>
              </w:rPr>
              <w:t>a</w:t>
            </w:r>
            <w:r w:rsidR="00B57DE3" w:rsidDel="00B57DE3">
              <w:rPr>
                <w:iCs/>
              </w:rPr>
              <w:t xml:space="preserve"> </w:t>
            </w:r>
            <w:r w:rsidR="00CA0729">
              <w:t xml:space="preserve">izstrādes mērķis ir nodrošināt </w:t>
            </w:r>
            <w:r w:rsidR="00CA0729">
              <w:rPr>
                <w:iCs/>
              </w:rPr>
              <w:t>ES ETS pilnvērtīgu funkcionēšanu ceturtajā periodā (2021.</w:t>
            </w:r>
            <w:r w:rsidR="00B57DE3">
              <w:rPr>
                <w:iCs/>
              </w:rPr>
              <w:t xml:space="preserve"> </w:t>
            </w:r>
            <w:r w:rsidR="00CA0729">
              <w:rPr>
                <w:iCs/>
              </w:rPr>
              <w:t>-</w:t>
            </w:r>
            <w:r w:rsidR="00B57DE3">
              <w:rPr>
                <w:iCs/>
              </w:rPr>
              <w:t xml:space="preserve"> </w:t>
            </w:r>
            <w:r w:rsidR="00CA0729">
              <w:rPr>
                <w:iCs/>
              </w:rPr>
              <w:t>2030.</w:t>
            </w:r>
            <w:r w:rsidR="00B57DE3">
              <w:rPr>
                <w:iCs/>
              </w:rPr>
              <w:t xml:space="preserve"> </w:t>
            </w:r>
            <w:r w:rsidR="00CA0729">
              <w:rPr>
                <w:iCs/>
              </w:rPr>
              <w:t>gads).</w:t>
            </w:r>
          </w:p>
          <w:p w14:paraId="678FD0CE" w14:textId="3CAF5A54" w:rsidR="00CA0729" w:rsidRDefault="00CA0729" w:rsidP="00745C69">
            <w:pPr>
              <w:jc w:val="both"/>
            </w:pPr>
          </w:p>
          <w:p w14:paraId="2E291B9D" w14:textId="46A620B6" w:rsidR="00E00A6A" w:rsidRPr="00AC1ACB" w:rsidRDefault="00E00A6A" w:rsidP="00745C69">
            <w:pPr>
              <w:jc w:val="both"/>
            </w:pPr>
            <w:r w:rsidRPr="00AC1ACB">
              <w:t>Noteikumu projekts sākotnēji gatavots kā Ministru kabineta 2013.gada 26.februāra noteikumu Nr. 112 "Emisijas kvotu piešķiršanas kārtība stacionāro tehnoloģisko iekārtu operatoriem" grozījums</w:t>
            </w:r>
            <w:r w:rsidR="000F0D70" w:rsidRPr="00AC1ACB">
              <w:t>.</w:t>
            </w:r>
            <w:r w:rsidRPr="00AC1ACB">
              <w:t xml:space="preserve"> Tomēr, ņemot vērā, ka paredzēto grozījumu apjoms pārsniedz pusi no spēkā esošā rīkojuma apjoma, saskaņā ar MK 2009. gada 3. februāra noteikumu Nr. 108 “Normatīvo aktu projektu sagatavošanas noteikumi” 140. un 180. punktu ir sagatavots jauns normatīvā akta projekts.</w:t>
            </w:r>
          </w:p>
          <w:p w14:paraId="5657767A" w14:textId="48977375" w:rsidR="00E00A6A" w:rsidRPr="008049F4" w:rsidRDefault="00E00A6A" w:rsidP="00745C69">
            <w:pPr>
              <w:jc w:val="both"/>
              <w:rPr>
                <w:u w:val="single"/>
              </w:rPr>
            </w:pPr>
          </w:p>
          <w:p w14:paraId="2E104B9F" w14:textId="4C36135E" w:rsidR="00D7463F" w:rsidRPr="00AC1ACB" w:rsidRDefault="00D7463F" w:rsidP="00D7463F">
            <w:pPr>
              <w:pStyle w:val="naisc"/>
              <w:jc w:val="both"/>
            </w:pPr>
            <w:r w:rsidRPr="00AC1ACB">
              <w:t xml:space="preserve">ES ETS </w:t>
            </w:r>
            <w:r w:rsidR="00D47422" w:rsidRPr="00AC1ACB">
              <w:t>ceturtā</w:t>
            </w:r>
            <w:r w:rsidR="00796788" w:rsidRPr="00AC1ACB">
              <w:t xml:space="preserve"> perioda </w:t>
            </w:r>
            <w:r w:rsidRPr="00AC1ACB">
              <w:t>emisijas kvotu sadales plānu katra dalībvalsts izstrādāja, ņemot vērā Eiropas Komisijas noteiktās vadlīnijas, kā arī katras dalībvalsts specifiskos nosacījumus.</w:t>
            </w:r>
          </w:p>
          <w:p w14:paraId="4231CBC8" w14:textId="160C1666" w:rsidR="00D7463F" w:rsidRPr="00AC1ACB" w:rsidRDefault="00D7463F" w:rsidP="00D7463F">
            <w:pPr>
              <w:pStyle w:val="naisc"/>
              <w:jc w:val="both"/>
            </w:pPr>
            <w:r w:rsidRPr="00AC1ACB">
              <w:t xml:space="preserve">ES ETS </w:t>
            </w:r>
            <w:r w:rsidR="00796788" w:rsidRPr="00AC1ACB">
              <w:t xml:space="preserve">ceturtajam </w:t>
            </w:r>
            <w:r w:rsidRPr="00AC1ACB">
              <w:t>periodam (20</w:t>
            </w:r>
            <w:r w:rsidR="00796788" w:rsidRPr="00AC1ACB">
              <w:t>21</w:t>
            </w:r>
            <w:r w:rsidRPr="00AC1ACB">
              <w:t>.-20</w:t>
            </w:r>
            <w:r w:rsidR="00796788" w:rsidRPr="00AC1ACB">
              <w:t>30</w:t>
            </w:r>
            <w:r w:rsidRPr="00AC1ACB">
              <w:t>.gads) emisijas kvotu apjoma noteikšanai E</w:t>
            </w:r>
            <w:r w:rsidR="00796788" w:rsidRPr="00AC1ACB">
              <w:t>K</w:t>
            </w:r>
            <w:r w:rsidRPr="00AC1ACB">
              <w:t xml:space="preserve"> izstrādāja harmonizētu metodoloģiju visām dalībvalstīm, k</w:t>
            </w:r>
            <w:r w:rsidR="00796788" w:rsidRPr="00AC1ACB">
              <w:t>as</w:t>
            </w:r>
            <w:r w:rsidRPr="00AC1ACB">
              <w:t xml:space="preserve"> notei</w:t>
            </w:r>
            <w:r w:rsidR="00796788" w:rsidRPr="00AC1ACB">
              <w:t>kt</w:t>
            </w:r>
            <w:r w:rsidR="00786823" w:rsidRPr="00AC1ACB">
              <w:t>a</w:t>
            </w:r>
            <w:r w:rsidRPr="00AC1ACB">
              <w:t xml:space="preserve"> ar </w:t>
            </w:r>
            <w:r w:rsidR="00E1433B" w:rsidRPr="00AC1ACB">
              <w:t>Eiropas Komisijas 2018. gada 19. decembra deleģēto regulu 2019/331, ar ko nosaka Savienības mēroga pārejas noteikumus saskaņotai emisijas kvotu iedalei saskaņā ar Eiropas Parlamenta un Padomes Direktīvas 2003/87/EK 10.a pantu</w:t>
            </w:r>
            <w:r w:rsidR="00166900" w:rsidRPr="00AC1ACB">
              <w:t xml:space="preserve"> (turpmāk – Regula 2019/331)</w:t>
            </w:r>
            <w:r w:rsidRPr="00AC1ACB">
              <w:t>. Papildus minētaja</w:t>
            </w:r>
            <w:r w:rsidR="00E1433B" w:rsidRPr="00AC1ACB">
              <w:t>i regulai</w:t>
            </w:r>
            <w:r w:rsidRPr="00AC1ACB">
              <w:t xml:space="preserve"> Eiropas Komisija ir izstrādājusi arī vadlīniju dokumentu</w:t>
            </w:r>
            <w:r w:rsidR="00C849BF" w:rsidRPr="00AC1ACB">
              <w:t>s</w:t>
            </w:r>
            <w:r w:rsidRPr="00AC1ACB">
              <w:t xml:space="preserve"> par emisijas kvotu apjoma noteikšanu jaun</w:t>
            </w:r>
            <w:r w:rsidR="00C849BF" w:rsidRPr="00AC1ACB">
              <w:t>ajām</w:t>
            </w:r>
            <w:r w:rsidRPr="00AC1ACB">
              <w:t xml:space="preserve"> iekārt</w:t>
            </w:r>
            <w:r w:rsidR="00C849BF" w:rsidRPr="00AC1ACB">
              <w:t>ām</w:t>
            </w:r>
            <w:r w:rsidR="00D47422" w:rsidRPr="00AC1ACB">
              <w:t xml:space="preserve">. </w:t>
            </w:r>
          </w:p>
          <w:p w14:paraId="0B639A44" w14:textId="68C41368" w:rsidR="00D7463F" w:rsidRPr="00AC1ACB" w:rsidRDefault="00D7463F" w:rsidP="00D7463F">
            <w:pPr>
              <w:pStyle w:val="naisc"/>
              <w:jc w:val="both"/>
            </w:pPr>
            <w:r w:rsidRPr="00AC1ACB">
              <w:t xml:space="preserve">ES ETS </w:t>
            </w:r>
            <w:r w:rsidR="00D47422" w:rsidRPr="00AC1ACB">
              <w:t>ceturtajā</w:t>
            </w:r>
            <w:r w:rsidRPr="00AC1ACB">
              <w:t xml:space="preserve"> periodā (20</w:t>
            </w:r>
            <w:r w:rsidR="00D47422" w:rsidRPr="00AC1ACB">
              <w:t>21</w:t>
            </w:r>
            <w:r w:rsidRPr="00AC1ACB">
              <w:t>.-20</w:t>
            </w:r>
            <w:r w:rsidR="00D47422" w:rsidRPr="00AC1ACB">
              <w:t>30</w:t>
            </w:r>
            <w:r w:rsidRPr="00AC1ACB">
              <w:t xml:space="preserve">.gads) mainās arī emisijas kvotu apjoma grozījuma nosacījumi, jo atšķirībā no iepriekšējā ES ETS perioda emisijas kvotu apjoms tiek samazināts </w:t>
            </w:r>
            <w:r w:rsidR="00AA0B39" w:rsidRPr="00AC1ACB">
              <w:t xml:space="preserve">atbilstoši </w:t>
            </w:r>
            <w:r w:rsidR="00146867" w:rsidRPr="00AC1ACB">
              <w:t>iekārtu darbības līmeņa izmaiņām, k</w:t>
            </w:r>
            <w:r w:rsidR="001B3903" w:rsidRPr="00AC1ACB">
              <w:t>as noteikts</w:t>
            </w:r>
            <w:r w:rsidR="00146867" w:rsidRPr="00AC1ACB">
              <w:t xml:space="preserve"> </w:t>
            </w:r>
            <w:r w:rsidR="00D34AE0" w:rsidRPr="00AC1ACB">
              <w:t>Eiropas Komisijas 2019. gada 31. oktobra regul</w:t>
            </w:r>
            <w:r w:rsidR="001B3903" w:rsidRPr="00AC1ACB">
              <w:t>ā</w:t>
            </w:r>
            <w:r w:rsidR="00D34AE0" w:rsidRPr="00AC1ACB">
              <w:t xml:space="preserve"> Nr. 2019/1842 ar ko nosaka noteikumus Eiropas Parlamenta un Padomes Direktīvas 2003/87/EK piemērošanai attiecībā uz sīkāku kārtību, kā izdarāmi emisijas kvotu iedales pielāgojumi sakarā ar darbības līmeņa izmaiņām.</w:t>
            </w:r>
          </w:p>
          <w:p w14:paraId="385BF1CC" w14:textId="701A3F19" w:rsidR="00D7463F" w:rsidRPr="00AC1ACB" w:rsidRDefault="00D7463F" w:rsidP="00D7463F">
            <w:pPr>
              <w:pStyle w:val="naisc"/>
              <w:jc w:val="both"/>
            </w:pPr>
            <w:r w:rsidRPr="00AC1ACB">
              <w:t xml:space="preserve">Dalībvalstīm arī ir jāizstrādā visas procedūras, kā operatori iesniedz </w:t>
            </w:r>
            <w:r w:rsidR="008F32C5" w:rsidRPr="00AC1ACB">
              <w:t>darbības līmeņa ziņojumus</w:t>
            </w:r>
            <w:r w:rsidR="007C27A7" w:rsidRPr="00AC1ACB">
              <w:t xml:space="preserve"> un izmaiņu pielāgošana, atbilstoši ziņojumiem. Darbības līmeņa ziņojumu</w:t>
            </w:r>
            <w:r w:rsidR="00A76678" w:rsidRPr="00AC1ACB">
              <w:t xml:space="preserve"> iesniegšana </w:t>
            </w:r>
            <w:r w:rsidR="006777C5" w:rsidRPr="00AC1ACB">
              <w:t xml:space="preserve">un verificēšana </w:t>
            </w:r>
            <w:r w:rsidR="00A76678" w:rsidRPr="00AC1ACB">
              <w:t xml:space="preserve">noteikta 2012.gada 13.novembra </w:t>
            </w:r>
            <w:r w:rsidR="00E70B21" w:rsidRPr="00AC1ACB">
              <w:t xml:space="preserve">Ministru kabineta noteikumos Nr.769 </w:t>
            </w:r>
            <w:r w:rsidR="001B3891" w:rsidRPr="00AC1ACB">
              <w:t>“</w:t>
            </w:r>
            <w:r w:rsidR="00E70B21" w:rsidRPr="00AC1ACB">
              <w:t>Noteikumi par stacionāro tehnoloģisko iekārtu dalību Eiropas Savienības emisijas kvotu tirdzniecības sistēmā</w:t>
            </w:r>
            <w:r w:rsidR="001B3891" w:rsidRPr="00AC1ACB">
              <w:t>”</w:t>
            </w:r>
            <w:r w:rsidR="00A639A3" w:rsidRPr="00AC1ACB">
              <w:t xml:space="preserve"> (turp</w:t>
            </w:r>
            <w:r w:rsidR="007230A7" w:rsidRPr="00AC1ACB">
              <w:t>māk – MK noteikumi Nr. 769)</w:t>
            </w:r>
            <w:r w:rsidRPr="00AC1ACB">
              <w:t>,</w:t>
            </w:r>
            <w:r w:rsidR="006777C5" w:rsidRPr="00AC1ACB">
              <w:t xml:space="preserve"> savukārt </w:t>
            </w:r>
            <w:r w:rsidR="00C7221F" w:rsidRPr="00AC1ACB">
              <w:t>darbības līmeņa ziņojuma</w:t>
            </w:r>
            <w:r w:rsidRPr="00AC1ACB">
              <w:t xml:space="preserve"> </w:t>
            </w:r>
            <w:r w:rsidR="00C7221F" w:rsidRPr="00AC1ACB">
              <w:t>izvērtēšan</w:t>
            </w:r>
            <w:r w:rsidR="00200ED0" w:rsidRPr="00AC1ACB">
              <w:t>a</w:t>
            </w:r>
            <w:r w:rsidR="00C7221F" w:rsidRPr="00AC1ACB">
              <w:t xml:space="preserve">, </w:t>
            </w:r>
            <w:r w:rsidRPr="00AC1ACB">
              <w:t xml:space="preserve"> kā arī ir </w:t>
            </w:r>
            <w:r w:rsidR="00C91881" w:rsidRPr="00AC1ACB">
              <w:t xml:space="preserve">lēmuma </w:t>
            </w:r>
            <w:r w:rsidR="00C91881" w:rsidRPr="00AC1ACB">
              <w:lastRenderedPageBreak/>
              <w:t>izstrādāšan</w:t>
            </w:r>
            <w:r w:rsidR="00200ED0" w:rsidRPr="00AC1ACB">
              <w:t>a</w:t>
            </w:r>
            <w:r w:rsidR="00C91881" w:rsidRPr="00AC1ACB">
              <w:t xml:space="preserve"> un pieņemšan</w:t>
            </w:r>
            <w:r w:rsidR="00200ED0" w:rsidRPr="00AC1ACB">
              <w:t>a</w:t>
            </w:r>
            <w:r w:rsidRPr="00AC1ACB">
              <w:t xml:space="preserve"> par emisijas kvotu piešķiršanu jaunām iekārtām vai emisijas kvotu apjoma grozījumiem esošām iekārtām</w:t>
            </w:r>
            <w:r w:rsidR="00200ED0" w:rsidRPr="00AC1ACB">
              <w:t xml:space="preserve"> tiek </w:t>
            </w:r>
            <w:r w:rsidR="001312AC" w:rsidRPr="00AC1ACB">
              <w:t>noteikta noteikumu projekt</w:t>
            </w:r>
            <w:r w:rsidR="004175B6" w:rsidRPr="00AC1ACB">
              <w:t>a 3. nodaļā</w:t>
            </w:r>
            <w:r w:rsidR="001312AC" w:rsidRPr="00AC1ACB">
              <w:t>.</w:t>
            </w:r>
            <w:r w:rsidR="00A312D3" w:rsidRPr="00AC1ACB">
              <w:t xml:space="preserve"> </w:t>
            </w:r>
            <w:r w:rsidR="00B71CEE" w:rsidRPr="00AC1ACB">
              <w:t>Nenosak</w:t>
            </w:r>
            <w:r w:rsidR="00D5301F" w:rsidRPr="00AC1ACB">
              <w:t xml:space="preserve">ot minēto kārtību Noteikumu projektā, </w:t>
            </w:r>
            <w:r w:rsidR="007F6BC1" w:rsidRPr="00AC1ACB">
              <w:t xml:space="preserve">tiktu apgrūtināta </w:t>
            </w:r>
            <w:r w:rsidR="00C256C9" w:rsidRPr="00AC1ACB">
              <w:t xml:space="preserve">likuma </w:t>
            </w:r>
            <w:r w:rsidR="00E72512" w:rsidRPr="00AC1ACB">
              <w:t>“</w:t>
            </w:r>
            <w:r w:rsidR="00952ABF" w:rsidRPr="00AC1ACB">
              <w:t>Par piesārņojumu</w:t>
            </w:r>
            <w:r w:rsidR="00E72512" w:rsidRPr="00AC1ACB">
              <w:t>”</w:t>
            </w:r>
            <w:r w:rsidR="00952ABF" w:rsidRPr="00AC1ACB">
              <w:t xml:space="preserve"> </w:t>
            </w:r>
            <w:r w:rsidR="00C256C9" w:rsidRPr="00AC1ACB">
              <w:t>norm</w:t>
            </w:r>
            <w:r w:rsidR="00952ABF" w:rsidRPr="00AC1ACB">
              <w:t>u</w:t>
            </w:r>
            <w:r w:rsidR="00C256C9" w:rsidRPr="00AC1ACB">
              <w:t xml:space="preserve"> īstenošana</w:t>
            </w:r>
            <w:r w:rsidR="007F6BC1" w:rsidRPr="00AC1ACB">
              <w:t>.</w:t>
            </w:r>
          </w:p>
          <w:p w14:paraId="7609AC0B" w14:textId="5707390B" w:rsidR="00B97377" w:rsidRPr="00D662F1" w:rsidRDefault="001312AC" w:rsidP="00D7463F">
            <w:pPr>
              <w:jc w:val="both"/>
            </w:pPr>
            <w:r w:rsidRPr="00D662F1">
              <w:t>Noteikumu projekt</w:t>
            </w:r>
            <w:r w:rsidR="004175B6" w:rsidRPr="00D662F1">
              <w:t>a 5.nodaļa</w:t>
            </w:r>
            <w:r w:rsidRPr="00D662F1">
              <w:t xml:space="preserve"> </w:t>
            </w:r>
            <w:r w:rsidR="003C2802" w:rsidRPr="00D662F1">
              <w:t>paredz</w:t>
            </w:r>
            <w:r w:rsidR="00D7463F" w:rsidRPr="00D662F1">
              <w:t xml:space="preserve"> procedūru, kā kontrolēt operatoriem noteikto emisijas kvotu apjoma pareizu piešķiršanu un kā novērst to, ka operatoriem </w:t>
            </w:r>
            <w:r w:rsidR="00BC3D84" w:rsidRPr="00D662F1">
              <w:t>ne</w:t>
            </w:r>
            <w:r w:rsidR="00D7463F" w:rsidRPr="00D662F1">
              <w:t xml:space="preserve">tiek piešķirts </w:t>
            </w:r>
            <w:r w:rsidR="00BC3D84" w:rsidRPr="00D662F1">
              <w:t>ne</w:t>
            </w:r>
            <w:r w:rsidR="00D7463F" w:rsidRPr="00D662F1">
              <w:t xml:space="preserve">atbilstošs emisijas kvotu apjoms, kā arī </w:t>
            </w:r>
            <w:r w:rsidR="003C2802" w:rsidRPr="00D662F1">
              <w:t xml:space="preserve">nosaka </w:t>
            </w:r>
            <w:r w:rsidR="00D7463F" w:rsidRPr="00D662F1">
              <w:t xml:space="preserve"> kārtīb</w:t>
            </w:r>
            <w:r w:rsidR="003C2802" w:rsidRPr="00D662F1">
              <w:t>u</w:t>
            </w:r>
            <w:r w:rsidR="00D7463F" w:rsidRPr="00D662F1">
              <w:t xml:space="preserve">, kā rīkoties, </w:t>
            </w:r>
            <w:r w:rsidR="0089761D" w:rsidRPr="00D662F1">
              <w:t>lai pēc iespējas savlaicīgāk konstatētu iespējamas kvotu skaita izmaiņas operatoram</w:t>
            </w:r>
            <w:r w:rsidR="00E141BA" w:rsidRPr="00D662F1">
              <w:t xml:space="preserve">, novērstu </w:t>
            </w:r>
            <w:r w:rsidR="001E778D" w:rsidRPr="00D662F1">
              <w:t xml:space="preserve">kvotu </w:t>
            </w:r>
            <w:r w:rsidR="009A2E36" w:rsidRPr="00D662F1">
              <w:t xml:space="preserve">nepietiekošu iedalījumu vai virsiedalījumu, un </w:t>
            </w:r>
            <w:r w:rsidR="00743928" w:rsidRPr="00D662F1">
              <w:t xml:space="preserve">ministrijas rīcību gadījumā, </w:t>
            </w:r>
            <w:r w:rsidR="009A2E36" w:rsidRPr="00D662F1">
              <w:t>ja emisijas kvotu apjoms tiek grozīts (samazināts</w:t>
            </w:r>
            <w:r w:rsidR="00743928" w:rsidRPr="00D662F1">
              <w:t xml:space="preserve"> vai palielināts</w:t>
            </w:r>
            <w:r w:rsidR="009A2E36" w:rsidRPr="00D662F1">
              <w:t>), bet emisijas kvotas jau ir piešķirtas.</w:t>
            </w:r>
          </w:p>
          <w:p w14:paraId="4B2445D8" w14:textId="49984A0F" w:rsidR="00A639A3" w:rsidRPr="00D662F1" w:rsidRDefault="00A639A3" w:rsidP="00D7463F">
            <w:pPr>
              <w:jc w:val="both"/>
            </w:pPr>
          </w:p>
          <w:p w14:paraId="772395CE" w14:textId="33B46B1E" w:rsidR="00A639A3" w:rsidRPr="00D662F1" w:rsidRDefault="00995304" w:rsidP="00A639A3">
            <w:pPr>
              <w:jc w:val="both"/>
            </w:pPr>
            <w:r w:rsidRPr="00D662F1">
              <w:t xml:space="preserve">MK noteikumi Nr. 769 paredz, ka </w:t>
            </w:r>
            <w:r w:rsidR="00DE3B50" w:rsidRPr="00D662F1">
              <w:t xml:space="preserve">operatori darbības līmeņa ziņojumus iesniedz katras gada </w:t>
            </w:r>
            <w:r w:rsidR="00A639A3" w:rsidRPr="00D662F1">
              <w:t>15. martā</w:t>
            </w:r>
            <w:r w:rsidR="00C6459E" w:rsidRPr="00D662F1">
              <w:t>. Atbilstoši ziņojuma datiem</w:t>
            </w:r>
            <w:r w:rsidR="004D3116" w:rsidRPr="00D662F1">
              <w:t>, operatoram tiek pielāgotas nākošā gada emisijas kvotas</w:t>
            </w:r>
            <w:r w:rsidR="00E21089" w:rsidRPr="00D662F1">
              <w:t xml:space="preserve">. Tomēr </w:t>
            </w:r>
            <w:r w:rsidR="002F4040" w:rsidRPr="00D662F1">
              <w:t xml:space="preserve">saskaņā ar </w:t>
            </w:r>
            <w:r w:rsidR="00166D64" w:rsidRPr="00D662F1">
              <w:t>Direktīvas 2003/87/EK</w:t>
            </w:r>
            <w:r w:rsidR="00E21089" w:rsidRPr="00D662F1">
              <w:t xml:space="preserve"> </w:t>
            </w:r>
            <w:r w:rsidR="00166D64" w:rsidRPr="00D662F1">
              <w:t xml:space="preserve">11. panta otro punktu, </w:t>
            </w:r>
            <w:r w:rsidR="00F406C0" w:rsidRPr="00D662F1">
              <w:t xml:space="preserve">kompetentā iestāde piešķir kvotu apjomu, kas sadalāms attiecīgajā gadā katra līdz katra gada 28. februārim.  </w:t>
            </w:r>
            <w:r w:rsidR="002F4040" w:rsidRPr="00D662F1">
              <w:t xml:space="preserve">Līdz </w:t>
            </w:r>
            <w:r w:rsidR="00F406C0" w:rsidRPr="00D662F1">
              <w:t>ar to</w:t>
            </w:r>
            <w:r w:rsidR="001A5C42" w:rsidRPr="00D662F1">
              <w:t xml:space="preserve">, lai izvairītos no liekām administratīvām darbībām, nepieciešams jau laicīgi </w:t>
            </w:r>
            <w:r w:rsidR="00F545E6" w:rsidRPr="00D662F1">
              <w:t>uzzināt operatoram iespējamo kvotu izmaiņas, atbilstoši darbības līmeņa izmaiņām.</w:t>
            </w:r>
          </w:p>
          <w:p w14:paraId="725DEC13" w14:textId="2AF179A0" w:rsidR="00A639A3" w:rsidRPr="00D662F1" w:rsidRDefault="00166900" w:rsidP="00A639A3">
            <w:pPr>
              <w:jc w:val="both"/>
            </w:pPr>
            <w:r w:rsidRPr="00D662F1">
              <w:t xml:space="preserve">Atbilstoši Regulas </w:t>
            </w:r>
            <w:r w:rsidR="00967D1B" w:rsidRPr="00D662F1">
              <w:t>2019/1842</w:t>
            </w:r>
            <w:r w:rsidR="00EF63DD" w:rsidRPr="00D662F1">
              <w:t xml:space="preserve"> trešajam punktam, </w:t>
            </w:r>
            <w:r w:rsidRPr="00D662F1">
              <w:t xml:space="preserve"> </w:t>
            </w:r>
            <w:r w:rsidR="00EF63DD" w:rsidRPr="00D662F1">
              <w:t>d</w:t>
            </w:r>
            <w:r w:rsidR="00A639A3" w:rsidRPr="00D662F1">
              <w:t>alībvalstis var pieprasīt iesniegt provizorisku darbības līmeņa ziņojumu, kurā iekļauta visa informācija, kas ir pieejama iesniegšanas brīdī. Dalībvalstis var noteikt provizoriskā darbības līmeņa ziņojuma iesniegšanas termiņus.</w:t>
            </w:r>
            <w:r w:rsidR="00605159" w:rsidRPr="00D662F1">
              <w:t xml:space="preserve"> Šis termiņš noteikts Noteikumu projekta </w:t>
            </w:r>
            <w:r w:rsidR="00240B78" w:rsidRPr="00D662F1">
              <w:t>38</w:t>
            </w:r>
            <w:r w:rsidR="00605159" w:rsidRPr="00D662F1">
              <w:t>. punktā.</w:t>
            </w:r>
          </w:p>
          <w:p w14:paraId="33E378DB" w14:textId="31F9BBD8" w:rsidR="00045AD0" w:rsidRDefault="00C53410" w:rsidP="00045AD0">
            <w:pPr>
              <w:jc w:val="both"/>
            </w:pPr>
            <w:r>
              <w:t>Noteikumu projekts</w:t>
            </w:r>
            <w:r w:rsidR="00745C69">
              <w:t xml:space="preserve">  nosaka </w:t>
            </w:r>
            <w:r w:rsidR="7E41CEC3">
              <w:t xml:space="preserve">šādas </w:t>
            </w:r>
            <w:r w:rsidR="00745C69">
              <w:t>ES ETS procedūras:</w:t>
            </w:r>
          </w:p>
          <w:p w14:paraId="6BD4040E" w14:textId="5E73FD5B" w:rsidR="00045AD0" w:rsidRPr="00040DA2" w:rsidRDefault="00173CC1" w:rsidP="00045AD0">
            <w:pPr>
              <w:pStyle w:val="ListParagraph"/>
              <w:numPr>
                <w:ilvl w:val="0"/>
                <w:numId w:val="26"/>
              </w:numPr>
              <w:rPr>
                <w:sz w:val="24"/>
                <w:szCs w:val="24"/>
              </w:rPr>
            </w:pPr>
            <w:r>
              <w:rPr>
                <w:sz w:val="24"/>
                <w:szCs w:val="24"/>
              </w:rPr>
              <w:t>e</w:t>
            </w:r>
            <w:r w:rsidR="00045AD0" w:rsidRPr="00040DA2">
              <w:rPr>
                <w:sz w:val="24"/>
                <w:szCs w:val="24"/>
              </w:rPr>
              <w:t xml:space="preserve">misijas kvotu </w:t>
            </w:r>
            <w:r w:rsidR="00C21FB5">
              <w:rPr>
                <w:sz w:val="24"/>
                <w:szCs w:val="24"/>
              </w:rPr>
              <w:t>daudzuma</w:t>
            </w:r>
            <w:r w:rsidR="00045AD0" w:rsidRPr="00040DA2">
              <w:rPr>
                <w:sz w:val="24"/>
                <w:szCs w:val="24"/>
              </w:rPr>
              <w:t xml:space="preserve"> noteikšana</w:t>
            </w:r>
            <w:r w:rsidR="00040DA2">
              <w:rPr>
                <w:sz w:val="24"/>
                <w:szCs w:val="24"/>
              </w:rPr>
              <w:t>i</w:t>
            </w:r>
            <w:r w:rsidR="00045AD0" w:rsidRPr="00040DA2">
              <w:rPr>
                <w:sz w:val="24"/>
                <w:szCs w:val="24"/>
              </w:rPr>
              <w:t xml:space="preserve"> jaunām un esošām iekārtām;</w:t>
            </w:r>
          </w:p>
          <w:p w14:paraId="38A044AC" w14:textId="7BD589D9" w:rsidR="00045AD0" w:rsidRPr="00A9029F" w:rsidRDefault="00173CC1" w:rsidP="00A9029F">
            <w:pPr>
              <w:pStyle w:val="ListParagraph"/>
              <w:numPr>
                <w:ilvl w:val="0"/>
                <w:numId w:val="26"/>
              </w:numPr>
              <w:rPr>
                <w:sz w:val="24"/>
                <w:szCs w:val="24"/>
              </w:rPr>
            </w:pPr>
            <w:r>
              <w:rPr>
                <w:sz w:val="24"/>
                <w:szCs w:val="24"/>
              </w:rPr>
              <w:t>e</w:t>
            </w:r>
            <w:r w:rsidR="00045AD0" w:rsidRPr="00040DA2">
              <w:rPr>
                <w:sz w:val="24"/>
                <w:szCs w:val="24"/>
              </w:rPr>
              <w:t xml:space="preserve">misijas kvotu </w:t>
            </w:r>
            <w:r w:rsidR="00C21FB5">
              <w:rPr>
                <w:sz w:val="24"/>
                <w:szCs w:val="24"/>
              </w:rPr>
              <w:t>daudzuma</w:t>
            </w:r>
            <w:r w:rsidR="00045AD0" w:rsidRPr="00040DA2">
              <w:rPr>
                <w:sz w:val="24"/>
                <w:szCs w:val="24"/>
              </w:rPr>
              <w:t xml:space="preserve"> </w:t>
            </w:r>
            <w:r w:rsidR="00040DA2" w:rsidRPr="00040DA2">
              <w:rPr>
                <w:sz w:val="24"/>
                <w:szCs w:val="24"/>
              </w:rPr>
              <w:t>pielāgošana</w:t>
            </w:r>
            <w:r w:rsidR="00040DA2">
              <w:rPr>
                <w:sz w:val="24"/>
                <w:szCs w:val="24"/>
              </w:rPr>
              <w:t>i</w:t>
            </w:r>
            <w:r w:rsidR="00045AD0" w:rsidRPr="00040DA2">
              <w:rPr>
                <w:sz w:val="24"/>
                <w:szCs w:val="24"/>
              </w:rPr>
              <w:t xml:space="preserve"> iekārtām pēc ievērojamām darbības līmeņa izmaiņām;</w:t>
            </w:r>
            <w:r w:rsidR="00A9029F">
              <w:rPr>
                <w:sz w:val="24"/>
                <w:szCs w:val="24"/>
              </w:rPr>
              <w:t xml:space="preserve"> (p</w:t>
            </w:r>
            <w:r w:rsidR="00A9029F" w:rsidRPr="00A9029F">
              <w:rPr>
                <w:sz w:val="24"/>
                <w:szCs w:val="24"/>
              </w:rPr>
              <w:t>rojektā minētais jēdziens “kvotu skaita pielāgošana” nozīmē emisiju kvotu skaita maiņu, atbilstoši darbības līmeņa izmaiņām</w:t>
            </w:r>
            <w:r w:rsidR="00A9029F">
              <w:rPr>
                <w:sz w:val="24"/>
                <w:szCs w:val="24"/>
              </w:rPr>
              <w:t>);</w:t>
            </w:r>
          </w:p>
          <w:p w14:paraId="76BD6BFC" w14:textId="1A54A138" w:rsidR="00045AD0" w:rsidRDefault="00040DA2" w:rsidP="00045AD0">
            <w:pPr>
              <w:pStyle w:val="ListParagraph"/>
              <w:numPr>
                <w:ilvl w:val="0"/>
                <w:numId w:val="26"/>
              </w:numPr>
              <w:rPr>
                <w:sz w:val="24"/>
                <w:szCs w:val="24"/>
              </w:rPr>
            </w:pPr>
            <w:r>
              <w:rPr>
                <w:sz w:val="24"/>
                <w:szCs w:val="24"/>
              </w:rPr>
              <w:t xml:space="preserve">kārtībai, </w:t>
            </w:r>
            <w:r w:rsidRPr="00040DA2">
              <w:rPr>
                <w:sz w:val="24"/>
                <w:szCs w:val="24"/>
              </w:rPr>
              <w:t>kādā V</w:t>
            </w:r>
            <w:r w:rsidR="00DD12B9">
              <w:rPr>
                <w:sz w:val="24"/>
                <w:szCs w:val="24"/>
              </w:rPr>
              <w:t>ARAM</w:t>
            </w:r>
            <w:r w:rsidRPr="00040DA2">
              <w:rPr>
                <w:sz w:val="24"/>
                <w:szCs w:val="24"/>
              </w:rPr>
              <w:t xml:space="preserve"> pieņem lēmumu </w:t>
            </w:r>
            <w:r w:rsidR="00045AD0" w:rsidRPr="00040DA2">
              <w:rPr>
                <w:sz w:val="24"/>
                <w:szCs w:val="24"/>
              </w:rPr>
              <w:t xml:space="preserve">par emisijas kvotu piešķiršanu jaunām iekārtām vai </w:t>
            </w:r>
            <w:r>
              <w:rPr>
                <w:sz w:val="24"/>
                <w:szCs w:val="24"/>
              </w:rPr>
              <w:t>piešķirto</w:t>
            </w:r>
            <w:r w:rsidR="00173CC1">
              <w:rPr>
                <w:sz w:val="24"/>
                <w:szCs w:val="24"/>
              </w:rPr>
              <w:t xml:space="preserve"> </w:t>
            </w:r>
            <w:r w:rsidR="00045AD0" w:rsidRPr="00040DA2">
              <w:rPr>
                <w:sz w:val="24"/>
                <w:szCs w:val="24"/>
              </w:rPr>
              <w:t xml:space="preserve">emisijas kvotu </w:t>
            </w:r>
            <w:r w:rsidR="00C21FB5">
              <w:rPr>
                <w:sz w:val="24"/>
                <w:szCs w:val="24"/>
              </w:rPr>
              <w:t>daudzuma</w:t>
            </w:r>
            <w:r w:rsidR="00045AD0" w:rsidRPr="00040DA2">
              <w:rPr>
                <w:sz w:val="24"/>
                <w:szCs w:val="24"/>
              </w:rPr>
              <w:t xml:space="preserve"> grozījumiem;</w:t>
            </w:r>
          </w:p>
          <w:p w14:paraId="0E310B93" w14:textId="11141091" w:rsidR="00040DA2" w:rsidRPr="00040DA2" w:rsidRDefault="00040DA2" w:rsidP="00040DA2">
            <w:pPr>
              <w:pStyle w:val="ListParagraph"/>
              <w:numPr>
                <w:ilvl w:val="0"/>
                <w:numId w:val="26"/>
              </w:numPr>
              <w:rPr>
                <w:sz w:val="24"/>
                <w:szCs w:val="24"/>
              </w:rPr>
            </w:pPr>
            <w:r w:rsidRPr="00040DA2">
              <w:rPr>
                <w:sz w:val="24"/>
                <w:szCs w:val="24"/>
              </w:rPr>
              <w:lastRenderedPageBreak/>
              <w:t>emisijas kvotu piešķiršanas kārtība</w:t>
            </w:r>
            <w:r>
              <w:rPr>
                <w:sz w:val="24"/>
                <w:szCs w:val="24"/>
              </w:rPr>
              <w:t>s</w:t>
            </w:r>
            <w:r w:rsidRPr="00040DA2">
              <w:rPr>
                <w:sz w:val="24"/>
                <w:szCs w:val="24"/>
              </w:rPr>
              <w:t xml:space="preserve"> uzraudzībai, lai regulāri izvērtētu vai iekārtai emisijas kvotu piešķīrums ir atbilstošs un nav jāgroza</w:t>
            </w:r>
            <w:r>
              <w:rPr>
                <w:sz w:val="24"/>
                <w:szCs w:val="24"/>
              </w:rPr>
              <w:t>;</w:t>
            </w:r>
          </w:p>
          <w:p w14:paraId="06313914" w14:textId="3B048D15" w:rsidR="00045AD0" w:rsidRPr="00040DA2" w:rsidRDefault="00045AD0" w:rsidP="00045AD0">
            <w:pPr>
              <w:pStyle w:val="ListParagraph"/>
              <w:numPr>
                <w:ilvl w:val="0"/>
                <w:numId w:val="26"/>
              </w:numPr>
              <w:rPr>
                <w:sz w:val="24"/>
                <w:szCs w:val="24"/>
              </w:rPr>
            </w:pPr>
            <w:r w:rsidRPr="00040DA2">
              <w:rPr>
                <w:sz w:val="24"/>
                <w:szCs w:val="24"/>
              </w:rPr>
              <w:t>1.pielikums nosaka apakšiekārtu darbības datu noteikšanas nosacījumus;</w:t>
            </w:r>
          </w:p>
          <w:p w14:paraId="296769D7" w14:textId="59137385" w:rsidR="00045AD0" w:rsidRPr="00040DA2" w:rsidRDefault="00045AD0" w:rsidP="00045AD0">
            <w:pPr>
              <w:pStyle w:val="ListParagraph"/>
              <w:numPr>
                <w:ilvl w:val="0"/>
                <w:numId w:val="26"/>
              </w:numPr>
              <w:rPr>
                <w:sz w:val="24"/>
                <w:szCs w:val="24"/>
              </w:rPr>
            </w:pPr>
            <w:r w:rsidRPr="00040DA2">
              <w:rPr>
                <w:sz w:val="24"/>
                <w:szCs w:val="24"/>
              </w:rPr>
              <w:t>2.pielikums nosaka</w:t>
            </w:r>
            <w:r w:rsidR="00B20C0A" w:rsidRPr="00040DA2">
              <w:rPr>
                <w:sz w:val="24"/>
                <w:szCs w:val="24"/>
              </w:rPr>
              <w:t xml:space="preserve"> </w:t>
            </w:r>
            <w:r w:rsidRPr="00040DA2">
              <w:rPr>
                <w:sz w:val="24"/>
                <w:szCs w:val="24"/>
              </w:rPr>
              <w:t>emisijas kvotu aprēķina nosacījumus</w:t>
            </w:r>
            <w:r w:rsidR="00040DA2">
              <w:rPr>
                <w:sz w:val="24"/>
                <w:szCs w:val="24"/>
              </w:rPr>
              <w:t>.</w:t>
            </w:r>
          </w:p>
          <w:p w14:paraId="5B4055C6" w14:textId="5A43A675" w:rsidR="0076594C" w:rsidRDefault="0076594C" w:rsidP="0076594C">
            <w:pPr>
              <w:jc w:val="both"/>
              <w:rPr>
                <w:iCs/>
              </w:rPr>
            </w:pPr>
            <w:r w:rsidRPr="0076594C">
              <w:rPr>
                <w:iCs/>
              </w:rPr>
              <w:t xml:space="preserve">ES ETS ceturtajā periodā (2021. - 2030. gads) mainās emisijas kvotu piešķiršanas nosacījumi jaunām iekārtām, kā arī kvotu </w:t>
            </w:r>
            <w:r w:rsidR="00C21FB5">
              <w:rPr>
                <w:iCs/>
              </w:rPr>
              <w:t>daudzuma</w:t>
            </w:r>
            <w:r w:rsidRPr="0076594C">
              <w:rPr>
                <w:iCs/>
              </w:rPr>
              <w:t xml:space="preserve"> grozījuma nosacījumi esošām iekārtām. </w:t>
            </w:r>
          </w:p>
          <w:p w14:paraId="66C15059" w14:textId="23F31F47" w:rsidR="0076594C" w:rsidRDefault="00891394" w:rsidP="0076594C">
            <w:pPr>
              <w:jc w:val="both"/>
              <w:rPr>
                <w:iCs/>
              </w:rPr>
            </w:pPr>
            <w:r>
              <w:rPr>
                <w:iCs/>
              </w:rPr>
              <w:t>E</w:t>
            </w:r>
            <w:r w:rsidR="0076594C" w:rsidRPr="0076594C">
              <w:rPr>
                <w:iCs/>
              </w:rPr>
              <w:t xml:space="preserve">misijas kvotu </w:t>
            </w:r>
            <w:r w:rsidR="00C21FB5">
              <w:rPr>
                <w:iCs/>
              </w:rPr>
              <w:t>daudzums</w:t>
            </w:r>
            <w:r w:rsidR="0076594C" w:rsidRPr="0076594C">
              <w:rPr>
                <w:iCs/>
              </w:rPr>
              <w:t xml:space="preserve"> tiek mainīts iekārtām tikai pēc ievērojamām darbības līmeņa izmaiņām (ja izmaiņas ir vairāk </w:t>
            </w:r>
            <w:r w:rsidR="00DD12B9">
              <w:rPr>
                <w:iCs/>
              </w:rPr>
              <w:t>par</w:t>
            </w:r>
            <w:r w:rsidR="0076594C" w:rsidRPr="0076594C">
              <w:rPr>
                <w:iCs/>
              </w:rPr>
              <w:t xml:space="preserve"> 15%) un citiem parametriem kas nav darbības līmenis, ja attiecināms, vai arī atstāts iepriekšējā līmenī. Vērtējot izmaiņu nepieciešamību, kurināmā un siltuma līmeņa apakšiekārtām tiek ņemtas vērā arī izmaiņas iekārtas energoefektivitātē. Tādejādi ir nepieciešamība izstrādāt jaunu procedūru emisijas kvotu </w:t>
            </w:r>
            <w:r w:rsidR="00C21FB5">
              <w:rPr>
                <w:iCs/>
              </w:rPr>
              <w:t>daudzuma</w:t>
            </w:r>
            <w:r w:rsidR="0076594C" w:rsidRPr="0076594C">
              <w:rPr>
                <w:iCs/>
              </w:rPr>
              <w:t xml:space="preserve"> grozījumiem, jo lēmums tiek pieņemts, pamatojoties uz darbības līmeņa izmaiņām, nevis uz operatoru iesniegumu par jaudas izmaiņām pamata, kā tas bija iepriekšējā periodā.</w:t>
            </w:r>
            <w:r w:rsidR="0076594C">
              <w:rPr>
                <w:iCs/>
              </w:rPr>
              <w:t xml:space="preserve"> Līdz ar to šāds iesniegums vairs nav nepieciešams.</w:t>
            </w:r>
          </w:p>
          <w:p w14:paraId="6CE2115E" w14:textId="77777777" w:rsidR="0076594C" w:rsidRDefault="0076594C" w:rsidP="0076594C">
            <w:pPr>
              <w:jc w:val="both"/>
              <w:rPr>
                <w:iCs/>
              </w:rPr>
            </w:pPr>
          </w:p>
          <w:p w14:paraId="7BDBC77E" w14:textId="76829835" w:rsidR="0076594C" w:rsidRDefault="0076594C" w:rsidP="0076594C">
            <w:pPr>
              <w:jc w:val="both"/>
              <w:rPr>
                <w:iCs/>
              </w:rPr>
            </w:pPr>
            <w:r>
              <w:rPr>
                <w:iCs/>
              </w:rPr>
              <w:t xml:space="preserve">Lai pēc iespējas </w:t>
            </w:r>
            <w:r w:rsidR="00A9029F">
              <w:rPr>
                <w:iCs/>
              </w:rPr>
              <w:t xml:space="preserve">mazāk mainītu ES ETS vēsturiski izmantotus jēdzienus latviešu valodā, projektā ir izmantots </w:t>
            </w:r>
            <w:r w:rsidRPr="0076594C">
              <w:rPr>
                <w:iCs/>
              </w:rPr>
              <w:t>Ministru kabineta 2013.gada 26.februār</w:t>
            </w:r>
            <w:r>
              <w:rPr>
                <w:iCs/>
              </w:rPr>
              <w:t>a</w:t>
            </w:r>
            <w:r w:rsidRPr="0076594C">
              <w:rPr>
                <w:iCs/>
              </w:rPr>
              <w:t xml:space="preserve"> noteikum</w:t>
            </w:r>
            <w:r w:rsidR="00A9029F">
              <w:rPr>
                <w:iCs/>
              </w:rPr>
              <w:t xml:space="preserve">os </w:t>
            </w:r>
            <w:r w:rsidRPr="0076594C">
              <w:rPr>
                <w:iCs/>
              </w:rPr>
              <w:t xml:space="preserve">Nr. 112 "Emisijas kvotu piešķiršanas kārtība stacionāro tehnoloģisko iekārtu operatoriem" </w:t>
            </w:r>
            <w:r w:rsidR="00A9029F">
              <w:rPr>
                <w:iCs/>
              </w:rPr>
              <w:t>k</w:t>
            </w:r>
            <w:r>
              <w:rPr>
                <w:iCs/>
              </w:rPr>
              <w:t>as zaudēs spēku līdz ar šī noteikumu projekta stāšanos spēkā</w:t>
            </w:r>
            <w:r w:rsidR="00A9029F">
              <w:rPr>
                <w:iCs/>
              </w:rPr>
              <w:t xml:space="preserve"> lietots </w:t>
            </w:r>
            <w:r w:rsidRPr="0076594C">
              <w:rPr>
                <w:iCs/>
              </w:rPr>
              <w:t>jēdziens “siltums”</w:t>
            </w:r>
            <w:r w:rsidR="00A9029F">
              <w:rPr>
                <w:iCs/>
              </w:rPr>
              <w:t>, ar ko</w:t>
            </w:r>
            <w:r w:rsidRPr="0076594C">
              <w:rPr>
                <w:iCs/>
              </w:rPr>
              <w:t xml:space="preserve"> domāta apakšiekārtā ievadītā vai saražotā siltumenerģija.</w:t>
            </w:r>
          </w:p>
          <w:p w14:paraId="0B162B09" w14:textId="4AB1074B" w:rsidR="00AE797B" w:rsidRPr="005556FA" w:rsidRDefault="00AE797B" w:rsidP="0076594C">
            <w:pPr>
              <w:jc w:val="both"/>
              <w:rPr>
                <w:iCs/>
                <w:u w:val="single"/>
              </w:rPr>
            </w:pPr>
          </w:p>
          <w:p w14:paraId="0471A4B6" w14:textId="467AEA1D" w:rsidR="00AE797B" w:rsidRPr="005556FA" w:rsidRDefault="005B7AE7" w:rsidP="0076594C">
            <w:pPr>
              <w:jc w:val="both"/>
              <w:rPr>
                <w:iCs/>
                <w:u w:val="single"/>
              </w:rPr>
            </w:pPr>
            <w:r w:rsidRPr="005556FA">
              <w:rPr>
                <w:iCs/>
                <w:u w:val="single"/>
              </w:rPr>
              <w:t xml:space="preserve">Noteikumu projekta otrā </w:t>
            </w:r>
            <w:r w:rsidR="0074620F" w:rsidRPr="005556FA">
              <w:rPr>
                <w:iCs/>
                <w:u w:val="single"/>
              </w:rPr>
              <w:t>nodaļa</w:t>
            </w:r>
            <w:r w:rsidRPr="005556FA">
              <w:rPr>
                <w:iCs/>
                <w:u w:val="single"/>
              </w:rPr>
              <w:t xml:space="preserve"> </w:t>
            </w:r>
            <w:r w:rsidR="0074620F" w:rsidRPr="005556FA">
              <w:rPr>
                <w:iCs/>
                <w:u w:val="single"/>
              </w:rPr>
              <w:t>“</w:t>
            </w:r>
            <w:r w:rsidR="007D64C5" w:rsidRPr="005556FA">
              <w:rPr>
                <w:iCs/>
                <w:u w:val="single"/>
              </w:rPr>
              <w:t>Lēmuma pieņemšana par emisijas kvotu piešķiršanu</w:t>
            </w:r>
            <w:r w:rsidR="0074620F" w:rsidRPr="005556FA">
              <w:rPr>
                <w:iCs/>
                <w:u w:val="single"/>
              </w:rPr>
              <w:t>” attiecināma uz katra piecu gadu perioda</w:t>
            </w:r>
            <w:r w:rsidR="004C6984" w:rsidRPr="005556FA">
              <w:rPr>
                <w:iCs/>
                <w:u w:val="single"/>
              </w:rPr>
              <w:t xml:space="preserve">, t.i. </w:t>
            </w:r>
            <w:r w:rsidR="00692D03" w:rsidRPr="005556FA">
              <w:rPr>
                <w:iCs/>
                <w:u w:val="single"/>
              </w:rPr>
              <w:t>2021. – 2025. gad</w:t>
            </w:r>
            <w:r w:rsidR="007C077C" w:rsidRPr="005556FA">
              <w:rPr>
                <w:iCs/>
                <w:u w:val="single"/>
              </w:rPr>
              <w:t>a</w:t>
            </w:r>
            <w:r w:rsidR="00692D03" w:rsidRPr="005556FA">
              <w:rPr>
                <w:iCs/>
                <w:u w:val="single"/>
              </w:rPr>
              <w:t xml:space="preserve">  un </w:t>
            </w:r>
            <w:r w:rsidR="007C077C" w:rsidRPr="005556FA">
              <w:rPr>
                <w:iCs/>
                <w:u w:val="single"/>
              </w:rPr>
              <w:t xml:space="preserve"> </w:t>
            </w:r>
            <w:r w:rsidR="00692D03" w:rsidRPr="005556FA">
              <w:rPr>
                <w:iCs/>
                <w:u w:val="single"/>
              </w:rPr>
              <w:t xml:space="preserve">2026. – 2030. gada </w:t>
            </w:r>
            <w:r w:rsidR="00F81BEA" w:rsidRPr="005556FA">
              <w:rPr>
                <w:iCs/>
                <w:u w:val="single"/>
              </w:rPr>
              <w:t xml:space="preserve">sākotnējā </w:t>
            </w:r>
            <w:r w:rsidR="001069DA" w:rsidRPr="005556FA">
              <w:rPr>
                <w:iCs/>
                <w:u w:val="single"/>
              </w:rPr>
              <w:t xml:space="preserve">iekārtu saraksta </w:t>
            </w:r>
            <w:r w:rsidR="00692D03" w:rsidRPr="005556FA">
              <w:rPr>
                <w:iCs/>
                <w:u w:val="single"/>
              </w:rPr>
              <w:t>apstiprināšanu</w:t>
            </w:r>
            <w:r w:rsidR="007C077C" w:rsidRPr="005556FA">
              <w:rPr>
                <w:iCs/>
                <w:u w:val="single"/>
              </w:rPr>
              <w:t xml:space="preserve">. </w:t>
            </w:r>
            <w:r w:rsidR="00643404" w:rsidRPr="005556FA">
              <w:rPr>
                <w:iCs/>
                <w:u w:val="single"/>
              </w:rPr>
              <w:t>Noteikumu projekta ceturtā nodaļa</w:t>
            </w:r>
            <w:r w:rsidR="003D4ECB" w:rsidRPr="005556FA">
              <w:rPr>
                <w:iCs/>
                <w:u w:val="single"/>
              </w:rPr>
              <w:t xml:space="preserve"> “Kārtība, kādā groza lēmumu par emisijas kvotu piešķiršanu pēc darbības līmeņa ziņojumu izvērtēšanas”</w:t>
            </w:r>
            <w:r w:rsidR="00643404" w:rsidRPr="005556FA">
              <w:rPr>
                <w:iCs/>
                <w:u w:val="single"/>
              </w:rPr>
              <w:t xml:space="preserve"> ir nodalīta no otrās</w:t>
            </w:r>
            <w:r w:rsidR="0021184F" w:rsidRPr="005556FA">
              <w:rPr>
                <w:iCs/>
                <w:u w:val="single"/>
              </w:rPr>
              <w:t xml:space="preserve"> nodaļas</w:t>
            </w:r>
            <w:r w:rsidR="00643404" w:rsidRPr="005556FA">
              <w:rPr>
                <w:iCs/>
                <w:u w:val="single"/>
              </w:rPr>
              <w:t xml:space="preserve">, </w:t>
            </w:r>
            <w:r w:rsidR="00EB1564" w:rsidRPr="005556FA">
              <w:rPr>
                <w:iCs/>
                <w:u w:val="single"/>
              </w:rPr>
              <w:t xml:space="preserve">jo </w:t>
            </w:r>
            <w:r w:rsidR="0021184F" w:rsidRPr="005556FA">
              <w:rPr>
                <w:iCs/>
                <w:u w:val="single"/>
              </w:rPr>
              <w:t xml:space="preserve">saistīta ar </w:t>
            </w:r>
            <w:r w:rsidR="0051472A" w:rsidRPr="005556FA">
              <w:rPr>
                <w:iCs/>
                <w:u w:val="single"/>
              </w:rPr>
              <w:t xml:space="preserve">ikgadēju </w:t>
            </w:r>
            <w:r w:rsidR="007A3A04" w:rsidRPr="005556FA">
              <w:rPr>
                <w:iCs/>
                <w:u w:val="single"/>
              </w:rPr>
              <w:t>lēmumu pieņemšanu un emisiju kvotu saraksta grozīšanu</w:t>
            </w:r>
            <w:r w:rsidR="0051472A" w:rsidRPr="005556FA">
              <w:rPr>
                <w:iCs/>
                <w:u w:val="single"/>
              </w:rPr>
              <w:t xml:space="preserve">, atbilstoši izmaiņām operatoru iesniegtajos darbības līmeņa ziņojumos. </w:t>
            </w:r>
          </w:p>
          <w:p w14:paraId="29E82A71" w14:textId="77777777" w:rsidR="00AE797B" w:rsidRDefault="00AE797B" w:rsidP="0076594C">
            <w:pPr>
              <w:jc w:val="both"/>
              <w:rPr>
                <w:iCs/>
              </w:rPr>
            </w:pPr>
          </w:p>
          <w:p w14:paraId="04199513" w14:textId="45B17329" w:rsidR="003E185C" w:rsidRPr="009061D7" w:rsidRDefault="003E185C">
            <w:pPr>
              <w:jc w:val="both"/>
            </w:pPr>
            <w:r w:rsidRPr="009061D7">
              <w:t xml:space="preserve">ES ETS ceturtā perioda funkcionēšanai pieņemtie deleģētie tiesību akti, kas pieņemti pēc 2018. gada, skar </w:t>
            </w:r>
            <w:r w:rsidRPr="009061D7">
              <w:lastRenderedPageBreak/>
              <w:t xml:space="preserve">procedūras, kas nodrošinātu  sekojošo EK deleģētos aktu īstenošanu: </w:t>
            </w:r>
          </w:p>
          <w:p w14:paraId="7B4DCFB0" w14:textId="747424F0" w:rsidR="003E185C" w:rsidRPr="009061D7" w:rsidRDefault="003E185C" w:rsidP="009061D7">
            <w:pPr>
              <w:pStyle w:val="ListParagraph"/>
              <w:numPr>
                <w:ilvl w:val="0"/>
                <w:numId w:val="24"/>
              </w:numPr>
              <w:spacing w:after="0"/>
              <w:rPr>
                <w:sz w:val="24"/>
                <w:szCs w:val="24"/>
              </w:rPr>
            </w:pPr>
            <w:r w:rsidRPr="009061D7">
              <w:rPr>
                <w:iCs/>
                <w:sz w:val="24"/>
                <w:szCs w:val="24"/>
              </w:rPr>
              <w:t>Eiropas Komisijas 2018. gada 19. decembra deleģētā regula 2019/331, ar ko nosaka Savienības mēroga pārejas noteikumus saskaņotai emisijas kvotu iedalei saskaņā ar Eiropas Parlamenta un Padomes Direktīvas 2003/87/EK 10.a pantu;</w:t>
            </w:r>
          </w:p>
          <w:p w14:paraId="07863B75" w14:textId="26B9F331" w:rsidR="00B03816" w:rsidRPr="009061D7" w:rsidRDefault="002F1700" w:rsidP="009061D7">
            <w:pPr>
              <w:pStyle w:val="ListParagraph"/>
              <w:numPr>
                <w:ilvl w:val="0"/>
                <w:numId w:val="24"/>
              </w:numPr>
              <w:spacing w:after="0"/>
              <w:rPr>
                <w:sz w:val="24"/>
                <w:szCs w:val="24"/>
              </w:rPr>
            </w:pPr>
            <w:r w:rsidRPr="009061D7">
              <w:rPr>
                <w:iCs/>
                <w:sz w:val="24"/>
                <w:szCs w:val="24"/>
              </w:rPr>
              <w:t>Eiropas Komisijas 2019. gada 31. oktobra regula Nr. 2019/1842 ar ko nosaka noteikumus Eiropas Parlamenta un Padomes Direktīvas 2003/87/EK piemērošanai attiecībā uz sīkāku kārtību, kā izdarāmi emisijas kvotu iedales pielāgojumi sakarā ar darbības līmeņa izmaiņām (turpmāk – regula Nr. 2019/1842);</w:t>
            </w:r>
          </w:p>
          <w:p w14:paraId="0176D5D4" w14:textId="6ED79E45" w:rsidR="003E185C" w:rsidRPr="009061D7" w:rsidRDefault="00B03816" w:rsidP="009061D7">
            <w:pPr>
              <w:pStyle w:val="ListParagraph"/>
              <w:numPr>
                <w:ilvl w:val="0"/>
                <w:numId w:val="24"/>
              </w:numPr>
              <w:rPr>
                <w:sz w:val="24"/>
                <w:szCs w:val="24"/>
              </w:rPr>
            </w:pPr>
            <w:r w:rsidRPr="009061D7">
              <w:rPr>
                <w:sz w:val="24"/>
                <w:szCs w:val="24"/>
              </w:rPr>
              <w:t>Eiropas Komisijas 2019. gada 15. februāra Deleģētais Lēmums (ES) 2019/708 ar ko papildina Eiropas Parlamenta un Padomes Direktīvu 2003/87/EK, 2021.–2030. gada periodam nosakot sarakstu ar nozarēm un apakšnozarēm, kuras uzskatāmas par pakļautām oglekļa emisiju pārvirzes riskam.</w:t>
            </w:r>
          </w:p>
          <w:p w14:paraId="29EAFE70" w14:textId="46B356C6" w:rsidR="006F2EE7" w:rsidRDefault="003E185C" w:rsidP="00AC1FF2">
            <w:pPr>
              <w:jc w:val="both"/>
            </w:pPr>
            <w:r w:rsidRPr="009061D7">
              <w:t>Noteikumus “</w:t>
            </w:r>
            <w:r w:rsidR="00903F92">
              <w:t>E</w:t>
            </w:r>
            <w:r w:rsidRPr="009061D7">
              <w:t>misijas kvotu piešķiršanas kārtība stacionāro tehnoloģisko iekārtu operatoriem” ir nepieciešams pielāgot minēto EK deleģēto aktu īstenošanai, lai nacionālā normatīvo aktu bāze pareizi īstenotu regulu prasības. Papildus, tas nodrošinās ES ETS pareizu funkcionēšanu Latvijā ceturtajā periodā, saskaņoti ar visām pārējām ES dalībvalstīm.</w:t>
            </w:r>
          </w:p>
          <w:p w14:paraId="43D5D644" w14:textId="77777777" w:rsidR="00882241" w:rsidRDefault="00882241" w:rsidP="00AC1FF2">
            <w:pPr>
              <w:jc w:val="both"/>
            </w:pPr>
          </w:p>
          <w:p w14:paraId="7677D4EB" w14:textId="372FE7A1" w:rsidR="00882241" w:rsidRPr="00356294" w:rsidRDefault="00882241" w:rsidP="00AC1FF2">
            <w:pPr>
              <w:jc w:val="both"/>
            </w:pPr>
          </w:p>
        </w:tc>
      </w:tr>
      <w:tr w:rsidR="003E185C" w:rsidRPr="007844BF" w14:paraId="4B7DB859" w14:textId="77777777" w:rsidTr="2A37A0A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CC2F30" w14:textId="77777777" w:rsidR="003E185C" w:rsidRPr="007844BF" w:rsidRDefault="003E185C" w:rsidP="003E185C">
            <w:pPr>
              <w:rPr>
                <w:iCs/>
              </w:rPr>
            </w:pPr>
            <w:r w:rsidRPr="007844BF">
              <w:rPr>
                <w:iCs/>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63B1A62" w14:textId="77777777" w:rsidR="003E185C" w:rsidRPr="007844BF" w:rsidRDefault="003E185C" w:rsidP="003E185C">
            <w:pPr>
              <w:rPr>
                <w:iCs/>
              </w:rPr>
            </w:pPr>
            <w:r w:rsidRPr="007844BF">
              <w:rPr>
                <w:iCs/>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746FE230" w14:textId="77777777" w:rsidR="003E185C" w:rsidRPr="007844BF" w:rsidRDefault="003E185C" w:rsidP="003E185C">
            <w:pPr>
              <w:jc w:val="both"/>
              <w:rPr>
                <w:iCs/>
              </w:rPr>
            </w:pPr>
            <w:r w:rsidRPr="007844BF">
              <w:rPr>
                <w:iCs/>
              </w:rPr>
              <w:t>VARAM</w:t>
            </w:r>
          </w:p>
          <w:p w14:paraId="03453B4F" w14:textId="03728E29" w:rsidR="003E185C" w:rsidRPr="007844BF" w:rsidRDefault="00901D68" w:rsidP="003E185C">
            <w:pPr>
              <w:jc w:val="both"/>
              <w:rPr>
                <w:iCs/>
              </w:rPr>
            </w:pPr>
            <w:r>
              <w:rPr>
                <w:iCs/>
              </w:rPr>
              <w:t xml:space="preserve">Valsts vides dienests (turpmāk - </w:t>
            </w:r>
            <w:r w:rsidR="003E185C" w:rsidRPr="007844BF">
              <w:rPr>
                <w:iCs/>
              </w:rPr>
              <w:t>VVD</w:t>
            </w:r>
            <w:r>
              <w:rPr>
                <w:iCs/>
              </w:rPr>
              <w:t>)</w:t>
            </w:r>
          </w:p>
          <w:p w14:paraId="12010085" w14:textId="77777777" w:rsidR="003E185C" w:rsidRPr="007844BF" w:rsidRDefault="003E185C" w:rsidP="003E185C">
            <w:pPr>
              <w:rPr>
                <w:iCs/>
              </w:rPr>
            </w:pPr>
          </w:p>
        </w:tc>
      </w:tr>
      <w:tr w:rsidR="003E185C" w:rsidRPr="007844BF" w14:paraId="347F7ABF" w14:textId="77777777" w:rsidTr="2A37A0A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160A7F" w14:textId="77777777" w:rsidR="003E185C" w:rsidRPr="007844BF" w:rsidRDefault="003E185C" w:rsidP="003E185C">
            <w:pPr>
              <w:rPr>
                <w:iCs/>
              </w:rPr>
            </w:pPr>
            <w:r w:rsidRPr="007844BF">
              <w:rPr>
                <w:iCs/>
              </w:rPr>
              <w:t>4.</w:t>
            </w:r>
          </w:p>
        </w:tc>
        <w:tc>
          <w:tcPr>
            <w:tcW w:w="1700" w:type="pct"/>
            <w:tcBorders>
              <w:top w:val="outset" w:sz="6" w:space="0" w:color="auto"/>
              <w:left w:val="outset" w:sz="6" w:space="0" w:color="auto"/>
              <w:bottom w:val="outset" w:sz="6" w:space="0" w:color="auto"/>
              <w:right w:val="outset" w:sz="6" w:space="0" w:color="auto"/>
            </w:tcBorders>
            <w:hideMark/>
          </w:tcPr>
          <w:p w14:paraId="359D6DA6" w14:textId="77777777" w:rsidR="003E185C" w:rsidRPr="007844BF" w:rsidRDefault="003E185C" w:rsidP="003E185C">
            <w:pPr>
              <w:rPr>
                <w:iCs/>
              </w:rPr>
            </w:pPr>
            <w:r w:rsidRPr="007844BF">
              <w:rPr>
                <w:iCs/>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3844607" w14:textId="6AFD0F00" w:rsidR="00F92D9A" w:rsidRPr="006F2EE7" w:rsidRDefault="00DD12B9" w:rsidP="006F2EE7">
            <w:pPr>
              <w:rPr>
                <w:iCs/>
              </w:rPr>
            </w:pPr>
            <w:r>
              <w:rPr>
                <w:iCs/>
              </w:rPr>
              <w:t>N</w:t>
            </w:r>
            <w:r w:rsidR="0076594C">
              <w:rPr>
                <w:iCs/>
              </w:rPr>
              <w:t>av</w:t>
            </w:r>
          </w:p>
        </w:tc>
      </w:tr>
    </w:tbl>
    <w:p w14:paraId="57319432" w14:textId="2EA53341" w:rsidR="00457766" w:rsidRDefault="00457766" w:rsidP="00461E20">
      <w:pPr>
        <w:spacing w:before="120" w:after="120"/>
        <w:jc w:val="center"/>
        <w:rPr>
          <w:b/>
          <w:i/>
          <w:i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57766" w:rsidRPr="00330D38" w14:paraId="5BD1E1E0" w14:textId="77777777" w:rsidTr="2A37A0A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40B0F7" w14:textId="77777777" w:rsidR="00457766" w:rsidRPr="00330D38" w:rsidRDefault="00457766" w:rsidP="00A44393">
            <w:pPr>
              <w:rPr>
                <w:b/>
                <w:bCs/>
                <w:iCs/>
              </w:rPr>
            </w:pPr>
            <w:r w:rsidRPr="00330D38">
              <w:rPr>
                <w:b/>
                <w:bCs/>
                <w:iCs/>
              </w:rPr>
              <w:t>II. Tiesību akta projekta ietekme uz sabiedrību, tautsaimniecības attīstību un administratīvo slogu</w:t>
            </w:r>
          </w:p>
        </w:tc>
      </w:tr>
      <w:tr w:rsidR="00457766" w:rsidRPr="00330D38" w14:paraId="0A28255D" w14:textId="77777777" w:rsidTr="2A37A0A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D328AA" w14:textId="77777777" w:rsidR="00457766" w:rsidRPr="00330D38" w:rsidRDefault="00457766" w:rsidP="00A44393">
            <w:pPr>
              <w:rPr>
                <w:iCs/>
              </w:rPr>
            </w:pPr>
            <w:r w:rsidRPr="00330D38">
              <w:rPr>
                <w:iCs/>
              </w:rPr>
              <w:t>1.</w:t>
            </w:r>
          </w:p>
        </w:tc>
        <w:tc>
          <w:tcPr>
            <w:tcW w:w="1700" w:type="pct"/>
            <w:tcBorders>
              <w:top w:val="outset" w:sz="6" w:space="0" w:color="auto"/>
              <w:left w:val="outset" w:sz="6" w:space="0" w:color="auto"/>
              <w:bottom w:val="outset" w:sz="6" w:space="0" w:color="auto"/>
              <w:right w:val="outset" w:sz="6" w:space="0" w:color="auto"/>
            </w:tcBorders>
            <w:hideMark/>
          </w:tcPr>
          <w:p w14:paraId="48CBD6E0" w14:textId="77777777" w:rsidR="00457766" w:rsidRPr="00330D38" w:rsidRDefault="00457766" w:rsidP="00A44393">
            <w:pPr>
              <w:rPr>
                <w:iCs/>
              </w:rPr>
            </w:pPr>
            <w:r w:rsidRPr="00330D38">
              <w:rPr>
                <w:iCs/>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EFF3667" w14:textId="72FE64DA" w:rsidR="00457766" w:rsidRPr="00330D38" w:rsidRDefault="00457766" w:rsidP="00457766">
            <w:pPr>
              <w:pStyle w:val="ListParagraph"/>
              <w:numPr>
                <w:ilvl w:val="0"/>
                <w:numId w:val="28"/>
              </w:numPr>
              <w:spacing w:after="160"/>
              <w:ind w:left="714" w:hanging="357"/>
              <w:rPr>
                <w:iCs/>
                <w:sz w:val="24"/>
                <w:szCs w:val="24"/>
                <w:lang w:eastAsia="lv-LV"/>
              </w:rPr>
            </w:pPr>
            <w:r w:rsidRPr="00330D38">
              <w:rPr>
                <w:iCs/>
                <w:sz w:val="24"/>
                <w:szCs w:val="24"/>
                <w:lang w:eastAsia="lv-LV"/>
              </w:rPr>
              <w:t>Latvijas</w:t>
            </w:r>
            <w:r w:rsidR="00590FF5">
              <w:rPr>
                <w:iCs/>
                <w:sz w:val="24"/>
                <w:szCs w:val="24"/>
                <w:lang w:eastAsia="lv-LV"/>
              </w:rPr>
              <w:t xml:space="preserve"> ES ETS</w:t>
            </w:r>
            <w:r w:rsidRPr="00330D38">
              <w:rPr>
                <w:iCs/>
                <w:sz w:val="24"/>
                <w:szCs w:val="24"/>
                <w:lang w:eastAsia="lv-LV"/>
              </w:rPr>
              <w:t xml:space="preserve"> operatori, kuri veic kādu no likuma „Par piesārņojumu” 2. pielikumā minētajām darbībām un kuriem ir izsniegtas </w:t>
            </w:r>
            <w:r w:rsidR="00590FF5">
              <w:rPr>
                <w:iCs/>
                <w:sz w:val="24"/>
                <w:szCs w:val="24"/>
                <w:lang w:eastAsia="lv-LV"/>
              </w:rPr>
              <w:t>SEG</w:t>
            </w:r>
            <w:r w:rsidRPr="00330D38">
              <w:rPr>
                <w:iCs/>
                <w:sz w:val="24"/>
                <w:szCs w:val="24"/>
                <w:lang w:eastAsia="lv-LV"/>
              </w:rPr>
              <w:t xml:space="preserve"> emisijas atļaujas (turpmāk – operatori);</w:t>
            </w:r>
          </w:p>
          <w:p w14:paraId="2FD6DDE4" w14:textId="2470029F" w:rsidR="00457766" w:rsidRPr="00330D38" w:rsidRDefault="00457766" w:rsidP="00457766">
            <w:pPr>
              <w:pStyle w:val="ListParagraph"/>
              <w:numPr>
                <w:ilvl w:val="0"/>
                <w:numId w:val="28"/>
              </w:numPr>
              <w:spacing w:after="160"/>
              <w:ind w:left="714" w:hanging="357"/>
              <w:rPr>
                <w:iCs/>
                <w:sz w:val="24"/>
                <w:szCs w:val="24"/>
                <w:lang w:eastAsia="lv-LV"/>
              </w:rPr>
            </w:pPr>
            <w:r w:rsidRPr="00330D38">
              <w:rPr>
                <w:iCs/>
                <w:sz w:val="24"/>
                <w:szCs w:val="24"/>
                <w:lang w:eastAsia="lv-LV"/>
              </w:rPr>
              <w:t xml:space="preserve">Kādā no </w:t>
            </w:r>
            <w:r w:rsidR="00590FF5">
              <w:rPr>
                <w:iCs/>
                <w:sz w:val="24"/>
                <w:szCs w:val="24"/>
                <w:lang w:eastAsia="lv-LV"/>
              </w:rPr>
              <w:t>ES</w:t>
            </w:r>
            <w:r w:rsidRPr="00330D38">
              <w:rPr>
                <w:iCs/>
                <w:sz w:val="24"/>
                <w:szCs w:val="24"/>
                <w:lang w:eastAsia="lv-LV"/>
              </w:rPr>
              <w:t xml:space="preserve"> dalībvalstīm atbilstības novērtēšanas institūcijā vai Latvijā akreditēti vides verificētāji (turpmāk – verificētāji);</w:t>
            </w:r>
          </w:p>
          <w:p w14:paraId="610B50D0" w14:textId="4217F89C" w:rsidR="00457766" w:rsidRPr="00330D38" w:rsidRDefault="7ED50DCF" w:rsidP="2A37A0AD">
            <w:pPr>
              <w:pStyle w:val="ListParagraph"/>
              <w:numPr>
                <w:ilvl w:val="0"/>
                <w:numId w:val="28"/>
              </w:numPr>
              <w:spacing w:after="160"/>
              <w:ind w:left="714" w:hanging="357"/>
              <w:rPr>
                <w:sz w:val="24"/>
                <w:szCs w:val="24"/>
                <w:lang w:eastAsia="lv-LV"/>
              </w:rPr>
            </w:pPr>
            <w:r w:rsidRPr="2A37A0AD">
              <w:rPr>
                <w:sz w:val="24"/>
                <w:szCs w:val="24"/>
                <w:lang w:eastAsia="lv-LV"/>
              </w:rPr>
              <w:lastRenderedPageBreak/>
              <w:t xml:space="preserve">VARAM, VVD, </w:t>
            </w:r>
            <w:r w:rsidR="004F0DE9">
              <w:rPr>
                <w:sz w:val="24"/>
                <w:szCs w:val="24"/>
                <w:lang w:eastAsia="lv-LV"/>
              </w:rPr>
              <w:t xml:space="preserve">LVĢMC </w:t>
            </w:r>
            <w:r w:rsidRPr="2A37A0AD">
              <w:rPr>
                <w:sz w:val="24"/>
                <w:szCs w:val="24"/>
                <w:lang w:eastAsia="lv-LV"/>
              </w:rPr>
              <w:t>un Latvijas Nacionālais akreditācijas birojs (turpmāk – LATAK)</w:t>
            </w:r>
          </w:p>
        </w:tc>
      </w:tr>
      <w:tr w:rsidR="00457766" w:rsidRPr="00330D38" w14:paraId="4535063B" w14:textId="77777777" w:rsidTr="2A37A0A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2E268B" w14:textId="77777777" w:rsidR="00457766" w:rsidRPr="00330D38" w:rsidRDefault="00457766" w:rsidP="00A44393">
            <w:pPr>
              <w:rPr>
                <w:iCs/>
              </w:rPr>
            </w:pPr>
            <w:r w:rsidRPr="00330D38">
              <w:rPr>
                <w:iCs/>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22898075" w14:textId="77777777" w:rsidR="00457766" w:rsidRPr="00330D38" w:rsidRDefault="00457766" w:rsidP="00A44393">
            <w:pPr>
              <w:rPr>
                <w:iCs/>
              </w:rPr>
            </w:pPr>
            <w:r w:rsidRPr="009A483E">
              <w:rPr>
                <w:iCs/>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771834E" w14:textId="2E38B64B" w:rsidR="005678DD" w:rsidRDefault="005678DD" w:rsidP="009A483E">
            <w:pPr>
              <w:jc w:val="both"/>
            </w:pPr>
            <w:r>
              <w:t xml:space="preserve">Latvijā siltumnīcefekta gāzu emisijas atļauja izsniegta </w:t>
            </w:r>
            <w:r w:rsidR="00E477E5">
              <w:t>5</w:t>
            </w:r>
            <w:r w:rsidR="00CE2567">
              <w:t>2</w:t>
            </w:r>
            <w:r>
              <w:t xml:space="preserve"> </w:t>
            </w:r>
            <w:r w:rsidR="00CE2567">
              <w:t>iekārtu operatoriem</w:t>
            </w:r>
            <w:r>
              <w:t xml:space="preserve">. </w:t>
            </w:r>
            <w:r w:rsidRPr="005459E2">
              <w:t>Tiesiskais regulējums</w:t>
            </w:r>
            <w:r w:rsidR="404657E8" w:rsidRPr="005459E2">
              <w:t xml:space="preserve"> uzliek pienākumu iesniegt Ministrijā</w:t>
            </w:r>
            <w:r w:rsidR="00837A7A" w:rsidRPr="005459E2">
              <w:t xml:space="preserve"> papildus </w:t>
            </w:r>
            <w:r w:rsidR="00BB712E" w:rsidRPr="005459E2">
              <w:t>informāciju, ja tā nepieciešama darbības līmeņa ziņojuma novērtējumam</w:t>
            </w:r>
            <w:r w:rsidR="404657E8" w:rsidRPr="005459E2">
              <w:t xml:space="preserve"> , kas </w:t>
            </w:r>
            <w:r w:rsidR="3315E1BC" w:rsidRPr="005459E2">
              <w:t xml:space="preserve">nebūtiski </w:t>
            </w:r>
            <w:r w:rsidR="404657E8" w:rsidRPr="005459E2">
              <w:t>palielina</w:t>
            </w:r>
            <w:r w:rsidRPr="005459E2">
              <w:t xml:space="preserve"> </w:t>
            </w:r>
            <w:r w:rsidR="404657E8" w:rsidRPr="005459E2">
              <w:t xml:space="preserve">administratīvo slogu. </w:t>
            </w:r>
            <w:r w:rsidR="008379DC">
              <w:t>P</w:t>
            </w:r>
            <w:r w:rsidR="008379DC" w:rsidRPr="00916E84">
              <w:t>rovizorisk</w:t>
            </w:r>
            <w:r w:rsidR="008379DC">
              <w:t>ā</w:t>
            </w:r>
            <w:r w:rsidR="008379DC" w:rsidRPr="00916E84">
              <w:t xml:space="preserve"> darbības līmeņa ziņojum</w:t>
            </w:r>
            <w:r w:rsidR="008379DC">
              <w:t xml:space="preserve">a iesniegšana </w:t>
            </w:r>
            <w:r w:rsidR="00E13A71">
              <w:t xml:space="preserve">Noteikumu projekta ietvaros </w:t>
            </w:r>
            <w:r w:rsidR="00E84BEA">
              <w:t>papildus administratīvo slogu neuzliek.</w:t>
            </w:r>
          </w:p>
          <w:p w14:paraId="250CCFE0" w14:textId="77777777" w:rsidR="00C13360" w:rsidRDefault="00C13360" w:rsidP="009A483E">
            <w:pPr>
              <w:jc w:val="both"/>
              <w:rPr>
                <w:iCs/>
              </w:rPr>
            </w:pPr>
          </w:p>
          <w:p w14:paraId="55E7B034" w14:textId="6914B7B4" w:rsidR="00457766" w:rsidRPr="00330D38" w:rsidRDefault="003A7030" w:rsidP="009A483E">
            <w:pPr>
              <w:jc w:val="both"/>
              <w:rPr>
                <w:iCs/>
              </w:rPr>
            </w:pPr>
            <w:r>
              <w:rPr>
                <w:iCs/>
              </w:rPr>
              <w:t xml:space="preserve">Administratīvais slogs palielināsies </w:t>
            </w:r>
            <w:r w:rsidR="009A483E">
              <w:rPr>
                <w:iCs/>
              </w:rPr>
              <w:t xml:space="preserve">VARAM, jo papildus esošajām procedūrām būs jāvērtē operatoru  ikgadējie darbības līmeņa ziņojumi, ar mērķi konstatēt operatoram piešķirto </w:t>
            </w:r>
            <w:r w:rsidR="003C492E">
              <w:rPr>
                <w:iCs/>
              </w:rPr>
              <w:t xml:space="preserve">emisijas </w:t>
            </w:r>
            <w:r w:rsidR="009A483E">
              <w:rPr>
                <w:iCs/>
              </w:rPr>
              <w:t>kvotu daudzuma pielāgošanas nepieciešamību darbības līmeņ</w:t>
            </w:r>
            <w:r w:rsidR="00614A21">
              <w:rPr>
                <w:iCs/>
              </w:rPr>
              <w:t>a</w:t>
            </w:r>
            <w:r w:rsidR="009A483E">
              <w:rPr>
                <w:iCs/>
              </w:rPr>
              <w:t xml:space="preserve"> izmaņu rezultātā. </w:t>
            </w:r>
          </w:p>
          <w:p w14:paraId="46A9B1A9" w14:textId="57CCFB73" w:rsidR="00356294" w:rsidRPr="00330D38" w:rsidRDefault="00356294" w:rsidP="00A44393">
            <w:pPr>
              <w:jc w:val="both"/>
              <w:rPr>
                <w:iCs/>
              </w:rPr>
            </w:pPr>
          </w:p>
          <w:p w14:paraId="4543CB39" w14:textId="4A85C4D2" w:rsidR="00356294" w:rsidRDefault="00457766" w:rsidP="00C13360">
            <w:pPr>
              <w:jc w:val="both"/>
            </w:pPr>
            <w:r w:rsidRPr="00330D38">
              <w:t xml:space="preserve">Ņemot vērā, ka darbības līmeņa ziņojumi iekļaus jau ekspertiem zināmu un pārbaudītu informāciju, šis administratīvas slogs nebūs </w:t>
            </w:r>
            <w:r w:rsidR="00C13360">
              <w:t>augsts</w:t>
            </w:r>
            <w:r w:rsidR="00060801">
              <w:t>,</w:t>
            </w:r>
            <w:r w:rsidR="00C13360">
              <w:t xml:space="preserve"> un ir veicams esošo resursu ietvarā. </w:t>
            </w:r>
          </w:p>
          <w:p w14:paraId="41250B73" w14:textId="09B02338" w:rsidR="00C13360" w:rsidRPr="00330D38" w:rsidRDefault="00C13360" w:rsidP="00C13360">
            <w:pPr>
              <w:jc w:val="both"/>
              <w:rPr>
                <w:iCs/>
              </w:rPr>
            </w:pPr>
          </w:p>
        </w:tc>
      </w:tr>
      <w:tr w:rsidR="00457766" w:rsidRPr="00330D38" w14:paraId="36142ED8" w14:textId="77777777" w:rsidTr="2A37A0A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E3CDBE7" w14:textId="77777777" w:rsidR="00457766" w:rsidRPr="00330D38" w:rsidRDefault="00457766" w:rsidP="00A44393">
            <w:pPr>
              <w:rPr>
                <w:iCs/>
              </w:rPr>
            </w:pPr>
            <w:r w:rsidRPr="00330D38">
              <w:rPr>
                <w:iCs/>
              </w:rPr>
              <w:t>3.</w:t>
            </w:r>
          </w:p>
        </w:tc>
        <w:tc>
          <w:tcPr>
            <w:tcW w:w="1700" w:type="pct"/>
            <w:tcBorders>
              <w:top w:val="outset" w:sz="6" w:space="0" w:color="auto"/>
              <w:left w:val="outset" w:sz="6" w:space="0" w:color="auto"/>
              <w:bottom w:val="outset" w:sz="6" w:space="0" w:color="auto"/>
              <w:right w:val="outset" w:sz="6" w:space="0" w:color="auto"/>
            </w:tcBorders>
            <w:hideMark/>
          </w:tcPr>
          <w:p w14:paraId="1FCCF7EC" w14:textId="77777777" w:rsidR="00457766" w:rsidRPr="00330D38" w:rsidRDefault="00457766" w:rsidP="00A44393">
            <w:pPr>
              <w:rPr>
                <w:iCs/>
              </w:rPr>
            </w:pPr>
            <w:r w:rsidRPr="00330D38">
              <w:rPr>
                <w:iCs/>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2B75BD4" w14:textId="3C8E7C73" w:rsidR="00FB2C6E" w:rsidRPr="00D662F1" w:rsidRDefault="00DC69A2" w:rsidP="00FB2C6E">
            <w:pPr>
              <w:rPr>
                <w:iCs/>
              </w:rPr>
            </w:pPr>
            <w:r w:rsidRPr="00D662F1">
              <w:rPr>
                <w:iCs/>
              </w:rPr>
              <w:t>N</w:t>
            </w:r>
            <w:r w:rsidR="00FB2C6E" w:rsidRPr="00D662F1">
              <w:rPr>
                <w:iCs/>
              </w:rPr>
              <w:t>osakot izmaksu monetāro vērtējumu</w:t>
            </w:r>
            <w:r w:rsidRPr="00D662F1">
              <w:rPr>
                <w:iCs/>
              </w:rPr>
              <w:t xml:space="preserve"> ņemt</w:t>
            </w:r>
            <w:r w:rsidR="00183B59" w:rsidRPr="00D662F1">
              <w:rPr>
                <w:iCs/>
              </w:rPr>
              <w:t xml:space="preserve">a </w:t>
            </w:r>
            <w:r w:rsidRPr="00D662F1">
              <w:rPr>
                <w:iCs/>
              </w:rPr>
              <w:t xml:space="preserve">vērā </w:t>
            </w:r>
            <w:r w:rsidR="005304C9" w:rsidRPr="00D662F1">
              <w:rPr>
                <w:iCs/>
              </w:rPr>
              <w:t xml:space="preserve">tikai </w:t>
            </w:r>
            <w:r w:rsidR="007500A3" w:rsidRPr="00D662F1">
              <w:rPr>
                <w:iCs/>
              </w:rPr>
              <w:t xml:space="preserve">iekārtas </w:t>
            </w:r>
            <w:r w:rsidR="00183B59" w:rsidRPr="00D662F1">
              <w:rPr>
                <w:iCs/>
              </w:rPr>
              <w:t>operatoram</w:t>
            </w:r>
            <w:r w:rsidR="005304C9" w:rsidRPr="00D662F1">
              <w:rPr>
                <w:iCs/>
              </w:rPr>
              <w:t xml:space="preserve"> papildus pieprasītā informācija</w:t>
            </w:r>
            <w:r w:rsidR="00183B59" w:rsidRPr="00D662F1">
              <w:rPr>
                <w:iCs/>
              </w:rPr>
              <w:t xml:space="preserve">, </w:t>
            </w:r>
            <w:r w:rsidR="00F259D1" w:rsidRPr="00D662F1">
              <w:rPr>
                <w:iCs/>
              </w:rPr>
              <w:t xml:space="preserve">ja tā </w:t>
            </w:r>
            <w:r w:rsidR="00183B59" w:rsidRPr="00D662F1">
              <w:rPr>
                <w:iCs/>
              </w:rPr>
              <w:t xml:space="preserve"> nepieciešama darbības līmeņa ziņojuma</w:t>
            </w:r>
            <w:r w:rsidR="007500A3" w:rsidRPr="00D662F1">
              <w:rPr>
                <w:iCs/>
              </w:rPr>
              <w:t xml:space="preserve"> </w:t>
            </w:r>
            <w:r w:rsidR="00F259D1" w:rsidRPr="00D662F1">
              <w:rPr>
                <w:iCs/>
              </w:rPr>
              <w:t xml:space="preserve">izvērtēšanai. </w:t>
            </w:r>
          </w:p>
          <w:p w14:paraId="5F430D2E" w14:textId="77777777" w:rsidR="00745060" w:rsidRPr="00D662F1" w:rsidRDefault="00745060" w:rsidP="00745060">
            <w:pPr>
              <w:rPr>
                <w:iCs/>
              </w:rPr>
            </w:pPr>
          </w:p>
          <w:p w14:paraId="73167BC5" w14:textId="7E7BFD28" w:rsidR="00745060" w:rsidRPr="00D662F1" w:rsidRDefault="00DC6C41" w:rsidP="00745060">
            <w:pPr>
              <w:rPr>
                <w:iCs/>
              </w:rPr>
            </w:pPr>
            <w:r w:rsidRPr="00D662F1">
              <w:rPr>
                <w:iCs/>
              </w:rPr>
              <w:t>C = (f x l) x (n x b)</w:t>
            </w:r>
            <w:r w:rsidR="00745060" w:rsidRPr="00D662F1">
              <w:rPr>
                <w:iCs/>
              </w:rPr>
              <w:t>, kur</w:t>
            </w:r>
          </w:p>
          <w:p w14:paraId="40973119" w14:textId="77777777" w:rsidR="00745060" w:rsidRPr="00D662F1" w:rsidRDefault="00745060" w:rsidP="00745060">
            <w:pPr>
              <w:rPr>
                <w:iCs/>
              </w:rPr>
            </w:pPr>
          </w:p>
          <w:p w14:paraId="034361BB" w14:textId="04CDD93F" w:rsidR="00745060" w:rsidRPr="00D662F1" w:rsidRDefault="00745060" w:rsidP="00745060">
            <w:pPr>
              <w:rPr>
                <w:iCs/>
              </w:rPr>
            </w:pPr>
            <w:r w:rsidRPr="00D662F1">
              <w:rPr>
                <w:iCs/>
              </w:rPr>
              <w:t xml:space="preserve">C – </w:t>
            </w:r>
            <w:r w:rsidR="00260A15" w:rsidRPr="00D662F1">
              <w:rPr>
                <w:iCs/>
              </w:rPr>
              <w:t>papildus informācijas</w:t>
            </w:r>
            <w:r w:rsidRPr="00D662F1">
              <w:rPr>
                <w:iCs/>
              </w:rPr>
              <w:t xml:space="preserve"> sagatavošanas radītās izmaksas;</w:t>
            </w:r>
          </w:p>
          <w:p w14:paraId="4B08E7A6" w14:textId="77777777" w:rsidR="00745060" w:rsidRPr="00D662F1" w:rsidRDefault="00745060" w:rsidP="00745060">
            <w:pPr>
              <w:rPr>
                <w:iCs/>
              </w:rPr>
            </w:pPr>
          </w:p>
          <w:p w14:paraId="2FABA54C" w14:textId="42180EE7" w:rsidR="00745060" w:rsidRPr="00D662F1" w:rsidRDefault="00745060" w:rsidP="00745060">
            <w:pPr>
              <w:rPr>
                <w:iCs/>
              </w:rPr>
            </w:pPr>
            <w:r w:rsidRPr="00D662F1">
              <w:rPr>
                <w:iCs/>
              </w:rPr>
              <w:t>f – stundas samaksas likme; privātajā sektorā stundas likme ir aprēķināta, dalot vidējo mēneša algu privātajā sektorā (pēc Centrālās statistikas pārvaldes tīmekļvietnes www.csb.gov.lv datiem 20</w:t>
            </w:r>
            <w:r w:rsidR="006327A8" w:rsidRPr="00D662F1">
              <w:rPr>
                <w:iCs/>
              </w:rPr>
              <w:t>20</w:t>
            </w:r>
            <w:r w:rsidRPr="00D662F1">
              <w:rPr>
                <w:iCs/>
              </w:rPr>
              <w:t xml:space="preserve">. gadā tā bija </w:t>
            </w:r>
            <w:r w:rsidR="00FC1ED6" w:rsidRPr="00D662F1">
              <w:rPr>
                <w:iCs/>
              </w:rPr>
              <w:t>11</w:t>
            </w:r>
            <w:r w:rsidR="00A00D2B" w:rsidRPr="00D662F1">
              <w:rPr>
                <w:iCs/>
              </w:rPr>
              <w:t>4</w:t>
            </w:r>
            <w:r w:rsidR="00FC1ED6" w:rsidRPr="00D662F1">
              <w:rPr>
                <w:iCs/>
              </w:rPr>
              <w:t>3</w:t>
            </w:r>
            <w:r w:rsidRPr="00D662F1">
              <w:rPr>
                <w:iCs/>
              </w:rPr>
              <w:t xml:space="preserve">,00 euro/mēnesī) ar Darba likuma 131. panta pirmajā daļā minēto normālo darba laiku (40 stundas nedēļā x 4 = 160 stundas mēnesī) = </w:t>
            </w:r>
            <w:r w:rsidR="005235F1" w:rsidRPr="00D662F1">
              <w:rPr>
                <w:iCs/>
              </w:rPr>
              <w:t>7,</w:t>
            </w:r>
            <w:r w:rsidR="00F23767" w:rsidRPr="00D662F1">
              <w:rPr>
                <w:iCs/>
              </w:rPr>
              <w:t>14</w:t>
            </w:r>
            <w:r w:rsidRPr="00D662F1">
              <w:rPr>
                <w:iCs/>
              </w:rPr>
              <w:t xml:space="preserve"> euro/stundā;</w:t>
            </w:r>
          </w:p>
          <w:p w14:paraId="66F124DB" w14:textId="77777777" w:rsidR="00745060" w:rsidRPr="00D662F1" w:rsidRDefault="00745060" w:rsidP="00745060">
            <w:pPr>
              <w:rPr>
                <w:iCs/>
              </w:rPr>
            </w:pPr>
          </w:p>
          <w:p w14:paraId="4C1FD401" w14:textId="1EF618EC" w:rsidR="00745060" w:rsidRPr="00D662F1" w:rsidRDefault="00745060" w:rsidP="00745060">
            <w:pPr>
              <w:rPr>
                <w:iCs/>
              </w:rPr>
            </w:pPr>
            <w:r w:rsidRPr="00D662F1">
              <w:rPr>
                <w:iCs/>
              </w:rPr>
              <w:t xml:space="preserve">l – laika patēriņš, kas operatoram jāpavada sagatavojot </w:t>
            </w:r>
            <w:r w:rsidR="000F3CEC" w:rsidRPr="00D662F1">
              <w:rPr>
                <w:iCs/>
              </w:rPr>
              <w:t>informāciju</w:t>
            </w:r>
            <w:r w:rsidRPr="00D662F1">
              <w:rPr>
                <w:iCs/>
              </w:rPr>
              <w:t xml:space="preserve"> – </w:t>
            </w:r>
            <w:r w:rsidR="00903AB1" w:rsidRPr="00D662F1">
              <w:rPr>
                <w:iCs/>
              </w:rPr>
              <w:t>4</w:t>
            </w:r>
            <w:r w:rsidRPr="00D662F1">
              <w:rPr>
                <w:iCs/>
              </w:rPr>
              <w:t xml:space="preserve"> stundas;</w:t>
            </w:r>
          </w:p>
          <w:p w14:paraId="2ADC59C3" w14:textId="77777777" w:rsidR="005E03CD" w:rsidRPr="00D662F1" w:rsidRDefault="005E03CD" w:rsidP="005E03CD">
            <w:pPr>
              <w:rPr>
                <w:iCs/>
              </w:rPr>
            </w:pPr>
          </w:p>
          <w:p w14:paraId="2003F1D5" w14:textId="420066E0" w:rsidR="005E03CD" w:rsidRPr="00D662F1" w:rsidRDefault="005E03CD" w:rsidP="005E03CD">
            <w:pPr>
              <w:rPr>
                <w:iCs/>
              </w:rPr>
            </w:pPr>
            <w:r w:rsidRPr="00D662F1">
              <w:rPr>
                <w:iCs/>
              </w:rPr>
              <w:t xml:space="preserve">n – </w:t>
            </w:r>
            <w:r w:rsidR="00CF6487" w:rsidRPr="00D662F1">
              <w:rPr>
                <w:iCs/>
              </w:rPr>
              <w:t>iekārtu</w:t>
            </w:r>
            <w:r w:rsidR="00DC6C41" w:rsidRPr="00D662F1">
              <w:rPr>
                <w:iCs/>
              </w:rPr>
              <w:t xml:space="preserve"> </w:t>
            </w:r>
            <w:r w:rsidRPr="00D662F1">
              <w:rPr>
                <w:iCs/>
              </w:rPr>
              <w:t>skaits</w:t>
            </w:r>
            <w:r w:rsidR="00E41817" w:rsidRPr="00D662F1">
              <w:t xml:space="preserve"> </w:t>
            </w:r>
            <w:r w:rsidR="00901A60" w:rsidRPr="00D662F1">
              <w:t xml:space="preserve">atbilstoši </w:t>
            </w:r>
            <w:r w:rsidR="00E41817" w:rsidRPr="00D662F1">
              <w:rPr>
                <w:iCs/>
              </w:rPr>
              <w:t>Ministru kabineta rīkojuma projekt</w:t>
            </w:r>
            <w:r w:rsidR="00901A60" w:rsidRPr="00D662F1">
              <w:rPr>
                <w:iCs/>
              </w:rPr>
              <w:t>am</w:t>
            </w:r>
            <w:r w:rsidR="00E41817" w:rsidRPr="00D662F1">
              <w:rPr>
                <w:iCs/>
              </w:rPr>
              <w:t xml:space="preserve">  “Par iekārtu sarakstu emisijas kvotu sadalei 2021.-2025. gadam”</w:t>
            </w:r>
            <w:r w:rsidRPr="00D662F1">
              <w:rPr>
                <w:iCs/>
              </w:rPr>
              <w:t xml:space="preserve">, uz ko attiecas projektā </w:t>
            </w:r>
            <w:r w:rsidRPr="00D662F1">
              <w:rPr>
                <w:iCs/>
              </w:rPr>
              <w:lastRenderedPageBreak/>
              <w:t>paredzētās informācijas sniegšanas prasības</w:t>
            </w:r>
            <w:r w:rsidR="00A87AAC" w:rsidRPr="00D662F1">
              <w:rPr>
                <w:iCs/>
              </w:rPr>
              <w:t xml:space="preserve"> – 52 iekārtas</w:t>
            </w:r>
            <w:r w:rsidRPr="00D662F1">
              <w:rPr>
                <w:iCs/>
              </w:rPr>
              <w:t>;</w:t>
            </w:r>
          </w:p>
          <w:p w14:paraId="52613538" w14:textId="77777777" w:rsidR="005E03CD" w:rsidRPr="00D662F1" w:rsidRDefault="005E03CD" w:rsidP="005E03CD">
            <w:pPr>
              <w:rPr>
                <w:iCs/>
              </w:rPr>
            </w:pPr>
          </w:p>
          <w:p w14:paraId="7C14FA29" w14:textId="4A233D61" w:rsidR="00745060" w:rsidRPr="00D662F1" w:rsidRDefault="005E03CD" w:rsidP="005E03CD">
            <w:pPr>
              <w:rPr>
                <w:iCs/>
              </w:rPr>
            </w:pPr>
            <w:r w:rsidRPr="00D662F1">
              <w:rPr>
                <w:iCs/>
              </w:rPr>
              <w:t>b –projekt</w:t>
            </w:r>
            <w:r w:rsidR="001D0774" w:rsidRPr="00D662F1">
              <w:rPr>
                <w:iCs/>
              </w:rPr>
              <w:t>ā</w:t>
            </w:r>
            <w:r w:rsidRPr="00D662F1">
              <w:rPr>
                <w:iCs/>
              </w:rPr>
              <w:t xml:space="preserve"> paredz</w:t>
            </w:r>
            <w:r w:rsidR="001D0774" w:rsidRPr="00D662F1">
              <w:rPr>
                <w:iCs/>
              </w:rPr>
              <w:t>am</w:t>
            </w:r>
            <w:r w:rsidR="001E69F7" w:rsidRPr="00D662F1">
              <w:rPr>
                <w:iCs/>
              </w:rPr>
              <w:t xml:space="preserve">ās </w:t>
            </w:r>
            <w:r w:rsidRPr="00D662F1">
              <w:rPr>
                <w:iCs/>
              </w:rPr>
              <w:t>informācijas sniegšan</w:t>
            </w:r>
            <w:r w:rsidR="001E69F7" w:rsidRPr="00D662F1">
              <w:rPr>
                <w:iCs/>
              </w:rPr>
              <w:t xml:space="preserve">as biežums ir 1 reizi gadā. </w:t>
            </w:r>
          </w:p>
          <w:p w14:paraId="38538E02" w14:textId="77777777" w:rsidR="005E03CD" w:rsidRPr="00D662F1" w:rsidRDefault="005E03CD" w:rsidP="00745060">
            <w:pPr>
              <w:rPr>
                <w:iCs/>
              </w:rPr>
            </w:pPr>
          </w:p>
          <w:p w14:paraId="51083395" w14:textId="686B2308" w:rsidR="00745060" w:rsidRPr="00D662F1" w:rsidRDefault="00745060" w:rsidP="00745060">
            <w:pPr>
              <w:rPr>
                <w:iCs/>
              </w:rPr>
            </w:pPr>
            <w:r w:rsidRPr="00D662F1">
              <w:rPr>
                <w:iCs/>
              </w:rPr>
              <w:t xml:space="preserve">Aprēķins: </w:t>
            </w:r>
            <w:r w:rsidR="00901A60" w:rsidRPr="00D662F1">
              <w:rPr>
                <w:iCs/>
              </w:rPr>
              <w:t>(</w:t>
            </w:r>
            <w:r w:rsidR="00C547DB" w:rsidRPr="00D662F1">
              <w:rPr>
                <w:iCs/>
              </w:rPr>
              <w:t>7,</w:t>
            </w:r>
            <w:r w:rsidR="000F3CEC" w:rsidRPr="00D662F1">
              <w:rPr>
                <w:iCs/>
              </w:rPr>
              <w:t>14</w:t>
            </w:r>
            <w:r w:rsidRPr="00D662F1">
              <w:rPr>
                <w:iCs/>
              </w:rPr>
              <w:t xml:space="preserve"> x </w:t>
            </w:r>
            <w:r w:rsidR="007C109A" w:rsidRPr="00D662F1">
              <w:rPr>
                <w:iCs/>
              </w:rPr>
              <w:t>4</w:t>
            </w:r>
            <w:r w:rsidR="00901A60" w:rsidRPr="00D662F1">
              <w:rPr>
                <w:iCs/>
              </w:rPr>
              <w:t>)</w:t>
            </w:r>
            <w:r w:rsidR="00CF6487" w:rsidRPr="00D662F1">
              <w:rPr>
                <w:iCs/>
              </w:rPr>
              <w:t>x</w:t>
            </w:r>
            <w:r w:rsidR="004F75D4" w:rsidRPr="00D662F1">
              <w:rPr>
                <w:iCs/>
              </w:rPr>
              <w:t>(</w:t>
            </w:r>
            <w:r w:rsidR="00CF6487" w:rsidRPr="00D662F1">
              <w:rPr>
                <w:iCs/>
              </w:rPr>
              <w:t>52</w:t>
            </w:r>
            <w:r w:rsidR="004F75D4" w:rsidRPr="00D662F1">
              <w:rPr>
                <w:iCs/>
              </w:rPr>
              <w:t>x1)</w:t>
            </w:r>
            <w:r w:rsidRPr="00D662F1">
              <w:rPr>
                <w:iCs/>
              </w:rPr>
              <w:t xml:space="preserve"> = </w:t>
            </w:r>
            <w:r w:rsidR="00C0336E" w:rsidRPr="00D662F1">
              <w:rPr>
                <w:iCs/>
              </w:rPr>
              <w:t>14</w:t>
            </w:r>
            <w:r w:rsidR="00474595" w:rsidRPr="00D662F1">
              <w:rPr>
                <w:iCs/>
              </w:rPr>
              <w:t>85</w:t>
            </w:r>
            <w:r w:rsidR="00C0336E" w:rsidRPr="00D662F1">
              <w:rPr>
                <w:iCs/>
              </w:rPr>
              <w:t>,</w:t>
            </w:r>
            <w:r w:rsidR="00474595" w:rsidRPr="00D662F1">
              <w:rPr>
                <w:iCs/>
              </w:rPr>
              <w:t>90</w:t>
            </w:r>
            <w:r w:rsidR="00D006AB" w:rsidRPr="00D662F1">
              <w:rPr>
                <w:iCs/>
              </w:rPr>
              <w:t xml:space="preserve"> </w:t>
            </w:r>
            <w:r w:rsidRPr="00D662F1">
              <w:rPr>
                <w:iCs/>
              </w:rPr>
              <w:t xml:space="preserve">euro/gadā </w:t>
            </w:r>
          </w:p>
          <w:p w14:paraId="712BDF04" w14:textId="658592E5" w:rsidR="00776BBE" w:rsidRPr="00D662F1" w:rsidRDefault="00776BBE" w:rsidP="00745060">
            <w:pPr>
              <w:rPr>
                <w:iCs/>
              </w:rPr>
            </w:pPr>
          </w:p>
          <w:p w14:paraId="154FEBC2" w14:textId="0F455BD8" w:rsidR="00457766" w:rsidRPr="00D662F1" w:rsidRDefault="00347A7A" w:rsidP="008049F4">
            <w:pPr>
              <w:jc w:val="both"/>
            </w:pPr>
            <w:r w:rsidRPr="00D662F1">
              <w:t xml:space="preserve">Noteikumu projektā tiek noteikts, ka VARAM apstiprinās operatoru iesniegtos darbības līmeņa ziņojumus. </w:t>
            </w:r>
            <w:r w:rsidR="00776BBE" w:rsidRPr="00D662F1">
              <w:t>Administratīvais slogs nav vērtējams augstāks kā 2000 </w:t>
            </w:r>
            <w:r w:rsidR="00776BBE" w:rsidRPr="00D662F1">
              <w:rPr>
                <w:i/>
              </w:rPr>
              <w:t>euro</w:t>
            </w:r>
            <w:r w:rsidR="00776BBE" w:rsidRPr="00D662F1">
              <w:t>.</w:t>
            </w:r>
          </w:p>
        </w:tc>
      </w:tr>
      <w:tr w:rsidR="00457766" w:rsidRPr="00330D38" w14:paraId="4513B29C" w14:textId="77777777" w:rsidTr="2A37A0A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55E53E" w14:textId="77777777" w:rsidR="00457766" w:rsidRPr="00330D38" w:rsidRDefault="00457766" w:rsidP="00A44393">
            <w:pPr>
              <w:rPr>
                <w:iCs/>
              </w:rPr>
            </w:pPr>
            <w:r w:rsidRPr="00330D38">
              <w:rPr>
                <w:iCs/>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5D484E05" w14:textId="77777777" w:rsidR="00457766" w:rsidRPr="00330D38" w:rsidRDefault="00457766" w:rsidP="00A44393">
            <w:pPr>
              <w:rPr>
                <w:iCs/>
              </w:rPr>
            </w:pPr>
            <w:r w:rsidRPr="00330D38">
              <w:rPr>
                <w:iCs/>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9E5EF22" w14:textId="300A5E49" w:rsidR="00457766" w:rsidRPr="00D662F1" w:rsidRDefault="00B5596F" w:rsidP="00A44393">
            <w:pPr>
              <w:rPr>
                <w:iCs/>
              </w:rPr>
            </w:pPr>
            <w:r w:rsidRPr="00D662F1">
              <w:rPr>
                <w:iCs/>
              </w:rPr>
              <w:t>Atbilstības izmaksas iekārtas operator</w:t>
            </w:r>
            <w:r w:rsidR="00060198" w:rsidRPr="00D662F1">
              <w:rPr>
                <w:iCs/>
              </w:rPr>
              <w:t>iem būs vienādas ar augstāk minētajām administratīvajām izmaksām, gadījumos, ja VARAM pieprasīs sniegt papildus informāciju</w:t>
            </w:r>
            <w:r w:rsidR="000D7D4F" w:rsidRPr="00D662F1">
              <w:rPr>
                <w:iCs/>
              </w:rPr>
              <w:t xml:space="preserve"> saistībā ar darbības līmeņa ziņojuma izvērtēšanu.</w:t>
            </w:r>
          </w:p>
        </w:tc>
      </w:tr>
      <w:tr w:rsidR="00457766" w:rsidRPr="00330D38" w14:paraId="649E5F30" w14:textId="77777777" w:rsidTr="2A37A0A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B7DA8C" w14:textId="77777777" w:rsidR="00457766" w:rsidRPr="00330D38" w:rsidRDefault="00457766" w:rsidP="00A44393">
            <w:pPr>
              <w:rPr>
                <w:iCs/>
              </w:rPr>
            </w:pPr>
            <w:r w:rsidRPr="00330D38">
              <w:rPr>
                <w:iCs/>
              </w:rPr>
              <w:t>5.</w:t>
            </w:r>
          </w:p>
        </w:tc>
        <w:tc>
          <w:tcPr>
            <w:tcW w:w="1700" w:type="pct"/>
            <w:tcBorders>
              <w:top w:val="outset" w:sz="6" w:space="0" w:color="auto"/>
              <w:left w:val="outset" w:sz="6" w:space="0" w:color="auto"/>
              <w:bottom w:val="outset" w:sz="6" w:space="0" w:color="auto"/>
              <w:right w:val="outset" w:sz="6" w:space="0" w:color="auto"/>
            </w:tcBorders>
            <w:hideMark/>
          </w:tcPr>
          <w:p w14:paraId="6B47F876" w14:textId="77777777" w:rsidR="00457766" w:rsidRPr="00330D38" w:rsidRDefault="00457766" w:rsidP="00A44393">
            <w:pPr>
              <w:rPr>
                <w:iCs/>
              </w:rPr>
            </w:pPr>
            <w:r w:rsidRPr="00330D38">
              <w:rPr>
                <w:iCs/>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313AB45" w14:textId="3080D355" w:rsidR="00457766" w:rsidRPr="00330D38" w:rsidRDefault="00457766" w:rsidP="00A44393">
            <w:pPr>
              <w:rPr>
                <w:iCs/>
              </w:rPr>
            </w:pPr>
            <w:r w:rsidRPr="00330D38">
              <w:rPr>
                <w:iCs/>
              </w:rPr>
              <w:t>Nav</w:t>
            </w:r>
          </w:p>
        </w:tc>
      </w:tr>
    </w:tbl>
    <w:p w14:paraId="12AC0F9F" w14:textId="1E7D7D17" w:rsidR="00457766" w:rsidRDefault="00457766" w:rsidP="00461E20">
      <w:pPr>
        <w:spacing w:before="120" w:after="120"/>
        <w:jc w:val="center"/>
        <w:rPr>
          <w:b/>
          <w:i/>
          <w:i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56294" w:rsidRPr="00DA6709" w14:paraId="3A88FFEF" w14:textId="77777777" w:rsidTr="00A443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C0E11E" w14:textId="77777777" w:rsidR="00356294" w:rsidRPr="00076E94" w:rsidRDefault="00356294" w:rsidP="00A44393">
            <w:pPr>
              <w:jc w:val="center"/>
              <w:rPr>
                <w:b/>
                <w:bCs/>
                <w:iCs/>
              </w:rPr>
            </w:pPr>
            <w:r w:rsidRPr="00076E94">
              <w:rPr>
                <w:b/>
                <w:bCs/>
                <w:iCs/>
              </w:rPr>
              <w:t>III. Tiesību akta projekta ietekme uz valsts budžetu un pašvaldību budžetiem</w:t>
            </w:r>
          </w:p>
        </w:tc>
      </w:tr>
      <w:tr w:rsidR="00356294" w:rsidRPr="00DA6709" w14:paraId="0F7BC917" w14:textId="77777777" w:rsidTr="00A443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CF4AF8" w14:textId="77777777" w:rsidR="00356294" w:rsidRPr="00076E94" w:rsidRDefault="00356294" w:rsidP="00A44393">
            <w:pPr>
              <w:jc w:val="center"/>
              <w:rPr>
                <w:bCs/>
                <w:iCs/>
              </w:rPr>
            </w:pPr>
            <w:r w:rsidRPr="00076E94">
              <w:rPr>
                <w:bCs/>
                <w:iCs/>
              </w:rPr>
              <w:t>Projekts šo jomu neskar</w:t>
            </w:r>
          </w:p>
        </w:tc>
      </w:tr>
    </w:tbl>
    <w:p w14:paraId="4F34AA54" w14:textId="06CCB9C8" w:rsidR="00356294" w:rsidRDefault="00356294" w:rsidP="00461E20">
      <w:pPr>
        <w:spacing w:before="120" w:after="120"/>
        <w:jc w:val="center"/>
        <w:rPr>
          <w:b/>
          <w:i/>
          <w:i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56294" w:rsidRPr="002037EB" w14:paraId="37D1D666" w14:textId="77777777" w:rsidTr="00A4439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1A80F3" w14:textId="77777777" w:rsidR="00356294" w:rsidRPr="002037EB" w:rsidRDefault="00356294" w:rsidP="00A44393">
            <w:pPr>
              <w:rPr>
                <w:b/>
                <w:bCs/>
                <w:iCs/>
              </w:rPr>
            </w:pPr>
            <w:r w:rsidRPr="002037EB">
              <w:rPr>
                <w:b/>
                <w:bCs/>
                <w:iCs/>
              </w:rPr>
              <w:t>IV. Tiesību akta projekta ietekme uz spēkā esošo tiesību normu sistēmu</w:t>
            </w:r>
          </w:p>
        </w:tc>
      </w:tr>
      <w:tr w:rsidR="00356294" w:rsidRPr="002037EB" w14:paraId="726AF7C4" w14:textId="77777777" w:rsidTr="00A4439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1AE518" w14:textId="77777777" w:rsidR="00356294" w:rsidRPr="002037EB" w:rsidRDefault="00356294" w:rsidP="00A44393">
            <w:pPr>
              <w:rPr>
                <w:iCs/>
              </w:rPr>
            </w:pPr>
            <w:r w:rsidRPr="002037EB">
              <w:rPr>
                <w:iCs/>
              </w:rPr>
              <w:t>1.</w:t>
            </w:r>
          </w:p>
        </w:tc>
        <w:tc>
          <w:tcPr>
            <w:tcW w:w="1700" w:type="pct"/>
            <w:tcBorders>
              <w:top w:val="outset" w:sz="6" w:space="0" w:color="auto"/>
              <w:left w:val="outset" w:sz="6" w:space="0" w:color="auto"/>
              <w:bottom w:val="outset" w:sz="6" w:space="0" w:color="auto"/>
              <w:right w:val="outset" w:sz="6" w:space="0" w:color="auto"/>
            </w:tcBorders>
            <w:hideMark/>
          </w:tcPr>
          <w:p w14:paraId="0AD37BA0" w14:textId="77777777" w:rsidR="00356294" w:rsidRPr="002037EB" w:rsidRDefault="00356294" w:rsidP="005B0BF3">
            <w:pPr>
              <w:jc w:val="both"/>
              <w:rPr>
                <w:iCs/>
              </w:rPr>
            </w:pPr>
            <w:r w:rsidRPr="002037EB">
              <w:rPr>
                <w:iCs/>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28325693" w14:textId="593827B0" w:rsidR="00E92021" w:rsidRDefault="00E92021" w:rsidP="005B0BF3">
            <w:pPr>
              <w:jc w:val="both"/>
              <w:rPr>
                <w:iCs/>
              </w:rPr>
            </w:pPr>
            <w:r w:rsidRPr="00E92021">
              <w:rPr>
                <w:iCs/>
              </w:rPr>
              <w:t xml:space="preserve">Stājoties spēkā </w:t>
            </w:r>
            <w:r>
              <w:rPr>
                <w:iCs/>
              </w:rPr>
              <w:t>Noteikumu p</w:t>
            </w:r>
            <w:r w:rsidRPr="00E92021">
              <w:rPr>
                <w:iCs/>
              </w:rPr>
              <w:t xml:space="preserve">rojektam, spēku zaudēs </w:t>
            </w:r>
            <w:r>
              <w:rPr>
                <w:iCs/>
              </w:rPr>
              <w:t xml:space="preserve">Ministru kabineta </w:t>
            </w:r>
            <w:r w:rsidRPr="00E92021">
              <w:rPr>
                <w:iCs/>
              </w:rPr>
              <w:t>2013.gada 26.februār</w:t>
            </w:r>
            <w:r>
              <w:rPr>
                <w:iCs/>
              </w:rPr>
              <w:t xml:space="preserve">a </w:t>
            </w:r>
            <w:r w:rsidRPr="00E92021">
              <w:rPr>
                <w:iCs/>
              </w:rPr>
              <w:t xml:space="preserve">noteikumi Nr. </w:t>
            </w:r>
            <w:r>
              <w:rPr>
                <w:iCs/>
              </w:rPr>
              <w:t>112</w:t>
            </w:r>
            <w:r w:rsidRPr="00E92021">
              <w:rPr>
                <w:iCs/>
              </w:rPr>
              <w:t xml:space="preserve"> “Emisijas kvotu piešķiršanas kārtība stacionāro tehnoloģisko iekārtu operatoriem”.</w:t>
            </w:r>
          </w:p>
          <w:p w14:paraId="64A30A41" w14:textId="7D4647E7" w:rsidR="00E92021" w:rsidRDefault="00E92021" w:rsidP="005B0BF3">
            <w:pPr>
              <w:jc w:val="both"/>
              <w:rPr>
                <w:iCs/>
              </w:rPr>
            </w:pPr>
          </w:p>
          <w:p w14:paraId="4FD7136D" w14:textId="7D1E4A1C" w:rsidR="00356294" w:rsidRDefault="00356294" w:rsidP="005B0BF3">
            <w:pPr>
              <w:jc w:val="both"/>
              <w:rPr>
                <w:iCs/>
              </w:rPr>
            </w:pPr>
            <w:r>
              <w:rPr>
                <w:iCs/>
              </w:rPr>
              <w:t xml:space="preserve">Ņemot vērā </w:t>
            </w:r>
            <w:r w:rsidR="007823BF">
              <w:rPr>
                <w:iCs/>
              </w:rPr>
              <w:t>anotācijas</w:t>
            </w:r>
            <w:r w:rsidR="005976A8">
              <w:rPr>
                <w:iCs/>
              </w:rPr>
              <w:t xml:space="preserve"> I</w:t>
            </w:r>
            <w:r w:rsidR="00060801">
              <w:rPr>
                <w:iCs/>
              </w:rPr>
              <w:t> sa</w:t>
            </w:r>
            <w:r w:rsidR="005976A8">
              <w:rPr>
                <w:iCs/>
              </w:rPr>
              <w:t xml:space="preserve">daļas 2. punktā </w:t>
            </w:r>
            <w:r>
              <w:rPr>
                <w:iCs/>
              </w:rPr>
              <w:t xml:space="preserve">minētos </w:t>
            </w:r>
            <w:r w:rsidR="00590FF5">
              <w:rPr>
                <w:iCs/>
              </w:rPr>
              <w:t>EK</w:t>
            </w:r>
            <w:r>
              <w:rPr>
                <w:iCs/>
              </w:rPr>
              <w:t xml:space="preserve"> deleģētos </w:t>
            </w:r>
            <w:r w:rsidR="00590FF5">
              <w:rPr>
                <w:iCs/>
              </w:rPr>
              <w:t xml:space="preserve">tiesību </w:t>
            </w:r>
            <w:r>
              <w:rPr>
                <w:iCs/>
              </w:rPr>
              <w:t xml:space="preserve">aktus, </w:t>
            </w:r>
            <w:r w:rsidR="00E92021">
              <w:rPr>
                <w:iCs/>
              </w:rPr>
              <w:t>saska</w:t>
            </w:r>
            <w:r w:rsidR="005976A8">
              <w:rPr>
                <w:iCs/>
              </w:rPr>
              <w:t>ņ</w:t>
            </w:r>
            <w:r w:rsidR="00BC1764">
              <w:rPr>
                <w:iCs/>
              </w:rPr>
              <w:t>o</w:t>
            </w:r>
            <w:r w:rsidR="00E92021">
              <w:rPr>
                <w:iCs/>
              </w:rPr>
              <w:t xml:space="preserve">šanā ir </w:t>
            </w:r>
            <w:r>
              <w:rPr>
                <w:iCs/>
              </w:rPr>
              <w:t xml:space="preserve">noteikumu projekts grozījumiem </w:t>
            </w:r>
            <w:r w:rsidR="00060801">
              <w:rPr>
                <w:iCs/>
              </w:rPr>
              <w:t xml:space="preserve">Ministru kabineta </w:t>
            </w:r>
            <w:r w:rsidR="005B0BF3" w:rsidRPr="005B0BF3">
              <w:rPr>
                <w:iCs/>
              </w:rPr>
              <w:t>2012. gada 13. novembra noteikumos Nr. 769 “Noteikumi par stacionāro tehnoloģisko iekārtu dalību Eiropas Savienības emisija</w:t>
            </w:r>
            <w:r w:rsidR="005B0BF3">
              <w:rPr>
                <w:iCs/>
              </w:rPr>
              <w:t>s kvotu tirdzniecības sistēmā</w:t>
            </w:r>
            <w:r w:rsidR="005976A8">
              <w:rPr>
                <w:iCs/>
              </w:rPr>
              <w:t xml:space="preserve">”, kas paredz kārtību </w:t>
            </w:r>
            <w:r w:rsidR="005976A8" w:rsidRPr="005976A8">
              <w:rPr>
                <w:iCs/>
              </w:rPr>
              <w:t>iesniegumu siltumnīcefekta gāzu emisijas atļaujas saņemšanai</w:t>
            </w:r>
            <w:r w:rsidR="005976A8">
              <w:rPr>
                <w:iCs/>
              </w:rPr>
              <w:t>, kā arī emisiju un darbības līmeņu monitor</w:t>
            </w:r>
            <w:r w:rsidR="00BC1764">
              <w:rPr>
                <w:iCs/>
              </w:rPr>
              <w:t>ingu</w:t>
            </w:r>
            <w:r w:rsidR="005976A8">
              <w:rPr>
                <w:iCs/>
              </w:rPr>
              <w:t xml:space="preserve"> un ziņošanu.</w:t>
            </w:r>
          </w:p>
          <w:p w14:paraId="5CBEC2E8" w14:textId="77777777" w:rsidR="00590FF5" w:rsidRPr="00330D38" w:rsidRDefault="00590FF5" w:rsidP="005B0BF3">
            <w:pPr>
              <w:jc w:val="both"/>
              <w:rPr>
                <w:iCs/>
              </w:rPr>
            </w:pPr>
          </w:p>
          <w:p w14:paraId="09112953" w14:textId="4E5C636E" w:rsidR="00356294" w:rsidRPr="002037EB" w:rsidRDefault="00356294" w:rsidP="005B0BF3">
            <w:pPr>
              <w:jc w:val="both"/>
              <w:rPr>
                <w:iCs/>
              </w:rPr>
            </w:pPr>
            <w:r w:rsidRPr="002037EB">
              <w:rPr>
                <w:iCs/>
              </w:rPr>
              <w:t>VARAM izstrādā likumprojektu “Klimata likums”, ar kuru tiks precizēts un pilnveidots Latvijas klimata politikas juridiskais ietvars, kā arī iestrādāt</w:t>
            </w:r>
            <w:r w:rsidR="00060801">
              <w:rPr>
                <w:iCs/>
              </w:rPr>
              <w:t>s</w:t>
            </w:r>
            <w:r w:rsidRPr="002037EB">
              <w:rPr>
                <w:iCs/>
              </w:rPr>
              <w:t xml:space="preserve"> likuma “Par piesārņojumu” </w:t>
            </w:r>
            <w:r w:rsidR="00060801">
              <w:rPr>
                <w:iCs/>
              </w:rPr>
              <w:t>regulējums</w:t>
            </w:r>
            <w:r w:rsidRPr="002037EB">
              <w:rPr>
                <w:iCs/>
              </w:rPr>
              <w:t xml:space="preserve">, kas attiecas uz siltumnīcefekta gāzu emisiju samazināšanu, t.sk. ES ETS sistēmas darbību. </w:t>
            </w:r>
          </w:p>
        </w:tc>
      </w:tr>
      <w:tr w:rsidR="00356294" w:rsidRPr="002037EB" w14:paraId="31B84102" w14:textId="77777777" w:rsidTr="00A4439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B01743" w14:textId="77777777" w:rsidR="00356294" w:rsidRPr="002037EB" w:rsidRDefault="00356294" w:rsidP="00A44393">
            <w:pPr>
              <w:rPr>
                <w:iCs/>
              </w:rPr>
            </w:pPr>
            <w:r w:rsidRPr="002037EB">
              <w:rPr>
                <w:iCs/>
              </w:rPr>
              <w:t>2.</w:t>
            </w:r>
          </w:p>
        </w:tc>
        <w:tc>
          <w:tcPr>
            <w:tcW w:w="1700" w:type="pct"/>
            <w:tcBorders>
              <w:top w:val="outset" w:sz="6" w:space="0" w:color="auto"/>
              <w:left w:val="outset" w:sz="6" w:space="0" w:color="auto"/>
              <w:bottom w:val="outset" w:sz="6" w:space="0" w:color="auto"/>
              <w:right w:val="outset" w:sz="6" w:space="0" w:color="auto"/>
            </w:tcBorders>
            <w:hideMark/>
          </w:tcPr>
          <w:p w14:paraId="5A791EF5" w14:textId="77777777" w:rsidR="00356294" w:rsidRPr="002037EB" w:rsidRDefault="00356294" w:rsidP="00A44393">
            <w:pPr>
              <w:rPr>
                <w:iCs/>
              </w:rPr>
            </w:pPr>
            <w:r w:rsidRPr="002037EB">
              <w:rPr>
                <w:iCs/>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73A590FD" w14:textId="77777777" w:rsidR="00356294" w:rsidRPr="002037EB" w:rsidRDefault="00356294" w:rsidP="00A44393">
            <w:pPr>
              <w:rPr>
                <w:iCs/>
              </w:rPr>
            </w:pPr>
            <w:r w:rsidRPr="002037EB">
              <w:rPr>
                <w:iCs/>
              </w:rPr>
              <w:t>VARAM, VVD</w:t>
            </w:r>
          </w:p>
        </w:tc>
      </w:tr>
      <w:tr w:rsidR="00356294" w:rsidRPr="002037EB" w14:paraId="46572199" w14:textId="77777777" w:rsidTr="00A4439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A2B063" w14:textId="77777777" w:rsidR="00356294" w:rsidRPr="002037EB" w:rsidRDefault="00356294" w:rsidP="00A44393">
            <w:pPr>
              <w:rPr>
                <w:iCs/>
              </w:rPr>
            </w:pPr>
            <w:r w:rsidRPr="002037EB">
              <w:rPr>
                <w:iCs/>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0558474" w14:textId="77777777" w:rsidR="00356294" w:rsidRPr="002037EB" w:rsidRDefault="00356294" w:rsidP="00A44393">
            <w:pPr>
              <w:rPr>
                <w:iCs/>
              </w:rPr>
            </w:pPr>
            <w:r w:rsidRPr="002037EB">
              <w:rPr>
                <w:iCs/>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BC742B7" w14:textId="77777777" w:rsidR="00356294" w:rsidRPr="002037EB" w:rsidRDefault="00356294" w:rsidP="00A44393">
            <w:pPr>
              <w:rPr>
                <w:iCs/>
              </w:rPr>
            </w:pPr>
            <w:r w:rsidRPr="002037EB">
              <w:rPr>
                <w:iCs/>
              </w:rPr>
              <w:t>Nav</w:t>
            </w:r>
          </w:p>
        </w:tc>
      </w:tr>
    </w:tbl>
    <w:p w14:paraId="76FFE7A6" w14:textId="186640B1" w:rsidR="00356294" w:rsidRDefault="00356294" w:rsidP="00461E20">
      <w:pPr>
        <w:spacing w:before="120" w:after="120"/>
        <w:jc w:val="center"/>
        <w:rPr>
          <w:b/>
          <w:i/>
          <w:i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56294" w:rsidRPr="00E06355" w14:paraId="1E136AAF" w14:textId="77777777" w:rsidTr="00A4439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741B041" w14:textId="77777777" w:rsidR="00356294" w:rsidRPr="00E06355" w:rsidRDefault="00356294" w:rsidP="00A44393">
            <w:pPr>
              <w:rPr>
                <w:b/>
                <w:bCs/>
                <w:iCs/>
              </w:rPr>
            </w:pPr>
            <w:r w:rsidRPr="00E06355">
              <w:rPr>
                <w:b/>
                <w:bCs/>
                <w:iCs/>
              </w:rPr>
              <w:t>V. Tiesību akta projekta atbilstība Latvijas Republikas starptautiskajām saistībām</w:t>
            </w:r>
          </w:p>
        </w:tc>
      </w:tr>
      <w:tr w:rsidR="00356294" w:rsidRPr="00E06355" w14:paraId="4B5FC342" w14:textId="77777777" w:rsidTr="00A4439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F07079" w14:textId="77777777" w:rsidR="00356294" w:rsidRPr="00E06355" w:rsidRDefault="00356294" w:rsidP="00A44393">
            <w:pPr>
              <w:rPr>
                <w:iCs/>
              </w:rPr>
            </w:pPr>
            <w:r w:rsidRPr="00E06355">
              <w:rPr>
                <w:iCs/>
              </w:rPr>
              <w:t>1.</w:t>
            </w:r>
          </w:p>
        </w:tc>
        <w:tc>
          <w:tcPr>
            <w:tcW w:w="1700" w:type="pct"/>
            <w:tcBorders>
              <w:top w:val="outset" w:sz="6" w:space="0" w:color="auto"/>
              <w:left w:val="outset" w:sz="6" w:space="0" w:color="auto"/>
              <w:bottom w:val="outset" w:sz="6" w:space="0" w:color="auto"/>
              <w:right w:val="outset" w:sz="6" w:space="0" w:color="auto"/>
            </w:tcBorders>
            <w:hideMark/>
          </w:tcPr>
          <w:p w14:paraId="4817B4F0" w14:textId="77777777" w:rsidR="00356294" w:rsidRPr="00E06355" w:rsidRDefault="00356294" w:rsidP="00A44393">
            <w:pPr>
              <w:rPr>
                <w:iCs/>
              </w:rPr>
            </w:pPr>
            <w:r w:rsidRPr="00E06355">
              <w:rPr>
                <w:iCs/>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01D44186" w14:textId="44E49BC8" w:rsidR="005A4FC2" w:rsidRPr="00942444" w:rsidRDefault="00590FF5" w:rsidP="00A44393">
            <w:pPr>
              <w:jc w:val="both"/>
              <w:rPr>
                <w:iCs/>
              </w:rPr>
            </w:pPr>
            <w:r w:rsidRPr="00942444">
              <w:rPr>
                <w:iCs/>
              </w:rPr>
              <w:t>N</w:t>
            </w:r>
            <w:r w:rsidR="005A4FC2" w:rsidRPr="00942444">
              <w:rPr>
                <w:iCs/>
              </w:rPr>
              <w:t xml:space="preserve">oteikumu projekts sagatavots, lai nodrošinātu </w:t>
            </w:r>
            <w:r w:rsidR="003C492E" w:rsidRPr="00942444">
              <w:rPr>
                <w:iCs/>
              </w:rPr>
              <w:t xml:space="preserve">šādu </w:t>
            </w:r>
            <w:r w:rsidR="005A4FC2" w:rsidRPr="00942444">
              <w:rPr>
                <w:iCs/>
              </w:rPr>
              <w:t>tiesību aktu darbīb</w:t>
            </w:r>
            <w:r w:rsidRPr="00942444">
              <w:rPr>
                <w:iCs/>
              </w:rPr>
              <w:t>u</w:t>
            </w:r>
            <w:r w:rsidR="005A4FC2" w:rsidRPr="00942444">
              <w:rPr>
                <w:iCs/>
              </w:rPr>
              <w:t>:</w:t>
            </w:r>
          </w:p>
          <w:p w14:paraId="210282B5" w14:textId="39700C62" w:rsidR="00356294" w:rsidRPr="00E06355" w:rsidRDefault="00942444">
            <w:pPr>
              <w:jc w:val="both"/>
              <w:rPr>
                <w:iCs/>
              </w:rPr>
            </w:pPr>
            <w:r w:rsidRPr="00942444">
              <w:rPr>
                <w:iCs/>
              </w:rPr>
              <w:t>- Eiropas Parlamenta un Padomes 2009.gada 23.aprīļa Direktīva 2009/29/EK, ar ko Direktīvu 2003/87/EK groza, lai uzlabotu un paplašinātu Kopienas siltumnīcas efektu izraisošo gāzu emisiju kvotu tirdzniecības sistēmu</w:t>
            </w:r>
            <w:r>
              <w:rPr>
                <w:iCs/>
              </w:rPr>
              <w:t>;</w:t>
            </w:r>
          </w:p>
          <w:p w14:paraId="06664FF9" w14:textId="1A97E7B1" w:rsidR="00356294" w:rsidRDefault="00942444" w:rsidP="00901D68">
            <w:pPr>
              <w:jc w:val="both"/>
              <w:rPr>
                <w:iCs/>
              </w:rPr>
            </w:pPr>
            <w:r>
              <w:rPr>
                <w:iCs/>
              </w:rPr>
              <w:t xml:space="preserve">- </w:t>
            </w:r>
            <w:r w:rsidRPr="00942444">
              <w:rPr>
                <w:iCs/>
              </w:rPr>
              <w:t>Eiropas Parlamenta un Padomes 2018. gada 14. marta Direktīva Nr. 2018/410/ES, ar ko groza Direktīvu 2003/87/EK, lai sekmētu emisiju izmaksefektīvu samazināšanu un investīcijas mazoglekļa risinājumos, un Lēmumu (ES) 2015/1814</w:t>
            </w:r>
            <w:r>
              <w:rPr>
                <w:iCs/>
              </w:rPr>
              <w:t>;</w:t>
            </w:r>
          </w:p>
          <w:p w14:paraId="57A40BA6" w14:textId="496E4738" w:rsidR="00942444" w:rsidRPr="00D12D6C" w:rsidRDefault="00942444" w:rsidP="00901D68">
            <w:pPr>
              <w:jc w:val="both"/>
              <w:rPr>
                <w:iCs/>
              </w:rPr>
            </w:pPr>
            <w:r w:rsidRPr="00D12D6C">
              <w:rPr>
                <w:iCs/>
              </w:rPr>
              <w:t>- Eiropas Komisijas 2019. gada 15. februāra Deleģētais lēmums 2019/708, ar ko papildina Eiropas Parlamenta un Padomes Direktīvu 2003/87/EK, 2021.–2030. gada periodam nosakot sarakstu ar nozarēm un apakšnozarēm, kuras uzskatāmas par pakļautām oglekļa emisiju pārvirzes riskam.</w:t>
            </w:r>
          </w:p>
        </w:tc>
      </w:tr>
      <w:tr w:rsidR="00356294" w:rsidRPr="00E06355" w14:paraId="5AE9EBB8" w14:textId="77777777" w:rsidTr="00A4439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D2A0A8" w14:textId="77777777" w:rsidR="00356294" w:rsidRPr="00E06355" w:rsidRDefault="00356294" w:rsidP="00A44393">
            <w:pPr>
              <w:rPr>
                <w:iCs/>
              </w:rPr>
            </w:pPr>
            <w:r w:rsidRPr="00E06355">
              <w:rPr>
                <w:iCs/>
              </w:rPr>
              <w:t>2.</w:t>
            </w:r>
          </w:p>
        </w:tc>
        <w:tc>
          <w:tcPr>
            <w:tcW w:w="1700" w:type="pct"/>
            <w:tcBorders>
              <w:top w:val="outset" w:sz="6" w:space="0" w:color="auto"/>
              <w:left w:val="outset" w:sz="6" w:space="0" w:color="auto"/>
              <w:bottom w:val="outset" w:sz="6" w:space="0" w:color="auto"/>
              <w:right w:val="outset" w:sz="6" w:space="0" w:color="auto"/>
            </w:tcBorders>
            <w:hideMark/>
          </w:tcPr>
          <w:p w14:paraId="326A132A" w14:textId="77777777" w:rsidR="00356294" w:rsidRPr="00E06355" w:rsidRDefault="00356294" w:rsidP="00A44393">
            <w:pPr>
              <w:rPr>
                <w:iCs/>
              </w:rPr>
            </w:pPr>
            <w:r w:rsidRPr="00E06355">
              <w:rPr>
                <w:iCs/>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2A6E0CB3" w14:textId="77777777" w:rsidR="00356294" w:rsidRPr="00E06355" w:rsidRDefault="00356294" w:rsidP="00A44393">
            <w:pPr>
              <w:rPr>
                <w:iCs/>
              </w:rPr>
            </w:pPr>
            <w:r w:rsidRPr="00E06355">
              <w:rPr>
                <w:iCs/>
              </w:rPr>
              <w:t>Projekts šo jomu neskar.</w:t>
            </w:r>
          </w:p>
        </w:tc>
      </w:tr>
      <w:tr w:rsidR="00356294" w:rsidRPr="00E06355" w14:paraId="4B4F9B66" w14:textId="77777777" w:rsidTr="00A4439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04D0A0" w14:textId="77777777" w:rsidR="00356294" w:rsidRPr="00E06355" w:rsidRDefault="00356294" w:rsidP="00A44393">
            <w:pPr>
              <w:rPr>
                <w:iCs/>
              </w:rPr>
            </w:pPr>
            <w:r w:rsidRPr="00E06355">
              <w:rPr>
                <w:iCs/>
              </w:rPr>
              <w:t>3.</w:t>
            </w:r>
          </w:p>
        </w:tc>
        <w:tc>
          <w:tcPr>
            <w:tcW w:w="1700" w:type="pct"/>
            <w:tcBorders>
              <w:top w:val="outset" w:sz="6" w:space="0" w:color="auto"/>
              <w:left w:val="outset" w:sz="6" w:space="0" w:color="auto"/>
              <w:bottom w:val="outset" w:sz="6" w:space="0" w:color="auto"/>
              <w:right w:val="outset" w:sz="6" w:space="0" w:color="auto"/>
            </w:tcBorders>
            <w:hideMark/>
          </w:tcPr>
          <w:p w14:paraId="62C481B5" w14:textId="77777777" w:rsidR="00356294" w:rsidRPr="00E06355" w:rsidRDefault="00356294" w:rsidP="00A44393">
            <w:pPr>
              <w:rPr>
                <w:iCs/>
              </w:rPr>
            </w:pPr>
            <w:r w:rsidRPr="00E06355">
              <w:rPr>
                <w:iCs/>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7B0F910" w14:textId="77777777" w:rsidR="00356294" w:rsidRPr="00E06355" w:rsidRDefault="00356294" w:rsidP="00A44393">
            <w:pPr>
              <w:rPr>
                <w:iCs/>
              </w:rPr>
            </w:pPr>
            <w:r w:rsidRPr="00E06355">
              <w:rPr>
                <w:iCs/>
              </w:rPr>
              <w:t>Nav</w:t>
            </w:r>
          </w:p>
        </w:tc>
      </w:tr>
    </w:tbl>
    <w:p w14:paraId="25CC8817" w14:textId="77777777" w:rsidR="00356294" w:rsidRDefault="00356294" w:rsidP="00461E20">
      <w:pPr>
        <w:spacing w:before="120" w:after="120"/>
        <w:jc w:val="center"/>
        <w:rPr>
          <w:b/>
          <w:i/>
          <w:iCs/>
          <w:sz w:val="28"/>
          <w:szCs w:val="28"/>
        </w:rPr>
      </w:pPr>
    </w:p>
    <w:tbl>
      <w:tblPr>
        <w:tblW w:w="5000" w:type="pct"/>
        <w:tblCellSpacing w:w="15" w:type="dxa"/>
        <w:tblInd w:w="-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33"/>
        <w:gridCol w:w="2973"/>
        <w:gridCol w:w="43"/>
        <w:gridCol w:w="43"/>
        <w:gridCol w:w="1408"/>
        <w:gridCol w:w="810"/>
        <w:gridCol w:w="403"/>
        <w:gridCol w:w="1342"/>
      </w:tblGrid>
      <w:tr w:rsidR="005B0BF3" w:rsidRPr="00DA6709" w14:paraId="0D99BD2A" w14:textId="77777777" w:rsidTr="00AB130A">
        <w:trPr>
          <w:tblCellSpacing w:w="15" w:type="dxa"/>
        </w:trPr>
        <w:tc>
          <w:tcPr>
            <w:tcW w:w="8995" w:type="dxa"/>
            <w:gridSpan w:val="8"/>
            <w:tcBorders>
              <w:top w:val="outset" w:sz="6" w:space="0" w:color="auto"/>
              <w:left w:val="outset" w:sz="6" w:space="0" w:color="auto"/>
              <w:bottom w:val="outset" w:sz="6" w:space="0" w:color="auto"/>
              <w:right w:val="outset" w:sz="6" w:space="0" w:color="auto"/>
            </w:tcBorders>
            <w:vAlign w:val="center"/>
            <w:hideMark/>
          </w:tcPr>
          <w:p w14:paraId="7664A1A2" w14:textId="77777777" w:rsidR="005B0BF3" w:rsidRPr="00493DC7" w:rsidRDefault="005B0BF3" w:rsidP="00A44393">
            <w:pPr>
              <w:rPr>
                <w:b/>
                <w:bCs/>
                <w:iCs/>
              </w:rPr>
            </w:pPr>
            <w:r w:rsidRPr="00493DC7">
              <w:rPr>
                <w:b/>
                <w:bCs/>
                <w:iCs/>
              </w:rPr>
              <w:t>1. tabula</w:t>
            </w:r>
            <w:r w:rsidRPr="00493DC7">
              <w:rPr>
                <w:b/>
                <w:bCs/>
                <w:iCs/>
              </w:rPr>
              <w:br/>
              <w:t>Tiesību akta projekta atbilstība ES tiesību aktiem</w:t>
            </w:r>
          </w:p>
        </w:tc>
      </w:tr>
      <w:tr w:rsidR="00DD737B" w:rsidRPr="00DA6709" w14:paraId="39BC971C" w14:textId="77777777" w:rsidTr="00AB130A">
        <w:trPr>
          <w:tblCellSpacing w:w="15" w:type="dxa"/>
        </w:trPr>
        <w:tc>
          <w:tcPr>
            <w:tcW w:w="1988" w:type="dxa"/>
            <w:tcBorders>
              <w:top w:val="outset" w:sz="6" w:space="0" w:color="auto"/>
              <w:left w:val="outset" w:sz="6" w:space="0" w:color="auto"/>
              <w:bottom w:val="outset" w:sz="6" w:space="0" w:color="auto"/>
              <w:right w:val="outset" w:sz="6" w:space="0" w:color="auto"/>
            </w:tcBorders>
          </w:tcPr>
          <w:p w14:paraId="5DFAAABB" w14:textId="299AA822" w:rsidR="005B0BF3" w:rsidRPr="00493DC7" w:rsidRDefault="005B0BF3" w:rsidP="00A44393">
            <w:pPr>
              <w:rPr>
                <w:iCs/>
              </w:rPr>
            </w:pPr>
          </w:p>
        </w:tc>
        <w:tc>
          <w:tcPr>
            <w:tcW w:w="6977" w:type="dxa"/>
            <w:gridSpan w:val="7"/>
            <w:tcBorders>
              <w:top w:val="outset" w:sz="6" w:space="0" w:color="auto"/>
              <w:left w:val="outset" w:sz="6" w:space="0" w:color="auto"/>
              <w:bottom w:val="outset" w:sz="6" w:space="0" w:color="auto"/>
              <w:right w:val="outset" w:sz="6" w:space="0" w:color="auto"/>
            </w:tcBorders>
          </w:tcPr>
          <w:p w14:paraId="7474A3CB" w14:textId="663CAADA" w:rsidR="005B0BF3" w:rsidRPr="00493DC7" w:rsidRDefault="005B0BF3" w:rsidP="58D7DCAB"/>
        </w:tc>
      </w:tr>
      <w:tr w:rsidR="00A94C47" w:rsidRPr="00DA6709" w14:paraId="2456D046" w14:textId="77777777" w:rsidTr="00AB130A">
        <w:trPr>
          <w:tblCellSpacing w:w="15" w:type="dxa"/>
        </w:trPr>
        <w:tc>
          <w:tcPr>
            <w:tcW w:w="1988" w:type="dxa"/>
            <w:tcBorders>
              <w:top w:val="outset" w:sz="6" w:space="0" w:color="auto"/>
              <w:left w:val="outset" w:sz="6" w:space="0" w:color="auto"/>
              <w:bottom w:val="outset" w:sz="6" w:space="0" w:color="auto"/>
              <w:right w:val="outset" w:sz="6" w:space="0" w:color="auto"/>
            </w:tcBorders>
            <w:vAlign w:val="center"/>
            <w:hideMark/>
          </w:tcPr>
          <w:p w14:paraId="12FDEA76" w14:textId="77777777" w:rsidR="005B0BF3" w:rsidRPr="00493DC7" w:rsidRDefault="005B0BF3" w:rsidP="00A44393">
            <w:pPr>
              <w:rPr>
                <w:iCs/>
              </w:rPr>
            </w:pPr>
            <w:bookmarkStart w:id="2" w:name="_Hlk54774131"/>
            <w:r w:rsidRPr="00493DC7">
              <w:rPr>
                <w:iCs/>
              </w:rPr>
              <w:t>A</w:t>
            </w:r>
          </w:p>
        </w:tc>
        <w:tc>
          <w:tcPr>
            <w:tcW w:w="3029" w:type="dxa"/>
            <w:gridSpan w:val="3"/>
            <w:tcBorders>
              <w:top w:val="outset" w:sz="6" w:space="0" w:color="auto"/>
              <w:left w:val="outset" w:sz="6" w:space="0" w:color="auto"/>
              <w:bottom w:val="outset" w:sz="6" w:space="0" w:color="auto"/>
              <w:right w:val="outset" w:sz="6" w:space="0" w:color="auto"/>
            </w:tcBorders>
            <w:vAlign w:val="center"/>
            <w:hideMark/>
          </w:tcPr>
          <w:p w14:paraId="321869D0" w14:textId="77777777" w:rsidR="005B0BF3" w:rsidRPr="00493DC7" w:rsidRDefault="005B0BF3" w:rsidP="00A44393">
            <w:pPr>
              <w:rPr>
                <w:iCs/>
              </w:rPr>
            </w:pPr>
            <w:r w:rsidRPr="00493DC7">
              <w:rPr>
                <w:iCs/>
              </w:rPr>
              <w:t>B</w:t>
            </w:r>
          </w:p>
        </w:tc>
        <w:tc>
          <w:tcPr>
            <w:tcW w:w="1378" w:type="dxa"/>
            <w:tcBorders>
              <w:top w:val="outset" w:sz="6" w:space="0" w:color="auto"/>
              <w:left w:val="outset" w:sz="6" w:space="0" w:color="auto"/>
              <w:bottom w:val="outset" w:sz="6" w:space="0" w:color="auto"/>
              <w:right w:val="outset" w:sz="6" w:space="0" w:color="auto"/>
            </w:tcBorders>
            <w:vAlign w:val="center"/>
            <w:hideMark/>
          </w:tcPr>
          <w:p w14:paraId="6DA02C33" w14:textId="77777777" w:rsidR="005B0BF3" w:rsidRPr="00493DC7" w:rsidRDefault="005B0BF3" w:rsidP="00A44393">
            <w:pPr>
              <w:rPr>
                <w:iCs/>
              </w:rPr>
            </w:pPr>
            <w:r w:rsidRPr="00493DC7">
              <w:rPr>
                <w:iCs/>
              </w:rPr>
              <w:t>C</w:t>
            </w:r>
          </w:p>
        </w:tc>
        <w:tc>
          <w:tcPr>
            <w:tcW w:w="2510" w:type="dxa"/>
            <w:gridSpan w:val="3"/>
            <w:tcBorders>
              <w:top w:val="outset" w:sz="6" w:space="0" w:color="auto"/>
              <w:left w:val="outset" w:sz="6" w:space="0" w:color="auto"/>
              <w:bottom w:val="outset" w:sz="6" w:space="0" w:color="auto"/>
              <w:right w:val="outset" w:sz="6" w:space="0" w:color="auto"/>
            </w:tcBorders>
            <w:vAlign w:val="center"/>
            <w:hideMark/>
          </w:tcPr>
          <w:p w14:paraId="34CC7FFD" w14:textId="77777777" w:rsidR="005B0BF3" w:rsidRPr="00493DC7" w:rsidRDefault="005B0BF3" w:rsidP="00A44393">
            <w:pPr>
              <w:rPr>
                <w:iCs/>
              </w:rPr>
            </w:pPr>
            <w:r w:rsidRPr="00493DC7">
              <w:rPr>
                <w:iCs/>
              </w:rPr>
              <w:t>D</w:t>
            </w:r>
          </w:p>
        </w:tc>
      </w:tr>
      <w:bookmarkEnd w:id="2"/>
      <w:tr w:rsidR="00A94C47" w:rsidRPr="00DA6709" w14:paraId="11EE2CD3" w14:textId="77777777" w:rsidTr="00AB130A">
        <w:trPr>
          <w:tblCellSpacing w:w="15" w:type="dxa"/>
        </w:trPr>
        <w:tc>
          <w:tcPr>
            <w:tcW w:w="1988" w:type="dxa"/>
            <w:tcBorders>
              <w:top w:val="outset" w:sz="6" w:space="0" w:color="auto"/>
              <w:left w:val="outset" w:sz="6" w:space="0" w:color="auto"/>
              <w:bottom w:val="outset" w:sz="6" w:space="0" w:color="auto"/>
              <w:right w:val="outset" w:sz="6" w:space="0" w:color="auto"/>
            </w:tcBorders>
            <w:hideMark/>
          </w:tcPr>
          <w:p w14:paraId="3180CC39" w14:textId="77777777" w:rsidR="005B0BF3" w:rsidRPr="00493DC7" w:rsidRDefault="005B0BF3" w:rsidP="00A44393">
            <w:pPr>
              <w:rPr>
                <w:iCs/>
              </w:rPr>
            </w:pPr>
            <w:r w:rsidRPr="00493DC7">
              <w:rPr>
                <w:iCs/>
              </w:rPr>
              <w:t>Attiecīgā ES tiesību akta panta numurs (uzskaitot katru tiesību akta vienību – pantu, daļu, punktu, apakšpunktu)</w:t>
            </w:r>
          </w:p>
        </w:tc>
        <w:tc>
          <w:tcPr>
            <w:tcW w:w="3029" w:type="dxa"/>
            <w:gridSpan w:val="3"/>
            <w:tcBorders>
              <w:top w:val="outset" w:sz="6" w:space="0" w:color="auto"/>
              <w:left w:val="outset" w:sz="6" w:space="0" w:color="auto"/>
              <w:bottom w:val="outset" w:sz="6" w:space="0" w:color="auto"/>
              <w:right w:val="outset" w:sz="6" w:space="0" w:color="auto"/>
            </w:tcBorders>
            <w:hideMark/>
          </w:tcPr>
          <w:p w14:paraId="3527626D" w14:textId="77777777" w:rsidR="005B0BF3" w:rsidRPr="00493DC7" w:rsidRDefault="005B0BF3" w:rsidP="00A44393">
            <w:pPr>
              <w:rPr>
                <w:iCs/>
              </w:rPr>
            </w:pPr>
            <w:r w:rsidRPr="00493DC7">
              <w:rPr>
                <w:iCs/>
              </w:rPr>
              <w:t>Projekta vienība, kas pārņem vai ievieš katru šīs tabulas A ailē minēto ES tiesību akta vienību, vai tiesību akts, kur attiecīgā ES tiesību akta vienība pārņemta vai ieviesta</w:t>
            </w:r>
          </w:p>
        </w:tc>
        <w:tc>
          <w:tcPr>
            <w:tcW w:w="1378" w:type="dxa"/>
            <w:tcBorders>
              <w:top w:val="outset" w:sz="6" w:space="0" w:color="auto"/>
              <w:left w:val="outset" w:sz="6" w:space="0" w:color="auto"/>
              <w:bottom w:val="outset" w:sz="6" w:space="0" w:color="auto"/>
              <w:right w:val="outset" w:sz="6" w:space="0" w:color="auto"/>
            </w:tcBorders>
            <w:hideMark/>
          </w:tcPr>
          <w:p w14:paraId="42F7C085" w14:textId="77777777" w:rsidR="005B0BF3" w:rsidRPr="00493DC7" w:rsidRDefault="005B0BF3" w:rsidP="00A44393">
            <w:pPr>
              <w:rPr>
                <w:iCs/>
              </w:rPr>
            </w:pPr>
            <w:r w:rsidRPr="00493DC7">
              <w:rPr>
                <w:iCs/>
              </w:rPr>
              <w:t>Informācija par to, vai šīs tabulas A ailē minētās ES tiesību akta vienības tiek pārņemtas vai ieviestas pilnībā vai daļēji.</w:t>
            </w:r>
            <w:r w:rsidRPr="00493DC7">
              <w:rPr>
                <w:iCs/>
              </w:rPr>
              <w:br/>
              <w:t xml:space="preserve">Ja attiecīgā ES tiesību akta vienība tiek pārņemta vai ieviesta </w:t>
            </w:r>
            <w:r w:rsidRPr="00493DC7">
              <w:rPr>
                <w:iCs/>
              </w:rPr>
              <w:lastRenderedPageBreak/>
              <w:t>daļēji, sniedz attiecīgu skaidrojumu, kā arī precīzi norāda, kad un kādā veidā ES tiesību akta vienība tiks pārņemta vai ieviesta pilnībā.</w:t>
            </w:r>
            <w:r w:rsidRPr="00493DC7">
              <w:rPr>
                <w:iCs/>
              </w:rPr>
              <w:br/>
              <w:t>Norāda institūciju, kas ir atbildīga par šo saistību izpildi pilnībā</w:t>
            </w:r>
          </w:p>
        </w:tc>
        <w:tc>
          <w:tcPr>
            <w:tcW w:w="2510" w:type="dxa"/>
            <w:gridSpan w:val="3"/>
            <w:tcBorders>
              <w:top w:val="outset" w:sz="6" w:space="0" w:color="auto"/>
              <w:left w:val="outset" w:sz="6" w:space="0" w:color="auto"/>
              <w:bottom w:val="outset" w:sz="6" w:space="0" w:color="auto"/>
              <w:right w:val="outset" w:sz="6" w:space="0" w:color="auto"/>
            </w:tcBorders>
            <w:hideMark/>
          </w:tcPr>
          <w:p w14:paraId="35A18EC0" w14:textId="77777777" w:rsidR="005B0BF3" w:rsidRPr="00493DC7" w:rsidRDefault="005B0BF3" w:rsidP="00A44393">
            <w:pPr>
              <w:rPr>
                <w:iCs/>
              </w:rPr>
            </w:pPr>
            <w:r w:rsidRPr="00493DC7">
              <w:rPr>
                <w:iCs/>
              </w:rPr>
              <w:lastRenderedPageBreak/>
              <w:t>Informācija par to, vai šīs tabulas B ailē minētās projekta vienības paredz stingrākas prasības nekā šīs tabulas A ailē minētās ES tiesību akta vienības.</w:t>
            </w:r>
            <w:r w:rsidRPr="00493DC7">
              <w:rPr>
                <w:iCs/>
              </w:rPr>
              <w:br/>
              <w:t>Ja projekts satur stingrākas prasības nekā attiecīgais ES tiesību akts, norāda pamatojumu un samērīgumu.</w:t>
            </w:r>
            <w:r w:rsidRPr="00493DC7">
              <w:rPr>
                <w:iCs/>
              </w:rPr>
              <w:br/>
              <w:t xml:space="preserve">Norāda iespējamās alternatīvas (t. sk. alternatīvas, kas neparedz tiesiskā </w:t>
            </w:r>
            <w:r w:rsidRPr="00493DC7">
              <w:rPr>
                <w:iCs/>
              </w:rPr>
              <w:lastRenderedPageBreak/>
              <w:t>regulējuma izstrādi) – kādos gadījumos būtu iespējams izvairīties no stingrāku prasību noteikšanas, nekā paredzēts attiecīgajos ES tiesību aktos</w:t>
            </w:r>
          </w:p>
        </w:tc>
      </w:tr>
      <w:tr w:rsidR="00425ED1" w:rsidRPr="00B139B4" w14:paraId="5CE519DF" w14:textId="77777777" w:rsidTr="00AB130A">
        <w:trPr>
          <w:tblCellSpacing w:w="15" w:type="dxa"/>
        </w:trPr>
        <w:tc>
          <w:tcPr>
            <w:tcW w:w="1988" w:type="dxa"/>
            <w:tcBorders>
              <w:top w:val="outset" w:sz="6" w:space="0" w:color="auto"/>
              <w:left w:val="outset" w:sz="6" w:space="0" w:color="auto"/>
              <w:bottom w:val="outset" w:sz="6" w:space="0" w:color="auto"/>
              <w:right w:val="outset" w:sz="6" w:space="0" w:color="auto"/>
            </w:tcBorders>
          </w:tcPr>
          <w:p w14:paraId="12B33D5A" w14:textId="00A06FE2" w:rsidR="00B139B4" w:rsidRPr="001E4A3E" w:rsidRDefault="00B139B4" w:rsidP="00B139B4">
            <w:r w:rsidRPr="001E4A3E">
              <w:lastRenderedPageBreak/>
              <w:t>Attiecīgā ES tiesību akta datums, numurs un nosaukums</w:t>
            </w:r>
          </w:p>
        </w:tc>
        <w:tc>
          <w:tcPr>
            <w:tcW w:w="6977" w:type="dxa"/>
            <w:gridSpan w:val="7"/>
            <w:tcBorders>
              <w:top w:val="outset" w:sz="6" w:space="0" w:color="auto"/>
              <w:left w:val="outset" w:sz="6" w:space="0" w:color="auto"/>
              <w:bottom w:val="outset" w:sz="6" w:space="0" w:color="auto"/>
              <w:right w:val="outset" w:sz="6" w:space="0" w:color="auto"/>
            </w:tcBorders>
          </w:tcPr>
          <w:p w14:paraId="01455BF3" w14:textId="70164BC9" w:rsidR="00B139B4" w:rsidRPr="00DD7DE7" w:rsidRDefault="78C124A8" w:rsidP="58D7DCAB">
            <w:pPr>
              <w:rPr>
                <w:i/>
                <w:iCs/>
              </w:rPr>
            </w:pPr>
            <w:r w:rsidRPr="58D7DCAB">
              <w:rPr>
                <w:i/>
                <w:iCs/>
              </w:rPr>
              <w:t>Eiropas Parlamenta un Padomes 2009.gada 23.aprīļa Direktīva 2009/29/EK, ar ko Direktīvu 2003/87/EK groza, lai uzlabotu un paplašinātu Kopienas siltumnīcas efektu izraisošo gāzu emisiju kvotu tirdzniecības sistēmu.</w:t>
            </w:r>
          </w:p>
        </w:tc>
      </w:tr>
      <w:tr w:rsidR="00CA685E" w:rsidRPr="00493DC7" w:rsidDel="00102D73" w14:paraId="5764296F" w14:textId="77777777" w:rsidTr="00102D73">
        <w:trPr>
          <w:tblCellSpacing w:w="15" w:type="dxa"/>
        </w:trPr>
        <w:tc>
          <w:tcPr>
            <w:tcW w:w="1988" w:type="dxa"/>
            <w:tcBorders>
              <w:top w:val="outset" w:sz="6" w:space="0" w:color="auto"/>
              <w:left w:val="outset" w:sz="6" w:space="0" w:color="auto"/>
              <w:bottom w:val="outset" w:sz="6" w:space="0" w:color="auto"/>
              <w:right w:val="outset" w:sz="6" w:space="0" w:color="auto"/>
            </w:tcBorders>
          </w:tcPr>
          <w:p w14:paraId="4CB534EA" w14:textId="16690BE2" w:rsidR="00CA685E" w:rsidRPr="00AB130A" w:rsidDel="00102D73" w:rsidRDefault="00CA685E" w:rsidP="00CA685E">
            <w:pPr>
              <w:rPr>
                <w:iCs/>
              </w:rPr>
            </w:pPr>
            <w:r w:rsidRPr="00AB130A">
              <w:rPr>
                <w:iCs/>
              </w:rPr>
              <w:t>A</w:t>
            </w:r>
          </w:p>
        </w:tc>
        <w:tc>
          <w:tcPr>
            <w:tcW w:w="3029" w:type="dxa"/>
            <w:gridSpan w:val="3"/>
            <w:tcBorders>
              <w:top w:val="outset" w:sz="6" w:space="0" w:color="auto"/>
              <w:left w:val="outset" w:sz="6" w:space="0" w:color="auto"/>
              <w:bottom w:val="outset" w:sz="6" w:space="0" w:color="auto"/>
              <w:right w:val="outset" w:sz="6" w:space="0" w:color="auto"/>
            </w:tcBorders>
          </w:tcPr>
          <w:p w14:paraId="5EBBDEF4" w14:textId="3925336A" w:rsidR="00CA685E" w:rsidRDefault="00CA685E" w:rsidP="00CA685E">
            <w:pPr>
              <w:rPr>
                <w:iCs/>
              </w:rPr>
            </w:pPr>
            <w:r>
              <w:rPr>
                <w:iCs/>
              </w:rPr>
              <w:t>B</w:t>
            </w:r>
          </w:p>
        </w:tc>
        <w:tc>
          <w:tcPr>
            <w:tcW w:w="2591" w:type="dxa"/>
            <w:gridSpan w:val="3"/>
            <w:tcBorders>
              <w:top w:val="outset" w:sz="6" w:space="0" w:color="auto"/>
              <w:left w:val="outset" w:sz="6" w:space="0" w:color="auto"/>
              <w:bottom w:val="outset" w:sz="6" w:space="0" w:color="auto"/>
              <w:right w:val="outset" w:sz="6" w:space="0" w:color="auto"/>
            </w:tcBorders>
          </w:tcPr>
          <w:p w14:paraId="686530B2" w14:textId="56F99AB1" w:rsidR="00CA685E" w:rsidRDefault="00CA685E" w:rsidP="00CA685E">
            <w:pPr>
              <w:rPr>
                <w:iCs/>
              </w:rPr>
            </w:pPr>
            <w:r>
              <w:rPr>
                <w:iCs/>
              </w:rPr>
              <w:t>C</w:t>
            </w:r>
          </w:p>
        </w:tc>
        <w:tc>
          <w:tcPr>
            <w:tcW w:w="1297" w:type="dxa"/>
            <w:tcBorders>
              <w:top w:val="outset" w:sz="6" w:space="0" w:color="auto"/>
              <w:left w:val="outset" w:sz="6" w:space="0" w:color="auto"/>
              <w:bottom w:val="outset" w:sz="6" w:space="0" w:color="auto"/>
              <w:right w:val="outset" w:sz="6" w:space="0" w:color="auto"/>
            </w:tcBorders>
          </w:tcPr>
          <w:p w14:paraId="0D0A18C0" w14:textId="40B05DFB" w:rsidR="00CA685E" w:rsidRDefault="00CA685E" w:rsidP="00CA685E">
            <w:pPr>
              <w:rPr>
                <w:iCs/>
              </w:rPr>
            </w:pPr>
            <w:r>
              <w:rPr>
                <w:iCs/>
              </w:rPr>
              <w:t>D</w:t>
            </w:r>
          </w:p>
        </w:tc>
      </w:tr>
      <w:tr w:rsidR="00CA685E" w:rsidRPr="00493DC7" w14:paraId="166E2B52" w14:textId="77777777" w:rsidTr="00AB130A">
        <w:trPr>
          <w:tblCellSpacing w:w="15" w:type="dxa"/>
        </w:trPr>
        <w:tc>
          <w:tcPr>
            <w:tcW w:w="1988" w:type="dxa"/>
            <w:tcBorders>
              <w:top w:val="outset" w:sz="6" w:space="0" w:color="auto"/>
              <w:left w:val="outset" w:sz="6" w:space="0" w:color="auto"/>
              <w:bottom w:val="outset" w:sz="6" w:space="0" w:color="auto"/>
              <w:right w:val="outset" w:sz="6" w:space="0" w:color="auto"/>
            </w:tcBorders>
          </w:tcPr>
          <w:p w14:paraId="091FEACB" w14:textId="4C058045" w:rsidR="00CA685E" w:rsidRPr="001E4A3E" w:rsidRDefault="00CA685E" w:rsidP="00CA685E">
            <w:r>
              <w:t>13.punktā izteiktais 11.panta 2.punkts</w:t>
            </w:r>
          </w:p>
        </w:tc>
        <w:tc>
          <w:tcPr>
            <w:tcW w:w="3029" w:type="dxa"/>
            <w:gridSpan w:val="3"/>
            <w:tcBorders>
              <w:top w:val="outset" w:sz="6" w:space="0" w:color="auto"/>
              <w:left w:val="outset" w:sz="6" w:space="0" w:color="auto"/>
              <w:bottom w:val="outset" w:sz="6" w:space="0" w:color="auto"/>
              <w:right w:val="outset" w:sz="6" w:space="0" w:color="auto"/>
            </w:tcBorders>
          </w:tcPr>
          <w:p w14:paraId="70C76A9F" w14:textId="41238C75" w:rsidR="00CA685E" w:rsidRPr="00AB130A" w:rsidRDefault="00CA685E" w:rsidP="00CA685E">
            <w:r w:rsidRPr="00CA685E">
              <w:t>pārņemts likuma „Par piesārņojumu” 32.</w:t>
            </w:r>
            <w:r w:rsidRPr="00CA685E">
              <w:rPr>
                <w:vertAlign w:val="superscript"/>
              </w:rPr>
              <w:t>2</w:t>
            </w:r>
            <w:r w:rsidRPr="00CA685E">
              <w:t xml:space="preserve"> panta sestajā daļā</w:t>
            </w:r>
            <w:r w:rsidRPr="00AB130A">
              <w:t>,</w:t>
            </w:r>
          </w:p>
          <w:p w14:paraId="287F1BE7" w14:textId="6142D977" w:rsidR="00CA685E" w:rsidRPr="00CA685E" w:rsidRDefault="00CA685E" w:rsidP="00CA685E">
            <w:r w:rsidRPr="00AB130A">
              <w:t>normatīvā akta projekta 39.punkts</w:t>
            </w:r>
          </w:p>
        </w:tc>
        <w:tc>
          <w:tcPr>
            <w:tcW w:w="2591" w:type="dxa"/>
            <w:gridSpan w:val="3"/>
            <w:tcBorders>
              <w:top w:val="outset" w:sz="6" w:space="0" w:color="auto"/>
              <w:left w:val="outset" w:sz="6" w:space="0" w:color="auto"/>
              <w:bottom w:val="outset" w:sz="6" w:space="0" w:color="auto"/>
              <w:right w:val="outset" w:sz="6" w:space="0" w:color="auto"/>
            </w:tcBorders>
          </w:tcPr>
          <w:p w14:paraId="2F5E4290" w14:textId="2CC40F60" w:rsidR="00CA685E" w:rsidRPr="001E4A3E" w:rsidRDefault="00CA685E" w:rsidP="00CA685E">
            <w:r>
              <w:t>pārņemts pilnībā</w:t>
            </w:r>
          </w:p>
        </w:tc>
        <w:tc>
          <w:tcPr>
            <w:tcW w:w="1297" w:type="dxa"/>
            <w:tcBorders>
              <w:top w:val="outset" w:sz="6" w:space="0" w:color="auto"/>
              <w:left w:val="outset" w:sz="6" w:space="0" w:color="auto"/>
              <w:bottom w:val="outset" w:sz="6" w:space="0" w:color="auto"/>
              <w:right w:val="outset" w:sz="6" w:space="0" w:color="auto"/>
            </w:tcBorders>
          </w:tcPr>
          <w:p w14:paraId="4E2C5964" w14:textId="4059B63B" w:rsidR="00CA685E" w:rsidRPr="001E4A3E" w:rsidRDefault="00CA685E" w:rsidP="00CA685E">
            <w:r>
              <w:t>netiek pārņemts, paredzot stingrākas vai mazāk stingras prasības</w:t>
            </w:r>
          </w:p>
        </w:tc>
      </w:tr>
      <w:tr w:rsidR="00CA685E" w:rsidRPr="00493DC7" w14:paraId="1821C565" w14:textId="77777777" w:rsidTr="00AB130A">
        <w:trPr>
          <w:tblCellSpacing w:w="15" w:type="dxa"/>
        </w:trPr>
        <w:tc>
          <w:tcPr>
            <w:tcW w:w="1988" w:type="dxa"/>
            <w:tcBorders>
              <w:top w:val="outset" w:sz="6" w:space="0" w:color="auto"/>
              <w:left w:val="outset" w:sz="6" w:space="0" w:color="auto"/>
              <w:bottom w:val="outset" w:sz="6" w:space="0" w:color="auto"/>
              <w:right w:val="outset" w:sz="6" w:space="0" w:color="auto"/>
            </w:tcBorders>
          </w:tcPr>
          <w:p w14:paraId="072B8FA1" w14:textId="67E9FA22" w:rsidR="00CA685E" w:rsidRPr="001E4A3E" w:rsidRDefault="00CA685E" w:rsidP="00CA685E">
            <w:r>
              <w:t>13.punktā izteiktais 11.panta 3.punkts</w:t>
            </w:r>
          </w:p>
        </w:tc>
        <w:tc>
          <w:tcPr>
            <w:tcW w:w="3029" w:type="dxa"/>
            <w:gridSpan w:val="3"/>
            <w:tcBorders>
              <w:top w:val="outset" w:sz="6" w:space="0" w:color="auto"/>
              <w:left w:val="outset" w:sz="6" w:space="0" w:color="auto"/>
              <w:bottom w:val="outset" w:sz="6" w:space="0" w:color="auto"/>
              <w:right w:val="outset" w:sz="6" w:space="0" w:color="auto"/>
            </w:tcBorders>
          </w:tcPr>
          <w:p w14:paraId="2D31C0AC" w14:textId="5C9DA137" w:rsidR="00CA685E" w:rsidRPr="00CA685E" w:rsidRDefault="00CA685E" w:rsidP="00CA685E">
            <w:r w:rsidRPr="00CA685E">
              <w:t>pārņemts likuma „Par piesārņojumu 32.</w:t>
            </w:r>
            <w:r w:rsidRPr="00CA685E">
              <w:rPr>
                <w:vertAlign w:val="superscript"/>
              </w:rPr>
              <w:t xml:space="preserve">2 </w:t>
            </w:r>
            <w:r w:rsidRPr="00CA685E">
              <w:t>panta pirmajā daļā,</w:t>
            </w:r>
            <w:r w:rsidRPr="00AB130A">
              <w:t xml:space="preserve"> normatīvā akta projekta 3</w:t>
            </w:r>
            <w:r w:rsidRPr="00CA685E">
              <w:t>3.punkts</w:t>
            </w:r>
          </w:p>
        </w:tc>
        <w:tc>
          <w:tcPr>
            <w:tcW w:w="2591" w:type="dxa"/>
            <w:gridSpan w:val="3"/>
            <w:tcBorders>
              <w:top w:val="outset" w:sz="6" w:space="0" w:color="auto"/>
              <w:left w:val="outset" w:sz="6" w:space="0" w:color="auto"/>
              <w:bottom w:val="outset" w:sz="6" w:space="0" w:color="auto"/>
              <w:right w:val="outset" w:sz="6" w:space="0" w:color="auto"/>
            </w:tcBorders>
          </w:tcPr>
          <w:p w14:paraId="68B94E43" w14:textId="10228879" w:rsidR="00CA685E" w:rsidRPr="001E4A3E" w:rsidRDefault="00CA685E" w:rsidP="00CA685E">
            <w:r>
              <w:t>pārņemts pilnībā</w:t>
            </w:r>
          </w:p>
        </w:tc>
        <w:tc>
          <w:tcPr>
            <w:tcW w:w="1297" w:type="dxa"/>
            <w:tcBorders>
              <w:top w:val="outset" w:sz="6" w:space="0" w:color="auto"/>
              <w:left w:val="outset" w:sz="6" w:space="0" w:color="auto"/>
              <w:bottom w:val="outset" w:sz="6" w:space="0" w:color="auto"/>
              <w:right w:val="outset" w:sz="6" w:space="0" w:color="auto"/>
            </w:tcBorders>
          </w:tcPr>
          <w:p w14:paraId="27FC60FE" w14:textId="3DCCB133" w:rsidR="00CA685E" w:rsidRPr="001E4A3E" w:rsidRDefault="00CA685E" w:rsidP="00CA685E">
            <w:r>
              <w:t>netiek pārņemts, paredzot stingrākas vai mazāk stingras prasības</w:t>
            </w:r>
          </w:p>
        </w:tc>
      </w:tr>
      <w:tr w:rsidR="00CA685E" w:rsidRPr="00B139B4" w14:paraId="4FE7B639" w14:textId="213E0303" w:rsidTr="00AB130A">
        <w:trPr>
          <w:tblCellSpacing w:w="15" w:type="dxa"/>
        </w:trPr>
        <w:tc>
          <w:tcPr>
            <w:tcW w:w="1988" w:type="dxa"/>
            <w:tcBorders>
              <w:top w:val="outset" w:sz="6" w:space="0" w:color="auto"/>
              <w:left w:val="outset" w:sz="6" w:space="0" w:color="auto"/>
              <w:bottom w:val="outset" w:sz="6" w:space="0" w:color="auto"/>
              <w:right w:val="outset" w:sz="6" w:space="0" w:color="auto"/>
            </w:tcBorders>
          </w:tcPr>
          <w:p w14:paraId="793A62A8" w14:textId="1B81A745" w:rsidR="00CA685E" w:rsidRPr="001E4A3E" w:rsidRDefault="00CA685E" w:rsidP="00CA685E">
            <w:r>
              <w:t>Attiecīgā ES tiesību akta datums, numurs un nosaukums</w:t>
            </w:r>
          </w:p>
        </w:tc>
        <w:tc>
          <w:tcPr>
            <w:tcW w:w="6977" w:type="dxa"/>
            <w:gridSpan w:val="7"/>
            <w:tcBorders>
              <w:top w:val="outset" w:sz="6" w:space="0" w:color="auto"/>
              <w:left w:val="outset" w:sz="6" w:space="0" w:color="auto"/>
              <w:bottom w:val="outset" w:sz="6" w:space="0" w:color="auto"/>
              <w:right w:val="outset" w:sz="6" w:space="0" w:color="auto"/>
            </w:tcBorders>
          </w:tcPr>
          <w:p w14:paraId="63065C49" w14:textId="6BC086AF" w:rsidR="00CA685E" w:rsidRPr="00DD7DE7" w:rsidRDefault="00CA685E" w:rsidP="00CA685E">
            <w:pPr>
              <w:rPr>
                <w:i/>
                <w:iCs/>
              </w:rPr>
            </w:pPr>
            <w:r w:rsidRPr="58D7DCAB">
              <w:rPr>
                <w:i/>
                <w:iCs/>
              </w:rPr>
              <w:t>Eiropas Parlamenta un Padomes 20</w:t>
            </w:r>
            <w:r>
              <w:rPr>
                <w:i/>
                <w:iCs/>
              </w:rPr>
              <w:t>A</w:t>
            </w:r>
            <w:r w:rsidRPr="58D7DCAB">
              <w:rPr>
                <w:i/>
                <w:iCs/>
              </w:rPr>
              <w:t>18. gada 14. marta Direktīva Nr. 2018/410/ES, ar ko groza Direktīvu 2003/87/EK, lai sekmētu emisiju izmaksefektīvu samazināšanu un investīcijas mazoglekļa risinājumos, un Lēmumu (ES) 2015/1814</w:t>
            </w:r>
          </w:p>
        </w:tc>
      </w:tr>
      <w:tr w:rsidR="00CA685E" w14:paraId="7D70E4D6" w14:textId="77777777" w:rsidTr="00AB130A">
        <w:trPr>
          <w:tblCellSpacing w:w="15" w:type="dxa"/>
        </w:trPr>
        <w:tc>
          <w:tcPr>
            <w:tcW w:w="1988" w:type="dxa"/>
            <w:tcBorders>
              <w:top w:val="outset" w:sz="6" w:space="0" w:color="auto"/>
              <w:left w:val="outset" w:sz="6" w:space="0" w:color="auto"/>
              <w:bottom w:val="outset" w:sz="6" w:space="0" w:color="auto"/>
              <w:right w:val="outset" w:sz="6" w:space="0" w:color="auto"/>
            </w:tcBorders>
          </w:tcPr>
          <w:p w14:paraId="009589A9" w14:textId="38EAA7A9" w:rsidR="00CA685E" w:rsidRPr="001E4A3E" w:rsidRDefault="00CA685E" w:rsidP="00CA685E">
            <w:bookmarkStart w:id="3" w:name="_Hlk54862778"/>
            <w:r>
              <w:t>A</w:t>
            </w:r>
          </w:p>
        </w:tc>
        <w:tc>
          <w:tcPr>
            <w:tcW w:w="2943" w:type="dxa"/>
            <w:tcBorders>
              <w:top w:val="outset" w:sz="6" w:space="0" w:color="auto"/>
              <w:left w:val="outset" w:sz="6" w:space="0" w:color="auto"/>
              <w:bottom w:val="outset" w:sz="6" w:space="0" w:color="auto"/>
              <w:right w:val="outset" w:sz="6" w:space="0" w:color="auto"/>
            </w:tcBorders>
          </w:tcPr>
          <w:p w14:paraId="03CEDA8F" w14:textId="1D2ED6BD" w:rsidR="00CA685E" w:rsidRPr="001E4A3E" w:rsidRDefault="00CA685E" w:rsidP="00CA685E">
            <w:r>
              <w:t>B</w:t>
            </w:r>
          </w:p>
        </w:tc>
        <w:tc>
          <w:tcPr>
            <w:tcW w:w="2274" w:type="dxa"/>
            <w:gridSpan w:val="4"/>
            <w:tcBorders>
              <w:top w:val="outset" w:sz="6" w:space="0" w:color="auto"/>
              <w:left w:val="outset" w:sz="6" w:space="0" w:color="auto"/>
              <w:bottom w:val="outset" w:sz="6" w:space="0" w:color="auto"/>
              <w:right w:val="outset" w:sz="6" w:space="0" w:color="auto"/>
            </w:tcBorders>
          </w:tcPr>
          <w:p w14:paraId="31A36257" w14:textId="28F0CA0F" w:rsidR="00CA685E" w:rsidRDefault="00CA685E" w:rsidP="00CA685E">
            <w:r>
              <w:t>C</w:t>
            </w:r>
          </w:p>
        </w:tc>
        <w:tc>
          <w:tcPr>
            <w:tcW w:w="1700" w:type="dxa"/>
            <w:gridSpan w:val="2"/>
            <w:tcBorders>
              <w:top w:val="outset" w:sz="6" w:space="0" w:color="auto"/>
              <w:left w:val="outset" w:sz="6" w:space="0" w:color="auto"/>
              <w:bottom w:val="outset" w:sz="6" w:space="0" w:color="auto"/>
              <w:right w:val="outset" w:sz="6" w:space="0" w:color="auto"/>
            </w:tcBorders>
          </w:tcPr>
          <w:p w14:paraId="64006007" w14:textId="38845A2C" w:rsidR="00CA685E" w:rsidRDefault="00CA685E" w:rsidP="00CA685E">
            <w:r>
              <w:t>D</w:t>
            </w:r>
          </w:p>
        </w:tc>
      </w:tr>
      <w:bookmarkEnd w:id="3"/>
      <w:tr w:rsidR="00CA685E" w14:paraId="7FF0F055" w14:textId="77777777" w:rsidTr="00AB130A">
        <w:trPr>
          <w:tblCellSpacing w:w="15" w:type="dxa"/>
        </w:trPr>
        <w:tc>
          <w:tcPr>
            <w:tcW w:w="1988" w:type="dxa"/>
            <w:tcBorders>
              <w:top w:val="outset" w:sz="6" w:space="0" w:color="auto"/>
              <w:left w:val="outset" w:sz="6" w:space="0" w:color="auto"/>
              <w:bottom w:val="outset" w:sz="6" w:space="0" w:color="auto"/>
              <w:right w:val="outset" w:sz="6" w:space="0" w:color="auto"/>
            </w:tcBorders>
            <w:hideMark/>
          </w:tcPr>
          <w:p w14:paraId="1C2984AB" w14:textId="626E4216" w:rsidR="00CA685E" w:rsidRPr="001E4A3E" w:rsidRDefault="00CA685E" w:rsidP="00CA685E">
            <w:r>
              <w:t>1. panta 7. punktā izteiktais 3. panta “h” apakšpunktus</w:t>
            </w:r>
          </w:p>
        </w:tc>
        <w:tc>
          <w:tcPr>
            <w:tcW w:w="2943" w:type="dxa"/>
            <w:tcBorders>
              <w:top w:val="outset" w:sz="6" w:space="0" w:color="auto"/>
              <w:left w:val="outset" w:sz="6" w:space="0" w:color="auto"/>
              <w:bottom w:val="outset" w:sz="6" w:space="0" w:color="auto"/>
              <w:right w:val="outset" w:sz="6" w:space="0" w:color="auto"/>
            </w:tcBorders>
            <w:hideMark/>
          </w:tcPr>
          <w:p w14:paraId="7FD34439" w14:textId="6C011332" w:rsidR="00CA685E" w:rsidRPr="001E4A3E" w:rsidRDefault="00CA685E" w:rsidP="00CA685E">
            <w:r>
              <w:t>noteikumu projekta 4., 6. punkts</w:t>
            </w:r>
          </w:p>
        </w:tc>
        <w:tc>
          <w:tcPr>
            <w:tcW w:w="2274" w:type="dxa"/>
            <w:gridSpan w:val="4"/>
            <w:tcBorders>
              <w:top w:val="outset" w:sz="6" w:space="0" w:color="auto"/>
              <w:left w:val="outset" w:sz="6" w:space="0" w:color="auto"/>
              <w:bottom w:val="outset" w:sz="6" w:space="0" w:color="auto"/>
              <w:right w:val="outset" w:sz="6" w:space="0" w:color="auto"/>
            </w:tcBorders>
            <w:hideMark/>
          </w:tcPr>
          <w:p w14:paraId="66ED3012" w14:textId="77777777" w:rsidR="00CA685E" w:rsidRPr="00564C02" w:rsidRDefault="00CA685E" w:rsidP="00CA685E">
            <w:r>
              <w:t>Pārņemts pilnībā</w:t>
            </w:r>
          </w:p>
        </w:tc>
        <w:tc>
          <w:tcPr>
            <w:tcW w:w="1700" w:type="dxa"/>
            <w:gridSpan w:val="2"/>
            <w:tcBorders>
              <w:top w:val="outset" w:sz="6" w:space="0" w:color="auto"/>
              <w:left w:val="outset" w:sz="6" w:space="0" w:color="auto"/>
              <w:bottom w:val="outset" w:sz="6" w:space="0" w:color="auto"/>
              <w:right w:val="outset" w:sz="6" w:space="0" w:color="auto"/>
            </w:tcBorders>
            <w:hideMark/>
          </w:tcPr>
          <w:p w14:paraId="345A1C00" w14:textId="77777777" w:rsidR="00CA685E" w:rsidRPr="00564C02" w:rsidRDefault="00CA685E" w:rsidP="00CA685E">
            <w:r>
              <w:t xml:space="preserve">Projekts neparedz stingrākas prasības </w:t>
            </w:r>
          </w:p>
        </w:tc>
      </w:tr>
      <w:tr w:rsidR="00CA685E" w14:paraId="18BBC3A7" w14:textId="77777777" w:rsidTr="00AB130A">
        <w:trPr>
          <w:tblCellSpacing w:w="15" w:type="dxa"/>
        </w:trPr>
        <w:tc>
          <w:tcPr>
            <w:tcW w:w="1988" w:type="dxa"/>
            <w:tcBorders>
              <w:top w:val="outset" w:sz="6" w:space="0" w:color="auto"/>
              <w:left w:val="outset" w:sz="6" w:space="0" w:color="auto"/>
              <w:bottom w:val="outset" w:sz="6" w:space="0" w:color="auto"/>
              <w:right w:val="outset" w:sz="6" w:space="0" w:color="auto"/>
            </w:tcBorders>
            <w:hideMark/>
          </w:tcPr>
          <w:p w14:paraId="0ACDE730" w14:textId="77777777" w:rsidR="00CA685E" w:rsidRPr="001E4A3E" w:rsidRDefault="00CA685E" w:rsidP="00CA685E">
            <w:r>
              <w:lastRenderedPageBreak/>
              <w:t>1. panta 14. punkta “m” apakšpunktā izteiktais 10.a panta 20. apakšpunkts</w:t>
            </w:r>
          </w:p>
        </w:tc>
        <w:tc>
          <w:tcPr>
            <w:tcW w:w="2943" w:type="dxa"/>
            <w:tcBorders>
              <w:top w:val="outset" w:sz="6" w:space="0" w:color="auto"/>
              <w:left w:val="outset" w:sz="6" w:space="0" w:color="auto"/>
              <w:bottom w:val="outset" w:sz="6" w:space="0" w:color="auto"/>
              <w:right w:val="outset" w:sz="6" w:space="0" w:color="auto"/>
            </w:tcBorders>
            <w:hideMark/>
          </w:tcPr>
          <w:p w14:paraId="182AC739" w14:textId="5A65583A" w:rsidR="00CA685E" w:rsidRPr="001E4A3E" w:rsidRDefault="00CA685E" w:rsidP="00CA685E">
            <w:r>
              <w:t>noteikumu projekta 21. punkts</w:t>
            </w:r>
          </w:p>
        </w:tc>
        <w:tc>
          <w:tcPr>
            <w:tcW w:w="2274" w:type="dxa"/>
            <w:gridSpan w:val="4"/>
            <w:tcBorders>
              <w:top w:val="outset" w:sz="6" w:space="0" w:color="auto"/>
              <w:left w:val="outset" w:sz="6" w:space="0" w:color="auto"/>
              <w:bottom w:val="outset" w:sz="6" w:space="0" w:color="auto"/>
              <w:right w:val="outset" w:sz="6" w:space="0" w:color="auto"/>
            </w:tcBorders>
            <w:hideMark/>
          </w:tcPr>
          <w:p w14:paraId="3C29A4AF" w14:textId="77777777" w:rsidR="00CA685E" w:rsidRPr="00C96FAC" w:rsidRDefault="00CA685E" w:rsidP="00CA685E">
            <w:r>
              <w:t>Pārņemts pilnībā</w:t>
            </w:r>
          </w:p>
        </w:tc>
        <w:tc>
          <w:tcPr>
            <w:tcW w:w="1700" w:type="dxa"/>
            <w:gridSpan w:val="2"/>
            <w:tcBorders>
              <w:top w:val="outset" w:sz="6" w:space="0" w:color="auto"/>
              <w:left w:val="outset" w:sz="6" w:space="0" w:color="auto"/>
              <w:bottom w:val="outset" w:sz="6" w:space="0" w:color="auto"/>
              <w:right w:val="outset" w:sz="6" w:space="0" w:color="auto"/>
            </w:tcBorders>
            <w:hideMark/>
          </w:tcPr>
          <w:p w14:paraId="249F9249" w14:textId="77777777" w:rsidR="00CA685E" w:rsidRPr="00C96FAC" w:rsidRDefault="00CA685E" w:rsidP="00CA685E">
            <w:r>
              <w:t>Projekts neparedz stingrākas prasības</w:t>
            </w:r>
          </w:p>
        </w:tc>
      </w:tr>
      <w:tr w:rsidR="00CA685E" w:rsidRPr="00DA6709" w14:paraId="44CED00D" w14:textId="77777777" w:rsidTr="00AB130A">
        <w:trPr>
          <w:tblCellSpacing w:w="15" w:type="dxa"/>
        </w:trPr>
        <w:tc>
          <w:tcPr>
            <w:tcW w:w="1988" w:type="dxa"/>
            <w:tcBorders>
              <w:top w:val="outset" w:sz="6" w:space="0" w:color="auto"/>
              <w:left w:val="outset" w:sz="6" w:space="0" w:color="auto"/>
              <w:bottom w:val="outset" w:sz="6" w:space="0" w:color="auto"/>
              <w:right w:val="outset" w:sz="6" w:space="0" w:color="auto"/>
            </w:tcBorders>
          </w:tcPr>
          <w:p w14:paraId="15909BA1" w14:textId="52CE50ED" w:rsidR="00CA685E" w:rsidRPr="00C96FAC" w:rsidRDefault="00CA685E" w:rsidP="00CA685E">
            <w:pPr>
              <w:rPr>
                <w:iCs/>
              </w:rPr>
            </w:pPr>
            <w:bookmarkStart w:id="4" w:name="_Hlk54863814"/>
            <w:r w:rsidRPr="00C96FAC">
              <w:rPr>
                <w:iCs/>
              </w:rPr>
              <w:t>Attiecīgā ES tiesību akta datums, numurs un nosaukums</w:t>
            </w:r>
          </w:p>
        </w:tc>
        <w:tc>
          <w:tcPr>
            <w:tcW w:w="6977" w:type="dxa"/>
            <w:gridSpan w:val="7"/>
            <w:tcBorders>
              <w:top w:val="outset" w:sz="6" w:space="0" w:color="auto"/>
              <w:left w:val="outset" w:sz="6" w:space="0" w:color="auto"/>
              <w:bottom w:val="outset" w:sz="6" w:space="0" w:color="auto"/>
              <w:right w:val="outset" w:sz="6" w:space="0" w:color="auto"/>
            </w:tcBorders>
          </w:tcPr>
          <w:p w14:paraId="67AF2296" w14:textId="315619EF" w:rsidR="00CA685E" w:rsidRPr="00DD7DE7" w:rsidRDefault="00CA685E" w:rsidP="00CA685E">
            <w:pPr>
              <w:rPr>
                <w:i/>
              </w:rPr>
            </w:pPr>
            <w:r w:rsidRPr="00DD7DE7">
              <w:rPr>
                <w:i/>
              </w:rPr>
              <w:t>Eiropas Komisijas 2019. gada 15. februāra Deleģētais lēmums 2019/708, ar ko papildina Eiropas Parlamenta un Padomes Direktīvu 2003/87/EK, 2021.–2030. gada periodam nosakot sarakstu ar nozarēm un apakšnozarēm, kuras uzskatāmas par pakļautām oglekļa emisiju pārvirzes riskam.</w:t>
            </w:r>
          </w:p>
        </w:tc>
      </w:tr>
      <w:tr w:rsidR="00CA685E" w14:paraId="5823CBF1" w14:textId="77777777" w:rsidTr="00AB130A">
        <w:trPr>
          <w:tblCellSpacing w:w="15" w:type="dxa"/>
        </w:trPr>
        <w:tc>
          <w:tcPr>
            <w:tcW w:w="1988" w:type="dxa"/>
            <w:tcBorders>
              <w:top w:val="outset" w:sz="6" w:space="0" w:color="auto"/>
              <w:left w:val="outset" w:sz="6" w:space="0" w:color="auto"/>
              <w:bottom w:val="outset" w:sz="6" w:space="0" w:color="auto"/>
              <w:right w:val="outset" w:sz="6" w:space="0" w:color="auto"/>
            </w:tcBorders>
          </w:tcPr>
          <w:p w14:paraId="714ACC36" w14:textId="77777777" w:rsidR="00CA685E" w:rsidRPr="001E4A3E" w:rsidRDefault="00CA685E" w:rsidP="00CA685E">
            <w:r>
              <w:t>A</w:t>
            </w:r>
          </w:p>
        </w:tc>
        <w:tc>
          <w:tcPr>
            <w:tcW w:w="2943" w:type="dxa"/>
            <w:tcBorders>
              <w:top w:val="outset" w:sz="6" w:space="0" w:color="auto"/>
              <w:left w:val="outset" w:sz="6" w:space="0" w:color="auto"/>
              <w:bottom w:val="outset" w:sz="6" w:space="0" w:color="auto"/>
              <w:right w:val="outset" w:sz="6" w:space="0" w:color="auto"/>
            </w:tcBorders>
          </w:tcPr>
          <w:p w14:paraId="5D893158" w14:textId="77777777" w:rsidR="00CA685E" w:rsidRPr="001E4A3E" w:rsidRDefault="00CA685E" w:rsidP="00CA685E">
            <w:r>
              <w:t>B</w:t>
            </w:r>
          </w:p>
        </w:tc>
        <w:tc>
          <w:tcPr>
            <w:tcW w:w="2274" w:type="dxa"/>
            <w:gridSpan w:val="4"/>
            <w:tcBorders>
              <w:top w:val="outset" w:sz="6" w:space="0" w:color="auto"/>
              <w:left w:val="outset" w:sz="6" w:space="0" w:color="auto"/>
              <w:bottom w:val="outset" w:sz="6" w:space="0" w:color="auto"/>
              <w:right w:val="outset" w:sz="6" w:space="0" w:color="auto"/>
            </w:tcBorders>
          </w:tcPr>
          <w:p w14:paraId="7336F560" w14:textId="77777777" w:rsidR="00CA685E" w:rsidRDefault="00CA685E" w:rsidP="00CA685E">
            <w:r>
              <w:t>C</w:t>
            </w:r>
          </w:p>
        </w:tc>
        <w:tc>
          <w:tcPr>
            <w:tcW w:w="1700" w:type="dxa"/>
            <w:gridSpan w:val="2"/>
            <w:tcBorders>
              <w:top w:val="outset" w:sz="6" w:space="0" w:color="auto"/>
              <w:left w:val="outset" w:sz="6" w:space="0" w:color="auto"/>
              <w:bottom w:val="outset" w:sz="6" w:space="0" w:color="auto"/>
              <w:right w:val="outset" w:sz="6" w:space="0" w:color="auto"/>
            </w:tcBorders>
          </w:tcPr>
          <w:p w14:paraId="1E70601C" w14:textId="77777777" w:rsidR="00CA685E" w:rsidRDefault="00CA685E" w:rsidP="00CA685E">
            <w:r>
              <w:t>D</w:t>
            </w:r>
          </w:p>
        </w:tc>
      </w:tr>
      <w:tr w:rsidR="00CA685E" w14:paraId="2FA332EF" w14:textId="77777777" w:rsidTr="00AB130A">
        <w:trPr>
          <w:tblCellSpacing w:w="15" w:type="dxa"/>
        </w:trPr>
        <w:tc>
          <w:tcPr>
            <w:tcW w:w="1988" w:type="dxa"/>
            <w:tcBorders>
              <w:top w:val="outset" w:sz="6" w:space="0" w:color="auto"/>
              <w:left w:val="outset" w:sz="6" w:space="0" w:color="auto"/>
              <w:bottom w:val="outset" w:sz="6" w:space="0" w:color="auto"/>
              <w:right w:val="outset" w:sz="6" w:space="0" w:color="auto"/>
            </w:tcBorders>
          </w:tcPr>
          <w:p w14:paraId="462618F3" w14:textId="63C97A4F" w:rsidR="00CA685E" w:rsidRPr="001E4A3E" w:rsidRDefault="00CA685E" w:rsidP="00CA685E">
            <w:pPr>
              <w:rPr>
                <w:iCs/>
              </w:rPr>
            </w:pPr>
            <w:r w:rsidRPr="00221FA4">
              <w:t>1. pants</w:t>
            </w:r>
          </w:p>
        </w:tc>
        <w:tc>
          <w:tcPr>
            <w:tcW w:w="2986" w:type="dxa"/>
            <w:gridSpan w:val="2"/>
            <w:tcBorders>
              <w:top w:val="outset" w:sz="6" w:space="0" w:color="auto"/>
              <w:left w:val="outset" w:sz="6" w:space="0" w:color="auto"/>
              <w:bottom w:val="outset" w:sz="6" w:space="0" w:color="auto"/>
              <w:right w:val="outset" w:sz="6" w:space="0" w:color="auto"/>
            </w:tcBorders>
          </w:tcPr>
          <w:p w14:paraId="3E980017" w14:textId="6C7DDB89" w:rsidR="00CA685E" w:rsidRPr="001E4A3E" w:rsidRDefault="00CA685E" w:rsidP="00CA685E">
            <w:r>
              <w:t>noteikumu projekta 2. pielikuma 4. punkts</w:t>
            </w:r>
          </w:p>
        </w:tc>
        <w:tc>
          <w:tcPr>
            <w:tcW w:w="2231" w:type="dxa"/>
            <w:gridSpan w:val="3"/>
            <w:tcBorders>
              <w:top w:val="outset" w:sz="6" w:space="0" w:color="auto"/>
              <w:left w:val="outset" w:sz="6" w:space="0" w:color="auto"/>
              <w:bottom w:val="outset" w:sz="6" w:space="0" w:color="auto"/>
              <w:right w:val="outset" w:sz="6" w:space="0" w:color="auto"/>
            </w:tcBorders>
          </w:tcPr>
          <w:p w14:paraId="684835B7" w14:textId="3EBAF46E" w:rsidR="00CA685E" w:rsidRDefault="00CA685E" w:rsidP="00CA685E">
            <w:r>
              <w:t>Pārņemts pilnībā</w:t>
            </w:r>
          </w:p>
        </w:tc>
        <w:tc>
          <w:tcPr>
            <w:tcW w:w="1700" w:type="dxa"/>
            <w:gridSpan w:val="2"/>
            <w:tcBorders>
              <w:top w:val="outset" w:sz="6" w:space="0" w:color="auto"/>
              <w:left w:val="outset" w:sz="6" w:space="0" w:color="auto"/>
              <w:bottom w:val="outset" w:sz="6" w:space="0" w:color="auto"/>
              <w:right w:val="outset" w:sz="6" w:space="0" w:color="auto"/>
            </w:tcBorders>
          </w:tcPr>
          <w:p w14:paraId="354192A2" w14:textId="253FF7A1" w:rsidR="00CA685E" w:rsidRDefault="00CA685E" w:rsidP="00CA685E">
            <w:r>
              <w:t xml:space="preserve">Projekts neparedz stingrākas prasības </w:t>
            </w:r>
          </w:p>
        </w:tc>
      </w:tr>
      <w:bookmarkEnd w:id="4"/>
      <w:tr w:rsidR="00CA685E" w:rsidRPr="00DA6709" w14:paraId="015A23CB" w14:textId="77777777" w:rsidTr="00AB130A">
        <w:trPr>
          <w:tblCellSpacing w:w="15" w:type="dxa"/>
        </w:trPr>
        <w:tc>
          <w:tcPr>
            <w:tcW w:w="1988" w:type="dxa"/>
            <w:tcBorders>
              <w:top w:val="outset" w:sz="6" w:space="0" w:color="auto"/>
              <w:left w:val="outset" w:sz="6" w:space="0" w:color="auto"/>
              <w:bottom w:val="outset" w:sz="6" w:space="0" w:color="auto"/>
              <w:right w:val="outset" w:sz="6" w:space="0" w:color="auto"/>
            </w:tcBorders>
            <w:hideMark/>
          </w:tcPr>
          <w:p w14:paraId="074697D4" w14:textId="77777777" w:rsidR="00CA685E" w:rsidRPr="0030592E" w:rsidRDefault="00CA685E" w:rsidP="00CA685E">
            <w:pPr>
              <w:rPr>
                <w:iCs/>
              </w:rPr>
            </w:pPr>
            <w:r w:rsidRPr="00EF4494">
              <w:rPr>
                <w:iCs/>
              </w:rPr>
              <w:t>Kā ir izmantota ES tiesību aktā paredzētā rīcības brīvība dalībvalstij pārņemt vai ieviest noteiktas ES tiesību akta normas? Kādēļ?</w:t>
            </w:r>
          </w:p>
        </w:tc>
        <w:tc>
          <w:tcPr>
            <w:tcW w:w="6977" w:type="dxa"/>
            <w:gridSpan w:val="7"/>
            <w:tcBorders>
              <w:top w:val="outset" w:sz="6" w:space="0" w:color="auto"/>
              <w:left w:val="outset" w:sz="6" w:space="0" w:color="auto"/>
              <w:bottom w:val="outset" w:sz="6" w:space="0" w:color="auto"/>
              <w:right w:val="outset" w:sz="6" w:space="0" w:color="auto"/>
            </w:tcBorders>
            <w:hideMark/>
          </w:tcPr>
          <w:p w14:paraId="56A44F98" w14:textId="77777777" w:rsidR="00CA685E" w:rsidRDefault="00CA685E" w:rsidP="00CA685E">
            <w:pPr>
              <w:jc w:val="both"/>
            </w:pPr>
            <w:r>
              <w:t xml:space="preserve">Ar noteikumu projektu ir pārņemtas Direktīvas 2018/410 prasības: </w:t>
            </w:r>
          </w:p>
          <w:p w14:paraId="7AB2FEF2" w14:textId="1D942035" w:rsidR="00CA685E" w:rsidRPr="00A55441" w:rsidRDefault="00CA685E" w:rsidP="00CA685E">
            <w:pPr>
              <w:jc w:val="both"/>
            </w:pPr>
            <w:r>
              <w:t>1. panta 7. punktā izteiktais 3. panta “h” apakšpunkts;</w:t>
            </w:r>
          </w:p>
          <w:p w14:paraId="3FEB8FBD" w14:textId="205B263F" w:rsidR="00CA685E" w:rsidRPr="00A55441" w:rsidRDefault="00CA685E" w:rsidP="00CA685E">
            <w:pPr>
              <w:jc w:val="both"/>
            </w:pPr>
            <w:r>
              <w:t>1. panta 12. punktā izteiktā 9. panta otrā daļa;</w:t>
            </w:r>
          </w:p>
          <w:p w14:paraId="4AF60905" w14:textId="158EAD1E" w:rsidR="00CA685E" w:rsidRPr="00A55441" w:rsidRDefault="00CA685E" w:rsidP="00CA685E">
            <w:pPr>
              <w:jc w:val="both"/>
            </w:pPr>
            <w:r>
              <w:t>1. panta 14. punkta “m” apakšpunktā izteiktais 10.a panta 20. apakšpunkts;</w:t>
            </w:r>
          </w:p>
          <w:p w14:paraId="5BC4E9F8" w14:textId="10362550" w:rsidR="00CA685E" w:rsidRPr="00A55441" w:rsidRDefault="00CA685E" w:rsidP="00CA685E">
            <w:pPr>
              <w:jc w:val="both"/>
            </w:pPr>
            <w:r>
              <w:t>1. panta 17. punktā izteiktā 11. panta 1. punkta otrā rindkopa;</w:t>
            </w:r>
          </w:p>
          <w:p w14:paraId="2C50B12D" w14:textId="70DC5D89" w:rsidR="00CA685E" w:rsidRPr="00A55441" w:rsidRDefault="00CA685E" w:rsidP="00CA685E">
            <w:pPr>
              <w:jc w:val="both"/>
            </w:pPr>
            <w:r>
              <w:t xml:space="preserve">1. panta 23. punktā izteiktā 15. panta ceturtā daļa. </w:t>
            </w:r>
          </w:p>
          <w:p w14:paraId="629821EB" w14:textId="448CBB36" w:rsidR="00CA685E" w:rsidRPr="0030592E" w:rsidRDefault="00CA685E" w:rsidP="00CA685E">
            <w:pPr>
              <w:jc w:val="both"/>
            </w:pPr>
          </w:p>
        </w:tc>
      </w:tr>
      <w:tr w:rsidR="00CA685E" w:rsidRPr="00DA6709" w14:paraId="2C65F8AB" w14:textId="77777777" w:rsidTr="00AB130A">
        <w:trPr>
          <w:tblCellSpacing w:w="15" w:type="dxa"/>
        </w:trPr>
        <w:tc>
          <w:tcPr>
            <w:tcW w:w="1988" w:type="dxa"/>
            <w:tcBorders>
              <w:top w:val="outset" w:sz="6" w:space="0" w:color="auto"/>
              <w:left w:val="outset" w:sz="6" w:space="0" w:color="auto"/>
              <w:bottom w:val="outset" w:sz="6" w:space="0" w:color="auto"/>
              <w:right w:val="outset" w:sz="6" w:space="0" w:color="auto"/>
            </w:tcBorders>
            <w:hideMark/>
          </w:tcPr>
          <w:p w14:paraId="7A1BDA0A" w14:textId="77777777" w:rsidR="00CA685E" w:rsidRPr="0030592E" w:rsidRDefault="00CA685E" w:rsidP="00CA685E">
            <w:pPr>
              <w:rPr>
                <w:iCs/>
              </w:rPr>
            </w:pPr>
            <w:r w:rsidRPr="0030592E">
              <w:rPr>
                <w:iCs/>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977" w:type="dxa"/>
            <w:gridSpan w:val="7"/>
            <w:tcBorders>
              <w:top w:val="outset" w:sz="6" w:space="0" w:color="auto"/>
              <w:left w:val="outset" w:sz="6" w:space="0" w:color="auto"/>
              <w:bottom w:val="outset" w:sz="6" w:space="0" w:color="auto"/>
              <w:right w:val="outset" w:sz="6" w:space="0" w:color="auto"/>
            </w:tcBorders>
            <w:hideMark/>
          </w:tcPr>
          <w:p w14:paraId="1988B3C9" w14:textId="77777777" w:rsidR="00CA685E" w:rsidRPr="0030592E" w:rsidRDefault="00CA685E" w:rsidP="00CA685E">
            <w:pPr>
              <w:rPr>
                <w:iCs/>
              </w:rPr>
            </w:pPr>
            <w:r w:rsidRPr="0030592E">
              <w:rPr>
                <w:iCs/>
              </w:rPr>
              <w:t>Projekts šo jomu neskar.</w:t>
            </w:r>
          </w:p>
        </w:tc>
      </w:tr>
      <w:tr w:rsidR="00CA685E" w:rsidRPr="00DA6709" w14:paraId="59C5076E" w14:textId="77777777" w:rsidTr="00AB130A">
        <w:trPr>
          <w:tblCellSpacing w:w="15" w:type="dxa"/>
        </w:trPr>
        <w:tc>
          <w:tcPr>
            <w:tcW w:w="1988" w:type="dxa"/>
            <w:tcBorders>
              <w:top w:val="outset" w:sz="6" w:space="0" w:color="auto"/>
              <w:left w:val="outset" w:sz="6" w:space="0" w:color="auto"/>
              <w:bottom w:val="outset" w:sz="6" w:space="0" w:color="auto"/>
              <w:right w:val="outset" w:sz="6" w:space="0" w:color="auto"/>
            </w:tcBorders>
            <w:hideMark/>
          </w:tcPr>
          <w:p w14:paraId="5F017902" w14:textId="77777777" w:rsidR="00CA685E" w:rsidRPr="0030592E" w:rsidRDefault="00CA685E" w:rsidP="00CA685E">
            <w:pPr>
              <w:rPr>
                <w:iCs/>
              </w:rPr>
            </w:pPr>
            <w:r w:rsidRPr="0030592E">
              <w:rPr>
                <w:iCs/>
              </w:rPr>
              <w:t>Cita informācija</w:t>
            </w:r>
          </w:p>
        </w:tc>
        <w:tc>
          <w:tcPr>
            <w:tcW w:w="6977" w:type="dxa"/>
            <w:gridSpan w:val="7"/>
            <w:tcBorders>
              <w:top w:val="outset" w:sz="6" w:space="0" w:color="auto"/>
              <w:left w:val="outset" w:sz="6" w:space="0" w:color="auto"/>
              <w:bottom w:val="outset" w:sz="6" w:space="0" w:color="auto"/>
              <w:right w:val="outset" w:sz="6" w:space="0" w:color="auto"/>
            </w:tcBorders>
            <w:hideMark/>
          </w:tcPr>
          <w:p w14:paraId="568C271A" w14:textId="77777777" w:rsidR="00CA685E" w:rsidRPr="0030592E" w:rsidRDefault="00CA685E" w:rsidP="00CA685E">
            <w:pPr>
              <w:rPr>
                <w:iCs/>
              </w:rPr>
            </w:pPr>
            <w:r w:rsidRPr="0030592E">
              <w:rPr>
                <w:iCs/>
              </w:rPr>
              <w:t>Nav</w:t>
            </w:r>
          </w:p>
        </w:tc>
      </w:tr>
      <w:tr w:rsidR="00CA685E" w:rsidRPr="00DA6709" w14:paraId="7CDE4CA8" w14:textId="77777777" w:rsidTr="00AB130A">
        <w:trPr>
          <w:tblCellSpacing w:w="15" w:type="dxa"/>
        </w:trPr>
        <w:tc>
          <w:tcPr>
            <w:tcW w:w="8995" w:type="dxa"/>
            <w:gridSpan w:val="8"/>
            <w:tcBorders>
              <w:top w:val="outset" w:sz="6" w:space="0" w:color="auto"/>
              <w:left w:val="outset" w:sz="6" w:space="0" w:color="auto"/>
              <w:bottom w:val="outset" w:sz="6" w:space="0" w:color="auto"/>
              <w:right w:val="outset" w:sz="6" w:space="0" w:color="auto"/>
            </w:tcBorders>
            <w:vAlign w:val="center"/>
            <w:hideMark/>
          </w:tcPr>
          <w:p w14:paraId="76BAF1E1" w14:textId="77777777" w:rsidR="00CA685E" w:rsidRPr="00900EF6" w:rsidRDefault="00CA685E" w:rsidP="00CA685E">
            <w:pPr>
              <w:rPr>
                <w:b/>
                <w:bCs/>
                <w:iCs/>
              </w:rPr>
            </w:pPr>
            <w:r w:rsidRPr="00900EF6">
              <w:rPr>
                <w:b/>
                <w:bCs/>
                <w:iCs/>
              </w:rPr>
              <w:t>2. tabula</w:t>
            </w:r>
            <w:r w:rsidRPr="00900EF6">
              <w:rPr>
                <w:b/>
                <w:bCs/>
                <w:iCs/>
              </w:rPr>
              <w:br/>
              <w:t>Ar tiesību akta projektu izpildītās vai uzņemtās saistības, kas izriet no starptautiskajiem tiesību aktiem vai starptautiskas institūcijas vai organizācijas dokumentiem.</w:t>
            </w:r>
          </w:p>
        </w:tc>
      </w:tr>
      <w:tr w:rsidR="00CA685E" w:rsidRPr="00DA6709" w14:paraId="7C67F5A6" w14:textId="77777777" w:rsidTr="00AB130A">
        <w:trPr>
          <w:tblCellSpacing w:w="15" w:type="dxa"/>
        </w:trPr>
        <w:tc>
          <w:tcPr>
            <w:tcW w:w="8995" w:type="dxa"/>
            <w:gridSpan w:val="8"/>
            <w:tcBorders>
              <w:top w:val="outset" w:sz="6" w:space="0" w:color="auto"/>
              <w:left w:val="outset" w:sz="6" w:space="0" w:color="auto"/>
              <w:bottom w:val="outset" w:sz="6" w:space="0" w:color="auto"/>
              <w:right w:val="outset" w:sz="6" w:space="0" w:color="auto"/>
            </w:tcBorders>
            <w:hideMark/>
          </w:tcPr>
          <w:p w14:paraId="772FB60D" w14:textId="77777777" w:rsidR="00CA685E" w:rsidRPr="00900EF6" w:rsidRDefault="00CA685E" w:rsidP="00CA685E">
            <w:pPr>
              <w:jc w:val="center"/>
              <w:rPr>
                <w:iCs/>
              </w:rPr>
            </w:pPr>
            <w:r w:rsidRPr="00900EF6">
              <w:rPr>
                <w:iCs/>
              </w:rPr>
              <w:t>Projekts šo jomu neskar</w:t>
            </w:r>
          </w:p>
        </w:tc>
      </w:tr>
    </w:tbl>
    <w:p w14:paraId="0B449699" w14:textId="4CA59C9A" w:rsidR="00356294" w:rsidRDefault="00356294" w:rsidP="00461E20">
      <w:pPr>
        <w:spacing w:before="120" w:after="120"/>
        <w:jc w:val="center"/>
        <w:rPr>
          <w:b/>
          <w:i/>
          <w:i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B0BF3" w:rsidRPr="00493DC7" w14:paraId="3257F051" w14:textId="77777777" w:rsidTr="2A37A0A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1E9D331" w14:textId="77777777" w:rsidR="005B0BF3" w:rsidRPr="00493DC7" w:rsidRDefault="005B0BF3" w:rsidP="00A44393">
            <w:pPr>
              <w:rPr>
                <w:b/>
                <w:bCs/>
                <w:iCs/>
              </w:rPr>
            </w:pPr>
            <w:r w:rsidRPr="00493DC7">
              <w:rPr>
                <w:b/>
                <w:bCs/>
                <w:iCs/>
              </w:rPr>
              <w:lastRenderedPageBreak/>
              <w:t>VI. Sabiedrības līdzdalība un komunikācijas aktivitātes</w:t>
            </w:r>
          </w:p>
        </w:tc>
      </w:tr>
      <w:tr w:rsidR="005B0BF3" w:rsidRPr="00493DC7" w14:paraId="0A921124" w14:textId="77777777" w:rsidTr="2A37A0A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AB3475" w14:textId="77777777" w:rsidR="005B0BF3" w:rsidRPr="00493DC7" w:rsidRDefault="005B0BF3" w:rsidP="00A44393">
            <w:pPr>
              <w:rPr>
                <w:iCs/>
              </w:rPr>
            </w:pPr>
            <w:r w:rsidRPr="00493DC7">
              <w:rPr>
                <w:iCs/>
              </w:rPr>
              <w:t>1.</w:t>
            </w:r>
          </w:p>
        </w:tc>
        <w:tc>
          <w:tcPr>
            <w:tcW w:w="1700" w:type="pct"/>
            <w:tcBorders>
              <w:top w:val="outset" w:sz="6" w:space="0" w:color="auto"/>
              <w:left w:val="outset" w:sz="6" w:space="0" w:color="auto"/>
              <w:bottom w:val="outset" w:sz="6" w:space="0" w:color="auto"/>
              <w:right w:val="outset" w:sz="6" w:space="0" w:color="auto"/>
            </w:tcBorders>
            <w:hideMark/>
          </w:tcPr>
          <w:p w14:paraId="2D084EF6" w14:textId="77777777" w:rsidR="005B0BF3" w:rsidRPr="00493DC7" w:rsidRDefault="005B0BF3" w:rsidP="00A44393">
            <w:pPr>
              <w:rPr>
                <w:iCs/>
              </w:rPr>
            </w:pPr>
            <w:r w:rsidRPr="00493DC7">
              <w:rPr>
                <w:iCs/>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32CA00EB" w14:textId="4816247D" w:rsidR="005B0BF3" w:rsidRPr="00493DC7" w:rsidRDefault="005B0BF3" w:rsidP="00B91838">
            <w:pPr>
              <w:jc w:val="both"/>
            </w:pPr>
            <w:r>
              <w:t>Sabiedrības līdzdalība ir nodrošināta saskaņā ar Ministru kabineta 2009. gada 25. augusta noteikumu Nr. 970 “Sabiedrības līdzdalības kārtība attīstības plānošanas procesā” 7.4.</w:t>
            </w:r>
            <w:r w:rsidRPr="2A37A0AD">
              <w:rPr>
                <w:vertAlign w:val="superscript"/>
              </w:rPr>
              <w:t>1</w:t>
            </w:r>
            <w:r>
              <w:t xml:space="preserve"> apakšpunktu, sabiedrības pārstāvjus aicinot līdzdarboties, rakstiski sniedzot viedokli par </w:t>
            </w:r>
            <w:r w:rsidR="0330893B">
              <w:t>N</w:t>
            </w:r>
            <w:r>
              <w:t>oteikumu projektu tā izstrādes stadijā. Sabiedrības pārstāvji ir informēti par iespēju līdzdarboties, publicējot paziņojumu par līdzdalības procesu VARAM tīmekļvietnē, kā arī Valsts Kancelejas tīmekļvietnē.</w:t>
            </w:r>
          </w:p>
        </w:tc>
      </w:tr>
      <w:tr w:rsidR="005B0BF3" w:rsidRPr="00BD2CC1" w14:paraId="51A03E7D" w14:textId="77777777" w:rsidTr="2A37A0A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A8366C" w14:textId="77777777" w:rsidR="005B0BF3" w:rsidRPr="00493DC7" w:rsidRDefault="005B0BF3" w:rsidP="00A44393">
            <w:pPr>
              <w:rPr>
                <w:iCs/>
              </w:rPr>
            </w:pPr>
            <w:r w:rsidRPr="00493DC7">
              <w:rPr>
                <w:iCs/>
              </w:rPr>
              <w:t>2.</w:t>
            </w:r>
          </w:p>
        </w:tc>
        <w:tc>
          <w:tcPr>
            <w:tcW w:w="1700" w:type="pct"/>
            <w:tcBorders>
              <w:top w:val="outset" w:sz="6" w:space="0" w:color="auto"/>
              <w:left w:val="outset" w:sz="6" w:space="0" w:color="auto"/>
              <w:bottom w:val="outset" w:sz="6" w:space="0" w:color="auto"/>
              <w:right w:val="outset" w:sz="6" w:space="0" w:color="auto"/>
            </w:tcBorders>
            <w:hideMark/>
          </w:tcPr>
          <w:p w14:paraId="703C8461" w14:textId="77777777" w:rsidR="005B0BF3" w:rsidRPr="00493DC7" w:rsidRDefault="005B0BF3" w:rsidP="00A44393">
            <w:pPr>
              <w:rPr>
                <w:iCs/>
              </w:rPr>
            </w:pPr>
            <w:r w:rsidRPr="00493DC7">
              <w:rPr>
                <w:iCs/>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5CAF7173" w14:textId="78F46688" w:rsidR="005B0BF3" w:rsidRPr="00BD2CC1" w:rsidRDefault="00A93A22" w:rsidP="00B91838">
            <w:pPr>
              <w:jc w:val="both"/>
            </w:pPr>
            <w:r w:rsidRPr="00493DC7">
              <w:t>Noteikumu</w:t>
            </w:r>
            <w:r>
              <w:t xml:space="preserve"> </w:t>
            </w:r>
            <w:r w:rsidRPr="00493DC7">
              <w:t xml:space="preserve">projekts </w:t>
            </w:r>
            <w:r w:rsidRPr="00A93A22">
              <w:t xml:space="preserve">2021. gada 18. janvārī </w:t>
            </w:r>
            <w:r w:rsidRPr="00493DC7">
              <w:t>publicēts VARAM tīmekļvietnē (</w:t>
            </w:r>
            <w:hyperlink r:id="rId11" w:history="1">
              <w:r w:rsidRPr="00493DC7">
                <w:rPr>
                  <w:rStyle w:val="Hyperlink"/>
                </w:rPr>
                <w:t>www.varam.gov.lv</w:t>
              </w:r>
            </w:hyperlink>
            <w:r w:rsidRPr="00493DC7">
              <w:t>)</w:t>
            </w:r>
            <w:r w:rsidRPr="00C16C53">
              <w:t xml:space="preserve"> un Valsts kancelejas tīmekļvietnē (</w:t>
            </w:r>
            <w:hyperlink r:id="rId12" w:history="1">
              <w:r w:rsidRPr="001C6D4A">
                <w:rPr>
                  <w:rStyle w:val="Hyperlink"/>
                </w:rPr>
                <w:t>https://www.mk.gov.lv/content/ministru-kabineta-diskusiju-dokumenti</w:t>
              </w:r>
            </w:hyperlink>
            <w:r>
              <w:t xml:space="preserve"> </w:t>
            </w:r>
            <w:r w:rsidRPr="00C16C53">
              <w:t>).</w:t>
            </w:r>
          </w:p>
        </w:tc>
      </w:tr>
      <w:tr w:rsidR="005B0BF3" w:rsidRPr="00493DC7" w14:paraId="467718F5" w14:textId="77777777" w:rsidTr="2A37A0A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8A28F7" w14:textId="77777777" w:rsidR="005B0BF3" w:rsidRPr="00493DC7" w:rsidRDefault="005B0BF3" w:rsidP="00A44393">
            <w:pPr>
              <w:rPr>
                <w:iCs/>
              </w:rPr>
            </w:pPr>
            <w:r w:rsidRPr="00493DC7">
              <w:rPr>
                <w:iCs/>
              </w:rPr>
              <w:t>3.</w:t>
            </w:r>
          </w:p>
        </w:tc>
        <w:tc>
          <w:tcPr>
            <w:tcW w:w="1700" w:type="pct"/>
            <w:tcBorders>
              <w:top w:val="outset" w:sz="6" w:space="0" w:color="auto"/>
              <w:left w:val="outset" w:sz="6" w:space="0" w:color="auto"/>
              <w:bottom w:val="outset" w:sz="6" w:space="0" w:color="auto"/>
              <w:right w:val="outset" w:sz="6" w:space="0" w:color="auto"/>
            </w:tcBorders>
            <w:hideMark/>
          </w:tcPr>
          <w:p w14:paraId="4E524041" w14:textId="77777777" w:rsidR="005B0BF3" w:rsidRPr="00493DC7" w:rsidRDefault="005B0BF3" w:rsidP="00A44393">
            <w:pPr>
              <w:rPr>
                <w:iCs/>
              </w:rPr>
            </w:pPr>
            <w:r w:rsidRPr="00493DC7">
              <w:rPr>
                <w:iCs/>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477E41E" w14:textId="39D4DBE6" w:rsidR="005B0BF3" w:rsidRPr="00493DC7" w:rsidRDefault="00940635" w:rsidP="00B91838">
            <w:pPr>
              <w:jc w:val="both"/>
            </w:pPr>
            <w:r w:rsidRPr="00940635">
              <w:t>Sabiedrības līdzdalības laikā</w:t>
            </w:r>
            <w:r w:rsidR="005B0BF3">
              <w:t xml:space="preserve"> viedokļ</w:t>
            </w:r>
            <w:r w:rsidR="00D650F0">
              <w:t>i</w:t>
            </w:r>
            <w:r w:rsidR="005B0BF3">
              <w:t xml:space="preserve"> un komentār</w:t>
            </w:r>
            <w:r w:rsidR="00D650F0">
              <w:t>i</w:t>
            </w:r>
            <w:r w:rsidR="005B0BF3">
              <w:t xml:space="preserve"> </w:t>
            </w:r>
            <w:r w:rsidR="00D650F0">
              <w:t>netika saņemti</w:t>
            </w:r>
            <w:r w:rsidR="005B0BF3">
              <w:t>.</w:t>
            </w:r>
          </w:p>
        </w:tc>
      </w:tr>
      <w:tr w:rsidR="005B0BF3" w:rsidRPr="00493DC7" w14:paraId="72E1C695" w14:textId="77777777" w:rsidTr="2A37A0AD">
        <w:trPr>
          <w:trHeight w:val="419"/>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054279" w14:textId="77777777" w:rsidR="005B0BF3" w:rsidRPr="00493DC7" w:rsidRDefault="005B0BF3" w:rsidP="00A44393">
            <w:pPr>
              <w:rPr>
                <w:iCs/>
              </w:rPr>
            </w:pPr>
            <w:r w:rsidRPr="00493DC7">
              <w:rPr>
                <w:iCs/>
              </w:rPr>
              <w:t>4.</w:t>
            </w:r>
          </w:p>
        </w:tc>
        <w:tc>
          <w:tcPr>
            <w:tcW w:w="1700" w:type="pct"/>
            <w:tcBorders>
              <w:top w:val="outset" w:sz="6" w:space="0" w:color="auto"/>
              <w:left w:val="outset" w:sz="6" w:space="0" w:color="auto"/>
              <w:bottom w:val="outset" w:sz="6" w:space="0" w:color="auto"/>
              <w:right w:val="outset" w:sz="6" w:space="0" w:color="auto"/>
            </w:tcBorders>
            <w:hideMark/>
          </w:tcPr>
          <w:p w14:paraId="7ED40321" w14:textId="77777777" w:rsidR="005B0BF3" w:rsidRPr="00493DC7" w:rsidRDefault="005B0BF3" w:rsidP="00A44393">
            <w:pPr>
              <w:rPr>
                <w:iCs/>
              </w:rPr>
            </w:pPr>
            <w:r w:rsidRPr="00493DC7">
              <w:rPr>
                <w:iCs/>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6890DC3" w14:textId="1C2131EA" w:rsidR="005B0BF3" w:rsidRPr="00493DC7" w:rsidRDefault="005B0BF3" w:rsidP="00AA798B">
            <w:pPr>
              <w:rPr>
                <w:iCs/>
              </w:rPr>
            </w:pPr>
            <w:r w:rsidRPr="00AA798B">
              <w:rPr>
                <w:iCs/>
              </w:rPr>
              <w:t>Noteikumu projekts</w:t>
            </w:r>
            <w:r w:rsidR="0007060E">
              <w:rPr>
                <w:iCs/>
              </w:rPr>
              <w:t xml:space="preserve"> tika saskaņots ar VVD.</w:t>
            </w:r>
            <w:bookmarkStart w:id="5" w:name="_GoBack"/>
            <w:bookmarkEnd w:id="5"/>
          </w:p>
        </w:tc>
      </w:tr>
    </w:tbl>
    <w:p w14:paraId="116D6F15" w14:textId="170F3D43" w:rsidR="005B0BF3" w:rsidRDefault="005B0BF3" w:rsidP="00461E20">
      <w:pPr>
        <w:spacing w:before="120" w:after="120"/>
        <w:jc w:val="center"/>
        <w:rPr>
          <w:b/>
          <w:i/>
          <w:i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B0BF3" w:rsidRPr="00493DC7" w14:paraId="6DA119B5" w14:textId="77777777" w:rsidTr="00A4439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2F962D" w14:textId="77777777" w:rsidR="005B0BF3" w:rsidRPr="00493DC7" w:rsidRDefault="005B0BF3" w:rsidP="00A44393">
            <w:pPr>
              <w:rPr>
                <w:b/>
                <w:bCs/>
                <w:iCs/>
              </w:rPr>
            </w:pPr>
            <w:r w:rsidRPr="00493DC7">
              <w:rPr>
                <w:b/>
                <w:bCs/>
                <w:iCs/>
              </w:rPr>
              <w:t>VII. Tiesību akta projekta izpildes nodrošināšana un tās ietekme uz institūcijām</w:t>
            </w:r>
          </w:p>
        </w:tc>
      </w:tr>
      <w:tr w:rsidR="005B0BF3" w:rsidRPr="00493DC7" w14:paraId="7492B01E" w14:textId="77777777" w:rsidTr="005B0BF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8641B08" w14:textId="77777777" w:rsidR="005B0BF3" w:rsidRPr="00493DC7" w:rsidRDefault="005B0BF3" w:rsidP="00A44393">
            <w:pPr>
              <w:rPr>
                <w:iCs/>
              </w:rPr>
            </w:pPr>
            <w:r w:rsidRPr="00493DC7">
              <w:rPr>
                <w:iCs/>
              </w:rPr>
              <w:t>1.</w:t>
            </w:r>
          </w:p>
        </w:tc>
        <w:tc>
          <w:tcPr>
            <w:tcW w:w="1678" w:type="pct"/>
            <w:tcBorders>
              <w:top w:val="outset" w:sz="6" w:space="0" w:color="auto"/>
              <w:left w:val="outset" w:sz="6" w:space="0" w:color="auto"/>
              <w:bottom w:val="outset" w:sz="6" w:space="0" w:color="auto"/>
              <w:right w:val="outset" w:sz="6" w:space="0" w:color="auto"/>
            </w:tcBorders>
            <w:hideMark/>
          </w:tcPr>
          <w:p w14:paraId="136DD980" w14:textId="77777777" w:rsidR="005B0BF3" w:rsidRPr="00493DC7" w:rsidRDefault="005B0BF3" w:rsidP="00A44393">
            <w:pPr>
              <w:rPr>
                <w:iCs/>
              </w:rPr>
            </w:pPr>
            <w:r w:rsidRPr="00493DC7">
              <w:rPr>
                <w:iCs/>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783DC3EF" w14:textId="05DFA37B" w:rsidR="005B0BF3" w:rsidRPr="00493DC7" w:rsidRDefault="005B0BF3" w:rsidP="009A483E">
            <w:pPr>
              <w:rPr>
                <w:iCs/>
              </w:rPr>
            </w:pPr>
            <w:r w:rsidRPr="00493DC7">
              <w:rPr>
                <w:iCs/>
              </w:rPr>
              <w:t xml:space="preserve">VARAM, VVD </w:t>
            </w:r>
          </w:p>
        </w:tc>
      </w:tr>
      <w:tr w:rsidR="005B0BF3" w:rsidRPr="00493DC7" w14:paraId="6D5319A4" w14:textId="77777777" w:rsidTr="005B0BF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7B5853" w14:textId="77777777" w:rsidR="005B0BF3" w:rsidRPr="00493DC7" w:rsidRDefault="005B0BF3" w:rsidP="00A44393">
            <w:pPr>
              <w:rPr>
                <w:iCs/>
              </w:rPr>
            </w:pPr>
            <w:r w:rsidRPr="00493DC7">
              <w:rPr>
                <w:iCs/>
              </w:rPr>
              <w:t>2.</w:t>
            </w:r>
          </w:p>
        </w:tc>
        <w:tc>
          <w:tcPr>
            <w:tcW w:w="1678" w:type="pct"/>
            <w:tcBorders>
              <w:top w:val="outset" w:sz="6" w:space="0" w:color="auto"/>
              <w:left w:val="outset" w:sz="6" w:space="0" w:color="auto"/>
              <w:bottom w:val="outset" w:sz="6" w:space="0" w:color="auto"/>
              <w:right w:val="outset" w:sz="6" w:space="0" w:color="auto"/>
            </w:tcBorders>
            <w:hideMark/>
          </w:tcPr>
          <w:p w14:paraId="28F83182" w14:textId="77777777" w:rsidR="005B0BF3" w:rsidRPr="00493DC7" w:rsidRDefault="005B0BF3" w:rsidP="00A44393">
            <w:pPr>
              <w:rPr>
                <w:iCs/>
              </w:rPr>
            </w:pPr>
            <w:r w:rsidRPr="00493DC7">
              <w:rPr>
                <w:iCs/>
              </w:rPr>
              <w:t>Projekta izpildes ietekme uz pārvaldes funkcijām un institucionālo struktūru.</w:t>
            </w:r>
            <w:r w:rsidRPr="00493DC7">
              <w:rPr>
                <w:iCs/>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54901B65" w14:textId="0C85697D" w:rsidR="005B0BF3" w:rsidRPr="00493DC7" w:rsidRDefault="005B0BF3" w:rsidP="00A44393">
            <w:pPr>
              <w:jc w:val="both"/>
              <w:rPr>
                <w:iCs/>
              </w:rPr>
            </w:pPr>
            <w:r w:rsidRPr="00AA798B">
              <w:rPr>
                <w:iCs/>
              </w:rPr>
              <w:t>Noteikumu projektā</w:t>
            </w:r>
            <w:r w:rsidRPr="00493DC7">
              <w:rPr>
                <w:iCs/>
              </w:rPr>
              <w:t xml:space="preserve"> iekļautie nosacījumi var radīt ietekmi uz pārvaldes funkcijām, tomēr tas neietekmēs institucionālo sistēmu.</w:t>
            </w:r>
          </w:p>
          <w:p w14:paraId="3777E35C" w14:textId="77777777" w:rsidR="005B0BF3" w:rsidRPr="00493DC7" w:rsidRDefault="005B0BF3" w:rsidP="00A44393">
            <w:pPr>
              <w:jc w:val="both"/>
              <w:rPr>
                <w:iCs/>
              </w:rPr>
            </w:pPr>
          </w:p>
          <w:p w14:paraId="0D5A08F5" w14:textId="26198F64" w:rsidR="005B0BF3" w:rsidRPr="00493DC7" w:rsidRDefault="005B0BF3" w:rsidP="00D40016">
            <w:pPr>
              <w:jc w:val="both"/>
              <w:rPr>
                <w:iCs/>
              </w:rPr>
            </w:pPr>
            <w:r w:rsidRPr="00AA798B">
              <w:rPr>
                <w:iCs/>
              </w:rPr>
              <w:t>Noteikumu projektā</w:t>
            </w:r>
            <w:r w:rsidRPr="00493DC7">
              <w:rPr>
                <w:iCs/>
              </w:rPr>
              <w:t xml:space="preserve"> iekļauto nosacījumu izpildei nav nepieciešams veidot jaunas institūcijas, likvidēt vai reorganizēt esošās institūcijas. </w:t>
            </w:r>
          </w:p>
          <w:p w14:paraId="52164BE3" w14:textId="77777777" w:rsidR="005B0BF3" w:rsidRPr="00493DC7" w:rsidRDefault="005B0BF3">
            <w:pPr>
              <w:jc w:val="both"/>
              <w:rPr>
                <w:iCs/>
              </w:rPr>
            </w:pPr>
          </w:p>
          <w:p w14:paraId="3C6A15BD" w14:textId="1E975F0B" w:rsidR="005B0BF3" w:rsidRPr="00493DC7" w:rsidRDefault="005B0BF3">
            <w:pPr>
              <w:jc w:val="both"/>
              <w:rPr>
                <w:iCs/>
              </w:rPr>
            </w:pPr>
            <w:r w:rsidRPr="00AA798B">
              <w:rPr>
                <w:iCs/>
              </w:rPr>
              <w:t>Noteikumu projektā</w:t>
            </w:r>
            <w:r w:rsidRPr="00493DC7">
              <w:rPr>
                <w:iCs/>
              </w:rPr>
              <w:t xml:space="preserve"> iekļauto nosacījumu izpilde neatstās ietekmi uz cilvēkresursiem.</w:t>
            </w:r>
          </w:p>
          <w:p w14:paraId="4CD0B812" w14:textId="77777777" w:rsidR="005B0BF3" w:rsidRPr="00493DC7" w:rsidRDefault="005B0BF3">
            <w:pPr>
              <w:jc w:val="both"/>
              <w:rPr>
                <w:iCs/>
              </w:rPr>
            </w:pPr>
          </w:p>
          <w:p w14:paraId="7E325E28" w14:textId="6BC708D6" w:rsidR="005B0BF3" w:rsidRPr="00493DC7" w:rsidRDefault="005B0BF3" w:rsidP="00AA798B">
            <w:pPr>
              <w:jc w:val="both"/>
              <w:rPr>
                <w:iCs/>
              </w:rPr>
            </w:pPr>
            <w:r w:rsidRPr="00AA798B">
              <w:rPr>
                <w:iCs/>
              </w:rPr>
              <w:t>Noteikumu projekta izpildē iesaistītās institūcijas noteikumu projektā</w:t>
            </w:r>
            <w:r w:rsidRPr="00493DC7">
              <w:rPr>
                <w:iCs/>
              </w:rPr>
              <w:t xml:space="preserve"> iekļautos pasākumu nodrošinās piešķirto valsts budžeta līdzekļu ietvaros.</w:t>
            </w:r>
          </w:p>
        </w:tc>
      </w:tr>
      <w:tr w:rsidR="005B0BF3" w:rsidRPr="00493DC7" w14:paraId="071327AB" w14:textId="77777777" w:rsidTr="005B0BF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0BA530" w14:textId="77777777" w:rsidR="005B0BF3" w:rsidRPr="00493DC7" w:rsidRDefault="005B0BF3" w:rsidP="00A44393">
            <w:pPr>
              <w:rPr>
                <w:iCs/>
              </w:rPr>
            </w:pPr>
            <w:r w:rsidRPr="00493DC7">
              <w:rPr>
                <w:iCs/>
              </w:rPr>
              <w:t>3.</w:t>
            </w:r>
          </w:p>
        </w:tc>
        <w:tc>
          <w:tcPr>
            <w:tcW w:w="1678" w:type="pct"/>
            <w:tcBorders>
              <w:top w:val="outset" w:sz="6" w:space="0" w:color="auto"/>
              <w:left w:val="outset" w:sz="6" w:space="0" w:color="auto"/>
              <w:bottom w:val="outset" w:sz="6" w:space="0" w:color="auto"/>
              <w:right w:val="outset" w:sz="6" w:space="0" w:color="auto"/>
            </w:tcBorders>
            <w:hideMark/>
          </w:tcPr>
          <w:p w14:paraId="61CCD89C" w14:textId="77777777" w:rsidR="005B0BF3" w:rsidRPr="00493DC7" w:rsidRDefault="005B0BF3" w:rsidP="00A44393">
            <w:pPr>
              <w:rPr>
                <w:iCs/>
              </w:rPr>
            </w:pPr>
            <w:r w:rsidRPr="00493DC7">
              <w:rPr>
                <w:iCs/>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A9EBF07" w14:textId="77777777" w:rsidR="005B0BF3" w:rsidRPr="00493DC7" w:rsidRDefault="005B0BF3" w:rsidP="00A44393">
            <w:pPr>
              <w:rPr>
                <w:iCs/>
              </w:rPr>
            </w:pPr>
            <w:r w:rsidRPr="00493DC7">
              <w:rPr>
                <w:iCs/>
              </w:rPr>
              <w:t>Nav</w:t>
            </w:r>
          </w:p>
        </w:tc>
      </w:tr>
    </w:tbl>
    <w:p w14:paraId="587C9EAE" w14:textId="77777777" w:rsidR="005B0BF3" w:rsidRDefault="005B0BF3" w:rsidP="005B0BF3">
      <w:pPr>
        <w:tabs>
          <w:tab w:val="left" w:pos="6237"/>
        </w:tabs>
        <w:rPr>
          <w:sz w:val="28"/>
          <w:szCs w:val="28"/>
        </w:rPr>
      </w:pPr>
    </w:p>
    <w:p w14:paraId="6F17E9F2" w14:textId="77777777" w:rsidR="005B0BF3" w:rsidRDefault="005B0BF3" w:rsidP="005B0BF3">
      <w:pPr>
        <w:tabs>
          <w:tab w:val="left" w:pos="6237"/>
        </w:tabs>
        <w:rPr>
          <w:sz w:val="28"/>
          <w:szCs w:val="28"/>
        </w:rPr>
      </w:pPr>
    </w:p>
    <w:p w14:paraId="62204657" w14:textId="609A0B1D" w:rsidR="005B0BF3" w:rsidRPr="00BD2CC1" w:rsidRDefault="005B0BF3" w:rsidP="2A37A0AD">
      <w:pPr>
        <w:tabs>
          <w:tab w:val="left" w:pos="6237"/>
        </w:tabs>
        <w:rPr>
          <w:sz w:val="28"/>
          <w:szCs w:val="28"/>
        </w:rPr>
      </w:pPr>
      <w:r w:rsidRPr="00BD2CC1">
        <w:rPr>
          <w:sz w:val="28"/>
          <w:szCs w:val="28"/>
        </w:rPr>
        <w:t xml:space="preserve">Vides aizsardzības un reģionālās attīstības ministrs </w:t>
      </w:r>
      <w:r w:rsidRPr="00BD2CC1">
        <w:rPr>
          <w:sz w:val="28"/>
          <w:szCs w:val="28"/>
        </w:rPr>
        <w:tab/>
      </w:r>
      <w:r w:rsidR="00754AF2">
        <w:rPr>
          <w:sz w:val="28"/>
          <w:szCs w:val="28"/>
        </w:rPr>
        <w:tab/>
      </w:r>
      <w:r w:rsidR="00754AF2">
        <w:rPr>
          <w:sz w:val="28"/>
          <w:szCs w:val="28"/>
        </w:rPr>
        <w:tab/>
      </w:r>
      <w:r w:rsidR="00754AF2">
        <w:rPr>
          <w:sz w:val="28"/>
          <w:szCs w:val="28"/>
        </w:rPr>
        <w:tab/>
        <w:t>A.T.Plešs</w:t>
      </w:r>
    </w:p>
    <w:p w14:paraId="0B377351" w14:textId="77777777" w:rsidR="005B0BF3" w:rsidRPr="00DA6709" w:rsidRDefault="005B0BF3" w:rsidP="005B0BF3">
      <w:pPr>
        <w:ind w:firstLine="720"/>
        <w:rPr>
          <w:sz w:val="28"/>
          <w:szCs w:val="28"/>
        </w:rPr>
      </w:pPr>
    </w:p>
    <w:p w14:paraId="694F99A1" w14:textId="77777777" w:rsidR="005B0BF3" w:rsidRPr="00DA6709" w:rsidRDefault="005B0BF3" w:rsidP="00CF50F5">
      <w:pPr>
        <w:ind w:firstLine="720"/>
        <w:jc w:val="center"/>
        <w:rPr>
          <w:sz w:val="28"/>
          <w:szCs w:val="28"/>
        </w:rPr>
      </w:pPr>
    </w:p>
    <w:p w14:paraId="016C3542" w14:textId="4EF90CFC" w:rsidR="005B0BF3" w:rsidRPr="007747AC" w:rsidRDefault="004F601E" w:rsidP="005B0BF3">
      <w:pPr>
        <w:tabs>
          <w:tab w:val="left" w:pos="6237"/>
        </w:tabs>
        <w:rPr>
          <w:sz w:val="22"/>
          <w:szCs w:val="22"/>
        </w:rPr>
      </w:pPr>
      <w:r w:rsidRPr="007747AC">
        <w:rPr>
          <w:sz w:val="22"/>
          <w:szCs w:val="22"/>
        </w:rPr>
        <w:t>Kamarūte</w:t>
      </w:r>
      <w:r w:rsidR="005B0BF3" w:rsidRPr="007747AC">
        <w:rPr>
          <w:sz w:val="22"/>
          <w:szCs w:val="22"/>
        </w:rPr>
        <w:t xml:space="preserve"> </w:t>
      </w:r>
      <w:r w:rsidR="00CF50F5" w:rsidRPr="007747AC">
        <w:rPr>
          <w:sz w:val="22"/>
          <w:szCs w:val="22"/>
        </w:rPr>
        <w:t>66016702</w:t>
      </w:r>
      <w:r w:rsidR="005B0BF3" w:rsidRPr="007747AC">
        <w:rPr>
          <w:sz w:val="22"/>
          <w:szCs w:val="22"/>
        </w:rPr>
        <w:t xml:space="preserve"> </w:t>
      </w:r>
    </w:p>
    <w:p w14:paraId="343CA566" w14:textId="669B6AF6" w:rsidR="00461E20" w:rsidRPr="007747AC" w:rsidRDefault="004F601E" w:rsidP="00BD2CC1">
      <w:pPr>
        <w:tabs>
          <w:tab w:val="left" w:pos="6237"/>
        </w:tabs>
        <w:rPr>
          <w:sz w:val="22"/>
          <w:szCs w:val="22"/>
        </w:rPr>
      </w:pPr>
      <w:r w:rsidRPr="007747AC">
        <w:rPr>
          <w:sz w:val="22"/>
          <w:szCs w:val="22"/>
        </w:rPr>
        <w:t>Ilze</w:t>
      </w:r>
      <w:r w:rsidR="005B0BF3" w:rsidRPr="007747AC">
        <w:rPr>
          <w:sz w:val="22"/>
          <w:szCs w:val="22"/>
        </w:rPr>
        <w:t>.</w:t>
      </w:r>
      <w:r w:rsidRPr="007747AC">
        <w:rPr>
          <w:sz w:val="22"/>
          <w:szCs w:val="22"/>
        </w:rPr>
        <w:t>Kamarute</w:t>
      </w:r>
      <w:r w:rsidR="005B0BF3" w:rsidRPr="007747AC">
        <w:rPr>
          <w:sz w:val="22"/>
          <w:szCs w:val="22"/>
        </w:rPr>
        <w:t>@varam.gov.lv</w:t>
      </w:r>
      <w:bookmarkEnd w:id="0"/>
      <w:bookmarkEnd w:id="1"/>
    </w:p>
    <w:sectPr w:rsidR="00461E20" w:rsidRPr="007747AC" w:rsidSect="00A11C80">
      <w:headerReference w:type="even" r:id="rId13"/>
      <w:headerReference w:type="default" r:id="rId14"/>
      <w:footerReference w:type="default" r:id="rId15"/>
      <w:headerReference w:type="first" r:id="rId16"/>
      <w:footerReference w:type="first" r:id="rId17"/>
      <w:pgSz w:w="11906" w:h="16838" w:code="9"/>
      <w:pgMar w:top="1418"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4695F" w14:textId="77777777" w:rsidR="00106551" w:rsidRDefault="00106551" w:rsidP="00614A21">
      <w:r>
        <w:separator/>
      </w:r>
    </w:p>
  </w:endnote>
  <w:endnote w:type="continuationSeparator" w:id="0">
    <w:p w14:paraId="24C5C691" w14:textId="77777777" w:rsidR="00106551" w:rsidRDefault="00106551" w:rsidP="00614A21">
      <w:r>
        <w:continuationSeparator/>
      </w:r>
    </w:p>
  </w:endnote>
  <w:endnote w:type="continuationNotice" w:id="1">
    <w:p w14:paraId="33E86198" w14:textId="77777777" w:rsidR="00106551" w:rsidRDefault="001065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F8C75" w14:textId="77777777" w:rsidR="00942444" w:rsidRPr="00AA6615" w:rsidRDefault="00942444" w:rsidP="003E185C">
    <w:pPr>
      <w:jc w:val="both"/>
      <w:rPr>
        <w:sz w:val="8"/>
        <w:szCs w:val="8"/>
      </w:rPr>
    </w:pPr>
  </w:p>
  <w:p w14:paraId="53FC3247" w14:textId="5AD4A466" w:rsidR="00942444" w:rsidRPr="00F44D8A" w:rsidRDefault="00942444" w:rsidP="003E185C">
    <w:pPr>
      <w:jc w:val="both"/>
      <w:rPr>
        <w:sz w:val="20"/>
        <w:szCs w:val="20"/>
      </w:rPr>
    </w:pPr>
    <w:r>
      <w:rPr>
        <w:noProof/>
        <w:sz w:val="20"/>
        <w:szCs w:val="20"/>
      </w:rPr>
      <w:fldChar w:fldCharType="begin"/>
    </w:r>
    <w:r>
      <w:rPr>
        <w:noProof/>
        <w:sz w:val="20"/>
        <w:szCs w:val="20"/>
      </w:rPr>
      <w:instrText xml:space="preserve"> FILENAME   \* MERGEFORMAT </w:instrText>
    </w:r>
    <w:r>
      <w:rPr>
        <w:noProof/>
        <w:sz w:val="20"/>
        <w:szCs w:val="20"/>
      </w:rPr>
      <w:fldChar w:fldCharType="separate"/>
    </w:r>
    <w:r w:rsidR="00AD0449">
      <w:rPr>
        <w:noProof/>
        <w:sz w:val="20"/>
        <w:szCs w:val="20"/>
      </w:rPr>
      <w:t>VARAMAnot_070621_ES_ETS_kvotas</w:t>
    </w:r>
    <w:r>
      <w:rPr>
        <w:noProof/>
        <w:sz w:val="20"/>
        <w:szCs w:val="20"/>
      </w:rPr>
      <w:fldChar w:fldCharType="end"/>
    </w:r>
    <w:r w:rsidRPr="00F44D8A">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12A22" w14:textId="19EDEF0E" w:rsidR="00942444" w:rsidRPr="00754AF2" w:rsidRDefault="00FD3845" w:rsidP="003E185C">
    <w:pPr>
      <w:jc w:val="both"/>
      <w:rPr>
        <w:sz w:val="20"/>
        <w:szCs w:val="8"/>
      </w:rPr>
    </w:pPr>
    <w:r w:rsidRPr="00754AF2">
      <w:rPr>
        <w:sz w:val="20"/>
        <w:szCs w:val="8"/>
      </w:rPr>
      <w:fldChar w:fldCharType="begin"/>
    </w:r>
    <w:r w:rsidRPr="00754AF2">
      <w:rPr>
        <w:sz w:val="20"/>
        <w:szCs w:val="8"/>
      </w:rPr>
      <w:instrText xml:space="preserve"> FILENAME   \* MERGEFORMAT </w:instrText>
    </w:r>
    <w:r w:rsidRPr="00754AF2">
      <w:rPr>
        <w:sz w:val="20"/>
        <w:szCs w:val="8"/>
      </w:rPr>
      <w:fldChar w:fldCharType="separate"/>
    </w:r>
    <w:r w:rsidR="00AD0449">
      <w:rPr>
        <w:noProof/>
        <w:sz w:val="20"/>
        <w:szCs w:val="8"/>
      </w:rPr>
      <w:t>VARAMAnot_070621_ES_ETS_kvotas</w:t>
    </w:r>
    <w:r w:rsidRPr="00754AF2">
      <w:rPr>
        <w:sz w:val="20"/>
        <w:szCs w:val="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CA658" w14:textId="77777777" w:rsidR="00106551" w:rsidRDefault="00106551" w:rsidP="00614A21">
      <w:r>
        <w:separator/>
      </w:r>
    </w:p>
  </w:footnote>
  <w:footnote w:type="continuationSeparator" w:id="0">
    <w:p w14:paraId="60D80D58" w14:textId="77777777" w:rsidR="00106551" w:rsidRDefault="00106551" w:rsidP="00614A21">
      <w:r>
        <w:continuationSeparator/>
      </w:r>
    </w:p>
  </w:footnote>
  <w:footnote w:type="continuationNotice" w:id="1">
    <w:p w14:paraId="1082A1BE" w14:textId="77777777" w:rsidR="00106551" w:rsidRDefault="0010655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EE2CD" w14:textId="77777777" w:rsidR="00942444" w:rsidRDefault="00942444" w:rsidP="003E18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EF82F4" w14:textId="77777777" w:rsidR="00942444" w:rsidRDefault="009424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5940A" w14:textId="57647881" w:rsidR="00942444" w:rsidRDefault="00942444" w:rsidP="003E18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060E">
      <w:rPr>
        <w:rStyle w:val="PageNumber"/>
        <w:noProof/>
      </w:rPr>
      <w:t>12</w:t>
    </w:r>
    <w:r>
      <w:rPr>
        <w:rStyle w:val="PageNumber"/>
      </w:rPr>
      <w:fldChar w:fldCharType="end"/>
    </w:r>
  </w:p>
  <w:p w14:paraId="71DD293C" w14:textId="77777777" w:rsidR="00942444" w:rsidRPr="0062376B" w:rsidRDefault="00942444">
    <w:pPr>
      <w:pStyle w:val="Header"/>
      <w:rPr>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7DF92" w14:textId="77777777" w:rsidR="00942444" w:rsidRDefault="00942444" w:rsidP="003E185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47B7"/>
    <w:multiLevelType w:val="hybridMultilevel"/>
    <w:tmpl w:val="1C3C8200"/>
    <w:lvl w:ilvl="0" w:tplc="F3909B34">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15:restartNumberingAfterBreak="0">
    <w:nsid w:val="079806A7"/>
    <w:multiLevelType w:val="hybridMultilevel"/>
    <w:tmpl w:val="E94219F4"/>
    <w:lvl w:ilvl="0" w:tplc="1390D23E">
      <w:start w:val="1"/>
      <w:numFmt w:val="bullet"/>
      <w:lvlText w:val=""/>
      <w:lvlJc w:val="left"/>
      <w:pPr>
        <w:ind w:left="873" w:hanging="360"/>
      </w:pPr>
      <w:rPr>
        <w:rFonts w:ascii="Symbol" w:hAnsi="Symbol" w:hint="default"/>
      </w:rPr>
    </w:lvl>
    <w:lvl w:ilvl="1" w:tplc="04260003" w:tentative="1">
      <w:start w:val="1"/>
      <w:numFmt w:val="bullet"/>
      <w:lvlText w:val="o"/>
      <w:lvlJc w:val="left"/>
      <w:pPr>
        <w:ind w:left="1593" w:hanging="360"/>
      </w:pPr>
      <w:rPr>
        <w:rFonts w:ascii="Courier New" w:hAnsi="Courier New" w:hint="default"/>
      </w:rPr>
    </w:lvl>
    <w:lvl w:ilvl="2" w:tplc="04260005" w:tentative="1">
      <w:start w:val="1"/>
      <w:numFmt w:val="bullet"/>
      <w:lvlText w:val=""/>
      <w:lvlJc w:val="left"/>
      <w:pPr>
        <w:ind w:left="2313" w:hanging="360"/>
      </w:pPr>
      <w:rPr>
        <w:rFonts w:ascii="Wingdings" w:hAnsi="Wingdings" w:hint="default"/>
      </w:rPr>
    </w:lvl>
    <w:lvl w:ilvl="3" w:tplc="04260001" w:tentative="1">
      <w:start w:val="1"/>
      <w:numFmt w:val="bullet"/>
      <w:lvlText w:val=""/>
      <w:lvlJc w:val="left"/>
      <w:pPr>
        <w:ind w:left="3033" w:hanging="360"/>
      </w:pPr>
      <w:rPr>
        <w:rFonts w:ascii="Symbol" w:hAnsi="Symbol" w:hint="default"/>
      </w:rPr>
    </w:lvl>
    <w:lvl w:ilvl="4" w:tplc="04260003" w:tentative="1">
      <w:start w:val="1"/>
      <w:numFmt w:val="bullet"/>
      <w:lvlText w:val="o"/>
      <w:lvlJc w:val="left"/>
      <w:pPr>
        <w:ind w:left="3753" w:hanging="360"/>
      </w:pPr>
      <w:rPr>
        <w:rFonts w:ascii="Courier New" w:hAnsi="Courier New" w:hint="default"/>
      </w:rPr>
    </w:lvl>
    <w:lvl w:ilvl="5" w:tplc="04260005" w:tentative="1">
      <w:start w:val="1"/>
      <w:numFmt w:val="bullet"/>
      <w:lvlText w:val=""/>
      <w:lvlJc w:val="left"/>
      <w:pPr>
        <w:ind w:left="4473" w:hanging="360"/>
      </w:pPr>
      <w:rPr>
        <w:rFonts w:ascii="Wingdings" w:hAnsi="Wingdings" w:hint="default"/>
      </w:rPr>
    </w:lvl>
    <w:lvl w:ilvl="6" w:tplc="04260001" w:tentative="1">
      <w:start w:val="1"/>
      <w:numFmt w:val="bullet"/>
      <w:lvlText w:val=""/>
      <w:lvlJc w:val="left"/>
      <w:pPr>
        <w:ind w:left="5193" w:hanging="360"/>
      </w:pPr>
      <w:rPr>
        <w:rFonts w:ascii="Symbol" w:hAnsi="Symbol" w:hint="default"/>
      </w:rPr>
    </w:lvl>
    <w:lvl w:ilvl="7" w:tplc="04260003" w:tentative="1">
      <w:start w:val="1"/>
      <w:numFmt w:val="bullet"/>
      <w:lvlText w:val="o"/>
      <w:lvlJc w:val="left"/>
      <w:pPr>
        <w:ind w:left="5913" w:hanging="360"/>
      </w:pPr>
      <w:rPr>
        <w:rFonts w:ascii="Courier New" w:hAnsi="Courier New" w:hint="default"/>
      </w:rPr>
    </w:lvl>
    <w:lvl w:ilvl="8" w:tplc="04260005" w:tentative="1">
      <w:start w:val="1"/>
      <w:numFmt w:val="bullet"/>
      <w:lvlText w:val=""/>
      <w:lvlJc w:val="left"/>
      <w:pPr>
        <w:ind w:left="6633" w:hanging="360"/>
      </w:pPr>
      <w:rPr>
        <w:rFonts w:ascii="Wingdings" w:hAnsi="Wingdings" w:hint="default"/>
      </w:rPr>
    </w:lvl>
  </w:abstractNum>
  <w:abstractNum w:abstractNumId="2"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4D86606"/>
    <w:multiLevelType w:val="hybridMultilevel"/>
    <w:tmpl w:val="738ACF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5BF79C5"/>
    <w:multiLevelType w:val="hybridMultilevel"/>
    <w:tmpl w:val="82DA74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8814311"/>
    <w:multiLevelType w:val="hybridMultilevel"/>
    <w:tmpl w:val="343ADBA4"/>
    <w:lvl w:ilvl="0" w:tplc="EA66E610">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C560B9"/>
    <w:multiLevelType w:val="hybridMultilevel"/>
    <w:tmpl w:val="BD922A5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ECF27EB"/>
    <w:multiLevelType w:val="hybridMultilevel"/>
    <w:tmpl w:val="B1ACB5EC"/>
    <w:lvl w:ilvl="0" w:tplc="8B1A018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1527C32"/>
    <w:multiLevelType w:val="hybridMultilevel"/>
    <w:tmpl w:val="B712BA36"/>
    <w:lvl w:ilvl="0" w:tplc="1390D23E">
      <w:start w:val="1"/>
      <w:numFmt w:val="bullet"/>
      <w:lvlText w:val=""/>
      <w:lvlJc w:val="left"/>
      <w:pPr>
        <w:ind w:left="952" w:hanging="360"/>
      </w:pPr>
      <w:rPr>
        <w:rFonts w:ascii="Symbol" w:hAnsi="Symbol" w:hint="default"/>
      </w:rPr>
    </w:lvl>
    <w:lvl w:ilvl="1" w:tplc="04260003" w:tentative="1">
      <w:start w:val="1"/>
      <w:numFmt w:val="bullet"/>
      <w:lvlText w:val="o"/>
      <w:lvlJc w:val="left"/>
      <w:pPr>
        <w:ind w:left="1672" w:hanging="360"/>
      </w:pPr>
      <w:rPr>
        <w:rFonts w:ascii="Courier New" w:hAnsi="Courier New" w:hint="default"/>
      </w:rPr>
    </w:lvl>
    <w:lvl w:ilvl="2" w:tplc="04260005" w:tentative="1">
      <w:start w:val="1"/>
      <w:numFmt w:val="bullet"/>
      <w:lvlText w:val=""/>
      <w:lvlJc w:val="left"/>
      <w:pPr>
        <w:ind w:left="2392" w:hanging="360"/>
      </w:pPr>
      <w:rPr>
        <w:rFonts w:ascii="Wingdings" w:hAnsi="Wingdings" w:hint="default"/>
      </w:rPr>
    </w:lvl>
    <w:lvl w:ilvl="3" w:tplc="04260001" w:tentative="1">
      <w:start w:val="1"/>
      <w:numFmt w:val="bullet"/>
      <w:lvlText w:val=""/>
      <w:lvlJc w:val="left"/>
      <w:pPr>
        <w:ind w:left="3112" w:hanging="360"/>
      </w:pPr>
      <w:rPr>
        <w:rFonts w:ascii="Symbol" w:hAnsi="Symbol" w:hint="default"/>
      </w:rPr>
    </w:lvl>
    <w:lvl w:ilvl="4" w:tplc="04260003" w:tentative="1">
      <w:start w:val="1"/>
      <w:numFmt w:val="bullet"/>
      <w:lvlText w:val="o"/>
      <w:lvlJc w:val="left"/>
      <w:pPr>
        <w:ind w:left="3832" w:hanging="360"/>
      </w:pPr>
      <w:rPr>
        <w:rFonts w:ascii="Courier New" w:hAnsi="Courier New" w:hint="default"/>
      </w:rPr>
    </w:lvl>
    <w:lvl w:ilvl="5" w:tplc="04260005" w:tentative="1">
      <w:start w:val="1"/>
      <w:numFmt w:val="bullet"/>
      <w:lvlText w:val=""/>
      <w:lvlJc w:val="left"/>
      <w:pPr>
        <w:ind w:left="4552" w:hanging="360"/>
      </w:pPr>
      <w:rPr>
        <w:rFonts w:ascii="Wingdings" w:hAnsi="Wingdings" w:hint="default"/>
      </w:rPr>
    </w:lvl>
    <w:lvl w:ilvl="6" w:tplc="04260001" w:tentative="1">
      <w:start w:val="1"/>
      <w:numFmt w:val="bullet"/>
      <w:lvlText w:val=""/>
      <w:lvlJc w:val="left"/>
      <w:pPr>
        <w:ind w:left="5272" w:hanging="360"/>
      </w:pPr>
      <w:rPr>
        <w:rFonts w:ascii="Symbol" w:hAnsi="Symbol" w:hint="default"/>
      </w:rPr>
    </w:lvl>
    <w:lvl w:ilvl="7" w:tplc="04260003" w:tentative="1">
      <w:start w:val="1"/>
      <w:numFmt w:val="bullet"/>
      <w:lvlText w:val="o"/>
      <w:lvlJc w:val="left"/>
      <w:pPr>
        <w:ind w:left="5992" w:hanging="360"/>
      </w:pPr>
      <w:rPr>
        <w:rFonts w:ascii="Courier New" w:hAnsi="Courier New" w:hint="default"/>
      </w:rPr>
    </w:lvl>
    <w:lvl w:ilvl="8" w:tplc="04260005" w:tentative="1">
      <w:start w:val="1"/>
      <w:numFmt w:val="bullet"/>
      <w:lvlText w:val=""/>
      <w:lvlJc w:val="left"/>
      <w:pPr>
        <w:ind w:left="6712" w:hanging="360"/>
      </w:pPr>
      <w:rPr>
        <w:rFonts w:ascii="Wingdings" w:hAnsi="Wingdings" w:hint="default"/>
      </w:rPr>
    </w:lvl>
  </w:abstractNum>
  <w:abstractNum w:abstractNumId="12" w15:restartNumberingAfterBreak="0">
    <w:nsid w:val="2CCC5C9A"/>
    <w:multiLevelType w:val="multilevel"/>
    <w:tmpl w:val="42623408"/>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3" w15:restartNumberingAfterBreak="0">
    <w:nsid w:val="35245E1E"/>
    <w:multiLevelType w:val="hybridMultilevel"/>
    <w:tmpl w:val="8DE4D21E"/>
    <w:lvl w:ilvl="0" w:tplc="11564E56">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4" w15:restartNumberingAfterBreak="0">
    <w:nsid w:val="3A3243D3"/>
    <w:multiLevelType w:val="hybridMultilevel"/>
    <w:tmpl w:val="8820CC0A"/>
    <w:lvl w:ilvl="0" w:tplc="1390D23E">
      <w:start w:val="1"/>
      <w:numFmt w:val="bullet"/>
      <w:lvlText w:val=""/>
      <w:lvlJc w:val="left"/>
      <w:pPr>
        <w:ind w:left="1005" w:hanging="360"/>
      </w:pPr>
      <w:rPr>
        <w:rFonts w:ascii="Symbol" w:hAnsi="Symbol" w:hint="default"/>
      </w:rPr>
    </w:lvl>
    <w:lvl w:ilvl="1" w:tplc="04260003" w:tentative="1">
      <w:start w:val="1"/>
      <w:numFmt w:val="bullet"/>
      <w:lvlText w:val="o"/>
      <w:lvlJc w:val="left"/>
      <w:pPr>
        <w:ind w:left="1725" w:hanging="360"/>
      </w:pPr>
      <w:rPr>
        <w:rFonts w:ascii="Courier New" w:hAnsi="Courier New" w:hint="default"/>
      </w:rPr>
    </w:lvl>
    <w:lvl w:ilvl="2" w:tplc="04260005" w:tentative="1">
      <w:start w:val="1"/>
      <w:numFmt w:val="bullet"/>
      <w:lvlText w:val=""/>
      <w:lvlJc w:val="left"/>
      <w:pPr>
        <w:ind w:left="2445" w:hanging="360"/>
      </w:pPr>
      <w:rPr>
        <w:rFonts w:ascii="Wingdings" w:hAnsi="Wingdings" w:hint="default"/>
      </w:rPr>
    </w:lvl>
    <w:lvl w:ilvl="3" w:tplc="04260001" w:tentative="1">
      <w:start w:val="1"/>
      <w:numFmt w:val="bullet"/>
      <w:lvlText w:val=""/>
      <w:lvlJc w:val="left"/>
      <w:pPr>
        <w:ind w:left="3165" w:hanging="360"/>
      </w:pPr>
      <w:rPr>
        <w:rFonts w:ascii="Symbol" w:hAnsi="Symbol" w:hint="default"/>
      </w:rPr>
    </w:lvl>
    <w:lvl w:ilvl="4" w:tplc="04260003" w:tentative="1">
      <w:start w:val="1"/>
      <w:numFmt w:val="bullet"/>
      <w:lvlText w:val="o"/>
      <w:lvlJc w:val="left"/>
      <w:pPr>
        <w:ind w:left="3885" w:hanging="360"/>
      </w:pPr>
      <w:rPr>
        <w:rFonts w:ascii="Courier New" w:hAnsi="Courier New" w:hint="default"/>
      </w:rPr>
    </w:lvl>
    <w:lvl w:ilvl="5" w:tplc="04260005" w:tentative="1">
      <w:start w:val="1"/>
      <w:numFmt w:val="bullet"/>
      <w:lvlText w:val=""/>
      <w:lvlJc w:val="left"/>
      <w:pPr>
        <w:ind w:left="4605" w:hanging="360"/>
      </w:pPr>
      <w:rPr>
        <w:rFonts w:ascii="Wingdings" w:hAnsi="Wingdings" w:hint="default"/>
      </w:rPr>
    </w:lvl>
    <w:lvl w:ilvl="6" w:tplc="04260001" w:tentative="1">
      <w:start w:val="1"/>
      <w:numFmt w:val="bullet"/>
      <w:lvlText w:val=""/>
      <w:lvlJc w:val="left"/>
      <w:pPr>
        <w:ind w:left="5325" w:hanging="360"/>
      </w:pPr>
      <w:rPr>
        <w:rFonts w:ascii="Symbol" w:hAnsi="Symbol" w:hint="default"/>
      </w:rPr>
    </w:lvl>
    <w:lvl w:ilvl="7" w:tplc="04260003" w:tentative="1">
      <w:start w:val="1"/>
      <w:numFmt w:val="bullet"/>
      <w:lvlText w:val="o"/>
      <w:lvlJc w:val="left"/>
      <w:pPr>
        <w:ind w:left="6045" w:hanging="360"/>
      </w:pPr>
      <w:rPr>
        <w:rFonts w:ascii="Courier New" w:hAnsi="Courier New" w:hint="default"/>
      </w:rPr>
    </w:lvl>
    <w:lvl w:ilvl="8" w:tplc="04260005" w:tentative="1">
      <w:start w:val="1"/>
      <w:numFmt w:val="bullet"/>
      <w:lvlText w:val=""/>
      <w:lvlJc w:val="left"/>
      <w:pPr>
        <w:ind w:left="6765" w:hanging="360"/>
      </w:pPr>
      <w:rPr>
        <w:rFonts w:ascii="Wingdings" w:hAnsi="Wingdings" w:hint="default"/>
      </w:rPr>
    </w:lvl>
  </w:abstractNum>
  <w:abstractNum w:abstractNumId="15" w15:restartNumberingAfterBreak="0">
    <w:nsid w:val="466B4220"/>
    <w:multiLevelType w:val="hybridMultilevel"/>
    <w:tmpl w:val="01E627B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6"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cs="Times New Roman" w:hint="default"/>
        <w:u w:val="none"/>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8D72F2E"/>
    <w:multiLevelType w:val="hybridMultilevel"/>
    <w:tmpl w:val="7B04B3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196396D"/>
    <w:multiLevelType w:val="hybridMultilevel"/>
    <w:tmpl w:val="8F60CC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A3225D"/>
    <w:multiLevelType w:val="hybridMultilevel"/>
    <w:tmpl w:val="0EEE32E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3" w15:restartNumberingAfterBreak="0">
    <w:nsid w:val="58EE6E90"/>
    <w:multiLevelType w:val="hybridMultilevel"/>
    <w:tmpl w:val="51660F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C8F119A"/>
    <w:multiLevelType w:val="hybridMultilevel"/>
    <w:tmpl w:val="92681CB4"/>
    <w:lvl w:ilvl="0" w:tplc="4C001D98">
      <w:start w:val="1"/>
      <w:numFmt w:val="decimal"/>
      <w:lvlText w:val="%1)"/>
      <w:lvlJc w:val="left"/>
      <w:pPr>
        <w:ind w:left="616" w:hanging="360"/>
      </w:pPr>
      <w:rPr>
        <w:rFonts w:eastAsia="Times New Roman" w:cs="Times New Roman" w:hint="default"/>
      </w:rPr>
    </w:lvl>
    <w:lvl w:ilvl="1" w:tplc="04260019" w:tentative="1">
      <w:start w:val="1"/>
      <w:numFmt w:val="lowerLetter"/>
      <w:lvlText w:val="%2."/>
      <w:lvlJc w:val="left"/>
      <w:pPr>
        <w:ind w:left="1336" w:hanging="360"/>
      </w:pPr>
      <w:rPr>
        <w:rFonts w:cs="Times New Roman"/>
      </w:rPr>
    </w:lvl>
    <w:lvl w:ilvl="2" w:tplc="0426001B" w:tentative="1">
      <w:start w:val="1"/>
      <w:numFmt w:val="lowerRoman"/>
      <w:lvlText w:val="%3."/>
      <w:lvlJc w:val="right"/>
      <w:pPr>
        <w:ind w:left="2056" w:hanging="180"/>
      </w:pPr>
      <w:rPr>
        <w:rFonts w:cs="Times New Roman"/>
      </w:rPr>
    </w:lvl>
    <w:lvl w:ilvl="3" w:tplc="0426000F" w:tentative="1">
      <w:start w:val="1"/>
      <w:numFmt w:val="decimal"/>
      <w:lvlText w:val="%4."/>
      <w:lvlJc w:val="left"/>
      <w:pPr>
        <w:ind w:left="2776" w:hanging="360"/>
      </w:pPr>
      <w:rPr>
        <w:rFonts w:cs="Times New Roman"/>
      </w:rPr>
    </w:lvl>
    <w:lvl w:ilvl="4" w:tplc="04260019" w:tentative="1">
      <w:start w:val="1"/>
      <w:numFmt w:val="lowerLetter"/>
      <w:lvlText w:val="%5."/>
      <w:lvlJc w:val="left"/>
      <w:pPr>
        <w:ind w:left="3496" w:hanging="360"/>
      </w:pPr>
      <w:rPr>
        <w:rFonts w:cs="Times New Roman"/>
      </w:rPr>
    </w:lvl>
    <w:lvl w:ilvl="5" w:tplc="0426001B" w:tentative="1">
      <w:start w:val="1"/>
      <w:numFmt w:val="lowerRoman"/>
      <w:lvlText w:val="%6."/>
      <w:lvlJc w:val="right"/>
      <w:pPr>
        <w:ind w:left="4216" w:hanging="180"/>
      </w:pPr>
      <w:rPr>
        <w:rFonts w:cs="Times New Roman"/>
      </w:rPr>
    </w:lvl>
    <w:lvl w:ilvl="6" w:tplc="0426000F" w:tentative="1">
      <w:start w:val="1"/>
      <w:numFmt w:val="decimal"/>
      <w:lvlText w:val="%7."/>
      <w:lvlJc w:val="left"/>
      <w:pPr>
        <w:ind w:left="4936" w:hanging="360"/>
      </w:pPr>
      <w:rPr>
        <w:rFonts w:cs="Times New Roman"/>
      </w:rPr>
    </w:lvl>
    <w:lvl w:ilvl="7" w:tplc="04260019" w:tentative="1">
      <w:start w:val="1"/>
      <w:numFmt w:val="lowerLetter"/>
      <w:lvlText w:val="%8."/>
      <w:lvlJc w:val="left"/>
      <w:pPr>
        <w:ind w:left="5656" w:hanging="360"/>
      </w:pPr>
      <w:rPr>
        <w:rFonts w:cs="Times New Roman"/>
      </w:rPr>
    </w:lvl>
    <w:lvl w:ilvl="8" w:tplc="0426001B" w:tentative="1">
      <w:start w:val="1"/>
      <w:numFmt w:val="lowerRoman"/>
      <w:lvlText w:val="%9."/>
      <w:lvlJc w:val="right"/>
      <w:pPr>
        <w:ind w:left="6376" w:hanging="180"/>
      </w:pPr>
      <w:rPr>
        <w:rFonts w:cs="Times New Roman"/>
      </w:rPr>
    </w:lvl>
  </w:abstractNum>
  <w:abstractNum w:abstractNumId="25"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6" w15:restartNumberingAfterBreak="0">
    <w:nsid w:val="60C23AF1"/>
    <w:multiLevelType w:val="multilevel"/>
    <w:tmpl w:val="5D1EA2F8"/>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7"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6F8002D"/>
    <w:multiLevelType w:val="hybridMultilevel"/>
    <w:tmpl w:val="D3866C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9B758CF"/>
    <w:multiLevelType w:val="hybridMultilevel"/>
    <w:tmpl w:val="BB068F1C"/>
    <w:lvl w:ilvl="0" w:tplc="04260001">
      <w:start w:val="1"/>
      <w:numFmt w:val="bullet"/>
      <w:lvlText w:val=""/>
      <w:lvlJc w:val="left"/>
      <w:pPr>
        <w:ind w:left="780" w:hanging="360"/>
      </w:pPr>
      <w:rPr>
        <w:rFonts w:ascii="Symbol" w:hAnsi="Symbol" w:hint="default"/>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num w:numId="1">
    <w:abstractNumId w:val="12"/>
  </w:num>
  <w:num w:numId="2">
    <w:abstractNumId w:val="26"/>
  </w:num>
  <w:num w:numId="3">
    <w:abstractNumId w:val="10"/>
  </w:num>
  <w:num w:numId="4">
    <w:abstractNumId w:val="7"/>
  </w:num>
  <w:num w:numId="5">
    <w:abstractNumId w:val="2"/>
  </w:num>
  <w:num w:numId="6">
    <w:abstractNumId w:val="20"/>
  </w:num>
  <w:num w:numId="7">
    <w:abstractNumId w:val="27"/>
  </w:num>
  <w:num w:numId="8">
    <w:abstractNumId w:val="16"/>
  </w:num>
  <w:num w:numId="9">
    <w:abstractNumId w:val="8"/>
  </w:num>
  <w:num w:numId="10">
    <w:abstractNumId w:val="17"/>
  </w:num>
  <w:num w:numId="11">
    <w:abstractNumId w:val="18"/>
  </w:num>
  <w:num w:numId="12">
    <w:abstractNumId w:val="21"/>
  </w:num>
  <w:num w:numId="13">
    <w:abstractNumId w:val="25"/>
  </w:num>
  <w:num w:numId="14">
    <w:abstractNumId w:val="13"/>
  </w:num>
  <w:num w:numId="15">
    <w:abstractNumId w:val="4"/>
  </w:num>
  <w:num w:numId="16">
    <w:abstractNumId w:val="22"/>
  </w:num>
  <w:num w:numId="17">
    <w:abstractNumId w:val="11"/>
  </w:num>
  <w:num w:numId="18">
    <w:abstractNumId w:val="14"/>
  </w:num>
  <w:num w:numId="19">
    <w:abstractNumId w:val="6"/>
  </w:num>
  <w:num w:numId="20">
    <w:abstractNumId w:val="0"/>
  </w:num>
  <w:num w:numId="21">
    <w:abstractNumId w:val="24"/>
  </w:num>
  <w:num w:numId="22">
    <w:abstractNumId w:val="1"/>
  </w:num>
  <w:num w:numId="23">
    <w:abstractNumId w:val="5"/>
  </w:num>
  <w:num w:numId="24">
    <w:abstractNumId w:val="19"/>
  </w:num>
  <w:num w:numId="25">
    <w:abstractNumId w:val="3"/>
  </w:num>
  <w:num w:numId="26">
    <w:abstractNumId w:val="15"/>
  </w:num>
  <w:num w:numId="27">
    <w:abstractNumId w:val="29"/>
  </w:num>
  <w:num w:numId="28">
    <w:abstractNumId w:val="9"/>
  </w:num>
  <w:num w:numId="29">
    <w:abstractNumId w:val="2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E20"/>
    <w:rsid w:val="00023EFE"/>
    <w:rsid w:val="00031CE8"/>
    <w:rsid w:val="00040DA2"/>
    <w:rsid w:val="00045AD0"/>
    <w:rsid w:val="000524C9"/>
    <w:rsid w:val="00060198"/>
    <w:rsid w:val="00060801"/>
    <w:rsid w:val="0007060E"/>
    <w:rsid w:val="00070CA2"/>
    <w:rsid w:val="000A4D02"/>
    <w:rsid w:val="000A6D59"/>
    <w:rsid w:val="000C28F4"/>
    <w:rsid w:val="000D7215"/>
    <w:rsid w:val="000D7D4F"/>
    <w:rsid w:val="000F0D70"/>
    <w:rsid w:val="000F124E"/>
    <w:rsid w:val="000F25AC"/>
    <w:rsid w:val="000F316C"/>
    <w:rsid w:val="000F3CEC"/>
    <w:rsid w:val="00102D73"/>
    <w:rsid w:val="00106551"/>
    <w:rsid w:val="001069DA"/>
    <w:rsid w:val="00116946"/>
    <w:rsid w:val="0012024A"/>
    <w:rsid w:val="001215BE"/>
    <w:rsid w:val="00126D9D"/>
    <w:rsid w:val="001312AC"/>
    <w:rsid w:val="00146867"/>
    <w:rsid w:val="00166900"/>
    <w:rsid w:val="00166D64"/>
    <w:rsid w:val="0017237A"/>
    <w:rsid w:val="001728A9"/>
    <w:rsid w:val="00173CC1"/>
    <w:rsid w:val="00183B59"/>
    <w:rsid w:val="00192828"/>
    <w:rsid w:val="001A2604"/>
    <w:rsid w:val="001A364A"/>
    <w:rsid w:val="001A5C42"/>
    <w:rsid w:val="001B06C5"/>
    <w:rsid w:val="001B3891"/>
    <w:rsid w:val="001B3903"/>
    <w:rsid w:val="001B6277"/>
    <w:rsid w:val="001D0774"/>
    <w:rsid w:val="001D1E4A"/>
    <w:rsid w:val="001E26F5"/>
    <w:rsid w:val="001E4A3E"/>
    <w:rsid w:val="001E69F7"/>
    <w:rsid w:val="001E778D"/>
    <w:rsid w:val="001F13BF"/>
    <w:rsid w:val="001F2E20"/>
    <w:rsid w:val="001F4119"/>
    <w:rsid w:val="001F49E5"/>
    <w:rsid w:val="00200ED0"/>
    <w:rsid w:val="0021184F"/>
    <w:rsid w:val="002133D6"/>
    <w:rsid w:val="0021342B"/>
    <w:rsid w:val="00224B6D"/>
    <w:rsid w:val="00233449"/>
    <w:rsid w:val="00240B78"/>
    <w:rsid w:val="00241B8C"/>
    <w:rsid w:val="00243325"/>
    <w:rsid w:val="00252CDC"/>
    <w:rsid w:val="00255E40"/>
    <w:rsid w:val="00260A15"/>
    <w:rsid w:val="00262BBA"/>
    <w:rsid w:val="00271F9E"/>
    <w:rsid w:val="002737D0"/>
    <w:rsid w:val="00291ABF"/>
    <w:rsid w:val="00292E8A"/>
    <w:rsid w:val="002A1C0B"/>
    <w:rsid w:val="002B5D23"/>
    <w:rsid w:val="002C31CE"/>
    <w:rsid w:val="002C3BA4"/>
    <w:rsid w:val="002D5E0D"/>
    <w:rsid w:val="002D6025"/>
    <w:rsid w:val="002E10DF"/>
    <w:rsid w:val="002E24AC"/>
    <w:rsid w:val="002E306B"/>
    <w:rsid w:val="002E7CCD"/>
    <w:rsid w:val="002F1700"/>
    <w:rsid w:val="002F395A"/>
    <w:rsid w:val="002F4040"/>
    <w:rsid w:val="003122BD"/>
    <w:rsid w:val="0033481E"/>
    <w:rsid w:val="00335FEC"/>
    <w:rsid w:val="003456F7"/>
    <w:rsid w:val="0034747B"/>
    <w:rsid w:val="00347A7A"/>
    <w:rsid w:val="003505F7"/>
    <w:rsid w:val="0035424C"/>
    <w:rsid w:val="00356294"/>
    <w:rsid w:val="00381DDB"/>
    <w:rsid w:val="00385B47"/>
    <w:rsid w:val="00395593"/>
    <w:rsid w:val="003A49AB"/>
    <w:rsid w:val="003A7030"/>
    <w:rsid w:val="003B2282"/>
    <w:rsid w:val="003C2802"/>
    <w:rsid w:val="003C492E"/>
    <w:rsid w:val="003D22A3"/>
    <w:rsid w:val="003D4ECB"/>
    <w:rsid w:val="003E185C"/>
    <w:rsid w:val="003F1DB4"/>
    <w:rsid w:val="003F4037"/>
    <w:rsid w:val="003F70FF"/>
    <w:rsid w:val="004175B6"/>
    <w:rsid w:val="0042207E"/>
    <w:rsid w:val="00425ED1"/>
    <w:rsid w:val="0043638E"/>
    <w:rsid w:val="0045136D"/>
    <w:rsid w:val="00453493"/>
    <w:rsid w:val="00457766"/>
    <w:rsid w:val="00461E20"/>
    <w:rsid w:val="00474595"/>
    <w:rsid w:val="004A2D41"/>
    <w:rsid w:val="004B4B6A"/>
    <w:rsid w:val="004B4D57"/>
    <w:rsid w:val="004C6984"/>
    <w:rsid w:val="004D0BFA"/>
    <w:rsid w:val="004D2AF8"/>
    <w:rsid w:val="004D3116"/>
    <w:rsid w:val="004E68C5"/>
    <w:rsid w:val="004F0DE9"/>
    <w:rsid w:val="004F601E"/>
    <w:rsid w:val="004F75D4"/>
    <w:rsid w:val="00503CAD"/>
    <w:rsid w:val="0051472A"/>
    <w:rsid w:val="00515B29"/>
    <w:rsid w:val="005235F1"/>
    <w:rsid w:val="00523C9A"/>
    <w:rsid w:val="00524485"/>
    <w:rsid w:val="005257DC"/>
    <w:rsid w:val="005304C9"/>
    <w:rsid w:val="005459E2"/>
    <w:rsid w:val="005556FA"/>
    <w:rsid w:val="00564C02"/>
    <w:rsid w:val="005678DD"/>
    <w:rsid w:val="00585BAE"/>
    <w:rsid w:val="00590FF5"/>
    <w:rsid w:val="00591BEE"/>
    <w:rsid w:val="00595D87"/>
    <w:rsid w:val="005976A8"/>
    <w:rsid w:val="005A2BF8"/>
    <w:rsid w:val="005A4FC2"/>
    <w:rsid w:val="005B0BF3"/>
    <w:rsid w:val="005B0C40"/>
    <w:rsid w:val="005B7AE7"/>
    <w:rsid w:val="005C553F"/>
    <w:rsid w:val="005E03CD"/>
    <w:rsid w:val="005E3FC1"/>
    <w:rsid w:val="005F0BD0"/>
    <w:rsid w:val="005F234D"/>
    <w:rsid w:val="005F2ADB"/>
    <w:rsid w:val="006016DD"/>
    <w:rsid w:val="00605159"/>
    <w:rsid w:val="00614A21"/>
    <w:rsid w:val="0063035E"/>
    <w:rsid w:val="00632300"/>
    <w:rsid w:val="006327A8"/>
    <w:rsid w:val="00643404"/>
    <w:rsid w:val="00660010"/>
    <w:rsid w:val="006640CD"/>
    <w:rsid w:val="00666488"/>
    <w:rsid w:val="006757A5"/>
    <w:rsid w:val="00675F63"/>
    <w:rsid w:val="006777C5"/>
    <w:rsid w:val="006821C7"/>
    <w:rsid w:val="00692D03"/>
    <w:rsid w:val="006A3DE7"/>
    <w:rsid w:val="006A5E3D"/>
    <w:rsid w:val="006C7EB1"/>
    <w:rsid w:val="006E5982"/>
    <w:rsid w:val="006E6831"/>
    <w:rsid w:val="006F2EE7"/>
    <w:rsid w:val="00707781"/>
    <w:rsid w:val="00710085"/>
    <w:rsid w:val="007230A7"/>
    <w:rsid w:val="00743928"/>
    <w:rsid w:val="00745060"/>
    <w:rsid w:val="00745C69"/>
    <w:rsid w:val="0074620F"/>
    <w:rsid w:val="007500A3"/>
    <w:rsid w:val="00750AD3"/>
    <w:rsid w:val="00754AF2"/>
    <w:rsid w:val="0076594C"/>
    <w:rsid w:val="00767E35"/>
    <w:rsid w:val="007743A3"/>
    <w:rsid w:val="007747AC"/>
    <w:rsid w:val="00776BBE"/>
    <w:rsid w:val="007823BF"/>
    <w:rsid w:val="00786823"/>
    <w:rsid w:val="00796788"/>
    <w:rsid w:val="007A3A04"/>
    <w:rsid w:val="007B01B9"/>
    <w:rsid w:val="007B2445"/>
    <w:rsid w:val="007C077C"/>
    <w:rsid w:val="007C109A"/>
    <w:rsid w:val="007C164A"/>
    <w:rsid w:val="007C27A7"/>
    <w:rsid w:val="007C576B"/>
    <w:rsid w:val="007C70DB"/>
    <w:rsid w:val="007D03A3"/>
    <w:rsid w:val="007D64C5"/>
    <w:rsid w:val="007E1230"/>
    <w:rsid w:val="007E4A2E"/>
    <w:rsid w:val="007F6BC1"/>
    <w:rsid w:val="008049F4"/>
    <w:rsid w:val="00814D4A"/>
    <w:rsid w:val="00816CE9"/>
    <w:rsid w:val="00826970"/>
    <w:rsid w:val="00832444"/>
    <w:rsid w:val="008379DC"/>
    <w:rsid w:val="00837A7A"/>
    <w:rsid w:val="008612C8"/>
    <w:rsid w:val="008638C7"/>
    <w:rsid w:val="00870F48"/>
    <w:rsid w:val="00882241"/>
    <w:rsid w:val="00891394"/>
    <w:rsid w:val="0089201F"/>
    <w:rsid w:val="0089761D"/>
    <w:rsid w:val="008A0C69"/>
    <w:rsid w:val="008A6B33"/>
    <w:rsid w:val="008C096B"/>
    <w:rsid w:val="008C112E"/>
    <w:rsid w:val="008D477F"/>
    <w:rsid w:val="008D7E99"/>
    <w:rsid w:val="008E3847"/>
    <w:rsid w:val="008F20FA"/>
    <w:rsid w:val="008F32C5"/>
    <w:rsid w:val="00901A60"/>
    <w:rsid w:val="00901D68"/>
    <w:rsid w:val="009033C7"/>
    <w:rsid w:val="00903AB1"/>
    <w:rsid w:val="00903F92"/>
    <w:rsid w:val="009061D7"/>
    <w:rsid w:val="009120FD"/>
    <w:rsid w:val="00916A42"/>
    <w:rsid w:val="00916E84"/>
    <w:rsid w:val="0092440C"/>
    <w:rsid w:val="00930201"/>
    <w:rsid w:val="00934CF2"/>
    <w:rsid w:val="00940635"/>
    <w:rsid w:val="00942444"/>
    <w:rsid w:val="00944F5D"/>
    <w:rsid w:val="00952ABF"/>
    <w:rsid w:val="00953BA5"/>
    <w:rsid w:val="00967D1B"/>
    <w:rsid w:val="0097018C"/>
    <w:rsid w:val="009703A0"/>
    <w:rsid w:val="00975F9E"/>
    <w:rsid w:val="00981FFB"/>
    <w:rsid w:val="009871C9"/>
    <w:rsid w:val="00995304"/>
    <w:rsid w:val="00996E09"/>
    <w:rsid w:val="009A1485"/>
    <w:rsid w:val="009A2E36"/>
    <w:rsid w:val="009A483E"/>
    <w:rsid w:val="009A4A03"/>
    <w:rsid w:val="009B7CE8"/>
    <w:rsid w:val="009C3CF6"/>
    <w:rsid w:val="009E0AD3"/>
    <w:rsid w:val="00A00D2B"/>
    <w:rsid w:val="00A11C80"/>
    <w:rsid w:val="00A127E6"/>
    <w:rsid w:val="00A312D3"/>
    <w:rsid w:val="00A31727"/>
    <w:rsid w:val="00A34F19"/>
    <w:rsid w:val="00A44393"/>
    <w:rsid w:val="00A51171"/>
    <w:rsid w:val="00A55441"/>
    <w:rsid w:val="00A60CA3"/>
    <w:rsid w:val="00A639A3"/>
    <w:rsid w:val="00A76678"/>
    <w:rsid w:val="00A87AAC"/>
    <w:rsid w:val="00A9029F"/>
    <w:rsid w:val="00A913FF"/>
    <w:rsid w:val="00A92672"/>
    <w:rsid w:val="00A933A9"/>
    <w:rsid w:val="00A93A22"/>
    <w:rsid w:val="00A94C47"/>
    <w:rsid w:val="00A974B0"/>
    <w:rsid w:val="00AA0B39"/>
    <w:rsid w:val="00AA798B"/>
    <w:rsid w:val="00AB130A"/>
    <w:rsid w:val="00AB6E03"/>
    <w:rsid w:val="00AC1ACB"/>
    <w:rsid w:val="00AC1FF2"/>
    <w:rsid w:val="00AC751D"/>
    <w:rsid w:val="00AD0449"/>
    <w:rsid w:val="00AD2C46"/>
    <w:rsid w:val="00AD4922"/>
    <w:rsid w:val="00AD6AC7"/>
    <w:rsid w:val="00AE4B76"/>
    <w:rsid w:val="00AE797B"/>
    <w:rsid w:val="00AF79C0"/>
    <w:rsid w:val="00B00AA6"/>
    <w:rsid w:val="00B03816"/>
    <w:rsid w:val="00B139B4"/>
    <w:rsid w:val="00B20C0A"/>
    <w:rsid w:val="00B271F5"/>
    <w:rsid w:val="00B31650"/>
    <w:rsid w:val="00B40AB3"/>
    <w:rsid w:val="00B46498"/>
    <w:rsid w:val="00B5193C"/>
    <w:rsid w:val="00B5596F"/>
    <w:rsid w:val="00B57DE3"/>
    <w:rsid w:val="00B71C07"/>
    <w:rsid w:val="00B71CEE"/>
    <w:rsid w:val="00B91838"/>
    <w:rsid w:val="00B92DA1"/>
    <w:rsid w:val="00B9628A"/>
    <w:rsid w:val="00B97377"/>
    <w:rsid w:val="00BA3C6E"/>
    <w:rsid w:val="00BB712E"/>
    <w:rsid w:val="00BC1764"/>
    <w:rsid w:val="00BC20AA"/>
    <w:rsid w:val="00BC2A89"/>
    <w:rsid w:val="00BC3D84"/>
    <w:rsid w:val="00BD00B2"/>
    <w:rsid w:val="00BD2CC1"/>
    <w:rsid w:val="00BD4867"/>
    <w:rsid w:val="00BD5795"/>
    <w:rsid w:val="00BE0080"/>
    <w:rsid w:val="00BE75BC"/>
    <w:rsid w:val="00BF1B5A"/>
    <w:rsid w:val="00BF1EA1"/>
    <w:rsid w:val="00C0336E"/>
    <w:rsid w:val="00C040ED"/>
    <w:rsid w:val="00C049E5"/>
    <w:rsid w:val="00C052D6"/>
    <w:rsid w:val="00C05BEA"/>
    <w:rsid w:val="00C13360"/>
    <w:rsid w:val="00C21954"/>
    <w:rsid w:val="00C21FB5"/>
    <w:rsid w:val="00C256C9"/>
    <w:rsid w:val="00C31739"/>
    <w:rsid w:val="00C4268C"/>
    <w:rsid w:val="00C445D9"/>
    <w:rsid w:val="00C52642"/>
    <w:rsid w:val="00C53410"/>
    <w:rsid w:val="00C547DB"/>
    <w:rsid w:val="00C6459E"/>
    <w:rsid w:val="00C7221F"/>
    <w:rsid w:val="00C75488"/>
    <w:rsid w:val="00C768B7"/>
    <w:rsid w:val="00C8101A"/>
    <w:rsid w:val="00C849BF"/>
    <w:rsid w:val="00C84F5D"/>
    <w:rsid w:val="00C8580A"/>
    <w:rsid w:val="00C91881"/>
    <w:rsid w:val="00C94431"/>
    <w:rsid w:val="00C96FAC"/>
    <w:rsid w:val="00CA0729"/>
    <w:rsid w:val="00CA3E14"/>
    <w:rsid w:val="00CA63F6"/>
    <w:rsid w:val="00CA685E"/>
    <w:rsid w:val="00CC2E75"/>
    <w:rsid w:val="00CD3ACB"/>
    <w:rsid w:val="00CD53B6"/>
    <w:rsid w:val="00CE2567"/>
    <w:rsid w:val="00CF50F5"/>
    <w:rsid w:val="00CF6487"/>
    <w:rsid w:val="00D006AB"/>
    <w:rsid w:val="00D12CAA"/>
    <w:rsid w:val="00D12D6C"/>
    <w:rsid w:val="00D12E9E"/>
    <w:rsid w:val="00D14B6C"/>
    <w:rsid w:val="00D165B5"/>
    <w:rsid w:val="00D27847"/>
    <w:rsid w:val="00D34AE0"/>
    <w:rsid w:val="00D40016"/>
    <w:rsid w:val="00D4021E"/>
    <w:rsid w:val="00D411D4"/>
    <w:rsid w:val="00D4358D"/>
    <w:rsid w:val="00D45212"/>
    <w:rsid w:val="00D4601F"/>
    <w:rsid w:val="00D47422"/>
    <w:rsid w:val="00D47F33"/>
    <w:rsid w:val="00D5301F"/>
    <w:rsid w:val="00D5591C"/>
    <w:rsid w:val="00D56A51"/>
    <w:rsid w:val="00D6253D"/>
    <w:rsid w:val="00D63525"/>
    <w:rsid w:val="00D650F0"/>
    <w:rsid w:val="00D65150"/>
    <w:rsid w:val="00D662F1"/>
    <w:rsid w:val="00D7463F"/>
    <w:rsid w:val="00D7686C"/>
    <w:rsid w:val="00D844C8"/>
    <w:rsid w:val="00D902A5"/>
    <w:rsid w:val="00DA670E"/>
    <w:rsid w:val="00DA6E93"/>
    <w:rsid w:val="00DB3EFC"/>
    <w:rsid w:val="00DC2B63"/>
    <w:rsid w:val="00DC69A2"/>
    <w:rsid w:val="00DC6C41"/>
    <w:rsid w:val="00DD12B9"/>
    <w:rsid w:val="00DD737B"/>
    <w:rsid w:val="00DD7DE7"/>
    <w:rsid w:val="00DE3B50"/>
    <w:rsid w:val="00DE7026"/>
    <w:rsid w:val="00DF405D"/>
    <w:rsid w:val="00DF4A2F"/>
    <w:rsid w:val="00E00A6A"/>
    <w:rsid w:val="00E11364"/>
    <w:rsid w:val="00E13A71"/>
    <w:rsid w:val="00E141BA"/>
    <w:rsid w:val="00E1433B"/>
    <w:rsid w:val="00E163F5"/>
    <w:rsid w:val="00E17067"/>
    <w:rsid w:val="00E21089"/>
    <w:rsid w:val="00E2163F"/>
    <w:rsid w:val="00E37A3A"/>
    <w:rsid w:val="00E41817"/>
    <w:rsid w:val="00E43044"/>
    <w:rsid w:val="00E477E5"/>
    <w:rsid w:val="00E70B21"/>
    <w:rsid w:val="00E72512"/>
    <w:rsid w:val="00E75B98"/>
    <w:rsid w:val="00E7606A"/>
    <w:rsid w:val="00E767B0"/>
    <w:rsid w:val="00E81504"/>
    <w:rsid w:val="00E84BEA"/>
    <w:rsid w:val="00E92021"/>
    <w:rsid w:val="00E92C8F"/>
    <w:rsid w:val="00EB1564"/>
    <w:rsid w:val="00EB62AE"/>
    <w:rsid w:val="00EB7C09"/>
    <w:rsid w:val="00ED2791"/>
    <w:rsid w:val="00ED3D5A"/>
    <w:rsid w:val="00ED552D"/>
    <w:rsid w:val="00EE7E4B"/>
    <w:rsid w:val="00EF3A1F"/>
    <w:rsid w:val="00EF4494"/>
    <w:rsid w:val="00EF63DD"/>
    <w:rsid w:val="00F23767"/>
    <w:rsid w:val="00F259D1"/>
    <w:rsid w:val="00F33B99"/>
    <w:rsid w:val="00F35AA4"/>
    <w:rsid w:val="00F406C0"/>
    <w:rsid w:val="00F42E9D"/>
    <w:rsid w:val="00F5018A"/>
    <w:rsid w:val="00F545E6"/>
    <w:rsid w:val="00F54C73"/>
    <w:rsid w:val="00F57951"/>
    <w:rsid w:val="00F57E73"/>
    <w:rsid w:val="00F62C4F"/>
    <w:rsid w:val="00F64B66"/>
    <w:rsid w:val="00F66045"/>
    <w:rsid w:val="00F81BEA"/>
    <w:rsid w:val="00F92C6A"/>
    <w:rsid w:val="00F92D9A"/>
    <w:rsid w:val="00F94E69"/>
    <w:rsid w:val="00F962C3"/>
    <w:rsid w:val="00FB14A5"/>
    <w:rsid w:val="00FB2C6E"/>
    <w:rsid w:val="00FC0283"/>
    <w:rsid w:val="00FC1ED6"/>
    <w:rsid w:val="00FC3A14"/>
    <w:rsid w:val="00FC3E2D"/>
    <w:rsid w:val="00FD3845"/>
    <w:rsid w:val="00FD3AE4"/>
    <w:rsid w:val="00FD7183"/>
    <w:rsid w:val="00FE1627"/>
    <w:rsid w:val="00FE2502"/>
    <w:rsid w:val="00FF7FFB"/>
    <w:rsid w:val="01B01DD3"/>
    <w:rsid w:val="0330893B"/>
    <w:rsid w:val="03E97B25"/>
    <w:rsid w:val="07E1D058"/>
    <w:rsid w:val="0883FCDF"/>
    <w:rsid w:val="111C9F22"/>
    <w:rsid w:val="1244FB47"/>
    <w:rsid w:val="151A363F"/>
    <w:rsid w:val="183D0913"/>
    <w:rsid w:val="1B4420E1"/>
    <w:rsid w:val="201DD1AE"/>
    <w:rsid w:val="21C057DC"/>
    <w:rsid w:val="25D77EB8"/>
    <w:rsid w:val="2A37A0AD"/>
    <w:rsid w:val="2D66062E"/>
    <w:rsid w:val="30D716F2"/>
    <w:rsid w:val="3315E1BC"/>
    <w:rsid w:val="404657E8"/>
    <w:rsid w:val="40F98A9C"/>
    <w:rsid w:val="42C1AF52"/>
    <w:rsid w:val="4D16E75F"/>
    <w:rsid w:val="4E2687CC"/>
    <w:rsid w:val="558E7C69"/>
    <w:rsid w:val="58D7DCAB"/>
    <w:rsid w:val="59D7703E"/>
    <w:rsid w:val="5D8E5822"/>
    <w:rsid w:val="6058E0D5"/>
    <w:rsid w:val="60E27790"/>
    <w:rsid w:val="64609303"/>
    <w:rsid w:val="64788C70"/>
    <w:rsid w:val="656599E5"/>
    <w:rsid w:val="66145CD1"/>
    <w:rsid w:val="678D07A5"/>
    <w:rsid w:val="67A361D9"/>
    <w:rsid w:val="6C4A790F"/>
    <w:rsid w:val="6D6BBAB9"/>
    <w:rsid w:val="6D73A319"/>
    <w:rsid w:val="6DE2990B"/>
    <w:rsid w:val="6FA90BF3"/>
    <w:rsid w:val="7041B833"/>
    <w:rsid w:val="77B9A475"/>
    <w:rsid w:val="78C124A8"/>
    <w:rsid w:val="7A587521"/>
    <w:rsid w:val="7E41CEC3"/>
    <w:rsid w:val="7ED50D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1DFBB6"/>
  <w15:docId w15:val="{C7C6C5ED-8B7E-41C6-AA39-D61D6D700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E2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1E20"/>
    <w:pPr>
      <w:tabs>
        <w:tab w:val="center" w:pos="4153"/>
        <w:tab w:val="right" w:pos="8306"/>
      </w:tabs>
    </w:pPr>
  </w:style>
  <w:style w:type="character" w:customStyle="1" w:styleId="HeaderChar">
    <w:name w:val="Header Char"/>
    <w:basedOn w:val="DefaultParagraphFont"/>
    <w:link w:val="Header"/>
    <w:uiPriority w:val="99"/>
    <w:rsid w:val="00461E20"/>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461E20"/>
    <w:rPr>
      <w:rFonts w:cs="Times New Roman"/>
    </w:rPr>
  </w:style>
  <w:style w:type="paragraph" w:customStyle="1" w:styleId="naisf">
    <w:name w:val="naisf"/>
    <w:basedOn w:val="Normal"/>
    <w:uiPriority w:val="99"/>
    <w:rsid w:val="00461E20"/>
    <w:pPr>
      <w:spacing w:before="75" w:after="75"/>
      <w:ind w:firstLine="375"/>
      <w:jc w:val="both"/>
    </w:pPr>
  </w:style>
  <w:style w:type="paragraph" w:customStyle="1" w:styleId="naisnod">
    <w:name w:val="naisnod"/>
    <w:basedOn w:val="Normal"/>
    <w:uiPriority w:val="99"/>
    <w:rsid w:val="00461E20"/>
    <w:pPr>
      <w:spacing w:before="150" w:after="150"/>
      <w:jc w:val="center"/>
    </w:pPr>
    <w:rPr>
      <w:b/>
      <w:bCs/>
    </w:rPr>
  </w:style>
  <w:style w:type="paragraph" w:customStyle="1" w:styleId="naislab">
    <w:name w:val="naislab"/>
    <w:basedOn w:val="Normal"/>
    <w:uiPriority w:val="99"/>
    <w:rsid w:val="00461E20"/>
    <w:pPr>
      <w:spacing w:before="75" w:after="75"/>
      <w:jc w:val="right"/>
    </w:pPr>
  </w:style>
  <w:style w:type="paragraph" w:customStyle="1" w:styleId="naiskr">
    <w:name w:val="naiskr"/>
    <w:basedOn w:val="Normal"/>
    <w:uiPriority w:val="99"/>
    <w:rsid w:val="00461E20"/>
    <w:pPr>
      <w:spacing w:before="75" w:after="75"/>
    </w:pPr>
  </w:style>
  <w:style w:type="paragraph" w:customStyle="1" w:styleId="naisc">
    <w:name w:val="naisc"/>
    <w:basedOn w:val="Normal"/>
    <w:rsid w:val="00461E20"/>
    <w:pPr>
      <w:spacing w:before="75" w:after="75"/>
      <w:jc w:val="center"/>
    </w:pPr>
  </w:style>
  <w:style w:type="character" w:customStyle="1" w:styleId="th1">
    <w:name w:val="th1"/>
    <w:basedOn w:val="DefaultParagraphFont"/>
    <w:uiPriority w:val="99"/>
    <w:rsid w:val="00461E20"/>
    <w:rPr>
      <w:rFonts w:cs="Times New Roman"/>
      <w:b/>
      <w:bCs/>
      <w:color w:val="333333"/>
    </w:rPr>
  </w:style>
  <w:style w:type="character" w:styleId="CommentReference">
    <w:name w:val="annotation reference"/>
    <w:basedOn w:val="DefaultParagraphFont"/>
    <w:uiPriority w:val="99"/>
    <w:semiHidden/>
    <w:rsid w:val="00461E20"/>
    <w:rPr>
      <w:rFonts w:cs="Times New Roman"/>
      <w:sz w:val="16"/>
      <w:szCs w:val="16"/>
    </w:rPr>
  </w:style>
  <w:style w:type="paragraph" w:styleId="CommentText">
    <w:name w:val="annotation text"/>
    <w:basedOn w:val="Normal"/>
    <w:link w:val="CommentTextChar"/>
    <w:uiPriority w:val="99"/>
    <w:semiHidden/>
    <w:rsid w:val="00461E20"/>
    <w:rPr>
      <w:sz w:val="20"/>
      <w:szCs w:val="20"/>
    </w:rPr>
  </w:style>
  <w:style w:type="character" w:customStyle="1" w:styleId="CommentTextChar">
    <w:name w:val="Comment Text Char"/>
    <w:basedOn w:val="DefaultParagraphFont"/>
    <w:link w:val="CommentText"/>
    <w:uiPriority w:val="99"/>
    <w:semiHidden/>
    <w:rsid w:val="00461E20"/>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rsid w:val="00461E20"/>
    <w:rPr>
      <w:rFonts w:ascii="Tahoma" w:hAnsi="Tahoma" w:cs="Tahoma"/>
      <w:sz w:val="16"/>
      <w:szCs w:val="16"/>
    </w:rPr>
  </w:style>
  <w:style w:type="character" w:customStyle="1" w:styleId="BalloonTextChar">
    <w:name w:val="Balloon Text Char"/>
    <w:basedOn w:val="DefaultParagraphFont"/>
    <w:link w:val="BalloonText"/>
    <w:uiPriority w:val="99"/>
    <w:semiHidden/>
    <w:rsid w:val="00461E20"/>
    <w:rPr>
      <w:rFonts w:ascii="Tahoma" w:eastAsia="Times New Roman" w:hAnsi="Tahoma" w:cs="Tahoma"/>
      <w:sz w:val="16"/>
      <w:szCs w:val="16"/>
      <w:lang w:eastAsia="lv-LV"/>
    </w:rPr>
  </w:style>
  <w:style w:type="table" w:styleId="TableGrid">
    <w:name w:val="Table Grid"/>
    <w:basedOn w:val="TableNormal"/>
    <w:uiPriority w:val="99"/>
    <w:rsid w:val="00461E2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461E20"/>
    <w:rPr>
      <w:sz w:val="20"/>
      <w:szCs w:val="20"/>
    </w:rPr>
  </w:style>
  <w:style w:type="character" w:customStyle="1" w:styleId="FootnoteTextChar">
    <w:name w:val="Footnote Text Char"/>
    <w:basedOn w:val="DefaultParagraphFont"/>
    <w:link w:val="FootnoteText"/>
    <w:uiPriority w:val="99"/>
    <w:semiHidden/>
    <w:rsid w:val="00461E20"/>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rsid w:val="00461E20"/>
    <w:rPr>
      <w:rFonts w:cs="Times New Roman"/>
      <w:vertAlign w:val="superscript"/>
    </w:rPr>
  </w:style>
  <w:style w:type="paragraph" w:styleId="CommentSubject">
    <w:name w:val="annotation subject"/>
    <w:basedOn w:val="CommentText"/>
    <w:next w:val="CommentText"/>
    <w:link w:val="CommentSubjectChar"/>
    <w:uiPriority w:val="99"/>
    <w:semiHidden/>
    <w:rsid w:val="00461E20"/>
    <w:rPr>
      <w:b/>
      <w:bCs/>
    </w:rPr>
  </w:style>
  <w:style w:type="character" w:customStyle="1" w:styleId="CommentSubjectChar">
    <w:name w:val="Comment Subject Char"/>
    <w:basedOn w:val="CommentTextChar"/>
    <w:link w:val="CommentSubject"/>
    <w:uiPriority w:val="99"/>
    <w:semiHidden/>
    <w:rsid w:val="00461E20"/>
    <w:rPr>
      <w:rFonts w:ascii="Times New Roman" w:eastAsia="Times New Roman" w:hAnsi="Times New Roman" w:cs="Times New Roman"/>
      <w:b/>
      <w:bCs/>
      <w:sz w:val="20"/>
      <w:szCs w:val="20"/>
      <w:lang w:eastAsia="lv-LV"/>
    </w:rPr>
  </w:style>
  <w:style w:type="paragraph" w:styleId="Footer">
    <w:name w:val="footer"/>
    <w:basedOn w:val="Normal"/>
    <w:link w:val="FooterChar"/>
    <w:uiPriority w:val="99"/>
    <w:rsid w:val="00461E20"/>
    <w:pPr>
      <w:tabs>
        <w:tab w:val="center" w:pos="4153"/>
        <w:tab w:val="right" w:pos="8306"/>
      </w:tabs>
    </w:pPr>
  </w:style>
  <w:style w:type="character" w:customStyle="1" w:styleId="FooterChar">
    <w:name w:val="Footer Char"/>
    <w:basedOn w:val="DefaultParagraphFont"/>
    <w:link w:val="Footer"/>
    <w:uiPriority w:val="99"/>
    <w:rsid w:val="00461E20"/>
    <w:rPr>
      <w:rFonts w:ascii="Times New Roman" w:eastAsia="Times New Roman" w:hAnsi="Times New Roman" w:cs="Times New Roman"/>
      <w:sz w:val="24"/>
      <w:szCs w:val="24"/>
      <w:lang w:eastAsia="lv-LV"/>
    </w:rPr>
  </w:style>
  <w:style w:type="character" w:styleId="Hyperlink">
    <w:name w:val="Hyperlink"/>
    <w:basedOn w:val="DefaultParagraphFont"/>
    <w:uiPriority w:val="99"/>
    <w:rsid w:val="00461E20"/>
    <w:rPr>
      <w:rFonts w:cs="Times New Roman"/>
      <w:color w:val="0000FF"/>
      <w:u w:val="single"/>
    </w:rPr>
  </w:style>
  <w:style w:type="paragraph" w:styleId="DocumentMap">
    <w:name w:val="Document Map"/>
    <w:basedOn w:val="Normal"/>
    <w:link w:val="DocumentMapChar"/>
    <w:uiPriority w:val="99"/>
    <w:semiHidden/>
    <w:rsid w:val="00461E2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61E20"/>
    <w:rPr>
      <w:rFonts w:ascii="Tahoma" w:eastAsia="Times New Roman" w:hAnsi="Tahoma" w:cs="Tahoma"/>
      <w:sz w:val="20"/>
      <w:szCs w:val="20"/>
      <w:shd w:val="clear" w:color="auto" w:fill="000080"/>
      <w:lang w:eastAsia="lv-LV"/>
    </w:rPr>
  </w:style>
  <w:style w:type="character" w:customStyle="1" w:styleId="apple-style-span">
    <w:name w:val="apple-style-span"/>
    <w:uiPriority w:val="99"/>
    <w:rsid w:val="00461E20"/>
  </w:style>
  <w:style w:type="paragraph" w:styleId="ListParagraph">
    <w:name w:val="List Paragraph"/>
    <w:basedOn w:val="Normal"/>
    <w:uiPriority w:val="34"/>
    <w:qFormat/>
    <w:rsid w:val="00461E20"/>
    <w:pPr>
      <w:spacing w:after="120"/>
      <w:ind w:left="720" w:firstLine="720"/>
      <w:contextualSpacing/>
      <w:jc w:val="both"/>
    </w:pPr>
    <w:rPr>
      <w:sz w:val="28"/>
      <w:szCs w:val="20"/>
      <w:lang w:eastAsia="en-US"/>
    </w:rPr>
  </w:style>
  <w:style w:type="paragraph" w:styleId="BodyText2">
    <w:name w:val="Body Text 2"/>
    <w:basedOn w:val="Normal"/>
    <w:link w:val="BodyText2Char"/>
    <w:uiPriority w:val="99"/>
    <w:rsid w:val="00461E20"/>
    <w:pPr>
      <w:widowControl w:val="0"/>
      <w:adjustRightInd w:val="0"/>
      <w:spacing w:line="360" w:lineRule="atLeast"/>
      <w:jc w:val="center"/>
      <w:textAlignment w:val="baseline"/>
    </w:pPr>
    <w:rPr>
      <w:b/>
      <w:bCs/>
      <w:sz w:val="28"/>
      <w:szCs w:val="28"/>
      <w:lang w:eastAsia="en-US"/>
    </w:rPr>
  </w:style>
  <w:style w:type="character" w:customStyle="1" w:styleId="BodyText2Char">
    <w:name w:val="Body Text 2 Char"/>
    <w:basedOn w:val="DefaultParagraphFont"/>
    <w:link w:val="BodyText2"/>
    <w:uiPriority w:val="99"/>
    <w:rsid w:val="00461E20"/>
    <w:rPr>
      <w:rFonts w:ascii="Times New Roman" w:eastAsia="Times New Roman" w:hAnsi="Times New Roman" w:cs="Times New Roman"/>
      <w:b/>
      <w:bCs/>
      <w:sz w:val="28"/>
      <w:szCs w:val="28"/>
    </w:rPr>
  </w:style>
  <w:style w:type="character" w:customStyle="1" w:styleId="apple-converted-space">
    <w:name w:val="apple-converted-space"/>
    <w:basedOn w:val="DefaultParagraphFont"/>
    <w:uiPriority w:val="99"/>
    <w:rsid w:val="00461E20"/>
    <w:rPr>
      <w:rFonts w:cs="Times New Roman"/>
    </w:rPr>
  </w:style>
  <w:style w:type="paragraph" w:styleId="BodyTextIndent2">
    <w:name w:val="Body Text Indent 2"/>
    <w:basedOn w:val="Normal"/>
    <w:link w:val="BodyTextIndent2Char"/>
    <w:uiPriority w:val="99"/>
    <w:rsid w:val="00461E20"/>
    <w:pPr>
      <w:spacing w:after="120" w:line="480" w:lineRule="auto"/>
      <w:ind w:left="283"/>
    </w:pPr>
  </w:style>
  <w:style w:type="character" w:customStyle="1" w:styleId="BodyTextIndent2Char">
    <w:name w:val="Body Text Indent 2 Char"/>
    <w:basedOn w:val="DefaultParagraphFont"/>
    <w:link w:val="BodyTextIndent2"/>
    <w:uiPriority w:val="99"/>
    <w:rsid w:val="00461E20"/>
    <w:rPr>
      <w:rFonts w:ascii="Times New Roman" w:eastAsia="Times New Roman" w:hAnsi="Times New Roman" w:cs="Times New Roman"/>
      <w:sz w:val="24"/>
      <w:szCs w:val="24"/>
      <w:lang w:eastAsia="lv-LV"/>
    </w:rPr>
  </w:style>
  <w:style w:type="paragraph" w:customStyle="1" w:styleId="Default">
    <w:name w:val="Default"/>
    <w:rsid w:val="00461E20"/>
    <w:pPr>
      <w:autoSpaceDE w:val="0"/>
      <w:autoSpaceDN w:val="0"/>
      <w:adjustRightInd w:val="0"/>
      <w:spacing w:after="0" w:line="240" w:lineRule="auto"/>
    </w:pPr>
    <w:rPr>
      <w:rFonts w:ascii="Arial" w:eastAsia="Times New Roman" w:hAnsi="Arial" w:cs="Arial"/>
      <w:color w:val="000000"/>
      <w:sz w:val="24"/>
      <w:szCs w:val="24"/>
      <w:lang w:eastAsia="lv-LV"/>
    </w:rPr>
  </w:style>
  <w:style w:type="paragraph" w:styleId="HTMLPreformatted">
    <w:name w:val="HTML Preformatted"/>
    <w:basedOn w:val="Normal"/>
    <w:link w:val="HTMLPreformattedChar"/>
    <w:uiPriority w:val="99"/>
    <w:rsid w:val="00461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61E20"/>
    <w:rPr>
      <w:rFonts w:ascii="Courier New" w:eastAsia="Times New Roman" w:hAnsi="Courier New" w:cs="Courier New"/>
      <w:sz w:val="20"/>
      <w:szCs w:val="20"/>
      <w:lang w:eastAsia="lv-LV"/>
    </w:rPr>
  </w:style>
  <w:style w:type="paragraph" w:styleId="BodyTextIndent">
    <w:name w:val="Body Text Indent"/>
    <w:basedOn w:val="Normal"/>
    <w:link w:val="BodyTextIndentChar"/>
    <w:uiPriority w:val="99"/>
    <w:rsid w:val="00461E20"/>
    <w:pPr>
      <w:spacing w:after="120"/>
      <w:ind w:left="283"/>
    </w:pPr>
  </w:style>
  <w:style w:type="character" w:customStyle="1" w:styleId="BodyTextIndentChar">
    <w:name w:val="Body Text Indent Char"/>
    <w:basedOn w:val="DefaultParagraphFont"/>
    <w:link w:val="BodyTextIndent"/>
    <w:uiPriority w:val="99"/>
    <w:rsid w:val="00461E20"/>
    <w:rPr>
      <w:rFonts w:ascii="Times New Roman" w:eastAsia="Times New Roman" w:hAnsi="Times New Roman" w:cs="Times New Roman"/>
      <w:sz w:val="24"/>
      <w:szCs w:val="24"/>
      <w:lang w:eastAsia="lv-LV"/>
    </w:rPr>
  </w:style>
  <w:style w:type="paragraph" w:customStyle="1" w:styleId="tvhtmlmktable">
    <w:name w:val="tv_html mk_table"/>
    <w:basedOn w:val="Normal"/>
    <w:uiPriority w:val="99"/>
    <w:rsid w:val="00461E20"/>
    <w:pPr>
      <w:spacing w:before="100" w:beforeAutospacing="1" w:after="100" w:afterAutospacing="1"/>
    </w:pPr>
    <w:rPr>
      <w:rFonts w:ascii="Verdana" w:hAnsi="Verdana"/>
      <w:sz w:val="12"/>
      <w:szCs w:val="12"/>
    </w:rPr>
  </w:style>
  <w:style w:type="paragraph" w:styleId="Revision">
    <w:name w:val="Revision"/>
    <w:hidden/>
    <w:uiPriority w:val="99"/>
    <w:semiHidden/>
    <w:rsid w:val="00461E20"/>
    <w:pPr>
      <w:spacing w:after="0"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A93A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83390">
      <w:bodyDiv w:val="1"/>
      <w:marLeft w:val="0"/>
      <w:marRight w:val="0"/>
      <w:marTop w:val="0"/>
      <w:marBottom w:val="0"/>
      <w:divBdr>
        <w:top w:val="none" w:sz="0" w:space="0" w:color="auto"/>
        <w:left w:val="none" w:sz="0" w:space="0" w:color="auto"/>
        <w:bottom w:val="none" w:sz="0" w:space="0" w:color="auto"/>
        <w:right w:val="none" w:sz="0" w:space="0" w:color="auto"/>
      </w:divBdr>
    </w:div>
    <w:div w:id="231357474">
      <w:bodyDiv w:val="1"/>
      <w:marLeft w:val="0"/>
      <w:marRight w:val="0"/>
      <w:marTop w:val="0"/>
      <w:marBottom w:val="0"/>
      <w:divBdr>
        <w:top w:val="none" w:sz="0" w:space="0" w:color="auto"/>
        <w:left w:val="none" w:sz="0" w:space="0" w:color="auto"/>
        <w:bottom w:val="none" w:sz="0" w:space="0" w:color="auto"/>
        <w:right w:val="none" w:sz="0" w:space="0" w:color="auto"/>
      </w:divBdr>
    </w:div>
    <w:div w:id="590089627">
      <w:bodyDiv w:val="1"/>
      <w:marLeft w:val="0"/>
      <w:marRight w:val="0"/>
      <w:marTop w:val="0"/>
      <w:marBottom w:val="0"/>
      <w:divBdr>
        <w:top w:val="none" w:sz="0" w:space="0" w:color="auto"/>
        <w:left w:val="none" w:sz="0" w:space="0" w:color="auto"/>
        <w:bottom w:val="none" w:sz="0" w:space="0" w:color="auto"/>
        <w:right w:val="none" w:sz="0" w:space="0" w:color="auto"/>
      </w:divBdr>
    </w:div>
    <w:div w:id="1149135597">
      <w:bodyDiv w:val="1"/>
      <w:marLeft w:val="0"/>
      <w:marRight w:val="0"/>
      <w:marTop w:val="0"/>
      <w:marBottom w:val="0"/>
      <w:divBdr>
        <w:top w:val="none" w:sz="0" w:space="0" w:color="auto"/>
        <w:left w:val="none" w:sz="0" w:space="0" w:color="auto"/>
        <w:bottom w:val="none" w:sz="0" w:space="0" w:color="auto"/>
        <w:right w:val="none" w:sz="0" w:space="0" w:color="auto"/>
      </w:divBdr>
    </w:div>
    <w:div w:id="1776827811">
      <w:bodyDiv w:val="1"/>
      <w:marLeft w:val="0"/>
      <w:marRight w:val="0"/>
      <w:marTop w:val="0"/>
      <w:marBottom w:val="0"/>
      <w:divBdr>
        <w:top w:val="none" w:sz="0" w:space="0" w:color="auto"/>
        <w:left w:val="none" w:sz="0" w:space="0" w:color="auto"/>
        <w:bottom w:val="none" w:sz="0" w:space="0" w:color="auto"/>
        <w:right w:val="none" w:sz="0" w:space="0" w:color="auto"/>
      </w:divBdr>
    </w:div>
    <w:div w:id="195219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k.gov.lv/content/ministru-kabineta-diskusiju-dokument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aram.gov.lv/lat/likumdosana/normativo_aktu_projekti/klimata_parmainu_joma/?doc=27525"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9FCF4948B9B38B45986EB71B41309B11" ma:contentTypeVersion="12" ma:contentTypeDescription="Izveidot jaunu dokumentu." ma:contentTypeScope="" ma:versionID="aa43bd63e9a2253f0664e2192b478373">
  <xsd:schema xmlns:xsd="http://www.w3.org/2001/XMLSchema" xmlns:xs="http://www.w3.org/2001/XMLSchema" xmlns:p="http://schemas.microsoft.com/office/2006/metadata/properties" xmlns:ns3="52b5ec69-d60d-44c5-a871-90af085d311e" xmlns:ns4="40e45d78-7048-4249-8b36-7612895e419c" targetNamespace="http://schemas.microsoft.com/office/2006/metadata/properties" ma:root="true" ma:fieldsID="ccde5804ff349d184156767c771cfb4f" ns3:_="" ns4:_="">
    <xsd:import namespace="52b5ec69-d60d-44c5-a871-90af085d311e"/>
    <xsd:import namespace="40e45d78-7048-4249-8b36-7612895e419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5ec69-d60d-44c5-a871-90af085d31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e45d78-7048-4249-8b36-7612895e419c" elementFormDefault="qualified">
    <xsd:import namespace="http://schemas.microsoft.com/office/2006/documentManagement/types"/>
    <xsd:import namespace="http://schemas.microsoft.com/office/infopath/2007/PartnerControls"/>
    <xsd:element name="SharedWithUsers" ma:index="17"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Koplietots ar: detalizēti" ma:internalName="SharedWithDetails" ma:readOnly="true">
      <xsd:simpleType>
        <xsd:restriction base="dms:Note">
          <xsd:maxLength value="255"/>
        </xsd:restriction>
      </xsd:simpleType>
    </xsd:element>
    <xsd:element name="SharingHintHash" ma:index="19"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57A57-4B04-4BCE-9FD8-C9D7025425A9}">
  <ds:schemaRefs>
    <ds:schemaRef ds:uri="http://schemas.microsoft.com/office/2006/documentManagement/types"/>
    <ds:schemaRef ds:uri="http://purl.org/dc/elements/1.1/"/>
    <ds:schemaRef ds:uri="http://purl.org/dc/terms/"/>
    <ds:schemaRef ds:uri="http://schemas.openxmlformats.org/package/2006/metadata/core-properties"/>
    <ds:schemaRef ds:uri="40e45d78-7048-4249-8b36-7612895e419c"/>
    <ds:schemaRef ds:uri="52b5ec69-d60d-44c5-a871-90af085d311e"/>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3726089-547F-40B8-A84D-D971FFF9D032}">
  <ds:schemaRefs>
    <ds:schemaRef ds:uri="http://schemas.microsoft.com/sharepoint/v3/contenttype/forms"/>
  </ds:schemaRefs>
</ds:datastoreItem>
</file>

<file path=customXml/itemProps3.xml><?xml version="1.0" encoding="utf-8"?>
<ds:datastoreItem xmlns:ds="http://schemas.openxmlformats.org/officeDocument/2006/customXml" ds:itemID="{9D38A059-80AA-4AD5-82BE-6A6415378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5ec69-d60d-44c5-a871-90af085d311e"/>
    <ds:schemaRef ds:uri="40e45d78-7048-4249-8b36-7612895e4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1C69F3-2363-4201-B018-1FEE56377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15341</Words>
  <Characters>8745</Characters>
  <Application>Microsoft Office Word</Application>
  <DocSecurity>0</DocSecurity>
  <Lines>72</Lines>
  <Paragraphs>48</Paragraphs>
  <ScaleCrop>false</ScaleCrop>
  <HeadingPairs>
    <vt:vector size="2" baseType="variant">
      <vt:variant>
        <vt:lpstr>Title</vt:lpstr>
      </vt:variant>
      <vt:variant>
        <vt:i4>1</vt:i4>
      </vt:variant>
    </vt:vector>
  </HeadingPairs>
  <TitlesOfParts>
    <vt:vector size="1" baseType="lpstr">
      <vt:lpstr>Ministru kabineta noteikumi "Bezmaksas emisijas kvotu piešķiršanas kārtība stacionāro tehnoloģisko iekārtu operatoriem"</vt:lpstr>
    </vt:vector>
  </TitlesOfParts>
  <Company>Vides aizsardzības un reģionālās attīstības ministrija</Company>
  <LinksUpToDate>false</LinksUpToDate>
  <CharactersWithSpaces>24038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"Bezmaksas emisijas kvotu piešķiršanas kārtība stacionāro tehnoloģisko iekārtu operatoriem"</dc:title>
  <dc:subject>Anotācija</dc:subject>
  <dc:creator>Ilze  Kamarūte</dc:creator>
  <dc:description>66016702, ilze.kamarute@varam.gov.lv</dc:description>
  <cp:lastModifiedBy>Marta Ošleja</cp:lastModifiedBy>
  <cp:revision>4</cp:revision>
  <dcterms:created xsi:type="dcterms:W3CDTF">2021-06-07T10:22:00Z</dcterms:created>
  <dcterms:modified xsi:type="dcterms:W3CDTF">2021-06-07T14:09:00Z</dcterms:modified>
  <cp:category>Vides politika;Klimata pārmaiņas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0x0101009FCF4948B9B38B45986EB71B41309B11</vt:lpwstr>
  </property>
</Properties>
</file>