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02C3" w14:textId="77777777" w:rsidR="00270F46" w:rsidRPr="00CA1C6E" w:rsidRDefault="00270F46" w:rsidP="00270F46">
      <w:pPr>
        <w:pStyle w:val="Heading3"/>
        <w:spacing w:before="0" w:beforeAutospacing="0" w:after="0" w:afterAutospacing="0"/>
        <w:ind w:left="5812" w:hanging="101"/>
        <w:jc w:val="right"/>
        <w:rPr>
          <w:b w:val="0"/>
          <w:bCs w:val="0"/>
          <w:sz w:val="28"/>
          <w:szCs w:val="32"/>
        </w:rPr>
      </w:pPr>
      <w:bookmarkStart w:id="0" w:name="_Hlk44922966"/>
      <w:bookmarkStart w:id="1" w:name="_Toc461483304"/>
      <w:bookmarkStart w:id="2" w:name="_Toc436402287"/>
      <w:r w:rsidRPr="00CA1C6E">
        <w:rPr>
          <w:b w:val="0"/>
          <w:sz w:val="28"/>
          <w:szCs w:val="32"/>
        </w:rPr>
        <w:t>Pielikums</w:t>
      </w:r>
    </w:p>
    <w:p w14:paraId="1A7DB84D" w14:textId="77777777" w:rsidR="00270F46" w:rsidRPr="008126E6" w:rsidRDefault="00270F46" w:rsidP="00270F46">
      <w:pPr>
        <w:pStyle w:val="List"/>
        <w:ind w:left="5812" w:hanging="101"/>
        <w:jc w:val="right"/>
        <w:rPr>
          <w:sz w:val="28"/>
          <w:szCs w:val="28"/>
          <w:lang w:val="lv-LV"/>
        </w:rPr>
      </w:pPr>
      <w:r w:rsidRPr="008126E6">
        <w:rPr>
          <w:sz w:val="28"/>
          <w:szCs w:val="28"/>
          <w:lang w:val="lv-LV"/>
        </w:rPr>
        <w:t>Ministru kabineta</w:t>
      </w:r>
    </w:p>
    <w:p w14:paraId="6414240F" w14:textId="77777777" w:rsidR="00270F46" w:rsidRPr="008126E6" w:rsidRDefault="00270F46" w:rsidP="00270F46">
      <w:pPr>
        <w:pStyle w:val="List"/>
        <w:ind w:left="5812" w:hanging="567"/>
        <w:jc w:val="right"/>
        <w:rPr>
          <w:sz w:val="28"/>
          <w:szCs w:val="28"/>
          <w:lang w:val="lv-LV"/>
        </w:rPr>
      </w:pPr>
      <w:r w:rsidRPr="008126E6">
        <w:rPr>
          <w:sz w:val="28"/>
          <w:szCs w:val="28"/>
          <w:lang w:val="lv-LV"/>
        </w:rPr>
        <w:t>20</w:t>
      </w:r>
      <w:r>
        <w:rPr>
          <w:sz w:val="28"/>
          <w:szCs w:val="28"/>
          <w:lang w:val="lv-LV"/>
        </w:rPr>
        <w:t>21. gada                    </w:t>
      </w:r>
    </w:p>
    <w:p w14:paraId="73B8353A" w14:textId="77777777" w:rsidR="00270F46" w:rsidRPr="008126E6" w:rsidRDefault="00270F46" w:rsidP="00270F46">
      <w:pPr>
        <w:pStyle w:val="List"/>
        <w:tabs>
          <w:tab w:val="left" w:pos="6804"/>
        </w:tabs>
        <w:ind w:left="5812" w:hanging="101"/>
        <w:jc w:val="right"/>
        <w:rPr>
          <w:sz w:val="28"/>
          <w:szCs w:val="28"/>
          <w:lang w:val="lv-LV"/>
        </w:rPr>
      </w:pPr>
      <w:r w:rsidRPr="008126E6">
        <w:rPr>
          <w:sz w:val="28"/>
          <w:szCs w:val="28"/>
          <w:lang w:val="lv-LV"/>
        </w:rPr>
        <w:t>rīkojumam Nr.</w:t>
      </w:r>
      <w:r>
        <w:rPr>
          <w:sz w:val="28"/>
          <w:szCs w:val="28"/>
          <w:lang w:val="lv-LV"/>
        </w:rPr>
        <w:t>     </w:t>
      </w:r>
    </w:p>
    <w:bookmarkEnd w:id="0"/>
    <w:p w14:paraId="3E8EAB7C" w14:textId="79E68CC3" w:rsidR="005D7588" w:rsidRPr="00CC4945" w:rsidRDefault="005D7588" w:rsidP="00270F46">
      <w:pPr>
        <w:ind w:left="5812" w:firstLine="720"/>
        <w:jc w:val="right"/>
        <w:rPr>
          <w:rFonts w:ascii="Times New Roman" w:eastAsia="Times New Roman" w:hAnsi="Times New Roman"/>
          <w:sz w:val="28"/>
          <w:szCs w:val="28"/>
          <w:lang w:eastAsia="lv-LV"/>
        </w:rPr>
      </w:pPr>
    </w:p>
    <w:p w14:paraId="17AB82E5" w14:textId="0462A914" w:rsidR="003031F6" w:rsidRPr="00815DAE" w:rsidRDefault="003031F6" w:rsidP="00270F46">
      <w:pPr>
        <w:keepNext/>
        <w:keepLines/>
        <w:tabs>
          <w:tab w:val="left" w:pos="2552"/>
        </w:tabs>
        <w:jc w:val="right"/>
        <w:outlineLvl w:val="0"/>
        <w:rPr>
          <w:rFonts w:ascii="Times New Roman" w:eastAsiaTheme="majorEastAsia" w:hAnsi="Times New Roman"/>
          <w:b/>
          <w:sz w:val="28"/>
          <w:szCs w:val="28"/>
        </w:rPr>
      </w:pPr>
      <w:r w:rsidRPr="000C3F4A">
        <w:rPr>
          <w:rFonts w:ascii="Times New Roman" w:hAnsi="Times New Roman"/>
          <w:sz w:val="28"/>
          <w:szCs w:val="28"/>
          <w:shd w:val="clear" w:color="auto" w:fill="FFFFFF"/>
        </w:rPr>
        <w:t>(Apstiprināts ar</w:t>
      </w:r>
      <w:r w:rsidRPr="000C3F4A">
        <w:rPr>
          <w:rFonts w:ascii="Times New Roman" w:hAnsi="Times New Roman"/>
          <w:sz w:val="28"/>
          <w:szCs w:val="28"/>
        </w:rPr>
        <w:br/>
      </w:r>
      <w:r w:rsidRPr="000C3F4A">
        <w:rPr>
          <w:rFonts w:ascii="Times New Roman" w:hAnsi="Times New Roman"/>
          <w:sz w:val="28"/>
          <w:szCs w:val="28"/>
          <w:shd w:val="clear" w:color="auto" w:fill="FFFFFF"/>
        </w:rPr>
        <w:t>Ministru kabineta</w:t>
      </w:r>
      <w:r w:rsidRPr="000C3F4A">
        <w:rPr>
          <w:rFonts w:ascii="Times New Roman" w:hAnsi="Times New Roman"/>
          <w:sz w:val="28"/>
          <w:szCs w:val="28"/>
        </w:rPr>
        <w:br/>
      </w:r>
      <w:r w:rsidRPr="000C3F4A">
        <w:rPr>
          <w:rFonts w:ascii="Times New Roman" w:hAnsi="Times New Roman"/>
          <w:sz w:val="28"/>
          <w:szCs w:val="28"/>
          <w:shd w:val="clear" w:color="auto" w:fill="FFFFFF"/>
        </w:rPr>
        <w:t>2017. gada 30. augusta</w:t>
      </w:r>
      <w:r w:rsidRPr="000C3F4A">
        <w:rPr>
          <w:rFonts w:ascii="Times New Roman" w:hAnsi="Times New Roman"/>
          <w:sz w:val="28"/>
          <w:szCs w:val="28"/>
        </w:rPr>
        <w:br/>
      </w:r>
      <w:r w:rsidRPr="000C3F4A">
        <w:rPr>
          <w:rFonts w:ascii="Times New Roman" w:hAnsi="Times New Roman"/>
          <w:sz w:val="28"/>
          <w:szCs w:val="28"/>
          <w:shd w:val="clear" w:color="auto" w:fill="FFFFFF"/>
        </w:rPr>
        <w:t>rīkojumu Nr. 466)</w:t>
      </w:r>
    </w:p>
    <w:p w14:paraId="43112F4D" w14:textId="77777777" w:rsidR="00CC4945" w:rsidRPr="00CC4945" w:rsidRDefault="00CC4945" w:rsidP="00270F46">
      <w:pPr>
        <w:keepNext/>
        <w:keepLines/>
        <w:tabs>
          <w:tab w:val="left" w:pos="2552"/>
        </w:tabs>
        <w:jc w:val="center"/>
        <w:outlineLvl w:val="0"/>
        <w:rPr>
          <w:rFonts w:ascii="Times New Roman" w:eastAsiaTheme="majorEastAsia" w:hAnsi="Times New Roman"/>
          <w:b/>
          <w:bCs/>
          <w:sz w:val="28"/>
          <w:szCs w:val="28"/>
        </w:rPr>
      </w:pPr>
    </w:p>
    <w:p w14:paraId="7EBB4E4E" w14:textId="77777777" w:rsidR="00CC4945" w:rsidRPr="00CC4945" w:rsidRDefault="00CC4945" w:rsidP="00270F46">
      <w:pPr>
        <w:keepNext/>
        <w:keepLines/>
        <w:tabs>
          <w:tab w:val="left" w:pos="2552"/>
        </w:tabs>
        <w:jc w:val="center"/>
        <w:outlineLvl w:val="0"/>
        <w:rPr>
          <w:rFonts w:ascii="Times New Roman" w:eastAsiaTheme="majorEastAsia" w:hAnsi="Times New Roman"/>
          <w:b/>
          <w:bCs/>
          <w:sz w:val="28"/>
          <w:szCs w:val="28"/>
        </w:rPr>
      </w:pPr>
      <w:r w:rsidRPr="00CC4945">
        <w:rPr>
          <w:rFonts w:ascii="Times New Roman" w:eastAsiaTheme="majorEastAsia" w:hAnsi="Times New Roman"/>
          <w:b/>
          <w:bCs/>
          <w:sz w:val="28"/>
          <w:szCs w:val="28"/>
        </w:rPr>
        <w:t>Vienotas darba vides izveide visā Ekonomikas ministrijas resorā</w:t>
      </w:r>
    </w:p>
    <w:p w14:paraId="0E079DAE" w14:textId="7B942E25" w:rsidR="005D7588" w:rsidRPr="00CC4945" w:rsidRDefault="005D7588" w:rsidP="00270F46">
      <w:pPr>
        <w:keepNext/>
        <w:keepLines/>
        <w:tabs>
          <w:tab w:val="left" w:pos="2552"/>
        </w:tabs>
        <w:jc w:val="center"/>
        <w:outlineLvl w:val="0"/>
        <w:rPr>
          <w:rFonts w:ascii="Times New Roman" w:eastAsiaTheme="majorEastAsia" w:hAnsi="Times New Roman"/>
          <w:b/>
          <w:sz w:val="28"/>
          <w:szCs w:val="28"/>
        </w:rPr>
      </w:pPr>
      <w:r w:rsidRPr="00CC4945">
        <w:rPr>
          <w:rFonts w:ascii="Times New Roman" w:eastAsiaTheme="majorEastAsia" w:hAnsi="Times New Roman"/>
          <w:b/>
          <w:bCs/>
          <w:sz w:val="28"/>
          <w:szCs w:val="28"/>
        </w:rPr>
        <w:t>Projekta apraksts (kopsavilkums)</w:t>
      </w:r>
      <w:bookmarkEnd w:id="1"/>
    </w:p>
    <w:bookmarkEnd w:id="2"/>
    <w:p w14:paraId="0F2E948F" w14:textId="77777777" w:rsidR="00CC4945" w:rsidRDefault="00CC4945" w:rsidP="00270F46">
      <w:pPr>
        <w:rPr>
          <w:rFonts w:ascii="Times New Roman" w:eastAsia="Times New Roman" w:hAnsi="Times New Roman"/>
          <w:b/>
          <w:color w:val="000000"/>
          <w:sz w:val="28"/>
          <w:szCs w:val="28"/>
          <w:u w:val="single" w:color="000000"/>
          <w:lang w:eastAsia="lv-LV"/>
        </w:rPr>
      </w:pPr>
    </w:p>
    <w:p w14:paraId="46048B36" w14:textId="2F6BA096" w:rsidR="00CC4945" w:rsidRPr="000C3F4A" w:rsidRDefault="00CC4945" w:rsidP="00270F46">
      <w:pPr>
        <w:rPr>
          <w:rFonts w:ascii="Times New Roman" w:eastAsia="Times New Roman" w:hAnsi="Times New Roman"/>
          <w:b/>
          <w:color w:val="000000"/>
          <w:sz w:val="28"/>
          <w:szCs w:val="28"/>
          <w:lang w:eastAsia="lv-LV"/>
        </w:rPr>
      </w:pPr>
      <w:r w:rsidRPr="000C3F4A">
        <w:rPr>
          <w:rFonts w:ascii="Times New Roman" w:eastAsia="Times New Roman" w:hAnsi="Times New Roman"/>
          <w:b/>
          <w:color w:val="000000"/>
          <w:sz w:val="28"/>
          <w:szCs w:val="28"/>
          <w:lang w:eastAsia="lv-LV"/>
        </w:rPr>
        <w:t>Informācija par projektu</w:t>
      </w:r>
    </w:p>
    <w:p w14:paraId="375D7C4C" w14:textId="4077A4E9" w:rsidR="00CC4945" w:rsidRPr="00CC4945" w:rsidRDefault="00CC4945" w:rsidP="00270F46">
      <w:pPr>
        <w:numPr>
          <w:ilvl w:val="0"/>
          <w:numId w:val="10"/>
        </w:numPr>
        <w:ind w:hanging="1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Projekta</w:t>
      </w:r>
      <w:r w:rsidR="00E70EA6">
        <w:rPr>
          <w:rFonts w:ascii="Times New Roman" w:eastAsia="Times New Roman" w:hAnsi="Times New Roman"/>
          <w:color w:val="000000"/>
          <w:sz w:val="28"/>
          <w:szCs w:val="28"/>
          <w:lang w:eastAsia="lv-LV"/>
        </w:rPr>
        <w:t xml:space="preserve"> īstenotājs</w:t>
      </w:r>
      <w:r w:rsidR="00392ADE">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 Latvijas Republikas Ekonomikas ministrija. </w:t>
      </w:r>
    </w:p>
    <w:p w14:paraId="187635BF" w14:textId="48FE5ABB" w:rsidR="00CC4945" w:rsidRPr="00CC4945" w:rsidRDefault="00CC4945" w:rsidP="00270F46">
      <w:pPr>
        <w:numPr>
          <w:ilvl w:val="0"/>
          <w:numId w:val="10"/>
        </w:numPr>
        <w:ind w:hanging="1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Projekta partneri</w:t>
      </w:r>
      <w:r w:rsidR="00392ADE">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 Būvniecības valsts kontroles birojs (BVKB), Konkurences padome (KP), Latvijas investīciju </w:t>
      </w:r>
      <w:r w:rsidR="00815DAE">
        <w:rPr>
          <w:rFonts w:ascii="Times New Roman" w:eastAsia="Times New Roman" w:hAnsi="Times New Roman"/>
          <w:color w:val="000000"/>
          <w:sz w:val="28"/>
          <w:szCs w:val="28"/>
          <w:lang w:eastAsia="lv-LV"/>
        </w:rPr>
        <w:t xml:space="preserve">un </w:t>
      </w:r>
      <w:r w:rsidRPr="00CC4945">
        <w:rPr>
          <w:rFonts w:ascii="Times New Roman" w:eastAsia="Times New Roman" w:hAnsi="Times New Roman"/>
          <w:color w:val="000000"/>
          <w:sz w:val="28"/>
          <w:szCs w:val="28"/>
          <w:lang w:eastAsia="lv-LV"/>
        </w:rPr>
        <w:t>attīstības aģentūra (LIAA), Patērētāju tiesību aizsardzības centrs (PTAC), Vides aizsardzības un reģionālās attīstības ministrija (VARAM), Latvijas Valsts radio un televīzijas centrs (LVRTC) un Latvijas Nacionālā bibliotēka (LNB).</w:t>
      </w:r>
    </w:p>
    <w:p w14:paraId="09F89477" w14:textId="60EB9AD6" w:rsidR="00CC4945" w:rsidRPr="00CC4945" w:rsidRDefault="00CC4945" w:rsidP="00270F46">
      <w:pPr>
        <w:numPr>
          <w:ilvl w:val="0"/>
          <w:numId w:val="10"/>
        </w:numPr>
        <w:ind w:hanging="1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Projekta </w:t>
      </w:r>
      <w:r w:rsidR="00E70EA6">
        <w:rPr>
          <w:rFonts w:ascii="Times New Roman" w:eastAsia="Times New Roman" w:hAnsi="Times New Roman"/>
          <w:color w:val="000000"/>
          <w:sz w:val="28"/>
          <w:szCs w:val="28"/>
          <w:lang w:eastAsia="lv-LV"/>
        </w:rPr>
        <w:t xml:space="preserve">īstenošanas </w:t>
      </w:r>
      <w:r w:rsidRPr="00CC4945">
        <w:rPr>
          <w:rFonts w:ascii="Times New Roman" w:eastAsia="Times New Roman" w:hAnsi="Times New Roman"/>
          <w:color w:val="000000"/>
          <w:sz w:val="28"/>
          <w:szCs w:val="28"/>
          <w:lang w:eastAsia="lv-LV"/>
        </w:rPr>
        <w:t>laiks</w:t>
      </w:r>
      <w:r w:rsidR="00392ADE">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 </w:t>
      </w:r>
      <w:r w:rsidR="00397A39">
        <w:rPr>
          <w:rFonts w:ascii="Times New Roman" w:eastAsia="Times New Roman" w:hAnsi="Times New Roman"/>
          <w:color w:val="000000"/>
          <w:sz w:val="28"/>
          <w:szCs w:val="28"/>
          <w:lang w:eastAsia="lv-LV"/>
        </w:rPr>
        <w:t>40</w:t>
      </w:r>
      <w:r w:rsidR="00397A39"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mēneši</w:t>
      </w:r>
      <w:r w:rsidR="00392ADE">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 xml:space="preserve"> </w:t>
      </w:r>
    </w:p>
    <w:p w14:paraId="206455ED" w14:textId="196B3C1C" w:rsidR="00CC4945" w:rsidRPr="00CC4945" w:rsidRDefault="00CC4945" w:rsidP="00270F46">
      <w:pPr>
        <w:numPr>
          <w:ilvl w:val="0"/>
          <w:numId w:val="10"/>
        </w:numPr>
        <w:ind w:hanging="1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Projekta budžets</w:t>
      </w:r>
      <w:r w:rsidR="00392ADE">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 1 227 000 </w:t>
      </w:r>
      <w:r w:rsidR="00392ADE" w:rsidRPr="000C3F4A">
        <w:rPr>
          <w:rFonts w:ascii="Times New Roman" w:eastAsia="Times New Roman" w:hAnsi="Times New Roman"/>
          <w:i/>
          <w:color w:val="000000"/>
          <w:sz w:val="28"/>
          <w:szCs w:val="28"/>
          <w:lang w:eastAsia="lv-LV"/>
        </w:rPr>
        <w:t>euro</w:t>
      </w:r>
      <w:r w:rsidR="00392ADE">
        <w:rPr>
          <w:rFonts w:ascii="Times New Roman" w:eastAsia="Times New Roman" w:hAnsi="Times New Roman"/>
          <w:color w:val="000000"/>
          <w:sz w:val="28"/>
          <w:szCs w:val="28"/>
          <w:lang w:eastAsia="lv-LV"/>
        </w:rPr>
        <w:t>.</w:t>
      </w:r>
      <w:r w:rsidR="00392ADE" w:rsidRPr="00CC4945">
        <w:rPr>
          <w:rFonts w:ascii="Times New Roman" w:eastAsia="Times New Roman" w:hAnsi="Times New Roman"/>
          <w:color w:val="000000"/>
          <w:sz w:val="28"/>
          <w:szCs w:val="28"/>
          <w:lang w:eastAsia="lv-LV"/>
        </w:rPr>
        <w:t xml:space="preserve"> </w:t>
      </w:r>
    </w:p>
    <w:p w14:paraId="44411D85" w14:textId="5612C6FE" w:rsidR="00CC4945" w:rsidRPr="00CC4945" w:rsidRDefault="00CC4945" w:rsidP="00270F46">
      <w:pPr>
        <w:numPr>
          <w:ilvl w:val="0"/>
          <w:numId w:val="10"/>
        </w:numPr>
        <w:ind w:hanging="1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Projekta uzturēšanas izmaksas</w:t>
      </w:r>
      <w:r w:rsidR="00392ADE">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  184</w:t>
      </w:r>
      <w:r w:rsidR="00B06562">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050</w:t>
      </w:r>
      <w:r w:rsidR="00B06562">
        <w:rPr>
          <w:rFonts w:ascii="Times New Roman" w:eastAsia="Times New Roman" w:hAnsi="Times New Roman"/>
          <w:color w:val="000000"/>
          <w:sz w:val="28"/>
          <w:szCs w:val="28"/>
          <w:lang w:eastAsia="lv-LV"/>
        </w:rPr>
        <w:t xml:space="preserve"> </w:t>
      </w:r>
      <w:r w:rsidR="00392ADE" w:rsidRPr="003352FE">
        <w:rPr>
          <w:rFonts w:ascii="Times New Roman" w:eastAsia="Times New Roman" w:hAnsi="Times New Roman"/>
          <w:i/>
          <w:color w:val="000000"/>
          <w:sz w:val="28"/>
          <w:szCs w:val="28"/>
          <w:lang w:eastAsia="lv-LV"/>
        </w:rPr>
        <w:t>euro</w:t>
      </w:r>
      <w:r w:rsidR="00392ADE" w:rsidRPr="00CC4945" w:rsidDel="00392ADE">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gadā. </w:t>
      </w:r>
    </w:p>
    <w:p w14:paraId="2559309E" w14:textId="77777777" w:rsidR="00270F46" w:rsidRDefault="00270F46" w:rsidP="00270F46">
      <w:pPr>
        <w:ind w:left="-5" w:hanging="10"/>
        <w:rPr>
          <w:rFonts w:ascii="Times New Roman" w:eastAsia="Times New Roman" w:hAnsi="Times New Roman"/>
          <w:b/>
          <w:color w:val="000000"/>
          <w:sz w:val="28"/>
          <w:szCs w:val="28"/>
          <w:u w:val="single" w:color="000000"/>
          <w:lang w:eastAsia="lv-LV"/>
        </w:rPr>
      </w:pPr>
    </w:p>
    <w:p w14:paraId="1116488B" w14:textId="39F1F746" w:rsidR="00CC4945" w:rsidRPr="00392ADE" w:rsidRDefault="00CC4945" w:rsidP="00270F46">
      <w:pPr>
        <w:ind w:left="-5" w:hanging="10"/>
        <w:rPr>
          <w:rFonts w:ascii="Times New Roman" w:eastAsia="Times New Roman" w:hAnsi="Times New Roman"/>
          <w:color w:val="000000"/>
          <w:sz w:val="28"/>
          <w:szCs w:val="28"/>
          <w:lang w:eastAsia="lv-LV"/>
        </w:rPr>
      </w:pPr>
      <w:r w:rsidRPr="000C3F4A">
        <w:rPr>
          <w:rFonts w:ascii="Times New Roman" w:eastAsia="Times New Roman" w:hAnsi="Times New Roman"/>
          <w:b/>
          <w:color w:val="000000"/>
          <w:sz w:val="28"/>
          <w:szCs w:val="28"/>
          <w:lang w:eastAsia="lv-LV"/>
        </w:rPr>
        <w:t>Projekta mērķi</w:t>
      </w:r>
      <w:r w:rsidRPr="00392ADE">
        <w:rPr>
          <w:rFonts w:ascii="Times New Roman" w:eastAsia="Times New Roman" w:hAnsi="Times New Roman"/>
          <w:b/>
          <w:color w:val="000000"/>
          <w:sz w:val="28"/>
          <w:szCs w:val="28"/>
          <w:lang w:eastAsia="lv-LV"/>
        </w:rPr>
        <w:t xml:space="preserve"> </w:t>
      </w:r>
    </w:p>
    <w:p w14:paraId="1EE9AC14" w14:textId="0097B7E2" w:rsidR="00CC4945" w:rsidRPr="00CC4945" w:rsidRDefault="00392ADE" w:rsidP="000C3F4A">
      <w:pPr>
        <w:ind w:left="-5" w:firstLine="714"/>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1. </w:t>
      </w:r>
      <w:r w:rsidR="00CC4945" w:rsidRPr="00CC4945">
        <w:rPr>
          <w:rFonts w:ascii="Times New Roman" w:eastAsia="Times New Roman" w:hAnsi="Times New Roman"/>
          <w:color w:val="000000"/>
          <w:sz w:val="28"/>
          <w:szCs w:val="28"/>
          <w:lang w:eastAsia="lv-LV"/>
        </w:rPr>
        <w:t xml:space="preserve">Nodrošināt centralizētu, uz modernām tehnoloģijām balstītu informācijas un </w:t>
      </w:r>
      <w:r w:rsidR="000459E4" w:rsidRPr="00CC4945">
        <w:rPr>
          <w:rFonts w:ascii="Times New Roman" w:eastAsia="Times New Roman" w:hAnsi="Times New Roman"/>
          <w:color w:val="000000"/>
          <w:sz w:val="28"/>
          <w:szCs w:val="28"/>
          <w:lang w:eastAsia="lv-LV"/>
        </w:rPr>
        <w:t>komunikācij</w:t>
      </w:r>
      <w:r w:rsidR="000459E4">
        <w:rPr>
          <w:rFonts w:ascii="Times New Roman" w:eastAsia="Times New Roman" w:hAnsi="Times New Roman"/>
          <w:color w:val="000000"/>
          <w:sz w:val="28"/>
          <w:szCs w:val="28"/>
          <w:lang w:eastAsia="lv-LV"/>
        </w:rPr>
        <w:t>as</w:t>
      </w:r>
      <w:r w:rsidR="000459E4" w:rsidRPr="00CC4945">
        <w:rPr>
          <w:rFonts w:ascii="Times New Roman" w:eastAsia="Times New Roman" w:hAnsi="Times New Roman"/>
          <w:color w:val="000000"/>
          <w:sz w:val="28"/>
          <w:szCs w:val="28"/>
          <w:lang w:eastAsia="lv-LV"/>
        </w:rPr>
        <w:t xml:space="preserve"> </w:t>
      </w:r>
      <w:r w:rsidR="00CC4945" w:rsidRPr="00CC4945">
        <w:rPr>
          <w:rFonts w:ascii="Times New Roman" w:eastAsia="Times New Roman" w:hAnsi="Times New Roman"/>
          <w:color w:val="000000"/>
          <w:sz w:val="28"/>
          <w:szCs w:val="28"/>
          <w:lang w:eastAsia="lv-LV"/>
        </w:rPr>
        <w:t xml:space="preserve">tehnoloģiju pakalpojumu sniegšanu Ekonomikas ministrijas </w:t>
      </w:r>
      <w:r w:rsidR="00930510">
        <w:rPr>
          <w:rFonts w:ascii="Times New Roman" w:eastAsia="Times New Roman" w:hAnsi="Times New Roman"/>
          <w:color w:val="000000"/>
          <w:sz w:val="28"/>
          <w:szCs w:val="28"/>
          <w:lang w:eastAsia="lv-LV"/>
        </w:rPr>
        <w:t xml:space="preserve">(turpmāk – EM) </w:t>
      </w:r>
      <w:r w:rsidR="00CC4945" w:rsidRPr="00CC4945">
        <w:rPr>
          <w:rFonts w:ascii="Times New Roman" w:eastAsia="Times New Roman" w:hAnsi="Times New Roman"/>
          <w:color w:val="000000"/>
          <w:sz w:val="28"/>
          <w:szCs w:val="28"/>
          <w:lang w:eastAsia="lv-LV"/>
        </w:rPr>
        <w:t>resorā</w:t>
      </w:r>
      <w:r>
        <w:rPr>
          <w:rFonts w:ascii="Times New Roman" w:eastAsia="Times New Roman" w:hAnsi="Times New Roman"/>
          <w:color w:val="000000"/>
          <w:sz w:val="28"/>
          <w:szCs w:val="28"/>
          <w:lang w:eastAsia="lv-LV"/>
        </w:rPr>
        <w:t xml:space="preserve"> (M1)</w:t>
      </w:r>
      <w:r w:rsidR="00CC4945" w:rsidRPr="00CC4945">
        <w:rPr>
          <w:rFonts w:ascii="Times New Roman" w:eastAsia="Times New Roman" w:hAnsi="Times New Roman"/>
          <w:color w:val="000000"/>
          <w:sz w:val="28"/>
          <w:szCs w:val="28"/>
          <w:lang w:eastAsia="lv-LV"/>
        </w:rPr>
        <w:t xml:space="preserve">. </w:t>
      </w:r>
    </w:p>
    <w:p w14:paraId="057B3BDC" w14:textId="2E99F7C2" w:rsidR="00CC4945" w:rsidRPr="00CC4945" w:rsidRDefault="00392ADE" w:rsidP="000C3F4A">
      <w:pPr>
        <w:ind w:left="-5" w:firstLine="714"/>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2. </w:t>
      </w:r>
      <w:r w:rsidR="00CC4945" w:rsidRPr="00CC4945">
        <w:rPr>
          <w:rFonts w:ascii="Times New Roman" w:eastAsia="Times New Roman" w:hAnsi="Times New Roman"/>
          <w:color w:val="000000"/>
          <w:sz w:val="28"/>
          <w:szCs w:val="28"/>
          <w:lang w:eastAsia="lv-LV"/>
        </w:rPr>
        <w:t>Uzlabot darbības procesu elektronizācijas līmeni, samazinot administratīvo slogu E</w:t>
      </w:r>
      <w:r w:rsidR="00930510">
        <w:rPr>
          <w:rFonts w:ascii="Times New Roman" w:eastAsia="Times New Roman" w:hAnsi="Times New Roman"/>
          <w:color w:val="000000"/>
          <w:sz w:val="28"/>
          <w:szCs w:val="28"/>
          <w:lang w:eastAsia="lv-LV"/>
        </w:rPr>
        <w:t>M</w:t>
      </w:r>
      <w:r w:rsidR="00CC4945" w:rsidRPr="00CC4945">
        <w:rPr>
          <w:rFonts w:ascii="Times New Roman" w:eastAsia="Times New Roman" w:hAnsi="Times New Roman"/>
          <w:color w:val="000000"/>
          <w:sz w:val="28"/>
          <w:szCs w:val="28"/>
          <w:lang w:eastAsia="lv-LV"/>
        </w:rPr>
        <w:t xml:space="preserve"> resorā un </w:t>
      </w:r>
      <w:bookmarkStart w:id="3" w:name="_Hlk64357336"/>
      <w:r w:rsidR="00CC4945" w:rsidRPr="00CC4945">
        <w:rPr>
          <w:rFonts w:ascii="Times New Roman" w:eastAsia="Times New Roman" w:hAnsi="Times New Roman"/>
          <w:color w:val="000000"/>
          <w:sz w:val="28"/>
          <w:szCs w:val="28"/>
          <w:lang w:eastAsia="lv-LV"/>
        </w:rPr>
        <w:t xml:space="preserve">nodrošinot datu pieejamību privātpersonām, </w:t>
      </w:r>
      <w:r>
        <w:rPr>
          <w:rFonts w:ascii="Times New Roman" w:eastAsia="Times New Roman" w:hAnsi="Times New Roman"/>
          <w:color w:val="000000"/>
          <w:sz w:val="28"/>
          <w:szCs w:val="28"/>
          <w:lang w:eastAsia="lv-LV"/>
        </w:rPr>
        <w:t>tai skaitā</w:t>
      </w:r>
      <w:r w:rsidR="00CC4945" w:rsidRPr="00CC4945">
        <w:rPr>
          <w:rFonts w:ascii="Times New Roman" w:eastAsia="Times New Roman" w:hAnsi="Times New Roman"/>
          <w:color w:val="000000"/>
          <w:sz w:val="28"/>
          <w:szCs w:val="28"/>
          <w:lang w:eastAsia="lv-LV"/>
        </w:rPr>
        <w:t xml:space="preserve"> komersantiem</w:t>
      </w:r>
      <w:bookmarkEnd w:id="3"/>
      <w:r w:rsidR="0080140B">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M2)</w:t>
      </w:r>
      <w:r w:rsidR="00CC4945" w:rsidRPr="00CC4945">
        <w:rPr>
          <w:rFonts w:ascii="Times New Roman" w:eastAsia="Times New Roman" w:hAnsi="Times New Roman"/>
          <w:color w:val="000000"/>
          <w:sz w:val="28"/>
          <w:szCs w:val="28"/>
          <w:lang w:eastAsia="lv-LV"/>
        </w:rPr>
        <w:t xml:space="preserve">. </w:t>
      </w:r>
    </w:p>
    <w:p w14:paraId="7834EC86" w14:textId="77777777" w:rsidR="00CC4945" w:rsidRDefault="00CC4945" w:rsidP="00270F46">
      <w:pPr>
        <w:ind w:left="-5" w:hanging="10"/>
        <w:rPr>
          <w:rFonts w:ascii="Times New Roman" w:eastAsia="Times New Roman" w:hAnsi="Times New Roman"/>
          <w:b/>
          <w:color w:val="000000"/>
          <w:sz w:val="28"/>
          <w:szCs w:val="28"/>
          <w:u w:val="single" w:color="000000"/>
          <w:lang w:eastAsia="lv-LV"/>
        </w:rPr>
      </w:pPr>
    </w:p>
    <w:p w14:paraId="08A09B33" w14:textId="63C289F1" w:rsidR="0080140B" w:rsidRDefault="00CC4945" w:rsidP="00270F46">
      <w:pPr>
        <w:ind w:left="-5" w:hanging="10"/>
        <w:rPr>
          <w:rFonts w:ascii="Times New Roman" w:eastAsia="Times New Roman" w:hAnsi="Times New Roman"/>
          <w:b/>
          <w:color w:val="000000"/>
          <w:sz w:val="28"/>
          <w:szCs w:val="28"/>
          <w:lang w:eastAsia="lv-LV"/>
        </w:rPr>
      </w:pPr>
      <w:r w:rsidRPr="000C3F4A">
        <w:rPr>
          <w:rFonts w:ascii="Times New Roman" w:eastAsia="Times New Roman" w:hAnsi="Times New Roman"/>
          <w:b/>
          <w:color w:val="000000"/>
          <w:sz w:val="28"/>
          <w:szCs w:val="28"/>
          <w:lang w:eastAsia="lv-LV"/>
        </w:rPr>
        <w:t>Darbības projekta mērķu sasniegšanai</w:t>
      </w:r>
      <w:r w:rsidRPr="00392ADE">
        <w:rPr>
          <w:rFonts w:ascii="Times New Roman" w:eastAsia="Times New Roman" w:hAnsi="Times New Roman"/>
          <w:b/>
          <w:color w:val="000000"/>
          <w:sz w:val="28"/>
          <w:szCs w:val="28"/>
          <w:lang w:eastAsia="lv-LV"/>
        </w:rPr>
        <w:t xml:space="preserve"> </w:t>
      </w:r>
    </w:p>
    <w:p w14:paraId="63B40A10" w14:textId="1D4F5C9C" w:rsidR="00CC4945" w:rsidRPr="00392ADE" w:rsidRDefault="00CC4945" w:rsidP="00270F46">
      <w:pPr>
        <w:ind w:left="-5" w:hanging="10"/>
        <w:rPr>
          <w:rFonts w:ascii="Times New Roman" w:eastAsia="Times New Roman" w:hAnsi="Times New Roman"/>
          <w:color w:val="000000"/>
          <w:sz w:val="28"/>
          <w:szCs w:val="28"/>
          <w:lang w:eastAsia="lv-LV"/>
        </w:rPr>
      </w:pPr>
      <w:r w:rsidRPr="00392ADE">
        <w:rPr>
          <w:rFonts w:ascii="Times New Roman" w:eastAsia="Times New Roman" w:hAnsi="Times New Roman"/>
          <w:b/>
          <w:color w:val="000000"/>
          <w:sz w:val="28"/>
          <w:szCs w:val="28"/>
          <w:lang w:eastAsia="lv-LV"/>
        </w:rPr>
        <w:t xml:space="preserve"> </w:t>
      </w:r>
    </w:p>
    <w:p w14:paraId="0CF2E8EC" w14:textId="1316099D" w:rsidR="00CC4945" w:rsidRPr="00CC4945" w:rsidRDefault="0080140B" w:rsidP="00270F46">
      <w:pPr>
        <w:ind w:left="-5" w:right="-58" w:hanging="10"/>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 (</w:t>
      </w:r>
      <w:r w:rsidR="00CC4945" w:rsidRPr="000C3F4A">
        <w:rPr>
          <w:rFonts w:ascii="Times New Roman" w:eastAsia="Times New Roman" w:hAnsi="Times New Roman"/>
          <w:color w:val="000000"/>
          <w:sz w:val="28"/>
          <w:szCs w:val="28"/>
          <w:lang w:eastAsia="lv-LV"/>
        </w:rPr>
        <w:t>M1</w:t>
      </w:r>
      <w:r>
        <w:rPr>
          <w:rFonts w:ascii="Times New Roman" w:eastAsia="Times New Roman" w:hAnsi="Times New Roman"/>
          <w:color w:val="000000"/>
          <w:sz w:val="28"/>
          <w:szCs w:val="28"/>
          <w:lang w:eastAsia="lv-LV"/>
        </w:rPr>
        <w:t>)</w:t>
      </w:r>
      <w:r w:rsidR="00CC4945"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Nodrošināt centralizētu, uz modernām tehnoloģijām balstītu informācijas un komunikācij</w:t>
      </w:r>
      <w:r w:rsidR="000459E4">
        <w:rPr>
          <w:rFonts w:ascii="Times New Roman" w:eastAsia="Times New Roman" w:hAnsi="Times New Roman"/>
          <w:color w:val="000000"/>
          <w:sz w:val="28"/>
          <w:szCs w:val="28"/>
          <w:lang w:eastAsia="lv-LV"/>
        </w:rPr>
        <w:t>as</w:t>
      </w:r>
      <w:r w:rsidRPr="00CC4945">
        <w:rPr>
          <w:rFonts w:ascii="Times New Roman" w:eastAsia="Times New Roman" w:hAnsi="Times New Roman"/>
          <w:color w:val="000000"/>
          <w:sz w:val="28"/>
          <w:szCs w:val="28"/>
          <w:lang w:eastAsia="lv-LV"/>
        </w:rPr>
        <w:t xml:space="preserve"> tehnoloģiju pakalpojumu sniegšanu Ekonomikas ministrijas </w:t>
      </w:r>
      <w:r>
        <w:rPr>
          <w:rFonts w:ascii="Times New Roman" w:eastAsia="Times New Roman" w:hAnsi="Times New Roman"/>
          <w:color w:val="000000"/>
          <w:sz w:val="28"/>
          <w:szCs w:val="28"/>
          <w:lang w:eastAsia="lv-LV"/>
        </w:rPr>
        <w:t xml:space="preserve">resorā. Mērķis </w:t>
      </w:r>
      <w:r w:rsidR="00CC4945" w:rsidRPr="00CC4945">
        <w:rPr>
          <w:rFonts w:ascii="Times New Roman" w:eastAsia="Times New Roman" w:hAnsi="Times New Roman"/>
          <w:color w:val="000000"/>
          <w:sz w:val="28"/>
          <w:szCs w:val="28"/>
          <w:lang w:eastAsia="lv-LV"/>
        </w:rPr>
        <w:t xml:space="preserve">tiks sasniegts: </w:t>
      </w:r>
    </w:p>
    <w:p w14:paraId="5DDE68CB" w14:textId="77777777" w:rsidR="00CC4945" w:rsidRPr="00CC4945" w:rsidRDefault="00CC4945" w:rsidP="00270F46">
      <w:pPr>
        <w:numPr>
          <w:ilvl w:val="0"/>
          <w:numId w:val="10"/>
        </w:numPr>
        <w:ind w:hanging="1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veicot IKT tehniskās infrastruktūras centralizāciju; </w:t>
      </w:r>
    </w:p>
    <w:p w14:paraId="38672364" w14:textId="77777777" w:rsidR="00CC4945" w:rsidRPr="00CC4945" w:rsidRDefault="00CC4945" w:rsidP="00270F46">
      <w:pPr>
        <w:numPr>
          <w:ilvl w:val="0"/>
          <w:numId w:val="10"/>
        </w:numPr>
        <w:ind w:hanging="1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uzlabojot IKT koplietošanas pakalpojumus un koplietošanas funkcionalitāti. </w:t>
      </w:r>
    </w:p>
    <w:p w14:paraId="1EBA53D5" w14:textId="5115F25D" w:rsidR="00CC4945" w:rsidRPr="00CC4945" w:rsidRDefault="0080140B" w:rsidP="00270F46">
      <w:pPr>
        <w:keepNext/>
        <w:keepLines/>
        <w:ind w:left="-5" w:hanging="10"/>
        <w:outlineLvl w:val="3"/>
        <w:rPr>
          <w:rFonts w:ascii="Times New Roman" w:eastAsia="Times New Roman" w:hAnsi="Times New Roman"/>
          <w:color w:val="000000"/>
          <w:sz w:val="28"/>
          <w:szCs w:val="28"/>
          <w:lang w:eastAsia="lv-LV"/>
        </w:rPr>
      </w:pPr>
      <w:r w:rsidRPr="000C3F4A">
        <w:rPr>
          <w:rFonts w:ascii="Times New Roman" w:eastAsia="Times New Roman" w:hAnsi="Times New Roman"/>
          <w:bCs/>
          <w:color w:val="000000"/>
          <w:sz w:val="28"/>
          <w:szCs w:val="28"/>
          <w:lang w:eastAsia="lv-LV"/>
        </w:rPr>
        <w:t>2. </w:t>
      </w:r>
      <w:r>
        <w:rPr>
          <w:rFonts w:ascii="Times New Roman" w:eastAsia="Times New Roman" w:hAnsi="Times New Roman"/>
          <w:bCs/>
          <w:color w:val="000000"/>
          <w:sz w:val="28"/>
          <w:szCs w:val="28"/>
          <w:lang w:eastAsia="lv-LV"/>
        </w:rPr>
        <w:t>(</w:t>
      </w:r>
      <w:r w:rsidR="00CC4945" w:rsidRPr="000C3F4A">
        <w:rPr>
          <w:rFonts w:ascii="Times New Roman" w:eastAsia="Times New Roman" w:hAnsi="Times New Roman"/>
          <w:bCs/>
          <w:color w:val="000000"/>
          <w:sz w:val="28"/>
          <w:szCs w:val="28"/>
          <w:lang w:eastAsia="lv-LV"/>
        </w:rPr>
        <w:t>M2</w:t>
      </w:r>
      <w:r>
        <w:rPr>
          <w:rFonts w:ascii="Times New Roman" w:eastAsia="Times New Roman" w:hAnsi="Times New Roman"/>
          <w:bCs/>
          <w:color w:val="000000"/>
          <w:sz w:val="28"/>
          <w:szCs w:val="28"/>
          <w:lang w:eastAsia="lv-LV"/>
        </w:rPr>
        <w:t>)</w:t>
      </w:r>
      <w:r w:rsidR="00CC4945" w:rsidRPr="000C3F4A">
        <w:rPr>
          <w:rFonts w:ascii="Times New Roman" w:eastAsia="Times New Roman" w:hAnsi="Times New Roman"/>
          <w:bCs/>
          <w:color w:val="000000"/>
          <w:sz w:val="28"/>
          <w:szCs w:val="28"/>
          <w:lang w:eastAsia="lv-LV"/>
        </w:rPr>
        <w:t xml:space="preserve"> </w:t>
      </w:r>
      <w:r w:rsidRPr="00CC4945">
        <w:rPr>
          <w:rFonts w:ascii="Times New Roman" w:eastAsia="Times New Roman" w:hAnsi="Times New Roman"/>
          <w:color w:val="000000"/>
          <w:sz w:val="28"/>
          <w:szCs w:val="28"/>
          <w:lang w:eastAsia="lv-LV"/>
        </w:rPr>
        <w:t>Uzlabot darbības procesu elektronizācijas līmeni, samazinot administratīvo slogu E</w:t>
      </w:r>
      <w:r>
        <w:rPr>
          <w:rFonts w:ascii="Times New Roman" w:eastAsia="Times New Roman" w:hAnsi="Times New Roman"/>
          <w:color w:val="000000"/>
          <w:sz w:val="28"/>
          <w:szCs w:val="28"/>
          <w:lang w:eastAsia="lv-LV"/>
        </w:rPr>
        <w:t>M</w:t>
      </w:r>
      <w:r w:rsidRPr="00CC4945">
        <w:rPr>
          <w:rFonts w:ascii="Times New Roman" w:eastAsia="Times New Roman" w:hAnsi="Times New Roman"/>
          <w:color w:val="000000"/>
          <w:sz w:val="28"/>
          <w:szCs w:val="28"/>
          <w:lang w:eastAsia="lv-LV"/>
        </w:rPr>
        <w:t xml:space="preserve"> resorā un nodrošinot datu pieejamību privātpersonām, </w:t>
      </w:r>
      <w:r>
        <w:rPr>
          <w:rFonts w:ascii="Times New Roman" w:eastAsia="Times New Roman" w:hAnsi="Times New Roman"/>
          <w:color w:val="000000"/>
          <w:sz w:val="28"/>
          <w:szCs w:val="28"/>
          <w:lang w:eastAsia="lv-LV"/>
        </w:rPr>
        <w:t>tai skaitā</w:t>
      </w:r>
      <w:r w:rsidRPr="00CC4945">
        <w:rPr>
          <w:rFonts w:ascii="Times New Roman" w:eastAsia="Times New Roman" w:hAnsi="Times New Roman"/>
          <w:color w:val="000000"/>
          <w:sz w:val="28"/>
          <w:szCs w:val="28"/>
          <w:lang w:eastAsia="lv-LV"/>
        </w:rPr>
        <w:t xml:space="preserve"> komersantiem</w:t>
      </w:r>
      <w:r>
        <w:rPr>
          <w:rFonts w:ascii="Times New Roman" w:eastAsia="Times New Roman" w:hAnsi="Times New Roman"/>
          <w:color w:val="000000"/>
          <w:sz w:val="28"/>
          <w:szCs w:val="28"/>
          <w:lang w:eastAsia="lv-LV"/>
        </w:rPr>
        <w:t xml:space="preserve">. Mērķis tiks </w:t>
      </w:r>
      <w:r w:rsidR="00CC4945" w:rsidRPr="00CC4945">
        <w:rPr>
          <w:rFonts w:ascii="Times New Roman" w:eastAsia="Times New Roman" w:hAnsi="Times New Roman"/>
          <w:color w:val="000000"/>
          <w:sz w:val="28"/>
          <w:szCs w:val="28"/>
          <w:lang w:eastAsia="lv-LV"/>
        </w:rPr>
        <w:t xml:space="preserve">sasniegts: </w:t>
      </w:r>
    </w:p>
    <w:p w14:paraId="6D2EDA88" w14:textId="77777777" w:rsidR="00CC4945" w:rsidRPr="00CC4945" w:rsidRDefault="00CC4945" w:rsidP="00270F46">
      <w:pPr>
        <w:numPr>
          <w:ilvl w:val="0"/>
          <w:numId w:val="11"/>
        </w:numPr>
        <w:ind w:hanging="360"/>
        <w:rPr>
          <w:rFonts w:ascii="Times New Roman" w:eastAsia="Times New Roman" w:hAnsi="Times New Roman"/>
          <w:color w:val="000000"/>
          <w:sz w:val="28"/>
          <w:szCs w:val="28"/>
          <w:lang w:eastAsia="lv-LV"/>
        </w:rPr>
      </w:pPr>
      <w:proofErr w:type="spellStart"/>
      <w:r w:rsidRPr="00CC4945">
        <w:rPr>
          <w:rFonts w:ascii="Times New Roman" w:eastAsia="Times New Roman" w:hAnsi="Times New Roman"/>
          <w:color w:val="000000"/>
          <w:sz w:val="28"/>
          <w:szCs w:val="28"/>
          <w:lang w:eastAsia="lv-LV"/>
        </w:rPr>
        <w:t>atkalizmantojot</w:t>
      </w:r>
      <w:proofErr w:type="spellEnd"/>
      <w:r w:rsidRPr="00CC4945">
        <w:rPr>
          <w:rFonts w:ascii="Times New Roman" w:eastAsia="Times New Roman" w:hAnsi="Times New Roman"/>
          <w:color w:val="000000"/>
          <w:sz w:val="28"/>
          <w:szCs w:val="28"/>
          <w:lang w:eastAsia="lv-LV"/>
        </w:rPr>
        <w:t xml:space="preserve"> publiskajā pārvaldē jau pieejamos datus; </w:t>
      </w:r>
    </w:p>
    <w:p w14:paraId="3982908A" w14:textId="51FFA8FC" w:rsidR="00CC4945" w:rsidRPr="00CC4945" w:rsidRDefault="00CC4945" w:rsidP="00270F46">
      <w:pPr>
        <w:numPr>
          <w:ilvl w:val="0"/>
          <w:numId w:val="11"/>
        </w:numPr>
        <w:ind w:hanging="36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lastRenderedPageBreak/>
        <w:t xml:space="preserve">samazinot papīra dokumentu apriti un datu iesniegšanu papīra formā; </w:t>
      </w:r>
    </w:p>
    <w:p w14:paraId="60EFBECB" w14:textId="77777777" w:rsidR="00CC4945" w:rsidRPr="00CC4945" w:rsidRDefault="00CC4945" w:rsidP="00270F46">
      <w:pPr>
        <w:numPr>
          <w:ilvl w:val="0"/>
          <w:numId w:val="11"/>
        </w:numPr>
        <w:ind w:hanging="36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samazinot manuālu datu pārvadi. </w:t>
      </w:r>
    </w:p>
    <w:p w14:paraId="5BDC335C" w14:textId="77777777" w:rsidR="00270F46" w:rsidRDefault="00270F46" w:rsidP="00270F46">
      <w:pPr>
        <w:ind w:left="-5" w:hanging="10"/>
        <w:rPr>
          <w:rFonts w:ascii="Times New Roman" w:eastAsia="Times New Roman" w:hAnsi="Times New Roman"/>
          <w:b/>
          <w:color w:val="000000"/>
          <w:sz w:val="28"/>
          <w:szCs w:val="28"/>
          <w:u w:val="single" w:color="000000"/>
          <w:lang w:eastAsia="lv-LV"/>
        </w:rPr>
      </w:pPr>
    </w:p>
    <w:p w14:paraId="68776895" w14:textId="5802A529" w:rsidR="00CC4945" w:rsidRPr="000C3F4A" w:rsidRDefault="00CC4945" w:rsidP="00270F46">
      <w:pPr>
        <w:ind w:left="-5" w:hanging="10"/>
        <w:rPr>
          <w:rFonts w:ascii="Times New Roman" w:eastAsia="Times New Roman" w:hAnsi="Times New Roman"/>
          <w:b/>
          <w:color w:val="000000"/>
          <w:sz w:val="28"/>
          <w:szCs w:val="28"/>
          <w:lang w:eastAsia="lv-LV"/>
        </w:rPr>
      </w:pPr>
      <w:r w:rsidRPr="000C3F4A">
        <w:rPr>
          <w:rFonts w:ascii="Times New Roman" w:eastAsia="Times New Roman" w:hAnsi="Times New Roman"/>
          <w:b/>
          <w:color w:val="000000"/>
          <w:sz w:val="28"/>
          <w:szCs w:val="28"/>
          <w:lang w:eastAsia="lv-LV"/>
        </w:rPr>
        <w:t>Projekta rezultāta rādītāji</w:t>
      </w:r>
      <w:r w:rsidRPr="0080140B">
        <w:rPr>
          <w:rFonts w:ascii="Times New Roman" w:eastAsia="Times New Roman" w:hAnsi="Times New Roman"/>
          <w:b/>
          <w:color w:val="000000"/>
          <w:sz w:val="28"/>
          <w:szCs w:val="28"/>
          <w:lang w:eastAsia="lv-LV"/>
        </w:rPr>
        <w:t xml:space="preserve"> </w:t>
      </w:r>
    </w:p>
    <w:tbl>
      <w:tblPr>
        <w:tblStyle w:val="TableGrid11"/>
        <w:tblW w:w="9064" w:type="dxa"/>
        <w:tblInd w:w="5" w:type="dxa"/>
        <w:tblCellMar>
          <w:top w:w="72" w:type="dxa"/>
          <w:left w:w="108" w:type="dxa"/>
          <w:bottom w:w="63" w:type="dxa"/>
          <w:right w:w="50" w:type="dxa"/>
        </w:tblCellMar>
        <w:tblLook w:val="04A0" w:firstRow="1" w:lastRow="0" w:firstColumn="1" w:lastColumn="0" w:noHBand="0" w:noVBand="1"/>
      </w:tblPr>
      <w:tblGrid>
        <w:gridCol w:w="651"/>
        <w:gridCol w:w="2325"/>
        <w:gridCol w:w="1528"/>
        <w:gridCol w:w="1320"/>
        <w:gridCol w:w="1620"/>
        <w:gridCol w:w="1620"/>
      </w:tblGrid>
      <w:tr w:rsidR="00CC4945" w:rsidRPr="0080140B" w14:paraId="4B14FAE4" w14:textId="77777777" w:rsidTr="000C3F4A">
        <w:trPr>
          <w:trHeight w:val="1395"/>
        </w:trPr>
        <w:tc>
          <w:tcPr>
            <w:tcW w:w="572" w:type="dxa"/>
            <w:tcBorders>
              <w:top w:val="single" w:sz="4" w:space="0" w:color="000000"/>
              <w:left w:val="single" w:sz="4" w:space="0" w:color="000000"/>
              <w:bottom w:val="single" w:sz="4" w:space="0" w:color="000000"/>
              <w:right w:val="single" w:sz="4" w:space="0" w:color="000000"/>
            </w:tcBorders>
            <w:vAlign w:val="center"/>
          </w:tcPr>
          <w:p w14:paraId="47F3F91D" w14:textId="173C9E5F" w:rsidR="00CC4945" w:rsidRPr="000427FD" w:rsidRDefault="00CC4945" w:rsidP="000C3F4A">
            <w:pPr>
              <w:ind w:left="24"/>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Nr.</w:t>
            </w:r>
          </w:p>
          <w:p w14:paraId="75A8B755" w14:textId="0B9468DF" w:rsidR="00CC4945" w:rsidRPr="000427FD" w:rsidRDefault="00CC4945" w:rsidP="000C3F4A">
            <w:pPr>
              <w:ind w:left="3"/>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p.</w:t>
            </w:r>
            <w:r w:rsidR="0080140B" w:rsidRPr="000C3F4A">
              <w:rPr>
                <w:rFonts w:ascii="Times New Roman" w:eastAsia="Times New Roman" w:hAnsi="Times New Roman"/>
                <w:bCs/>
                <w:color w:val="000000"/>
                <w:sz w:val="28"/>
                <w:szCs w:val="28"/>
              </w:rPr>
              <w:t> </w:t>
            </w:r>
            <w:r w:rsidRPr="000C3F4A">
              <w:rPr>
                <w:rFonts w:ascii="Times New Roman" w:eastAsia="Times New Roman" w:hAnsi="Times New Roman"/>
                <w:bCs/>
                <w:color w:val="000000"/>
                <w:sz w:val="28"/>
                <w:szCs w:val="28"/>
              </w:rPr>
              <w:t>k.</w:t>
            </w:r>
          </w:p>
        </w:tc>
        <w:tc>
          <w:tcPr>
            <w:tcW w:w="2695" w:type="dxa"/>
            <w:tcBorders>
              <w:top w:val="single" w:sz="4" w:space="0" w:color="000000"/>
              <w:left w:val="single" w:sz="4" w:space="0" w:color="000000"/>
              <w:bottom w:val="single" w:sz="4" w:space="0" w:color="000000"/>
              <w:right w:val="single" w:sz="4" w:space="0" w:color="000000"/>
            </w:tcBorders>
            <w:vAlign w:val="center"/>
          </w:tcPr>
          <w:p w14:paraId="648E2400" w14:textId="5787FBFE" w:rsidR="00CC4945" w:rsidRPr="000427FD" w:rsidRDefault="00CC4945" w:rsidP="000C3F4A">
            <w:pPr>
              <w:ind w:right="57"/>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Rezultāta rādītājs</w:t>
            </w:r>
          </w:p>
        </w:tc>
        <w:tc>
          <w:tcPr>
            <w:tcW w:w="1548" w:type="dxa"/>
            <w:tcBorders>
              <w:top w:val="single" w:sz="4" w:space="0" w:color="000000"/>
              <w:left w:val="single" w:sz="4" w:space="0" w:color="000000"/>
              <w:bottom w:val="single" w:sz="4" w:space="0" w:color="000000"/>
              <w:right w:val="single" w:sz="4" w:space="0" w:color="000000"/>
            </w:tcBorders>
            <w:vAlign w:val="center"/>
          </w:tcPr>
          <w:p w14:paraId="3C07F209" w14:textId="16DB15F8" w:rsidR="00CC4945" w:rsidRPr="000427FD" w:rsidRDefault="00CC4945" w:rsidP="000C3F4A">
            <w:pPr>
              <w:ind w:right="55"/>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Mērvienība</w:t>
            </w:r>
          </w:p>
        </w:tc>
        <w:tc>
          <w:tcPr>
            <w:tcW w:w="1368" w:type="dxa"/>
            <w:tcBorders>
              <w:top w:val="single" w:sz="4" w:space="0" w:color="000000"/>
              <w:left w:val="single" w:sz="4" w:space="0" w:color="000000"/>
              <w:bottom w:val="single" w:sz="4" w:space="0" w:color="000000"/>
              <w:right w:val="single" w:sz="4" w:space="0" w:color="000000"/>
            </w:tcBorders>
            <w:vAlign w:val="center"/>
          </w:tcPr>
          <w:p w14:paraId="17DD1B8A" w14:textId="6DE684A3" w:rsidR="00CC4945" w:rsidRPr="000427FD" w:rsidRDefault="00CC4945" w:rsidP="000C3F4A">
            <w:pPr>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Sākotnējā vērtība</w:t>
            </w:r>
          </w:p>
        </w:tc>
        <w:tc>
          <w:tcPr>
            <w:tcW w:w="1441" w:type="dxa"/>
            <w:tcBorders>
              <w:top w:val="single" w:sz="4" w:space="0" w:color="000000"/>
              <w:left w:val="single" w:sz="4" w:space="0" w:color="000000"/>
              <w:bottom w:val="single" w:sz="4" w:space="0" w:color="000000"/>
              <w:right w:val="single" w:sz="4" w:space="0" w:color="000000"/>
            </w:tcBorders>
            <w:vAlign w:val="center"/>
          </w:tcPr>
          <w:p w14:paraId="18762F90" w14:textId="7886F906" w:rsidR="00CC4945" w:rsidRPr="000427FD" w:rsidRDefault="00CC4945" w:rsidP="000C3F4A">
            <w:pPr>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 xml:space="preserve">Sasniedzamā vērtība </w:t>
            </w:r>
            <w:r w:rsidR="0080140B">
              <w:rPr>
                <w:rFonts w:ascii="Times New Roman" w:eastAsia="Times New Roman" w:hAnsi="Times New Roman"/>
                <w:bCs/>
                <w:color w:val="000000"/>
                <w:sz w:val="28"/>
                <w:szCs w:val="28"/>
              </w:rPr>
              <w:t>divus</w:t>
            </w:r>
          </w:p>
          <w:p w14:paraId="090B6428" w14:textId="787538B9" w:rsidR="00CC4945" w:rsidRPr="000427FD" w:rsidRDefault="00CC4945" w:rsidP="000C3F4A">
            <w:pPr>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gadus pēc projekta beigām</w:t>
            </w:r>
          </w:p>
        </w:tc>
        <w:tc>
          <w:tcPr>
            <w:tcW w:w="1440" w:type="dxa"/>
            <w:tcBorders>
              <w:top w:val="single" w:sz="4" w:space="0" w:color="000000"/>
              <w:left w:val="single" w:sz="4" w:space="0" w:color="000000"/>
              <w:bottom w:val="single" w:sz="4" w:space="0" w:color="000000"/>
              <w:right w:val="single" w:sz="4" w:space="0" w:color="000000"/>
            </w:tcBorders>
            <w:vAlign w:val="center"/>
          </w:tcPr>
          <w:p w14:paraId="150E18E4" w14:textId="6D0C40EE" w:rsidR="00CC4945" w:rsidRPr="000427FD" w:rsidRDefault="00CC4945" w:rsidP="000C3F4A">
            <w:pPr>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 xml:space="preserve">Sasniedzamā vērtība </w:t>
            </w:r>
            <w:r w:rsidR="0080140B">
              <w:rPr>
                <w:rFonts w:ascii="Times New Roman" w:eastAsia="Times New Roman" w:hAnsi="Times New Roman"/>
                <w:bCs/>
                <w:color w:val="000000"/>
                <w:sz w:val="28"/>
                <w:szCs w:val="28"/>
              </w:rPr>
              <w:t>trīs</w:t>
            </w:r>
          </w:p>
          <w:p w14:paraId="58DDABCF" w14:textId="68D8F0D2" w:rsidR="00CC4945" w:rsidRPr="000427FD" w:rsidRDefault="00CC4945" w:rsidP="000C3F4A">
            <w:pPr>
              <w:jc w:val="center"/>
              <w:rPr>
                <w:rFonts w:ascii="Times New Roman" w:eastAsia="Times New Roman" w:hAnsi="Times New Roman"/>
                <w:bCs/>
                <w:color w:val="000000"/>
                <w:sz w:val="28"/>
                <w:szCs w:val="28"/>
              </w:rPr>
            </w:pPr>
            <w:r w:rsidRPr="000C3F4A">
              <w:rPr>
                <w:rFonts w:ascii="Times New Roman" w:eastAsia="Times New Roman" w:hAnsi="Times New Roman"/>
                <w:bCs/>
                <w:color w:val="000000"/>
                <w:sz w:val="28"/>
                <w:szCs w:val="28"/>
              </w:rPr>
              <w:t>gadus pēc projekta beigām</w:t>
            </w:r>
          </w:p>
        </w:tc>
      </w:tr>
      <w:tr w:rsidR="00CC4945" w:rsidRPr="00CC4945" w14:paraId="6CC60551" w14:textId="77777777" w:rsidTr="000C3F4A">
        <w:trPr>
          <w:trHeight w:val="636"/>
        </w:trPr>
        <w:tc>
          <w:tcPr>
            <w:tcW w:w="9064" w:type="dxa"/>
            <w:gridSpan w:val="6"/>
            <w:tcBorders>
              <w:top w:val="single" w:sz="4" w:space="0" w:color="000000"/>
              <w:left w:val="single" w:sz="4" w:space="0" w:color="000000"/>
              <w:bottom w:val="single" w:sz="4" w:space="0" w:color="000000"/>
              <w:right w:val="single" w:sz="4" w:space="0" w:color="000000"/>
            </w:tcBorders>
          </w:tcPr>
          <w:p w14:paraId="7EE9DCBC" w14:textId="58EAB097" w:rsidR="00CC4945" w:rsidRPr="00CC4945" w:rsidRDefault="0080140B" w:rsidP="000C3F4A">
            <w:pPr>
              <w:ind w:left="3"/>
              <w:jc w:val="left"/>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(M1) </w:t>
            </w:r>
            <w:r w:rsidR="00CC4945" w:rsidRPr="00CC4945">
              <w:rPr>
                <w:rFonts w:ascii="Times New Roman" w:eastAsia="Times New Roman" w:hAnsi="Times New Roman"/>
                <w:b/>
                <w:color w:val="000000"/>
                <w:sz w:val="28"/>
                <w:szCs w:val="28"/>
              </w:rPr>
              <w:t xml:space="preserve">Nodrošināt centralizētu, uz modernām tehnoloģijām balstītu informācijas un </w:t>
            </w:r>
            <w:r w:rsidR="000459E4" w:rsidRPr="00CC4945">
              <w:rPr>
                <w:rFonts w:ascii="Times New Roman" w:eastAsia="Times New Roman" w:hAnsi="Times New Roman"/>
                <w:b/>
                <w:color w:val="000000"/>
                <w:sz w:val="28"/>
                <w:szCs w:val="28"/>
              </w:rPr>
              <w:t>komunikācij</w:t>
            </w:r>
            <w:r w:rsidR="000459E4">
              <w:rPr>
                <w:rFonts w:ascii="Times New Roman" w:eastAsia="Times New Roman" w:hAnsi="Times New Roman"/>
                <w:b/>
                <w:color w:val="000000"/>
                <w:sz w:val="28"/>
                <w:szCs w:val="28"/>
              </w:rPr>
              <w:t>as</w:t>
            </w:r>
            <w:r w:rsidR="000459E4" w:rsidRPr="00CC4945">
              <w:rPr>
                <w:rFonts w:ascii="Times New Roman" w:eastAsia="Times New Roman" w:hAnsi="Times New Roman"/>
                <w:b/>
                <w:color w:val="000000"/>
                <w:sz w:val="28"/>
                <w:szCs w:val="28"/>
              </w:rPr>
              <w:t xml:space="preserve"> </w:t>
            </w:r>
            <w:r w:rsidR="00CC4945" w:rsidRPr="00CC4945">
              <w:rPr>
                <w:rFonts w:ascii="Times New Roman" w:eastAsia="Times New Roman" w:hAnsi="Times New Roman"/>
                <w:b/>
                <w:color w:val="000000"/>
                <w:sz w:val="28"/>
                <w:szCs w:val="28"/>
              </w:rPr>
              <w:t>tehnoloģiju pakalpojumu sniegšanu E</w:t>
            </w:r>
            <w:r w:rsidR="00930510">
              <w:rPr>
                <w:rFonts w:ascii="Times New Roman" w:eastAsia="Times New Roman" w:hAnsi="Times New Roman"/>
                <w:b/>
                <w:color w:val="000000"/>
                <w:sz w:val="28"/>
                <w:szCs w:val="28"/>
              </w:rPr>
              <w:t>M</w:t>
            </w:r>
            <w:r w:rsidR="00CC4945" w:rsidRPr="00CC4945">
              <w:rPr>
                <w:rFonts w:ascii="Times New Roman" w:eastAsia="Times New Roman" w:hAnsi="Times New Roman"/>
                <w:b/>
                <w:color w:val="000000"/>
                <w:sz w:val="28"/>
                <w:szCs w:val="28"/>
              </w:rPr>
              <w:t xml:space="preserve"> resorā </w:t>
            </w:r>
          </w:p>
        </w:tc>
      </w:tr>
      <w:tr w:rsidR="00CC4945" w:rsidRPr="00CC4945" w14:paraId="6226670E" w14:textId="77777777" w:rsidTr="000C3F4A">
        <w:trPr>
          <w:trHeight w:val="1397"/>
        </w:trPr>
        <w:tc>
          <w:tcPr>
            <w:tcW w:w="572" w:type="dxa"/>
            <w:vMerge w:val="restart"/>
            <w:tcBorders>
              <w:top w:val="single" w:sz="4" w:space="0" w:color="000000"/>
              <w:left w:val="single" w:sz="4" w:space="0" w:color="000000"/>
              <w:bottom w:val="single" w:sz="4" w:space="0" w:color="000000"/>
              <w:right w:val="single" w:sz="4" w:space="0" w:color="000000"/>
            </w:tcBorders>
          </w:tcPr>
          <w:p w14:paraId="03C6D95C" w14:textId="77777777" w:rsidR="00CC4945" w:rsidRPr="00CC4945" w:rsidRDefault="00CC4945" w:rsidP="000C3F4A">
            <w:pPr>
              <w:ind w:left="3"/>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1. </w:t>
            </w:r>
          </w:p>
        </w:tc>
        <w:tc>
          <w:tcPr>
            <w:tcW w:w="2695" w:type="dxa"/>
            <w:tcBorders>
              <w:top w:val="single" w:sz="4" w:space="0" w:color="000000"/>
              <w:left w:val="single" w:sz="4" w:space="0" w:color="000000"/>
              <w:bottom w:val="single" w:sz="4" w:space="0" w:color="000000"/>
              <w:right w:val="single" w:sz="4" w:space="0" w:color="000000"/>
            </w:tcBorders>
          </w:tcPr>
          <w:p w14:paraId="7E8D454E" w14:textId="77777777" w:rsidR="00CC4945" w:rsidRPr="00CC4945" w:rsidRDefault="00CC4945" w:rsidP="00270F46">
            <w:pP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Vienoto (centralizēti pārvaldīto) darba vietu skaita īpatsvars no kopējā EM un padotības iestāžu darba vietu skaita </w:t>
            </w:r>
          </w:p>
        </w:tc>
        <w:tc>
          <w:tcPr>
            <w:tcW w:w="1548" w:type="dxa"/>
            <w:tcBorders>
              <w:top w:val="single" w:sz="4" w:space="0" w:color="000000"/>
              <w:left w:val="single" w:sz="4" w:space="0" w:color="000000"/>
              <w:bottom w:val="single" w:sz="4" w:space="0" w:color="000000"/>
              <w:right w:val="single" w:sz="4" w:space="0" w:color="000000"/>
            </w:tcBorders>
          </w:tcPr>
          <w:p w14:paraId="0CA8CBF5" w14:textId="77777777" w:rsidR="00CC4945" w:rsidRPr="00CC4945"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Procenti (%) no kopējā skaita </w:t>
            </w:r>
          </w:p>
        </w:tc>
        <w:tc>
          <w:tcPr>
            <w:tcW w:w="1368" w:type="dxa"/>
            <w:tcBorders>
              <w:top w:val="single" w:sz="4" w:space="0" w:color="000000"/>
              <w:left w:val="single" w:sz="4" w:space="0" w:color="000000"/>
              <w:bottom w:val="single" w:sz="4" w:space="0" w:color="000000"/>
              <w:right w:val="single" w:sz="4" w:space="0" w:color="000000"/>
            </w:tcBorders>
          </w:tcPr>
          <w:p w14:paraId="42A52AFA" w14:textId="4D175145" w:rsidR="00CC4945" w:rsidRPr="00CC4945" w:rsidRDefault="00CC4945" w:rsidP="000C3F4A">
            <w:pPr>
              <w:ind w:right="52"/>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0</w:t>
            </w:r>
          </w:p>
        </w:tc>
        <w:tc>
          <w:tcPr>
            <w:tcW w:w="1441" w:type="dxa"/>
            <w:tcBorders>
              <w:top w:val="single" w:sz="4" w:space="0" w:color="000000"/>
              <w:left w:val="single" w:sz="4" w:space="0" w:color="000000"/>
              <w:bottom w:val="single" w:sz="4" w:space="0" w:color="000000"/>
              <w:right w:val="single" w:sz="4" w:space="0" w:color="000000"/>
            </w:tcBorders>
          </w:tcPr>
          <w:p w14:paraId="556EA2C5" w14:textId="1295AB52" w:rsidR="00CC4945" w:rsidRPr="00CC4945" w:rsidRDefault="00CC4945" w:rsidP="000C3F4A">
            <w:pPr>
              <w:ind w:right="53"/>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50</w:t>
            </w:r>
          </w:p>
        </w:tc>
        <w:tc>
          <w:tcPr>
            <w:tcW w:w="1440" w:type="dxa"/>
            <w:tcBorders>
              <w:top w:val="single" w:sz="4" w:space="0" w:color="000000"/>
              <w:left w:val="single" w:sz="4" w:space="0" w:color="000000"/>
              <w:bottom w:val="single" w:sz="4" w:space="0" w:color="000000"/>
              <w:right w:val="single" w:sz="4" w:space="0" w:color="000000"/>
            </w:tcBorders>
          </w:tcPr>
          <w:p w14:paraId="10673344" w14:textId="12DA27CF" w:rsidR="00CC4945" w:rsidRPr="00CC4945" w:rsidRDefault="00CC4945" w:rsidP="000C3F4A">
            <w:pPr>
              <w:ind w:right="58"/>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90</w:t>
            </w:r>
          </w:p>
        </w:tc>
      </w:tr>
      <w:tr w:rsidR="00CC4945" w:rsidRPr="00CC4945" w14:paraId="275A025A" w14:textId="77777777" w:rsidTr="000C3F4A">
        <w:trPr>
          <w:trHeight w:val="888"/>
        </w:trPr>
        <w:tc>
          <w:tcPr>
            <w:tcW w:w="0" w:type="auto"/>
            <w:vMerge/>
            <w:tcBorders>
              <w:top w:val="nil"/>
              <w:left w:val="single" w:sz="4" w:space="0" w:color="000000"/>
              <w:bottom w:val="single" w:sz="4" w:space="0" w:color="000000"/>
              <w:right w:val="single" w:sz="4" w:space="0" w:color="000000"/>
            </w:tcBorders>
          </w:tcPr>
          <w:p w14:paraId="764C7C7E" w14:textId="77777777" w:rsidR="00CC4945" w:rsidRPr="00CC4945" w:rsidRDefault="00CC4945" w:rsidP="000C3F4A">
            <w:pPr>
              <w:jc w:val="left"/>
              <w:rPr>
                <w:rFonts w:ascii="Times New Roman" w:eastAsia="Times New Roman" w:hAnsi="Times New Roman"/>
                <w:color w:val="000000"/>
                <w:sz w:val="28"/>
                <w:szCs w:val="28"/>
              </w:rPr>
            </w:pPr>
          </w:p>
        </w:tc>
        <w:tc>
          <w:tcPr>
            <w:tcW w:w="2695" w:type="dxa"/>
            <w:tcBorders>
              <w:top w:val="single" w:sz="4" w:space="0" w:color="000000"/>
              <w:left w:val="single" w:sz="4" w:space="0" w:color="000000"/>
              <w:bottom w:val="single" w:sz="4" w:space="0" w:color="000000"/>
              <w:right w:val="single" w:sz="4" w:space="0" w:color="000000"/>
            </w:tcBorders>
          </w:tcPr>
          <w:p w14:paraId="6F50EA01" w14:textId="3E8568BF" w:rsidR="00CC4945" w:rsidRPr="00CC4945" w:rsidRDefault="0080140B" w:rsidP="000C3F4A">
            <w:pPr>
              <w:jc w:val="left"/>
              <w:rPr>
                <w:rFonts w:ascii="Times New Roman" w:eastAsia="Times New Roman" w:hAnsi="Times New Roman"/>
                <w:color w:val="000000"/>
                <w:sz w:val="28"/>
                <w:szCs w:val="28"/>
              </w:rPr>
            </w:pPr>
            <w:r>
              <w:rPr>
                <w:rFonts w:ascii="Times New Roman" w:eastAsia="Times New Roman" w:hAnsi="Times New Roman"/>
                <w:color w:val="000000"/>
                <w:sz w:val="28"/>
                <w:szCs w:val="28"/>
              </w:rPr>
              <w:t>tai skaitā</w:t>
            </w:r>
            <w:r w:rsidR="00CC4945" w:rsidRPr="00CC4945">
              <w:rPr>
                <w:rFonts w:ascii="Times New Roman" w:eastAsia="Times New Roman" w:hAnsi="Times New Roman"/>
                <w:color w:val="000000"/>
                <w:sz w:val="28"/>
                <w:szCs w:val="28"/>
              </w:rPr>
              <w:t xml:space="preserve"> </w:t>
            </w:r>
            <w:proofErr w:type="spellStart"/>
            <w:r w:rsidR="00CC4945" w:rsidRPr="00CC4945">
              <w:rPr>
                <w:rFonts w:ascii="Times New Roman" w:eastAsia="Times New Roman" w:hAnsi="Times New Roman"/>
                <w:color w:val="000000"/>
                <w:sz w:val="28"/>
                <w:szCs w:val="28"/>
              </w:rPr>
              <w:t>virtualizēto</w:t>
            </w:r>
            <w:proofErr w:type="spellEnd"/>
            <w:r w:rsidR="00CC4945" w:rsidRPr="00CC4945">
              <w:rPr>
                <w:rFonts w:ascii="Times New Roman" w:eastAsia="Times New Roman" w:hAnsi="Times New Roman"/>
                <w:color w:val="000000"/>
                <w:sz w:val="28"/>
                <w:szCs w:val="28"/>
              </w:rPr>
              <w:t xml:space="preserve"> vienoto darba vietu skaits </w:t>
            </w:r>
          </w:p>
        </w:tc>
        <w:tc>
          <w:tcPr>
            <w:tcW w:w="1548" w:type="dxa"/>
            <w:tcBorders>
              <w:top w:val="single" w:sz="4" w:space="0" w:color="000000"/>
              <w:left w:val="single" w:sz="4" w:space="0" w:color="000000"/>
              <w:bottom w:val="single" w:sz="4" w:space="0" w:color="000000"/>
              <w:right w:val="single" w:sz="4" w:space="0" w:color="000000"/>
            </w:tcBorders>
          </w:tcPr>
          <w:p w14:paraId="0E2E0880" w14:textId="77777777" w:rsidR="00CC4945" w:rsidRPr="00CC4945"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Procenti (%) no kopējā skaita </w:t>
            </w:r>
          </w:p>
        </w:tc>
        <w:tc>
          <w:tcPr>
            <w:tcW w:w="1368" w:type="dxa"/>
            <w:tcBorders>
              <w:top w:val="single" w:sz="4" w:space="0" w:color="000000"/>
              <w:left w:val="single" w:sz="4" w:space="0" w:color="000000"/>
              <w:bottom w:val="single" w:sz="4" w:space="0" w:color="000000"/>
              <w:right w:val="single" w:sz="4" w:space="0" w:color="000000"/>
            </w:tcBorders>
          </w:tcPr>
          <w:p w14:paraId="1708CBC7" w14:textId="5635DA75" w:rsidR="00CC4945" w:rsidRPr="00CC4945" w:rsidRDefault="00CC4945" w:rsidP="000C3F4A">
            <w:pPr>
              <w:ind w:right="52"/>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0</w:t>
            </w:r>
          </w:p>
        </w:tc>
        <w:tc>
          <w:tcPr>
            <w:tcW w:w="1441" w:type="dxa"/>
            <w:tcBorders>
              <w:top w:val="single" w:sz="4" w:space="0" w:color="000000"/>
              <w:left w:val="single" w:sz="4" w:space="0" w:color="000000"/>
              <w:bottom w:val="single" w:sz="4" w:space="0" w:color="000000"/>
              <w:right w:val="single" w:sz="4" w:space="0" w:color="000000"/>
            </w:tcBorders>
          </w:tcPr>
          <w:p w14:paraId="477E4A63" w14:textId="6B0AA56D" w:rsidR="00CC4945" w:rsidRPr="00CC4945" w:rsidRDefault="00CC4945" w:rsidP="000C3F4A">
            <w:pPr>
              <w:ind w:right="53"/>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5</w:t>
            </w:r>
          </w:p>
        </w:tc>
        <w:tc>
          <w:tcPr>
            <w:tcW w:w="1440" w:type="dxa"/>
            <w:tcBorders>
              <w:top w:val="single" w:sz="4" w:space="0" w:color="000000"/>
              <w:left w:val="single" w:sz="4" w:space="0" w:color="000000"/>
              <w:bottom w:val="single" w:sz="4" w:space="0" w:color="000000"/>
              <w:right w:val="single" w:sz="4" w:space="0" w:color="000000"/>
            </w:tcBorders>
          </w:tcPr>
          <w:p w14:paraId="52F8A18A" w14:textId="12792828" w:rsidR="00CC4945" w:rsidRPr="00CC4945" w:rsidRDefault="00CC4945" w:rsidP="000C3F4A">
            <w:pPr>
              <w:ind w:right="58"/>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10</w:t>
            </w:r>
          </w:p>
        </w:tc>
      </w:tr>
      <w:tr w:rsidR="00CC4945" w:rsidRPr="00CC4945" w14:paraId="7636C885" w14:textId="77777777" w:rsidTr="000C3F4A">
        <w:tblPrEx>
          <w:tblCellMar>
            <w:top w:w="58" w:type="dxa"/>
            <w:bottom w:w="0" w:type="dxa"/>
            <w:right w:w="138" w:type="dxa"/>
          </w:tblCellMar>
        </w:tblPrEx>
        <w:trPr>
          <w:trHeight w:val="636"/>
        </w:trPr>
        <w:tc>
          <w:tcPr>
            <w:tcW w:w="572" w:type="dxa"/>
            <w:tcBorders>
              <w:top w:val="single" w:sz="4" w:space="0" w:color="000000"/>
              <w:left w:val="single" w:sz="4" w:space="0" w:color="000000"/>
              <w:bottom w:val="single" w:sz="4" w:space="0" w:color="000000"/>
              <w:right w:val="single" w:sz="4" w:space="0" w:color="000000"/>
            </w:tcBorders>
          </w:tcPr>
          <w:p w14:paraId="4318FAA8" w14:textId="77777777" w:rsidR="00CC4945" w:rsidRPr="00CC4945" w:rsidRDefault="00CC4945" w:rsidP="000C3F4A">
            <w:pPr>
              <w:ind w:left="3"/>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2. </w:t>
            </w:r>
          </w:p>
        </w:tc>
        <w:tc>
          <w:tcPr>
            <w:tcW w:w="2695" w:type="dxa"/>
            <w:tcBorders>
              <w:top w:val="single" w:sz="4" w:space="0" w:color="000000"/>
              <w:left w:val="single" w:sz="4" w:space="0" w:color="000000"/>
              <w:bottom w:val="single" w:sz="4" w:space="0" w:color="000000"/>
              <w:right w:val="single" w:sz="4" w:space="0" w:color="000000"/>
            </w:tcBorders>
          </w:tcPr>
          <w:p w14:paraId="3054CF35" w14:textId="77777777" w:rsidR="00CC4945" w:rsidRPr="00CC4945"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Vienoto darba vietu kategoriju skaits </w:t>
            </w:r>
          </w:p>
        </w:tc>
        <w:tc>
          <w:tcPr>
            <w:tcW w:w="1548" w:type="dxa"/>
            <w:tcBorders>
              <w:top w:val="single" w:sz="4" w:space="0" w:color="000000"/>
              <w:left w:val="single" w:sz="4" w:space="0" w:color="000000"/>
              <w:bottom w:val="single" w:sz="4" w:space="0" w:color="000000"/>
              <w:right w:val="single" w:sz="4" w:space="0" w:color="000000"/>
            </w:tcBorders>
          </w:tcPr>
          <w:p w14:paraId="409DE55E" w14:textId="77777777" w:rsidR="00CC4945" w:rsidRPr="00CC4945"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Skaits </w:t>
            </w:r>
          </w:p>
        </w:tc>
        <w:tc>
          <w:tcPr>
            <w:tcW w:w="1368" w:type="dxa"/>
            <w:tcBorders>
              <w:top w:val="single" w:sz="4" w:space="0" w:color="000000"/>
              <w:left w:val="single" w:sz="4" w:space="0" w:color="000000"/>
              <w:bottom w:val="single" w:sz="4" w:space="0" w:color="000000"/>
              <w:right w:val="single" w:sz="4" w:space="0" w:color="000000"/>
            </w:tcBorders>
          </w:tcPr>
          <w:p w14:paraId="04751B12" w14:textId="4D064D30" w:rsidR="00CC4945" w:rsidRPr="00CC4945" w:rsidRDefault="00CC4945" w:rsidP="000C3F4A">
            <w:pPr>
              <w:ind w:left="35"/>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0</w:t>
            </w:r>
          </w:p>
        </w:tc>
        <w:tc>
          <w:tcPr>
            <w:tcW w:w="1441" w:type="dxa"/>
            <w:tcBorders>
              <w:top w:val="single" w:sz="4" w:space="0" w:color="000000"/>
              <w:left w:val="single" w:sz="4" w:space="0" w:color="000000"/>
              <w:bottom w:val="single" w:sz="4" w:space="0" w:color="000000"/>
              <w:right w:val="single" w:sz="4" w:space="0" w:color="000000"/>
            </w:tcBorders>
          </w:tcPr>
          <w:p w14:paraId="1B9C45CD" w14:textId="05CC0F4B" w:rsidR="00CC4945" w:rsidRPr="00CC4945" w:rsidRDefault="00CC4945" w:rsidP="000C3F4A">
            <w:pPr>
              <w:ind w:left="34"/>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3</w:t>
            </w:r>
          </w:p>
        </w:tc>
        <w:tc>
          <w:tcPr>
            <w:tcW w:w="1440" w:type="dxa"/>
            <w:tcBorders>
              <w:top w:val="single" w:sz="4" w:space="0" w:color="000000"/>
              <w:left w:val="single" w:sz="4" w:space="0" w:color="000000"/>
              <w:bottom w:val="single" w:sz="4" w:space="0" w:color="000000"/>
              <w:right w:val="single" w:sz="4" w:space="0" w:color="000000"/>
            </w:tcBorders>
          </w:tcPr>
          <w:p w14:paraId="552E8F28" w14:textId="00737675" w:rsidR="00CC4945" w:rsidRPr="00CC4945" w:rsidRDefault="00CC4945" w:rsidP="000C3F4A">
            <w:pPr>
              <w:ind w:left="30"/>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3</w:t>
            </w:r>
          </w:p>
        </w:tc>
      </w:tr>
      <w:tr w:rsidR="00CC4945" w:rsidRPr="00CC4945" w14:paraId="375D821F" w14:textId="77777777" w:rsidTr="000C3F4A">
        <w:tblPrEx>
          <w:tblCellMar>
            <w:top w:w="58" w:type="dxa"/>
            <w:bottom w:w="0" w:type="dxa"/>
            <w:right w:w="138" w:type="dxa"/>
          </w:tblCellMar>
        </w:tblPrEx>
        <w:trPr>
          <w:trHeight w:val="890"/>
        </w:trPr>
        <w:tc>
          <w:tcPr>
            <w:tcW w:w="572" w:type="dxa"/>
            <w:tcBorders>
              <w:top w:val="single" w:sz="4" w:space="0" w:color="000000"/>
              <w:left w:val="single" w:sz="4" w:space="0" w:color="000000"/>
              <w:bottom w:val="single" w:sz="4" w:space="0" w:color="000000"/>
              <w:right w:val="single" w:sz="4" w:space="0" w:color="000000"/>
            </w:tcBorders>
          </w:tcPr>
          <w:p w14:paraId="2EB79219" w14:textId="77777777" w:rsidR="00CC4945" w:rsidRPr="00CC4945" w:rsidRDefault="00CC4945" w:rsidP="000C3F4A">
            <w:pPr>
              <w:ind w:left="3"/>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3. </w:t>
            </w:r>
          </w:p>
        </w:tc>
        <w:tc>
          <w:tcPr>
            <w:tcW w:w="2695" w:type="dxa"/>
            <w:tcBorders>
              <w:top w:val="single" w:sz="4" w:space="0" w:color="000000"/>
              <w:left w:val="single" w:sz="4" w:space="0" w:color="000000"/>
              <w:bottom w:val="single" w:sz="4" w:space="0" w:color="000000"/>
              <w:right w:val="single" w:sz="4" w:space="0" w:color="000000"/>
            </w:tcBorders>
          </w:tcPr>
          <w:p w14:paraId="536CA59E" w14:textId="60C51448" w:rsidR="00CC4945" w:rsidRPr="00CC4945" w:rsidRDefault="00CC4945" w:rsidP="000C3F4A">
            <w:pPr>
              <w:ind w:right="330"/>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E</w:t>
            </w:r>
            <w:r w:rsidR="00930510">
              <w:rPr>
                <w:rFonts w:ascii="Times New Roman" w:eastAsia="Times New Roman" w:hAnsi="Times New Roman"/>
                <w:color w:val="000000"/>
                <w:sz w:val="28"/>
                <w:szCs w:val="28"/>
              </w:rPr>
              <w:t>M</w:t>
            </w:r>
            <w:r w:rsidRPr="00CC4945">
              <w:rPr>
                <w:rFonts w:ascii="Times New Roman" w:eastAsia="Times New Roman" w:hAnsi="Times New Roman"/>
                <w:color w:val="000000"/>
                <w:sz w:val="28"/>
                <w:szCs w:val="28"/>
              </w:rPr>
              <w:t xml:space="preserve"> resorā esošo datu centru skaits </w:t>
            </w:r>
          </w:p>
        </w:tc>
        <w:tc>
          <w:tcPr>
            <w:tcW w:w="1548" w:type="dxa"/>
            <w:tcBorders>
              <w:top w:val="single" w:sz="4" w:space="0" w:color="000000"/>
              <w:left w:val="single" w:sz="4" w:space="0" w:color="000000"/>
              <w:bottom w:val="single" w:sz="4" w:space="0" w:color="000000"/>
              <w:right w:val="single" w:sz="4" w:space="0" w:color="000000"/>
            </w:tcBorders>
          </w:tcPr>
          <w:p w14:paraId="0A1A84C1" w14:textId="77777777" w:rsidR="00CC4945" w:rsidRPr="00CC4945"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Procenti (%) no kopējā skaita </w:t>
            </w:r>
          </w:p>
        </w:tc>
        <w:tc>
          <w:tcPr>
            <w:tcW w:w="1368" w:type="dxa"/>
            <w:tcBorders>
              <w:top w:val="single" w:sz="4" w:space="0" w:color="000000"/>
              <w:left w:val="single" w:sz="4" w:space="0" w:color="000000"/>
              <w:bottom w:val="single" w:sz="4" w:space="0" w:color="000000"/>
              <w:right w:val="single" w:sz="4" w:space="0" w:color="000000"/>
            </w:tcBorders>
          </w:tcPr>
          <w:p w14:paraId="3663983C" w14:textId="6894218C" w:rsidR="00CC4945" w:rsidRPr="00CC4945" w:rsidRDefault="00CC4945" w:rsidP="000C3F4A">
            <w:pPr>
              <w:ind w:left="35"/>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100</w:t>
            </w:r>
          </w:p>
        </w:tc>
        <w:tc>
          <w:tcPr>
            <w:tcW w:w="1441" w:type="dxa"/>
            <w:tcBorders>
              <w:top w:val="single" w:sz="4" w:space="0" w:color="000000"/>
              <w:left w:val="single" w:sz="4" w:space="0" w:color="000000"/>
              <w:bottom w:val="single" w:sz="4" w:space="0" w:color="000000"/>
              <w:right w:val="single" w:sz="4" w:space="0" w:color="000000"/>
            </w:tcBorders>
          </w:tcPr>
          <w:p w14:paraId="25D41183" w14:textId="15D7D6CC" w:rsidR="00CC4945" w:rsidRPr="00CC4945" w:rsidRDefault="00CC4945" w:rsidP="000C3F4A">
            <w:pPr>
              <w:ind w:left="34"/>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100</w:t>
            </w:r>
          </w:p>
        </w:tc>
        <w:tc>
          <w:tcPr>
            <w:tcW w:w="1440" w:type="dxa"/>
            <w:tcBorders>
              <w:top w:val="single" w:sz="4" w:space="0" w:color="000000"/>
              <w:left w:val="single" w:sz="4" w:space="0" w:color="000000"/>
              <w:bottom w:val="single" w:sz="4" w:space="0" w:color="000000"/>
              <w:right w:val="single" w:sz="4" w:space="0" w:color="000000"/>
            </w:tcBorders>
          </w:tcPr>
          <w:p w14:paraId="53B08EA7" w14:textId="1458145F" w:rsidR="00CC4945" w:rsidRPr="00CC4945" w:rsidRDefault="00CC4945" w:rsidP="000C3F4A">
            <w:pPr>
              <w:ind w:left="30"/>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66</w:t>
            </w:r>
          </w:p>
        </w:tc>
      </w:tr>
      <w:tr w:rsidR="00CC4945" w:rsidRPr="00CC4945" w14:paraId="0854B000" w14:textId="77777777" w:rsidTr="000C3F4A">
        <w:tblPrEx>
          <w:tblCellMar>
            <w:top w:w="58" w:type="dxa"/>
            <w:bottom w:w="0" w:type="dxa"/>
            <w:right w:w="138" w:type="dxa"/>
          </w:tblCellMar>
        </w:tblPrEx>
        <w:trPr>
          <w:trHeight w:val="636"/>
        </w:trPr>
        <w:tc>
          <w:tcPr>
            <w:tcW w:w="9064" w:type="dxa"/>
            <w:gridSpan w:val="6"/>
            <w:tcBorders>
              <w:top w:val="single" w:sz="4" w:space="0" w:color="000000"/>
              <w:left w:val="single" w:sz="4" w:space="0" w:color="000000"/>
              <w:bottom w:val="single" w:sz="4" w:space="0" w:color="000000"/>
              <w:right w:val="single" w:sz="4" w:space="0" w:color="000000"/>
            </w:tcBorders>
          </w:tcPr>
          <w:p w14:paraId="1955B6DB" w14:textId="4E01FB79" w:rsidR="00CC4945" w:rsidRPr="00CC4945" w:rsidRDefault="0080140B" w:rsidP="000C3F4A">
            <w:pPr>
              <w:ind w:left="3"/>
              <w:jc w:val="left"/>
              <w:rPr>
                <w:rFonts w:ascii="Times New Roman" w:eastAsia="Times New Roman" w:hAnsi="Times New Roman"/>
                <w:color w:val="000000"/>
                <w:sz w:val="28"/>
                <w:szCs w:val="28"/>
              </w:rPr>
            </w:pPr>
            <w:r>
              <w:rPr>
                <w:rFonts w:ascii="Times New Roman" w:eastAsia="Times New Roman" w:hAnsi="Times New Roman"/>
                <w:b/>
                <w:color w:val="000000"/>
                <w:sz w:val="28"/>
                <w:szCs w:val="28"/>
              </w:rPr>
              <w:t>(</w:t>
            </w:r>
            <w:r w:rsidR="00CC4945" w:rsidRPr="00CC4945">
              <w:rPr>
                <w:rFonts w:ascii="Times New Roman" w:eastAsia="Times New Roman" w:hAnsi="Times New Roman"/>
                <w:b/>
                <w:color w:val="000000"/>
                <w:sz w:val="28"/>
                <w:szCs w:val="28"/>
              </w:rPr>
              <w:t>M2</w:t>
            </w:r>
            <w:r>
              <w:rPr>
                <w:rFonts w:ascii="Times New Roman" w:eastAsia="Times New Roman" w:hAnsi="Times New Roman"/>
                <w:b/>
                <w:color w:val="000000"/>
                <w:sz w:val="28"/>
                <w:szCs w:val="28"/>
              </w:rPr>
              <w:t>)</w:t>
            </w:r>
            <w:r w:rsidR="00CC4945" w:rsidRPr="00CC4945">
              <w:rPr>
                <w:rFonts w:ascii="Times New Roman" w:eastAsia="Times New Roman" w:hAnsi="Times New Roman"/>
                <w:b/>
                <w:color w:val="000000"/>
                <w:sz w:val="28"/>
                <w:szCs w:val="28"/>
              </w:rPr>
              <w:t xml:space="preserve"> Uzlabot darbības procesu elektronizācijas līmeni, samazinot administratīvo slogu E</w:t>
            </w:r>
            <w:r w:rsidR="00930510">
              <w:rPr>
                <w:rFonts w:ascii="Times New Roman" w:eastAsia="Times New Roman" w:hAnsi="Times New Roman"/>
                <w:b/>
                <w:color w:val="000000"/>
                <w:sz w:val="28"/>
                <w:szCs w:val="28"/>
              </w:rPr>
              <w:t>M</w:t>
            </w:r>
            <w:r w:rsidR="00CC4945" w:rsidRPr="00CC4945">
              <w:rPr>
                <w:rFonts w:ascii="Times New Roman" w:eastAsia="Times New Roman" w:hAnsi="Times New Roman"/>
                <w:b/>
                <w:color w:val="000000"/>
                <w:sz w:val="28"/>
                <w:szCs w:val="28"/>
              </w:rPr>
              <w:t xml:space="preserve"> resorā un nodrošinot datu pieejamību privātpersonām, </w:t>
            </w:r>
            <w:r>
              <w:rPr>
                <w:rFonts w:ascii="Times New Roman" w:eastAsia="Times New Roman" w:hAnsi="Times New Roman"/>
                <w:b/>
                <w:color w:val="000000"/>
                <w:sz w:val="28"/>
                <w:szCs w:val="28"/>
              </w:rPr>
              <w:t>tai skaitā</w:t>
            </w:r>
            <w:r w:rsidR="00CC4945" w:rsidRPr="00CC4945">
              <w:rPr>
                <w:rFonts w:ascii="Times New Roman" w:eastAsia="Times New Roman" w:hAnsi="Times New Roman"/>
                <w:b/>
                <w:color w:val="000000"/>
                <w:sz w:val="28"/>
                <w:szCs w:val="28"/>
              </w:rPr>
              <w:t xml:space="preserve"> komersantiem</w:t>
            </w:r>
            <w:r w:rsidR="00CC4945" w:rsidRPr="00CC4945" w:rsidDel="006F2509">
              <w:rPr>
                <w:rFonts w:ascii="Times New Roman" w:eastAsia="Times New Roman" w:hAnsi="Times New Roman"/>
                <w:b/>
                <w:color w:val="000000"/>
                <w:sz w:val="28"/>
                <w:szCs w:val="28"/>
              </w:rPr>
              <w:t xml:space="preserve"> </w:t>
            </w:r>
          </w:p>
        </w:tc>
      </w:tr>
      <w:tr w:rsidR="00CC4945" w:rsidRPr="00CC4945" w14:paraId="56492FD7" w14:textId="77777777" w:rsidTr="000C3F4A">
        <w:tblPrEx>
          <w:tblCellMar>
            <w:top w:w="58" w:type="dxa"/>
            <w:bottom w:w="0" w:type="dxa"/>
            <w:right w:w="138" w:type="dxa"/>
          </w:tblCellMar>
        </w:tblPrEx>
        <w:trPr>
          <w:trHeight w:val="1142"/>
        </w:trPr>
        <w:tc>
          <w:tcPr>
            <w:tcW w:w="572" w:type="dxa"/>
            <w:tcBorders>
              <w:top w:val="single" w:sz="4" w:space="0" w:color="000000"/>
              <w:left w:val="single" w:sz="4" w:space="0" w:color="000000"/>
              <w:bottom w:val="single" w:sz="4" w:space="0" w:color="000000"/>
              <w:right w:val="single" w:sz="4" w:space="0" w:color="000000"/>
            </w:tcBorders>
          </w:tcPr>
          <w:p w14:paraId="33F0AB92" w14:textId="77777777" w:rsidR="00CC4945" w:rsidRPr="00CC4945" w:rsidDel="008154D7" w:rsidRDefault="00CC4945" w:rsidP="000C3F4A">
            <w:pPr>
              <w:ind w:left="3"/>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4.</w:t>
            </w:r>
          </w:p>
        </w:tc>
        <w:tc>
          <w:tcPr>
            <w:tcW w:w="2695" w:type="dxa"/>
            <w:tcBorders>
              <w:top w:val="single" w:sz="4" w:space="0" w:color="000000"/>
              <w:left w:val="single" w:sz="4" w:space="0" w:color="000000"/>
              <w:bottom w:val="single" w:sz="4" w:space="0" w:color="000000"/>
              <w:right w:val="single" w:sz="4" w:space="0" w:color="000000"/>
            </w:tcBorders>
          </w:tcPr>
          <w:p w14:paraId="32F2C307" w14:textId="77777777" w:rsidR="00CC4945" w:rsidRPr="00CC4945" w:rsidDel="008154D7"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Finanšu un budžeta plānošanas un prognozēšanas risinājuma lietošana</w:t>
            </w:r>
          </w:p>
        </w:tc>
        <w:tc>
          <w:tcPr>
            <w:tcW w:w="1548" w:type="dxa"/>
            <w:tcBorders>
              <w:top w:val="single" w:sz="4" w:space="0" w:color="000000"/>
              <w:left w:val="single" w:sz="4" w:space="0" w:color="000000"/>
              <w:bottom w:val="single" w:sz="4" w:space="0" w:color="000000"/>
              <w:right w:val="single" w:sz="4" w:space="0" w:color="000000"/>
            </w:tcBorders>
          </w:tcPr>
          <w:p w14:paraId="2630A5DB" w14:textId="77777777" w:rsidR="00CC4945" w:rsidRPr="00CC4945" w:rsidDel="008154D7"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Procenti (%) no kopējā EM resora iestādēm</w:t>
            </w:r>
          </w:p>
        </w:tc>
        <w:tc>
          <w:tcPr>
            <w:tcW w:w="1368" w:type="dxa"/>
            <w:tcBorders>
              <w:top w:val="single" w:sz="4" w:space="0" w:color="000000"/>
              <w:left w:val="single" w:sz="4" w:space="0" w:color="000000"/>
              <w:bottom w:val="single" w:sz="4" w:space="0" w:color="000000"/>
              <w:right w:val="single" w:sz="4" w:space="0" w:color="000000"/>
            </w:tcBorders>
          </w:tcPr>
          <w:p w14:paraId="335792E2" w14:textId="77777777" w:rsidR="00CC4945" w:rsidRPr="00CC4945" w:rsidDel="008154D7" w:rsidRDefault="00CC4945" w:rsidP="000C3F4A">
            <w:pPr>
              <w:ind w:left="35"/>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0</w:t>
            </w:r>
          </w:p>
        </w:tc>
        <w:tc>
          <w:tcPr>
            <w:tcW w:w="1441" w:type="dxa"/>
            <w:tcBorders>
              <w:top w:val="single" w:sz="4" w:space="0" w:color="000000"/>
              <w:left w:val="single" w:sz="4" w:space="0" w:color="000000"/>
              <w:bottom w:val="single" w:sz="4" w:space="0" w:color="000000"/>
              <w:right w:val="single" w:sz="4" w:space="0" w:color="000000"/>
            </w:tcBorders>
          </w:tcPr>
          <w:p w14:paraId="41AAB727" w14:textId="77777777" w:rsidR="00CC4945" w:rsidRPr="00CC4945" w:rsidDel="008154D7" w:rsidRDefault="00CC4945" w:rsidP="000C3F4A">
            <w:pPr>
              <w:ind w:left="34"/>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71</w:t>
            </w:r>
          </w:p>
        </w:tc>
        <w:tc>
          <w:tcPr>
            <w:tcW w:w="1440" w:type="dxa"/>
            <w:tcBorders>
              <w:top w:val="single" w:sz="4" w:space="0" w:color="000000"/>
              <w:left w:val="single" w:sz="4" w:space="0" w:color="000000"/>
              <w:bottom w:val="single" w:sz="4" w:space="0" w:color="000000"/>
              <w:right w:val="single" w:sz="4" w:space="0" w:color="000000"/>
            </w:tcBorders>
          </w:tcPr>
          <w:p w14:paraId="4D411ED8" w14:textId="77777777" w:rsidR="00CC4945" w:rsidRPr="00CC4945" w:rsidDel="008154D7" w:rsidRDefault="00CC4945" w:rsidP="000C3F4A">
            <w:pPr>
              <w:ind w:left="30"/>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100</w:t>
            </w:r>
          </w:p>
        </w:tc>
      </w:tr>
      <w:tr w:rsidR="00CC4945" w:rsidRPr="00CC4945" w14:paraId="691E1AE4" w14:textId="77777777" w:rsidTr="000C3F4A">
        <w:tblPrEx>
          <w:tblCellMar>
            <w:top w:w="58" w:type="dxa"/>
            <w:bottom w:w="0" w:type="dxa"/>
            <w:right w:w="138" w:type="dxa"/>
          </w:tblCellMar>
        </w:tblPrEx>
        <w:trPr>
          <w:trHeight w:val="1142"/>
        </w:trPr>
        <w:tc>
          <w:tcPr>
            <w:tcW w:w="572" w:type="dxa"/>
            <w:tcBorders>
              <w:top w:val="single" w:sz="4" w:space="0" w:color="000000"/>
              <w:left w:val="single" w:sz="4" w:space="0" w:color="000000"/>
              <w:bottom w:val="single" w:sz="4" w:space="0" w:color="000000"/>
              <w:right w:val="single" w:sz="4" w:space="0" w:color="000000"/>
            </w:tcBorders>
          </w:tcPr>
          <w:p w14:paraId="50BD301C" w14:textId="77777777" w:rsidR="00CC4945" w:rsidRPr="00CC4945" w:rsidDel="008154D7" w:rsidRDefault="00CC4945" w:rsidP="000C3F4A">
            <w:pPr>
              <w:ind w:left="3"/>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lastRenderedPageBreak/>
              <w:t>5.</w:t>
            </w:r>
          </w:p>
        </w:tc>
        <w:tc>
          <w:tcPr>
            <w:tcW w:w="2695" w:type="dxa"/>
            <w:tcBorders>
              <w:top w:val="single" w:sz="4" w:space="0" w:color="000000"/>
              <w:left w:val="single" w:sz="4" w:space="0" w:color="000000"/>
              <w:bottom w:val="single" w:sz="4" w:space="0" w:color="000000"/>
              <w:right w:val="single" w:sz="4" w:space="0" w:color="000000"/>
            </w:tcBorders>
          </w:tcPr>
          <w:p w14:paraId="04EB7652" w14:textId="77777777" w:rsidR="00CC4945" w:rsidRPr="00CC4945" w:rsidDel="008154D7" w:rsidRDefault="00CC4945" w:rsidP="00270F46">
            <w:pP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Datu analīzes risinājuma lietošana</w:t>
            </w:r>
          </w:p>
        </w:tc>
        <w:tc>
          <w:tcPr>
            <w:tcW w:w="1548" w:type="dxa"/>
            <w:tcBorders>
              <w:top w:val="single" w:sz="4" w:space="0" w:color="000000"/>
              <w:left w:val="single" w:sz="4" w:space="0" w:color="000000"/>
              <w:bottom w:val="single" w:sz="4" w:space="0" w:color="000000"/>
              <w:right w:val="single" w:sz="4" w:space="0" w:color="000000"/>
            </w:tcBorders>
          </w:tcPr>
          <w:p w14:paraId="5826DA97" w14:textId="77777777" w:rsidR="00CC4945" w:rsidRPr="00CC4945" w:rsidDel="008154D7"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Procenti (%) no kopējā EM resora iestādēm</w:t>
            </w:r>
          </w:p>
        </w:tc>
        <w:tc>
          <w:tcPr>
            <w:tcW w:w="1368" w:type="dxa"/>
            <w:tcBorders>
              <w:top w:val="single" w:sz="4" w:space="0" w:color="000000"/>
              <w:left w:val="single" w:sz="4" w:space="0" w:color="000000"/>
              <w:bottom w:val="single" w:sz="4" w:space="0" w:color="000000"/>
              <w:right w:val="single" w:sz="4" w:space="0" w:color="000000"/>
            </w:tcBorders>
          </w:tcPr>
          <w:p w14:paraId="659CB289" w14:textId="77777777" w:rsidR="00CC4945" w:rsidRPr="00CC4945" w:rsidDel="008154D7" w:rsidRDefault="00CC4945" w:rsidP="000C3F4A">
            <w:pPr>
              <w:ind w:left="35"/>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0</w:t>
            </w:r>
          </w:p>
        </w:tc>
        <w:tc>
          <w:tcPr>
            <w:tcW w:w="1441" w:type="dxa"/>
            <w:tcBorders>
              <w:top w:val="single" w:sz="4" w:space="0" w:color="000000"/>
              <w:left w:val="single" w:sz="4" w:space="0" w:color="000000"/>
              <w:bottom w:val="single" w:sz="4" w:space="0" w:color="000000"/>
              <w:right w:val="single" w:sz="4" w:space="0" w:color="000000"/>
            </w:tcBorders>
          </w:tcPr>
          <w:p w14:paraId="477A3040" w14:textId="77777777" w:rsidR="00CC4945" w:rsidRPr="00CC4945" w:rsidDel="008154D7" w:rsidRDefault="00CC4945" w:rsidP="000C3F4A">
            <w:pPr>
              <w:ind w:left="34"/>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71</w:t>
            </w:r>
          </w:p>
        </w:tc>
        <w:tc>
          <w:tcPr>
            <w:tcW w:w="1440" w:type="dxa"/>
            <w:tcBorders>
              <w:top w:val="single" w:sz="4" w:space="0" w:color="000000"/>
              <w:left w:val="single" w:sz="4" w:space="0" w:color="000000"/>
              <w:bottom w:val="single" w:sz="4" w:space="0" w:color="000000"/>
              <w:right w:val="single" w:sz="4" w:space="0" w:color="000000"/>
            </w:tcBorders>
          </w:tcPr>
          <w:p w14:paraId="3599D21B" w14:textId="77777777" w:rsidR="00CC4945" w:rsidRPr="00CC4945" w:rsidDel="008154D7" w:rsidRDefault="00CC4945" w:rsidP="000C3F4A">
            <w:pPr>
              <w:ind w:left="30"/>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100</w:t>
            </w:r>
          </w:p>
        </w:tc>
      </w:tr>
    </w:tbl>
    <w:p w14:paraId="5AC8B878" w14:textId="77777777" w:rsidR="00B06562" w:rsidRDefault="00B06562" w:rsidP="00270F46">
      <w:pPr>
        <w:ind w:left="-5" w:hanging="10"/>
        <w:rPr>
          <w:rFonts w:ascii="Times New Roman" w:eastAsia="Times New Roman" w:hAnsi="Times New Roman"/>
          <w:b/>
          <w:color w:val="000000"/>
          <w:sz w:val="28"/>
          <w:szCs w:val="28"/>
          <w:u w:val="single" w:color="000000"/>
          <w:lang w:eastAsia="lv-LV"/>
        </w:rPr>
      </w:pPr>
    </w:p>
    <w:p w14:paraId="42FA88CD" w14:textId="3D193BCE" w:rsidR="00CC4945" w:rsidRDefault="00CC4945" w:rsidP="00270F46">
      <w:pPr>
        <w:ind w:left="-5" w:hanging="10"/>
        <w:rPr>
          <w:rFonts w:ascii="Times New Roman" w:eastAsia="Times New Roman" w:hAnsi="Times New Roman"/>
          <w:b/>
          <w:color w:val="000000"/>
          <w:sz w:val="28"/>
          <w:szCs w:val="28"/>
          <w:lang w:eastAsia="lv-LV"/>
        </w:rPr>
      </w:pPr>
      <w:r w:rsidRPr="000C3F4A">
        <w:rPr>
          <w:rFonts w:ascii="Times New Roman" w:eastAsia="Times New Roman" w:hAnsi="Times New Roman"/>
          <w:b/>
          <w:color w:val="000000"/>
          <w:sz w:val="28"/>
          <w:szCs w:val="28"/>
          <w:lang w:eastAsia="lv-LV"/>
        </w:rPr>
        <w:t>Projekta iznākuma rādītāji</w:t>
      </w:r>
      <w:r w:rsidRPr="0080140B">
        <w:rPr>
          <w:rFonts w:ascii="Times New Roman" w:eastAsia="Times New Roman" w:hAnsi="Times New Roman"/>
          <w:b/>
          <w:color w:val="000000"/>
          <w:sz w:val="28"/>
          <w:szCs w:val="28"/>
          <w:lang w:eastAsia="lv-LV"/>
        </w:rPr>
        <w:t xml:space="preserve"> </w:t>
      </w:r>
    </w:p>
    <w:p w14:paraId="5A2D13A2" w14:textId="77777777" w:rsidR="0080140B" w:rsidRPr="0080140B" w:rsidRDefault="0080140B" w:rsidP="00270F46">
      <w:pPr>
        <w:ind w:left="-5" w:hanging="10"/>
        <w:rPr>
          <w:rFonts w:ascii="Times New Roman" w:eastAsia="Times New Roman" w:hAnsi="Times New Roman"/>
          <w:color w:val="000000"/>
          <w:sz w:val="28"/>
          <w:szCs w:val="28"/>
          <w:lang w:eastAsia="lv-LV"/>
        </w:rPr>
      </w:pPr>
    </w:p>
    <w:tbl>
      <w:tblPr>
        <w:tblStyle w:val="TableGrid11"/>
        <w:tblW w:w="9064" w:type="dxa"/>
        <w:tblInd w:w="5" w:type="dxa"/>
        <w:tblCellMar>
          <w:top w:w="74" w:type="dxa"/>
          <w:left w:w="108" w:type="dxa"/>
          <w:right w:w="50" w:type="dxa"/>
        </w:tblCellMar>
        <w:tblLook w:val="04A0" w:firstRow="1" w:lastRow="0" w:firstColumn="1" w:lastColumn="0" w:noHBand="0" w:noVBand="1"/>
      </w:tblPr>
      <w:tblGrid>
        <w:gridCol w:w="651"/>
        <w:gridCol w:w="3507"/>
        <w:gridCol w:w="1449"/>
        <w:gridCol w:w="1771"/>
        <w:gridCol w:w="1686"/>
      </w:tblGrid>
      <w:tr w:rsidR="00CC4945" w:rsidRPr="0080140B" w14:paraId="3C0C9F09" w14:textId="77777777" w:rsidTr="000C3F4A">
        <w:trPr>
          <w:trHeight w:val="1142"/>
        </w:trPr>
        <w:tc>
          <w:tcPr>
            <w:tcW w:w="572" w:type="dxa"/>
            <w:tcBorders>
              <w:top w:val="single" w:sz="4" w:space="0" w:color="000000"/>
              <w:left w:val="single" w:sz="4" w:space="0" w:color="000000"/>
              <w:bottom w:val="single" w:sz="4" w:space="0" w:color="000000"/>
              <w:right w:val="single" w:sz="4" w:space="0" w:color="000000"/>
            </w:tcBorders>
            <w:vAlign w:val="center"/>
          </w:tcPr>
          <w:p w14:paraId="205EF080" w14:textId="77777777" w:rsidR="00CC4945" w:rsidRPr="0080140B" w:rsidRDefault="00CC4945" w:rsidP="00270F46">
            <w:pPr>
              <w:ind w:left="24"/>
              <w:rPr>
                <w:rFonts w:ascii="Times New Roman" w:eastAsia="Times New Roman" w:hAnsi="Times New Roman"/>
                <w:color w:val="000000"/>
                <w:sz w:val="28"/>
                <w:szCs w:val="28"/>
              </w:rPr>
            </w:pPr>
            <w:r w:rsidRPr="000C3F4A">
              <w:rPr>
                <w:rFonts w:ascii="Times New Roman" w:eastAsia="Times New Roman" w:hAnsi="Times New Roman"/>
                <w:color w:val="000000"/>
                <w:sz w:val="28"/>
                <w:szCs w:val="28"/>
              </w:rPr>
              <w:t xml:space="preserve">Nr. </w:t>
            </w:r>
          </w:p>
          <w:p w14:paraId="753D11AC" w14:textId="0E570EBD" w:rsidR="00CC4945" w:rsidRPr="0080140B" w:rsidRDefault="00CC4945" w:rsidP="00270F46">
            <w:pPr>
              <w:ind w:left="3"/>
              <w:rPr>
                <w:rFonts w:ascii="Times New Roman" w:eastAsia="Times New Roman" w:hAnsi="Times New Roman"/>
                <w:color w:val="000000"/>
                <w:sz w:val="28"/>
                <w:szCs w:val="28"/>
              </w:rPr>
            </w:pPr>
            <w:r w:rsidRPr="000C3F4A">
              <w:rPr>
                <w:rFonts w:ascii="Times New Roman" w:eastAsia="Times New Roman" w:hAnsi="Times New Roman"/>
                <w:color w:val="000000"/>
                <w:sz w:val="28"/>
                <w:szCs w:val="28"/>
              </w:rPr>
              <w:t>p.</w:t>
            </w:r>
            <w:r w:rsidR="0080140B">
              <w:rPr>
                <w:rFonts w:ascii="Times New Roman" w:eastAsia="Times New Roman" w:hAnsi="Times New Roman"/>
                <w:color w:val="000000"/>
                <w:sz w:val="28"/>
                <w:szCs w:val="28"/>
              </w:rPr>
              <w:t> </w:t>
            </w:r>
            <w:r w:rsidRPr="000C3F4A">
              <w:rPr>
                <w:rFonts w:ascii="Times New Roman" w:eastAsia="Times New Roman" w:hAnsi="Times New Roman"/>
                <w:color w:val="000000"/>
                <w:sz w:val="28"/>
                <w:szCs w:val="28"/>
              </w:rPr>
              <w:t xml:space="preserve">k. </w:t>
            </w:r>
          </w:p>
        </w:tc>
        <w:tc>
          <w:tcPr>
            <w:tcW w:w="3700" w:type="dxa"/>
            <w:tcBorders>
              <w:top w:val="single" w:sz="4" w:space="0" w:color="000000"/>
              <w:left w:val="single" w:sz="4" w:space="0" w:color="000000"/>
              <w:bottom w:val="single" w:sz="4" w:space="0" w:color="000000"/>
              <w:right w:val="single" w:sz="4" w:space="0" w:color="000000"/>
            </w:tcBorders>
            <w:vAlign w:val="center"/>
          </w:tcPr>
          <w:p w14:paraId="42DBF602" w14:textId="77777777" w:rsidR="00CC4945" w:rsidRPr="0080140B" w:rsidRDefault="00CC4945" w:rsidP="00270F46">
            <w:pPr>
              <w:ind w:right="57"/>
              <w:rPr>
                <w:rFonts w:ascii="Times New Roman" w:eastAsia="Times New Roman" w:hAnsi="Times New Roman"/>
                <w:color w:val="000000"/>
                <w:sz w:val="28"/>
                <w:szCs w:val="28"/>
              </w:rPr>
            </w:pPr>
            <w:r w:rsidRPr="000C3F4A">
              <w:rPr>
                <w:rFonts w:ascii="Times New Roman" w:eastAsia="Times New Roman" w:hAnsi="Times New Roman"/>
                <w:color w:val="000000"/>
                <w:sz w:val="28"/>
                <w:szCs w:val="28"/>
              </w:rPr>
              <w:t xml:space="preserve">Iznākuma rādītājs </w:t>
            </w:r>
          </w:p>
        </w:tc>
        <w:tc>
          <w:tcPr>
            <w:tcW w:w="1304" w:type="dxa"/>
            <w:tcBorders>
              <w:top w:val="single" w:sz="4" w:space="0" w:color="000000"/>
              <w:left w:val="single" w:sz="4" w:space="0" w:color="000000"/>
              <w:bottom w:val="single" w:sz="4" w:space="0" w:color="000000"/>
              <w:right w:val="single" w:sz="4" w:space="0" w:color="000000"/>
            </w:tcBorders>
            <w:vAlign w:val="center"/>
          </w:tcPr>
          <w:p w14:paraId="0B7994C1" w14:textId="77777777" w:rsidR="00CC4945" w:rsidRPr="0080140B" w:rsidRDefault="00CC4945" w:rsidP="00270F46">
            <w:pPr>
              <w:rPr>
                <w:rFonts w:ascii="Times New Roman" w:eastAsia="Times New Roman" w:hAnsi="Times New Roman"/>
                <w:color w:val="000000"/>
                <w:sz w:val="28"/>
                <w:szCs w:val="28"/>
              </w:rPr>
            </w:pPr>
            <w:r w:rsidRPr="000C3F4A">
              <w:rPr>
                <w:rFonts w:ascii="Times New Roman" w:eastAsia="Times New Roman" w:hAnsi="Times New Roman"/>
                <w:color w:val="000000"/>
                <w:sz w:val="28"/>
                <w:szCs w:val="28"/>
              </w:rPr>
              <w:t xml:space="preserve">Mērvienība </w:t>
            </w:r>
          </w:p>
        </w:tc>
        <w:tc>
          <w:tcPr>
            <w:tcW w:w="1795" w:type="dxa"/>
            <w:tcBorders>
              <w:top w:val="single" w:sz="4" w:space="0" w:color="000000"/>
              <w:left w:val="single" w:sz="4" w:space="0" w:color="000000"/>
              <w:bottom w:val="single" w:sz="4" w:space="0" w:color="000000"/>
              <w:right w:val="single" w:sz="4" w:space="0" w:color="000000"/>
            </w:tcBorders>
            <w:vAlign w:val="center"/>
          </w:tcPr>
          <w:p w14:paraId="524C646A" w14:textId="15D3A83B" w:rsidR="00CC4945" w:rsidRPr="0080140B" w:rsidRDefault="00CC4945" w:rsidP="000C3F4A">
            <w:pPr>
              <w:jc w:val="center"/>
              <w:rPr>
                <w:rFonts w:ascii="Times New Roman" w:eastAsia="Times New Roman" w:hAnsi="Times New Roman"/>
                <w:color w:val="000000"/>
                <w:sz w:val="28"/>
                <w:szCs w:val="28"/>
              </w:rPr>
            </w:pPr>
            <w:proofErr w:type="spellStart"/>
            <w:r w:rsidRPr="000C3F4A">
              <w:rPr>
                <w:rFonts w:ascii="Times New Roman" w:eastAsia="Times New Roman" w:hAnsi="Times New Roman"/>
                <w:color w:val="000000"/>
                <w:sz w:val="28"/>
                <w:szCs w:val="28"/>
              </w:rPr>
              <w:t>Starpvērtība</w:t>
            </w:r>
            <w:proofErr w:type="spellEnd"/>
            <w:r w:rsidRPr="000C3F4A">
              <w:rPr>
                <w:rFonts w:ascii="Times New Roman" w:eastAsia="Times New Roman" w:hAnsi="Times New Roman"/>
                <w:color w:val="000000"/>
                <w:sz w:val="28"/>
                <w:szCs w:val="28"/>
              </w:rPr>
              <w:t xml:space="preserve"> (</w:t>
            </w:r>
            <w:r w:rsidR="0080140B">
              <w:rPr>
                <w:rFonts w:ascii="Times New Roman" w:eastAsia="Times New Roman" w:hAnsi="Times New Roman"/>
                <w:color w:val="000000"/>
                <w:sz w:val="28"/>
                <w:szCs w:val="28"/>
              </w:rPr>
              <w:t>divus</w:t>
            </w:r>
            <w:r w:rsidR="0080140B" w:rsidRPr="000C3F4A">
              <w:rPr>
                <w:rFonts w:ascii="Times New Roman" w:eastAsia="Times New Roman" w:hAnsi="Times New Roman"/>
                <w:color w:val="000000"/>
                <w:sz w:val="28"/>
                <w:szCs w:val="28"/>
              </w:rPr>
              <w:t xml:space="preserve"> gad</w:t>
            </w:r>
            <w:r w:rsidR="0080140B">
              <w:rPr>
                <w:rFonts w:ascii="Times New Roman" w:eastAsia="Times New Roman" w:hAnsi="Times New Roman"/>
                <w:color w:val="000000"/>
                <w:sz w:val="28"/>
                <w:szCs w:val="28"/>
              </w:rPr>
              <w:t>us</w:t>
            </w:r>
            <w:r w:rsidR="0080140B" w:rsidRPr="000C3F4A">
              <w:rPr>
                <w:rFonts w:ascii="Times New Roman" w:eastAsia="Times New Roman" w:hAnsi="Times New Roman"/>
                <w:color w:val="000000"/>
                <w:sz w:val="28"/>
                <w:szCs w:val="28"/>
              </w:rPr>
              <w:t xml:space="preserve"> </w:t>
            </w:r>
            <w:r w:rsidRPr="000C3F4A">
              <w:rPr>
                <w:rFonts w:ascii="Times New Roman" w:eastAsia="Times New Roman" w:hAnsi="Times New Roman"/>
                <w:color w:val="000000"/>
                <w:sz w:val="28"/>
                <w:szCs w:val="28"/>
              </w:rPr>
              <w:t>pēc</w:t>
            </w:r>
          </w:p>
          <w:p w14:paraId="57B5081B" w14:textId="42AEA536" w:rsidR="00CC4945" w:rsidRPr="0080140B" w:rsidRDefault="00CC4945" w:rsidP="000C3F4A">
            <w:pPr>
              <w:jc w:val="center"/>
              <w:rPr>
                <w:rFonts w:ascii="Times New Roman" w:eastAsia="Times New Roman" w:hAnsi="Times New Roman"/>
                <w:color w:val="000000"/>
                <w:sz w:val="28"/>
                <w:szCs w:val="28"/>
              </w:rPr>
            </w:pPr>
            <w:r w:rsidRPr="000C3F4A">
              <w:rPr>
                <w:rFonts w:ascii="Times New Roman" w:eastAsia="Times New Roman" w:hAnsi="Times New Roman"/>
                <w:color w:val="000000"/>
                <w:sz w:val="28"/>
                <w:szCs w:val="28"/>
              </w:rPr>
              <w:t>projekta sākuma)</w:t>
            </w:r>
          </w:p>
        </w:tc>
        <w:tc>
          <w:tcPr>
            <w:tcW w:w="1693" w:type="dxa"/>
            <w:tcBorders>
              <w:top w:val="single" w:sz="4" w:space="0" w:color="000000"/>
              <w:left w:val="single" w:sz="4" w:space="0" w:color="000000"/>
              <w:bottom w:val="single" w:sz="4" w:space="0" w:color="000000"/>
              <w:right w:val="single" w:sz="4" w:space="0" w:color="000000"/>
            </w:tcBorders>
            <w:vAlign w:val="center"/>
          </w:tcPr>
          <w:p w14:paraId="5704C63B" w14:textId="4104D592" w:rsidR="00CC4945" w:rsidRPr="0080140B" w:rsidRDefault="00CC4945" w:rsidP="000C3F4A">
            <w:pPr>
              <w:jc w:val="center"/>
              <w:rPr>
                <w:rFonts w:ascii="Times New Roman" w:eastAsia="Times New Roman" w:hAnsi="Times New Roman"/>
                <w:color w:val="000000"/>
                <w:sz w:val="28"/>
                <w:szCs w:val="28"/>
              </w:rPr>
            </w:pPr>
            <w:r w:rsidRPr="000C3F4A">
              <w:rPr>
                <w:rFonts w:ascii="Times New Roman" w:eastAsia="Times New Roman" w:hAnsi="Times New Roman"/>
                <w:color w:val="000000"/>
                <w:sz w:val="28"/>
                <w:szCs w:val="28"/>
              </w:rPr>
              <w:t>Sasniedzamā vērtība</w:t>
            </w:r>
          </w:p>
          <w:p w14:paraId="6D3597C7" w14:textId="71820A6B" w:rsidR="00CC4945" w:rsidRPr="0080140B" w:rsidRDefault="00CC4945" w:rsidP="000C3F4A">
            <w:pPr>
              <w:ind w:left="14"/>
              <w:jc w:val="center"/>
              <w:rPr>
                <w:rFonts w:ascii="Times New Roman" w:eastAsia="Times New Roman" w:hAnsi="Times New Roman"/>
                <w:color w:val="000000"/>
                <w:sz w:val="28"/>
                <w:szCs w:val="28"/>
              </w:rPr>
            </w:pPr>
            <w:r w:rsidRPr="000C3F4A">
              <w:rPr>
                <w:rFonts w:ascii="Times New Roman" w:eastAsia="Times New Roman" w:hAnsi="Times New Roman"/>
                <w:color w:val="000000"/>
                <w:sz w:val="28"/>
                <w:szCs w:val="28"/>
              </w:rPr>
              <w:t>projekta beigās</w:t>
            </w:r>
          </w:p>
        </w:tc>
      </w:tr>
      <w:tr w:rsidR="00CC4945" w:rsidRPr="00CC4945" w14:paraId="7329D1A6" w14:textId="77777777" w:rsidTr="000C3F4A">
        <w:trPr>
          <w:trHeight w:val="636"/>
        </w:trPr>
        <w:tc>
          <w:tcPr>
            <w:tcW w:w="572" w:type="dxa"/>
            <w:tcBorders>
              <w:top w:val="single" w:sz="4" w:space="0" w:color="000000"/>
              <w:left w:val="single" w:sz="4" w:space="0" w:color="000000"/>
              <w:bottom w:val="single" w:sz="4" w:space="0" w:color="000000"/>
              <w:right w:val="single" w:sz="4" w:space="0" w:color="000000"/>
            </w:tcBorders>
          </w:tcPr>
          <w:p w14:paraId="4B3DEBEB" w14:textId="24D6968C" w:rsidR="00CC4945" w:rsidRPr="00CC4945" w:rsidRDefault="00CC4945" w:rsidP="00270F46">
            <w:pPr>
              <w:ind w:left="3"/>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1</w:t>
            </w:r>
            <w:r w:rsidR="0080140B">
              <w:rPr>
                <w:rFonts w:ascii="Times New Roman" w:eastAsia="Times New Roman" w:hAnsi="Times New Roman"/>
                <w:color w:val="000000"/>
                <w:sz w:val="28"/>
                <w:szCs w:val="28"/>
              </w:rPr>
              <w:t>.</w:t>
            </w:r>
            <w:r w:rsidRPr="00CC4945">
              <w:rPr>
                <w:rFonts w:ascii="Times New Roman" w:eastAsia="Times New Roman" w:hAnsi="Times New Roman"/>
                <w:color w:val="000000"/>
                <w:sz w:val="28"/>
                <w:szCs w:val="28"/>
              </w:rPr>
              <w:t xml:space="preserve"> </w:t>
            </w:r>
          </w:p>
        </w:tc>
        <w:tc>
          <w:tcPr>
            <w:tcW w:w="3700" w:type="dxa"/>
            <w:tcBorders>
              <w:top w:val="single" w:sz="4" w:space="0" w:color="000000"/>
              <w:left w:val="single" w:sz="4" w:space="0" w:color="000000"/>
              <w:bottom w:val="single" w:sz="4" w:space="0" w:color="000000"/>
              <w:right w:val="single" w:sz="4" w:space="0" w:color="000000"/>
            </w:tcBorders>
          </w:tcPr>
          <w:p w14:paraId="2190736F" w14:textId="77777777" w:rsidR="00CC4945" w:rsidRPr="00CC4945"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Pilnveidoti vai no jauna izstrādāti publiskās pārvaldes procesi </w:t>
            </w:r>
          </w:p>
        </w:tc>
        <w:tc>
          <w:tcPr>
            <w:tcW w:w="1304" w:type="dxa"/>
            <w:tcBorders>
              <w:top w:val="single" w:sz="4" w:space="0" w:color="000000"/>
              <w:left w:val="single" w:sz="4" w:space="0" w:color="000000"/>
              <w:bottom w:val="single" w:sz="4" w:space="0" w:color="000000"/>
              <w:right w:val="single" w:sz="4" w:space="0" w:color="000000"/>
            </w:tcBorders>
          </w:tcPr>
          <w:p w14:paraId="3DA933BA" w14:textId="77777777" w:rsidR="00CC4945" w:rsidRPr="00CC4945" w:rsidRDefault="00CC4945" w:rsidP="000C3F4A">
            <w:pPr>
              <w:ind w:right="59"/>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 xml:space="preserve">Skaits </w:t>
            </w:r>
          </w:p>
        </w:tc>
        <w:tc>
          <w:tcPr>
            <w:tcW w:w="1795" w:type="dxa"/>
            <w:tcBorders>
              <w:top w:val="single" w:sz="4" w:space="0" w:color="000000"/>
              <w:left w:val="single" w:sz="4" w:space="0" w:color="000000"/>
              <w:bottom w:val="single" w:sz="4" w:space="0" w:color="000000"/>
              <w:right w:val="single" w:sz="4" w:space="0" w:color="000000"/>
            </w:tcBorders>
          </w:tcPr>
          <w:p w14:paraId="1F324E93" w14:textId="0F46FD4F" w:rsidR="00CC4945" w:rsidRPr="00CC4945" w:rsidRDefault="00CC4945" w:rsidP="000C3F4A">
            <w:pPr>
              <w:ind w:right="62"/>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0</w:t>
            </w:r>
          </w:p>
        </w:tc>
        <w:tc>
          <w:tcPr>
            <w:tcW w:w="1693" w:type="dxa"/>
            <w:tcBorders>
              <w:top w:val="single" w:sz="4" w:space="0" w:color="000000"/>
              <w:left w:val="single" w:sz="4" w:space="0" w:color="000000"/>
              <w:bottom w:val="single" w:sz="4" w:space="0" w:color="000000"/>
              <w:right w:val="single" w:sz="4" w:space="0" w:color="000000"/>
            </w:tcBorders>
          </w:tcPr>
          <w:p w14:paraId="67FD155F" w14:textId="77777777" w:rsidR="00CC4945" w:rsidRPr="00CC4945" w:rsidRDefault="00CC4945" w:rsidP="000C3F4A">
            <w:pPr>
              <w:ind w:right="59"/>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3</w:t>
            </w:r>
          </w:p>
        </w:tc>
      </w:tr>
      <w:tr w:rsidR="00CC4945" w:rsidRPr="00CC4945" w14:paraId="11B55DC5" w14:textId="77777777" w:rsidTr="000C3F4A">
        <w:trPr>
          <w:trHeight w:val="636"/>
        </w:trPr>
        <w:tc>
          <w:tcPr>
            <w:tcW w:w="572" w:type="dxa"/>
            <w:tcBorders>
              <w:top w:val="single" w:sz="4" w:space="0" w:color="000000"/>
              <w:left w:val="single" w:sz="4" w:space="0" w:color="000000"/>
              <w:bottom w:val="single" w:sz="4" w:space="0" w:color="000000"/>
              <w:right w:val="single" w:sz="4" w:space="0" w:color="000000"/>
            </w:tcBorders>
          </w:tcPr>
          <w:p w14:paraId="265CBBFA" w14:textId="575A2D15" w:rsidR="00CC4945" w:rsidRPr="00CC4945" w:rsidRDefault="00CC4945" w:rsidP="00270F46">
            <w:pPr>
              <w:ind w:left="3"/>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2</w:t>
            </w:r>
            <w:r w:rsidR="0080140B">
              <w:rPr>
                <w:rFonts w:ascii="Times New Roman" w:eastAsia="Times New Roman" w:hAnsi="Times New Roman"/>
                <w:color w:val="000000"/>
                <w:sz w:val="28"/>
                <w:szCs w:val="28"/>
              </w:rPr>
              <w:t>.</w:t>
            </w:r>
          </w:p>
        </w:tc>
        <w:tc>
          <w:tcPr>
            <w:tcW w:w="3700" w:type="dxa"/>
            <w:tcBorders>
              <w:top w:val="single" w:sz="4" w:space="0" w:color="000000"/>
              <w:left w:val="single" w:sz="4" w:space="0" w:color="000000"/>
              <w:bottom w:val="single" w:sz="4" w:space="0" w:color="000000"/>
              <w:right w:val="single" w:sz="4" w:space="0" w:color="000000"/>
            </w:tcBorders>
          </w:tcPr>
          <w:p w14:paraId="4EA4243C" w14:textId="77777777" w:rsidR="00CC4945" w:rsidRPr="00CC4945"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Publicētas atvērto datu kopas</w:t>
            </w:r>
          </w:p>
        </w:tc>
        <w:tc>
          <w:tcPr>
            <w:tcW w:w="1304" w:type="dxa"/>
            <w:tcBorders>
              <w:top w:val="single" w:sz="4" w:space="0" w:color="000000"/>
              <w:left w:val="single" w:sz="4" w:space="0" w:color="000000"/>
              <w:bottom w:val="single" w:sz="4" w:space="0" w:color="000000"/>
              <w:right w:val="single" w:sz="4" w:space="0" w:color="000000"/>
            </w:tcBorders>
          </w:tcPr>
          <w:p w14:paraId="0A0EF767" w14:textId="77777777" w:rsidR="00CC4945" w:rsidRPr="00CC4945" w:rsidRDefault="00CC4945" w:rsidP="000C3F4A">
            <w:pPr>
              <w:ind w:right="59"/>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Skaits</w:t>
            </w:r>
          </w:p>
        </w:tc>
        <w:tc>
          <w:tcPr>
            <w:tcW w:w="1795" w:type="dxa"/>
            <w:tcBorders>
              <w:top w:val="single" w:sz="4" w:space="0" w:color="000000"/>
              <w:left w:val="single" w:sz="4" w:space="0" w:color="000000"/>
              <w:bottom w:val="single" w:sz="4" w:space="0" w:color="000000"/>
              <w:right w:val="single" w:sz="4" w:space="0" w:color="000000"/>
            </w:tcBorders>
          </w:tcPr>
          <w:p w14:paraId="7B35E994" w14:textId="77777777" w:rsidR="00CC4945" w:rsidRPr="00CC4945" w:rsidRDefault="00CC4945" w:rsidP="000C3F4A">
            <w:pPr>
              <w:ind w:right="62"/>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0</w:t>
            </w:r>
          </w:p>
        </w:tc>
        <w:tc>
          <w:tcPr>
            <w:tcW w:w="1693" w:type="dxa"/>
            <w:tcBorders>
              <w:top w:val="single" w:sz="4" w:space="0" w:color="000000"/>
              <w:left w:val="single" w:sz="4" w:space="0" w:color="000000"/>
              <w:bottom w:val="single" w:sz="4" w:space="0" w:color="000000"/>
              <w:right w:val="single" w:sz="4" w:space="0" w:color="000000"/>
            </w:tcBorders>
          </w:tcPr>
          <w:p w14:paraId="5E4ED7B0" w14:textId="77777777" w:rsidR="00CC4945" w:rsidRPr="00CC4945" w:rsidRDefault="00CC4945" w:rsidP="000C3F4A">
            <w:pPr>
              <w:ind w:right="59"/>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5</w:t>
            </w:r>
          </w:p>
        </w:tc>
      </w:tr>
      <w:tr w:rsidR="00CC4945" w:rsidRPr="00CC4945" w14:paraId="7E19CC4E" w14:textId="77777777" w:rsidTr="000C3F4A">
        <w:trPr>
          <w:trHeight w:val="636"/>
        </w:trPr>
        <w:tc>
          <w:tcPr>
            <w:tcW w:w="572" w:type="dxa"/>
            <w:tcBorders>
              <w:top w:val="single" w:sz="4" w:space="0" w:color="000000"/>
              <w:left w:val="single" w:sz="4" w:space="0" w:color="000000"/>
              <w:bottom w:val="single" w:sz="4" w:space="0" w:color="000000"/>
              <w:right w:val="single" w:sz="4" w:space="0" w:color="000000"/>
            </w:tcBorders>
          </w:tcPr>
          <w:p w14:paraId="75DB1871" w14:textId="39806F9F" w:rsidR="00CC4945" w:rsidRPr="00CC4945" w:rsidRDefault="00CC4945" w:rsidP="00270F46">
            <w:pPr>
              <w:ind w:left="3"/>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3</w:t>
            </w:r>
            <w:r w:rsidR="0080140B">
              <w:rPr>
                <w:rFonts w:ascii="Times New Roman" w:eastAsia="Times New Roman" w:hAnsi="Times New Roman"/>
                <w:color w:val="000000"/>
                <w:sz w:val="28"/>
                <w:szCs w:val="28"/>
              </w:rPr>
              <w:t>.</w:t>
            </w:r>
          </w:p>
        </w:tc>
        <w:tc>
          <w:tcPr>
            <w:tcW w:w="3700" w:type="dxa"/>
            <w:tcBorders>
              <w:top w:val="single" w:sz="4" w:space="0" w:color="000000"/>
              <w:left w:val="single" w:sz="4" w:space="0" w:color="000000"/>
              <w:bottom w:val="single" w:sz="4" w:space="0" w:color="000000"/>
              <w:right w:val="single" w:sz="4" w:space="0" w:color="000000"/>
            </w:tcBorders>
          </w:tcPr>
          <w:p w14:paraId="7145AAFF" w14:textId="77777777" w:rsidR="00CC4945" w:rsidRPr="00CC4945" w:rsidRDefault="00CC4945" w:rsidP="000C3F4A">
            <w:pPr>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Izveidots e-pakalpojums</w:t>
            </w:r>
          </w:p>
        </w:tc>
        <w:tc>
          <w:tcPr>
            <w:tcW w:w="1304" w:type="dxa"/>
            <w:tcBorders>
              <w:top w:val="single" w:sz="4" w:space="0" w:color="000000"/>
              <w:left w:val="single" w:sz="4" w:space="0" w:color="000000"/>
              <w:bottom w:val="single" w:sz="4" w:space="0" w:color="000000"/>
              <w:right w:val="single" w:sz="4" w:space="0" w:color="000000"/>
            </w:tcBorders>
          </w:tcPr>
          <w:p w14:paraId="18BDF3E6" w14:textId="77777777" w:rsidR="00CC4945" w:rsidRPr="00CC4945" w:rsidRDefault="00CC4945" w:rsidP="000C3F4A">
            <w:pPr>
              <w:ind w:right="59"/>
              <w:jc w:val="left"/>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Skaits</w:t>
            </w:r>
          </w:p>
        </w:tc>
        <w:tc>
          <w:tcPr>
            <w:tcW w:w="1795" w:type="dxa"/>
            <w:tcBorders>
              <w:top w:val="single" w:sz="4" w:space="0" w:color="000000"/>
              <w:left w:val="single" w:sz="4" w:space="0" w:color="000000"/>
              <w:bottom w:val="single" w:sz="4" w:space="0" w:color="000000"/>
              <w:right w:val="single" w:sz="4" w:space="0" w:color="000000"/>
            </w:tcBorders>
          </w:tcPr>
          <w:p w14:paraId="4A426A63" w14:textId="77777777" w:rsidR="00CC4945" w:rsidRPr="00CC4945" w:rsidRDefault="00CC4945" w:rsidP="000C3F4A">
            <w:pPr>
              <w:ind w:right="62"/>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1</w:t>
            </w:r>
          </w:p>
        </w:tc>
        <w:tc>
          <w:tcPr>
            <w:tcW w:w="1693" w:type="dxa"/>
            <w:tcBorders>
              <w:top w:val="single" w:sz="4" w:space="0" w:color="000000"/>
              <w:left w:val="single" w:sz="4" w:space="0" w:color="000000"/>
              <w:bottom w:val="single" w:sz="4" w:space="0" w:color="000000"/>
              <w:right w:val="single" w:sz="4" w:space="0" w:color="000000"/>
            </w:tcBorders>
          </w:tcPr>
          <w:p w14:paraId="70F83BC4" w14:textId="77777777" w:rsidR="00CC4945" w:rsidRPr="00CC4945" w:rsidRDefault="00CC4945" w:rsidP="000C3F4A">
            <w:pPr>
              <w:ind w:right="59"/>
              <w:jc w:val="center"/>
              <w:rPr>
                <w:rFonts w:ascii="Times New Roman" w:eastAsia="Times New Roman" w:hAnsi="Times New Roman"/>
                <w:color w:val="000000"/>
                <w:sz w:val="28"/>
                <w:szCs w:val="28"/>
              </w:rPr>
            </w:pPr>
            <w:r w:rsidRPr="00CC4945">
              <w:rPr>
                <w:rFonts w:ascii="Times New Roman" w:eastAsia="Times New Roman" w:hAnsi="Times New Roman"/>
                <w:color w:val="000000"/>
                <w:sz w:val="28"/>
                <w:szCs w:val="28"/>
              </w:rPr>
              <w:t>1</w:t>
            </w:r>
          </w:p>
        </w:tc>
      </w:tr>
    </w:tbl>
    <w:p w14:paraId="325AA0F8" w14:textId="77777777" w:rsidR="00CC4945" w:rsidRDefault="00CC4945" w:rsidP="00270F46">
      <w:pPr>
        <w:ind w:left="-5" w:hanging="10"/>
        <w:rPr>
          <w:rFonts w:ascii="Times New Roman" w:eastAsia="Times New Roman" w:hAnsi="Times New Roman"/>
          <w:b/>
          <w:color w:val="000000"/>
          <w:sz w:val="28"/>
          <w:szCs w:val="28"/>
          <w:u w:val="single" w:color="000000"/>
          <w:lang w:eastAsia="lv-LV"/>
        </w:rPr>
      </w:pPr>
    </w:p>
    <w:p w14:paraId="3EBFC126" w14:textId="057618F9" w:rsidR="00CC4945" w:rsidRPr="0080140B" w:rsidRDefault="00CC4945" w:rsidP="000C3F4A">
      <w:pPr>
        <w:ind w:left="-5" w:hanging="10"/>
        <w:jc w:val="center"/>
        <w:rPr>
          <w:rFonts w:ascii="Times New Roman" w:eastAsia="Times New Roman" w:hAnsi="Times New Roman"/>
          <w:color w:val="000000"/>
          <w:sz w:val="28"/>
          <w:szCs w:val="28"/>
          <w:lang w:eastAsia="lv-LV"/>
        </w:rPr>
      </w:pPr>
      <w:r w:rsidRPr="000C3F4A">
        <w:rPr>
          <w:rFonts w:ascii="Times New Roman" w:eastAsia="Times New Roman" w:hAnsi="Times New Roman"/>
          <w:b/>
          <w:color w:val="000000"/>
          <w:sz w:val="28"/>
          <w:szCs w:val="28"/>
          <w:lang w:eastAsia="lv-LV"/>
        </w:rPr>
        <w:t>Saistība ar iepriekšējā plānošanas perioda projektiem, projekta lietderība un ieguldījums</w:t>
      </w:r>
      <w:r w:rsidRPr="0080140B">
        <w:rPr>
          <w:rFonts w:ascii="Times New Roman" w:eastAsia="Times New Roman" w:hAnsi="Times New Roman"/>
          <w:b/>
          <w:color w:val="000000"/>
          <w:sz w:val="28"/>
          <w:szCs w:val="28"/>
          <w:lang w:eastAsia="lv-LV"/>
        </w:rPr>
        <w:t xml:space="preserve"> </w:t>
      </w:r>
      <w:r w:rsidR="0080140B">
        <w:rPr>
          <w:rFonts w:ascii="Times New Roman" w:eastAsia="Times New Roman" w:hAnsi="Times New Roman"/>
          <w:b/>
          <w:color w:val="000000"/>
          <w:sz w:val="28"/>
          <w:szCs w:val="28"/>
          <w:lang w:eastAsia="lv-LV"/>
        </w:rPr>
        <w:t>specifiskā atbalsta mērķa</w:t>
      </w:r>
      <w:r w:rsidR="0080140B" w:rsidRPr="000C3F4A">
        <w:rPr>
          <w:rFonts w:ascii="Times New Roman" w:eastAsia="Times New Roman" w:hAnsi="Times New Roman"/>
          <w:b/>
          <w:color w:val="000000"/>
          <w:sz w:val="28"/>
          <w:szCs w:val="28"/>
          <w:lang w:eastAsia="lv-LV"/>
        </w:rPr>
        <w:t xml:space="preserve"> rezultāt</w:t>
      </w:r>
      <w:r w:rsidR="000427FD">
        <w:rPr>
          <w:rFonts w:ascii="Times New Roman" w:eastAsia="Times New Roman" w:hAnsi="Times New Roman"/>
          <w:b/>
          <w:color w:val="000000"/>
          <w:sz w:val="28"/>
          <w:szCs w:val="28"/>
          <w:lang w:eastAsia="lv-LV"/>
        </w:rPr>
        <w:t>a rādītājos</w:t>
      </w:r>
      <w:r w:rsidR="0080140B" w:rsidRPr="000C3F4A">
        <w:rPr>
          <w:rFonts w:ascii="Times New Roman" w:eastAsia="Times New Roman" w:hAnsi="Times New Roman"/>
          <w:b/>
          <w:color w:val="000000"/>
          <w:sz w:val="28"/>
          <w:szCs w:val="28"/>
          <w:lang w:eastAsia="lv-LV"/>
        </w:rPr>
        <w:t xml:space="preserve"> </w:t>
      </w:r>
    </w:p>
    <w:p w14:paraId="5D61AF89" w14:textId="77777777" w:rsidR="00CC4945" w:rsidRPr="00CC4945" w:rsidRDefault="00CC4945" w:rsidP="000C3F4A">
      <w:pPr>
        <w:ind w:left="-5" w:firstLine="714"/>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Projektam nav tiešas saistības ar iepriekšējā plānošanas periodā izstrādātiem projektiem. </w:t>
      </w:r>
    </w:p>
    <w:p w14:paraId="079807B8" w14:textId="1EA8CD9E" w:rsidR="00CC4945" w:rsidRPr="00CC4945" w:rsidRDefault="00CC4945" w:rsidP="000C3F4A">
      <w:pPr>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Projekta </w:t>
      </w:r>
      <w:r w:rsidR="0080140B">
        <w:rPr>
          <w:rFonts w:ascii="Times New Roman" w:eastAsia="Times New Roman" w:hAnsi="Times New Roman"/>
          <w:color w:val="000000"/>
          <w:sz w:val="28"/>
          <w:szCs w:val="28"/>
          <w:lang w:eastAsia="lv-LV"/>
        </w:rPr>
        <w:t>īstenošana</w:t>
      </w:r>
      <w:r w:rsidR="0080140B"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kopumā sekmē: </w:t>
      </w:r>
    </w:p>
    <w:p w14:paraId="6E6CD55D" w14:textId="4CE4F2FA" w:rsidR="00CC4945" w:rsidRPr="00CC4945" w:rsidRDefault="00CC4945" w:rsidP="00270F46">
      <w:pPr>
        <w:numPr>
          <w:ilvl w:val="0"/>
          <w:numId w:val="11"/>
        </w:numPr>
        <w:ind w:hanging="36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Informācijas sabiedrības attīstības pamatnostādņu 2014.</w:t>
      </w:r>
      <w:r w:rsidR="0080140B">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 xml:space="preserve">2020. gadam sasniegšanu; </w:t>
      </w:r>
    </w:p>
    <w:p w14:paraId="6042417A" w14:textId="064A2CBA" w:rsidR="00CC4945" w:rsidRPr="00CC4945" w:rsidRDefault="00CC4945" w:rsidP="00270F46">
      <w:pPr>
        <w:numPr>
          <w:ilvl w:val="0"/>
          <w:numId w:val="11"/>
        </w:numPr>
        <w:ind w:hanging="36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administratīv</w:t>
      </w:r>
      <w:r w:rsidR="00453307">
        <w:rPr>
          <w:rFonts w:ascii="Times New Roman" w:eastAsia="Times New Roman" w:hAnsi="Times New Roman"/>
          <w:color w:val="000000"/>
          <w:sz w:val="28"/>
          <w:szCs w:val="28"/>
          <w:lang w:eastAsia="lv-LV"/>
        </w:rPr>
        <w:t>ā</w:t>
      </w:r>
      <w:r w:rsidRPr="00CC4945">
        <w:rPr>
          <w:rFonts w:ascii="Times New Roman" w:eastAsia="Times New Roman" w:hAnsi="Times New Roman"/>
          <w:color w:val="000000"/>
          <w:sz w:val="28"/>
          <w:szCs w:val="28"/>
          <w:lang w:eastAsia="lv-LV"/>
        </w:rPr>
        <w:t xml:space="preserve"> sloga samazināšanu valsts pārvaldē; </w:t>
      </w:r>
    </w:p>
    <w:p w14:paraId="68D6C65A" w14:textId="77777777" w:rsidR="00CC4945" w:rsidRPr="00CC4945" w:rsidRDefault="00CC4945" w:rsidP="00270F46">
      <w:pPr>
        <w:numPr>
          <w:ilvl w:val="0"/>
          <w:numId w:val="11"/>
        </w:numPr>
        <w:ind w:hanging="36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publiskās pārvaldes efektivitāti; </w:t>
      </w:r>
    </w:p>
    <w:p w14:paraId="12844D27" w14:textId="77777777" w:rsidR="00CC4945" w:rsidRPr="00CC4945" w:rsidRDefault="00CC4945" w:rsidP="00270F46">
      <w:pPr>
        <w:numPr>
          <w:ilvl w:val="0"/>
          <w:numId w:val="11"/>
        </w:numPr>
        <w:ind w:hanging="36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publiskās pārvaldes informācijas pieejamību. </w:t>
      </w:r>
    </w:p>
    <w:p w14:paraId="78909E91" w14:textId="0ECD1A04" w:rsidR="00CC4945" w:rsidRPr="00CC4945" w:rsidRDefault="00CC4945" w:rsidP="000C3F4A">
      <w:pPr>
        <w:ind w:left="-5" w:firstLine="714"/>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Atbilstoši projekta plānotajam budžetam </w:t>
      </w:r>
      <w:r w:rsidR="00930510">
        <w:rPr>
          <w:rFonts w:ascii="Times New Roman" w:eastAsia="Times New Roman" w:hAnsi="Times New Roman"/>
          <w:color w:val="000000"/>
          <w:sz w:val="28"/>
          <w:szCs w:val="28"/>
          <w:lang w:eastAsia="lv-LV"/>
        </w:rPr>
        <w:t>p</w:t>
      </w:r>
      <w:r w:rsidRPr="00CC4945">
        <w:rPr>
          <w:rFonts w:ascii="Times New Roman" w:eastAsia="Times New Roman" w:hAnsi="Times New Roman"/>
          <w:color w:val="000000"/>
          <w:sz w:val="28"/>
          <w:szCs w:val="28"/>
          <w:lang w:eastAsia="lv-LV"/>
        </w:rPr>
        <w:t xml:space="preserve">rojekta izmaksas ir </w:t>
      </w:r>
      <w:r w:rsidR="000427FD" w:rsidRPr="00CC4945">
        <w:rPr>
          <w:rFonts w:ascii="Times New Roman" w:eastAsia="Times New Roman" w:hAnsi="Times New Roman"/>
          <w:color w:val="000000"/>
          <w:sz w:val="28"/>
          <w:szCs w:val="28"/>
          <w:lang w:eastAsia="lv-LV"/>
        </w:rPr>
        <w:t>1</w:t>
      </w:r>
      <w:r w:rsidR="000427FD">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227</w:t>
      </w:r>
      <w:r w:rsidR="000427FD">
        <w:rPr>
          <w:rFonts w:ascii="Times New Roman" w:eastAsia="Times New Roman" w:hAnsi="Times New Roman"/>
          <w:color w:val="000000"/>
          <w:sz w:val="28"/>
          <w:szCs w:val="28"/>
          <w:lang w:eastAsia="lv-LV"/>
        </w:rPr>
        <w:t> </w:t>
      </w:r>
      <w:r w:rsidR="000427FD" w:rsidRPr="00CC4945">
        <w:rPr>
          <w:rFonts w:ascii="Times New Roman" w:eastAsia="Times New Roman" w:hAnsi="Times New Roman"/>
          <w:color w:val="000000"/>
          <w:sz w:val="28"/>
          <w:szCs w:val="28"/>
          <w:lang w:eastAsia="lv-LV"/>
        </w:rPr>
        <w:t>000</w:t>
      </w:r>
      <w:r w:rsidR="000427FD">
        <w:rPr>
          <w:rFonts w:ascii="Times New Roman" w:eastAsia="Times New Roman" w:hAnsi="Times New Roman"/>
          <w:color w:val="000000"/>
          <w:sz w:val="28"/>
          <w:szCs w:val="28"/>
          <w:lang w:eastAsia="lv-LV"/>
        </w:rPr>
        <w:t> </w:t>
      </w:r>
      <w:r w:rsidR="000427FD" w:rsidRPr="000C3F4A">
        <w:rPr>
          <w:rFonts w:ascii="Times New Roman" w:eastAsia="Times New Roman" w:hAnsi="Times New Roman"/>
          <w:i/>
          <w:iCs/>
          <w:color w:val="000000"/>
          <w:sz w:val="28"/>
          <w:szCs w:val="28"/>
          <w:lang w:eastAsia="lv-LV"/>
        </w:rPr>
        <w:t>euro</w:t>
      </w:r>
      <w:r w:rsidRPr="00CC4945">
        <w:rPr>
          <w:rFonts w:ascii="Times New Roman" w:eastAsia="Times New Roman" w:hAnsi="Times New Roman"/>
          <w:color w:val="000000"/>
          <w:sz w:val="28"/>
          <w:szCs w:val="28"/>
          <w:lang w:eastAsia="lv-LV"/>
        </w:rPr>
        <w:t xml:space="preserve">, papildus tam paredzot 184 050 </w:t>
      </w:r>
      <w:r w:rsidR="000427FD" w:rsidRPr="000C3F4A">
        <w:rPr>
          <w:rFonts w:ascii="Times New Roman" w:eastAsia="Times New Roman" w:hAnsi="Times New Roman"/>
          <w:i/>
          <w:iCs/>
          <w:color w:val="000000"/>
          <w:sz w:val="28"/>
          <w:szCs w:val="28"/>
          <w:lang w:eastAsia="lv-LV"/>
        </w:rPr>
        <w:t>euro</w:t>
      </w:r>
      <w:r w:rsidR="000427FD">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gadā sistēmas uzturēšanai, kas veido 15</w:t>
      </w:r>
      <w:r w:rsidR="000427FD">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 xml:space="preserve">% no kopējām </w:t>
      </w:r>
      <w:r w:rsidR="00930510">
        <w:rPr>
          <w:rFonts w:ascii="Times New Roman" w:eastAsia="Times New Roman" w:hAnsi="Times New Roman"/>
          <w:color w:val="000000"/>
          <w:sz w:val="28"/>
          <w:szCs w:val="28"/>
          <w:lang w:eastAsia="lv-LV"/>
        </w:rPr>
        <w:t>p</w:t>
      </w:r>
      <w:r w:rsidRPr="00CC4945">
        <w:rPr>
          <w:rFonts w:ascii="Times New Roman" w:eastAsia="Times New Roman" w:hAnsi="Times New Roman"/>
          <w:color w:val="000000"/>
          <w:sz w:val="28"/>
          <w:szCs w:val="28"/>
          <w:lang w:eastAsia="lv-LV"/>
        </w:rPr>
        <w:t xml:space="preserve">rojekta izmaksām. Kopumā 10 gadu </w:t>
      </w:r>
      <w:r w:rsidR="009829EF">
        <w:rPr>
          <w:rFonts w:ascii="Times New Roman" w:eastAsia="Times New Roman" w:hAnsi="Times New Roman"/>
          <w:color w:val="000000"/>
          <w:sz w:val="28"/>
          <w:szCs w:val="28"/>
          <w:lang w:eastAsia="lv-LV"/>
        </w:rPr>
        <w:t>periodā</w:t>
      </w:r>
      <w:r w:rsidR="000427FD">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izstrādes un uzturēšanas izmaksas veido 3 067 500 </w:t>
      </w:r>
      <w:r w:rsidR="000427FD" w:rsidRPr="000C3F4A">
        <w:rPr>
          <w:rFonts w:ascii="Times New Roman" w:eastAsia="Times New Roman" w:hAnsi="Times New Roman"/>
          <w:i/>
          <w:iCs/>
          <w:color w:val="000000"/>
          <w:sz w:val="28"/>
          <w:szCs w:val="28"/>
          <w:lang w:eastAsia="lv-LV"/>
        </w:rPr>
        <w:t>euro</w:t>
      </w:r>
      <w:r w:rsidRPr="00CC4945">
        <w:rPr>
          <w:rFonts w:ascii="Times New Roman" w:eastAsia="Times New Roman" w:hAnsi="Times New Roman"/>
          <w:color w:val="000000"/>
          <w:sz w:val="28"/>
          <w:szCs w:val="28"/>
          <w:lang w:eastAsia="lv-LV"/>
        </w:rPr>
        <w:t xml:space="preserve">.  </w:t>
      </w:r>
    </w:p>
    <w:p w14:paraId="57521E56" w14:textId="77777777" w:rsidR="00270F46" w:rsidRDefault="00270F46" w:rsidP="00270F46">
      <w:pPr>
        <w:ind w:left="-5" w:hanging="10"/>
        <w:jc w:val="center"/>
        <w:rPr>
          <w:rFonts w:ascii="Times New Roman" w:eastAsia="Times New Roman" w:hAnsi="Times New Roman"/>
          <w:b/>
          <w:color w:val="000000"/>
          <w:sz w:val="28"/>
          <w:szCs w:val="28"/>
          <w:lang w:eastAsia="lv-LV"/>
        </w:rPr>
      </w:pPr>
    </w:p>
    <w:p w14:paraId="4E865485" w14:textId="6D6BB3C3" w:rsidR="00CC4945" w:rsidRDefault="00CC4945" w:rsidP="00270F46">
      <w:pPr>
        <w:ind w:left="-5" w:hanging="10"/>
        <w:jc w:val="center"/>
        <w:rPr>
          <w:rFonts w:ascii="Times New Roman" w:eastAsia="Times New Roman" w:hAnsi="Times New Roman"/>
          <w:b/>
          <w:color w:val="000000"/>
          <w:sz w:val="28"/>
          <w:szCs w:val="28"/>
          <w:lang w:eastAsia="lv-LV"/>
        </w:rPr>
      </w:pPr>
      <w:r w:rsidRPr="00CC4945">
        <w:rPr>
          <w:rFonts w:ascii="Times New Roman" w:eastAsia="Times New Roman" w:hAnsi="Times New Roman"/>
          <w:b/>
          <w:color w:val="000000"/>
          <w:sz w:val="28"/>
          <w:szCs w:val="28"/>
          <w:lang w:eastAsia="lv-LV"/>
        </w:rPr>
        <w:t>Ietaupījums, kas rodas no efektīvākas EM resora vienotas darba vietas uzturēšanas</w:t>
      </w:r>
    </w:p>
    <w:p w14:paraId="59D1644F" w14:textId="77777777" w:rsidR="00270F46" w:rsidRDefault="00270F46" w:rsidP="00270F46">
      <w:pPr>
        <w:ind w:left="-5" w:firstLine="725"/>
        <w:rPr>
          <w:rFonts w:ascii="Times New Roman" w:eastAsia="Times New Roman" w:hAnsi="Times New Roman"/>
          <w:color w:val="000000"/>
          <w:sz w:val="28"/>
          <w:szCs w:val="28"/>
          <w:lang w:eastAsia="lv-LV"/>
        </w:rPr>
      </w:pPr>
    </w:p>
    <w:p w14:paraId="6C80A197" w14:textId="35F98A1C" w:rsidR="00CC4945" w:rsidRPr="00CC4945" w:rsidRDefault="00CC4945" w:rsidP="00270F46">
      <w:pPr>
        <w:ind w:left="-5" w:firstLine="725"/>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Uzlabojot darba vietu uzturēšanas procesu un ieviešot vienotu </w:t>
      </w:r>
      <w:r w:rsidR="00930510">
        <w:rPr>
          <w:rFonts w:ascii="Times New Roman" w:eastAsia="Times New Roman" w:hAnsi="Times New Roman"/>
          <w:color w:val="000000"/>
          <w:sz w:val="28"/>
          <w:szCs w:val="28"/>
          <w:lang w:eastAsia="lv-LV"/>
        </w:rPr>
        <w:t>EM r</w:t>
      </w:r>
      <w:r w:rsidRPr="00CC4945">
        <w:rPr>
          <w:rFonts w:ascii="Times New Roman" w:eastAsia="Times New Roman" w:hAnsi="Times New Roman"/>
          <w:color w:val="000000"/>
          <w:sz w:val="28"/>
          <w:szCs w:val="28"/>
          <w:lang w:eastAsia="lv-LV"/>
        </w:rPr>
        <w:t>esora darba vietu, tiks samazināts laiks, kas nepieciešams, lai sagatavotu lietotāja darba vietas</w:t>
      </w:r>
      <w:r w:rsidR="000427FD">
        <w:rPr>
          <w:rFonts w:ascii="Times New Roman" w:eastAsia="Times New Roman" w:hAnsi="Times New Roman"/>
          <w:color w:val="000000"/>
          <w:sz w:val="28"/>
          <w:szCs w:val="28"/>
          <w:lang w:eastAsia="lv-LV"/>
        </w:rPr>
        <w:t>. T</w:t>
      </w:r>
      <w:r w:rsidRPr="00CC4945">
        <w:rPr>
          <w:rFonts w:ascii="Times New Roman" w:eastAsia="Times New Roman" w:hAnsi="Times New Roman"/>
          <w:color w:val="000000"/>
          <w:sz w:val="28"/>
          <w:szCs w:val="28"/>
          <w:lang w:eastAsia="lv-LV"/>
        </w:rPr>
        <w:t xml:space="preserve">iks nodrošināta </w:t>
      </w:r>
      <w:r w:rsidR="000427FD">
        <w:rPr>
          <w:rFonts w:ascii="Times New Roman" w:eastAsia="Times New Roman" w:hAnsi="Times New Roman"/>
          <w:color w:val="000000"/>
          <w:sz w:val="28"/>
          <w:szCs w:val="28"/>
          <w:lang w:eastAsia="lv-LV"/>
        </w:rPr>
        <w:t xml:space="preserve">arī </w:t>
      </w:r>
      <w:r w:rsidRPr="00CC4945">
        <w:rPr>
          <w:rFonts w:ascii="Times New Roman" w:eastAsia="Times New Roman" w:hAnsi="Times New Roman"/>
          <w:color w:val="000000"/>
          <w:sz w:val="28"/>
          <w:szCs w:val="28"/>
          <w:lang w:eastAsia="lv-LV"/>
        </w:rPr>
        <w:t xml:space="preserve">risinājumu mērogojamība.  </w:t>
      </w:r>
    </w:p>
    <w:p w14:paraId="1DC420FB" w14:textId="0BB16CC0" w:rsidR="00CC4945" w:rsidRPr="00AD7887" w:rsidRDefault="00CC4945" w:rsidP="000C3F4A">
      <w:pPr>
        <w:ind w:left="-5" w:firstLine="714"/>
        <w:rPr>
          <w:rFonts w:ascii="Times New Roman" w:eastAsia="Times New Roman" w:hAnsi="Times New Roman"/>
          <w:bCs/>
          <w:color w:val="000000"/>
          <w:sz w:val="28"/>
          <w:szCs w:val="28"/>
          <w:lang w:eastAsia="lv-LV"/>
        </w:rPr>
      </w:pPr>
      <w:r w:rsidRPr="00CC4945">
        <w:rPr>
          <w:rFonts w:ascii="Times New Roman" w:eastAsia="Times New Roman" w:hAnsi="Times New Roman"/>
          <w:color w:val="000000"/>
          <w:sz w:val="28"/>
          <w:szCs w:val="28"/>
          <w:lang w:eastAsia="lv-LV"/>
        </w:rPr>
        <w:lastRenderedPageBreak/>
        <w:t xml:space="preserve">EM un padotības iestādēs (LIAA, KP, PTAC, BVKB) apkalpojamo darbstaciju skaits varētu sasniegt aptuveni 750 darbstacijas. </w:t>
      </w:r>
      <w:r w:rsidR="000427FD">
        <w:rPr>
          <w:rFonts w:ascii="Times New Roman" w:eastAsia="Times New Roman" w:hAnsi="Times New Roman"/>
          <w:color w:val="000000"/>
          <w:sz w:val="28"/>
          <w:szCs w:val="28"/>
          <w:lang w:eastAsia="lv-LV"/>
        </w:rPr>
        <w:t>Saskaņā ar</w:t>
      </w:r>
      <w:r w:rsidR="000427FD"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EM </w:t>
      </w:r>
      <w:r w:rsidR="000427FD" w:rsidRPr="00CC4945">
        <w:rPr>
          <w:rFonts w:ascii="Times New Roman" w:eastAsia="Times New Roman" w:hAnsi="Times New Roman"/>
          <w:color w:val="000000"/>
          <w:sz w:val="28"/>
          <w:szCs w:val="28"/>
          <w:lang w:eastAsia="lv-LV"/>
        </w:rPr>
        <w:t>sniegt</w:t>
      </w:r>
      <w:r w:rsidR="000427FD">
        <w:rPr>
          <w:rFonts w:ascii="Times New Roman" w:eastAsia="Times New Roman" w:hAnsi="Times New Roman"/>
          <w:color w:val="000000"/>
          <w:sz w:val="28"/>
          <w:szCs w:val="28"/>
          <w:lang w:eastAsia="lv-LV"/>
        </w:rPr>
        <w:t>o</w:t>
      </w:r>
      <w:r w:rsidR="000427FD" w:rsidRPr="00CC4945">
        <w:rPr>
          <w:rFonts w:ascii="Times New Roman" w:eastAsia="Times New Roman" w:hAnsi="Times New Roman"/>
          <w:color w:val="000000"/>
          <w:sz w:val="28"/>
          <w:szCs w:val="28"/>
          <w:lang w:eastAsia="lv-LV"/>
        </w:rPr>
        <w:t xml:space="preserve"> informācij</w:t>
      </w:r>
      <w:r w:rsidR="000427FD">
        <w:rPr>
          <w:rFonts w:ascii="Times New Roman" w:eastAsia="Times New Roman" w:hAnsi="Times New Roman"/>
          <w:color w:val="000000"/>
          <w:sz w:val="28"/>
          <w:szCs w:val="28"/>
          <w:lang w:eastAsia="lv-LV"/>
        </w:rPr>
        <w:t>u</w:t>
      </w:r>
      <w:r w:rsidRPr="00CC4945">
        <w:rPr>
          <w:rFonts w:ascii="Times New Roman" w:eastAsia="Times New Roman" w:hAnsi="Times New Roman"/>
          <w:color w:val="000000"/>
          <w:sz w:val="28"/>
          <w:szCs w:val="28"/>
          <w:lang w:eastAsia="lv-LV"/>
        </w:rPr>
        <w:t xml:space="preserve"> darbinieku rotācija gada laikā ir aptuveni 20</w:t>
      </w:r>
      <w:r w:rsidR="000427FD">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 Tiek pieņemts, ka</w:t>
      </w:r>
      <w:r w:rsidR="000427FD">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 xml:space="preserve"> ieviešot vienotas darba vietas </w:t>
      </w:r>
      <w:r w:rsidR="00930510">
        <w:rPr>
          <w:rFonts w:ascii="Times New Roman" w:eastAsia="Times New Roman" w:hAnsi="Times New Roman"/>
          <w:color w:val="000000"/>
          <w:sz w:val="28"/>
          <w:szCs w:val="28"/>
          <w:lang w:eastAsia="lv-LV"/>
        </w:rPr>
        <w:t>EM r</w:t>
      </w:r>
      <w:r w:rsidRPr="00CC4945">
        <w:rPr>
          <w:rFonts w:ascii="Times New Roman" w:eastAsia="Times New Roman" w:hAnsi="Times New Roman"/>
          <w:color w:val="000000"/>
          <w:sz w:val="28"/>
          <w:szCs w:val="28"/>
          <w:lang w:eastAsia="lv-LV"/>
        </w:rPr>
        <w:t>esorā</w:t>
      </w:r>
      <w:r w:rsidR="000427FD">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 xml:space="preserve"> IKT atbalsta personāls uz katras darbstacijas instalēšanu, apkopi un uzturēšanu gada laikā varētu ietaupīt kopā </w:t>
      </w:r>
      <w:r w:rsidR="000427FD">
        <w:rPr>
          <w:rFonts w:ascii="Times New Roman" w:eastAsia="Times New Roman" w:hAnsi="Times New Roman"/>
          <w:color w:val="000000"/>
          <w:sz w:val="28"/>
          <w:szCs w:val="28"/>
          <w:lang w:eastAsia="lv-LV"/>
        </w:rPr>
        <w:t>trīs</w:t>
      </w:r>
      <w:r w:rsidR="000427FD"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stundas (stundu uz instalēšanu, ņemot vērā darbinieku mainības īpatsvaru, </w:t>
      </w:r>
      <w:r w:rsidR="000427FD">
        <w:rPr>
          <w:rFonts w:ascii="Times New Roman" w:eastAsia="Times New Roman" w:hAnsi="Times New Roman"/>
          <w:color w:val="000000"/>
          <w:sz w:val="28"/>
          <w:szCs w:val="28"/>
          <w:lang w:eastAsia="lv-LV"/>
        </w:rPr>
        <w:t>divas</w:t>
      </w:r>
      <w:r w:rsidR="000427FD"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stundas uz apkopi un </w:t>
      </w:r>
      <w:r w:rsidR="000427FD">
        <w:rPr>
          <w:rFonts w:ascii="Times New Roman" w:eastAsia="Times New Roman" w:hAnsi="Times New Roman"/>
          <w:color w:val="000000"/>
          <w:sz w:val="28"/>
          <w:szCs w:val="28"/>
          <w:lang w:eastAsia="lv-LV"/>
        </w:rPr>
        <w:t xml:space="preserve">katras darbstacijas </w:t>
      </w:r>
      <w:r w:rsidRPr="00CC4945">
        <w:rPr>
          <w:rFonts w:ascii="Times New Roman" w:eastAsia="Times New Roman" w:hAnsi="Times New Roman"/>
          <w:color w:val="000000"/>
          <w:sz w:val="28"/>
          <w:szCs w:val="28"/>
          <w:lang w:eastAsia="lv-LV"/>
        </w:rPr>
        <w:t xml:space="preserve">uzturēšanu). Izsakot laika ietaupījumu naudas izteiksmē (ņemot vērā vidējo IT darbinieka atalgojumu 5,55 </w:t>
      </w:r>
      <w:r w:rsidR="000427FD" w:rsidRPr="000C3F4A">
        <w:rPr>
          <w:rFonts w:ascii="Times New Roman" w:eastAsia="Times New Roman" w:hAnsi="Times New Roman"/>
          <w:i/>
          <w:iCs/>
          <w:color w:val="000000"/>
          <w:sz w:val="28"/>
          <w:szCs w:val="28"/>
          <w:lang w:eastAsia="lv-LV"/>
        </w:rPr>
        <w:t>euro</w:t>
      </w:r>
      <w:r w:rsidR="000427FD"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stundā), aptuvenais ietaupījums no vienotas </w:t>
      </w:r>
      <w:r w:rsidR="000427FD">
        <w:rPr>
          <w:rFonts w:ascii="Times New Roman" w:eastAsia="Times New Roman" w:hAnsi="Times New Roman"/>
          <w:color w:val="000000"/>
          <w:sz w:val="28"/>
          <w:szCs w:val="28"/>
          <w:lang w:eastAsia="lv-LV"/>
        </w:rPr>
        <w:t>r</w:t>
      </w:r>
      <w:r w:rsidRPr="00CC4945">
        <w:rPr>
          <w:rFonts w:ascii="Times New Roman" w:eastAsia="Times New Roman" w:hAnsi="Times New Roman"/>
          <w:color w:val="000000"/>
          <w:sz w:val="28"/>
          <w:szCs w:val="28"/>
          <w:lang w:eastAsia="lv-LV"/>
        </w:rPr>
        <w:t xml:space="preserve">esora darba vietas </w:t>
      </w:r>
      <w:r w:rsidRPr="00CC4945">
        <w:rPr>
          <w:rFonts w:ascii="Times New Roman" w:eastAsia="Times New Roman" w:hAnsi="Times New Roman"/>
          <w:color w:val="000000"/>
          <w:sz w:val="28"/>
          <w:szCs w:val="28"/>
          <w:lang w:eastAsia="lv-LV"/>
        </w:rPr>
        <w:tab/>
        <w:t xml:space="preserve">uzturēšanas </w:t>
      </w:r>
      <w:r w:rsidR="000427FD">
        <w:rPr>
          <w:rFonts w:ascii="Times New Roman" w:eastAsia="Times New Roman" w:hAnsi="Times New Roman"/>
          <w:color w:val="000000"/>
          <w:sz w:val="28"/>
          <w:szCs w:val="28"/>
          <w:lang w:eastAsia="lv-LV"/>
        </w:rPr>
        <w:t>ir</w:t>
      </w:r>
      <w:r w:rsidRPr="00CC4945">
        <w:rPr>
          <w:rFonts w:ascii="Times New Roman" w:eastAsia="Times New Roman" w:hAnsi="Times New Roman"/>
          <w:color w:val="000000"/>
          <w:sz w:val="28"/>
          <w:szCs w:val="28"/>
          <w:lang w:eastAsia="lv-LV"/>
        </w:rPr>
        <w:t xml:space="preserve"> aptuveni 750</w:t>
      </w:r>
      <w:r w:rsidR="000427FD">
        <w:rPr>
          <w:rFonts w:ascii="Times New Roman" w:eastAsia="Times New Roman" w:hAnsi="Times New Roman"/>
          <w:color w:val="000000"/>
          <w:sz w:val="28"/>
          <w:szCs w:val="28"/>
          <w:lang w:eastAsia="lv-LV"/>
        </w:rPr>
        <w:t xml:space="preserve"> x </w:t>
      </w:r>
      <w:r w:rsidRPr="00CC4945">
        <w:rPr>
          <w:rFonts w:ascii="Times New Roman" w:eastAsia="Times New Roman" w:hAnsi="Times New Roman"/>
          <w:color w:val="000000"/>
          <w:sz w:val="28"/>
          <w:szCs w:val="28"/>
          <w:lang w:eastAsia="lv-LV"/>
        </w:rPr>
        <w:t>3</w:t>
      </w:r>
      <w:r w:rsidR="000427FD">
        <w:rPr>
          <w:rFonts w:ascii="Times New Roman" w:eastAsia="Times New Roman" w:hAnsi="Times New Roman"/>
          <w:color w:val="000000"/>
          <w:sz w:val="28"/>
          <w:szCs w:val="28"/>
          <w:lang w:eastAsia="lv-LV"/>
        </w:rPr>
        <w:t xml:space="preserve"> x </w:t>
      </w:r>
      <w:r w:rsidRPr="00CC4945">
        <w:rPr>
          <w:rFonts w:ascii="Times New Roman" w:eastAsia="Times New Roman" w:hAnsi="Times New Roman"/>
          <w:color w:val="000000"/>
          <w:sz w:val="28"/>
          <w:szCs w:val="28"/>
          <w:lang w:eastAsia="lv-LV"/>
        </w:rPr>
        <w:t>5,55</w:t>
      </w:r>
      <w:r w:rsidR="000427FD">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w:t>
      </w:r>
      <w:r w:rsidR="000427FD">
        <w:rPr>
          <w:rFonts w:ascii="Times New Roman" w:eastAsia="Times New Roman" w:hAnsi="Times New Roman"/>
          <w:color w:val="000000"/>
          <w:sz w:val="28"/>
          <w:szCs w:val="28"/>
          <w:lang w:eastAsia="lv-LV"/>
        </w:rPr>
        <w:t xml:space="preserve"> </w:t>
      </w:r>
      <w:r w:rsidRPr="000C3F4A">
        <w:rPr>
          <w:rFonts w:ascii="Times New Roman" w:eastAsia="Times New Roman" w:hAnsi="Times New Roman"/>
          <w:bCs/>
          <w:color w:val="000000"/>
          <w:sz w:val="28"/>
          <w:szCs w:val="28"/>
          <w:lang w:eastAsia="lv-LV"/>
        </w:rPr>
        <w:t xml:space="preserve">12 488 </w:t>
      </w:r>
      <w:r w:rsidR="000427FD" w:rsidRPr="000C3F4A">
        <w:rPr>
          <w:rFonts w:ascii="Times New Roman" w:eastAsia="Times New Roman" w:hAnsi="Times New Roman"/>
          <w:bCs/>
          <w:i/>
          <w:iCs/>
          <w:color w:val="000000"/>
          <w:sz w:val="28"/>
          <w:szCs w:val="28"/>
          <w:lang w:eastAsia="lv-LV"/>
        </w:rPr>
        <w:t>euro</w:t>
      </w:r>
      <w:r w:rsidR="000427FD" w:rsidRPr="000C3F4A">
        <w:rPr>
          <w:rFonts w:ascii="Times New Roman" w:eastAsia="Times New Roman" w:hAnsi="Times New Roman"/>
          <w:bCs/>
          <w:color w:val="000000"/>
          <w:sz w:val="28"/>
          <w:szCs w:val="28"/>
          <w:lang w:eastAsia="lv-LV"/>
        </w:rPr>
        <w:t xml:space="preserve"> </w:t>
      </w:r>
      <w:r w:rsidRPr="000C3F4A">
        <w:rPr>
          <w:rFonts w:ascii="Times New Roman" w:eastAsia="Times New Roman" w:hAnsi="Times New Roman"/>
          <w:bCs/>
          <w:color w:val="000000"/>
          <w:sz w:val="28"/>
          <w:szCs w:val="28"/>
          <w:lang w:eastAsia="lv-LV"/>
        </w:rPr>
        <w:t xml:space="preserve">gadā. </w:t>
      </w:r>
    </w:p>
    <w:p w14:paraId="048635DD" w14:textId="77777777" w:rsidR="00270F46" w:rsidRDefault="00270F46" w:rsidP="00270F46">
      <w:pPr>
        <w:ind w:left="-5" w:hanging="10"/>
        <w:jc w:val="center"/>
        <w:rPr>
          <w:rFonts w:ascii="Times New Roman" w:eastAsia="Times New Roman" w:hAnsi="Times New Roman"/>
          <w:b/>
          <w:color w:val="000000"/>
          <w:sz w:val="28"/>
          <w:szCs w:val="28"/>
          <w:lang w:eastAsia="lv-LV"/>
        </w:rPr>
      </w:pPr>
    </w:p>
    <w:p w14:paraId="21B9E76B" w14:textId="30A5BE85" w:rsidR="00CC4945" w:rsidRDefault="00CC4945" w:rsidP="00270F46">
      <w:pPr>
        <w:ind w:left="-5" w:hanging="10"/>
        <w:jc w:val="center"/>
        <w:rPr>
          <w:rFonts w:ascii="Times New Roman" w:eastAsia="Times New Roman" w:hAnsi="Times New Roman"/>
          <w:b/>
          <w:color w:val="000000"/>
          <w:sz w:val="28"/>
          <w:szCs w:val="28"/>
          <w:lang w:eastAsia="lv-LV"/>
        </w:rPr>
      </w:pPr>
      <w:r w:rsidRPr="00CC4945">
        <w:rPr>
          <w:rFonts w:ascii="Times New Roman" w:eastAsia="Times New Roman" w:hAnsi="Times New Roman"/>
          <w:b/>
          <w:color w:val="000000"/>
          <w:sz w:val="28"/>
          <w:szCs w:val="28"/>
          <w:lang w:eastAsia="lv-LV"/>
        </w:rPr>
        <w:t>Ietaupījums, kas rodas no datu pieejamības būvniec</w:t>
      </w:r>
      <w:r>
        <w:rPr>
          <w:rFonts w:ascii="Times New Roman" w:eastAsia="Times New Roman" w:hAnsi="Times New Roman"/>
          <w:b/>
          <w:color w:val="000000"/>
          <w:sz w:val="28"/>
          <w:szCs w:val="28"/>
          <w:lang w:eastAsia="lv-LV"/>
        </w:rPr>
        <w:t>ības un energoefektivitātes jomā</w:t>
      </w:r>
    </w:p>
    <w:p w14:paraId="2511C8E9" w14:textId="77777777" w:rsidR="00270F46" w:rsidRDefault="00270F46" w:rsidP="00270F46">
      <w:pPr>
        <w:ind w:left="-5" w:firstLine="725"/>
        <w:rPr>
          <w:rFonts w:ascii="Times New Roman" w:eastAsia="Times New Roman" w:hAnsi="Times New Roman"/>
          <w:color w:val="000000"/>
          <w:sz w:val="28"/>
          <w:szCs w:val="28"/>
          <w:lang w:eastAsia="lv-LV"/>
        </w:rPr>
      </w:pPr>
    </w:p>
    <w:p w14:paraId="03F21B22" w14:textId="1EBEDE31" w:rsidR="00CC4945" w:rsidRPr="000C3F4A" w:rsidRDefault="00CC4945" w:rsidP="00270F46">
      <w:pPr>
        <w:ind w:left="10" w:firstLine="725"/>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Nodrošinot komersantiem datu pieejamību par būvniecības uzsākšanas un saskaņošanas procesa vidējo norises ilgumu pa administratīvajām teritorijām, </w:t>
      </w:r>
      <w:r w:rsidR="00AD7887">
        <w:rPr>
          <w:rFonts w:ascii="Times New Roman" w:eastAsia="Times New Roman" w:hAnsi="Times New Roman"/>
          <w:color w:val="000000"/>
          <w:sz w:val="28"/>
          <w:szCs w:val="28"/>
          <w:lang w:eastAsia="lv-LV"/>
        </w:rPr>
        <w:t>tai skaitā</w:t>
      </w:r>
      <w:r w:rsidRPr="00CC4945">
        <w:rPr>
          <w:rFonts w:ascii="Times New Roman" w:eastAsia="Times New Roman" w:hAnsi="Times New Roman"/>
          <w:color w:val="000000"/>
          <w:sz w:val="28"/>
          <w:szCs w:val="28"/>
          <w:lang w:eastAsia="lv-LV"/>
        </w:rPr>
        <w:t xml:space="preserve"> aktuālos datus par </w:t>
      </w:r>
      <w:r w:rsidR="00AD7887">
        <w:rPr>
          <w:rFonts w:ascii="Times New Roman" w:eastAsia="Times New Roman" w:hAnsi="Times New Roman"/>
          <w:color w:val="000000"/>
          <w:sz w:val="28"/>
          <w:szCs w:val="28"/>
          <w:lang w:eastAsia="lv-LV"/>
        </w:rPr>
        <w:t xml:space="preserve">to </w:t>
      </w:r>
      <w:r w:rsidRPr="00CC4945">
        <w:rPr>
          <w:rFonts w:ascii="Times New Roman" w:eastAsia="Times New Roman" w:hAnsi="Times New Roman"/>
          <w:color w:val="000000"/>
          <w:sz w:val="28"/>
          <w:szCs w:val="28"/>
          <w:lang w:eastAsia="lv-LV"/>
        </w:rPr>
        <w:t>dokumentu saskaņošanas ilgumu būvvaldēs,</w:t>
      </w:r>
      <w:r w:rsidR="00AD7887">
        <w:rPr>
          <w:rFonts w:ascii="Times New Roman" w:eastAsia="Times New Roman" w:hAnsi="Times New Roman"/>
          <w:color w:val="000000"/>
          <w:sz w:val="28"/>
          <w:szCs w:val="28"/>
          <w:lang w:eastAsia="lv-LV"/>
        </w:rPr>
        <w:t xml:space="preserve"> kas saistīti </w:t>
      </w:r>
      <w:r w:rsidR="00AD7887" w:rsidRPr="00CC4945">
        <w:rPr>
          <w:rFonts w:ascii="Times New Roman" w:eastAsia="Times New Roman" w:hAnsi="Times New Roman"/>
          <w:color w:val="000000"/>
          <w:sz w:val="28"/>
          <w:szCs w:val="28"/>
          <w:lang w:eastAsia="lv-LV"/>
        </w:rPr>
        <w:t>ar būvniecību</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komersantiem ir iespējams precīzāk novērtēt būvniecības saskaņošanas un uzsākšanas ilgumu attiecīgajā administratīvajā teritorijā. Tādējādi būvkomersants var preventīvi prognozēt termiņu, kādā būs iespējams uzsākt būvniecību. Precīzāka būvniecības procesa uzsākšanas datumu plānošanas iespēja ļaus precīzāk komersantiem plānot resursu noslodzi un nepieciešamību uzsākt darbu noslodzi jaunajā objektā. Ņemot vērā, ka būvniecības nozarē ir vērojams darbaspēka resursu trūkums, pieejamo darbaspēka resursu plānošana, darbu uzsākšana un pabeigšana noteiktajos termiņos tiek vērtēt</w:t>
      </w:r>
      <w:r w:rsidR="00453307">
        <w:rPr>
          <w:rFonts w:ascii="Times New Roman" w:eastAsia="Times New Roman" w:hAnsi="Times New Roman"/>
          <w:color w:val="000000"/>
          <w:sz w:val="28"/>
          <w:szCs w:val="28"/>
          <w:lang w:eastAsia="lv-LV"/>
        </w:rPr>
        <w:t>a</w:t>
      </w:r>
      <w:r w:rsidRPr="00CC4945">
        <w:rPr>
          <w:rFonts w:ascii="Times New Roman" w:eastAsia="Times New Roman" w:hAnsi="Times New Roman"/>
          <w:color w:val="000000"/>
          <w:sz w:val="28"/>
          <w:szCs w:val="28"/>
          <w:lang w:eastAsia="lv-LV"/>
        </w:rPr>
        <w:t xml:space="preserve"> kā viens no riska faktoriem. Ņemot vērā, ka būvniecības jomā darbaspēka izmaksas un materiālu izmaksas ir detalizēti </w:t>
      </w:r>
      <w:r w:rsidR="00AD7887" w:rsidRPr="00CC4945">
        <w:rPr>
          <w:rFonts w:ascii="Times New Roman" w:eastAsia="Times New Roman" w:hAnsi="Times New Roman"/>
          <w:color w:val="000000"/>
          <w:sz w:val="28"/>
          <w:szCs w:val="28"/>
          <w:lang w:eastAsia="lv-LV"/>
        </w:rPr>
        <w:t>norādīt</w:t>
      </w:r>
      <w:r w:rsidR="00AD7887">
        <w:rPr>
          <w:rFonts w:ascii="Times New Roman" w:eastAsia="Times New Roman" w:hAnsi="Times New Roman"/>
          <w:color w:val="000000"/>
          <w:sz w:val="28"/>
          <w:szCs w:val="28"/>
          <w:lang w:eastAsia="lv-LV"/>
        </w:rPr>
        <w:t>a</w:t>
      </w:r>
      <w:r w:rsidR="00AD7887" w:rsidRPr="00CC4945">
        <w:rPr>
          <w:rFonts w:ascii="Times New Roman" w:eastAsia="Times New Roman" w:hAnsi="Times New Roman"/>
          <w:color w:val="000000"/>
          <w:sz w:val="28"/>
          <w:szCs w:val="28"/>
          <w:lang w:eastAsia="lv-LV"/>
        </w:rPr>
        <w:t xml:space="preserve">s </w:t>
      </w:r>
      <w:r w:rsidRPr="00CC4945">
        <w:rPr>
          <w:rFonts w:ascii="Times New Roman" w:eastAsia="Times New Roman" w:hAnsi="Times New Roman"/>
          <w:color w:val="000000"/>
          <w:sz w:val="28"/>
          <w:szCs w:val="28"/>
          <w:lang w:eastAsia="lv-LV"/>
        </w:rPr>
        <w:t>tāmē, izmaksas, kas saistītas ar dažādu risku iestāšanos tiek iekļautas komersanta plānotajā peļņā, kas vidēji tiek paredzēta 5</w:t>
      </w:r>
      <w:r w:rsidR="00AD7887" w:rsidRPr="00C4505E">
        <w:rPr>
          <w:rFonts w:ascii="Times New Roman" w:hAnsi="Times New Roman"/>
          <w:sz w:val="28"/>
          <w:szCs w:val="28"/>
          <w:shd w:val="clear" w:color="auto" w:fill="FFFFFF"/>
        </w:rPr>
        <w:t>–</w:t>
      </w:r>
      <w:r w:rsidRPr="00CC4945">
        <w:rPr>
          <w:rFonts w:ascii="Times New Roman" w:eastAsia="Times New Roman" w:hAnsi="Times New Roman"/>
          <w:color w:val="000000"/>
          <w:sz w:val="28"/>
          <w:szCs w:val="28"/>
          <w:lang w:eastAsia="lv-LV"/>
        </w:rPr>
        <w:t xml:space="preserve"> 20</w:t>
      </w:r>
      <w:r w:rsidR="00AD7887">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 no būvniecības kopējām izmaksām. Precīzāk plānojot būvniecības  aktivitātes</w:t>
      </w:r>
      <w:r w:rsidR="00AD7887">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 xml:space="preserve"> ir iespējams precīzāk paredzēt būvniecības procesa saskaņošanas un uzsākšanas izmaksas būvniecībā, precīzāk plānot resursu noslodzi un </w:t>
      </w:r>
      <w:r w:rsidR="00AD7887" w:rsidRPr="00CC4945">
        <w:rPr>
          <w:rFonts w:ascii="Times New Roman" w:eastAsia="Times New Roman" w:hAnsi="Times New Roman"/>
          <w:color w:val="000000"/>
          <w:sz w:val="28"/>
          <w:szCs w:val="28"/>
          <w:lang w:eastAsia="lv-LV"/>
        </w:rPr>
        <w:t>samazin</w:t>
      </w:r>
      <w:r w:rsidR="00AD7887">
        <w:rPr>
          <w:rFonts w:ascii="Times New Roman" w:eastAsia="Times New Roman" w:hAnsi="Times New Roman"/>
          <w:color w:val="000000"/>
          <w:sz w:val="28"/>
          <w:szCs w:val="28"/>
          <w:lang w:eastAsia="lv-LV"/>
        </w:rPr>
        <w:t>ā</w:t>
      </w:r>
      <w:r w:rsidR="00AD7887" w:rsidRPr="00CC4945">
        <w:rPr>
          <w:rFonts w:ascii="Times New Roman" w:eastAsia="Times New Roman" w:hAnsi="Times New Roman"/>
          <w:color w:val="000000"/>
          <w:sz w:val="28"/>
          <w:szCs w:val="28"/>
          <w:lang w:eastAsia="lv-LV"/>
        </w:rPr>
        <w:t xml:space="preserve">t </w:t>
      </w:r>
      <w:r w:rsidRPr="00CC4945">
        <w:rPr>
          <w:rFonts w:ascii="Times New Roman" w:eastAsia="Times New Roman" w:hAnsi="Times New Roman"/>
          <w:color w:val="000000"/>
          <w:sz w:val="28"/>
          <w:szCs w:val="28"/>
          <w:lang w:eastAsia="lv-LV"/>
        </w:rPr>
        <w:t>rezervēto resursu (darbaspēka, tehnikas, transporta u.</w:t>
      </w:r>
      <w:r w:rsidR="00AD7887">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c.) dīkstāvi, kā arī samazināt ar būvniecības procesa norisi saistīt</w:t>
      </w:r>
      <w:r w:rsidR="00453307">
        <w:rPr>
          <w:rFonts w:ascii="Times New Roman" w:eastAsia="Times New Roman" w:hAnsi="Times New Roman"/>
          <w:color w:val="000000"/>
          <w:sz w:val="28"/>
          <w:szCs w:val="28"/>
          <w:lang w:eastAsia="lv-LV"/>
        </w:rPr>
        <w:t>o</w:t>
      </w:r>
      <w:r w:rsidRPr="00CC4945">
        <w:rPr>
          <w:rFonts w:ascii="Times New Roman" w:eastAsia="Times New Roman" w:hAnsi="Times New Roman"/>
          <w:color w:val="000000"/>
          <w:sz w:val="28"/>
          <w:szCs w:val="28"/>
          <w:lang w:eastAsia="lv-LV"/>
        </w:rPr>
        <w:t>s riskus. Pieņemot, ka ar būvniecības procesa uzsākšanu paredzētajā termiņā saistītie riski vidēji publisku ēku būvniecībā tiek novērtēti kā 0,1</w:t>
      </w:r>
      <w:r w:rsidR="00AD7887">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 no kopējām būvniecības procesa izmaksām, pieņemams, ka</w:t>
      </w:r>
      <w:r w:rsidR="00AD7887">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 xml:space="preserve"> iegūstot precīzāku informāciju par plānotajiem būvniecības procesa saskaņošanas un uzsākšanas termiņiem, riska novērtējums varētu tikt samazināts vismaz uz pusi. Līdz ar to paredzams, ka kopējās būvniecības izmaksas publiskajām būvēm varētu samazināties vidēji par 0,05</w:t>
      </w:r>
      <w:r w:rsidR="00AD7887">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 xml:space="preserve">% no kopējām būvniecības izmaksām. Ievērojot, ka publiskās būvniecības apjoms 2019. gadā ir 1 182 467 840 </w:t>
      </w:r>
      <w:r w:rsidR="00AD7887" w:rsidRPr="000C3F4A">
        <w:rPr>
          <w:rFonts w:ascii="Times New Roman" w:eastAsia="Times New Roman" w:hAnsi="Times New Roman"/>
          <w:i/>
          <w:iCs/>
          <w:color w:val="000000"/>
          <w:sz w:val="28"/>
          <w:szCs w:val="28"/>
          <w:lang w:eastAsia="lv-LV"/>
        </w:rPr>
        <w:t>euro</w:t>
      </w:r>
      <w:r w:rsidRPr="00CC4945">
        <w:rPr>
          <w:rFonts w:ascii="Times New Roman" w:eastAsia="Times New Roman" w:hAnsi="Times New Roman"/>
          <w:color w:val="000000"/>
          <w:sz w:val="28"/>
          <w:szCs w:val="28"/>
          <w:lang w:eastAsia="lv-LV"/>
        </w:rPr>
        <w:t>, kopējais ietaupījums publiskās būvniecības ietvaros varēt</w:t>
      </w:r>
      <w:r w:rsidR="00453307">
        <w:rPr>
          <w:rFonts w:ascii="Times New Roman" w:eastAsia="Times New Roman" w:hAnsi="Times New Roman"/>
          <w:color w:val="000000"/>
          <w:sz w:val="28"/>
          <w:szCs w:val="28"/>
          <w:lang w:eastAsia="lv-LV"/>
        </w:rPr>
        <w:t>u</w:t>
      </w:r>
      <w:r w:rsidRPr="00CC4945">
        <w:rPr>
          <w:rFonts w:ascii="Times New Roman" w:eastAsia="Times New Roman" w:hAnsi="Times New Roman"/>
          <w:color w:val="000000"/>
          <w:sz w:val="28"/>
          <w:szCs w:val="28"/>
          <w:lang w:eastAsia="lv-LV"/>
        </w:rPr>
        <w:t xml:space="preserve"> sasniegt </w:t>
      </w:r>
      <w:r w:rsidRPr="000C3F4A">
        <w:rPr>
          <w:rFonts w:ascii="Times New Roman" w:eastAsia="Times New Roman" w:hAnsi="Times New Roman"/>
          <w:color w:val="000000"/>
          <w:sz w:val="28"/>
          <w:szCs w:val="28"/>
          <w:lang w:eastAsia="lv-LV"/>
        </w:rPr>
        <w:t xml:space="preserve">591 233,92 </w:t>
      </w:r>
      <w:r w:rsidR="00AD7887" w:rsidRPr="000C3F4A">
        <w:rPr>
          <w:rFonts w:ascii="Times New Roman" w:eastAsia="Times New Roman" w:hAnsi="Times New Roman"/>
          <w:i/>
          <w:iCs/>
          <w:color w:val="000000"/>
          <w:sz w:val="28"/>
          <w:szCs w:val="28"/>
          <w:lang w:eastAsia="lv-LV"/>
        </w:rPr>
        <w:t>euro</w:t>
      </w:r>
      <w:r w:rsidR="00AD7887" w:rsidRPr="000C3F4A">
        <w:rPr>
          <w:rFonts w:ascii="Times New Roman" w:eastAsia="Times New Roman" w:hAnsi="Times New Roman"/>
          <w:color w:val="000000"/>
          <w:sz w:val="28"/>
          <w:szCs w:val="28"/>
          <w:lang w:eastAsia="lv-LV"/>
        </w:rPr>
        <w:t xml:space="preserve"> </w:t>
      </w:r>
      <w:r w:rsidRPr="000C3F4A">
        <w:rPr>
          <w:rFonts w:ascii="Times New Roman" w:eastAsia="Times New Roman" w:hAnsi="Times New Roman"/>
          <w:color w:val="000000"/>
          <w:sz w:val="28"/>
          <w:szCs w:val="28"/>
          <w:lang w:eastAsia="lv-LV"/>
        </w:rPr>
        <w:t>gadā.</w:t>
      </w:r>
    </w:p>
    <w:p w14:paraId="100251BE" w14:textId="02283F0A" w:rsidR="00AD7887" w:rsidRDefault="00AD7887">
      <w:pPr>
        <w:spacing w:after="160" w:line="259" w:lineRule="auto"/>
        <w:jc w:val="left"/>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br w:type="page"/>
      </w:r>
    </w:p>
    <w:p w14:paraId="5D070C5E" w14:textId="77777777" w:rsidR="00CC4945" w:rsidRPr="00CC4945" w:rsidRDefault="00CC4945" w:rsidP="00270F46">
      <w:pPr>
        <w:rPr>
          <w:rFonts w:ascii="Times New Roman" w:eastAsia="Times New Roman" w:hAnsi="Times New Roman"/>
          <w:color w:val="000000"/>
          <w:sz w:val="28"/>
          <w:szCs w:val="28"/>
          <w:lang w:eastAsia="lv-LV"/>
        </w:rPr>
      </w:pPr>
    </w:p>
    <w:p w14:paraId="4406ACFB" w14:textId="77777777" w:rsidR="00CC4945" w:rsidRPr="00CC4945" w:rsidRDefault="00CC4945" w:rsidP="00270F46">
      <w:pPr>
        <w:ind w:left="10" w:hanging="10"/>
        <w:jc w:val="center"/>
        <w:rPr>
          <w:rFonts w:ascii="Times New Roman" w:eastAsia="Times New Roman" w:hAnsi="Times New Roman"/>
          <w:b/>
          <w:color w:val="000000"/>
          <w:sz w:val="28"/>
          <w:szCs w:val="28"/>
          <w:lang w:eastAsia="lv-LV"/>
        </w:rPr>
      </w:pPr>
      <w:r w:rsidRPr="00CC4945">
        <w:rPr>
          <w:rFonts w:ascii="Times New Roman" w:eastAsia="Times New Roman" w:hAnsi="Times New Roman"/>
          <w:b/>
          <w:color w:val="000000"/>
          <w:sz w:val="28"/>
          <w:szCs w:val="28"/>
          <w:lang w:eastAsia="lv-LV"/>
        </w:rPr>
        <w:t>Ietaupījums, kas rodas no datu pieejamības energoresursu jomā</w:t>
      </w:r>
    </w:p>
    <w:p w14:paraId="0A74B1E2" w14:textId="77777777" w:rsidR="00270F46" w:rsidRDefault="00270F46" w:rsidP="00270F46">
      <w:pPr>
        <w:ind w:left="11" w:hanging="11"/>
        <w:rPr>
          <w:rFonts w:ascii="Times New Roman" w:eastAsia="Times New Roman" w:hAnsi="Times New Roman"/>
          <w:color w:val="000000"/>
          <w:sz w:val="28"/>
          <w:szCs w:val="28"/>
          <w:lang w:eastAsia="lv-LV"/>
        </w:rPr>
      </w:pPr>
    </w:p>
    <w:p w14:paraId="4F26F38C" w14:textId="1B5EC61C" w:rsidR="00CC4945" w:rsidRPr="00CC4945" w:rsidRDefault="00CC4945" w:rsidP="00270F46">
      <w:pPr>
        <w:ind w:left="11" w:firstLine="698"/>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Integrējot datu analīzes platformu ar ERIS un nodrošinot iesniegto pārskatu datu analīzi, kā arī jebkuras ar energoefektivitātes jautājumu risināšanu saistītās mijiedarbības digit</w:t>
      </w:r>
      <w:r w:rsidR="00453307">
        <w:rPr>
          <w:rFonts w:ascii="Times New Roman" w:eastAsia="Times New Roman" w:hAnsi="Times New Roman"/>
          <w:color w:val="000000"/>
          <w:sz w:val="28"/>
          <w:szCs w:val="28"/>
          <w:lang w:eastAsia="lv-LV"/>
        </w:rPr>
        <w:t>a</w:t>
      </w:r>
      <w:r w:rsidRPr="00CC4945">
        <w:rPr>
          <w:rFonts w:ascii="Times New Roman" w:eastAsia="Times New Roman" w:hAnsi="Times New Roman"/>
          <w:color w:val="000000"/>
          <w:sz w:val="28"/>
          <w:szCs w:val="28"/>
          <w:lang w:eastAsia="lv-LV"/>
        </w:rPr>
        <w:t>lizāciju, energoefektivitātes monitoringa sistēmas subjektiem un BVKB ir iespēja samazināt administratīvajam procesam paredzētos izdevumus un laiku. Enerģētikas likuma anotācijā ir aprēķinātas šādas administratīvās izmaksas, kas rodas div</w:t>
      </w:r>
      <w:r w:rsidR="00AD7887">
        <w:rPr>
          <w:rFonts w:ascii="Times New Roman" w:eastAsia="Times New Roman" w:hAnsi="Times New Roman"/>
          <w:color w:val="000000"/>
          <w:sz w:val="28"/>
          <w:szCs w:val="28"/>
          <w:lang w:eastAsia="lv-LV"/>
        </w:rPr>
        <w:t xml:space="preserve">u </w:t>
      </w:r>
      <w:r w:rsidRPr="00CC4945">
        <w:rPr>
          <w:rFonts w:ascii="Times New Roman" w:eastAsia="Times New Roman" w:hAnsi="Times New Roman"/>
          <w:color w:val="000000"/>
          <w:sz w:val="28"/>
          <w:szCs w:val="28"/>
          <w:lang w:eastAsia="lv-LV"/>
        </w:rPr>
        <w:t>gadu progresa ziņojumu sagatavošanā:</w:t>
      </w:r>
    </w:p>
    <w:p w14:paraId="245A1DF3" w14:textId="5FEA425B" w:rsidR="00CC4945" w:rsidRPr="00CC4945" w:rsidRDefault="00CC4945" w:rsidP="00270F46">
      <w:pPr>
        <w:ind w:left="11" w:firstLine="698"/>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f – politikas pārvaldības vecākā eksperta vidējā stundas tarifa likme 12</w:t>
      </w:r>
      <w:r w:rsidR="00AD7887">
        <w:rPr>
          <w:rFonts w:ascii="Times New Roman" w:eastAsia="Times New Roman" w:hAnsi="Times New Roman"/>
          <w:color w:val="000000"/>
          <w:sz w:val="28"/>
          <w:szCs w:val="28"/>
          <w:lang w:eastAsia="lv-LV"/>
        </w:rPr>
        <w:t>,</w:t>
      </w:r>
      <w:r w:rsidR="00AD7887" w:rsidRPr="00CC4945">
        <w:rPr>
          <w:rFonts w:ascii="Times New Roman" w:eastAsia="Times New Roman" w:hAnsi="Times New Roman"/>
          <w:color w:val="000000"/>
          <w:sz w:val="28"/>
          <w:szCs w:val="28"/>
          <w:lang w:eastAsia="lv-LV"/>
        </w:rPr>
        <w:t>82</w:t>
      </w:r>
      <w:r w:rsidR="00AD7887">
        <w:rPr>
          <w:rFonts w:ascii="Times New Roman" w:eastAsia="Times New Roman" w:hAnsi="Times New Roman"/>
          <w:color w:val="000000"/>
          <w:sz w:val="28"/>
          <w:szCs w:val="28"/>
          <w:lang w:eastAsia="lv-LV"/>
        </w:rPr>
        <w:t> </w:t>
      </w:r>
      <w:r w:rsidR="00AD7887" w:rsidRPr="000C3F4A">
        <w:rPr>
          <w:rFonts w:ascii="Times New Roman" w:eastAsia="Times New Roman" w:hAnsi="Times New Roman"/>
          <w:i/>
          <w:iCs/>
          <w:color w:val="000000"/>
          <w:sz w:val="28"/>
          <w:szCs w:val="28"/>
          <w:lang w:eastAsia="lv-LV"/>
        </w:rPr>
        <w:t>euro</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(saskaņā ar Valsts ieņēmumu dienesta publicēto informāciju);</w:t>
      </w:r>
    </w:p>
    <w:p w14:paraId="303BAFD2" w14:textId="6284DFB9" w:rsidR="00CC4945" w:rsidRPr="00CC4945" w:rsidRDefault="00CC4945" w:rsidP="00270F46">
      <w:pPr>
        <w:ind w:left="11" w:firstLine="698"/>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l – nepieciešamais laiks informācijas sagatavošanai – 1232 stundas gadā (</w:t>
      </w:r>
      <w:r w:rsidR="00AD7887">
        <w:rPr>
          <w:rFonts w:ascii="Times New Roman" w:eastAsia="Times New Roman" w:hAnsi="Times New Roman"/>
          <w:color w:val="000000"/>
          <w:sz w:val="28"/>
          <w:szCs w:val="28"/>
          <w:lang w:eastAsia="lv-LV"/>
        </w:rPr>
        <w:t>septiņi</w:t>
      </w:r>
      <w:r w:rsidR="00AD7887"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mēneši);</w:t>
      </w:r>
    </w:p>
    <w:p w14:paraId="7CD4DC22" w14:textId="1E87B31F" w:rsidR="00CC4945" w:rsidRPr="00CC4945" w:rsidRDefault="00CC4945" w:rsidP="00270F46">
      <w:pPr>
        <w:ind w:left="11" w:firstLine="698"/>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n – subjektu skaits – </w:t>
      </w:r>
      <w:r w:rsidR="00AD7887">
        <w:rPr>
          <w:rFonts w:ascii="Times New Roman" w:eastAsia="Times New Roman" w:hAnsi="Times New Roman"/>
          <w:color w:val="000000"/>
          <w:sz w:val="28"/>
          <w:szCs w:val="28"/>
          <w:lang w:eastAsia="lv-LV"/>
        </w:rPr>
        <w:t>trīs</w:t>
      </w:r>
      <w:r w:rsidR="00AD7887"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ziņojumi;</w:t>
      </w:r>
    </w:p>
    <w:p w14:paraId="0D0E042F" w14:textId="179A1883" w:rsidR="00CC4945" w:rsidRPr="00CC4945" w:rsidRDefault="00CC4945" w:rsidP="00270F46">
      <w:pPr>
        <w:ind w:left="11" w:firstLine="698"/>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 xml:space="preserve">b – informācijas sniegšanas biežums – reizi divos gados (ziņojumu sagatavošanas cikls iekļaujas </w:t>
      </w:r>
      <w:r w:rsidR="00AD7887">
        <w:rPr>
          <w:rFonts w:ascii="Times New Roman" w:eastAsia="Times New Roman" w:hAnsi="Times New Roman"/>
          <w:color w:val="000000"/>
          <w:sz w:val="28"/>
          <w:szCs w:val="28"/>
          <w:lang w:eastAsia="lv-LV"/>
        </w:rPr>
        <w:t>divos</w:t>
      </w:r>
      <w:r w:rsidR="00AD7887" w:rsidRPr="00CC4945">
        <w:rPr>
          <w:rFonts w:ascii="Times New Roman" w:eastAsia="Times New Roman" w:hAnsi="Times New Roman"/>
          <w:color w:val="000000"/>
          <w:sz w:val="28"/>
          <w:szCs w:val="28"/>
          <w:lang w:eastAsia="lv-LV"/>
        </w:rPr>
        <w:t xml:space="preserve"> kalendār</w:t>
      </w:r>
      <w:r w:rsidR="00AD7887">
        <w:rPr>
          <w:rFonts w:ascii="Times New Roman" w:eastAsia="Times New Roman" w:hAnsi="Times New Roman"/>
          <w:color w:val="000000"/>
          <w:sz w:val="28"/>
          <w:szCs w:val="28"/>
          <w:lang w:eastAsia="lv-LV"/>
        </w:rPr>
        <w:t>a</w:t>
      </w:r>
      <w:r w:rsidR="00AD7887"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gados)</w:t>
      </w:r>
    </w:p>
    <w:p w14:paraId="4401DC75" w14:textId="77777777" w:rsidR="00270F46" w:rsidRDefault="00270F46" w:rsidP="00270F46">
      <w:pPr>
        <w:ind w:left="11" w:hanging="11"/>
        <w:rPr>
          <w:rFonts w:ascii="Times New Roman" w:eastAsia="Times New Roman" w:hAnsi="Times New Roman"/>
          <w:color w:val="000000"/>
          <w:sz w:val="28"/>
          <w:szCs w:val="28"/>
          <w:lang w:eastAsia="lv-LV"/>
        </w:rPr>
      </w:pPr>
    </w:p>
    <w:p w14:paraId="6DC32E0D" w14:textId="681F46A1" w:rsidR="00CC4945" w:rsidRPr="00CC4945" w:rsidRDefault="00CC4945" w:rsidP="00270F46">
      <w:pPr>
        <w:ind w:left="11" w:hanging="11"/>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C = (f x l) x (n x b) = (12</w:t>
      </w:r>
      <w:r w:rsidR="00AD7887">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82</w:t>
      </w:r>
      <w:r w:rsidR="00AD7887">
        <w:rPr>
          <w:rFonts w:ascii="Times New Roman" w:eastAsia="Times New Roman" w:hAnsi="Times New Roman"/>
          <w:color w:val="000000"/>
          <w:sz w:val="28"/>
          <w:szCs w:val="28"/>
          <w:lang w:eastAsia="lv-LV"/>
        </w:rPr>
        <w:t xml:space="preserve"> x </w:t>
      </w:r>
      <w:r w:rsidRPr="00CC4945">
        <w:rPr>
          <w:rFonts w:ascii="Times New Roman" w:eastAsia="Times New Roman" w:hAnsi="Times New Roman"/>
          <w:color w:val="000000"/>
          <w:sz w:val="28"/>
          <w:szCs w:val="28"/>
          <w:lang w:eastAsia="lv-LV"/>
        </w:rPr>
        <w:t>1 232) x (3</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x</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1) = 15</w:t>
      </w:r>
      <w:r w:rsidR="00930510">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794</w:t>
      </w:r>
      <w:r w:rsidR="00930510">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24 x 3 = 47</w:t>
      </w:r>
      <w:r w:rsidR="00930510">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382</w:t>
      </w:r>
      <w:r w:rsidR="00930510">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72</w:t>
      </w:r>
      <w:r w:rsidR="00930510">
        <w:rPr>
          <w:rFonts w:ascii="Times New Roman" w:eastAsia="Times New Roman" w:hAnsi="Times New Roman"/>
          <w:color w:val="000000"/>
          <w:sz w:val="28"/>
          <w:szCs w:val="28"/>
          <w:lang w:eastAsia="lv-LV"/>
        </w:rPr>
        <w:t xml:space="preserve"> </w:t>
      </w:r>
      <w:r w:rsidR="00AD7887" w:rsidRPr="000C3F4A">
        <w:rPr>
          <w:rFonts w:ascii="Times New Roman" w:eastAsia="Times New Roman" w:hAnsi="Times New Roman"/>
          <w:i/>
          <w:iCs/>
          <w:color w:val="000000"/>
          <w:sz w:val="28"/>
          <w:szCs w:val="28"/>
          <w:lang w:eastAsia="lv-LV"/>
        </w:rPr>
        <w:t>euro</w:t>
      </w:r>
    </w:p>
    <w:p w14:paraId="2A5B11A8" w14:textId="77777777" w:rsidR="00270F46" w:rsidRDefault="00270F46" w:rsidP="00270F46">
      <w:pPr>
        <w:ind w:left="10" w:firstLine="710"/>
        <w:rPr>
          <w:rFonts w:ascii="Times New Roman" w:eastAsia="Times New Roman" w:hAnsi="Times New Roman"/>
          <w:color w:val="000000"/>
          <w:sz w:val="28"/>
          <w:szCs w:val="28"/>
          <w:lang w:eastAsia="lv-LV"/>
        </w:rPr>
      </w:pPr>
    </w:p>
    <w:p w14:paraId="73CAA4A7" w14:textId="06560AE4" w:rsidR="00CC4945" w:rsidRPr="00CC4945" w:rsidRDefault="00CC4945" w:rsidP="00270F46">
      <w:pPr>
        <w:ind w:left="10" w:firstLine="710"/>
        <w:rPr>
          <w:rFonts w:ascii="Times New Roman" w:eastAsia="Times New Roman" w:hAnsi="Times New Roman"/>
          <w:color w:val="000000"/>
          <w:sz w:val="28"/>
          <w:szCs w:val="28"/>
          <w:lang w:eastAsia="lv-LV"/>
        </w:rPr>
      </w:pPr>
      <w:r w:rsidRPr="00CC4945">
        <w:rPr>
          <w:rFonts w:ascii="Times New Roman" w:eastAsia="Times New Roman" w:hAnsi="Times New Roman"/>
          <w:color w:val="000000"/>
          <w:sz w:val="28"/>
          <w:szCs w:val="28"/>
          <w:lang w:eastAsia="lv-LV"/>
        </w:rPr>
        <w:t>Paredzams, ka procesa digitalizācija varētu samazināt administratīvos izdevumus līdz 47</w:t>
      </w:r>
      <w:r w:rsidR="00930510">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382</w:t>
      </w:r>
      <w:r w:rsidR="00930510">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 xml:space="preserve">72 </w:t>
      </w:r>
      <w:r w:rsidR="00AD7887" w:rsidRPr="000C3F4A">
        <w:rPr>
          <w:rFonts w:ascii="Times New Roman" w:eastAsia="Times New Roman" w:hAnsi="Times New Roman"/>
          <w:i/>
          <w:iCs/>
          <w:color w:val="000000"/>
          <w:sz w:val="28"/>
          <w:szCs w:val="28"/>
          <w:lang w:eastAsia="lv-LV"/>
        </w:rPr>
        <w:t>euro</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gadā, ņemot vērā digitalizācijas rezultātā iegūto laika ietaupījumu, apstrādājot un veicot pārskatos iekļauto datu analīzi.</w:t>
      </w:r>
    </w:p>
    <w:p w14:paraId="7AD55400" w14:textId="7E19A6AC" w:rsidR="00CC4945" w:rsidRPr="00CC4945" w:rsidRDefault="00CC4945" w:rsidP="00270F46">
      <w:pPr>
        <w:ind w:left="-5" w:firstLine="725"/>
        <w:rPr>
          <w:rFonts w:ascii="Times New Roman" w:eastAsia="Times New Roman" w:hAnsi="Times New Roman"/>
          <w:b/>
          <w:color w:val="000000"/>
          <w:sz w:val="28"/>
          <w:szCs w:val="28"/>
          <w:lang w:eastAsia="lv-LV"/>
        </w:rPr>
      </w:pPr>
      <w:r w:rsidRPr="00CC4945">
        <w:rPr>
          <w:rFonts w:ascii="Times New Roman" w:eastAsia="Times New Roman" w:hAnsi="Times New Roman"/>
          <w:color w:val="000000"/>
          <w:sz w:val="28"/>
          <w:szCs w:val="28"/>
          <w:lang w:eastAsia="lv-LV"/>
        </w:rPr>
        <w:t xml:space="preserve">Ņemot vērā minētos ietaupījumus, kas 10 gadu </w:t>
      </w:r>
      <w:r w:rsidR="009829EF">
        <w:rPr>
          <w:rFonts w:ascii="Times New Roman" w:eastAsia="Times New Roman" w:hAnsi="Times New Roman"/>
          <w:color w:val="000000"/>
          <w:sz w:val="28"/>
          <w:szCs w:val="28"/>
          <w:lang w:eastAsia="lv-LV"/>
        </w:rPr>
        <w:t>periodā</w:t>
      </w:r>
      <w:r w:rsidR="00AD7887" w:rsidRPr="00CC4945">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ir līdz 6 886 116</w:t>
      </w:r>
      <w:r w:rsidR="00453307">
        <w:rPr>
          <w:rFonts w:ascii="Times New Roman" w:eastAsia="Times New Roman" w:hAnsi="Times New Roman"/>
          <w:color w:val="000000"/>
          <w:sz w:val="28"/>
          <w:szCs w:val="28"/>
          <w:lang w:eastAsia="lv-LV"/>
        </w:rPr>
        <w:t> </w:t>
      </w:r>
      <w:r w:rsidR="00AD7887" w:rsidRPr="000C3F4A">
        <w:rPr>
          <w:rFonts w:ascii="Times New Roman" w:eastAsia="Times New Roman" w:hAnsi="Times New Roman"/>
          <w:i/>
          <w:iCs/>
          <w:color w:val="000000"/>
          <w:sz w:val="28"/>
          <w:szCs w:val="28"/>
          <w:lang w:eastAsia="lv-LV"/>
        </w:rPr>
        <w:t>euro</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((49</w:t>
      </w:r>
      <w:r w:rsidR="00930510">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995</w:t>
      </w:r>
      <w:r w:rsidR="00930510">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00</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591</w:t>
      </w:r>
      <w:r w:rsidR="00930510">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233</w:t>
      </w:r>
      <w:r w:rsidR="00930510">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92</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47</w:t>
      </w:r>
      <w:r w:rsidR="00930510">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382</w:t>
      </w:r>
      <w:r w:rsidR="00930510">
        <w:rPr>
          <w:rFonts w:ascii="Times New Roman" w:eastAsia="Times New Roman" w:hAnsi="Times New Roman"/>
          <w:color w:val="000000"/>
          <w:sz w:val="28"/>
          <w:szCs w:val="28"/>
          <w:lang w:eastAsia="lv-LV"/>
        </w:rPr>
        <w:t>,</w:t>
      </w:r>
      <w:r w:rsidRPr="00CC4945">
        <w:rPr>
          <w:rFonts w:ascii="Times New Roman" w:eastAsia="Times New Roman" w:hAnsi="Times New Roman"/>
          <w:color w:val="000000"/>
          <w:sz w:val="28"/>
          <w:szCs w:val="28"/>
          <w:lang w:eastAsia="lv-LV"/>
        </w:rPr>
        <w:t>72)</w:t>
      </w:r>
      <w:r w:rsidR="00AD7887">
        <w:rPr>
          <w:rFonts w:ascii="Times New Roman" w:eastAsia="Times New Roman" w:hAnsi="Times New Roman"/>
          <w:color w:val="000000"/>
          <w:sz w:val="28"/>
          <w:szCs w:val="28"/>
          <w:lang w:eastAsia="lv-LV"/>
        </w:rPr>
        <w:t xml:space="preserve"> x </w:t>
      </w:r>
      <w:r w:rsidRPr="00CC4945">
        <w:rPr>
          <w:rFonts w:ascii="Times New Roman" w:eastAsia="Times New Roman" w:hAnsi="Times New Roman"/>
          <w:color w:val="000000"/>
          <w:sz w:val="28"/>
          <w:szCs w:val="28"/>
          <w:lang w:eastAsia="lv-LV"/>
        </w:rPr>
        <w:t xml:space="preserve">10 gadi), un izdevumus, kas saistīti ar projekta īstenošanu un uzturēšanas izmaksām 10 gadu </w:t>
      </w:r>
      <w:r w:rsidR="009829EF">
        <w:rPr>
          <w:rFonts w:ascii="Times New Roman" w:eastAsia="Times New Roman" w:hAnsi="Times New Roman"/>
          <w:color w:val="000000"/>
          <w:sz w:val="28"/>
          <w:szCs w:val="28"/>
          <w:lang w:eastAsia="lv-LV"/>
        </w:rPr>
        <w:t>per</w:t>
      </w:r>
      <w:r w:rsidR="00453307">
        <w:rPr>
          <w:rFonts w:ascii="Times New Roman" w:eastAsia="Times New Roman" w:hAnsi="Times New Roman"/>
          <w:color w:val="000000"/>
          <w:sz w:val="28"/>
          <w:szCs w:val="28"/>
          <w:lang w:eastAsia="lv-LV"/>
        </w:rPr>
        <w:t>i</w:t>
      </w:r>
      <w:r w:rsidR="009829EF">
        <w:rPr>
          <w:rFonts w:ascii="Times New Roman" w:eastAsia="Times New Roman" w:hAnsi="Times New Roman"/>
          <w:color w:val="000000"/>
          <w:sz w:val="28"/>
          <w:szCs w:val="28"/>
          <w:lang w:eastAsia="lv-LV"/>
        </w:rPr>
        <w:t>odā</w:t>
      </w:r>
      <w:r w:rsidRPr="00CC4945">
        <w:rPr>
          <w:rFonts w:ascii="Times New Roman" w:eastAsia="Times New Roman" w:hAnsi="Times New Roman"/>
          <w:color w:val="000000"/>
          <w:sz w:val="28"/>
          <w:szCs w:val="28"/>
          <w:lang w:eastAsia="lv-LV"/>
        </w:rPr>
        <w:t xml:space="preserve"> (1 227</w:t>
      </w:r>
      <w:r w:rsidR="00AD7887">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000</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1 840</w:t>
      </w:r>
      <w:r w:rsidR="00AD7887">
        <w:rPr>
          <w:rFonts w:ascii="Times New Roman" w:eastAsia="Times New Roman" w:hAnsi="Times New Roman"/>
          <w:color w:val="000000"/>
          <w:sz w:val="28"/>
          <w:szCs w:val="28"/>
          <w:lang w:eastAsia="lv-LV"/>
        </w:rPr>
        <w:t> </w:t>
      </w:r>
      <w:r w:rsidRPr="00CC4945">
        <w:rPr>
          <w:rFonts w:ascii="Times New Roman" w:eastAsia="Times New Roman" w:hAnsi="Times New Roman"/>
          <w:color w:val="000000"/>
          <w:sz w:val="28"/>
          <w:szCs w:val="28"/>
          <w:lang w:eastAsia="lv-LV"/>
        </w:rPr>
        <w:t>500</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w:t>
      </w:r>
      <w:r w:rsidR="00AD788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3 067 500), kopējais ietaupījums 10 gadu </w:t>
      </w:r>
      <w:r w:rsidR="009829EF">
        <w:rPr>
          <w:rFonts w:ascii="Times New Roman" w:eastAsia="Times New Roman" w:hAnsi="Times New Roman"/>
          <w:color w:val="000000"/>
          <w:sz w:val="28"/>
          <w:szCs w:val="28"/>
          <w:lang w:eastAsia="lv-LV"/>
        </w:rPr>
        <w:t>periodā</w:t>
      </w:r>
      <w:r w:rsidR="00453307">
        <w:rPr>
          <w:rFonts w:ascii="Times New Roman" w:eastAsia="Times New Roman" w:hAnsi="Times New Roman"/>
          <w:color w:val="000000"/>
          <w:sz w:val="28"/>
          <w:szCs w:val="28"/>
          <w:lang w:eastAsia="lv-LV"/>
        </w:rPr>
        <w:t xml:space="preserve"> </w:t>
      </w:r>
      <w:r w:rsidRPr="00CC4945">
        <w:rPr>
          <w:rFonts w:ascii="Times New Roman" w:eastAsia="Times New Roman" w:hAnsi="Times New Roman"/>
          <w:color w:val="000000"/>
          <w:sz w:val="28"/>
          <w:szCs w:val="28"/>
          <w:lang w:eastAsia="lv-LV"/>
        </w:rPr>
        <w:t xml:space="preserve">ir 3 818 616 </w:t>
      </w:r>
      <w:r w:rsidR="00AD7887" w:rsidRPr="000C3F4A">
        <w:rPr>
          <w:rFonts w:ascii="Times New Roman" w:eastAsia="Times New Roman" w:hAnsi="Times New Roman"/>
          <w:i/>
          <w:iCs/>
          <w:color w:val="000000"/>
          <w:sz w:val="28"/>
          <w:szCs w:val="28"/>
          <w:lang w:eastAsia="lv-LV"/>
        </w:rPr>
        <w:t>euro</w:t>
      </w:r>
      <w:r w:rsidRPr="00CC4945">
        <w:rPr>
          <w:rFonts w:ascii="Times New Roman" w:eastAsia="Times New Roman" w:hAnsi="Times New Roman"/>
          <w:color w:val="000000"/>
          <w:sz w:val="28"/>
          <w:szCs w:val="28"/>
          <w:lang w:eastAsia="lv-LV"/>
        </w:rPr>
        <w:t>.</w:t>
      </w:r>
    </w:p>
    <w:p w14:paraId="65048852" w14:textId="0A76BD87" w:rsidR="00CC4945" w:rsidRPr="009829EF" w:rsidRDefault="00CC4945" w:rsidP="00270F46">
      <w:pPr>
        <w:ind w:firstLine="720"/>
        <w:rPr>
          <w:rFonts w:ascii="Times New Roman" w:eastAsia="Times New Roman" w:hAnsi="Times New Roman"/>
          <w:bCs/>
          <w:color w:val="000000"/>
          <w:sz w:val="28"/>
          <w:szCs w:val="28"/>
          <w:lang w:eastAsia="lv-LV"/>
        </w:rPr>
      </w:pPr>
      <w:r w:rsidRPr="000C3F4A">
        <w:rPr>
          <w:rFonts w:ascii="Times New Roman" w:eastAsia="Times New Roman" w:hAnsi="Times New Roman"/>
          <w:bCs/>
          <w:color w:val="000000"/>
          <w:sz w:val="28"/>
          <w:szCs w:val="28"/>
          <w:lang w:eastAsia="lv-LV"/>
        </w:rPr>
        <w:t xml:space="preserve">Projekta īstenošanas sociālekonomiskais ieguvums 10 gadu periodā ir lielāks par 1 227 000 </w:t>
      </w:r>
      <w:r w:rsidR="009829EF" w:rsidRPr="000C3F4A">
        <w:rPr>
          <w:rFonts w:ascii="Times New Roman" w:eastAsia="Times New Roman" w:hAnsi="Times New Roman"/>
          <w:bCs/>
          <w:i/>
          <w:iCs/>
          <w:color w:val="000000"/>
          <w:sz w:val="28"/>
          <w:szCs w:val="28"/>
          <w:lang w:eastAsia="lv-LV"/>
        </w:rPr>
        <w:t>euro</w:t>
      </w:r>
      <w:r w:rsidR="009829EF" w:rsidRPr="000C3F4A">
        <w:rPr>
          <w:rFonts w:ascii="Times New Roman" w:eastAsia="Times New Roman" w:hAnsi="Times New Roman"/>
          <w:bCs/>
          <w:color w:val="000000"/>
          <w:sz w:val="28"/>
          <w:szCs w:val="28"/>
          <w:lang w:eastAsia="lv-LV"/>
        </w:rPr>
        <w:t xml:space="preserve"> </w:t>
      </w:r>
      <w:r w:rsidRPr="000C3F4A">
        <w:rPr>
          <w:rFonts w:ascii="Times New Roman" w:eastAsia="Times New Roman" w:hAnsi="Times New Roman"/>
          <w:bCs/>
          <w:color w:val="000000"/>
          <w:sz w:val="28"/>
          <w:szCs w:val="28"/>
          <w:lang w:eastAsia="lv-LV"/>
        </w:rPr>
        <w:t xml:space="preserve">projekta </w:t>
      </w:r>
      <w:r w:rsidR="009829EF" w:rsidRPr="000C3F4A">
        <w:rPr>
          <w:rFonts w:ascii="Times New Roman" w:eastAsia="Times New Roman" w:hAnsi="Times New Roman"/>
          <w:bCs/>
          <w:color w:val="000000"/>
          <w:sz w:val="28"/>
          <w:szCs w:val="28"/>
          <w:lang w:eastAsia="lv-LV"/>
        </w:rPr>
        <w:t>investīcij</w:t>
      </w:r>
      <w:r w:rsidR="009829EF">
        <w:rPr>
          <w:rFonts w:ascii="Times New Roman" w:eastAsia="Times New Roman" w:hAnsi="Times New Roman"/>
          <w:bCs/>
          <w:color w:val="000000"/>
          <w:sz w:val="28"/>
          <w:szCs w:val="28"/>
          <w:lang w:eastAsia="lv-LV"/>
        </w:rPr>
        <w:t>ām</w:t>
      </w:r>
      <w:r w:rsidR="009829EF" w:rsidRPr="000C3F4A">
        <w:rPr>
          <w:rFonts w:ascii="Times New Roman" w:eastAsia="Times New Roman" w:hAnsi="Times New Roman"/>
          <w:bCs/>
          <w:color w:val="000000"/>
          <w:sz w:val="28"/>
          <w:szCs w:val="28"/>
          <w:lang w:eastAsia="lv-LV"/>
        </w:rPr>
        <w:t xml:space="preserve"> </w:t>
      </w:r>
      <w:r w:rsidRPr="000C3F4A">
        <w:rPr>
          <w:rFonts w:ascii="Times New Roman" w:eastAsia="Times New Roman" w:hAnsi="Times New Roman"/>
          <w:bCs/>
          <w:color w:val="000000"/>
          <w:sz w:val="28"/>
          <w:szCs w:val="28"/>
          <w:lang w:eastAsia="lv-LV"/>
        </w:rPr>
        <w:t xml:space="preserve">un 1 840 500 </w:t>
      </w:r>
      <w:r w:rsidR="009829EF" w:rsidRPr="000C3F4A">
        <w:rPr>
          <w:rFonts w:ascii="Times New Roman" w:eastAsia="Times New Roman" w:hAnsi="Times New Roman"/>
          <w:bCs/>
          <w:i/>
          <w:iCs/>
          <w:color w:val="000000"/>
          <w:sz w:val="28"/>
          <w:szCs w:val="28"/>
          <w:lang w:eastAsia="lv-LV"/>
        </w:rPr>
        <w:t>euro</w:t>
      </w:r>
      <w:r w:rsidR="009829EF" w:rsidRPr="000C3F4A">
        <w:rPr>
          <w:rFonts w:ascii="Times New Roman" w:eastAsia="Times New Roman" w:hAnsi="Times New Roman"/>
          <w:bCs/>
          <w:color w:val="000000"/>
          <w:sz w:val="28"/>
          <w:szCs w:val="28"/>
          <w:lang w:eastAsia="lv-LV"/>
        </w:rPr>
        <w:t xml:space="preserve"> </w:t>
      </w:r>
      <w:r w:rsidRPr="000C3F4A">
        <w:rPr>
          <w:rFonts w:ascii="Times New Roman" w:eastAsia="Times New Roman" w:hAnsi="Times New Roman"/>
          <w:bCs/>
          <w:color w:val="000000"/>
          <w:sz w:val="28"/>
          <w:szCs w:val="28"/>
          <w:lang w:eastAsia="lv-LV"/>
        </w:rPr>
        <w:t xml:space="preserve">uzturēšanas izmaksām 10 gadu periodā, kas kopā veido izmaksas 3 067 500 </w:t>
      </w:r>
      <w:r w:rsidR="009829EF" w:rsidRPr="000C3F4A">
        <w:rPr>
          <w:rFonts w:ascii="Times New Roman" w:eastAsia="Times New Roman" w:hAnsi="Times New Roman"/>
          <w:bCs/>
          <w:i/>
          <w:iCs/>
          <w:color w:val="000000"/>
          <w:sz w:val="28"/>
          <w:szCs w:val="28"/>
          <w:lang w:eastAsia="lv-LV"/>
        </w:rPr>
        <w:t>euro</w:t>
      </w:r>
      <w:r w:rsidR="009829EF" w:rsidRPr="000C3F4A">
        <w:rPr>
          <w:rFonts w:ascii="Times New Roman" w:eastAsia="Times New Roman" w:hAnsi="Times New Roman"/>
          <w:bCs/>
          <w:color w:val="000000"/>
          <w:sz w:val="28"/>
          <w:szCs w:val="28"/>
          <w:lang w:eastAsia="lv-LV"/>
        </w:rPr>
        <w:t xml:space="preserve"> </w:t>
      </w:r>
      <w:r w:rsidRPr="000C3F4A">
        <w:rPr>
          <w:rFonts w:ascii="Times New Roman" w:eastAsia="Times New Roman" w:hAnsi="Times New Roman"/>
          <w:bCs/>
          <w:color w:val="000000"/>
          <w:sz w:val="28"/>
          <w:szCs w:val="28"/>
          <w:lang w:eastAsia="lv-LV"/>
        </w:rPr>
        <w:t>apmērā. Projekta ieguvumu</w:t>
      </w:r>
      <w:r w:rsidR="009829EF">
        <w:rPr>
          <w:rFonts w:ascii="Times New Roman" w:eastAsia="Times New Roman" w:hAnsi="Times New Roman"/>
          <w:bCs/>
          <w:color w:val="000000"/>
          <w:sz w:val="28"/>
          <w:szCs w:val="28"/>
          <w:lang w:eastAsia="lv-LV"/>
        </w:rPr>
        <w:t xml:space="preserve"> un </w:t>
      </w:r>
      <w:r w:rsidRPr="000C3F4A">
        <w:rPr>
          <w:rFonts w:ascii="Times New Roman" w:eastAsia="Times New Roman" w:hAnsi="Times New Roman"/>
          <w:bCs/>
          <w:color w:val="000000"/>
          <w:sz w:val="28"/>
          <w:szCs w:val="28"/>
          <w:lang w:eastAsia="lv-LV"/>
        </w:rPr>
        <w:t xml:space="preserve">izdevumu attiecības koeficienta vērtība ir virs 2, </w:t>
      </w:r>
      <w:r w:rsidR="009829EF">
        <w:rPr>
          <w:rFonts w:ascii="Times New Roman" w:eastAsia="Times New Roman" w:hAnsi="Times New Roman"/>
          <w:bCs/>
          <w:color w:val="000000"/>
          <w:sz w:val="28"/>
          <w:szCs w:val="28"/>
          <w:lang w:eastAsia="lv-LV"/>
        </w:rPr>
        <w:t>un tas</w:t>
      </w:r>
      <w:r w:rsidR="009829EF" w:rsidRPr="000C3F4A">
        <w:rPr>
          <w:rFonts w:ascii="Times New Roman" w:eastAsia="Times New Roman" w:hAnsi="Times New Roman"/>
          <w:bCs/>
          <w:color w:val="000000"/>
          <w:sz w:val="28"/>
          <w:szCs w:val="28"/>
          <w:lang w:eastAsia="lv-LV"/>
        </w:rPr>
        <w:t xml:space="preserve"> </w:t>
      </w:r>
      <w:r w:rsidRPr="000C3F4A">
        <w:rPr>
          <w:rFonts w:ascii="Times New Roman" w:eastAsia="Times New Roman" w:hAnsi="Times New Roman"/>
          <w:bCs/>
          <w:color w:val="000000"/>
          <w:sz w:val="28"/>
          <w:szCs w:val="28"/>
          <w:lang w:eastAsia="lv-LV"/>
        </w:rPr>
        <w:t>liecina par projekta augstu pievienot</w:t>
      </w:r>
      <w:r w:rsidR="00453307">
        <w:rPr>
          <w:rFonts w:ascii="Times New Roman" w:eastAsia="Times New Roman" w:hAnsi="Times New Roman"/>
          <w:bCs/>
          <w:color w:val="000000"/>
          <w:sz w:val="28"/>
          <w:szCs w:val="28"/>
          <w:lang w:eastAsia="lv-LV"/>
        </w:rPr>
        <w:t>o</w:t>
      </w:r>
      <w:r w:rsidRPr="000C3F4A">
        <w:rPr>
          <w:rFonts w:ascii="Times New Roman" w:eastAsia="Times New Roman" w:hAnsi="Times New Roman"/>
          <w:bCs/>
          <w:color w:val="000000"/>
          <w:sz w:val="28"/>
          <w:szCs w:val="28"/>
          <w:lang w:eastAsia="lv-LV"/>
        </w:rPr>
        <w:t xml:space="preserve"> vērtību. </w:t>
      </w:r>
    </w:p>
    <w:p w14:paraId="36440F6B" w14:textId="77777777" w:rsidR="00930510" w:rsidRPr="00F8650A" w:rsidRDefault="00930510" w:rsidP="00270F46">
      <w:pPr>
        <w:suppressAutoHyphens/>
        <w:ind w:left="-567" w:firstLine="567"/>
        <w:rPr>
          <w:rFonts w:ascii="Times New Roman" w:eastAsia="Times New Roman" w:hAnsi="Times New Roman"/>
          <w:sz w:val="28"/>
          <w:szCs w:val="28"/>
          <w:lang w:eastAsia="zh-CN"/>
        </w:rPr>
      </w:pPr>
    </w:p>
    <w:p w14:paraId="151DAB05" w14:textId="77777777" w:rsidR="0067581C" w:rsidRPr="009D0428" w:rsidRDefault="0067581C" w:rsidP="0067581C">
      <w:pPr>
        <w:ind w:firstLine="709"/>
        <w:rPr>
          <w:rFonts w:ascii="Times New Roman" w:hAnsi="Times New Roman"/>
          <w:sz w:val="28"/>
          <w:szCs w:val="28"/>
        </w:rPr>
      </w:pPr>
    </w:p>
    <w:p w14:paraId="2E368B66" w14:textId="77777777" w:rsidR="0067581C" w:rsidRPr="009D0428" w:rsidRDefault="0067581C" w:rsidP="0067581C">
      <w:pPr>
        <w:pStyle w:val="Header"/>
        <w:tabs>
          <w:tab w:val="clear" w:pos="4153"/>
        </w:tabs>
        <w:ind w:firstLine="709"/>
        <w:rPr>
          <w:rFonts w:ascii="Times New Roman" w:hAnsi="Times New Roman"/>
          <w:sz w:val="28"/>
          <w:szCs w:val="28"/>
        </w:rPr>
      </w:pPr>
    </w:p>
    <w:p w14:paraId="7D8EA4D0" w14:textId="77777777" w:rsidR="0067581C" w:rsidRPr="009D0428" w:rsidRDefault="0067581C" w:rsidP="0067581C">
      <w:pPr>
        <w:pStyle w:val="Header"/>
        <w:tabs>
          <w:tab w:val="clear" w:pos="4153"/>
          <w:tab w:val="left" w:pos="6521"/>
        </w:tabs>
        <w:ind w:firstLine="709"/>
        <w:rPr>
          <w:rFonts w:ascii="Times New Roman" w:hAnsi="Times New Roman"/>
          <w:sz w:val="28"/>
          <w:szCs w:val="28"/>
        </w:rPr>
      </w:pPr>
      <w:r w:rsidRPr="009D0428">
        <w:rPr>
          <w:rFonts w:ascii="Times New Roman" w:hAnsi="Times New Roman"/>
          <w:sz w:val="28"/>
          <w:szCs w:val="28"/>
        </w:rPr>
        <w:t>Vides aizsardzības un</w:t>
      </w:r>
    </w:p>
    <w:p w14:paraId="6455BAD1" w14:textId="77777777" w:rsidR="0067581C" w:rsidRPr="009D0428" w:rsidRDefault="0067581C" w:rsidP="0067581C">
      <w:pPr>
        <w:pStyle w:val="Header"/>
        <w:tabs>
          <w:tab w:val="clear" w:pos="4153"/>
          <w:tab w:val="left" w:pos="6521"/>
        </w:tabs>
        <w:ind w:firstLine="709"/>
        <w:rPr>
          <w:rFonts w:ascii="Times New Roman" w:hAnsi="Times New Roman"/>
          <w:sz w:val="28"/>
          <w:szCs w:val="28"/>
        </w:rPr>
      </w:pPr>
      <w:r w:rsidRPr="009D0428">
        <w:rPr>
          <w:rFonts w:ascii="Times New Roman" w:hAnsi="Times New Roman"/>
          <w:sz w:val="28"/>
          <w:szCs w:val="28"/>
        </w:rPr>
        <w:t>reģionālās attīstības ministra vietā –</w:t>
      </w:r>
    </w:p>
    <w:p w14:paraId="47ECDC7C" w14:textId="77777777" w:rsidR="0067581C" w:rsidRPr="009D0428" w:rsidRDefault="0067581C" w:rsidP="0067581C">
      <w:pPr>
        <w:ind w:firstLine="709"/>
        <w:rPr>
          <w:rFonts w:ascii="Times New Roman" w:hAnsi="Times New Roman"/>
          <w:sz w:val="28"/>
          <w:szCs w:val="28"/>
        </w:rPr>
      </w:pPr>
      <w:r w:rsidRPr="009D0428">
        <w:rPr>
          <w:rFonts w:ascii="Times New Roman" w:hAnsi="Times New Roman"/>
          <w:sz w:val="28"/>
          <w:szCs w:val="28"/>
        </w:rPr>
        <w:t xml:space="preserve">Ministru prezidenta biedrs, </w:t>
      </w:r>
    </w:p>
    <w:p w14:paraId="64D364D9" w14:textId="77777777" w:rsidR="0067581C" w:rsidRPr="009D0428" w:rsidRDefault="0067581C" w:rsidP="0067581C">
      <w:pPr>
        <w:tabs>
          <w:tab w:val="left" w:pos="6521"/>
        </w:tabs>
        <w:ind w:firstLine="709"/>
        <w:rPr>
          <w:rFonts w:ascii="Times New Roman" w:hAnsi="Times New Roman"/>
          <w:sz w:val="28"/>
          <w:szCs w:val="28"/>
        </w:rPr>
      </w:pPr>
      <w:r w:rsidRPr="009D0428">
        <w:rPr>
          <w:rFonts w:ascii="Times New Roman" w:hAnsi="Times New Roman"/>
          <w:sz w:val="28"/>
          <w:szCs w:val="28"/>
        </w:rPr>
        <w:t>aizsardzības ministrs</w:t>
      </w:r>
      <w:r w:rsidRPr="009D0428">
        <w:rPr>
          <w:rFonts w:ascii="Times New Roman" w:hAnsi="Times New Roman"/>
          <w:sz w:val="28"/>
          <w:szCs w:val="28"/>
        </w:rPr>
        <w:tab/>
        <w:t>A. Pabriks</w:t>
      </w:r>
    </w:p>
    <w:sectPr w:rsidR="0067581C" w:rsidRPr="009D0428" w:rsidSect="00270F4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E9CE9" w14:textId="77777777" w:rsidR="00774E9F" w:rsidRDefault="00774E9F" w:rsidP="005D7588">
      <w:r>
        <w:separator/>
      </w:r>
    </w:p>
  </w:endnote>
  <w:endnote w:type="continuationSeparator" w:id="0">
    <w:p w14:paraId="6861A09A" w14:textId="77777777" w:rsidR="00774E9F" w:rsidRDefault="00774E9F" w:rsidP="005D7588">
      <w:r>
        <w:continuationSeparator/>
      </w:r>
    </w:p>
  </w:endnote>
  <w:endnote w:type="continuationNotice" w:id="1">
    <w:p w14:paraId="2D24DC60" w14:textId="77777777" w:rsidR="005B37BB" w:rsidRDefault="005B3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84FC" w14:textId="587EDD47" w:rsidR="00270F46" w:rsidRPr="00270F46" w:rsidRDefault="00270F46">
    <w:pPr>
      <w:pStyle w:val="Footer"/>
      <w:rPr>
        <w:rFonts w:ascii="Times New Roman" w:hAnsi="Times New Roman"/>
        <w:sz w:val="16"/>
        <w:szCs w:val="16"/>
      </w:rPr>
    </w:pPr>
    <w:r w:rsidRPr="00270F46">
      <w:rPr>
        <w:rFonts w:ascii="Times New Roman" w:hAnsi="Times New Roman"/>
        <w:sz w:val="16"/>
        <w:szCs w:val="16"/>
      </w:rPr>
      <w:t>R1540_1p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F346" w14:textId="2B428249" w:rsidR="00270F46" w:rsidRPr="00270F46" w:rsidRDefault="00270F46">
    <w:pPr>
      <w:pStyle w:val="Footer"/>
      <w:rPr>
        <w:rFonts w:ascii="Times New Roman" w:hAnsi="Times New Roman"/>
        <w:sz w:val="16"/>
        <w:szCs w:val="16"/>
      </w:rPr>
    </w:pPr>
    <w:r w:rsidRPr="00270F46">
      <w:rPr>
        <w:rFonts w:ascii="Times New Roman" w:hAnsi="Times New Roman"/>
        <w:sz w:val="16"/>
        <w:szCs w:val="16"/>
      </w:rPr>
      <w:t>R1540_1p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03BE8" w14:textId="77777777" w:rsidR="00774E9F" w:rsidRDefault="00774E9F" w:rsidP="005D7588">
      <w:r>
        <w:separator/>
      </w:r>
    </w:p>
  </w:footnote>
  <w:footnote w:type="continuationSeparator" w:id="0">
    <w:p w14:paraId="7F0013E2" w14:textId="77777777" w:rsidR="00774E9F" w:rsidRDefault="00774E9F" w:rsidP="005D7588">
      <w:r>
        <w:continuationSeparator/>
      </w:r>
    </w:p>
  </w:footnote>
  <w:footnote w:type="continuationNotice" w:id="1">
    <w:p w14:paraId="4CEB0257" w14:textId="77777777" w:rsidR="005B37BB" w:rsidRDefault="005B3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721621"/>
      <w:docPartObj>
        <w:docPartGallery w:val="Page Numbers (Top of Page)"/>
        <w:docPartUnique/>
      </w:docPartObj>
    </w:sdtPr>
    <w:sdtEndPr>
      <w:rPr>
        <w:rFonts w:ascii="Times New Roman" w:hAnsi="Times New Roman"/>
        <w:noProof/>
      </w:rPr>
    </w:sdtEndPr>
    <w:sdtContent>
      <w:p w14:paraId="2C559940" w14:textId="7800E2ED" w:rsidR="00642F15" w:rsidRPr="00270F46" w:rsidRDefault="00642F15">
        <w:pPr>
          <w:pStyle w:val="Header"/>
          <w:jc w:val="center"/>
          <w:rPr>
            <w:rFonts w:ascii="Times New Roman" w:hAnsi="Times New Roman"/>
          </w:rPr>
        </w:pPr>
        <w:r w:rsidRPr="00270F46">
          <w:rPr>
            <w:rFonts w:ascii="Times New Roman" w:hAnsi="Times New Roman"/>
          </w:rPr>
          <w:fldChar w:fldCharType="begin"/>
        </w:r>
        <w:r w:rsidRPr="00270F46">
          <w:rPr>
            <w:rFonts w:ascii="Times New Roman" w:hAnsi="Times New Roman"/>
          </w:rPr>
          <w:instrText xml:space="preserve"> PAGE   \* MERGEFORMAT </w:instrText>
        </w:r>
        <w:r w:rsidRPr="00270F46">
          <w:rPr>
            <w:rFonts w:ascii="Times New Roman" w:hAnsi="Times New Roman"/>
          </w:rPr>
          <w:fldChar w:fldCharType="separate"/>
        </w:r>
        <w:r w:rsidR="00426345">
          <w:rPr>
            <w:rFonts w:ascii="Times New Roman" w:hAnsi="Times New Roman"/>
            <w:noProof/>
          </w:rPr>
          <w:t>5</w:t>
        </w:r>
        <w:r w:rsidRPr="00270F46">
          <w:rPr>
            <w:rFonts w:ascii="Times New Roman" w:hAnsi="Times New Roman"/>
            <w:noProof/>
          </w:rPr>
          <w:fldChar w:fldCharType="end"/>
        </w:r>
      </w:p>
    </w:sdtContent>
  </w:sdt>
  <w:p w14:paraId="17EB8BE4" w14:textId="77777777" w:rsidR="00642F15" w:rsidRPr="00270F46" w:rsidRDefault="00642F15">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4A9B"/>
    <w:multiLevelType w:val="hybridMultilevel"/>
    <w:tmpl w:val="B204E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C4194F"/>
    <w:multiLevelType w:val="hybridMultilevel"/>
    <w:tmpl w:val="66E4B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EC14A2"/>
    <w:multiLevelType w:val="hybridMultilevel"/>
    <w:tmpl w:val="648011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929E9"/>
    <w:multiLevelType w:val="hybridMultilevel"/>
    <w:tmpl w:val="1DB4C62E"/>
    <w:lvl w:ilvl="0" w:tplc="54EEB78A">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CEE828">
      <w:start w:val="1"/>
      <w:numFmt w:val="bullet"/>
      <w:lvlText w:val="o"/>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B4AD90">
      <w:start w:val="1"/>
      <w:numFmt w:val="bullet"/>
      <w:lvlText w:val="▪"/>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B2D016">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8A0080">
      <w:start w:val="1"/>
      <w:numFmt w:val="bullet"/>
      <w:lvlText w:val="o"/>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ACEDAE">
      <w:start w:val="1"/>
      <w:numFmt w:val="bullet"/>
      <w:lvlText w:val="▪"/>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488988">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86DA4">
      <w:start w:val="1"/>
      <w:numFmt w:val="bullet"/>
      <w:lvlText w:val="o"/>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83FF2">
      <w:start w:val="1"/>
      <w:numFmt w:val="bullet"/>
      <w:lvlText w:val="▪"/>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5524A2"/>
    <w:multiLevelType w:val="hybridMultilevel"/>
    <w:tmpl w:val="12049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ABF3AA8"/>
    <w:multiLevelType w:val="hybridMultilevel"/>
    <w:tmpl w:val="F66E9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246CB5"/>
    <w:multiLevelType w:val="hybridMultilevel"/>
    <w:tmpl w:val="5964E09A"/>
    <w:lvl w:ilvl="0" w:tplc="158846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AC1804">
      <w:start w:val="1"/>
      <w:numFmt w:val="bullet"/>
      <w:lvlText w:val="o"/>
      <w:lvlJc w:val="left"/>
      <w:pPr>
        <w:ind w:left="1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CA3946">
      <w:start w:val="1"/>
      <w:numFmt w:val="bullet"/>
      <w:lvlText w:val="▪"/>
      <w:lvlJc w:val="left"/>
      <w:pPr>
        <w:ind w:left="1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8FDA6">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489E3E">
      <w:start w:val="1"/>
      <w:numFmt w:val="bullet"/>
      <w:lvlText w:val="o"/>
      <w:lvlJc w:val="left"/>
      <w:pPr>
        <w:ind w:left="3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74D27C">
      <w:start w:val="1"/>
      <w:numFmt w:val="bullet"/>
      <w:lvlText w:val="▪"/>
      <w:lvlJc w:val="left"/>
      <w:pPr>
        <w:ind w:left="4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08874A">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C299C">
      <w:start w:val="1"/>
      <w:numFmt w:val="bullet"/>
      <w:lvlText w:val="o"/>
      <w:lvlJc w:val="left"/>
      <w:pPr>
        <w:ind w:left="5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A01CE">
      <w:start w:val="1"/>
      <w:numFmt w:val="bullet"/>
      <w:lvlText w:val="▪"/>
      <w:lvlJc w:val="left"/>
      <w:pPr>
        <w:ind w:left="6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CE3025"/>
    <w:multiLevelType w:val="hybridMultilevel"/>
    <w:tmpl w:val="8F5E7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9E5088"/>
    <w:multiLevelType w:val="hybridMultilevel"/>
    <w:tmpl w:val="4A82B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VPNumbered"/>
        <w:lvlText w:val="%1."/>
        <w:lvlJc w:val="left"/>
        <w:pPr>
          <w:ind w:left="1170"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
    <w:abstractNumId w:val="2"/>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9"/>
  </w:num>
  <w:num w:numId="4">
    <w:abstractNumId w:val="6"/>
  </w:num>
  <w:num w:numId="5">
    <w:abstractNumId w:val="3"/>
  </w:num>
  <w:num w:numId="6">
    <w:abstractNumId w:val="1"/>
  </w:num>
  <w:num w:numId="7">
    <w:abstractNumId w:val="5"/>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88"/>
    <w:rsid w:val="00032936"/>
    <w:rsid w:val="0004084E"/>
    <w:rsid w:val="000427FD"/>
    <w:rsid w:val="000459E4"/>
    <w:rsid w:val="00065D11"/>
    <w:rsid w:val="000759E8"/>
    <w:rsid w:val="00086856"/>
    <w:rsid w:val="000B111C"/>
    <w:rsid w:val="000C3F4A"/>
    <w:rsid w:val="00106510"/>
    <w:rsid w:val="001333B7"/>
    <w:rsid w:val="001458FC"/>
    <w:rsid w:val="00190F4C"/>
    <w:rsid w:val="001B4607"/>
    <w:rsid w:val="001C05C5"/>
    <w:rsid w:val="001C3517"/>
    <w:rsid w:val="00200714"/>
    <w:rsid w:val="0020169A"/>
    <w:rsid w:val="00213093"/>
    <w:rsid w:val="00252499"/>
    <w:rsid w:val="00270F46"/>
    <w:rsid w:val="00277708"/>
    <w:rsid w:val="00284DF9"/>
    <w:rsid w:val="002D695F"/>
    <w:rsid w:val="003031F6"/>
    <w:rsid w:val="00392ADE"/>
    <w:rsid w:val="00397A39"/>
    <w:rsid w:val="003C161B"/>
    <w:rsid w:val="003C50B0"/>
    <w:rsid w:val="00424CC8"/>
    <w:rsid w:val="00426345"/>
    <w:rsid w:val="00453307"/>
    <w:rsid w:val="00475550"/>
    <w:rsid w:val="004A6878"/>
    <w:rsid w:val="004B0168"/>
    <w:rsid w:val="004E1406"/>
    <w:rsid w:val="0052266E"/>
    <w:rsid w:val="00522876"/>
    <w:rsid w:val="00565A7F"/>
    <w:rsid w:val="00570498"/>
    <w:rsid w:val="00587FF2"/>
    <w:rsid w:val="00596626"/>
    <w:rsid w:val="005B37BB"/>
    <w:rsid w:val="005D7588"/>
    <w:rsid w:val="005E0BE4"/>
    <w:rsid w:val="005F240A"/>
    <w:rsid w:val="005F2FD4"/>
    <w:rsid w:val="00612009"/>
    <w:rsid w:val="00612D32"/>
    <w:rsid w:val="00621109"/>
    <w:rsid w:val="006403B9"/>
    <w:rsid w:val="00642F15"/>
    <w:rsid w:val="00660D22"/>
    <w:rsid w:val="006711C9"/>
    <w:rsid w:val="00671F14"/>
    <w:rsid w:val="0067581C"/>
    <w:rsid w:val="006E2AD9"/>
    <w:rsid w:val="007138D7"/>
    <w:rsid w:val="007328E7"/>
    <w:rsid w:val="007408D1"/>
    <w:rsid w:val="00755696"/>
    <w:rsid w:val="00756B83"/>
    <w:rsid w:val="00763DCA"/>
    <w:rsid w:val="00774E9F"/>
    <w:rsid w:val="0078159D"/>
    <w:rsid w:val="007B6F3D"/>
    <w:rsid w:val="007F449E"/>
    <w:rsid w:val="007F7103"/>
    <w:rsid w:val="0080110E"/>
    <w:rsid w:val="0080140B"/>
    <w:rsid w:val="008042FC"/>
    <w:rsid w:val="00815DAE"/>
    <w:rsid w:val="00825505"/>
    <w:rsid w:val="00834014"/>
    <w:rsid w:val="0087047C"/>
    <w:rsid w:val="008975AA"/>
    <w:rsid w:val="008A58BE"/>
    <w:rsid w:val="008B5D25"/>
    <w:rsid w:val="008E24BA"/>
    <w:rsid w:val="00930510"/>
    <w:rsid w:val="00945695"/>
    <w:rsid w:val="009463F5"/>
    <w:rsid w:val="009829EF"/>
    <w:rsid w:val="009B38D9"/>
    <w:rsid w:val="009C514E"/>
    <w:rsid w:val="009D0E21"/>
    <w:rsid w:val="00A81861"/>
    <w:rsid w:val="00A85EEB"/>
    <w:rsid w:val="00AA78EA"/>
    <w:rsid w:val="00AC5CFA"/>
    <w:rsid w:val="00AD7887"/>
    <w:rsid w:val="00AE7846"/>
    <w:rsid w:val="00B06562"/>
    <w:rsid w:val="00B10A60"/>
    <w:rsid w:val="00B10B2B"/>
    <w:rsid w:val="00B213D1"/>
    <w:rsid w:val="00B25248"/>
    <w:rsid w:val="00B9625B"/>
    <w:rsid w:val="00BA112E"/>
    <w:rsid w:val="00BD3004"/>
    <w:rsid w:val="00BF61E1"/>
    <w:rsid w:val="00C305BE"/>
    <w:rsid w:val="00C7770D"/>
    <w:rsid w:val="00CA1AA7"/>
    <w:rsid w:val="00CB2D1D"/>
    <w:rsid w:val="00CB2F2C"/>
    <w:rsid w:val="00CC4945"/>
    <w:rsid w:val="00D03DDC"/>
    <w:rsid w:val="00D30099"/>
    <w:rsid w:val="00D354BF"/>
    <w:rsid w:val="00D66141"/>
    <w:rsid w:val="00D86C1C"/>
    <w:rsid w:val="00DB17EB"/>
    <w:rsid w:val="00DB2CD4"/>
    <w:rsid w:val="00DC17C0"/>
    <w:rsid w:val="00DC7C36"/>
    <w:rsid w:val="00E17160"/>
    <w:rsid w:val="00E26BFF"/>
    <w:rsid w:val="00E26C76"/>
    <w:rsid w:val="00E35D02"/>
    <w:rsid w:val="00E54D7C"/>
    <w:rsid w:val="00E665CE"/>
    <w:rsid w:val="00E70EA6"/>
    <w:rsid w:val="00E9515F"/>
    <w:rsid w:val="00EC25E8"/>
    <w:rsid w:val="00F20C13"/>
    <w:rsid w:val="00F34316"/>
    <w:rsid w:val="00F35564"/>
    <w:rsid w:val="00F6531D"/>
    <w:rsid w:val="00F8650A"/>
    <w:rsid w:val="00FC043B"/>
    <w:rsid w:val="00FC1DEB"/>
    <w:rsid w:val="00FD1EF5"/>
    <w:rsid w:val="00FF3A8B"/>
    <w:rsid w:val="00FF43A4"/>
    <w:rsid w:val="0BF0AB99"/>
    <w:rsid w:val="0CBAD3B4"/>
    <w:rsid w:val="0F167C58"/>
    <w:rsid w:val="1053CD3C"/>
    <w:rsid w:val="1206729E"/>
    <w:rsid w:val="2020EF0E"/>
    <w:rsid w:val="25428B78"/>
    <w:rsid w:val="2F27F7AE"/>
    <w:rsid w:val="4109D41B"/>
    <w:rsid w:val="451D9F41"/>
    <w:rsid w:val="4C86DBB3"/>
    <w:rsid w:val="54222404"/>
    <w:rsid w:val="56A99E37"/>
    <w:rsid w:val="592DFC20"/>
    <w:rsid w:val="5956DE78"/>
    <w:rsid w:val="5DBFB59B"/>
    <w:rsid w:val="5F659F28"/>
    <w:rsid w:val="630FC7E0"/>
    <w:rsid w:val="6383EA8B"/>
    <w:rsid w:val="63E35A0D"/>
    <w:rsid w:val="664768A2"/>
    <w:rsid w:val="67F02574"/>
    <w:rsid w:val="79B223B5"/>
    <w:rsid w:val="79B29874"/>
    <w:rsid w:val="7EF1A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39AE"/>
  <w15:chartTrackingRefBased/>
  <w15:docId w15:val="{597E4ECE-6CCE-4A75-BD92-AF27568E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88"/>
    <w:pPr>
      <w:spacing w:after="0" w:line="240" w:lineRule="auto"/>
      <w:jc w:val="both"/>
    </w:pPr>
    <w:rPr>
      <w:rFonts w:ascii="Calibri" w:eastAsia="Calibri" w:hAnsi="Calibri" w:cs="Times New Roman"/>
    </w:rPr>
  </w:style>
  <w:style w:type="paragraph" w:styleId="Heading3">
    <w:name w:val="heading 3"/>
    <w:basedOn w:val="Normal"/>
    <w:link w:val="Heading3Char"/>
    <w:qFormat/>
    <w:rsid w:val="00270F46"/>
    <w:pPr>
      <w:spacing w:before="100" w:beforeAutospacing="1" w:after="100" w:afterAutospacing="1"/>
      <w:jc w:val="left"/>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588"/>
    <w:rPr>
      <w:sz w:val="16"/>
      <w:szCs w:val="16"/>
    </w:rPr>
  </w:style>
  <w:style w:type="paragraph" w:styleId="CommentText">
    <w:name w:val="annotation text"/>
    <w:basedOn w:val="Normal"/>
    <w:link w:val="CommentTextChar"/>
    <w:uiPriority w:val="99"/>
    <w:semiHidden/>
    <w:unhideWhenUsed/>
    <w:rsid w:val="005D7588"/>
    <w:rPr>
      <w:sz w:val="20"/>
      <w:szCs w:val="20"/>
    </w:rPr>
  </w:style>
  <w:style w:type="character" w:customStyle="1" w:styleId="CommentTextChar">
    <w:name w:val="Comment Text Char"/>
    <w:basedOn w:val="DefaultParagraphFont"/>
    <w:link w:val="CommentText"/>
    <w:uiPriority w:val="99"/>
    <w:semiHidden/>
    <w:rsid w:val="005D7588"/>
    <w:rPr>
      <w:rFonts w:ascii="Calibri" w:eastAsia="Calibri" w:hAnsi="Calibri" w:cs="Times New Roman"/>
      <w:sz w:val="20"/>
      <w:szCs w:val="20"/>
    </w:rPr>
  </w:style>
  <w:style w:type="character" w:styleId="Hyperlink">
    <w:name w:val="Hyperlink"/>
    <w:uiPriority w:val="99"/>
    <w:unhideWhenUsed/>
    <w:rsid w:val="005D7588"/>
    <w:rPr>
      <w:color w:val="0000FF"/>
      <w:u w:val="single"/>
    </w:rPr>
  </w:style>
  <w:style w:type="paragraph" w:styleId="FootnoteText">
    <w:name w:val="footnote text"/>
    <w:basedOn w:val="Normal"/>
    <w:link w:val="FootnoteTextChar"/>
    <w:uiPriority w:val="99"/>
    <w:semiHidden/>
    <w:unhideWhenUsed/>
    <w:rsid w:val="005D7588"/>
    <w:rPr>
      <w:sz w:val="20"/>
      <w:szCs w:val="20"/>
    </w:rPr>
  </w:style>
  <w:style w:type="character" w:customStyle="1" w:styleId="FootnoteTextChar">
    <w:name w:val="Footnote Text Char"/>
    <w:basedOn w:val="DefaultParagraphFont"/>
    <w:link w:val="FootnoteText"/>
    <w:uiPriority w:val="99"/>
    <w:semiHidden/>
    <w:rsid w:val="005D7588"/>
    <w:rPr>
      <w:rFonts w:ascii="Calibri" w:eastAsia="Calibri" w:hAnsi="Calibri" w:cs="Times New Roman"/>
      <w:sz w:val="20"/>
      <w:szCs w:val="20"/>
    </w:rPr>
  </w:style>
  <w:style w:type="table" w:customStyle="1" w:styleId="TableGrid1">
    <w:name w:val="Table Grid1"/>
    <w:basedOn w:val="TableNormal"/>
    <w:next w:val="TableGrid"/>
    <w:uiPriority w:val="99"/>
    <w:rsid w:val="005D7588"/>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r,Footnote symbol,Footnote Reference Number,SUPERS,Footnote Reference Superscript,Footnote Refernece,ftref,Odwołanie przypisu,BVI fnr,Footnotes refss,Ref,de nota al pie,-E Fußnotenzeichen,Footnote reference number,Times 10 Point,E"/>
    <w:basedOn w:val="DefaultParagraphFont"/>
    <w:link w:val="CharCharCharChar"/>
    <w:unhideWhenUsed/>
    <w:rsid w:val="005D7588"/>
    <w:rPr>
      <w:vertAlign w:val="superscript"/>
    </w:rPr>
  </w:style>
  <w:style w:type="paragraph" w:customStyle="1" w:styleId="VPNumbered">
    <w:name w:val="VP Numbered"/>
    <w:basedOn w:val="Normal"/>
    <w:qFormat/>
    <w:rsid w:val="005D7588"/>
    <w:pPr>
      <w:numPr>
        <w:numId w:val="1"/>
      </w:numPr>
      <w:tabs>
        <w:tab w:val="left" w:pos="0"/>
        <w:tab w:val="num" w:pos="1021"/>
      </w:tabs>
      <w:spacing w:before="80" w:after="80"/>
      <w:ind w:left="964" w:hanging="397"/>
    </w:pPr>
    <w:rPr>
      <w:rFonts w:ascii="Times New Roman" w:eastAsiaTheme="minorHAnsi" w:hAnsi="Times New Roman"/>
      <w:bCs/>
      <w:sz w:val="24"/>
      <w:szCs w:val="24"/>
    </w:rPr>
  </w:style>
  <w:style w:type="paragraph" w:customStyle="1" w:styleId="CharCharCharChar">
    <w:name w:val="Char Char Char Char"/>
    <w:aliases w:val="Char2"/>
    <w:basedOn w:val="Normal"/>
    <w:next w:val="Normal"/>
    <w:link w:val="FootnoteReference"/>
    <w:rsid w:val="005D7588"/>
    <w:pPr>
      <w:spacing w:after="160" w:line="240" w:lineRule="exact"/>
      <w:textAlignment w:val="baseline"/>
    </w:pPr>
    <w:rPr>
      <w:rFonts w:asciiTheme="minorHAnsi" w:eastAsiaTheme="minorHAnsi" w:hAnsiTheme="minorHAnsi" w:cstheme="minorBidi"/>
      <w:vertAlign w:val="superscript"/>
    </w:rPr>
  </w:style>
  <w:style w:type="table" w:styleId="TableGrid">
    <w:name w:val="Table Grid"/>
    <w:basedOn w:val="TableNormal"/>
    <w:uiPriority w:val="39"/>
    <w:rsid w:val="005D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8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D7588"/>
    <w:rPr>
      <w:b/>
      <w:bCs/>
    </w:rPr>
  </w:style>
  <w:style w:type="character" w:customStyle="1" w:styleId="CommentSubjectChar">
    <w:name w:val="Comment Subject Char"/>
    <w:basedOn w:val="CommentTextChar"/>
    <w:link w:val="CommentSubject"/>
    <w:uiPriority w:val="99"/>
    <w:semiHidden/>
    <w:rsid w:val="005D7588"/>
    <w:rPr>
      <w:rFonts w:ascii="Calibri" w:eastAsia="Calibri" w:hAnsi="Calibri" w:cs="Times New Roman"/>
      <w:b/>
      <w:bCs/>
      <w:sz w:val="20"/>
      <w:szCs w:val="20"/>
    </w:rPr>
  </w:style>
  <w:style w:type="paragraph" w:styleId="Header">
    <w:name w:val="header"/>
    <w:basedOn w:val="Normal"/>
    <w:link w:val="HeaderChar"/>
    <w:uiPriority w:val="99"/>
    <w:unhideWhenUsed/>
    <w:rsid w:val="00D66141"/>
    <w:pPr>
      <w:tabs>
        <w:tab w:val="center" w:pos="4153"/>
        <w:tab w:val="right" w:pos="8306"/>
      </w:tabs>
    </w:pPr>
  </w:style>
  <w:style w:type="character" w:customStyle="1" w:styleId="HeaderChar">
    <w:name w:val="Header Char"/>
    <w:basedOn w:val="DefaultParagraphFont"/>
    <w:link w:val="Header"/>
    <w:uiPriority w:val="99"/>
    <w:rsid w:val="00D66141"/>
    <w:rPr>
      <w:rFonts w:ascii="Calibri" w:eastAsia="Calibri" w:hAnsi="Calibri" w:cs="Times New Roman"/>
    </w:rPr>
  </w:style>
  <w:style w:type="paragraph" w:styleId="Footer">
    <w:name w:val="footer"/>
    <w:basedOn w:val="Normal"/>
    <w:link w:val="FooterChar"/>
    <w:uiPriority w:val="99"/>
    <w:unhideWhenUsed/>
    <w:rsid w:val="00D66141"/>
    <w:pPr>
      <w:tabs>
        <w:tab w:val="center" w:pos="4153"/>
        <w:tab w:val="right" w:pos="8306"/>
      </w:tabs>
    </w:pPr>
  </w:style>
  <w:style w:type="character" w:customStyle="1" w:styleId="FooterChar">
    <w:name w:val="Footer Char"/>
    <w:basedOn w:val="DefaultParagraphFont"/>
    <w:link w:val="Footer"/>
    <w:uiPriority w:val="99"/>
    <w:rsid w:val="00D66141"/>
    <w:rPr>
      <w:rFonts w:ascii="Calibri" w:eastAsia="Calibri" w:hAnsi="Calibri" w:cs="Times New Roman"/>
    </w:rPr>
  </w:style>
  <w:style w:type="paragraph" w:styleId="ListParagraph">
    <w:name w:val="List Paragraph"/>
    <w:basedOn w:val="Normal"/>
    <w:uiPriority w:val="34"/>
    <w:qFormat/>
    <w:rsid w:val="007F449E"/>
    <w:pPr>
      <w:ind w:left="720"/>
      <w:contextualSpacing/>
    </w:pPr>
  </w:style>
  <w:style w:type="character" w:customStyle="1" w:styleId="normaltextrun">
    <w:name w:val="normaltextrun"/>
    <w:basedOn w:val="DefaultParagraphFont"/>
    <w:rsid w:val="0078159D"/>
  </w:style>
  <w:style w:type="table" w:customStyle="1" w:styleId="TableGrid11">
    <w:name w:val="Table Grid11"/>
    <w:rsid w:val="00CC4945"/>
    <w:pPr>
      <w:spacing w:after="0" w:line="240" w:lineRule="auto"/>
    </w:pPr>
    <w:rPr>
      <w:rFonts w:eastAsia="Times New Roman"/>
      <w:lang w:eastAsia="lv-LV"/>
    </w:rPr>
    <w:tblPr>
      <w:tblCellMar>
        <w:top w:w="0" w:type="dxa"/>
        <w:left w:w="0" w:type="dxa"/>
        <w:bottom w:w="0" w:type="dxa"/>
        <w:right w:w="0" w:type="dxa"/>
      </w:tblCellMar>
    </w:tblPr>
  </w:style>
  <w:style w:type="character" w:customStyle="1" w:styleId="Heading3Char">
    <w:name w:val="Heading 3 Char"/>
    <w:basedOn w:val="DefaultParagraphFont"/>
    <w:link w:val="Heading3"/>
    <w:rsid w:val="00270F46"/>
    <w:rPr>
      <w:rFonts w:ascii="Times New Roman" w:eastAsia="Times New Roman" w:hAnsi="Times New Roman" w:cs="Times New Roman"/>
      <w:b/>
      <w:bCs/>
      <w:sz w:val="27"/>
      <w:szCs w:val="27"/>
      <w:lang w:eastAsia="lv-LV"/>
    </w:rPr>
  </w:style>
  <w:style w:type="paragraph" w:styleId="List">
    <w:name w:val="List"/>
    <w:basedOn w:val="Normal"/>
    <w:semiHidden/>
    <w:rsid w:val="00270F46"/>
    <w:pPr>
      <w:ind w:left="283" w:hanging="283"/>
      <w:jc w:val="left"/>
    </w:pPr>
    <w:rPr>
      <w:rFonts w:ascii="Times New Roman" w:eastAsia="Times New Roman" w:hAnsi="Times New Roman"/>
      <w:sz w:val="24"/>
      <w:szCs w:val="20"/>
      <w:lang w:val="en-AU"/>
    </w:rPr>
  </w:style>
  <w:style w:type="paragraph" w:customStyle="1" w:styleId="Body">
    <w:name w:val="Body"/>
    <w:rsid w:val="00270F46"/>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2374">
      <w:bodyDiv w:val="1"/>
      <w:marLeft w:val="0"/>
      <w:marRight w:val="0"/>
      <w:marTop w:val="0"/>
      <w:marBottom w:val="0"/>
      <w:divBdr>
        <w:top w:val="none" w:sz="0" w:space="0" w:color="auto"/>
        <w:left w:val="none" w:sz="0" w:space="0" w:color="auto"/>
        <w:bottom w:val="none" w:sz="0" w:space="0" w:color="auto"/>
        <w:right w:val="none" w:sz="0" w:space="0" w:color="auto"/>
      </w:divBdr>
    </w:div>
    <w:div w:id="508176083">
      <w:bodyDiv w:val="1"/>
      <w:marLeft w:val="0"/>
      <w:marRight w:val="0"/>
      <w:marTop w:val="0"/>
      <w:marBottom w:val="0"/>
      <w:divBdr>
        <w:top w:val="none" w:sz="0" w:space="0" w:color="auto"/>
        <w:left w:val="none" w:sz="0" w:space="0" w:color="auto"/>
        <w:bottom w:val="none" w:sz="0" w:space="0" w:color="auto"/>
        <w:right w:val="none" w:sz="0" w:space="0" w:color="auto"/>
      </w:divBdr>
    </w:div>
    <w:div w:id="7485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DFC35E2DB4549A9063EAE01E693B9" ma:contentTypeVersion="12" ma:contentTypeDescription="Create a new document." ma:contentTypeScope="" ma:versionID="b036569ccc69138711837d20297d039f">
  <xsd:schema xmlns:xsd="http://www.w3.org/2001/XMLSchema" xmlns:xs="http://www.w3.org/2001/XMLSchema" xmlns:p="http://schemas.microsoft.com/office/2006/metadata/properties" xmlns:ns2="a823a482-2c89-41fd-a35a-e774ccf962dd" xmlns:ns3="e2cdc473-d432-4e0e-ad39-c3de195f70c3" targetNamespace="http://schemas.microsoft.com/office/2006/metadata/properties" ma:root="true" ma:fieldsID="04e2a57bf41c731aea0652860fe00d84" ns2:_="" ns3:_="">
    <xsd:import namespace="a823a482-2c89-41fd-a35a-e774ccf962dd"/>
    <xsd:import namespace="e2cdc473-d432-4e0e-ad39-c3de195f7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3a482-2c89-41fd-a35a-e774ccf96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dc473-d432-4e0e-ad39-c3de195f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2cdc473-d432-4e0e-ad39-c3de195f70c3">
      <UserInfo>
        <DisplayName/>
        <AccountId xsi:nil="true"/>
        <AccountType/>
      </UserInfo>
    </SharedWithUsers>
  </documentManagement>
</p:properties>
</file>

<file path=customXml/itemProps1.xml><?xml version="1.0" encoding="utf-8"?>
<ds:datastoreItem xmlns:ds="http://schemas.openxmlformats.org/officeDocument/2006/customXml" ds:itemID="{F21A3518-1430-438F-ACBC-2031EFE33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3a482-2c89-41fd-a35a-e774ccf962dd"/>
    <ds:schemaRef ds:uri="e2cdc473-d432-4e0e-ad39-c3de195f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535D7-05AA-42F1-A34B-B8A9333B0987}">
  <ds:schemaRefs>
    <ds:schemaRef ds:uri="http://schemas.openxmlformats.org/officeDocument/2006/bibliography"/>
  </ds:schemaRefs>
</ds:datastoreItem>
</file>

<file path=customXml/itemProps3.xml><?xml version="1.0" encoding="utf-8"?>
<ds:datastoreItem xmlns:ds="http://schemas.openxmlformats.org/officeDocument/2006/customXml" ds:itemID="{D1BA7594-FA77-439A-B334-6AE35F0D6AE1}">
  <ds:schemaRefs>
    <ds:schemaRef ds:uri="http://schemas.microsoft.com/sharepoint/v3/contenttype/forms"/>
  </ds:schemaRefs>
</ds:datastoreItem>
</file>

<file path=customXml/itemProps4.xml><?xml version="1.0" encoding="utf-8"?>
<ds:datastoreItem xmlns:ds="http://schemas.openxmlformats.org/officeDocument/2006/customXml" ds:itemID="{A2586909-A407-4BF7-8682-5D21ABCA8BCC}">
  <ds:schemaRefs>
    <ds:schemaRef ds:uri="http://schemas.microsoft.com/office/2006/metadata/properties"/>
    <ds:schemaRef ds:uri="http://schemas.microsoft.com/office/infopath/2007/PartnerControls"/>
    <ds:schemaRef ds:uri="e2cdc473-d432-4e0e-ad39-c3de195f70c3"/>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5925</Words>
  <Characters>3378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MK rikojums MA27 grozijumi</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rikojums MA27 grozijumi</dc:title>
  <dc:subject/>
  <dc:creator>Evita.Truhanova@varam.gov.lv</dc:creator>
  <cp:keywords>Rikp</cp:keywords>
  <dc:description/>
  <cp:lastModifiedBy>Aija Talmane</cp:lastModifiedBy>
  <cp:revision>17</cp:revision>
  <cp:lastPrinted>2021-07-05T12:37:00Z</cp:lastPrinted>
  <dcterms:created xsi:type="dcterms:W3CDTF">2021-06-02T11:03:00Z</dcterms:created>
  <dcterms:modified xsi:type="dcterms:W3CDTF">2021-07-05T12:37:00Z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0x010100B3DDFC35E2DB4549A9063EAE01E693B9</vt:lpwstr>
  </property>
  <property fmtid="{D5CDD505-2E9C-101B-9397-08002B2CF9AE}" pid="3" name="Order">
    <vt:r8>1077900</vt:r8>
  </property>
  <property fmtid="{D5CDD505-2E9C-101B-9397-08002B2CF9AE}" pid="4" name="ComplianceAssetId">
    <vt:lpwstr/>
  </property>
</Properties>
</file>