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709A" w14:textId="77777777" w:rsidR="00C2614C" w:rsidRPr="00C2614C" w:rsidRDefault="007116C7" w:rsidP="00C2614C">
      <w:pPr>
        <w:pStyle w:val="naisnod"/>
        <w:spacing w:before="0" w:after="0"/>
        <w:ind w:firstLine="720"/>
      </w:pPr>
      <w:r w:rsidRPr="00A57BE8">
        <w:t>Izziņa par atzinumos sniegtajiem iebildumiem</w:t>
      </w:r>
    </w:p>
    <w:p w14:paraId="3597A6ED" w14:textId="77777777" w:rsidR="008C3828" w:rsidRPr="00A57BE8" w:rsidRDefault="008C3828" w:rsidP="00DB7395">
      <w:pPr>
        <w:pStyle w:val="naisnod"/>
        <w:spacing w:before="0" w:after="0"/>
        <w:ind w:firstLine="720"/>
      </w:pPr>
    </w:p>
    <w:p w14:paraId="15EBA9EB" w14:textId="77777777" w:rsidR="007116C7" w:rsidRPr="00A57BE8" w:rsidRDefault="007116C7" w:rsidP="00DB7395">
      <w:pPr>
        <w:pStyle w:val="naisf"/>
        <w:spacing w:before="0" w:after="0"/>
        <w:ind w:firstLine="720"/>
        <w:rPr>
          <w:b/>
        </w:rPr>
      </w:pPr>
    </w:p>
    <w:tbl>
      <w:tblPr>
        <w:tblW w:w="0" w:type="auto"/>
        <w:jc w:val="center"/>
        <w:tblLook w:val="00A0" w:firstRow="1" w:lastRow="0" w:firstColumn="1" w:lastColumn="0" w:noHBand="0" w:noVBand="0"/>
      </w:tblPr>
      <w:tblGrid>
        <w:gridCol w:w="10188"/>
      </w:tblGrid>
      <w:tr w:rsidR="007116C7" w:rsidRPr="002375D4" w14:paraId="7FDEA1CF" w14:textId="77777777">
        <w:trPr>
          <w:jc w:val="center"/>
        </w:trPr>
        <w:tc>
          <w:tcPr>
            <w:tcW w:w="10188" w:type="dxa"/>
            <w:tcBorders>
              <w:bottom w:val="single" w:sz="6" w:space="0" w:color="000000"/>
            </w:tcBorders>
          </w:tcPr>
          <w:p w14:paraId="0CE24B5B" w14:textId="77777777" w:rsidR="002020B7" w:rsidRPr="00A57BE8" w:rsidRDefault="001C26E9" w:rsidP="002020B7">
            <w:pPr>
              <w:ind w:firstLine="720"/>
              <w:jc w:val="center"/>
              <w:rPr>
                <w:b/>
              </w:rPr>
            </w:pPr>
            <w:r>
              <w:rPr>
                <w:b/>
              </w:rPr>
              <w:t>pamatnostādņu</w:t>
            </w:r>
            <w:r w:rsidR="002375D4" w:rsidRPr="00A57BE8">
              <w:rPr>
                <w:b/>
              </w:rPr>
              <w:t xml:space="preserve"> projektam </w:t>
            </w:r>
          </w:p>
          <w:p w14:paraId="60719143" w14:textId="77777777" w:rsidR="007116C7" w:rsidRPr="00653BEB" w:rsidRDefault="00C063BC" w:rsidP="00653BEB">
            <w:pPr>
              <w:jc w:val="center"/>
              <w:rPr>
                <w:b/>
                <w:bCs/>
                <w:noProof/>
              </w:rPr>
            </w:pPr>
            <w:r>
              <w:rPr>
                <w:b/>
                <w:bCs/>
                <w:noProof/>
              </w:rPr>
              <w:t>“</w:t>
            </w:r>
            <w:r w:rsidR="001C26E9" w:rsidRPr="001C26E9">
              <w:rPr>
                <w:b/>
                <w:bCs/>
                <w:noProof/>
              </w:rPr>
              <w:t>Digitālās transformācijas pamatnostādnes</w:t>
            </w:r>
            <w:r w:rsidR="00653BEB">
              <w:rPr>
                <w:b/>
                <w:bCs/>
                <w:noProof/>
              </w:rPr>
              <w:t xml:space="preserve"> </w:t>
            </w:r>
            <w:r w:rsidR="001C26E9" w:rsidRPr="001C26E9">
              <w:rPr>
                <w:b/>
                <w:bCs/>
                <w:noProof/>
              </w:rPr>
              <w:t>2021.-2027.</w:t>
            </w:r>
            <w:r w:rsidR="00190C08">
              <w:rPr>
                <w:b/>
                <w:bCs/>
                <w:noProof/>
              </w:rPr>
              <w:t xml:space="preserve"> </w:t>
            </w:r>
            <w:r w:rsidR="001C26E9" w:rsidRPr="001C26E9">
              <w:rPr>
                <w:b/>
                <w:bCs/>
                <w:noProof/>
              </w:rPr>
              <w:t>gadam</w:t>
            </w:r>
            <w:r>
              <w:rPr>
                <w:b/>
                <w:bCs/>
                <w:noProof/>
              </w:rPr>
              <w:t>”</w:t>
            </w:r>
          </w:p>
        </w:tc>
      </w:tr>
    </w:tbl>
    <w:p w14:paraId="1AF286AD" w14:textId="77777777" w:rsidR="007116C7" w:rsidRPr="00712B66" w:rsidRDefault="007116C7" w:rsidP="009623BC">
      <w:pPr>
        <w:pStyle w:val="naisc"/>
        <w:spacing w:before="0" w:after="0"/>
        <w:ind w:firstLine="1080"/>
      </w:pPr>
      <w:r w:rsidRPr="00712B66">
        <w:t>(dokumenta veids un nosaukums)</w:t>
      </w:r>
    </w:p>
    <w:p w14:paraId="652553B7" w14:textId="77777777" w:rsidR="007B4C0F" w:rsidRPr="00712B66" w:rsidRDefault="007B4C0F" w:rsidP="00DB7395">
      <w:pPr>
        <w:pStyle w:val="naisf"/>
        <w:spacing w:before="0" w:after="0"/>
        <w:ind w:firstLine="720"/>
      </w:pPr>
    </w:p>
    <w:p w14:paraId="64098E8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DAD1B2B"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3"/>
        <w:gridCol w:w="3801"/>
        <w:gridCol w:w="2719"/>
        <w:gridCol w:w="2977"/>
        <w:gridCol w:w="1660"/>
      </w:tblGrid>
      <w:tr w:rsidR="005F4BFD" w:rsidRPr="00712B66" w14:paraId="64795D6E" w14:textId="77777777" w:rsidTr="00F9560E">
        <w:tc>
          <w:tcPr>
            <w:tcW w:w="708" w:type="dxa"/>
            <w:tcBorders>
              <w:top w:val="single" w:sz="6" w:space="0" w:color="000000"/>
              <w:left w:val="single" w:sz="6" w:space="0" w:color="000000"/>
              <w:bottom w:val="single" w:sz="6" w:space="0" w:color="000000"/>
              <w:right w:val="single" w:sz="6" w:space="0" w:color="000000"/>
            </w:tcBorders>
            <w:vAlign w:val="center"/>
          </w:tcPr>
          <w:p w14:paraId="54F829D2" w14:textId="77777777" w:rsidR="005F4BFD" w:rsidRPr="00712B66" w:rsidRDefault="005F4BFD" w:rsidP="0036160E">
            <w:pPr>
              <w:pStyle w:val="naisc"/>
              <w:spacing w:before="0" w:after="0"/>
            </w:pPr>
            <w:r w:rsidRPr="00712B66">
              <w:t>Nr. p.</w:t>
            </w:r>
            <w:r w:rsidR="00D64FB0">
              <w:t> </w:t>
            </w:r>
            <w:r w:rsidRPr="00712B66">
              <w:t>k.</w:t>
            </w:r>
          </w:p>
        </w:tc>
        <w:tc>
          <w:tcPr>
            <w:tcW w:w="2403" w:type="dxa"/>
            <w:tcBorders>
              <w:top w:val="single" w:sz="6" w:space="0" w:color="000000"/>
              <w:left w:val="single" w:sz="6" w:space="0" w:color="000000"/>
              <w:bottom w:val="single" w:sz="6" w:space="0" w:color="000000"/>
              <w:right w:val="single" w:sz="6" w:space="0" w:color="000000"/>
            </w:tcBorders>
            <w:vAlign w:val="center"/>
          </w:tcPr>
          <w:p w14:paraId="4F69380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801" w:type="dxa"/>
            <w:tcBorders>
              <w:top w:val="single" w:sz="6" w:space="0" w:color="000000"/>
              <w:left w:val="single" w:sz="6" w:space="0" w:color="000000"/>
              <w:bottom w:val="single" w:sz="6" w:space="0" w:color="000000"/>
              <w:right w:val="single" w:sz="6" w:space="0" w:color="000000"/>
            </w:tcBorders>
            <w:vAlign w:val="center"/>
          </w:tcPr>
          <w:p w14:paraId="12973D1C"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719" w:type="dxa"/>
            <w:tcBorders>
              <w:top w:val="single" w:sz="6" w:space="0" w:color="000000"/>
              <w:left w:val="single" w:sz="6" w:space="0" w:color="000000"/>
              <w:bottom w:val="single" w:sz="6" w:space="0" w:color="000000"/>
              <w:right w:val="single" w:sz="6" w:space="0" w:color="000000"/>
            </w:tcBorders>
            <w:vAlign w:val="center"/>
          </w:tcPr>
          <w:p w14:paraId="4F102979"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977" w:type="dxa"/>
            <w:tcBorders>
              <w:top w:val="single" w:sz="4" w:space="0" w:color="auto"/>
              <w:left w:val="single" w:sz="4" w:space="0" w:color="auto"/>
              <w:bottom w:val="single" w:sz="4" w:space="0" w:color="auto"/>
              <w:right w:val="single" w:sz="4" w:space="0" w:color="auto"/>
            </w:tcBorders>
            <w:vAlign w:val="center"/>
          </w:tcPr>
          <w:p w14:paraId="3A13D9AE" w14:textId="77777777" w:rsidR="005F4BFD" w:rsidRPr="00712B66" w:rsidRDefault="005F4BFD" w:rsidP="00364BB6">
            <w:pPr>
              <w:jc w:val="center"/>
            </w:pPr>
            <w:r w:rsidRPr="00712B66">
              <w:t>Atzinuma sniedzēja uzturētais iebildums, ja tas atšķiras no atzinumā norādītā iebilduma pamatojuma</w:t>
            </w:r>
          </w:p>
        </w:tc>
        <w:tc>
          <w:tcPr>
            <w:tcW w:w="1660" w:type="dxa"/>
            <w:tcBorders>
              <w:top w:val="single" w:sz="4" w:space="0" w:color="auto"/>
              <w:left w:val="single" w:sz="4" w:space="0" w:color="auto"/>
              <w:bottom w:val="single" w:sz="4" w:space="0" w:color="auto"/>
            </w:tcBorders>
            <w:vAlign w:val="center"/>
          </w:tcPr>
          <w:p w14:paraId="2692B012" w14:textId="77777777" w:rsidR="005F4BFD" w:rsidRPr="00712B66" w:rsidRDefault="005F4BFD" w:rsidP="00364BB6">
            <w:pPr>
              <w:jc w:val="center"/>
            </w:pPr>
            <w:r w:rsidRPr="00712B66">
              <w:t>Projekta attiecīgā punkta (panta) galīgā redakcija</w:t>
            </w:r>
          </w:p>
        </w:tc>
      </w:tr>
      <w:tr w:rsidR="005F4BFD" w:rsidRPr="008A36C9" w14:paraId="130C2B0E" w14:textId="77777777" w:rsidTr="00F9560E">
        <w:tc>
          <w:tcPr>
            <w:tcW w:w="708" w:type="dxa"/>
            <w:tcBorders>
              <w:top w:val="single" w:sz="6" w:space="0" w:color="000000"/>
              <w:left w:val="single" w:sz="6" w:space="0" w:color="000000"/>
              <w:bottom w:val="single" w:sz="6" w:space="0" w:color="000000"/>
              <w:right w:val="single" w:sz="6" w:space="0" w:color="000000"/>
            </w:tcBorders>
          </w:tcPr>
          <w:p w14:paraId="1F023C53" w14:textId="77777777" w:rsidR="005F4BFD" w:rsidRPr="008A36C9" w:rsidRDefault="008A36C9" w:rsidP="008A36C9">
            <w:pPr>
              <w:pStyle w:val="naisc"/>
              <w:spacing w:before="0" w:after="0"/>
              <w:rPr>
                <w:sz w:val="20"/>
                <w:szCs w:val="20"/>
              </w:rPr>
            </w:pPr>
            <w:r w:rsidRPr="008A36C9">
              <w:rPr>
                <w:sz w:val="20"/>
                <w:szCs w:val="20"/>
              </w:rPr>
              <w:t>1</w:t>
            </w:r>
          </w:p>
        </w:tc>
        <w:tc>
          <w:tcPr>
            <w:tcW w:w="2403" w:type="dxa"/>
            <w:tcBorders>
              <w:top w:val="single" w:sz="6" w:space="0" w:color="000000"/>
              <w:left w:val="single" w:sz="6" w:space="0" w:color="000000"/>
              <w:bottom w:val="single" w:sz="6" w:space="0" w:color="000000"/>
              <w:right w:val="single" w:sz="6" w:space="0" w:color="000000"/>
            </w:tcBorders>
          </w:tcPr>
          <w:p w14:paraId="33D0FD31"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801" w:type="dxa"/>
            <w:tcBorders>
              <w:top w:val="single" w:sz="6" w:space="0" w:color="000000"/>
              <w:left w:val="single" w:sz="6" w:space="0" w:color="000000"/>
              <w:bottom w:val="single" w:sz="6" w:space="0" w:color="000000"/>
              <w:right w:val="single" w:sz="6" w:space="0" w:color="000000"/>
            </w:tcBorders>
          </w:tcPr>
          <w:p w14:paraId="738E0DC0"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719" w:type="dxa"/>
            <w:tcBorders>
              <w:top w:val="single" w:sz="6" w:space="0" w:color="000000"/>
              <w:left w:val="single" w:sz="6" w:space="0" w:color="000000"/>
              <w:bottom w:val="single" w:sz="6" w:space="0" w:color="000000"/>
              <w:right w:val="single" w:sz="6" w:space="0" w:color="000000"/>
            </w:tcBorders>
          </w:tcPr>
          <w:p w14:paraId="2BB26D7F"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977" w:type="dxa"/>
            <w:tcBorders>
              <w:top w:val="single" w:sz="4" w:space="0" w:color="auto"/>
              <w:left w:val="single" w:sz="4" w:space="0" w:color="auto"/>
              <w:bottom w:val="single" w:sz="4" w:space="0" w:color="auto"/>
              <w:right w:val="single" w:sz="4" w:space="0" w:color="auto"/>
            </w:tcBorders>
          </w:tcPr>
          <w:p w14:paraId="771F6698" w14:textId="77777777" w:rsidR="005F4BFD" w:rsidRPr="008A36C9" w:rsidRDefault="008A36C9" w:rsidP="008A36C9">
            <w:pPr>
              <w:jc w:val="center"/>
              <w:rPr>
                <w:sz w:val="20"/>
                <w:szCs w:val="20"/>
              </w:rPr>
            </w:pPr>
            <w:r w:rsidRPr="008A36C9">
              <w:rPr>
                <w:sz w:val="20"/>
                <w:szCs w:val="20"/>
              </w:rPr>
              <w:t>5</w:t>
            </w:r>
          </w:p>
        </w:tc>
        <w:tc>
          <w:tcPr>
            <w:tcW w:w="1660" w:type="dxa"/>
            <w:tcBorders>
              <w:top w:val="single" w:sz="4" w:space="0" w:color="auto"/>
              <w:left w:val="single" w:sz="4" w:space="0" w:color="auto"/>
              <w:bottom w:val="single" w:sz="4" w:space="0" w:color="auto"/>
            </w:tcBorders>
          </w:tcPr>
          <w:p w14:paraId="0AAFBDAC" w14:textId="77777777" w:rsidR="005F4BFD" w:rsidRPr="008A36C9" w:rsidRDefault="008A36C9" w:rsidP="008A36C9">
            <w:pPr>
              <w:jc w:val="center"/>
              <w:rPr>
                <w:sz w:val="20"/>
                <w:szCs w:val="20"/>
              </w:rPr>
            </w:pPr>
            <w:r w:rsidRPr="008A36C9">
              <w:rPr>
                <w:sz w:val="20"/>
                <w:szCs w:val="20"/>
              </w:rPr>
              <w:t>6</w:t>
            </w:r>
          </w:p>
        </w:tc>
      </w:tr>
      <w:tr w:rsidR="00AC0231" w:rsidRPr="008A36C9" w14:paraId="5FADFF4B" w14:textId="77777777" w:rsidTr="00F9560E">
        <w:tc>
          <w:tcPr>
            <w:tcW w:w="708" w:type="dxa"/>
            <w:tcBorders>
              <w:top w:val="single" w:sz="6" w:space="0" w:color="000000"/>
              <w:left w:val="single" w:sz="6" w:space="0" w:color="000000"/>
              <w:bottom w:val="single" w:sz="6" w:space="0" w:color="000000"/>
              <w:right w:val="single" w:sz="6" w:space="0" w:color="000000"/>
            </w:tcBorders>
          </w:tcPr>
          <w:p w14:paraId="29CEF3F3" w14:textId="6CE3FDEF" w:rsidR="00AC0231" w:rsidRPr="00AC0231" w:rsidRDefault="00AC0231" w:rsidP="008A36C9">
            <w:pPr>
              <w:pStyle w:val="naisc"/>
              <w:spacing w:before="0" w:after="0"/>
            </w:pPr>
            <w:r w:rsidRPr="00AC0231">
              <w:t>1</w:t>
            </w:r>
          </w:p>
        </w:tc>
        <w:tc>
          <w:tcPr>
            <w:tcW w:w="2403" w:type="dxa"/>
            <w:tcBorders>
              <w:top w:val="single" w:sz="6" w:space="0" w:color="000000"/>
              <w:left w:val="single" w:sz="6" w:space="0" w:color="000000"/>
              <w:bottom w:val="single" w:sz="6" w:space="0" w:color="000000"/>
              <w:right w:val="single" w:sz="6" w:space="0" w:color="000000"/>
            </w:tcBorders>
          </w:tcPr>
          <w:p w14:paraId="0371844D" w14:textId="432CFA56" w:rsidR="00AC0231" w:rsidRPr="00722FCB" w:rsidRDefault="00722FCB" w:rsidP="00722FCB">
            <w:pPr>
              <w:pStyle w:val="naisc"/>
              <w:spacing w:before="0" w:after="0"/>
              <w:jc w:val="left"/>
            </w:pPr>
            <w:r w:rsidRPr="00722FCB">
              <w:t>Projekts kopumā</w:t>
            </w:r>
          </w:p>
        </w:tc>
        <w:tc>
          <w:tcPr>
            <w:tcW w:w="3801" w:type="dxa"/>
            <w:tcBorders>
              <w:top w:val="single" w:sz="6" w:space="0" w:color="000000"/>
              <w:left w:val="single" w:sz="6" w:space="0" w:color="000000"/>
              <w:bottom w:val="single" w:sz="6" w:space="0" w:color="000000"/>
              <w:right w:val="single" w:sz="6" w:space="0" w:color="000000"/>
            </w:tcBorders>
          </w:tcPr>
          <w:p w14:paraId="5A720BCF" w14:textId="2710659C" w:rsidR="000760B6" w:rsidRPr="00722FCB" w:rsidRDefault="00B218C7" w:rsidP="000760B6">
            <w:pPr>
              <w:pStyle w:val="naisc"/>
              <w:spacing w:before="0" w:after="0"/>
              <w:jc w:val="left"/>
              <w:rPr>
                <w:b/>
                <w:bCs/>
                <w:lang w:eastAsia="en-US"/>
              </w:rPr>
            </w:pPr>
            <w:r w:rsidRPr="00722FCB">
              <w:rPr>
                <w:b/>
                <w:bCs/>
                <w:lang w:eastAsia="en-US"/>
              </w:rPr>
              <w:t xml:space="preserve">Latvijas </w:t>
            </w:r>
            <w:r w:rsidR="00722FCB" w:rsidRPr="00722FCB">
              <w:rPr>
                <w:b/>
                <w:bCs/>
                <w:lang w:eastAsia="en-US"/>
              </w:rPr>
              <w:t>P</w:t>
            </w:r>
            <w:r w:rsidRPr="00722FCB">
              <w:rPr>
                <w:b/>
                <w:bCs/>
                <w:lang w:eastAsia="en-US"/>
              </w:rPr>
              <w:t>ašvaldību savienības 17.05.2021. atzinums:</w:t>
            </w:r>
          </w:p>
          <w:p w14:paraId="34ED3B57" w14:textId="390D9DF8" w:rsidR="00AC0231" w:rsidRPr="008A36C9" w:rsidRDefault="000760B6" w:rsidP="000760B6">
            <w:pPr>
              <w:pStyle w:val="naisc"/>
              <w:spacing w:before="0" w:after="0"/>
              <w:jc w:val="left"/>
              <w:rPr>
                <w:sz w:val="20"/>
                <w:szCs w:val="20"/>
              </w:rPr>
            </w:pPr>
            <w:r w:rsidRPr="00B857F2">
              <w:rPr>
                <w:lang w:eastAsia="en-US"/>
              </w:rPr>
              <w:t xml:space="preserve">Dokumentā un plānotajā realizācijā ir saglabāta līdzšinējā projektu ieviešanas prakse – nozaru projektu princips, proti, katra ministrija realizē projektus savas IKT kapacitātes veicināšanai, nevis realizē mērķu sasniegšanas projektus, sadarbībā ar citām iestādēm. Kā vienu no piemēriem var minēt skolu platjoslas </w:t>
            </w:r>
            <w:proofErr w:type="spellStart"/>
            <w:r w:rsidRPr="00B857F2">
              <w:rPr>
                <w:lang w:eastAsia="en-US"/>
              </w:rPr>
              <w:t>pieslēgumu</w:t>
            </w:r>
            <w:proofErr w:type="spellEnd"/>
            <w:r w:rsidRPr="00B857F2">
              <w:rPr>
                <w:lang w:eastAsia="en-US"/>
              </w:rPr>
              <w:t xml:space="preserve"> plānošanu. Iesaistītās iestādes, Satiksmes ministrija un Izglītības ministrija, nestrādā kopā uz mērķa sasniegšanu – kvalitatīva, mūsdienu izglītībai atbilstoša interneta </w:t>
            </w:r>
            <w:proofErr w:type="spellStart"/>
            <w:r w:rsidRPr="00B857F2">
              <w:rPr>
                <w:lang w:eastAsia="en-US"/>
              </w:rPr>
              <w:t>pieslēguma</w:t>
            </w:r>
            <w:proofErr w:type="spellEnd"/>
            <w:r w:rsidRPr="00B857F2">
              <w:rPr>
                <w:lang w:eastAsia="en-US"/>
              </w:rPr>
              <w:t xml:space="preserve"> izveidošana visām skolām, bet katra atsevišķi plāno savstarpēji nekoordinētas </w:t>
            </w:r>
            <w:r w:rsidRPr="00B857F2">
              <w:rPr>
                <w:lang w:eastAsia="en-US"/>
              </w:rPr>
              <w:lastRenderedPageBreak/>
              <w:t xml:space="preserve">aktivitātes: Satiksmes ministrija plāno dažus platjoslas </w:t>
            </w:r>
            <w:proofErr w:type="spellStart"/>
            <w:r w:rsidRPr="00B857F2">
              <w:rPr>
                <w:lang w:eastAsia="en-US"/>
              </w:rPr>
              <w:t>pieslēgumus</w:t>
            </w:r>
            <w:proofErr w:type="spellEnd"/>
            <w:r w:rsidRPr="00B857F2">
              <w:rPr>
                <w:lang w:eastAsia="en-US"/>
              </w:rPr>
              <w:t xml:space="preserve"> (nevis interneta pakalpojumu), bet Izglītības ministrija domā tikai par datortehnikas iegādi. Nav horizontālās sadarbības starp iestādēm kopīgu mērķu sasniegšanai;</w:t>
            </w:r>
          </w:p>
        </w:tc>
        <w:tc>
          <w:tcPr>
            <w:tcW w:w="2719" w:type="dxa"/>
            <w:tcBorders>
              <w:top w:val="single" w:sz="6" w:space="0" w:color="000000"/>
              <w:left w:val="single" w:sz="6" w:space="0" w:color="000000"/>
              <w:bottom w:val="single" w:sz="6" w:space="0" w:color="000000"/>
              <w:right w:val="single" w:sz="6" w:space="0" w:color="000000"/>
            </w:tcBorders>
          </w:tcPr>
          <w:p w14:paraId="29CD6018" w14:textId="34741157" w:rsidR="00722FCB" w:rsidRDefault="00722FCB" w:rsidP="00722FCB">
            <w:pPr>
              <w:pStyle w:val="naisc"/>
              <w:spacing w:before="0" w:after="0"/>
              <w:jc w:val="both"/>
              <w:rPr>
                <w:bCs/>
              </w:rPr>
            </w:pPr>
            <w:r w:rsidRPr="00403797">
              <w:rPr>
                <w:bCs/>
              </w:rPr>
              <w:lastRenderedPageBreak/>
              <w:t xml:space="preserve">Lai nodrošinātu horizontālu sadarbības un koordinācijas īstenošanu, Digitālās transformācijas pamatnostādnes paredz VARAM un atbildīgo ministriju koordinējošās lomas noteikšanu digitālās transformācijas prioritāšu </w:t>
            </w:r>
            <w:proofErr w:type="spellStart"/>
            <w:r w:rsidRPr="00403797">
              <w:rPr>
                <w:bCs/>
              </w:rPr>
              <w:t>pārresoru</w:t>
            </w:r>
            <w:proofErr w:type="spellEnd"/>
            <w:r w:rsidRPr="00403797">
              <w:rPr>
                <w:bCs/>
              </w:rPr>
              <w:t xml:space="preserve"> līmenī koordinētai  īstenošanai. Piemēram. Publisko pakalpojumu jomā paredzēts noteikt vienotu pakalpojumu pārvaldības modeli, kā arī izveidot un ieviest vienotu pakalpojumu pilnveides stratēģisko plānu, skat. sadaļas 4.4.9.1. un </w:t>
            </w:r>
            <w:r w:rsidRPr="00403797">
              <w:rPr>
                <w:bCs/>
              </w:rPr>
              <w:lastRenderedPageBreak/>
              <w:t>4.4.9.2. Tāpat IKT pārvaldība plānots nostiprināt VARAM koordinējošo lomu vienotas IKT arhitektūras un projektu īstenošanas procesā, skat. sadaļā 4.4.10</w:t>
            </w:r>
            <w:r>
              <w:rPr>
                <w:bCs/>
              </w:rPr>
              <w:t>, kā arī 5. sadaļā</w:t>
            </w:r>
            <w:r w:rsidRPr="00403797">
              <w:rPr>
                <w:bCs/>
              </w:rPr>
              <w:t xml:space="preserve">.  </w:t>
            </w:r>
            <w:r>
              <w:rPr>
                <w:bCs/>
              </w:rPr>
              <w:t xml:space="preserve">Arī IKT projektu ieviešanu paredzēts īsteno horizontāli koordinētu programmu formā. </w:t>
            </w:r>
          </w:p>
          <w:p w14:paraId="0C0A4962" w14:textId="46EC50E9" w:rsidR="00AC0231" w:rsidRPr="008A36C9" w:rsidRDefault="00722FCB" w:rsidP="00722FCB">
            <w:pPr>
              <w:pStyle w:val="naisc"/>
              <w:spacing w:before="0" w:after="0"/>
              <w:jc w:val="left"/>
              <w:rPr>
                <w:sz w:val="20"/>
                <w:szCs w:val="20"/>
              </w:rPr>
            </w:pPr>
            <w:r>
              <w:rPr>
                <w:bCs/>
              </w:rPr>
              <w:t>Vienlaikus, atbilstoši Saeimas uzdevumam, VARAM plāno uzsākt darbu pie Digitālās transformācijas pārvaldības modeļa pilnveides priekšlikumu sagatavošanas.</w:t>
            </w:r>
          </w:p>
        </w:tc>
        <w:tc>
          <w:tcPr>
            <w:tcW w:w="2977" w:type="dxa"/>
            <w:tcBorders>
              <w:top w:val="single" w:sz="4" w:space="0" w:color="auto"/>
              <w:left w:val="single" w:sz="4" w:space="0" w:color="auto"/>
              <w:bottom w:val="single" w:sz="4" w:space="0" w:color="auto"/>
              <w:right w:val="single" w:sz="4" w:space="0" w:color="auto"/>
            </w:tcBorders>
          </w:tcPr>
          <w:p w14:paraId="5D6EF5FD" w14:textId="5EAE34AE" w:rsidR="00E84051" w:rsidRPr="00E84051" w:rsidRDefault="00E84051" w:rsidP="00E84051">
            <w:pPr>
              <w:pStyle w:val="naisc"/>
              <w:spacing w:before="0" w:after="0"/>
              <w:jc w:val="left"/>
              <w:rPr>
                <w:b/>
                <w:bCs/>
                <w:lang w:eastAsia="en-US"/>
              </w:rPr>
            </w:pPr>
            <w:r w:rsidRPr="00722FCB">
              <w:rPr>
                <w:b/>
                <w:bCs/>
                <w:lang w:eastAsia="en-US"/>
              </w:rPr>
              <w:lastRenderedPageBreak/>
              <w:t xml:space="preserve">Latvijas Pašvaldību savienības </w:t>
            </w:r>
            <w:r>
              <w:rPr>
                <w:b/>
                <w:bCs/>
                <w:lang w:eastAsia="en-US"/>
              </w:rPr>
              <w:t>01</w:t>
            </w:r>
            <w:r w:rsidRPr="00722FCB">
              <w:rPr>
                <w:b/>
                <w:bCs/>
                <w:lang w:eastAsia="en-US"/>
              </w:rPr>
              <w:t>.0</w:t>
            </w:r>
            <w:r w:rsidR="009160FC">
              <w:rPr>
                <w:b/>
                <w:bCs/>
                <w:lang w:eastAsia="en-US"/>
              </w:rPr>
              <w:t>6</w:t>
            </w:r>
            <w:r w:rsidRPr="00722FCB">
              <w:rPr>
                <w:b/>
                <w:bCs/>
                <w:lang w:eastAsia="en-US"/>
              </w:rPr>
              <w:t>.2021. atzinums:</w:t>
            </w:r>
          </w:p>
          <w:p w14:paraId="01ADE0BD" w14:textId="1DBFAD7A" w:rsidR="00AC0231" w:rsidRPr="00E84051" w:rsidRDefault="00E84051" w:rsidP="00E84051">
            <w:r w:rsidRPr="00E84051">
              <w:t xml:space="preserve">Latvijas Pašvaldību savienība (LPS) ir izvērtējusi Vides aizsardzības un reģionālās attīstības ministrijas precizēto līdz 03.06.2021. projektu "Digitālās transformācijas pamatnostādnes 2021.-2027. gadam" un turpina uzturēt savus iepriekš izteiktos iebildumus, jo uzskatām, ka pamatnostādnes ir virs dokuments, kurā tiek noteikti attīstības virzieni un sasniedzamie rezultāti IKT pārvaldībā visā publiskā </w:t>
            </w:r>
            <w:r w:rsidRPr="00E84051">
              <w:lastRenderedPageBreak/>
              <w:t xml:space="preserve">pārvaldē. Lai arī tā autori ir centušies daļēji ņemt vērā mūsu iebildumus, tie nav risināti pēc būtības. Platjoslas jautājumi ir gandrīz atstāti ārpus šī dokumenta, ja neskaita atsauci uz Satiksme ministrijas gatavoto plāna projektu "Elektronisko sakaru nozares attīstības plāns 2021. - 2027.gadam", kurš arī īsti neatbilst nozares plānam, bet vairāk līdzinās līdzekļu apguves virzieniem. Tāpat, mūsuprāt, nepietiekama uzmanība ir veltīta skolu interneta </w:t>
            </w:r>
            <w:proofErr w:type="spellStart"/>
            <w:r w:rsidRPr="00E84051">
              <w:t>pieslēgumu</w:t>
            </w:r>
            <w:proofErr w:type="spellEnd"/>
            <w:r w:rsidRPr="00E84051">
              <w:t xml:space="preserve"> attīstībai.</w:t>
            </w:r>
          </w:p>
        </w:tc>
        <w:tc>
          <w:tcPr>
            <w:tcW w:w="1660" w:type="dxa"/>
            <w:tcBorders>
              <w:top w:val="single" w:sz="4" w:space="0" w:color="auto"/>
              <w:left w:val="single" w:sz="4" w:space="0" w:color="auto"/>
              <w:bottom w:val="single" w:sz="4" w:space="0" w:color="auto"/>
            </w:tcBorders>
          </w:tcPr>
          <w:p w14:paraId="0693659D" w14:textId="77777777" w:rsidR="00AC0231" w:rsidRPr="008A36C9" w:rsidRDefault="00AC0231" w:rsidP="008A36C9">
            <w:pPr>
              <w:jc w:val="center"/>
              <w:rPr>
                <w:sz w:val="20"/>
                <w:szCs w:val="20"/>
              </w:rPr>
            </w:pPr>
          </w:p>
        </w:tc>
      </w:tr>
      <w:tr w:rsidR="005F4BFD" w:rsidRPr="00712B66" w14:paraId="229C532C" w14:textId="77777777" w:rsidTr="00F9560E">
        <w:tc>
          <w:tcPr>
            <w:tcW w:w="708" w:type="dxa"/>
            <w:tcBorders>
              <w:left w:val="single" w:sz="6" w:space="0" w:color="000000"/>
              <w:bottom w:val="single" w:sz="4" w:space="0" w:color="auto"/>
              <w:right w:val="single" w:sz="6" w:space="0" w:color="000000"/>
            </w:tcBorders>
          </w:tcPr>
          <w:p w14:paraId="54DC7B12" w14:textId="5E0E7D26" w:rsidR="007A2D99" w:rsidRPr="007A2D99" w:rsidRDefault="00AC0231" w:rsidP="007A2D99">
            <w:pPr>
              <w:jc w:val="center"/>
            </w:pPr>
            <w:r>
              <w:t>2</w:t>
            </w:r>
          </w:p>
        </w:tc>
        <w:tc>
          <w:tcPr>
            <w:tcW w:w="2403" w:type="dxa"/>
            <w:tcBorders>
              <w:left w:val="single" w:sz="6" w:space="0" w:color="000000"/>
              <w:bottom w:val="single" w:sz="4" w:space="0" w:color="auto"/>
              <w:right w:val="single" w:sz="6" w:space="0" w:color="000000"/>
            </w:tcBorders>
          </w:tcPr>
          <w:p w14:paraId="296A4A37" w14:textId="718D7344" w:rsidR="005F4BFD" w:rsidRPr="00712B66" w:rsidRDefault="007A2D99" w:rsidP="007A2D99">
            <w:pPr>
              <w:pStyle w:val="naisc"/>
              <w:spacing w:before="0" w:after="0"/>
              <w:jc w:val="left"/>
            </w:pPr>
            <w:r>
              <w:t>4.4. sadaļa</w:t>
            </w:r>
          </w:p>
        </w:tc>
        <w:tc>
          <w:tcPr>
            <w:tcW w:w="3801" w:type="dxa"/>
            <w:tcBorders>
              <w:left w:val="single" w:sz="6" w:space="0" w:color="000000"/>
              <w:bottom w:val="single" w:sz="4" w:space="0" w:color="auto"/>
              <w:right w:val="single" w:sz="6" w:space="0" w:color="000000"/>
            </w:tcBorders>
          </w:tcPr>
          <w:p w14:paraId="50648695" w14:textId="3B8BE88E" w:rsidR="007A2D99" w:rsidRDefault="007A2D99" w:rsidP="007A2D99">
            <w:pPr>
              <w:ind w:right="12"/>
            </w:pPr>
            <w:r w:rsidRPr="009841AB">
              <w:rPr>
                <w:b/>
                <w:bCs/>
              </w:rPr>
              <w:t>Latvijas Mērnieku biedrības un Latvijas Kartogrāfu un ģeodēzistu asociācijas 29.01.2021. atzinums:</w:t>
            </w:r>
          </w:p>
          <w:p w14:paraId="471947A9" w14:textId="7014288C" w:rsidR="007A2D99" w:rsidRPr="009841AB" w:rsidRDefault="007A2D99" w:rsidP="007A2D99">
            <w:pPr>
              <w:ind w:right="12"/>
            </w:pPr>
            <w:r w:rsidRPr="009841AB">
              <w:t>Latvijas Mērnieku biedrība (turpmāk – LMB) un Latvijas Kartogrāfu un ģeodēzistu asociācija (turpmāk – LKĢA) kategoriski iebilst pret dokumenta tālāko virzību.</w:t>
            </w:r>
          </w:p>
          <w:p w14:paraId="2FDEF3AA" w14:textId="77777777" w:rsidR="007A2D99" w:rsidRPr="009841AB" w:rsidRDefault="007A2D99" w:rsidP="007A2D99">
            <w:pPr>
              <w:ind w:right="12"/>
            </w:pPr>
            <w:r w:rsidRPr="009841AB">
              <w:t xml:space="preserve">Iebildumu pamatā ir Pamatnostādņu dokumentā ietvertais rīcības virziens vides pārvaldība un ar to saistītie “ģeotelpiskie risinājumi”, kas ir pretrunā ar Eiropas Parlamenta un Padomes Direktīvā 2019/1024 (2019. gada 20. jūnijs) noteikto par </w:t>
            </w:r>
            <w:r w:rsidRPr="009841AB">
              <w:lastRenderedPageBreak/>
              <w:t xml:space="preserve">atvērtajiem datiem un publiskā sektora informācijas </w:t>
            </w:r>
            <w:proofErr w:type="spellStart"/>
            <w:r w:rsidRPr="009841AB">
              <w:t>atkalizmantošanu</w:t>
            </w:r>
            <w:proofErr w:type="spellEnd"/>
            <w:r w:rsidRPr="009841AB">
              <w:t>. Direktīva nosaka, ka ģeotelpisko datu kopas ir definētas kā atsevišķa augstvērtīgu datu kopu kategorija.</w:t>
            </w:r>
          </w:p>
          <w:p w14:paraId="17368F5C" w14:textId="77777777" w:rsidR="007A2D99" w:rsidRPr="009841AB" w:rsidRDefault="007A2D99" w:rsidP="007A2D99">
            <w:pPr>
              <w:ind w:right="12"/>
            </w:pPr>
            <w:r w:rsidRPr="009841AB">
              <w:t xml:space="preserve">Sagatavotajā dokumentā un tā pavaddokumentos nav pamatojuma, kāpēc Pamatnostādnēs ģeotelpiskie risinājumi ietverti rīcības virzienā “4.4.4. Vides pārvaldības un attīstības plānošanas </w:t>
            </w:r>
            <w:proofErr w:type="spellStart"/>
            <w:r w:rsidRPr="009841AB">
              <w:t>digitalizācija</w:t>
            </w:r>
            <w:proofErr w:type="spellEnd"/>
            <w:r w:rsidRPr="009841AB">
              <w:t>”, sašaurinot ģeotelpisko datu spektru un ignorējot Eiropas Parlamenta un Padomes Direktīvas 2007/2/EK ( 2007. gada 14. marts ), ar ko izveido Telpiskās informācijas infrastruktūru Eiropas Kopienā (INSPIRE) I, II, un III pielikumos minētās ģeotelpisko datu kopas un ar tām saistītās tautsaimniecības nozares.</w:t>
            </w:r>
          </w:p>
          <w:p w14:paraId="232684A8" w14:textId="77777777" w:rsidR="007A2D99" w:rsidRPr="009841AB" w:rsidRDefault="007A2D99" w:rsidP="007A2D99">
            <w:pPr>
              <w:ind w:right="12"/>
            </w:pPr>
            <w:r w:rsidRPr="009841AB">
              <w:t xml:space="preserve">Norādām, ka atbilstoši Ministru kabineta 2015. gada 7. aprīļa noteikumiem Nr. 158 “Ģeotelpiskās informācijas koordinācijas padomes nolikums” valstī eksistē koleģiāla un koordinējoša institūcija, kuras mērķis ir nodrošināt starpinstitūciju sadarbību ģeotelpiskās informācijas jomas (tai skaitā ģeodēzijas un kartogrāfijas joma) plānošanā un politikas īstenošanā. Ģeotelpiskās informācijas koordinācijas padomes kompetence ir sagatavot viedokli par prioritārajiem virzieniem </w:t>
            </w:r>
            <w:r w:rsidRPr="009841AB">
              <w:lastRenderedPageBreak/>
              <w:t>ģeotelpiskās informācijas jomas vidēja termiņa un ilgtermiņa attīstības plānošanā. Nav saprotams, kāpēc Ģeotelpiskās informācijas koordinācijas padome nav skatījusi tik svarīgu ģeotelpiskās informācijas politikas dokumentu kā Pamatnostādnes. LMB un LKĢA ieskatā Pamatnostādnes nav harmonizētas ar citiem normatīvajiem aktiem ģeotelpiskās informācijas jomā.</w:t>
            </w:r>
          </w:p>
          <w:p w14:paraId="17BBD868" w14:textId="77777777" w:rsidR="007A2D99" w:rsidRPr="009841AB" w:rsidRDefault="007A2D99" w:rsidP="007A2D99">
            <w:pPr>
              <w:ind w:right="12"/>
            </w:pPr>
            <w:r w:rsidRPr="009841AB">
              <w:t>Papildus norādām, ka starp LMB un Ministru kabinetu 2015. gada 25. februārī noslēgts sadarbības memorands, kas paredz sadarbību starp valsti un sabiedrisko sektoru. LMB paļaujas uz Memorandā rakstīto par sadarbības memoranda mērķi un principiem, kā arī pušu pienākumiem informēt par projektu izstrādi un iesaisti saskaņošanas procesā.</w:t>
            </w:r>
          </w:p>
          <w:p w14:paraId="1C69CA2D" w14:textId="77777777" w:rsidR="007A2D99" w:rsidRPr="009841AB" w:rsidRDefault="007A2D99" w:rsidP="007A2D99">
            <w:pPr>
              <w:ind w:right="12"/>
            </w:pPr>
            <w:r w:rsidRPr="009841AB">
              <w:t xml:space="preserve">LMB un LKĢA rosina: </w:t>
            </w:r>
          </w:p>
          <w:p w14:paraId="217DE343" w14:textId="77777777" w:rsidR="007A2D99" w:rsidRPr="009841AB" w:rsidRDefault="007A2D99" w:rsidP="007A2D99">
            <w:pPr>
              <w:ind w:right="12"/>
            </w:pPr>
            <w:r w:rsidRPr="009841AB">
              <w:t>1.</w:t>
            </w:r>
            <w:r w:rsidRPr="009841AB">
              <w:tab/>
              <w:t xml:space="preserve">Pamatnostādnēs iekļaut attīstības virzienu “Telpiskās informācijas infrastruktūra” un šī virziena aprakstu izstrādāt darba grupā. </w:t>
            </w:r>
          </w:p>
          <w:p w14:paraId="75843CAE" w14:textId="77777777" w:rsidR="007A2D99" w:rsidRPr="009841AB" w:rsidRDefault="007A2D99" w:rsidP="007A2D99">
            <w:pPr>
              <w:ind w:right="12"/>
            </w:pPr>
            <w:r w:rsidRPr="009841AB">
              <w:t>2.</w:t>
            </w:r>
            <w:r w:rsidRPr="009841AB">
              <w:tab/>
              <w:t xml:space="preserve">Reorganizēt vai pārstrādāt Pamatnostādņu rīcības virzienu “4.4.4. Vides pārvaldības un attīstības plānošanas </w:t>
            </w:r>
            <w:proofErr w:type="spellStart"/>
            <w:r w:rsidRPr="009841AB">
              <w:t>digitalizācija</w:t>
            </w:r>
            <w:proofErr w:type="spellEnd"/>
            <w:r w:rsidRPr="009841AB">
              <w:t xml:space="preserve">”, izslēdzot fragmentēto viedokli par ģeotelpisko informāciju. </w:t>
            </w:r>
          </w:p>
          <w:p w14:paraId="6DADF04D" w14:textId="6D18DA04" w:rsidR="005F4BFD" w:rsidRPr="00712B66" w:rsidRDefault="007A2D99" w:rsidP="007A2D99">
            <w:pPr>
              <w:pStyle w:val="naisc"/>
              <w:spacing w:before="0" w:after="0"/>
              <w:ind w:firstLine="720"/>
              <w:jc w:val="left"/>
            </w:pPr>
            <w:r w:rsidRPr="009841AB">
              <w:lastRenderedPageBreak/>
              <w:t>3.</w:t>
            </w:r>
            <w:r w:rsidRPr="009841AB">
              <w:tab/>
              <w:t>Izstrādāt jaunu rīcības politikas dokumentu, piemēram, Latvijas ģeotelpiskās informācijas attīstības koncepciju (Ministru kabineta 2013. gada 28. decembra noteikumi Nr.686).</w:t>
            </w:r>
          </w:p>
        </w:tc>
        <w:tc>
          <w:tcPr>
            <w:tcW w:w="2719" w:type="dxa"/>
            <w:tcBorders>
              <w:left w:val="single" w:sz="6" w:space="0" w:color="000000"/>
              <w:bottom w:val="single" w:sz="4" w:space="0" w:color="auto"/>
              <w:right w:val="single" w:sz="6" w:space="0" w:color="000000"/>
            </w:tcBorders>
          </w:tcPr>
          <w:p w14:paraId="417C9CD1" w14:textId="40D00AEB" w:rsidR="00F949E5" w:rsidRPr="009841AB" w:rsidRDefault="00F949E5" w:rsidP="00F949E5">
            <w:pPr>
              <w:pStyle w:val="naisc"/>
              <w:spacing w:before="0" w:after="0"/>
              <w:jc w:val="left"/>
            </w:pPr>
            <w:r w:rsidRPr="009841AB">
              <w:lastRenderedPageBreak/>
              <w:t>Precizēts sadaļas nosaukums, sadaļa papildināta ar atsaucēm uz INSPIRE un PSI direktīvām.</w:t>
            </w:r>
          </w:p>
          <w:p w14:paraId="44E8AF63" w14:textId="6498D7B0" w:rsidR="005F4BFD" w:rsidRPr="00712B66" w:rsidRDefault="00F949E5" w:rsidP="00F949E5">
            <w:pPr>
              <w:pStyle w:val="naisc"/>
              <w:spacing w:before="0" w:after="0"/>
              <w:jc w:val="left"/>
            </w:pPr>
            <w:r w:rsidRPr="009841AB">
              <w:t xml:space="preserve">Pamatnostādņu projekts tika izstrādāts atvērtā un koleģiālā procesā ne tikai </w:t>
            </w:r>
            <w:proofErr w:type="spellStart"/>
            <w:r w:rsidRPr="009841AB">
              <w:t>sadarībā</w:t>
            </w:r>
            <w:proofErr w:type="spellEnd"/>
            <w:r w:rsidRPr="009841AB">
              <w:t xml:space="preserve"> ar iestādēm, bet iesaistot arī plašu sabiedriskā sektora dalībnieku loku. Par darba grupu darbu bija informēti arī Ģeotelpiskās informācijas </w:t>
            </w:r>
            <w:r w:rsidRPr="009841AB">
              <w:lastRenderedPageBreak/>
              <w:t>koordinācijas padomē pārstāvētās organizācijas (vismaz daļēji), līdz ar to tika nodrošināta iespēja organizācijām iesaistīties jau projekta gatavošanas procesā, kā arī jautājumu aktualizēt Ģeotelpiskās informācijas koordinācijas padomes ietvaros. Vienlaikus VARAM ir ņēmis vērā atzinumā sniegtos iebildumus un priekšlikumus, kā arī 16.04 ir notikusi pamatnostādņu un ģeotelpiskās informācijas sadaļas pārrunāšana padomes sēdē.</w:t>
            </w:r>
            <w:r w:rsidRPr="009841AB">
              <w:rPr>
                <w:b/>
                <w:bCs/>
              </w:rPr>
              <w:t xml:space="preserve">  </w:t>
            </w:r>
          </w:p>
        </w:tc>
        <w:tc>
          <w:tcPr>
            <w:tcW w:w="2977" w:type="dxa"/>
            <w:tcBorders>
              <w:top w:val="single" w:sz="4" w:space="0" w:color="auto"/>
              <w:left w:val="single" w:sz="4" w:space="0" w:color="auto"/>
              <w:bottom w:val="single" w:sz="4" w:space="0" w:color="auto"/>
              <w:right w:val="single" w:sz="4" w:space="0" w:color="auto"/>
            </w:tcBorders>
          </w:tcPr>
          <w:p w14:paraId="4533508E" w14:textId="7D3BAB4D" w:rsidR="00EF32FE" w:rsidRPr="00EF32FE" w:rsidRDefault="00EF32FE" w:rsidP="00EF32FE">
            <w:pPr>
              <w:ind w:right="12"/>
            </w:pPr>
            <w:r w:rsidRPr="009841AB">
              <w:rPr>
                <w:b/>
                <w:bCs/>
              </w:rPr>
              <w:lastRenderedPageBreak/>
              <w:t xml:space="preserve">Latvijas Mērnieku biedrības un Latvijas Kartogrāfu un ģeodēzistu asociācijas </w:t>
            </w:r>
            <w:r w:rsidR="00AB25F3">
              <w:rPr>
                <w:b/>
                <w:bCs/>
              </w:rPr>
              <w:t>03</w:t>
            </w:r>
            <w:r w:rsidRPr="009841AB">
              <w:rPr>
                <w:b/>
                <w:bCs/>
              </w:rPr>
              <w:t>.0</w:t>
            </w:r>
            <w:r w:rsidR="00AB25F3">
              <w:rPr>
                <w:b/>
                <w:bCs/>
              </w:rPr>
              <w:t>6</w:t>
            </w:r>
            <w:r w:rsidRPr="009841AB">
              <w:rPr>
                <w:b/>
                <w:bCs/>
              </w:rPr>
              <w:t>.2021. atzinums:</w:t>
            </w:r>
          </w:p>
          <w:p w14:paraId="5DC54214" w14:textId="2E5D1D21" w:rsidR="00EF32FE" w:rsidRDefault="00EF32FE" w:rsidP="00EF32FE">
            <w:r>
              <w:t xml:space="preserve">Latvijas Mērnieku biedrība (LMB) un Latvijas Kartogrāfu un ģeodēzistu asociācija (LKĢA) sniedz viedokli par Vides aizsardzības un reģionālās attīstības ministrijas sagatavoto projektu "Digitālās transformācijas pamatnostādnes 2021.-2027. </w:t>
            </w:r>
            <w:r>
              <w:lastRenderedPageBreak/>
              <w:t xml:space="preserve">gadam" (VSS-48), un iebilst pret sagatavotā projekta rīcības virzienu 4.4.1. “Pakalpojuma platformas” un rīcības virzienu 4.4.4. “Ģeotelpiskās, vides pārvaldības un attīstības plānošanas digitālā transformācija”.  </w:t>
            </w:r>
          </w:p>
          <w:p w14:paraId="51BB0EB0" w14:textId="77777777" w:rsidR="00704804" w:rsidRDefault="00EF32FE" w:rsidP="00EF32FE">
            <w:r>
              <w:t xml:space="preserve">LMB un LKĢA kā nozares profesionālās organizācijas savas kompetences ietvaros sniedz viedokli par ģeotelpiskās informācijas digitālo lietojumu, kā arī papildinājumus projekta minētajiem rīcības virzieniem. Tā kā Vides aizsardzības un reģionālās attīstības ministrijas sagatavotā dokumenta redakcija satur arī stila un gramatiskās nepilnības, sniedzam nepieciešamo izmaiņu sagatavotas redakcijas (labojumi un papildinājumi norādīti ar teksta pasvītrojumu). </w:t>
            </w:r>
          </w:p>
          <w:p w14:paraId="05F12A7B" w14:textId="77777777" w:rsidR="00704804" w:rsidRDefault="00704804" w:rsidP="00EF32FE"/>
          <w:p w14:paraId="7384F2A6" w14:textId="102F698E" w:rsidR="00EF32FE" w:rsidRDefault="00EF32FE" w:rsidP="00EF32FE">
            <w:r w:rsidRPr="006778EF">
              <w:t>1.</w:t>
            </w:r>
            <w:r>
              <w:t xml:space="preserve"> Rīcības virziena 4.4.1. “Pakalpojuma platformas” veicamo pasākumu 5.13. apakšpunktu izteikt sekojošā redakcijā: </w:t>
            </w:r>
          </w:p>
          <w:p w14:paraId="4E5DAE09" w14:textId="77777777" w:rsidR="00EF32FE" w:rsidRDefault="00EF32FE" w:rsidP="00EF32FE">
            <w:r>
              <w:lastRenderedPageBreak/>
              <w:t xml:space="preserve">“Ģeotelpisko datu apmaiņas platformas (t.sk. vienota vides un ģeotelpisko datu apmaiņas un izplatīšanas telpa, risinājums ģeotelpisko datu </w:t>
            </w:r>
            <w:proofErr w:type="spellStart"/>
            <w:r>
              <w:t>digitalizēšanai</w:t>
            </w:r>
            <w:proofErr w:type="spellEnd"/>
            <w:r>
              <w:t xml:space="preserve">, </w:t>
            </w:r>
            <w:proofErr w:type="spellStart"/>
            <w:r>
              <w:t>kopradīšanai</w:t>
            </w:r>
            <w:proofErr w:type="spellEnd"/>
            <w:r>
              <w:t xml:space="preserve"> un uzturēšanai, vides pārvaldības platforma, sabiedrības iesaistes platforma vides pārvaldībā </w:t>
            </w:r>
            <w:proofErr w:type="spellStart"/>
            <w:r>
              <w:t>proaktīvai</w:t>
            </w:r>
            <w:proofErr w:type="spellEnd"/>
            <w:r>
              <w:t xml:space="preserve"> informācijas apmaiņai) būs orientētas uz ģeotelpisko datu pieejamības nodrošināšanu arī nozaru komersantiem, kas ir īpaši būtiski, piemēram, tādās nozarēs kā nekustamā īpašuma pārvaldība, būvniecība, transports, loģistika, mežkopība, mežizstrāde, u.c.”. </w:t>
            </w:r>
          </w:p>
          <w:p w14:paraId="216ADC0E" w14:textId="772E905E" w:rsidR="00704804" w:rsidRDefault="00EF32FE" w:rsidP="00EF32FE">
            <w:r>
              <w:t>Pamatojums: nepamatoti sašaurināts lietojums uz dažām nozarēm, kā arī, nav nosauktas prasības ģeotelpisko datu lietojumiem nekustamā īpašuma pārvaldībā, transportā un loģistikā.</w:t>
            </w:r>
          </w:p>
          <w:p w14:paraId="69DEBE93" w14:textId="77777777" w:rsidR="006C5541" w:rsidRDefault="006C5541" w:rsidP="006C5541">
            <w:r w:rsidRPr="006C5541">
              <w:t>2.</w:t>
            </w:r>
            <w:r>
              <w:t xml:space="preserve"> Rīcības virzienu 4.4.4. “Ģeotelpiskās, vides pārvaldības un attīstības plānošanas digitālā </w:t>
            </w:r>
            <w:r>
              <w:lastRenderedPageBreak/>
              <w:t xml:space="preserve">transformācija” izteikt sekojošā redakcijā: </w:t>
            </w:r>
          </w:p>
          <w:p w14:paraId="2141EBBD" w14:textId="77777777" w:rsidR="006C5541" w:rsidRDefault="006C5541" w:rsidP="006C5541">
            <w:r>
              <w:t xml:space="preserve">4.4.4. Rīcības virziens: Ģeotelpiskās, vides pārvaldības un attīstības plānošanas informācijas digitālā transformācija </w:t>
            </w:r>
          </w:p>
          <w:p w14:paraId="28FC7050" w14:textId="77777777" w:rsidR="006C5F76" w:rsidRDefault="006C5541" w:rsidP="006C5541">
            <w:r>
              <w:t>Vīzija</w:t>
            </w:r>
          </w:p>
          <w:p w14:paraId="78FD7F6F" w14:textId="59122AAF" w:rsidR="006C5541" w:rsidRDefault="006C5541" w:rsidP="006C5541">
            <w:r>
              <w:t xml:space="preserve">Sabiedrība un komersanti apzinās savu iesaisti un atbildību ilgtspējīgas Latvijas teritorijas un telpas pārvaldīšanā un attīstībā, vides saglabāšanā un attīstībā, piedaloties teritoriju un to datu pārvaldības procesos. Digitālās tehnoloģijas veicina telpiskās informācijas, vides pārvaldības un teritoriju plānošanas attīstības būtisku progresu. Izmantojot digitālos risinājumus, Latvijas teritorijas pārvaldībā minimizēts manuāla un klātienes darba apjoms, uzlabota informācijas kvalitāte situācijas novērtēšanai un datos balstītu lēmumu pieņemšanai. Vienlaikus tehnoloģijām ir jābūt ilgtspējīgām un energoefektīvām. </w:t>
            </w:r>
          </w:p>
          <w:p w14:paraId="300EB3FF" w14:textId="77777777" w:rsidR="006C5541" w:rsidRDefault="006C5541" w:rsidP="006C5541">
            <w:r>
              <w:lastRenderedPageBreak/>
              <w:t xml:space="preserve">Nepieciešamā rīcība Lai nodrošinātu strauju ģeotelpiskās informācijas pārvaldības attīstību – nekustamā īpašuma pārvaldības, būvniecības, ražošanas, loģistikas, dabas aizsardzības, teritorijas attīstības plānošanas, mežizstrādes, un citās jomās, ir aktuāls jautājums - vai pārvaldības </w:t>
            </w:r>
            <w:proofErr w:type="spellStart"/>
            <w:r>
              <w:t>digitalizācija</w:t>
            </w:r>
            <w:proofErr w:type="spellEnd"/>
            <w:r>
              <w:t xml:space="preserve"> šajās nozarēs ir atbilstoša mūsdienu prasībām, lai būtu iespējams nodrošināt izaugsmei, procesu vadībai un lēmumu pieņemšanai vajadzīgos risinājumus.  </w:t>
            </w:r>
          </w:p>
          <w:p w14:paraId="1D24B38D" w14:textId="77777777" w:rsidR="006C5F76" w:rsidRDefault="006C5541" w:rsidP="006C5541">
            <w:r>
              <w:t xml:space="preserve">Ņemot vērā, ka ģeotelpiskās analītikas nozīme arvien vairāk pieaug attīstoties </w:t>
            </w:r>
            <w:proofErr w:type="spellStart"/>
            <w:r>
              <w:t>IoT</w:t>
            </w:r>
            <w:proofErr w:type="spellEnd"/>
            <w:r>
              <w:t>, t.sk. sensoru tīkliem, mākslīgajam intelektam un “lielajiem datiem”, ģeotelpiskajās IS arvien plašāk integrēsies ar biznesa analītikas rīkiem, rodot arvien intensīvāku lietojumu prognozēšanā,  modelēšanā un, sniedzot daudz lielākas iespējas kopsakarību, attīstības tendenču un scenāriju analīzei.</w:t>
            </w:r>
          </w:p>
          <w:p w14:paraId="4EEE2D82" w14:textId="77777777" w:rsidR="006C5F76" w:rsidRDefault="006C5541" w:rsidP="006C5541">
            <w:r>
              <w:t xml:space="preserve">1. Sekmēt ģeotelpiskās informācijas kvalitatīvu </w:t>
            </w:r>
            <w:r>
              <w:lastRenderedPageBreak/>
              <w:t>pārvaldību un izmantošanu tautsaimniecības procesu pārvaldībai un attīstībai, kā arī sociālo izaicinājumu risināšanai.</w:t>
            </w:r>
          </w:p>
          <w:p w14:paraId="3B5E3292" w14:textId="77777777" w:rsidR="006C5F76" w:rsidRDefault="006C5541" w:rsidP="006C5541">
            <w:r>
              <w:t>2. Noteikt, izveidot, uzturēt, nodrošināt digitālu apriti prioritārajām un valstī obligāti uzturamajām ģeotelpisko datu kopām.</w:t>
            </w:r>
          </w:p>
          <w:p w14:paraId="5BAA9C34" w14:textId="77777777" w:rsidR="006C5F76" w:rsidRDefault="006C5541" w:rsidP="006C5541">
            <w:r>
              <w:t>3. Veidot ģeotelpiskās IS, kas ir pieejama jebkuram lietotājam, ir labi vizualizētas, viegli saprotamas un izmantojamas.</w:t>
            </w:r>
          </w:p>
          <w:p w14:paraId="4BB3DE06" w14:textId="77777777" w:rsidR="006C5F76" w:rsidRDefault="006C5541" w:rsidP="006C5541">
            <w:r>
              <w:t xml:space="preserve">4. Veicināt ģeotelpisko datu </w:t>
            </w:r>
            <w:proofErr w:type="spellStart"/>
            <w:r>
              <w:t>atkalizmantošanu</w:t>
            </w:r>
            <w:proofErr w:type="spellEnd"/>
            <w:r>
              <w:t>, tai skaitā atvērt adrešu datus.</w:t>
            </w:r>
          </w:p>
          <w:p w14:paraId="5D8E3F52" w14:textId="77777777" w:rsidR="006C5F76" w:rsidRDefault="006C5541" w:rsidP="006C5541">
            <w:r>
              <w:t>5. Radīt inovatīvus rīkus un informācijas pakalpojumus viedai zemes pārvaldībai un apsaimniekošanai.</w:t>
            </w:r>
          </w:p>
          <w:p w14:paraId="3A9A3EF9" w14:textId="77777777" w:rsidR="006C5F76" w:rsidRDefault="006C5541" w:rsidP="00DC3251">
            <w:r>
              <w:t xml:space="preserve">6. Rūpēties par tādu ģeotelpisko IS un </w:t>
            </w:r>
            <w:proofErr w:type="spellStart"/>
            <w:r>
              <w:t>likumvides</w:t>
            </w:r>
            <w:proofErr w:type="spellEnd"/>
            <w:r>
              <w:t xml:space="preserve"> attīstību, kas veido saikni starp šobrīd pieejamo un izmantojamo informāciju, un tehnoloģiskajām iespējām nākotnē;</w:t>
            </w:r>
          </w:p>
          <w:p w14:paraId="689B4454" w14:textId="77777777" w:rsidR="006C5F76" w:rsidRDefault="00DC3251" w:rsidP="00DC3251">
            <w:r>
              <w:t xml:space="preserve">7. Plānot automatizētas ģeotelpiskās IS, kas nākotnē var piedāvāt tiešsaistes pakalpojumus un sabiedrība </w:t>
            </w:r>
            <w:r>
              <w:lastRenderedPageBreak/>
              <w:t>nekavējoties var iegūt nepieciešamo informāciju par vides situāciju, nekustamo īpašumu vai telpisko analīzi, balstoties uz iespēju jebkuram lietotājam piekļūt atrašanās vietas informācijai.</w:t>
            </w:r>
          </w:p>
          <w:p w14:paraId="4B863946" w14:textId="77777777" w:rsidR="006C5F76" w:rsidRDefault="00DC3251" w:rsidP="00DC3251">
            <w:r>
              <w:t>8. Digitāli transformēt teritorijas attīstības plānošanu, uzlabojot iespēju ģeotelpiski attēlot plānotās investīcijas un to īstenošanas progresu, kā arī veikt teritoriju attīstības uzraudzību.</w:t>
            </w:r>
          </w:p>
          <w:p w14:paraId="38B264C5" w14:textId="77777777" w:rsidR="006C5F76" w:rsidRDefault="00DC3251" w:rsidP="00DC3251">
            <w:r>
              <w:t>9. Veidot vienotu ģeotelpiskās IS par saimnieciskās vai cilvēka darbību ierobežojumiem noteiktās teritorijās.</w:t>
            </w:r>
          </w:p>
          <w:p w14:paraId="563F1B80" w14:textId="77777777" w:rsidR="006C5F76" w:rsidRDefault="00DC3251" w:rsidP="00DC3251">
            <w:r>
              <w:t xml:space="preserve">10.  Attīstīt civilās aizsardzības integrētas plānošanas spējas, balstoties uz koplietojamiem resursiem. Digitāli transformēt katastrofu pārvaldību vides jomā, nodrošinot datos balstītu risku pārvaldību un preventīvo pasākumu izstrādi, automatizējot katastrofu agrīno brīdināšanu un identificēšanu, katastrofu </w:t>
            </w:r>
            <w:r>
              <w:lastRenderedPageBreak/>
              <w:t>attīstības modelēšanu un vadīšanu, t.sk. izmantojot sensoru un bezpilota tehnoloģijas.</w:t>
            </w:r>
          </w:p>
          <w:p w14:paraId="37561A96" w14:textId="77777777" w:rsidR="006C5F76" w:rsidRDefault="00DC3251" w:rsidP="00DC3251">
            <w:r>
              <w:t>11.  Digitāli transformēt vides pārvaldības procesus (piesārņoto vietu pārvaldība, atkritumu apsaimniekošana, dabas resursu izmantošana, vides informācija un monitorings, ūdens un gaisa monitorings, vides pārmaiņas, zemes un augsnes degradācija), vides uzraudzībā izmantojot gan viedas datu ieguves tehnoloģijas (piemēram, sensori, bezpilota iekārtas), gan sabiedrības līdzdalību veicot ietekmes modelēšanu un novērtēšanu (t.sk. pielietojot mākslīgā intelekta un lielo datu analīzes iespējas), kā arī - veicot seku novēršanas rīcības plānošanu un īstenošanu.</w:t>
            </w:r>
          </w:p>
          <w:p w14:paraId="4A89E632" w14:textId="77777777" w:rsidR="006C5F76" w:rsidRDefault="00DC3251" w:rsidP="00DC3251">
            <w:r>
              <w:t>12.  Modelēt vides piesārņojošās darbības un to ierobežojošos pasākumus, katastrofu ietekmi un vides pārmaiņas.</w:t>
            </w:r>
          </w:p>
          <w:p w14:paraId="0AC91AC9" w14:textId="77777777" w:rsidR="006C5F76" w:rsidRDefault="00DC3251" w:rsidP="00DC3251">
            <w:r>
              <w:t xml:space="preserve">13.  </w:t>
            </w:r>
            <w:proofErr w:type="spellStart"/>
            <w:r>
              <w:t>Digitalizēt</w:t>
            </w:r>
            <w:proofErr w:type="spellEnd"/>
            <w:r>
              <w:t xml:space="preserve"> vides un ģeotelpiskos datus, izveidojot “digitālo dvīni”, </w:t>
            </w:r>
            <w:r>
              <w:lastRenderedPageBreak/>
              <w:t xml:space="preserve">datu </w:t>
            </w:r>
            <w:proofErr w:type="spellStart"/>
            <w:r>
              <w:t>digitalizēšanā</w:t>
            </w:r>
            <w:proofErr w:type="spellEnd"/>
            <w:r>
              <w:t xml:space="preserve"> iesaistot sabiedrību un nodrošinot šo datu apriti un kopīgu izmantošanu dažādās ekonomikas attīstības jomās.</w:t>
            </w:r>
          </w:p>
          <w:p w14:paraId="4E81CBC7" w14:textId="3CC7CA15" w:rsidR="00DC3251" w:rsidRDefault="00DC3251" w:rsidP="00DC3251">
            <w:r>
              <w:t xml:space="preserve">14.  Veicināt ilgtspējīgas digitālās infrastruktūras vides attīstību, lai sekmētu oglekļa mazietilpīgu, resursu efektīvu un </w:t>
            </w:r>
            <w:proofErr w:type="spellStart"/>
            <w:r>
              <w:t>klimatnoturīgu</w:t>
            </w:r>
            <w:proofErr w:type="spellEnd"/>
            <w:r>
              <w:t xml:space="preserve"> tautsaimniecības attīstību un noteiktos klimata, enerģētikas un gaisa piesārņojuma samazināšanās mērķus. </w:t>
            </w:r>
          </w:p>
          <w:p w14:paraId="1F88E8A6" w14:textId="77777777" w:rsidR="006C5F76" w:rsidRDefault="00DC3251" w:rsidP="00DC3251">
            <w:r>
              <w:t>Lai sasniegtu plānotos mērķus, nepieciešama sistēmiska, mērķtiecīga rīcība:</w:t>
            </w:r>
          </w:p>
          <w:p w14:paraId="2BF27FE0" w14:textId="3CABA294" w:rsidR="00DC3251" w:rsidRDefault="00DC3251" w:rsidP="00DC3251">
            <w:r>
              <w:t xml:space="preserve">1. Aktualizēt telpiskās informācijas pārvaldības rīcības politikas dokumentu, nosakot vidēja termiņa </w:t>
            </w:r>
            <w:proofErr w:type="spellStart"/>
            <w:r>
              <w:t>rīcībpolitikas</w:t>
            </w:r>
            <w:proofErr w:type="spellEnd"/>
            <w:r>
              <w:t xml:space="preserve"> mērķus un uzdevumus (izveidot ģeotelpiskās informācijas attīstības stratēģiju).</w:t>
            </w:r>
          </w:p>
          <w:p w14:paraId="69C8F013" w14:textId="77777777" w:rsidR="006C5F76" w:rsidRDefault="00DC3251" w:rsidP="00DC3251">
            <w:r>
              <w:t xml:space="preserve">Nodrošināt ģeotelpisko risinājumu ieviešanas organizēšanu saskaņā ar vienotu ģeotelpisko risinājumu biznesa, lietojumprogrammatūras un </w:t>
            </w:r>
            <w:r>
              <w:lastRenderedPageBreak/>
              <w:t>infrastruktūras konceptuālās arhitektūras un pārvaldības modeļa aktualizēšanu:</w:t>
            </w:r>
          </w:p>
          <w:p w14:paraId="64A3A34C" w14:textId="77777777" w:rsidR="006C5F76" w:rsidRDefault="00DC3251" w:rsidP="00DC3251">
            <w:r>
              <w:t>1.1. jāapzina valstī esošie ģeotelpiskās informācijas infrastruktūras risinājumi, to arhitektūra un integrēšanas iespējas ar esošajiem risinājumiem un platformām;</w:t>
            </w:r>
          </w:p>
          <w:p w14:paraId="782EB53C" w14:textId="77777777" w:rsidR="006C5F76" w:rsidRDefault="00DC3251" w:rsidP="00DC3251">
            <w:r>
              <w:t>1.2. jādefinē ģeotelpiskās informācijas risinājumiem nepieciešamās infrastruktūras nākotnes attīstības vajadzības un nodrošināšanas modelis;</w:t>
            </w:r>
          </w:p>
          <w:p w14:paraId="74981EFF" w14:textId="0E234659" w:rsidR="00DC3251" w:rsidRDefault="00DC3251" w:rsidP="00DC3251">
            <w:r>
              <w:t xml:space="preserve">1.3. jānodrošina koordinēta ģeotelpiskās informācijas un infrastruktūras arhitektūras modeļa ieviešanas un uzturēšanas vadība un pārraudzība, nosakot par to atbildīgo organizāciju, kā arī nosakot pārvaldības kārtību iesaistītajām, par noteiktiem datiem atbildīgajām, organizācijām. </w:t>
            </w:r>
          </w:p>
          <w:p w14:paraId="599D7E3F" w14:textId="77777777" w:rsidR="006C5F76" w:rsidRDefault="00DC3251" w:rsidP="00DC3251">
            <w:r>
              <w:t xml:space="preserve">2. Vienotas teritorijas raksturojošo un ģeotelpisko datu apmaiņas un izplatīšanas telpas attīstība, kurā pieejami kvalitatīvi, </w:t>
            </w:r>
            <w:proofErr w:type="spellStart"/>
            <w:r>
              <w:t>digitalizēti</w:t>
            </w:r>
            <w:proofErr w:type="spellEnd"/>
            <w:r>
              <w:t xml:space="preserve">, savietojami kartogrāfiskie dati no visiem valsts pārvaldes līmeņiem, </w:t>
            </w:r>
            <w:r>
              <w:lastRenderedPageBreak/>
              <w:t>tos papildinot arī no privātā sektora:</w:t>
            </w:r>
          </w:p>
          <w:p w14:paraId="6F5435E0" w14:textId="77777777" w:rsidR="00F86BD8" w:rsidRDefault="00DC3251" w:rsidP="00DC3251">
            <w:r>
              <w:t xml:space="preserve">2.1.  jāveic valstī esošo vides un ģeotelpisko datu apzināšana (arī dati, kas nav </w:t>
            </w:r>
            <w:proofErr w:type="spellStart"/>
            <w:r>
              <w:t>digitalizēti</w:t>
            </w:r>
            <w:proofErr w:type="spellEnd"/>
            <w:r>
              <w:t>);</w:t>
            </w:r>
          </w:p>
          <w:p w14:paraId="7C415F62" w14:textId="77777777" w:rsidR="00F86BD8" w:rsidRDefault="00DC3251" w:rsidP="00DC3251">
            <w:r>
              <w:t>2.2. atbilstoši Pamatnostādņu 4.4.1. sadaļā “Pakalpojumu platformas” definētajiem principiem, izveidojama vai attīstāma ģeotelpisko datu izplatīšanas platforma;</w:t>
            </w:r>
          </w:p>
          <w:p w14:paraId="794D43B5" w14:textId="77777777" w:rsidR="00F86BD8" w:rsidRDefault="00DC3251" w:rsidP="00DC3251">
            <w:r>
              <w:t>2.3. datu un informācijas pieejamībā, ievērot principu “atvērts pēc noklusējuma”;</w:t>
            </w:r>
          </w:p>
          <w:p w14:paraId="2FBC50CF" w14:textId="77777777" w:rsidR="00F86BD8" w:rsidRDefault="00DC3251" w:rsidP="00DC3251">
            <w:r>
              <w:t xml:space="preserve">2.4. teritorijas raksturojošo un ģeotelpisko datu uzkrāšanā un apstrādē ir jāievieš datu piekļuves politika, kas ņem vērā nacionālo drošības risku </w:t>
            </w:r>
            <w:proofErr w:type="spellStart"/>
            <w:r>
              <w:t>izvērtējumu</w:t>
            </w:r>
            <w:proofErr w:type="spellEnd"/>
            <w:r>
              <w:t>;</w:t>
            </w:r>
          </w:p>
          <w:p w14:paraId="32D56631" w14:textId="77777777" w:rsidR="00F86BD8" w:rsidRDefault="00DC3251" w:rsidP="00DC3251">
            <w:r>
              <w:t>2.5. nepieļaut valsts un komersantu funkcionālo darbību pārklāšanos vai atkārtošanos.</w:t>
            </w:r>
          </w:p>
          <w:p w14:paraId="031C27D6" w14:textId="77777777" w:rsidR="00F86BD8" w:rsidRDefault="00DC3251" w:rsidP="00DC3251">
            <w:r>
              <w:t xml:space="preserve">3. Ģeotelpisko datu </w:t>
            </w:r>
            <w:proofErr w:type="spellStart"/>
            <w:r>
              <w:t>digitalizēšanai</w:t>
            </w:r>
            <w:proofErr w:type="spellEnd"/>
            <w:r>
              <w:t xml:space="preserve">, </w:t>
            </w:r>
            <w:proofErr w:type="spellStart"/>
            <w:r>
              <w:t>kopradīšanai</w:t>
            </w:r>
            <w:proofErr w:type="spellEnd"/>
            <w:r>
              <w:t xml:space="preserve"> un uzturēšanai nepieciešamā risinājuma nodrošināšana iestādēm, kurām šie risinājumi nav pieejami, to radīšana nav ekonomiski pamatota, kā arī  - nav </w:t>
            </w:r>
            <w:r>
              <w:lastRenderedPageBreak/>
              <w:t>pieejama atbilstoša kompetence:</w:t>
            </w:r>
          </w:p>
          <w:p w14:paraId="56967299" w14:textId="77777777" w:rsidR="00F86BD8" w:rsidRDefault="00DC3251" w:rsidP="00DC3251">
            <w:r>
              <w:t xml:space="preserve">3.1.  jāizveido ērta un attālinātai lietošanai apgūstama, tīmekļa vidē izmantojama vide ģeotelpisko datu </w:t>
            </w:r>
            <w:proofErr w:type="spellStart"/>
            <w:r>
              <w:t>digitalizēšanai</w:t>
            </w:r>
            <w:proofErr w:type="spellEnd"/>
            <w:r>
              <w:t xml:space="preserve"> un uzturēšanai;</w:t>
            </w:r>
          </w:p>
          <w:p w14:paraId="23A7D297" w14:textId="77777777" w:rsidR="00F86BD8" w:rsidRDefault="00DC3251" w:rsidP="00DC3251">
            <w:r>
              <w:t>3.2. atbilstoši dažādiem biznesa mērķiem – jāizveido iespēja vides un ģeotelpiskos datus šajā risinājumā radīt un uzturēt lauka apstākļos, izmantojot mobilās lietojumprogrammas.</w:t>
            </w:r>
          </w:p>
          <w:p w14:paraId="2C72887F" w14:textId="77777777" w:rsidR="00F86BD8" w:rsidRDefault="002719B4" w:rsidP="00DC3251">
            <w:r w:rsidRPr="002719B4">
              <w:t>4. Organizatoriskā un tiesiskā ietvara visu1 valsts pārvaldē radīto un uzturēto ģeotelpisko datu apmaiņai:</w:t>
            </w:r>
          </w:p>
          <w:p w14:paraId="1019A3E9" w14:textId="77777777" w:rsidR="00F86BD8" w:rsidRDefault="002719B4" w:rsidP="00DC3251">
            <w:r w:rsidRPr="002719B4">
              <w:t>4.1. jāpārskata iestāžu finansēšanas modelis, izslēdzot savstarpēju finansējuma “apmaiņu” kopējā valsts ekonomikā, kas notiek, veicot datu iegādi vai dublējošas datu radīšanas darbības;</w:t>
            </w:r>
          </w:p>
          <w:p w14:paraId="17401FFD" w14:textId="77777777" w:rsidR="00F86BD8" w:rsidRDefault="002719B4" w:rsidP="00DC3251">
            <w:r w:rsidRPr="002719B4">
              <w:t xml:space="preserve">4.2. jāveic izmaiņas tiesiskajā regulējumā (normatīvo aktu komplekts), nodrošinot bezmaksas ģeotelpisko datu apriti gan </w:t>
            </w:r>
            <w:r w:rsidRPr="002719B4">
              <w:lastRenderedPageBreak/>
              <w:t>publiskā, gan privātā sektora ietvaros</w:t>
            </w:r>
            <w:r w:rsidR="00F86BD8">
              <w:t>.</w:t>
            </w:r>
          </w:p>
          <w:p w14:paraId="69EADF7D" w14:textId="77777777" w:rsidR="00F86BD8" w:rsidRDefault="002719B4" w:rsidP="00DC3251">
            <w:r w:rsidRPr="002719B4">
              <w:t>5. Vides pārvaldības platformas attīstība, veicinot atbildīgu un vidi saudzējošu uzņēmējdarbību:</w:t>
            </w:r>
          </w:p>
          <w:p w14:paraId="092AEF8C" w14:textId="77777777" w:rsidR="00F86BD8" w:rsidRDefault="002719B4" w:rsidP="00DC3251">
            <w:r w:rsidRPr="002719B4">
              <w:t>5.1.  atbilstoši 4.4.1. sadaļā “Pakalpojumu platformas” definētajiem principiem izveidojama valstī vienota vides pārvaldības platforma, tajā ietverot:</w:t>
            </w:r>
          </w:p>
          <w:p w14:paraId="2851CBD0" w14:textId="77777777" w:rsidR="00F86BD8" w:rsidRDefault="002719B4" w:rsidP="00DC3251">
            <w:r w:rsidRPr="002719B4">
              <w:t>5.1.1. vides pārvaldības jomas, piemēram:</w:t>
            </w:r>
          </w:p>
          <w:p w14:paraId="048345CE" w14:textId="77777777" w:rsidR="00F86BD8" w:rsidRDefault="002719B4" w:rsidP="00DC3251">
            <w:r w:rsidRPr="002719B4">
              <w:t xml:space="preserve">5.1.1.1. vienotu valsts atkritumu apsaimniekošanas un </w:t>
            </w:r>
            <w:proofErr w:type="spellStart"/>
            <w:r w:rsidRPr="002719B4">
              <w:t>monitorējamas</w:t>
            </w:r>
            <w:proofErr w:type="spellEnd"/>
            <w:r w:rsidRPr="002719B4">
              <w:t xml:space="preserve"> atkritumu plūsmas izveidi;</w:t>
            </w:r>
          </w:p>
          <w:p w14:paraId="6B6BB522" w14:textId="77777777" w:rsidR="00F86BD8" w:rsidRDefault="002719B4" w:rsidP="00DC3251">
            <w:r w:rsidRPr="002719B4">
              <w:t>5.1.1.2. dabas resursu izmantošanu un kontroli;</w:t>
            </w:r>
          </w:p>
          <w:p w14:paraId="3605F75B" w14:textId="77777777" w:rsidR="00F86BD8" w:rsidRDefault="002719B4" w:rsidP="00DC3251">
            <w:r w:rsidRPr="002719B4">
              <w:t>5.1.1.3. piesārņojuma pārvaldību;</w:t>
            </w:r>
          </w:p>
          <w:p w14:paraId="7C5E660C" w14:textId="77777777" w:rsidR="00F86BD8" w:rsidRDefault="002719B4" w:rsidP="00DC3251">
            <w:r w:rsidRPr="002719B4">
              <w:t>5.1.2. uzņēmēju ikdienas biznesa procesu automatizāciju – ciešu komersantu biznesa risinājumu integrēšanu ar vides pārvaldības risinājumiem;</w:t>
            </w:r>
          </w:p>
          <w:p w14:paraId="1925329E" w14:textId="77777777" w:rsidR="00F86BD8" w:rsidRDefault="002719B4" w:rsidP="00DC3251">
            <w:r w:rsidRPr="002719B4">
              <w:t>5.1.3. izmantojot modernās tehnoloģijas, automatizētu reāla laika datu iegūšanu un procesu kontroli, piemēram:</w:t>
            </w:r>
          </w:p>
          <w:p w14:paraId="1A2CEFC8" w14:textId="77777777" w:rsidR="00F86BD8" w:rsidRDefault="002719B4" w:rsidP="00DC3251">
            <w:r w:rsidRPr="002719B4">
              <w:t xml:space="preserve">5.1.3.1. mākslīgais intelekts loģisko likumu definēšanā, </w:t>
            </w:r>
            <w:r w:rsidRPr="002719B4">
              <w:lastRenderedPageBreak/>
              <w:t>jaunu secinājumu iegūšanā, datos balstītu lēmumu pieņemšanā;</w:t>
            </w:r>
          </w:p>
          <w:p w14:paraId="125000B0" w14:textId="77777777" w:rsidR="00F86BD8" w:rsidRDefault="002719B4" w:rsidP="00DC3251">
            <w:r w:rsidRPr="002719B4">
              <w:t>5.1.3.2. GNSS tehnoloģijas automašīnu pārvietošanās kontrolē, nepieciešamo ģeogrāfisko koordināšu fiksēšanā apvidū, loģistikas uzdevumu risināšanā, u.c.;</w:t>
            </w:r>
          </w:p>
          <w:p w14:paraId="21B0D09A" w14:textId="77777777" w:rsidR="00F86BD8" w:rsidRDefault="002719B4" w:rsidP="00DC3251">
            <w:r w:rsidRPr="002719B4">
              <w:t>5.1.3.3. lāzera tehnoloģijas derīgo izrakteņu un citu materiālu krājumu apjoma noteikšanai, karjeru materiālu uzskaitei;</w:t>
            </w:r>
          </w:p>
          <w:p w14:paraId="0BDE6923" w14:textId="77777777" w:rsidR="00F86BD8" w:rsidRDefault="002719B4" w:rsidP="00DC3251">
            <w:r w:rsidRPr="002719B4">
              <w:t>5.1.3.4. attēlu apstrādes tehnoloģijas, piemēram, piesārņojošo darbību monitoringam;</w:t>
            </w:r>
          </w:p>
          <w:p w14:paraId="51D9847D" w14:textId="77777777" w:rsidR="00F86BD8" w:rsidRDefault="002719B4" w:rsidP="00DC3251">
            <w:r w:rsidRPr="002719B4">
              <w:t>5.1.3.5. sensoru signālu apstrāde;</w:t>
            </w:r>
          </w:p>
          <w:p w14:paraId="23946EFD" w14:textId="77777777" w:rsidR="003953A4" w:rsidRDefault="002719B4" w:rsidP="00DC3251">
            <w:r w:rsidRPr="002719B4">
              <w:t>5.1.3.6. fotokameras un citas tehnoloģijas.</w:t>
            </w:r>
          </w:p>
          <w:p w14:paraId="6068C18B" w14:textId="77777777" w:rsidR="003953A4" w:rsidRDefault="002719B4" w:rsidP="002719B4">
            <w:r w:rsidRPr="002719B4">
              <w:t xml:space="preserve">6. Izveidot sabiedrības iesaistes platformu vides pārvaldībā, nodrošinot </w:t>
            </w:r>
            <w:proofErr w:type="spellStart"/>
            <w:r w:rsidRPr="002719B4">
              <w:t>proaktīvu</w:t>
            </w:r>
            <w:proofErr w:type="spellEnd"/>
            <w:r w:rsidRPr="002719B4">
              <w:t>, vizuālu informācijas komunikāciju un apmaiņu, integrējot sabiedrību vides pārvaldības procesos:</w:t>
            </w:r>
          </w:p>
          <w:p w14:paraId="1418CD3A" w14:textId="77777777" w:rsidR="003953A4" w:rsidRDefault="002719B4" w:rsidP="002719B4">
            <w:r>
              <w:t>6.1. nodrošināt risinājumu sabiedrības integrēšanai sabiedriskajā apspriešanā, piemēram:</w:t>
            </w:r>
          </w:p>
          <w:p w14:paraId="1CE46A20" w14:textId="77777777" w:rsidR="003953A4" w:rsidRDefault="002719B4" w:rsidP="002719B4">
            <w:r>
              <w:lastRenderedPageBreak/>
              <w:t>6.1.1. teritorijas attīstības plānošana;</w:t>
            </w:r>
          </w:p>
          <w:p w14:paraId="48C6912D" w14:textId="77777777" w:rsidR="003953A4" w:rsidRDefault="002719B4" w:rsidP="002719B4">
            <w:r>
              <w:t>6.1.2. būvniecības ieceres;</w:t>
            </w:r>
          </w:p>
          <w:p w14:paraId="250DC3E2" w14:textId="77777777" w:rsidR="003953A4" w:rsidRDefault="003953A4" w:rsidP="002719B4">
            <w:r>
              <w:t>6</w:t>
            </w:r>
            <w:r w:rsidR="002719B4">
              <w:t>.1.3. piesārņojošo darbību ieceres;</w:t>
            </w:r>
          </w:p>
          <w:p w14:paraId="20FE4D9B" w14:textId="77777777" w:rsidR="003953A4" w:rsidRDefault="002719B4" w:rsidP="002719B4">
            <w:r>
              <w:t>6.1.4. citi procesi, ietverot sabiedrības parakstu vākšanas iniciatīvas;</w:t>
            </w:r>
          </w:p>
          <w:p w14:paraId="41D45B39" w14:textId="77777777" w:rsidR="003953A4" w:rsidRDefault="002719B4" w:rsidP="002719B4">
            <w:r>
              <w:t>6.2. nodrošināt informācijas pieejamību sabiedrībai, komersantiem vienuviet ar iespēju abonēt dažādus informācijas kanālus, piemēram:</w:t>
            </w:r>
          </w:p>
          <w:p w14:paraId="6AAA9065" w14:textId="77777777" w:rsidR="003953A4" w:rsidRDefault="002719B4" w:rsidP="002719B4">
            <w:r>
              <w:t>6.2.1. informāciju par indivīda nekustamajiem īpašumiem, apgrūtinājumiem tajos, plānotajām izmaiņām noteiktā administratīvā teritorijā;</w:t>
            </w:r>
          </w:p>
          <w:p w14:paraId="25F4EFAB" w14:textId="77777777" w:rsidR="003953A4" w:rsidRDefault="002719B4" w:rsidP="002719B4">
            <w:r>
              <w:t>6.2.2. paziņojumus par veicamajām darbībām, izpildāmām saistībām ar iespēju sniegt nepieciešamo atgriezenisko saiti;</w:t>
            </w:r>
          </w:p>
          <w:p w14:paraId="73A0A154" w14:textId="18932912" w:rsidR="002719B4" w:rsidRDefault="002719B4" w:rsidP="002719B4">
            <w:r>
              <w:t xml:space="preserve">6.2.3. vides informatīvos, mācību un citus materiālus.  </w:t>
            </w:r>
          </w:p>
          <w:p w14:paraId="42AD7233" w14:textId="77777777" w:rsidR="003953A4" w:rsidRDefault="002719B4" w:rsidP="002719B4">
            <w:r>
              <w:t xml:space="preserve">Sagaidāmie rezultāti </w:t>
            </w:r>
          </w:p>
          <w:p w14:paraId="0706CC3B" w14:textId="77777777" w:rsidR="003953A4" w:rsidRDefault="002719B4" w:rsidP="002719B4">
            <w:r>
              <w:t xml:space="preserve">1. Līdz 2023. gadam definēta vienota telpiskās informācijas pārvaldības politika (apstiprināta attīstības stratēģija). </w:t>
            </w:r>
          </w:p>
          <w:p w14:paraId="17278783" w14:textId="77777777" w:rsidR="003953A4" w:rsidRDefault="002719B4" w:rsidP="002719B4">
            <w:r>
              <w:lastRenderedPageBreak/>
              <w:t>2. Līdz 2023. gadam definēta vienota ģeotelpisko risinājumu arhitektūra un noteikta kompetentā organizācija arhitektūras un tajā iekļauto risinājumu izveides vadībai un pārvaldībai.</w:t>
            </w:r>
          </w:p>
          <w:p w14:paraId="1F052D9E" w14:textId="77777777" w:rsidR="003953A4" w:rsidRDefault="002719B4" w:rsidP="002719B4">
            <w:r>
              <w:t>3. Līdz 2023. gadam atvērti adrešu dati.</w:t>
            </w:r>
          </w:p>
          <w:p w14:paraId="340C00A8" w14:textId="77777777" w:rsidR="003953A4" w:rsidRDefault="002719B4" w:rsidP="002719B4">
            <w:r>
              <w:t>4. Līdz 2027. gadam izveidota ģeotelpisko datu apmaiņas un izplatīšanas platforma.</w:t>
            </w:r>
          </w:p>
          <w:p w14:paraId="5E7E2671" w14:textId="77777777" w:rsidR="003953A4" w:rsidRDefault="002719B4" w:rsidP="002719B4">
            <w:r>
              <w:t xml:space="preserve">5. Līdz 2025. gadam izveidots ģeotelpisko datu </w:t>
            </w:r>
            <w:proofErr w:type="spellStart"/>
            <w:r>
              <w:t>digitalizēšanai</w:t>
            </w:r>
            <w:proofErr w:type="spellEnd"/>
            <w:r>
              <w:t xml:space="preserve">, </w:t>
            </w:r>
            <w:proofErr w:type="spellStart"/>
            <w:r>
              <w:t>kopradīšanai</w:t>
            </w:r>
            <w:proofErr w:type="spellEnd"/>
            <w:r>
              <w:t xml:space="preserve"> un uzturēšanai nepieciešamais risinājums.</w:t>
            </w:r>
          </w:p>
          <w:p w14:paraId="7B7313CD" w14:textId="77777777" w:rsidR="003953A4" w:rsidRDefault="002719B4" w:rsidP="002719B4">
            <w:r>
              <w:t>6. Līdz 2027. gadam izveidots organizatoriskais un tiesiskais ietvars visu valsts pārvaldē radīto un uzturēto ģeotelpisko datu apmaiņai, ņemot vērā nacionālās drošības intereses.</w:t>
            </w:r>
          </w:p>
          <w:p w14:paraId="028C2F54" w14:textId="31D7B004" w:rsidR="006A54CA" w:rsidRDefault="002719B4" w:rsidP="002719B4">
            <w:r>
              <w:t xml:space="preserve">7. Līdz 2027.gadam pilnveidotas nacionālās platformas nekustamā īpašuma un vides pārvaldības procesiem, sabiedrības un komersantu iesaistei un integrēšanai vides pārvaldības un </w:t>
            </w:r>
            <w:r>
              <w:lastRenderedPageBreak/>
              <w:t>teritoriju attīstības plānošanas un uzraudzības procesos.</w:t>
            </w:r>
          </w:p>
          <w:p w14:paraId="354A44AD" w14:textId="77777777" w:rsidR="006A54CA" w:rsidRDefault="006A54CA" w:rsidP="006A54CA">
            <w:r>
              <w:t xml:space="preserve">Uzdevumi (U) </w:t>
            </w:r>
          </w:p>
          <w:p w14:paraId="7D396F12" w14:textId="77777777" w:rsidR="006A54CA" w:rsidRDefault="006A54CA" w:rsidP="006A54CA">
            <w:r>
              <w:t xml:space="preserve">Identifikators Uzdevums </w:t>
            </w:r>
          </w:p>
          <w:p w14:paraId="1F66F7A8" w14:textId="77777777" w:rsidR="006A54CA" w:rsidRDefault="006A54CA" w:rsidP="006A54CA">
            <w:r>
              <w:t xml:space="preserve">Sākuma termiņš </w:t>
            </w:r>
          </w:p>
          <w:p w14:paraId="4C37B415" w14:textId="77777777" w:rsidR="006A54CA" w:rsidRDefault="006A54CA" w:rsidP="006A54CA">
            <w:r>
              <w:t xml:space="preserve">Beigu termiņš </w:t>
            </w:r>
          </w:p>
          <w:p w14:paraId="1004717C" w14:textId="77777777" w:rsidR="006A54CA" w:rsidRDefault="006A54CA" w:rsidP="006A54CA">
            <w:r>
              <w:t xml:space="preserve">Atbildīgais Līdzatbildīgie </w:t>
            </w:r>
          </w:p>
          <w:p w14:paraId="15824C16" w14:textId="77777777" w:rsidR="006A54CA" w:rsidRDefault="006A54CA" w:rsidP="006A54CA">
            <w:r>
              <w:t xml:space="preserve">U4.4.4.-1 </w:t>
            </w:r>
          </w:p>
          <w:p w14:paraId="42AD97A6" w14:textId="77777777" w:rsidR="006A54CA" w:rsidRDefault="006A54CA" w:rsidP="006A54CA">
            <w:r>
              <w:t xml:space="preserve">Definēta vienota telpiskās informācijas pārvaldības politika (Ģeotelpiskās informācijas attīstības stratēģija). </w:t>
            </w:r>
          </w:p>
          <w:p w14:paraId="189F82DD" w14:textId="77777777" w:rsidR="006A54CA" w:rsidRDefault="006A54CA" w:rsidP="006A54CA">
            <w:r>
              <w:t xml:space="preserve">2021 2023 AM </w:t>
            </w:r>
          </w:p>
          <w:p w14:paraId="3A6C1DAB" w14:textId="77777777" w:rsidR="006A54CA" w:rsidRDefault="006A54CA" w:rsidP="006A54CA">
            <w:r>
              <w:t xml:space="preserve">Ģeotelpiskās informācijas koordinācijas padome, LMB, LKĢA, Visas ministrijas </w:t>
            </w:r>
          </w:p>
          <w:p w14:paraId="60BB0A9A" w14:textId="77777777" w:rsidR="006A54CA" w:rsidRDefault="006A54CA" w:rsidP="006A54CA">
            <w:r>
              <w:t xml:space="preserve">U4.4.4.-2 </w:t>
            </w:r>
          </w:p>
          <w:p w14:paraId="02929BDA" w14:textId="77777777" w:rsidR="006A54CA" w:rsidRDefault="006A54CA" w:rsidP="006A54CA">
            <w:r>
              <w:t xml:space="preserve">Noteikt vienotu ģeotelpisko risinājumu arhitektūru un noteikt kompetento organizāciju arhitektūras un tajā iekļauto risinājumu izveides vadībai un pārvaldībai. </w:t>
            </w:r>
          </w:p>
          <w:p w14:paraId="4D71AEDF" w14:textId="77777777" w:rsidR="006A54CA" w:rsidRDefault="006A54CA" w:rsidP="006A54CA">
            <w:r>
              <w:t xml:space="preserve">2021 2023 VARAM nav </w:t>
            </w:r>
          </w:p>
          <w:p w14:paraId="1D4E6F17" w14:textId="77777777" w:rsidR="006A54CA" w:rsidRDefault="006A54CA" w:rsidP="006A54CA">
            <w:r>
              <w:t xml:space="preserve">U4.4.4.-3 </w:t>
            </w:r>
          </w:p>
          <w:p w14:paraId="65089A2C" w14:textId="77777777" w:rsidR="006A54CA" w:rsidRDefault="006A54CA" w:rsidP="006A54CA">
            <w:r>
              <w:t xml:space="preserve">Attīstīt organizatorisko un tiesisko ietvaru visu valsts pārvaldē radīto un uzturēto ģeotelpisko datu apmaiņai. </w:t>
            </w:r>
          </w:p>
          <w:p w14:paraId="160F7B81" w14:textId="77777777" w:rsidR="006A54CA" w:rsidRDefault="006A54CA" w:rsidP="006A54CA">
            <w:r>
              <w:t xml:space="preserve">2021 2025 VARAM nav </w:t>
            </w:r>
          </w:p>
          <w:p w14:paraId="6B01BE74" w14:textId="77777777" w:rsidR="006A54CA" w:rsidRDefault="006A54CA" w:rsidP="006A54CA">
            <w:r>
              <w:t xml:space="preserve">U4.4.4.-4 </w:t>
            </w:r>
          </w:p>
          <w:p w14:paraId="3CF469FE" w14:textId="77777777" w:rsidR="006A54CA" w:rsidRDefault="006A54CA" w:rsidP="006A54CA">
            <w:r>
              <w:lastRenderedPageBreak/>
              <w:t xml:space="preserve">Attīstīt nacionālo ģeotelpisko datu apmaiņas un izplatīšanas platformu, nodrošinot datu piekļuves vadību atbilstoši nacionālās drošības interesēm. </w:t>
            </w:r>
          </w:p>
          <w:p w14:paraId="079306E0" w14:textId="77777777" w:rsidR="006A54CA" w:rsidRDefault="006A54CA" w:rsidP="006A54CA">
            <w:r>
              <w:t xml:space="preserve">2021 2027 VARAM nav </w:t>
            </w:r>
          </w:p>
          <w:p w14:paraId="2E7B6B6F" w14:textId="77777777" w:rsidR="006A54CA" w:rsidRDefault="006A54CA" w:rsidP="006A54CA">
            <w:r>
              <w:t xml:space="preserve">U4.4.4.-5 </w:t>
            </w:r>
          </w:p>
          <w:p w14:paraId="4FD553AB" w14:textId="77777777" w:rsidR="006A54CA" w:rsidRDefault="006A54CA" w:rsidP="006A54CA">
            <w:r>
              <w:t xml:space="preserve">Pilnveidot vai attīstīt nacionālās platformas nekustamā īpašuma un vides pārvaldības procesiem, sabiedrības un komersantu iesaistei un integrēšanai vides pārvaldības procesos. </w:t>
            </w:r>
          </w:p>
          <w:p w14:paraId="2D9D34B8" w14:textId="44EAA14C" w:rsidR="006A54CA" w:rsidRPr="00712B66" w:rsidRDefault="006A54CA" w:rsidP="002719B4">
            <w:r>
              <w:t xml:space="preserve">2021 2027 VARAM TM </w:t>
            </w:r>
          </w:p>
        </w:tc>
        <w:tc>
          <w:tcPr>
            <w:tcW w:w="1660" w:type="dxa"/>
            <w:tcBorders>
              <w:top w:val="single" w:sz="4" w:space="0" w:color="auto"/>
              <w:left w:val="single" w:sz="4" w:space="0" w:color="auto"/>
              <w:bottom w:val="single" w:sz="4" w:space="0" w:color="auto"/>
            </w:tcBorders>
          </w:tcPr>
          <w:p w14:paraId="02FC42D3" w14:textId="30F1B9F9" w:rsidR="005F4BFD" w:rsidRPr="00712B66" w:rsidRDefault="00F949E5" w:rsidP="0036160E">
            <w:r>
              <w:lastRenderedPageBreak/>
              <w:t>Lūdzu skatīt 4.4. sadaļu</w:t>
            </w:r>
          </w:p>
        </w:tc>
      </w:tr>
    </w:tbl>
    <w:p w14:paraId="150A4D98" w14:textId="77777777" w:rsidR="007B4C0F" w:rsidRPr="00712B66" w:rsidRDefault="007B4C0F" w:rsidP="007B4C0F">
      <w:pPr>
        <w:pStyle w:val="naisf"/>
        <w:spacing w:before="0" w:after="0"/>
        <w:ind w:firstLine="0"/>
      </w:pPr>
    </w:p>
    <w:p w14:paraId="474F8CDF"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elektronisko saskaņošanu</w:t>
      </w:r>
    </w:p>
    <w:p w14:paraId="51DC19E2"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02190D01" w14:textId="77777777">
        <w:tc>
          <w:tcPr>
            <w:tcW w:w="6345" w:type="dxa"/>
          </w:tcPr>
          <w:p w14:paraId="03D9C8E6"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54FCD235" w14:textId="1836F77F" w:rsidR="007B4C0F" w:rsidRPr="00712B66" w:rsidRDefault="007D6332" w:rsidP="0036160E">
            <w:pPr>
              <w:pStyle w:val="NormalWeb"/>
              <w:spacing w:before="0" w:beforeAutospacing="0" w:after="0" w:afterAutospacing="0"/>
              <w:ind w:firstLine="720"/>
              <w:rPr>
                <w:highlight w:val="yellow"/>
              </w:rPr>
            </w:pPr>
            <w:r>
              <w:t>26.04.</w:t>
            </w:r>
            <w:r w:rsidRPr="001D48C0">
              <w:t>202</w:t>
            </w:r>
            <w:r w:rsidR="001D48C0" w:rsidRPr="001D48C0">
              <w:t>1</w:t>
            </w:r>
            <w:r w:rsidRPr="001D48C0">
              <w:t>.</w:t>
            </w:r>
            <w:r w:rsidR="00F44824" w:rsidRPr="001D48C0">
              <w:t>,</w:t>
            </w:r>
            <w:r w:rsidR="00F44824">
              <w:t xml:space="preserve"> </w:t>
            </w:r>
            <w:r w:rsidR="001D48C0" w:rsidRPr="00B55433">
              <w:t>10.05.2021.</w:t>
            </w:r>
            <w:r w:rsidR="00C0526B">
              <w:t>, 27.05.2021.</w:t>
            </w:r>
          </w:p>
        </w:tc>
      </w:tr>
      <w:tr w:rsidR="003C27A2" w:rsidRPr="00712B66" w14:paraId="17BBA62D" w14:textId="77777777">
        <w:tc>
          <w:tcPr>
            <w:tcW w:w="6345" w:type="dxa"/>
          </w:tcPr>
          <w:p w14:paraId="1614995C"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2F4C2888" w14:textId="77777777" w:rsidR="003C27A2" w:rsidRPr="00712B66" w:rsidRDefault="003C27A2" w:rsidP="0036160E">
            <w:pPr>
              <w:pStyle w:val="NormalWeb"/>
              <w:spacing w:before="0" w:beforeAutospacing="0" w:after="0" w:afterAutospacing="0"/>
              <w:ind w:firstLine="720"/>
            </w:pPr>
          </w:p>
        </w:tc>
      </w:tr>
      <w:tr w:rsidR="007B4C0F" w:rsidRPr="00712B66" w14:paraId="5EA4B528" w14:textId="77777777">
        <w:tc>
          <w:tcPr>
            <w:tcW w:w="6345" w:type="dxa"/>
          </w:tcPr>
          <w:p w14:paraId="14E2CBBD"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5BAEDEC3" w14:textId="77777777" w:rsidR="001C26E9" w:rsidRPr="00712B66" w:rsidRDefault="008B4D8F" w:rsidP="007D6332">
            <w:r>
              <w:t xml:space="preserve">Tieslietu ministrija, Ekonomikas ministrija, Izglītības un zinātnes ministrija, Finanšu ministrija, </w:t>
            </w:r>
            <w:r w:rsidRPr="00F44824">
              <w:t>Ārlietu ministrija</w:t>
            </w:r>
            <w:r>
              <w:t xml:space="preserve">, Aizsardzības ministrija, </w:t>
            </w:r>
            <w:proofErr w:type="spellStart"/>
            <w:r>
              <w:t>Iekšlietu</w:t>
            </w:r>
            <w:proofErr w:type="spellEnd"/>
            <w:r>
              <w:t xml:space="preserve"> ministrija, Satiksmes ministrija,</w:t>
            </w:r>
            <w:r w:rsidR="001C26E9">
              <w:t xml:space="preserve"> </w:t>
            </w:r>
            <w:r w:rsidR="001C26E9" w:rsidRPr="00F44824">
              <w:t>Kultūras ministrija</w:t>
            </w:r>
            <w:r w:rsidR="001C26E9">
              <w:t xml:space="preserve">, Labklājības ministrija, Veselības ministrija, </w:t>
            </w:r>
            <w:r w:rsidR="001C26E9" w:rsidRPr="00F44824">
              <w:t>Zemkopības ministrija</w:t>
            </w:r>
            <w:r w:rsidR="001C26E9">
              <w:t>,</w:t>
            </w:r>
            <w:r>
              <w:t xml:space="preserve"> Valsts kanceleja,</w:t>
            </w:r>
            <w:r w:rsidR="001C26E9">
              <w:t xml:space="preserve"> </w:t>
            </w:r>
            <w:proofErr w:type="spellStart"/>
            <w:r w:rsidR="001C26E9">
              <w:t>Pārresoru</w:t>
            </w:r>
            <w:proofErr w:type="spellEnd"/>
            <w:r w:rsidR="001C26E9">
              <w:t xml:space="preserve"> koordinācijas centrs,</w:t>
            </w:r>
            <w:r>
              <w:t xml:space="preserve"> </w:t>
            </w:r>
            <w:r w:rsidR="001C26E9">
              <w:t xml:space="preserve">Latvijas Pašvaldību savienība, </w:t>
            </w:r>
            <w:r>
              <w:t xml:space="preserve">Latvijas Darba devēju konfederācija, </w:t>
            </w:r>
            <w:r w:rsidRPr="00F44824">
              <w:t>Latvijas Brīvo arodbiedrību savienība</w:t>
            </w:r>
            <w:r>
              <w:t>, Latvijas Tirdzniecības un rūpniecības kamera</w:t>
            </w:r>
            <w:r w:rsidR="001C26E9">
              <w:t xml:space="preserve">, </w:t>
            </w:r>
            <w:r w:rsidR="001C26E9" w:rsidRPr="001C26E9">
              <w:t>Latvijas Informācijas un komunikācijas tehnoloģijas asociācija, Latvijas atvērto tehnoloģiju asociācija</w:t>
            </w:r>
            <w:r w:rsidR="001C26E9">
              <w:t xml:space="preserve">, </w:t>
            </w:r>
            <w:r w:rsidR="007D6332">
              <w:t>Biofarmaceitisko zāļu ražotāju</w:t>
            </w:r>
            <w:r w:rsidR="00F44824">
              <w:t xml:space="preserve"> </w:t>
            </w:r>
            <w:r w:rsidR="007D6332">
              <w:t xml:space="preserve">asociācija Latvijā, </w:t>
            </w:r>
            <w:r w:rsidR="007D6332" w:rsidRPr="007D6332">
              <w:t>Latvijas Finanšu nozares asociācija</w:t>
            </w:r>
            <w:r w:rsidR="007D6332">
              <w:t xml:space="preserve">, </w:t>
            </w:r>
            <w:r w:rsidR="007D6332" w:rsidRPr="007D6332">
              <w:t>Latvijas Mērnieku biedrība un Latvijas Kartogrāfu un ģeodēzistu asociācija</w:t>
            </w:r>
            <w:r w:rsidR="007D6332">
              <w:t xml:space="preserve">, Latvijas Lielo </w:t>
            </w:r>
            <w:r w:rsidR="007D6332">
              <w:lastRenderedPageBreak/>
              <w:t>pilsētu asociācija</w:t>
            </w:r>
            <w:r w:rsidR="001D48C0">
              <w:t xml:space="preserve">, Datu </w:t>
            </w:r>
            <w:r w:rsidR="00427FCC">
              <w:t>valsts inspekcija</w:t>
            </w:r>
            <w:r w:rsidR="00274F1E">
              <w:t xml:space="preserve">, </w:t>
            </w:r>
            <w:r w:rsidR="00274F1E" w:rsidRPr="00274F1E">
              <w:t>Valsts zemes dienests</w:t>
            </w:r>
          </w:p>
        </w:tc>
      </w:tr>
      <w:tr w:rsidR="007B4C0F" w:rsidRPr="00712B66" w14:paraId="24140D9F" w14:textId="77777777" w:rsidTr="2C8F7652">
        <w:tc>
          <w:tcPr>
            <w:tcW w:w="6345" w:type="dxa"/>
          </w:tcPr>
          <w:p w14:paraId="6FC6A2F5" w14:textId="77777777" w:rsidR="007B4C0F" w:rsidRPr="00712B66" w:rsidRDefault="00CA76AC" w:rsidP="0036160E">
            <w:pPr>
              <w:pStyle w:val="naiskr"/>
              <w:spacing w:before="0" w:after="0"/>
              <w:ind w:firstLine="720"/>
            </w:pPr>
            <w:r>
              <w:t xml:space="preserve"> </w:t>
            </w:r>
          </w:p>
        </w:tc>
        <w:tc>
          <w:tcPr>
            <w:tcW w:w="6237" w:type="dxa"/>
            <w:gridSpan w:val="2"/>
            <w:tcBorders>
              <w:top w:val="single" w:sz="6" w:space="0" w:color="000000" w:themeColor="text1"/>
              <w:bottom w:val="single" w:sz="6" w:space="0" w:color="000000" w:themeColor="text1"/>
            </w:tcBorders>
          </w:tcPr>
          <w:p w14:paraId="326692A2" w14:textId="77777777" w:rsidR="007B4C0F" w:rsidRPr="00712B66" w:rsidRDefault="007B4C0F" w:rsidP="0036160E">
            <w:pPr>
              <w:pStyle w:val="naiskr"/>
              <w:spacing w:before="0" w:after="0"/>
              <w:ind w:firstLine="720"/>
            </w:pPr>
          </w:p>
        </w:tc>
      </w:tr>
      <w:tr w:rsidR="000D0AED" w:rsidRPr="00712B66" w14:paraId="6CD1F507" w14:textId="77777777">
        <w:trPr>
          <w:trHeight w:val="285"/>
        </w:trPr>
        <w:tc>
          <w:tcPr>
            <w:tcW w:w="6345" w:type="dxa"/>
          </w:tcPr>
          <w:p w14:paraId="305B4C27" w14:textId="77777777" w:rsidR="000D0AED" w:rsidRPr="00712B66" w:rsidRDefault="000D0AED" w:rsidP="000D0AED">
            <w:pPr>
              <w:pStyle w:val="naiskr"/>
              <w:spacing w:before="0" w:after="0"/>
            </w:pPr>
          </w:p>
        </w:tc>
        <w:tc>
          <w:tcPr>
            <w:tcW w:w="1203" w:type="dxa"/>
          </w:tcPr>
          <w:p w14:paraId="39854145" w14:textId="77777777" w:rsidR="000D0AED" w:rsidRPr="00712B66" w:rsidRDefault="000D0AED" w:rsidP="0036160E">
            <w:pPr>
              <w:pStyle w:val="naiskr"/>
              <w:spacing w:before="0" w:after="0"/>
              <w:ind w:firstLine="720"/>
            </w:pPr>
          </w:p>
        </w:tc>
        <w:tc>
          <w:tcPr>
            <w:tcW w:w="5034" w:type="dxa"/>
          </w:tcPr>
          <w:p w14:paraId="4825CA62" w14:textId="77777777" w:rsidR="000D0AED" w:rsidRPr="00712B66" w:rsidRDefault="000D0AED" w:rsidP="0036160E">
            <w:pPr>
              <w:pStyle w:val="naiskr"/>
              <w:spacing w:before="0" w:after="0"/>
              <w:ind w:firstLine="12"/>
            </w:pPr>
          </w:p>
        </w:tc>
      </w:tr>
    </w:tbl>
    <w:p w14:paraId="4DB20F2B" w14:textId="77777777" w:rsidR="008A36C9" w:rsidRDefault="008A36C9"/>
    <w:tbl>
      <w:tblPr>
        <w:tblW w:w="12582" w:type="dxa"/>
        <w:tblLook w:val="00A0" w:firstRow="1" w:lastRow="0" w:firstColumn="1" w:lastColumn="0" w:noHBand="0" w:noVBand="0"/>
      </w:tblPr>
      <w:tblGrid>
        <w:gridCol w:w="6362"/>
        <w:gridCol w:w="6220"/>
      </w:tblGrid>
      <w:tr w:rsidR="002020B7" w:rsidRPr="00712B66" w14:paraId="59087FF7" w14:textId="77777777" w:rsidTr="002020B7">
        <w:trPr>
          <w:trHeight w:val="285"/>
        </w:trPr>
        <w:tc>
          <w:tcPr>
            <w:tcW w:w="6362" w:type="dxa"/>
          </w:tcPr>
          <w:p w14:paraId="42FCC7C0" w14:textId="77777777" w:rsidR="002020B7" w:rsidRPr="00712B66" w:rsidRDefault="002020B7"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220" w:type="dxa"/>
          </w:tcPr>
          <w:p w14:paraId="7687F680" w14:textId="77777777" w:rsidR="002020B7" w:rsidRPr="00712B66" w:rsidRDefault="00F44824" w:rsidP="00F44824">
            <w:pPr>
              <w:pStyle w:val="naiskr"/>
              <w:spacing w:after="0"/>
              <w:ind w:firstLine="12"/>
            </w:pPr>
            <w:r>
              <w:t xml:space="preserve">Tieslietu ministrija, Ekonomikas ministrija, Izglītības un zinātnes ministrija, Finanšu ministrija, Aizsardzības ministrija, </w:t>
            </w:r>
            <w:proofErr w:type="spellStart"/>
            <w:r>
              <w:t>Iekšlietu</w:t>
            </w:r>
            <w:proofErr w:type="spellEnd"/>
            <w:r>
              <w:t xml:space="preserve"> ministrija, Satiksmes ministrija, Labklājības ministrija, Veselības ministrija, Valsts kanceleja, </w:t>
            </w:r>
            <w:proofErr w:type="spellStart"/>
            <w:r>
              <w:t>Pārresoru</w:t>
            </w:r>
            <w:proofErr w:type="spellEnd"/>
            <w:r>
              <w:t xml:space="preserve"> koordinācijas centrs, Latvijas Pašvaldību savienība, Latvijas Darba devēju konfederācija, Latvijas Tirdzniecības un rūpniecības kamera, Latvijas Informācijas un komunikācijas tehnoloģijas asociācija, Latvijas atvērto tehnoloģiju asociācija, Biofarmaceitisko zāļu ražotāju asociācija Latvijā, Latvijas Finanšu nozares asociācija, Latvijas Mērnieku biedrība un Latvijas Kartogrāfu un ģeodēzistu asociācija, Latvijas Lielo pilsētu asociācija</w:t>
            </w:r>
            <w:r w:rsidR="00427FCC">
              <w:t>, Datu valsts inspekcija</w:t>
            </w:r>
            <w:r w:rsidR="00274F1E">
              <w:t xml:space="preserve">, </w:t>
            </w:r>
            <w:r w:rsidR="00274F1E" w:rsidRPr="00274F1E">
              <w:t>Valsts zemes dienests</w:t>
            </w:r>
          </w:p>
        </w:tc>
      </w:tr>
      <w:tr w:rsidR="003C27A2" w:rsidRPr="00712B66" w14:paraId="6739C289" w14:textId="77777777" w:rsidTr="00F44824">
        <w:trPr>
          <w:trHeight w:val="65"/>
        </w:trPr>
        <w:tc>
          <w:tcPr>
            <w:tcW w:w="6362" w:type="dxa"/>
          </w:tcPr>
          <w:p w14:paraId="3621FD20" w14:textId="77777777" w:rsidR="003C27A2"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50F878A9" w14:textId="77777777" w:rsidR="003C27A2" w:rsidRPr="00712B66" w:rsidRDefault="003C27A2" w:rsidP="00F44824">
            <w:pPr>
              <w:pStyle w:val="NormalWeb"/>
              <w:spacing w:before="0" w:beforeAutospacing="0" w:after="0" w:afterAutospacing="0"/>
            </w:pPr>
          </w:p>
        </w:tc>
      </w:tr>
      <w:tr w:rsidR="007B4C0F" w:rsidRPr="00712B66" w14:paraId="5AAAD0EB" w14:textId="77777777">
        <w:trPr>
          <w:trHeight w:val="465"/>
        </w:trPr>
        <w:tc>
          <w:tcPr>
            <w:tcW w:w="12582" w:type="dxa"/>
            <w:gridSpan w:val="2"/>
          </w:tcPr>
          <w:p w14:paraId="2DE8E520" w14:textId="77777777" w:rsidR="007B4C0F" w:rsidRPr="00712B66" w:rsidRDefault="007B4C0F" w:rsidP="00F44824">
            <w:pPr>
              <w:pStyle w:val="naisc"/>
              <w:spacing w:before="0" w:after="0"/>
              <w:jc w:val="left"/>
            </w:pPr>
          </w:p>
        </w:tc>
      </w:tr>
      <w:tr w:rsidR="007B4C0F" w:rsidRPr="00712B66" w14:paraId="51568E2C" w14:textId="77777777" w:rsidTr="002020B7">
        <w:tc>
          <w:tcPr>
            <w:tcW w:w="6362" w:type="dxa"/>
          </w:tcPr>
          <w:p w14:paraId="661DAE78"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220" w:type="dxa"/>
          </w:tcPr>
          <w:p w14:paraId="1BBB2F67" w14:textId="77777777" w:rsidR="009145B2" w:rsidRDefault="009145B2" w:rsidP="002273B1">
            <w:pPr>
              <w:pStyle w:val="naiskr"/>
              <w:spacing w:before="0" w:after="0"/>
            </w:pPr>
          </w:p>
          <w:p w14:paraId="771634EB" w14:textId="77777777" w:rsidR="009145B2" w:rsidRDefault="009145B2" w:rsidP="009145B2"/>
          <w:p w14:paraId="29F9058C" w14:textId="77777777" w:rsidR="007B4C0F" w:rsidRPr="009145B2" w:rsidRDefault="009145B2" w:rsidP="0073419A">
            <w:pPr>
              <w:tabs>
                <w:tab w:val="left" w:pos="4200"/>
              </w:tabs>
            </w:pPr>
            <w:r>
              <w:tab/>
            </w:r>
          </w:p>
        </w:tc>
      </w:tr>
      <w:tr w:rsidR="007B4C0F" w:rsidRPr="00712B66" w14:paraId="0940F06F" w14:textId="77777777" w:rsidTr="002020B7">
        <w:tc>
          <w:tcPr>
            <w:tcW w:w="6362" w:type="dxa"/>
          </w:tcPr>
          <w:p w14:paraId="0098FE50" w14:textId="77777777" w:rsidR="007B4C0F" w:rsidRPr="00712B66" w:rsidRDefault="00CA76AC" w:rsidP="0036160E">
            <w:pPr>
              <w:pStyle w:val="naiskr"/>
              <w:spacing w:before="0" w:after="0"/>
              <w:ind w:firstLine="720"/>
            </w:pPr>
            <w:r>
              <w:t xml:space="preserve"> </w:t>
            </w:r>
          </w:p>
        </w:tc>
        <w:tc>
          <w:tcPr>
            <w:tcW w:w="6220" w:type="dxa"/>
            <w:tcBorders>
              <w:top w:val="single" w:sz="6" w:space="0" w:color="000000"/>
              <w:bottom w:val="single" w:sz="6" w:space="0" w:color="000000"/>
            </w:tcBorders>
          </w:tcPr>
          <w:p w14:paraId="0860EBC1" w14:textId="77777777" w:rsidR="007B4C0F" w:rsidRPr="00712B66" w:rsidRDefault="007B4C0F" w:rsidP="0036160E">
            <w:pPr>
              <w:pStyle w:val="naiskr"/>
              <w:spacing w:before="0" w:after="0"/>
              <w:ind w:firstLine="720"/>
            </w:pPr>
          </w:p>
        </w:tc>
      </w:tr>
      <w:tr w:rsidR="00F44824" w:rsidRPr="00712B66" w14:paraId="1337FB40" w14:textId="77777777" w:rsidTr="002020B7">
        <w:trPr>
          <w:gridAfter w:val="1"/>
          <w:wAfter w:w="6220" w:type="dxa"/>
        </w:trPr>
        <w:tc>
          <w:tcPr>
            <w:tcW w:w="6362" w:type="dxa"/>
          </w:tcPr>
          <w:p w14:paraId="1B547C79" w14:textId="77777777" w:rsidR="00F44824" w:rsidRPr="00712B66" w:rsidRDefault="00F44824" w:rsidP="00F44824">
            <w:pPr>
              <w:pStyle w:val="naiskr"/>
              <w:spacing w:before="0" w:after="0"/>
            </w:pPr>
          </w:p>
        </w:tc>
      </w:tr>
    </w:tbl>
    <w:p w14:paraId="65AE7471" w14:textId="77777777" w:rsidR="007B4C0F" w:rsidRPr="00712B66" w:rsidRDefault="007B4C0F" w:rsidP="00F44824">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70B5FF5B" w14:textId="77777777" w:rsidR="007B4C0F" w:rsidRPr="00712B66" w:rsidRDefault="007B4C0F" w:rsidP="00DB7395">
      <w:pPr>
        <w:pStyle w:val="naisf"/>
        <w:spacing w:before="0" w:after="0"/>
        <w:ind w:firstLine="720"/>
      </w:pP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13"/>
        <w:gridCol w:w="2427"/>
        <w:gridCol w:w="5427"/>
        <w:gridCol w:w="2480"/>
        <w:gridCol w:w="3497"/>
        <w:gridCol w:w="7"/>
      </w:tblGrid>
      <w:tr w:rsidR="00134188" w:rsidRPr="009841AB" w14:paraId="2D0DFDDF" w14:textId="77777777" w:rsidTr="00DC72A3">
        <w:trPr>
          <w:gridAfter w:val="1"/>
          <w:wAfter w:w="7" w:type="dxa"/>
        </w:trPr>
        <w:tc>
          <w:tcPr>
            <w:tcW w:w="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124896" w14:textId="77777777" w:rsidR="00134188" w:rsidRPr="009841AB" w:rsidRDefault="00134188" w:rsidP="009623BC">
            <w:pPr>
              <w:pStyle w:val="naisc"/>
              <w:spacing w:before="0" w:after="0"/>
            </w:pPr>
            <w:r w:rsidRPr="009841AB">
              <w:t>Nr. p.</w:t>
            </w:r>
            <w:r w:rsidR="00D64FB0" w:rsidRPr="009841AB">
              <w:t> </w:t>
            </w:r>
            <w:r w:rsidRPr="009841AB">
              <w:t>k.</w:t>
            </w:r>
          </w:p>
        </w:tc>
        <w:tc>
          <w:tcPr>
            <w:tcW w:w="24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5776628" w14:textId="77777777" w:rsidR="00134188" w:rsidRPr="009841AB" w:rsidRDefault="00134188" w:rsidP="009623BC">
            <w:pPr>
              <w:pStyle w:val="naisc"/>
              <w:spacing w:before="0" w:after="0"/>
              <w:ind w:firstLine="12"/>
            </w:pPr>
            <w:r w:rsidRPr="009841AB">
              <w:t>Saskaņošanai nosūtītā projekta redakcija (konkrēta punkta (panta) redakcija)</w:t>
            </w:r>
          </w:p>
        </w:tc>
        <w:tc>
          <w:tcPr>
            <w:tcW w:w="54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096C0D5" w14:textId="77777777" w:rsidR="00134188" w:rsidRPr="009841AB" w:rsidRDefault="00134188" w:rsidP="009623BC">
            <w:pPr>
              <w:pStyle w:val="naisc"/>
              <w:spacing w:before="0" w:after="0"/>
              <w:ind w:right="3"/>
            </w:pPr>
            <w:r w:rsidRPr="009841AB">
              <w:t>Atzinumā norādītais ministrijas (citas institūcijas) iebildums, kā arī saskaņošanā papildus izteiktais iebildums par projekta konkrēto punktu (pantu)</w:t>
            </w:r>
          </w:p>
        </w:tc>
        <w:tc>
          <w:tcPr>
            <w:tcW w:w="2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707CFA" w14:textId="77777777" w:rsidR="00134188" w:rsidRPr="009841AB" w:rsidRDefault="00134188" w:rsidP="009623BC">
            <w:pPr>
              <w:pStyle w:val="naisc"/>
              <w:spacing w:before="0" w:after="0"/>
              <w:ind w:firstLine="21"/>
            </w:pPr>
            <w:r w:rsidRPr="009841AB">
              <w:t>Atbildīgās ministrijas norāde</w:t>
            </w:r>
            <w:r w:rsidR="006C1C48" w:rsidRPr="009841AB">
              <w:t xml:space="preserve"> par to, ka </w:t>
            </w:r>
            <w:r w:rsidRPr="009841AB">
              <w:t>iebildums ir ņemts vērā</w:t>
            </w:r>
            <w:r w:rsidR="006455E7" w:rsidRPr="009841AB">
              <w:t>,</w:t>
            </w:r>
            <w:r w:rsidRPr="009841AB">
              <w:t xml:space="preserve"> vai </w:t>
            </w:r>
            <w:r w:rsidR="006C1C48" w:rsidRPr="009841AB">
              <w:t xml:space="preserve">informācija par saskaņošanā </w:t>
            </w:r>
            <w:r w:rsidR="00022B0F" w:rsidRPr="009841AB">
              <w:t>panākto alternatīvo risinājumu</w:t>
            </w:r>
          </w:p>
        </w:tc>
        <w:tc>
          <w:tcPr>
            <w:tcW w:w="3497" w:type="dxa"/>
            <w:tcBorders>
              <w:top w:val="single" w:sz="4" w:space="0" w:color="auto"/>
              <w:left w:val="single" w:sz="4" w:space="0" w:color="auto"/>
              <w:bottom w:val="single" w:sz="4" w:space="0" w:color="auto"/>
            </w:tcBorders>
            <w:shd w:val="clear" w:color="auto" w:fill="auto"/>
            <w:vAlign w:val="center"/>
          </w:tcPr>
          <w:p w14:paraId="7077553D" w14:textId="77777777" w:rsidR="00134188" w:rsidRPr="009841AB" w:rsidRDefault="00134188" w:rsidP="009623BC">
            <w:pPr>
              <w:jc w:val="center"/>
            </w:pPr>
            <w:r w:rsidRPr="009841AB">
              <w:t>Projekta attiecīgā punkta (panta) galīgā redakcija</w:t>
            </w:r>
          </w:p>
        </w:tc>
      </w:tr>
      <w:tr w:rsidR="00134188" w:rsidRPr="009841AB" w14:paraId="102951CB" w14:textId="77777777" w:rsidTr="00DC72A3">
        <w:trPr>
          <w:gridAfter w:val="1"/>
          <w:wAfter w:w="7" w:type="dxa"/>
        </w:trPr>
        <w:tc>
          <w:tcPr>
            <w:tcW w:w="61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D11F78" w14:textId="77777777" w:rsidR="00134188" w:rsidRPr="009841AB" w:rsidRDefault="003B71E0" w:rsidP="003B71E0">
            <w:pPr>
              <w:pStyle w:val="naisc"/>
              <w:spacing w:before="0" w:after="0"/>
            </w:pPr>
            <w:r w:rsidRPr="009841AB">
              <w:lastRenderedPageBreak/>
              <w:t>1</w:t>
            </w:r>
          </w:p>
        </w:tc>
        <w:tc>
          <w:tcPr>
            <w:tcW w:w="24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B0EEB2" w14:textId="77777777" w:rsidR="00134188" w:rsidRPr="009841AB" w:rsidRDefault="00F34AAB" w:rsidP="003B71E0">
            <w:pPr>
              <w:pStyle w:val="naisc"/>
              <w:spacing w:before="0" w:after="0"/>
              <w:ind w:firstLine="720"/>
            </w:pPr>
            <w:r w:rsidRPr="009841AB">
              <w:t>2</w:t>
            </w:r>
          </w:p>
        </w:tc>
        <w:tc>
          <w:tcPr>
            <w:tcW w:w="54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C21409" w14:textId="77777777" w:rsidR="00134188" w:rsidRPr="009841AB" w:rsidRDefault="003B71E0" w:rsidP="003B71E0">
            <w:pPr>
              <w:pStyle w:val="naisc"/>
              <w:spacing w:before="0" w:after="0"/>
              <w:ind w:firstLine="720"/>
            </w:pPr>
            <w:r w:rsidRPr="009841AB">
              <w:t>3</w:t>
            </w:r>
          </w:p>
        </w:tc>
        <w:tc>
          <w:tcPr>
            <w:tcW w:w="2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8749EE" w14:textId="77777777" w:rsidR="00134188" w:rsidRPr="009841AB" w:rsidRDefault="003B71E0" w:rsidP="003B71E0">
            <w:pPr>
              <w:pStyle w:val="naisc"/>
              <w:spacing w:before="0" w:after="0"/>
              <w:ind w:firstLine="720"/>
            </w:pPr>
            <w:r w:rsidRPr="009841AB">
              <w:t>4</w:t>
            </w:r>
          </w:p>
        </w:tc>
        <w:tc>
          <w:tcPr>
            <w:tcW w:w="3497" w:type="dxa"/>
            <w:tcBorders>
              <w:top w:val="single" w:sz="4" w:space="0" w:color="auto"/>
              <w:left w:val="single" w:sz="4" w:space="0" w:color="auto"/>
              <w:bottom w:val="single" w:sz="4" w:space="0" w:color="auto"/>
            </w:tcBorders>
            <w:shd w:val="clear" w:color="auto" w:fill="auto"/>
          </w:tcPr>
          <w:p w14:paraId="602BECD3" w14:textId="77777777" w:rsidR="00134188" w:rsidRPr="009841AB" w:rsidRDefault="003B71E0" w:rsidP="003B71E0">
            <w:pPr>
              <w:jc w:val="center"/>
            </w:pPr>
            <w:r w:rsidRPr="009841AB">
              <w:t>5</w:t>
            </w:r>
          </w:p>
        </w:tc>
      </w:tr>
      <w:tr w:rsidR="00E11046" w:rsidRPr="009841AB" w14:paraId="0D663159"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C3384E2" w14:textId="77777777" w:rsidR="00B8433C" w:rsidRPr="009841AB" w:rsidRDefault="00B8433C" w:rsidP="00B8433C">
            <w:pPr>
              <w:jc w:val="center"/>
              <w:rPr>
                <w:b/>
              </w:rPr>
            </w:pPr>
            <w:r w:rsidRPr="009841AB">
              <w:rPr>
                <w:b/>
              </w:rPr>
              <w:t>Digitālās transformācijas pamatnostādņu</w:t>
            </w:r>
          </w:p>
          <w:p w14:paraId="7F7D850D" w14:textId="77777777" w:rsidR="00E11046" w:rsidRPr="009841AB" w:rsidRDefault="00B8433C" w:rsidP="00B8433C">
            <w:pPr>
              <w:jc w:val="center"/>
              <w:rPr>
                <w:b/>
              </w:rPr>
            </w:pPr>
            <w:r w:rsidRPr="009841AB">
              <w:rPr>
                <w:b/>
              </w:rPr>
              <w:t>2021.-2027. gadam projekts kopumā</w:t>
            </w:r>
          </w:p>
        </w:tc>
      </w:tr>
      <w:tr w:rsidR="004B0062" w:rsidRPr="009841AB" w14:paraId="55E525F1"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47FCCEB" w14:textId="77777777" w:rsidR="004B0062" w:rsidRPr="009841AB" w:rsidRDefault="004B0062" w:rsidP="00566B19">
            <w:pPr>
              <w:tabs>
                <w:tab w:val="left" w:pos="720"/>
              </w:tabs>
              <w:contextualSpacing/>
              <w:rPr>
                <w:b/>
                <w:bCs/>
                <w:lang w:eastAsia="en-US"/>
              </w:rPr>
            </w:pPr>
            <w:r w:rsidRPr="009841AB">
              <w:rPr>
                <w:b/>
                <w:bCs/>
                <w:lang w:eastAsia="en-US"/>
              </w:rPr>
              <w:t>Aizsardzības ministrijas 01.02.2021. atzinums:</w:t>
            </w:r>
          </w:p>
        </w:tc>
      </w:tr>
      <w:tr w:rsidR="00BA1151" w:rsidRPr="009841AB" w14:paraId="720C577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2ED6ED5" w14:textId="77777777" w:rsidR="00BA1151" w:rsidRPr="009841AB" w:rsidRDefault="00190C08" w:rsidP="00EF1F3A">
            <w:pPr>
              <w:pStyle w:val="naisc"/>
              <w:spacing w:before="0" w:after="0"/>
            </w:pPr>
            <w:r w:rsidRPr="009841AB">
              <w:t>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9C1CAE0" w14:textId="77777777" w:rsidR="00BA1151" w:rsidRPr="009841AB" w:rsidRDefault="00BA1151"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A90E9FD" w14:textId="77777777" w:rsidR="00522352" w:rsidRPr="009841AB" w:rsidRDefault="00566B19" w:rsidP="00522352">
            <w:pPr>
              <w:tabs>
                <w:tab w:val="left" w:pos="720"/>
              </w:tabs>
              <w:contextualSpacing/>
              <w:jc w:val="both"/>
              <w:rPr>
                <w:lang w:eastAsia="en-US"/>
              </w:rPr>
            </w:pPr>
            <w:r w:rsidRPr="009841AB">
              <w:rPr>
                <w:lang w:eastAsia="en-US"/>
              </w:rPr>
              <w:t xml:space="preserve">1. </w:t>
            </w:r>
            <w:r w:rsidR="00522352" w:rsidRPr="009841AB">
              <w:rPr>
                <w:lang w:eastAsia="en-US"/>
              </w:rPr>
              <w:t>Projektā nepieciešams iekļaut skaidrojumu par Projekta sasaisti un ietekmi uz citiem politikas plānošanas dokumentiem un normatīvajiem aktiem.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46D5711" w14:textId="77777777" w:rsidR="009841AB" w:rsidRPr="009841AB" w:rsidRDefault="009841AB" w:rsidP="009841AB">
            <w:pPr>
              <w:pStyle w:val="naisc"/>
              <w:spacing w:before="0" w:after="0"/>
              <w:jc w:val="both"/>
              <w:rPr>
                <w:b/>
                <w:bCs/>
              </w:rPr>
            </w:pPr>
            <w:r w:rsidRPr="009841AB">
              <w:rPr>
                <w:b/>
                <w:bCs/>
              </w:rPr>
              <w:t>Ņemts vērā</w:t>
            </w:r>
          </w:p>
          <w:p w14:paraId="31B1FDF2" w14:textId="77777777" w:rsidR="009549C2" w:rsidRPr="009841AB" w:rsidRDefault="009549C2" w:rsidP="00631A0A">
            <w:pPr>
              <w:pStyle w:val="naisc"/>
              <w:spacing w:before="0" w:after="0"/>
              <w:jc w:val="both"/>
            </w:pPr>
          </w:p>
        </w:tc>
        <w:tc>
          <w:tcPr>
            <w:tcW w:w="3497" w:type="dxa"/>
            <w:tcBorders>
              <w:top w:val="single" w:sz="4" w:space="0" w:color="auto"/>
              <w:left w:val="single" w:sz="4" w:space="0" w:color="auto"/>
              <w:bottom w:val="single" w:sz="4" w:space="0" w:color="auto"/>
            </w:tcBorders>
            <w:shd w:val="clear" w:color="auto" w:fill="auto"/>
          </w:tcPr>
          <w:p w14:paraId="1467ED6E" w14:textId="77777777" w:rsidR="00BA1151" w:rsidRPr="009841AB" w:rsidRDefault="009841AB" w:rsidP="00EF1F3A">
            <w:r w:rsidRPr="009841AB">
              <w:t xml:space="preserve">Lūdzam skatīt sadaļu </w:t>
            </w:r>
            <w:r w:rsidR="5369C876" w:rsidRPr="009841AB">
              <w:t xml:space="preserve"> "Ievads"</w:t>
            </w:r>
          </w:p>
        </w:tc>
      </w:tr>
      <w:tr w:rsidR="004B0062" w:rsidRPr="009841AB" w14:paraId="5F01B71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E85885D" w14:textId="77777777" w:rsidR="004B0062" w:rsidRPr="009841AB" w:rsidRDefault="00190C08" w:rsidP="00EF1F3A">
            <w:pPr>
              <w:pStyle w:val="naisc"/>
              <w:spacing w:before="0" w:after="0"/>
            </w:pPr>
            <w:r w:rsidRPr="009841AB">
              <w:t>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3CD40E9" w14:textId="77777777" w:rsidR="004B0062" w:rsidRPr="009841AB" w:rsidRDefault="004B0062"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43FFE6A" w14:textId="77777777" w:rsidR="004B0062" w:rsidRPr="009841AB" w:rsidRDefault="00566B19" w:rsidP="009B6AB1">
            <w:pPr>
              <w:tabs>
                <w:tab w:val="left" w:pos="720"/>
              </w:tabs>
              <w:contextualSpacing/>
              <w:jc w:val="both"/>
              <w:rPr>
                <w:lang w:eastAsia="en-US"/>
              </w:rPr>
            </w:pPr>
            <w:r w:rsidRPr="009841AB">
              <w:rPr>
                <w:lang w:eastAsia="en-US"/>
              </w:rPr>
              <w:t xml:space="preserve">2. </w:t>
            </w:r>
            <w:r w:rsidR="004B0062" w:rsidRPr="009841AB">
              <w:rPr>
                <w:lang w:eastAsia="en-US"/>
              </w:rPr>
              <w:t>Ņemot vērā, ka Projektā ir iekļauta nodaļa, kas ir veltīta ģeotelpiskās informācijas jautājumiem, AM vērš uzmanību, ka ģeotelpisko datu sagatavošanā Latvijā ir iesaistītas daudzas institūcijas un ģeotelpiskās informācijas jautājumu koordinēšanai starp tām ir izveidota Ģeotelpiskās informācijas koordinācijas padome. Līdz ar to AM uzskata, ka pirms Projekta tālākas virzības sadaļu par ģeotelpisko informāciju ir nepieciešams apspriest Ģeotelpiskās informācijas koordinācijas padomē.</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6100532" w14:textId="77777777" w:rsidR="001A098C" w:rsidRPr="00F56B1C" w:rsidRDefault="001A098C" w:rsidP="00631A0A">
            <w:pPr>
              <w:pStyle w:val="naisc"/>
              <w:spacing w:before="0" w:after="0"/>
              <w:jc w:val="both"/>
              <w:rPr>
                <w:b/>
                <w:bCs/>
              </w:rPr>
            </w:pPr>
            <w:r w:rsidRPr="009841AB">
              <w:rPr>
                <w:b/>
                <w:bCs/>
              </w:rPr>
              <w:t>Ņemts vērā</w:t>
            </w:r>
          </w:p>
          <w:p w14:paraId="7FA41D16" w14:textId="77777777" w:rsidR="004B0062" w:rsidRPr="009841AB" w:rsidRDefault="001A098C" w:rsidP="00631A0A">
            <w:pPr>
              <w:pStyle w:val="naisc"/>
              <w:spacing w:before="0" w:after="0"/>
              <w:jc w:val="both"/>
            </w:pPr>
            <w:r w:rsidRPr="009841AB">
              <w:t xml:space="preserve">Pamatnostādņu projekts tika izstrādāts atvērtā un koleģiālā procesā ne tikai </w:t>
            </w:r>
            <w:proofErr w:type="spellStart"/>
            <w:r w:rsidRPr="009841AB">
              <w:t>sadarībā</w:t>
            </w:r>
            <w:proofErr w:type="spellEnd"/>
            <w:r w:rsidRPr="009841AB">
              <w:t xml:space="preserve"> ar iestādēm, bet iesaistot arī plašu sabiedriskā sektora dalībnieku loku. Par darba grupu darbu bija informēti arī Ģeotelpiskās informācijas koordinācijas padomē pārstāvētās organizācijas (vismaz daļēji), līdz ar to tika nodrošināta iespēja organizācijām iesaistīties jau projekta gatavošanas procesā, kā arī jautājumu aktualizēt Ģeotelpiskās informācijas koordinācijas padomes ietvaros. Vienlaikus VARAM ir ņēmis vērā atzinumā sniegtos </w:t>
            </w:r>
            <w:r w:rsidRPr="009841AB">
              <w:lastRenderedPageBreak/>
              <w:t>iebildumus un priekšlikumus, kā arī 16.04 ir notikusi pamatnostādņu un ģeotelpiskās informācijas sadaļas pārrunāšana padomes sēdē. </w:t>
            </w:r>
          </w:p>
        </w:tc>
        <w:tc>
          <w:tcPr>
            <w:tcW w:w="3497" w:type="dxa"/>
            <w:tcBorders>
              <w:top w:val="single" w:sz="4" w:space="0" w:color="auto"/>
              <w:left w:val="single" w:sz="4" w:space="0" w:color="auto"/>
              <w:bottom w:val="single" w:sz="4" w:space="0" w:color="auto"/>
            </w:tcBorders>
            <w:shd w:val="clear" w:color="auto" w:fill="auto"/>
          </w:tcPr>
          <w:p w14:paraId="55FCD199" w14:textId="77777777" w:rsidR="004B0062" w:rsidRPr="009841AB" w:rsidRDefault="004B0062" w:rsidP="00EF1F3A"/>
        </w:tc>
      </w:tr>
      <w:tr w:rsidR="004B0062" w:rsidRPr="009841AB" w14:paraId="709C6C5A"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FDAE040" w14:textId="77777777" w:rsidR="004B0062" w:rsidRPr="009841AB" w:rsidRDefault="00190C08" w:rsidP="00EF1F3A">
            <w:pPr>
              <w:pStyle w:val="naisc"/>
              <w:spacing w:before="0" w:after="0"/>
            </w:pPr>
            <w:r w:rsidRPr="009841AB">
              <w:t>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AD9D5BB" w14:textId="77777777" w:rsidR="004B0062" w:rsidRPr="009841AB" w:rsidRDefault="004B0062"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1E96902" w14:textId="77777777" w:rsidR="004B0062" w:rsidRPr="009841AB" w:rsidRDefault="00566B19" w:rsidP="004B0062">
            <w:pPr>
              <w:tabs>
                <w:tab w:val="left" w:pos="720"/>
              </w:tabs>
              <w:contextualSpacing/>
              <w:jc w:val="both"/>
              <w:rPr>
                <w:lang w:eastAsia="en-US"/>
              </w:rPr>
            </w:pPr>
            <w:r w:rsidRPr="009841AB">
              <w:rPr>
                <w:lang w:eastAsia="en-US"/>
              </w:rPr>
              <w:t xml:space="preserve">3. </w:t>
            </w:r>
            <w:r w:rsidR="004B0062" w:rsidRPr="009841AB">
              <w:rPr>
                <w:lang w:eastAsia="en-US"/>
              </w:rPr>
              <w:t>Precizēt saīsinājumu P&amp;A (pētniecība un attīstība) un R&amp;D (izpēte un attīstība) lietojumu visā Projektā.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26E5828" w14:textId="77777777" w:rsidR="004B0062" w:rsidRPr="009841AB" w:rsidRDefault="00F93CCD" w:rsidP="00631A0A">
            <w:pPr>
              <w:pStyle w:val="naisc"/>
              <w:spacing w:before="0" w:after="0"/>
              <w:jc w:val="both"/>
              <w:rPr>
                <w:b/>
                <w:bCs/>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4E38B59F" w14:textId="77777777" w:rsidR="004B0062" w:rsidRPr="009841AB" w:rsidRDefault="004B0062" w:rsidP="00EF1F3A"/>
        </w:tc>
      </w:tr>
      <w:tr w:rsidR="004B0062" w:rsidRPr="009841AB" w14:paraId="068A70A8"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BF59F7F" w14:textId="77777777" w:rsidR="004B0062" w:rsidRPr="009841AB" w:rsidRDefault="00190C08" w:rsidP="00EF1F3A">
            <w:pPr>
              <w:pStyle w:val="naisc"/>
              <w:spacing w:before="0" w:after="0"/>
            </w:pPr>
            <w:r w:rsidRPr="009841AB">
              <w:t>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8F4AD11" w14:textId="77777777" w:rsidR="004B0062" w:rsidRPr="009841AB" w:rsidRDefault="004B0062"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DA04E87" w14:textId="77777777" w:rsidR="004B0062" w:rsidRPr="009841AB" w:rsidRDefault="00566B19" w:rsidP="004B0062">
            <w:pPr>
              <w:tabs>
                <w:tab w:val="left" w:pos="720"/>
              </w:tabs>
              <w:contextualSpacing/>
              <w:jc w:val="both"/>
              <w:rPr>
                <w:lang w:eastAsia="en-US"/>
              </w:rPr>
            </w:pPr>
            <w:r w:rsidRPr="009841AB">
              <w:rPr>
                <w:lang w:eastAsia="en-US"/>
              </w:rPr>
              <w:t xml:space="preserve">4. </w:t>
            </w:r>
            <w:r w:rsidR="004B0062" w:rsidRPr="009841AB">
              <w:rPr>
                <w:lang w:eastAsia="en-US"/>
              </w:rPr>
              <w:t xml:space="preserve">Aizstāt vārdus “mākslīgā inteliģence” ar vārdiem “mākslīgais intelekts” attiecīgajā locījumā visā Projektā. Lūdzu skatīt </w:t>
            </w:r>
            <w:hyperlink r:id="rId11" w:history="1">
              <w:r w:rsidR="004B0062" w:rsidRPr="009841AB">
                <w:rPr>
                  <w:rStyle w:val="Hyperlink"/>
                  <w:lang w:eastAsia="en-US"/>
                </w:rPr>
                <w:t>https://termini.gov.lv/kolekcijas/97/skirklis/452378</w:t>
              </w:r>
            </w:hyperlink>
            <w:r w:rsidR="004B0062" w:rsidRPr="009841AB">
              <w:rPr>
                <w:lang w:eastAsia="en-US"/>
              </w:rPr>
              <w: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9F1535B" w14:textId="77777777" w:rsidR="004B0062" w:rsidRPr="009841AB" w:rsidRDefault="00EB3BE1" w:rsidP="00631A0A">
            <w:pPr>
              <w:pStyle w:val="naisc"/>
              <w:spacing w:before="0" w:after="0"/>
              <w:jc w:val="both"/>
              <w:rPr>
                <w:b/>
                <w:bCs/>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4A179A62" w14:textId="77777777" w:rsidR="004B0062" w:rsidRPr="009841AB" w:rsidRDefault="004B0062" w:rsidP="00EF1F3A"/>
        </w:tc>
      </w:tr>
      <w:tr w:rsidR="00607441" w:rsidRPr="009841AB" w14:paraId="7C655556"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8108259" w14:textId="77777777" w:rsidR="00607441" w:rsidRPr="00682267" w:rsidRDefault="00607441" w:rsidP="00EF1F3A">
            <w:pPr>
              <w:rPr>
                <w:b/>
                <w:lang w:eastAsia="en-US"/>
              </w:rPr>
            </w:pPr>
            <w:r w:rsidRPr="009841AB">
              <w:rPr>
                <w:b/>
                <w:bCs/>
                <w:lang w:eastAsia="en-US"/>
              </w:rPr>
              <w:t xml:space="preserve">Aizsardzības ministrijas </w:t>
            </w:r>
            <w:r>
              <w:rPr>
                <w:b/>
                <w:bCs/>
                <w:lang w:eastAsia="en-US"/>
              </w:rPr>
              <w:t>30</w:t>
            </w:r>
            <w:r w:rsidRPr="009841AB">
              <w:rPr>
                <w:b/>
                <w:bCs/>
                <w:lang w:eastAsia="en-US"/>
              </w:rPr>
              <w:t>.0</w:t>
            </w:r>
            <w:r>
              <w:rPr>
                <w:b/>
                <w:bCs/>
                <w:lang w:eastAsia="en-US"/>
              </w:rPr>
              <w:t>4</w:t>
            </w:r>
            <w:r w:rsidRPr="009841AB">
              <w:rPr>
                <w:b/>
                <w:bCs/>
                <w:lang w:eastAsia="en-US"/>
              </w:rPr>
              <w:t>.2021. atzinums:</w:t>
            </w:r>
          </w:p>
        </w:tc>
      </w:tr>
      <w:tr w:rsidR="00607441" w:rsidRPr="009841AB" w14:paraId="48545B7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687CF9C" w14:textId="77777777" w:rsidR="00607441" w:rsidRPr="009841AB" w:rsidRDefault="00FD43B2" w:rsidP="00EF1F3A">
            <w:pPr>
              <w:pStyle w:val="naisc"/>
              <w:spacing w:before="0" w:after="0"/>
            </w:pPr>
            <w:r>
              <w:t>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33467D1" w14:textId="77777777" w:rsidR="00607441" w:rsidRPr="009841AB" w:rsidRDefault="00607441"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C7F9616" w14:textId="77777777" w:rsidR="00607441" w:rsidRPr="009841AB" w:rsidRDefault="00607441" w:rsidP="004B0062">
            <w:pPr>
              <w:tabs>
                <w:tab w:val="left" w:pos="720"/>
              </w:tabs>
              <w:contextualSpacing/>
              <w:jc w:val="both"/>
              <w:rPr>
                <w:lang w:eastAsia="en-US"/>
              </w:rPr>
            </w:pPr>
            <w:r>
              <w:rPr>
                <w:lang w:eastAsia="en-US"/>
              </w:rPr>
              <w:t xml:space="preserve">1. </w:t>
            </w:r>
            <w:r w:rsidRPr="00607441">
              <w:rPr>
                <w:lang w:eastAsia="en-US"/>
              </w:rPr>
              <w:t>Projekta ievadā “Sasaiste ar citiem attīstības plānošanas dokumentiem” nepieciešams iekļaut atsauci uz Latvijas ģeotelpiskās informācijas attīstības koncepciju.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5ADD00A" w14:textId="77777777" w:rsidR="00607441" w:rsidRPr="009841AB" w:rsidRDefault="01B35307" w:rsidP="00631A0A">
            <w:pPr>
              <w:pStyle w:val="naisc"/>
              <w:spacing w:before="0" w:after="0"/>
              <w:jc w:val="both"/>
              <w:rPr>
                <w:b/>
                <w:bCs/>
              </w:rPr>
            </w:pPr>
            <w:r w:rsidRPr="00682267">
              <w:rPr>
                <w:b/>
              </w:rPr>
              <w:t>Ņemts vērā</w:t>
            </w:r>
          </w:p>
        </w:tc>
        <w:tc>
          <w:tcPr>
            <w:tcW w:w="3497" w:type="dxa"/>
            <w:tcBorders>
              <w:top w:val="single" w:sz="4" w:space="0" w:color="auto"/>
              <w:left w:val="single" w:sz="4" w:space="0" w:color="auto"/>
              <w:bottom w:val="single" w:sz="4" w:space="0" w:color="auto"/>
            </w:tcBorders>
            <w:shd w:val="clear" w:color="auto" w:fill="auto"/>
          </w:tcPr>
          <w:p w14:paraId="3812E7D3" w14:textId="77777777" w:rsidR="00607441" w:rsidRPr="00682267" w:rsidRDefault="01B35307" w:rsidP="00EF1F3A">
            <w:pPr>
              <w:rPr>
                <w:lang w:eastAsia="en-US"/>
              </w:rPr>
            </w:pPr>
            <w:r w:rsidRPr="00682267">
              <w:t>Skat</w:t>
            </w:r>
            <w:r w:rsidR="00B55433">
              <w:t>.</w:t>
            </w:r>
            <w:r w:rsidR="6FE262BD" w:rsidRPr="00682267">
              <w:t xml:space="preserve"> precizēto “Sasaiste ar citiem attīstības plānošanas dokumentiem”</w:t>
            </w:r>
          </w:p>
        </w:tc>
      </w:tr>
      <w:tr w:rsidR="00607441" w:rsidRPr="009841AB" w14:paraId="73B0CF0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7461848" w14:textId="77777777" w:rsidR="00607441" w:rsidRPr="009841AB" w:rsidRDefault="00FD43B2" w:rsidP="00EF1F3A">
            <w:pPr>
              <w:pStyle w:val="naisc"/>
              <w:spacing w:before="0" w:after="0"/>
            </w:pPr>
            <w:r>
              <w:t>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71E6E82" w14:textId="77777777" w:rsidR="00607441" w:rsidRPr="009841AB" w:rsidRDefault="00607441"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582175E" w14:textId="77777777" w:rsidR="00607441" w:rsidRPr="009841AB" w:rsidRDefault="00607441" w:rsidP="004B0062">
            <w:pPr>
              <w:tabs>
                <w:tab w:val="left" w:pos="720"/>
              </w:tabs>
              <w:contextualSpacing/>
              <w:jc w:val="both"/>
              <w:rPr>
                <w:lang w:eastAsia="en-US"/>
              </w:rPr>
            </w:pPr>
            <w:r>
              <w:rPr>
                <w:lang w:eastAsia="en-US"/>
              </w:rPr>
              <w:t xml:space="preserve">2. </w:t>
            </w:r>
            <w:r w:rsidRPr="00682267">
              <w:rPr>
                <w:lang w:eastAsia="en-US"/>
              </w:rPr>
              <w:t>Projekta</w:t>
            </w:r>
            <w:r w:rsidRPr="00607441">
              <w:rPr>
                <w:lang w:eastAsia="en-US"/>
              </w:rPr>
              <w:t xml:space="preserve"> ievadā “Sasaiste ar ES attīstības plānošanas dokumentiem” svītrot atsauces uz Ekonomiskās sadarbības un attīstības organizācijas (turpmāk – OECD) dokumentiem, jo OECD nav Eiropas Savienības organizācija.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AC73615" w14:textId="77777777" w:rsidR="00607441" w:rsidRPr="009841AB" w:rsidRDefault="521F4795" w:rsidP="00631A0A">
            <w:pPr>
              <w:pStyle w:val="naisc"/>
              <w:spacing w:before="0" w:after="0"/>
              <w:jc w:val="both"/>
              <w:rPr>
                <w:b/>
                <w:bCs/>
              </w:rPr>
            </w:pPr>
            <w:r w:rsidRPr="00682267">
              <w:rPr>
                <w:b/>
              </w:rPr>
              <w:t>Ņemts vērā</w:t>
            </w:r>
          </w:p>
        </w:tc>
        <w:tc>
          <w:tcPr>
            <w:tcW w:w="3497" w:type="dxa"/>
            <w:tcBorders>
              <w:top w:val="single" w:sz="4" w:space="0" w:color="auto"/>
              <w:left w:val="single" w:sz="4" w:space="0" w:color="auto"/>
              <w:bottom w:val="single" w:sz="4" w:space="0" w:color="auto"/>
            </w:tcBorders>
            <w:shd w:val="clear" w:color="auto" w:fill="auto"/>
          </w:tcPr>
          <w:p w14:paraId="2772A1AA" w14:textId="77777777" w:rsidR="00607441" w:rsidRPr="009841AB" w:rsidRDefault="77BCF7C8" w:rsidP="7DD81ED2">
            <w:pPr>
              <w:spacing w:before="120" w:after="120" w:line="259" w:lineRule="auto"/>
              <w:jc w:val="both"/>
            </w:pPr>
            <w:r w:rsidRPr="00682267">
              <w:t>Skat</w:t>
            </w:r>
            <w:r w:rsidR="00B55433">
              <w:t>.</w:t>
            </w:r>
            <w:r w:rsidRPr="00682267">
              <w:t xml:space="preserve"> precizēto “Sasaiste ar citiem attīstības plānošanas dokumentiem”</w:t>
            </w:r>
            <w:r w:rsidR="722E8B1D" w:rsidRPr="00682267">
              <w:t xml:space="preserve">, OECD dokumentu </w:t>
            </w:r>
            <w:proofErr w:type="spellStart"/>
            <w:r w:rsidR="722E8B1D" w:rsidRPr="00682267">
              <w:t>ievieotizem</w:t>
            </w:r>
            <w:proofErr w:type="spellEnd"/>
            <w:r w:rsidR="722E8B1D" w:rsidRPr="00682267">
              <w:t xml:space="preserve"> punkta "</w:t>
            </w:r>
            <w:r w:rsidR="722E8B1D" w:rsidRPr="00682267">
              <w:rPr>
                <w:b/>
                <w:lang w:val="en-US"/>
              </w:rPr>
              <w:t xml:space="preserve"> </w:t>
            </w:r>
            <w:proofErr w:type="spellStart"/>
            <w:r w:rsidR="722E8B1D" w:rsidRPr="00682267">
              <w:rPr>
                <w:b/>
                <w:lang w:val="en-US"/>
              </w:rPr>
              <w:t>Sasaiste</w:t>
            </w:r>
            <w:proofErr w:type="spellEnd"/>
            <w:r w:rsidR="722E8B1D" w:rsidRPr="00682267">
              <w:rPr>
                <w:b/>
                <w:lang w:val="en-US"/>
              </w:rPr>
              <w:t xml:space="preserve"> </w:t>
            </w:r>
            <w:proofErr w:type="spellStart"/>
            <w:r w:rsidR="722E8B1D" w:rsidRPr="00682267">
              <w:rPr>
                <w:b/>
                <w:lang w:val="en-US"/>
              </w:rPr>
              <w:t>ar</w:t>
            </w:r>
            <w:proofErr w:type="spellEnd"/>
            <w:r w:rsidR="722E8B1D" w:rsidRPr="00682267">
              <w:rPr>
                <w:b/>
                <w:color w:val="881798"/>
                <w:lang w:val="en-US"/>
              </w:rPr>
              <w:t xml:space="preserve"> </w:t>
            </w:r>
            <w:proofErr w:type="spellStart"/>
            <w:r w:rsidR="722E8B1D" w:rsidRPr="00682267">
              <w:rPr>
                <w:b/>
                <w:lang w:val="en-US"/>
              </w:rPr>
              <w:t>citiem</w:t>
            </w:r>
            <w:proofErr w:type="spellEnd"/>
            <w:r w:rsidR="722E8B1D" w:rsidRPr="00682267">
              <w:rPr>
                <w:b/>
                <w:lang w:val="en-US"/>
              </w:rPr>
              <w:t xml:space="preserve"> </w:t>
            </w:r>
            <w:proofErr w:type="spellStart"/>
            <w:r w:rsidR="722E8B1D" w:rsidRPr="00682267">
              <w:rPr>
                <w:b/>
                <w:lang w:val="en-US"/>
              </w:rPr>
              <w:t>starpautiskajiem</w:t>
            </w:r>
            <w:proofErr w:type="spellEnd"/>
            <w:r w:rsidR="722E8B1D" w:rsidRPr="00682267">
              <w:rPr>
                <w:b/>
                <w:lang w:val="en-US"/>
              </w:rPr>
              <w:t xml:space="preserve"> </w:t>
            </w:r>
            <w:proofErr w:type="spellStart"/>
            <w:r w:rsidR="722E8B1D" w:rsidRPr="00682267">
              <w:rPr>
                <w:b/>
                <w:lang w:val="en-US"/>
              </w:rPr>
              <w:t>dokumentiem</w:t>
            </w:r>
            <w:proofErr w:type="spellEnd"/>
            <w:r w:rsidR="722E8B1D" w:rsidRPr="00682267">
              <w:t xml:space="preserve">"  </w:t>
            </w:r>
          </w:p>
        </w:tc>
      </w:tr>
      <w:tr w:rsidR="00607441" w:rsidRPr="009841AB" w14:paraId="556D947A"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102F1F8" w14:textId="77777777" w:rsidR="00607441" w:rsidRPr="009841AB" w:rsidRDefault="00FD43B2" w:rsidP="00EF1F3A">
            <w:pPr>
              <w:pStyle w:val="naisc"/>
              <w:spacing w:before="0" w:after="0"/>
            </w:pPr>
            <w:r>
              <w:t>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9099A60" w14:textId="77777777" w:rsidR="00607441" w:rsidRPr="009841AB" w:rsidRDefault="00607441"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0742234" w14:textId="77777777" w:rsidR="00607441" w:rsidRPr="009841AB" w:rsidRDefault="00607441" w:rsidP="004B0062">
            <w:pPr>
              <w:tabs>
                <w:tab w:val="left" w:pos="720"/>
              </w:tabs>
              <w:contextualSpacing/>
              <w:jc w:val="both"/>
              <w:rPr>
                <w:lang w:eastAsia="en-US"/>
              </w:rPr>
            </w:pPr>
            <w:r>
              <w:rPr>
                <w:lang w:eastAsia="en-US"/>
              </w:rPr>
              <w:t xml:space="preserve">3. </w:t>
            </w:r>
            <w:r w:rsidRPr="00682267">
              <w:rPr>
                <w:lang w:eastAsia="en-US"/>
              </w:rPr>
              <w:t>Projekta</w:t>
            </w:r>
            <w:r w:rsidRPr="00607441">
              <w:rPr>
                <w:lang w:eastAsia="en-US"/>
              </w:rPr>
              <w:t xml:space="preserve"> ievadā “Sasaiste ar ES attīstības plānošanas dokumentiem” nepieciešams iekļaut atsauces uz </w:t>
            </w:r>
            <w:proofErr w:type="spellStart"/>
            <w:r w:rsidRPr="00607441">
              <w:rPr>
                <w:lang w:eastAsia="en-US"/>
              </w:rPr>
              <w:t>Copernicus</w:t>
            </w:r>
            <w:proofErr w:type="spellEnd"/>
            <w:r w:rsidRPr="00607441">
              <w:rPr>
                <w:lang w:eastAsia="en-US"/>
              </w:rPr>
              <w:t xml:space="preserve"> ES Vides novērošanas programmu un Eiropas Parlamenta un Padomes Direktīva 2007/2/EK (2007. gada 14. marts), ar ko izveido Telpiskās informācijas infrastruktūru Eiropas Kopienā (turpmāk – INSPIRE direktīva).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250E9C0" w14:textId="77777777" w:rsidR="00607441" w:rsidRPr="009841AB" w:rsidRDefault="3C853797" w:rsidP="00631A0A">
            <w:pPr>
              <w:pStyle w:val="naisc"/>
              <w:spacing w:before="0" w:after="0"/>
              <w:jc w:val="both"/>
              <w:rPr>
                <w:b/>
                <w:bCs/>
              </w:rPr>
            </w:pPr>
            <w:r w:rsidRPr="00682267">
              <w:rPr>
                <w:b/>
              </w:rPr>
              <w:t>Ņemts vērā</w:t>
            </w:r>
          </w:p>
        </w:tc>
        <w:tc>
          <w:tcPr>
            <w:tcW w:w="3497" w:type="dxa"/>
            <w:tcBorders>
              <w:top w:val="single" w:sz="4" w:space="0" w:color="auto"/>
              <w:left w:val="single" w:sz="4" w:space="0" w:color="auto"/>
              <w:bottom w:val="single" w:sz="4" w:space="0" w:color="auto"/>
            </w:tcBorders>
            <w:shd w:val="clear" w:color="auto" w:fill="auto"/>
          </w:tcPr>
          <w:p w14:paraId="052441D2" w14:textId="77777777" w:rsidR="00607441" w:rsidRPr="00682267" w:rsidRDefault="23C55420" w:rsidP="2D9C2046">
            <w:pPr>
              <w:rPr>
                <w:lang w:eastAsia="en-US"/>
              </w:rPr>
            </w:pPr>
            <w:r w:rsidRPr="00682267">
              <w:t>Skat</w:t>
            </w:r>
            <w:r w:rsidR="00B55433">
              <w:t>.</w:t>
            </w:r>
            <w:r w:rsidRPr="00682267">
              <w:t xml:space="preserve"> precizēto “Sasaiste ar citiem attīstības plānošanas dokumentiem”</w:t>
            </w:r>
          </w:p>
          <w:p w14:paraId="5AFDCB50" w14:textId="77777777" w:rsidR="00607441" w:rsidRPr="009841AB" w:rsidRDefault="00607441" w:rsidP="00EF1F3A"/>
        </w:tc>
      </w:tr>
      <w:tr w:rsidR="00607441" w:rsidRPr="009841AB" w14:paraId="4E1182C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7E5F30B" w14:textId="77777777" w:rsidR="00607441" w:rsidRPr="009841AB" w:rsidRDefault="00607441" w:rsidP="00EF1F3A">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BA9EE52" w14:textId="77777777" w:rsidR="00607441" w:rsidRPr="009841AB" w:rsidRDefault="00607441"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128AD42" w14:textId="77777777" w:rsidR="00607441" w:rsidRPr="00607441" w:rsidRDefault="00607441" w:rsidP="004B0062">
            <w:pPr>
              <w:tabs>
                <w:tab w:val="left" w:pos="720"/>
              </w:tabs>
              <w:contextualSpacing/>
              <w:jc w:val="both"/>
              <w:rPr>
                <w:b/>
                <w:bCs/>
                <w:lang w:eastAsia="en-US"/>
              </w:rPr>
            </w:pPr>
            <w:r w:rsidRPr="00261645">
              <w:rPr>
                <w:b/>
                <w:bCs/>
                <w:lang w:eastAsia="en-U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08BA55A" w14:textId="77777777" w:rsidR="00607441" w:rsidRPr="009841AB" w:rsidRDefault="00607441" w:rsidP="00631A0A">
            <w:pPr>
              <w:pStyle w:val="naisc"/>
              <w:spacing w:before="0" w:after="0"/>
              <w:jc w:val="both"/>
              <w:rPr>
                <w:b/>
                <w:bCs/>
              </w:rPr>
            </w:pPr>
          </w:p>
        </w:tc>
        <w:tc>
          <w:tcPr>
            <w:tcW w:w="3497" w:type="dxa"/>
            <w:tcBorders>
              <w:top w:val="single" w:sz="4" w:space="0" w:color="auto"/>
              <w:left w:val="single" w:sz="4" w:space="0" w:color="auto"/>
              <w:bottom w:val="single" w:sz="4" w:space="0" w:color="auto"/>
            </w:tcBorders>
            <w:shd w:val="clear" w:color="auto" w:fill="auto"/>
          </w:tcPr>
          <w:p w14:paraId="18534883" w14:textId="77777777" w:rsidR="00607441" w:rsidRPr="009841AB" w:rsidRDefault="00607441" w:rsidP="00EF1F3A"/>
        </w:tc>
      </w:tr>
      <w:tr w:rsidR="00607441" w:rsidRPr="009841AB" w14:paraId="311F04F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0D23D06" w14:textId="77777777" w:rsidR="00607441" w:rsidRPr="009841AB" w:rsidRDefault="00485A69" w:rsidP="00EF1F3A">
            <w:pPr>
              <w:pStyle w:val="naisc"/>
              <w:spacing w:before="0" w:after="0"/>
            </w:pPr>
            <w:r>
              <w:t>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C7BBBE9" w14:textId="77777777" w:rsidR="00607441" w:rsidRPr="009841AB" w:rsidRDefault="00607441"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1E4C457" w14:textId="77777777" w:rsidR="00607441" w:rsidRPr="00607441" w:rsidRDefault="00607441" w:rsidP="004B0062">
            <w:pPr>
              <w:tabs>
                <w:tab w:val="left" w:pos="720"/>
              </w:tabs>
              <w:contextualSpacing/>
              <w:jc w:val="both"/>
              <w:rPr>
                <w:lang w:eastAsia="en-US"/>
              </w:rPr>
            </w:pPr>
            <w:r w:rsidRPr="00607441">
              <w:rPr>
                <w:lang w:eastAsia="en-US"/>
              </w:rPr>
              <w:t>Precizēt Projekta satura rādītāju, lai tas pilnvērtīgi atspoguļotu Projekta saturu.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04D309F" w14:textId="77777777" w:rsidR="00607441" w:rsidRDefault="00B55433" w:rsidP="00631A0A">
            <w:pPr>
              <w:pStyle w:val="naisc"/>
              <w:spacing w:before="0" w:after="0"/>
              <w:jc w:val="both"/>
              <w:rPr>
                <w:b/>
                <w:bCs/>
              </w:rPr>
            </w:pPr>
            <w:r>
              <w:rPr>
                <w:b/>
                <w:bCs/>
              </w:rPr>
              <w:t>Ņemts vērā</w:t>
            </w:r>
          </w:p>
          <w:p w14:paraId="4C4F16A2" w14:textId="77777777" w:rsidR="00B55433" w:rsidRPr="00B55433" w:rsidRDefault="00B55433" w:rsidP="00631A0A">
            <w:pPr>
              <w:pStyle w:val="naisc"/>
              <w:spacing w:before="0" w:after="0"/>
              <w:jc w:val="both"/>
            </w:pPr>
            <w:r>
              <w:t>Satura rādītājs precizēts</w:t>
            </w:r>
          </w:p>
        </w:tc>
        <w:tc>
          <w:tcPr>
            <w:tcW w:w="3497" w:type="dxa"/>
            <w:tcBorders>
              <w:top w:val="single" w:sz="4" w:space="0" w:color="auto"/>
              <w:left w:val="single" w:sz="4" w:space="0" w:color="auto"/>
              <w:bottom w:val="single" w:sz="4" w:space="0" w:color="auto"/>
            </w:tcBorders>
            <w:shd w:val="clear" w:color="auto" w:fill="auto"/>
          </w:tcPr>
          <w:p w14:paraId="11241AA6" w14:textId="77777777" w:rsidR="00607441" w:rsidRPr="009841AB" w:rsidRDefault="00607441" w:rsidP="00EF1F3A"/>
        </w:tc>
      </w:tr>
      <w:tr w:rsidR="004B0062" w:rsidRPr="009841AB" w14:paraId="49A6321C"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E0DFCC1" w14:textId="77777777" w:rsidR="004B0062" w:rsidRPr="009841AB" w:rsidRDefault="004B0062" w:rsidP="00566B19">
            <w:pPr>
              <w:tabs>
                <w:tab w:val="left" w:pos="720"/>
              </w:tabs>
              <w:contextualSpacing/>
              <w:rPr>
                <w:b/>
                <w:bCs/>
                <w:lang w:eastAsia="en-US"/>
              </w:rPr>
            </w:pPr>
            <w:r w:rsidRPr="009841AB">
              <w:rPr>
                <w:b/>
                <w:bCs/>
                <w:lang w:eastAsia="en-US"/>
              </w:rPr>
              <w:t>Ekonomikas ministrijas 03.02.2021. atzinums:</w:t>
            </w:r>
          </w:p>
        </w:tc>
      </w:tr>
      <w:tr w:rsidR="004B0062" w:rsidRPr="009841AB" w14:paraId="28D91E1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7DD2648" w14:textId="77777777" w:rsidR="004B0062" w:rsidRPr="009841AB" w:rsidRDefault="00485A69" w:rsidP="00EF1F3A">
            <w:pPr>
              <w:pStyle w:val="naisc"/>
              <w:spacing w:before="0" w:after="0"/>
            </w:pPr>
            <w:r>
              <w:t>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A123DEB" w14:textId="77777777" w:rsidR="004B0062" w:rsidRPr="009841AB" w:rsidRDefault="004B0062"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8DE4F31" w14:textId="77777777" w:rsidR="004B0062" w:rsidRPr="009841AB" w:rsidRDefault="00566B19" w:rsidP="009B6AB1">
            <w:pPr>
              <w:tabs>
                <w:tab w:val="left" w:pos="720"/>
              </w:tabs>
              <w:contextualSpacing/>
              <w:jc w:val="both"/>
              <w:rPr>
                <w:lang w:eastAsia="en-US"/>
              </w:rPr>
            </w:pPr>
            <w:r w:rsidRPr="009841AB">
              <w:rPr>
                <w:lang w:eastAsia="en-US"/>
              </w:rPr>
              <w:t>1. Pamatnostādņu projekta tekstā dažādās sadaļās tiek lietoti tādi termini kā “platformas valsts”, “platformas valdība” un “valsts kā platforma”. Būtu nepieciešams paskaidrot šo dažādo, bet vienlaikus līdzīgo, terminu nozīmi un atšķirību.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390D714" w14:textId="77777777" w:rsidR="00D82C89" w:rsidRPr="009841AB" w:rsidRDefault="007A5FB5" w:rsidP="00631A0A">
            <w:pPr>
              <w:pStyle w:val="naisc"/>
              <w:spacing w:before="0" w:after="0"/>
              <w:jc w:val="both"/>
              <w:rPr>
                <w:b/>
                <w:bCs/>
              </w:rPr>
            </w:pPr>
            <w:r w:rsidRPr="009841AB">
              <w:rPr>
                <w:b/>
                <w:bCs/>
              </w:rPr>
              <w:t>Ņemts vērā</w:t>
            </w:r>
          </w:p>
          <w:p w14:paraId="2697F0A9" w14:textId="77777777" w:rsidR="00D82C89" w:rsidRPr="009841AB" w:rsidRDefault="00D82C89" w:rsidP="00631A0A">
            <w:pPr>
              <w:pStyle w:val="naisc"/>
              <w:spacing w:before="0" w:after="0"/>
              <w:jc w:val="both"/>
            </w:pPr>
            <w:r w:rsidRPr="009841AB">
              <w:t>Lietots viens termins "platformu valdība"</w:t>
            </w:r>
          </w:p>
        </w:tc>
        <w:tc>
          <w:tcPr>
            <w:tcW w:w="3497" w:type="dxa"/>
            <w:tcBorders>
              <w:top w:val="single" w:sz="4" w:space="0" w:color="auto"/>
              <w:left w:val="single" w:sz="4" w:space="0" w:color="auto"/>
              <w:bottom w:val="single" w:sz="4" w:space="0" w:color="auto"/>
            </w:tcBorders>
            <w:shd w:val="clear" w:color="auto" w:fill="auto"/>
          </w:tcPr>
          <w:p w14:paraId="2DF8476E" w14:textId="77777777" w:rsidR="004B0062" w:rsidRPr="009841AB" w:rsidRDefault="004B0062" w:rsidP="00EF1F3A"/>
        </w:tc>
      </w:tr>
      <w:tr w:rsidR="004B0062" w:rsidRPr="009841AB" w14:paraId="507139E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C64AECD" w14:textId="77777777" w:rsidR="004B0062" w:rsidRPr="009841AB" w:rsidRDefault="00C06F80" w:rsidP="00EF1F3A">
            <w:pPr>
              <w:pStyle w:val="naisc"/>
              <w:spacing w:before="0" w:after="0"/>
            </w:pPr>
            <w:r>
              <w:t>10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D92C2C5" w14:textId="77777777" w:rsidR="004B0062" w:rsidRPr="009841AB" w:rsidRDefault="004B0062" w:rsidP="00EF1F3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246C04D" w14:textId="77777777" w:rsidR="004B0062" w:rsidRPr="009841AB" w:rsidRDefault="00566B19" w:rsidP="009B6AB1">
            <w:pPr>
              <w:tabs>
                <w:tab w:val="left" w:pos="720"/>
              </w:tabs>
              <w:contextualSpacing/>
              <w:jc w:val="both"/>
              <w:rPr>
                <w:b/>
                <w:bCs/>
                <w:lang w:eastAsia="en-US"/>
              </w:rPr>
            </w:pPr>
            <w:r w:rsidRPr="009841AB">
              <w:rPr>
                <w:lang w:eastAsia="en-US"/>
              </w:rPr>
              <w:t>2. Ņemot vērā valsts informācijas sistēmu attīstību, tai skaitā to, ka digitālais būvniecības process ir obligāts būvniecības nozarei no 2020. gada 1. janvāra,  lūdzam Pamatnostādņu projektu papildināt ar norādi, ka būtu turpināma gan valsts informācijas sistēmu attīstība būvniecības jomā, gan būvniecības nozares digitālo transformācija.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F4C47C8" w14:textId="77777777" w:rsidR="00D33ADB" w:rsidRPr="00F56B1C" w:rsidRDefault="00D33ADB" w:rsidP="00631A0A">
            <w:pPr>
              <w:pStyle w:val="naisc"/>
              <w:spacing w:before="0" w:after="0"/>
              <w:jc w:val="both"/>
              <w:rPr>
                <w:b/>
                <w:bCs/>
              </w:rPr>
            </w:pPr>
            <w:r w:rsidRPr="009841AB">
              <w:rPr>
                <w:b/>
                <w:bCs/>
              </w:rPr>
              <w:t>Ņemts vērā</w:t>
            </w:r>
          </w:p>
          <w:p w14:paraId="4C6A763B" w14:textId="77777777" w:rsidR="00DD732F" w:rsidRPr="009841AB" w:rsidRDefault="00D33ADB" w:rsidP="00631A0A">
            <w:pPr>
              <w:pStyle w:val="naisc"/>
              <w:spacing w:before="0" w:after="0"/>
              <w:jc w:val="both"/>
            </w:pPr>
            <w:r w:rsidRPr="009841AB">
              <w:t>Rīcības virziens 4.5.2. papildināts ar atsauci uz būvniecības digitālo modelēšanu un projektēšanu.</w:t>
            </w:r>
          </w:p>
        </w:tc>
        <w:tc>
          <w:tcPr>
            <w:tcW w:w="3497" w:type="dxa"/>
            <w:tcBorders>
              <w:top w:val="single" w:sz="4" w:space="0" w:color="auto"/>
              <w:left w:val="single" w:sz="4" w:space="0" w:color="auto"/>
              <w:bottom w:val="single" w:sz="4" w:space="0" w:color="auto"/>
            </w:tcBorders>
            <w:shd w:val="clear" w:color="auto" w:fill="auto"/>
          </w:tcPr>
          <w:p w14:paraId="2B46A694" w14:textId="77777777" w:rsidR="004B0062" w:rsidRPr="009841AB" w:rsidRDefault="009166B7" w:rsidP="00EF1F3A">
            <w:r>
              <w:t xml:space="preserve">Lūdzam skatīt </w:t>
            </w:r>
            <w:proofErr w:type="spellStart"/>
            <w:r>
              <w:t>apak</w:t>
            </w:r>
            <w:r w:rsidR="009C3D15">
              <w:t>šsadaļu</w:t>
            </w:r>
            <w:proofErr w:type="spellEnd"/>
            <w:r w:rsidR="009C3D15">
              <w:t xml:space="preserve"> 4.5.2.</w:t>
            </w:r>
          </w:p>
        </w:tc>
      </w:tr>
      <w:tr w:rsidR="00566B19" w:rsidRPr="009841AB" w14:paraId="2EE42707"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2C65CD5" w14:textId="77777777" w:rsidR="00566B19" w:rsidRPr="009841AB" w:rsidRDefault="00566B19" w:rsidP="00566B19">
            <w:pPr>
              <w:tabs>
                <w:tab w:val="left" w:pos="720"/>
              </w:tabs>
              <w:contextualSpacing/>
              <w:jc w:val="both"/>
              <w:rPr>
                <w:b/>
                <w:bCs/>
                <w:lang w:eastAsia="en-US"/>
              </w:rPr>
            </w:pPr>
            <w:r w:rsidRPr="009841AB">
              <w:rPr>
                <w:b/>
                <w:bCs/>
                <w:lang w:eastAsia="en-US"/>
              </w:rPr>
              <w:t>Finanšu ministrijas 01.02.2021. atzinums:</w:t>
            </w:r>
          </w:p>
        </w:tc>
      </w:tr>
      <w:tr w:rsidR="009D4C49" w:rsidRPr="009841AB" w14:paraId="2295A37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1BA149C" w14:textId="77777777" w:rsidR="009D4C49" w:rsidRPr="009841AB" w:rsidRDefault="00C06F80" w:rsidP="00AF74DE">
            <w:pPr>
              <w:pStyle w:val="naisc"/>
              <w:spacing w:before="0" w:after="0"/>
            </w:pPr>
            <w:r>
              <w:t>11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AB548B6" w14:textId="77777777" w:rsidR="009D4C49" w:rsidRPr="009841AB" w:rsidRDefault="009D4C4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7B3561E" w14:textId="77777777" w:rsidR="00AD1F0C" w:rsidRPr="009841AB" w:rsidRDefault="00AD1F0C" w:rsidP="00AF74DE">
            <w:pPr>
              <w:tabs>
                <w:tab w:val="left" w:pos="720"/>
              </w:tabs>
              <w:contextualSpacing/>
              <w:jc w:val="both"/>
              <w:rPr>
                <w:lang w:eastAsia="en-US"/>
              </w:rPr>
            </w:pPr>
            <w:r w:rsidRPr="009841AB">
              <w:rPr>
                <w:lang w:eastAsia="en-US"/>
              </w:rPr>
              <w:t>1. Lūdzam pamatnostādņu projektā īsi aprakstīt dokumenta sinerģiju ar citu nozaru pamatnostādnēm.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5FBB23D" w14:textId="77777777" w:rsidR="00983046" w:rsidRPr="009841AB" w:rsidRDefault="71AA73F9" w:rsidP="00AF74DE">
            <w:pPr>
              <w:pStyle w:val="naisc"/>
              <w:spacing w:before="0" w:after="0"/>
              <w:jc w:val="both"/>
              <w:rPr>
                <w:b/>
                <w:bCs/>
              </w:rPr>
            </w:pPr>
            <w:r w:rsidRPr="009841AB">
              <w:rPr>
                <w:b/>
                <w:bCs/>
              </w:rPr>
              <w:t>Ņemts vērā</w:t>
            </w:r>
          </w:p>
          <w:p w14:paraId="13F19306" w14:textId="77777777" w:rsidR="00983046" w:rsidRPr="009841AB" w:rsidRDefault="00983046" w:rsidP="00AF74DE">
            <w:pPr>
              <w:pStyle w:val="naisc"/>
              <w:spacing w:before="0" w:after="0"/>
              <w:jc w:val="both"/>
            </w:pPr>
            <w:r w:rsidRPr="009841AB">
              <w:t>Papildināta sadaļa "Ievads"</w:t>
            </w:r>
          </w:p>
        </w:tc>
        <w:tc>
          <w:tcPr>
            <w:tcW w:w="3497" w:type="dxa"/>
            <w:tcBorders>
              <w:top w:val="single" w:sz="4" w:space="0" w:color="auto"/>
              <w:left w:val="single" w:sz="4" w:space="0" w:color="auto"/>
              <w:bottom w:val="single" w:sz="4" w:space="0" w:color="auto"/>
            </w:tcBorders>
            <w:shd w:val="clear" w:color="auto" w:fill="auto"/>
          </w:tcPr>
          <w:p w14:paraId="35A1FDE2" w14:textId="77777777" w:rsidR="009D4C49" w:rsidRPr="009841AB" w:rsidRDefault="00983046" w:rsidP="00AF74DE">
            <w:r w:rsidRPr="009841AB">
              <w:t>Lūdzam skatīt sadaļu “Ievads”</w:t>
            </w:r>
          </w:p>
        </w:tc>
      </w:tr>
      <w:tr w:rsidR="00566B19" w:rsidRPr="009841AB" w14:paraId="212A150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1ADCAD3" w14:textId="77777777" w:rsidR="00566B19" w:rsidRPr="009841AB" w:rsidRDefault="00C06F80" w:rsidP="00AF74DE">
            <w:pPr>
              <w:pStyle w:val="naisc"/>
              <w:spacing w:before="0" w:after="0"/>
            </w:pPr>
            <w:r>
              <w:t>12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34AE761" w14:textId="77777777" w:rsidR="00566B19" w:rsidRPr="009841AB" w:rsidRDefault="00566B1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B9B4F33" w14:textId="77777777" w:rsidR="00566B19" w:rsidRPr="009841AB" w:rsidRDefault="00566B19" w:rsidP="00566B19">
            <w:pPr>
              <w:tabs>
                <w:tab w:val="left" w:pos="720"/>
              </w:tabs>
              <w:contextualSpacing/>
              <w:jc w:val="both"/>
              <w:rPr>
                <w:lang w:eastAsia="en-US"/>
              </w:rPr>
            </w:pPr>
            <w:r w:rsidRPr="009841AB">
              <w:rPr>
                <w:lang w:eastAsia="en-US"/>
              </w:rPr>
              <w:t>2. Lūdzam sniegt informāciju par to, kā pamatnostādņu projekts veicina 2021. – 2027. gada plānošanas perioda Kopējās fondu regulas IV pielikumā noteiktā ieguldījumu priekšnosacījuma Nr.1 “Labas pārvaldības valsts vai reģionālā viedās specializācijas stratēģija” kritēriju izpildi, ņemot vērā to, ka pamatnostādņu projekts ir norādītas kā viens no plānošanas dokumentiem, kas nodrošina minētā priekšnosacījuma izpildi.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03A4500" w14:textId="77777777" w:rsidR="00566B19" w:rsidRPr="00962EF4" w:rsidRDefault="50242EB8" w:rsidP="00AF74DE">
            <w:pPr>
              <w:pStyle w:val="naisc"/>
              <w:spacing w:before="0" w:after="0"/>
              <w:jc w:val="both"/>
              <w:rPr>
                <w:b/>
                <w:bCs/>
              </w:rPr>
            </w:pPr>
            <w:r w:rsidRPr="00962EF4">
              <w:rPr>
                <w:b/>
                <w:bCs/>
              </w:rPr>
              <w:t xml:space="preserve">Ņemts vērā </w:t>
            </w:r>
          </w:p>
        </w:tc>
        <w:tc>
          <w:tcPr>
            <w:tcW w:w="3497" w:type="dxa"/>
            <w:tcBorders>
              <w:top w:val="single" w:sz="4" w:space="0" w:color="auto"/>
              <w:left w:val="single" w:sz="4" w:space="0" w:color="auto"/>
              <w:bottom w:val="single" w:sz="4" w:space="0" w:color="auto"/>
            </w:tcBorders>
            <w:shd w:val="clear" w:color="auto" w:fill="auto"/>
          </w:tcPr>
          <w:p w14:paraId="7675D2EF" w14:textId="77777777" w:rsidR="00566B19" w:rsidRPr="009841AB" w:rsidRDefault="00695CB7" w:rsidP="00AF74DE">
            <w:r w:rsidRPr="009841AB">
              <w:t>Lūdzam skatīt sadaļu “Ievads”</w:t>
            </w:r>
          </w:p>
        </w:tc>
      </w:tr>
      <w:tr w:rsidR="00566B19" w:rsidRPr="009841AB" w14:paraId="0F72927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675B7A2" w14:textId="77777777" w:rsidR="00566B19" w:rsidRPr="009841AB" w:rsidRDefault="00C06F80" w:rsidP="00AF74DE">
            <w:pPr>
              <w:pStyle w:val="naisc"/>
              <w:spacing w:before="0" w:after="0"/>
            </w:pPr>
            <w:r>
              <w:t>13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D12B8FD" w14:textId="77777777" w:rsidR="00566B19" w:rsidRPr="009841AB" w:rsidRDefault="00566B1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24F9468" w14:textId="77777777" w:rsidR="00566B19" w:rsidRPr="009841AB" w:rsidRDefault="00566B19" w:rsidP="00566B19">
            <w:pPr>
              <w:tabs>
                <w:tab w:val="left" w:pos="720"/>
              </w:tabs>
              <w:contextualSpacing/>
              <w:jc w:val="both"/>
              <w:rPr>
                <w:lang w:eastAsia="en-US"/>
              </w:rPr>
            </w:pPr>
            <w:r w:rsidRPr="009841AB">
              <w:rPr>
                <w:lang w:eastAsia="en-US"/>
              </w:rPr>
              <w:t xml:space="preserve">3. Ņemot vērā, ka pamatnostādņu projekts satur informāciju attiecībā uz ieplānoto pasākumu finansējumu, lūdzam norādīt minētā finansējuma avotu. Proti, lūdzam pamatnostādņu projektu papildināt ar informāciju attiecībā uz pasākumiem, kuri tiks finansēti valsts budžeta, ES struktūrfondu, </w:t>
            </w:r>
            <w:r w:rsidRPr="009841AB">
              <w:rPr>
                <w:lang w:eastAsia="en-US"/>
              </w:rPr>
              <w:lastRenderedPageBreak/>
              <w:t>t.sk. DP, kā arī citu atbalsta instrumentu ietvaros (piemēram, Atjaunošanas un noturības mehānisms, u.c.).</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1FD3319" w14:textId="093BE8E9" w:rsidR="00566B19" w:rsidRPr="00962EF4" w:rsidRDefault="004774D3" w:rsidP="00A83FE4">
            <w:pPr>
              <w:pStyle w:val="naisc"/>
              <w:spacing w:before="0" w:after="0"/>
              <w:jc w:val="left"/>
              <w:rPr>
                <w:b/>
                <w:bCs/>
              </w:rPr>
            </w:pPr>
            <w:r>
              <w:rPr>
                <w:b/>
                <w:bCs/>
              </w:rPr>
              <w:lastRenderedPageBreak/>
              <w:t>Panākta vienošanās</w:t>
            </w:r>
          </w:p>
        </w:tc>
        <w:tc>
          <w:tcPr>
            <w:tcW w:w="3497" w:type="dxa"/>
            <w:tcBorders>
              <w:top w:val="single" w:sz="4" w:space="0" w:color="auto"/>
              <w:left w:val="single" w:sz="4" w:space="0" w:color="auto"/>
              <w:bottom w:val="single" w:sz="4" w:space="0" w:color="auto"/>
            </w:tcBorders>
            <w:shd w:val="clear" w:color="auto" w:fill="auto"/>
          </w:tcPr>
          <w:p w14:paraId="099E0D58" w14:textId="77777777" w:rsidR="00566B19" w:rsidRPr="009841AB" w:rsidRDefault="00695CB7" w:rsidP="00AF74DE">
            <w:r w:rsidRPr="009841AB">
              <w:t xml:space="preserve">Lūdzam skatīt  </w:t>
            </w:r>
            <w:r w:rsidR="0DBEFA68" w:rsidRPr="009841AB">
              <w:t>2. un 3. pielikum</w:t>
            </w:r>
            <w:r w:rsidRPr="009841AB">
              <w:t>u</w:t>
            </w:r>
          </w:p>
        </w:tc>
      </w:tr>
      <w:tr w:rsidR="00566B19" w:rsidRPr="009841AB" w14:paraId="7A931AD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96A4449" w14:textId="77777777" w:rsidR="00566B19" w:rsidRPr="009841AB" w:rsidRDefault="0DBEFA68" w:rsidP="00AF74DE">
            <w:pPr>
              <w:pStyle w:val="naisc"/>
              <w:spacing w:before="0" w:after="0"/>
            </w:pPr>
            <w:r w:rsidRPr="009841AB">
              <w:t xml:space="preserve"> </w:t>
            </w:r>
            <w:r w:rsidR="00190C08" w:rsidRPr="009841AB">
              <w:t>1</w:t>
            </w:r>
            <w:r w:rsidR="00C06F80">
              <w:t>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CCA88ED" w14:textId="77777777" w:rsidR="00566B19" w:rsidRPr="009841AB" w:rsidRDefault="00566B1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0F3AEDC" w14:textId="77777777" w:rsidR="00566B19" w:rsidRPr="009841AB" w:rsidRDefault="00566B19" w:rsidP="00AF74DE">
            <w:pPr>
              <w:tabs>
                <w:tab w:val="left" w:pos="720"/>
              </w:tabs>
              <w:contextualSpacing/>
              <w:jc w:val="both"/>
              <w:rPr>
                <w:lang w:eastAsia="en-US"/>
              </w:rPr>
            </w:pPr>
            <w:r w:rsidRPr="009841AB">
              <w:rPr>
                <w:lang w:eastAsia="en-US"/>
              </w:rPr>
              <w:t>4. Vēršam uzmanību, ka pamatnostādņu projekta 2.sadaļas “Kopsavilkums” 9.lp. norādīta informācija, ka pamatnostādņu paredzēto rīcību īstenošanai ir plānots piesaistīt gan ES struktūrfondu, gan valsts budžeta, gan citu finanšu instrumentu finansējumu, savukārt 10.lp. norādīts, ka pamatnostādņu īstenošana notiks no valsts budžeta līdzekļiem, kā arī piesaistot ES struktūrfondu līdzekļus un privāto finansējumu, un var tikt piesaistīts arī citu finanšu avotu finansējums. Ņemot vērā minēto, kā arī pamatnostādņu 3.pielikumā sniegto informāciju, kas neparedz finansējumu valsts pamatfunkciju īstenošanai, bet paredz pamatnostādņu rīcības virzienus īstenot Eiropas Savienības politiku instrumentu un pārējās ārvalstu finanšu palīdzības līdzfinansēto projektu un pasākumu ietvaros, lūdzam pārskatīt un salāgot pamatnostādņu projektā minēto informāciju, lai tā nav savstarpēji pretrunīga.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F8801B1" w14:textId="77777777" w:rsidR="00566B19" w:rsidRPr="009841AB" w:rsidRDefault="1D455982" w:rsidP="00AF74DE">
            <w:pPr>
              <w:pStyle w:val="naisc"/>
              <w:spacing w:before="0" w:after="0"/>
              <w:jc w:val="both"/>
              <w:rPr>
                <w:b/>
                <w:bCs/>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7FB5BFFC" w14:textId="77777777" w:rsidR="00566B19" w:rsidRPr="009841AB" w:rsidRDefault="00983046" w:rsidP="00AF74DE">
            <w:r w:rsidRPr="009841AB">
              <w:t>Lūdzam skatīt 2.sadaļu</w:t>
            </w:r>
          </w:p>
        </w:tc>
      </w:tr>
      <w:tr w:rsidR="00D851A3" w:rsidRPr="009841AB" w14:paraId="627DF51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787959FB" w14:textId="77777777" w:rsidR="00D851A3" w:rsidRPr="008D7EC4" w:rsidRDefault="00D851A3" w:rsidP="59664350">
            <w:pPr>
              <w:jc w:val="both"/>
              <w:rPr>
                <w:b/>
                <w:lang w:eastAsia="en-US"/>
              </w:rPr>
            </w:pPr>
            <w:r w:rsidRPr="008D7EC4">
              <w:rPr>
                <w:b/>
                <w:lang w:eastAsia="en-US"/>
              </w:rPr>
              <w:t>Finanšu ministrijas 05.05.2021. atzinums:</w:t>
            </w:r>
          </w:p>
        </w:tc>
      </w:tr>
      <w:tr w:rsidR="00D851A3" w:rsidRPr="009841AB" w14:paraId="537047E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5300D0F" w14:textId="77777777" w:rsidR="00D851A3" w:rsidRPr="009841AB" w:rsidRDefault="00C06F80" w:rsidP="59664350">
            <w:pPr>
              <w:pStyle w:val="naisc"/>
              <w:spacing w:before="0" w:after="0" w:line="259" w:lineRule="auto"/>
              <w:jc w:val="both"/>
              <w:rPr>
                <w:highlight w:val="green"/>
              </w:rPr>
            </w:pPr>
            <w:r w:rsidRPr="00A64D4F">
              <w:t>15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F71B789" w14:textId="77777777" w:rsidR="00D851A3" w:rsidRPr="008D7EC4" w:rsidRDefault="00D851A3" w:rsidP="59664350">
            <w:pPr>
              <w:pStyle w:val="naisc"/>
              <w:spacing w:before="0" w:after="0" w:line="259" w:lineRule="auto"/>
              <w:jc w:val="both"/>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89B00B9" w14:textId="77777777" w:rsidR="00D851A3" w:rsidRPr="008D7EC4" w:rsidRDefault="00FD1344" w:rsidP="59664350">
            <w:pPr>
              <w:pStyle w:val="naisc"/>
              <w:tabs>
                <w:tab w:val="left" w:pos="720"/>
              </w:tabs>
              <w:spacing w:before="0" w:after="0" w:line="259" w:lineRule="auto"/>
              <w:jc w:val="both"/>
              <w:rPr>
                <w:lang w:eastAsia="en-US"/>
              </w:rPr>
            </w:pPr>
            <w:r w:rsidRPr="008D7EC4">
              <w:rPr>
                <w:lang w:eastAsia="en-US"/>
              </w:rPr>
              <w:t xml:space="preserve">1. Atkārtoti lūdzam pārskatīt pamatnostādņu projekta 2.sadaļā “Kopsavilkums” sniegto informāciju par finansējuma avotiem pamatnostādņu īstenošanai, ņemot vērā, ka pamatnostādņu 3.pielikumā uzdevumu īstenošana galvenokārt plānota ES politiku instrumentu un pārējās ārvalstu finanšu palīdzības instrumentu ietvaros. Attiecīgi lūdzam minētajā sadaļā teikumu “Pamatnostādņu īstenošana notiks no valsts budžeta līdzekļiem, kā arī piesaistot ES struktūrfondu līdzekļus un privāto finansējumu” aizstāt ar teikumu šādā redakcijā “Pamatnostādņu īstenošana notiks galvenokārt piesaistot ES struktūrfondu līdzekļus un privāto finansējumu, kā arī valsts budžeta </w:t>
            </w:r>
            <w:r w:rsidRPr="008D7EC4">
              <w:rPr>
                <w:lang w:eastAsia="en-US"/>
              </w:rPr>
              <w:lastRenderedPageBreak/>
              <w:t>finansējumu, kura piešķiršana ir skatāma Ministru kabinetā ikgadējā valsts budžeta un vidēja termiņa valsts budžeta ietvara likumprojektu sagatavošanas procesā kopā ar visu ministriju un centrālo valsts iestāžu iesniegtajiem prioritāro pasākumu pieteikumiem, ievērojot valsts budžeta finansiālās iespējas.”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D77A015" w14:textId="77777777" w:rsidR="00D851A3" w:rsidRPr="008D7EC4" w:rsidRDefault="64726B89" w:rsidP="59664350">
            <w:pPr>
              <w:pStyle w:val="naisc"/>
              <w:spacing w:before="0" w:after="0" w:line="259" w:lineRule="auto"/>
              <w:jc w:val="both"/>
              <w:rPr>
                <w:b/>
              </w:rPr>
            </w:pPr>
            <w:r w:rsidRPr="008D7EC4">
              <w:rPr>
                <w:b/>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21452E9B" w14:textId="77777777" w:rsidR="00D851A3" w:rsidRPr="008D7EC4" w:rsidRDefault="64726B89" w:rsidP="59664350">
            <w:pPr>
              <w:pStyle w:val="naisc"/>
              <w:spacing w:before="0" w:after="0" w:line="259" w:lineRule="auto"/>
              <w:jc w:val="both"/>
            </w:pPr>
            <w:r w:rsidRPr="008D7EC4">
              <w:t>Lūdzam skatīt sadaļu “</w:t>
            </w:r>
            <w:r w:rsidR="229F66D0" w:rsidRPr="008D7EC4">
              <w:t>Kopsavilkums</w:t>
            </w:r>
            <w:r w:rsidRPr="008D7EC4">
              <w:t>”</w:t>
            </w:r>
          </w:p>
          <w:p w14:paraId="7619B637" w14:textId="77777777" w:rsidR="00D851A3" w:rsidRPr="008D7EC4" w:rsidRDefault="00D851A3" w:rsidP="59664350">
            <w:pPr>
              <w:pStyle w:val="naisc"/>
              <w:spacing w:before="0" w:after="0" w:line="259" w:lineRule="auto"/>
              <w:jc w:val="both"/>
            </w:pPr>
          </w:p>
        </w:tc>
      </w:tr>
      <w:tr w:rsidR="00FD1344" w:rsidRPr="009841AB" w14:paraId="2A25CF0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5824BCC" w14:textId="77777777" w:rsidR="00FD1344" w:rsidRPr="009841AB" w:rsidRDefault="00FE7E6F" w:rsidP="00AF74DE">
            <w:pPr>
              <w:pStyle w:val="naisc"/>
              <w:spacing w:before="0" w:after="0"/>
            </w:pPr>
            <w:r>
              <w:t>16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2A28868" w14:textId="77777777" w:rsidR="00FD1344" w:rsidRPr="009841AB" w:rsidRDefault="00FD1344"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057D991" w14:textId="77777777" w:rsidR="00FD1344" w:rsidRPr="00FD1344" w:rsidRDefault="00FD1344" w:rsidP="00AF74DE">
            <w:pPr>
              <w:tabs>
                <w:tab w:val="left" w:pos="720"/>
              </w:tabs>
              <w:contextualSpacing/>
              <w:jc w:val="both"/>
              <w:rPr>
                <w:lang w:eastAsia="en-US"/>
              </w:rPr>
            </w:pPr>
            <w:r w:rsidRPr="00FD1344">
              <w:rPr>
                <w:lang w:eastAsia="en-US"/>
              </w:rPr>
              <w:t>2. Ņemot vērā, ka pamatnostādnēs norādīti plaša mēroga attīstības un rīcības virzieni un to ietvaros paredzēta IT arhitektūru izstrāde, kuru izveidei norādīts ievērojams finansējuma apjoms, lūdzam pamatnostādnēs arī skaidri iezīmēt turpmāk sagaidāmo rīcību attiecībā uz šo IT risinājumu rezultātu uzturēšanu gan no VARAM kā par nozari atbildīgās ministrijas, gan nozaru ministrijām, proti, ka ieviesto IT risinājumu uzturēšanas noteikšanai tiks ņemti vērā ieguvumi, kas radušies no šo risinājumu ieviešanas, un attiecīgi pārskatītas esošās finanšu iespējas šo risinājumu uzturēšanai.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5427D11" w14:textId="77777777" w:rsidR="00FD1344" w:rsidRPr="009841AB" w:rsidRDefault="00D54051" w:rsidP="00AF74DE">
            <w:pPr>
              <w:pStyle w:val="naisc"/>
              <w:spacing w:before="0" w:after="0"/>
              <w:jc w:val="both"/>
              <w:rPr>
                <w:b/>
                <w:bCs/>
              </w:rPr>
            </w:pPr>
            <w:r>
              <w:rPr>
                <w:b/>
                <w:bCs/>
              </w:rPr>
              <w:t xml:space="preserve">Ņemts vērā </w:t>
            </w:r>
          </w:p>
        </w:tc>
        <w:tc>
          <w:tcPr>
            <w:tcW w:w="3497" w:type="dxa"/>
            <w:tcBorders>
              <w:top w:val="single" w:sz="4" w:space="0" w:color="auto"/>
              <w:left w:val="single" w:sz="4" w:space="0" w:color="auto"/>
              <w:bottom w:val="single" w:sz="4" w:space="0" w:color="auto"/>
            </w:tcBorders>
            <w:shd w:val="clear" w:color="auto" w:fill="auto"/>
          </w:tcPr>
          <w:p w14:paraId="12C4FCE0" w14:textId="77777777" w:rsidR="00FD1344" w:rsidRPr="009841AB" w:rsidRDefault="00D54051" w:rsidP="00AF74DE">
            <w:r>
              <w:t>Lūdzam skatīt 5. nodaļu</w:t>
            </w:r>
          </w:p>
        </w:tc>
      </w:tr>
      <w:tr w:rsidR="003279D3" w:rsidRPr="009841AB" w14:paraId="285DCF1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7850FFA" w14:textId="77777777" w:rsidR="003279D3" w:rsidRPr="009841AB" w:rsidRDefault="00FE7E6F" w:rsidP="00AF74DE">
            <w:pPr>
              <w:pStyle w:val="naisc"/>
              <w:spacing w:before="0" w:after="0"/>
            </w:pPr>
            <w:r>
              <w:t>17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6C28CAA" w14:textId="77777777" w:rsidR="003279D3" w:rsidRPr="009841AB" w:rsidRDefault="003279D3"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09B1AFE" w14:textId="77777777" w:rsidR="003279D3" w:rsidRPr="00FD1344" w:rsidRDefault="003279D3" w:rsidP="00AF74DE">
            <w:pPr>
              <w:tabs>
                <w:tab w:val="left" w:pos="720"/>
              </w:tabs>
              <w:contextualSpacing/>
              <w:jc w:val="both"/>
              <w:rPr>
                <w:lang w:eastAsia="en-US"/>
              </w:rPr>
            </w:pPr>
            <w:r>
              <w:rPr>
                <w:lang w:eastAsia="en-US"/>
              </w:rPr>
              <w:t xml:space="preserve">3. </w:t>
            </w:r>
            <w:r w:rsidRPr="003279D3">
              <w:rPr>
                <w:lang w:eastAsia="en-US"/>
              </w:rPr>
              <w:t xml:space="preserve">Lūdzam sniegt skaidrojumu, vai un kā pamatnostādņu projekta izstrādes ietvaros ir ņemti vērā Valsts prezidenta š.g. 3.februāra vēstulē ar pielikumu ministru prezidentam izteiktie priekšlikumi digitālās </w:t>
            </w:r>
            <w:proofErr w:type="spellStart"/>
            <w:r w:rsidRPr="003279D3">
              <w:rPr>
                <w:lang w:eastAsia="en-US"/>
              </w:rPr>
              <w:t>rīcībpolitikas</w:t>
            </w:r>
            <w:proofErr w:type="spellEnd"/>
            <w:r w:rsidRPr="003279D3">
              <w:rPr>
                <w:lang w:eastAsia="en-US"/>
              </w:rPr>
              <w:t xml:space="preserve"> uzlabošanai, t.sk. attiecībā uz digitālās transformācijas un pārvaldības ieviešanas modeli (skat. pielikumā).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96755D2" w14:textId="77777777" w:rsidR="003279D3" w:rsidRDefault="00C9675B" w:rsidP="00AF74DE">
            <w:pPr>
              <w:pStyle w:val="naisc"/>
              <w:spacing w:before="0" w:after="0"/>
              <w:jc w:val="both"/>
              <w:rPr>
                <w:b/>
                <w:bCs/>
              </w:rPr>
            </w:pPr>
            <w:r>
              <w:rPr>
                <w:b/>
                <w:bCs/>
              </w:rPr>
              <w:t xml:space="preserve">Ņemts vērā </w:t>
            </w:r>
          </w:p>
          <w:p w14:paraId="2C542112" w14:textId="77777777" w:rsidR="00CF2661" w:rsidRDefault="00CF2661" w:rsidP="00CF2661">
            <w:pPr>
              <w:jc w:val="both"/>
            </w:pPr>
            <w:r w:rsidRPr="006624A5">
              <w:t xml:space="preserve">Prezidenta vēstules pielikumā esošie secinājumi un priekšlikumi digitālajai </w:t>
            </w:r>
            <w:proofErr w:type="spellStart"/>
            <w:r w:rsidRPr="006624A5">
              <w:t>rīcībpolitikai</w:t>
            </w:r>
            <w:proofErr w:type="spellEnd"/>
            <w:r w:rsidRPr="006624A5">
              <w:t xml:space="preserve"> ir ekspertu diskusijās paustu viedokļu apkopojums, kas izvērtējami izstrādājot politiku. Minētie secinājumi un priekšlikumi strukturēti 3 prioritāros virzienos – 1) Izglītība un prasmes; </w:t>
            </w:r>
            <w:r w:rsidRPr="006624A5">
              <w:lastRenderedPageBreak/>
              <w:t xml:space="preserve">2) Digitāli valsts pakalpojumi; 3) Uzticība un drošība.  </w:t>
            </w:r>
            <w:r>
              <w:t xml:space="preserve">Kā būtiskākie izaicinājumi ir tikuši uzsvēri Digitālo prasmju, pārvaldības un izmērāmu mērķu aspekti. Visi šie aspekti ir tikuši skatīti arī Digitālās transformācijas pamatnostādņu kontekstā, atbilstošajās sadaļās formulējot vīziju, sasniedzamos mērķus, rezultātus un veicamos uzdevumus. </w:t>
            </w:r>
          </w:p>
          <w:p w14:paraId="328589D4" w14:textId="77777777" w:rsidR="00CF2661" w:rsidRDefault="00CF2661" w:rsidP="00CF2661">
            <w:pPr>
              <w:jc w:val="both"/>
            </w:pPr>
            <w:r w:rsidRPr="00881435">
              <w:rPr>
                <w:u w:val="single"/>
              </w:rPr>
              <w:t xml:space="preserve">Digitālās prasmes un digitālā </w:t>
            </w:r>
            <w:proofErr w:type="spellStart"/>
            <w:r w:rsidRPr="00881435">
              <w:rPr>
                <w:u w:val="single"/>
              </w:rPr>
              <w:t>pratība</w:t>
            </w:r>
            <w:proofErr w:type="spellEnd"/>
            <w:r>
              <w:t xml:space="preserve"> ir viens no Digitālās transformācijas pamatnostādņu centrālajiem jautājumiem, kas apskatīts izvērsti 4.1. nodaļas ietvaros apskatot prasmju pilnveidi sākot ar </w:t>
            </w:r>
            <w:proofErr w:type="spellStart"/>
            <w:r>
              <w:t>pamatprasmēm</w:t>
            </w:r>
            <w:proofErr w:type="spellEnd"/>
            <w:r>
              <w:t xml:space="preserve">, līdz pat augsta līmeņa prasmēm un uzņēmēju digitālajām prasmēm. </w:t>
            </w:r>
            <w:r w:rsidRPr="015C18A6">
              <w:t xml:space="preserve">Sadaļa izstrādāta </w:t>
            </w:r>
            <w:r>
              <w:t xml:space="preserve">ciešā sadarbībā ar IZM un </w:t>
            </w:r>
            <w:r>
              <w:lastRenderedPageBreak/>
              <w:t xml:space="preserve">EM, kā arī plaši iesaistot akadēmisko sektoru. Pamatnostādnes paredz risināt ne tikai </w:t>
            </w:r>
            <w:r w:rsidRPr="015C18A6">
              <w:t>digitālo prasmju apguves jautājumus</w:t>
            </w:r>
            <w:r>
              <w:t xml:space="preserve">, bet arī sniedz norādes par interneta un tehnoloģiju pieejamību, īpaši uzsverot to pieejamību attālināta izglītības procesa nodrošināšanai, uz ko tiek norādīts rekomendācijās. Vienlaikus pamatnostādnes iezīmē nepieciešamību likvidēt fragmentāciju digitālo prasmju attīstības programmu un iniciatīvu pārvaldībā, kas tika identificētas arī pamatnostādņu darba grupās, Saeimas komisijās. </w:t>
            </w:r>
            <w:r w:rsidRPr="015C18A6">
              <w:t xml:space="preserve">Kopumā par prasmju sadaļu varam teikt, ka DTP2027 ņemam vērā Prezidenta padomnieces ieteikumus, daļa no tiem tiks izmantota rīcības plānu izstrādē, </w:t>
            </w:r>
            <w:r w:rsidRPr="015C18A6">
              <w:lastRenderedPageBreak/>
              <w:t xml:space="preserve">jāpatur prātā, ka DTP2027 ir horizontāls dokuments, kas paredz vairāku ministriju iesaisti politikas mērķu sasniegšanā, izstrādājot konkrētus rīcības plānus.    </w:t>
            </w:r>
          </w:p>
          <w:p w14:paraId="48055F22" w14:textId="77777777" w:rsidR="00CF2661" w:rsidRPr="00B20498" w:rsidRDefault="00CF2661" w:rsidP="00CF2661">
            <w:r w:rsidRPr="007C0942">
              <w:rPr>
                <w:u w:val="single"/>
              </w:rPr>
              <w:t>Iedzīvotājiem pielāgoti valsts pakalpojumi</w:t>
            </w:r>
            <w:r>
              <w:rPr>
                <w:u w:val="single"/>
              </w:rPr>
              <w:t xml:space="preserve"> p</w:t>
            </w:r>
            <w:r w:rsidRPr="00B20498">
              <w:t xml:space="preserve">riekšlikumi ņemti vērā un iekļauti </w:t>
            </w:r>
            <w:r>
              <w:t>4.4.9. sadaļā “</w:t>
            </w:r>
            <w:r w:rsidRPr="001B6DEB">
              <w:rPr>
                <w:rFonts w:asciiTheme="minorHAnsi" w:eastAsiaTheme="minorHAnsi" w:hAnsiTheme="minorHAnsi" w:cstheme="minorBidi"/>
                <w:sz w:val="22"/>
                <w:szCs w:val="22"/>
              </w:rPr>
              <w:t>Moderna un atvērta valsts pārvalde”</w:t>
            </w:r>
            <w:r>
              <w:t xml:space="preserve"> </w:t>
            </w:r>
          </w:p>
          <w:p w14:paraId="111F8262" w14:textId="77777777" w:rsidR="00CF2661" w:rsidRDefault="00CF2661" w:rsidP="00CF2661">
            <w:r w:rsidRPr="007C0942">
              <w:rPr>
                <w:u w:val="single"/>
              </w:rPr>
              <w:t>Digitālās politikas pārvaldība un ieviešana</w:t>
            </w:r>
            <w:r>
              <w:rPr>
                <w:u w:val="single"/>
              </w:rPr>
              <w:t>. I</w:t>
            </w:r>
            <w:r>
              <w:t xml:space="preserve">r izvērtēti arī priekšlikumi par pārvaldību, no kuriem atsevišķi ir ņemti vērā un integrēti. Politiskās atbildības līmenī digitālās politikas ieviešana ir VARAM ministra kompetencē, ko nav plānots mainīt. Savukārt būtiski ir paredzēt stiprināt VARAM lomu digitālās transformācijas un IKT pārvaldības politikas ieviešanas koordinācijā un pārraudzībā. </w:t>
            </w:r>
            <w:r w:rsidRPr="00D94802">
              <w:t>Pamatnostādnes ie</w:t>
            </w:r>
            <w:r>
              <w:t xml:space="preserve">zīmē </w:t>
            </w:r>
            <w:r>
              <w:lastRenderedPageBreak/>
              <w:t xml:space="preserve">virzību uz digitālās pārvaldības konsolidāciju un </w:t>
            </w:r>
            <w:proofErr w:type="spellStart"/>
            <w:r>
              <w:t>profesionalizāciju</w:t>
            </w:r>
            <w:proofErr w:type="spellEnd"/>
            <w:r>
              <w:t xml:space="preserve"> valsts pārvaldē, ko iezīmē virkne VARAM sagatavotu ziņojumu, kas ievieš pārvaldības modeli, tāpat Atjaunošanas un noturības plānā iezīmētais pārvaldības modelis, kas paredz virzību uz centralizētu platformu attīstību, valsts IKT infrastruktūras centralizāciju, kā arī visu IKT projektu uzraudzību no VARAM puses kā administratīvi, tā no vienotas valsts IKT arhitektūras un koplietošanas viedokļa. Tāpat tiek iezīmēta nepieciešama konsolidācija un koordinācija prasmju politikām, t.sk. digitālo prasmju jomā.</w:t>
            </w:r>
          </w:p>
          <w:p w14:paraId="00D993B7" w14:textId="77777777" w:rsidR="003279D3" w:rsidRPr="009841AB" w:rsidRDefault="003279D3" w:rsidP="00AF74DE">
            <w:pPr>
              <w:pStyle w:val="naisc"/>
              <w:spacing w:before="0" w:after="0"/>
              <w:jc w:val="both"/>
              <w:rPr>
                <w:b/>
                <w:bCs/>
              </w:rPr>
            </w:pPr>
          </w:p>
        </w:tc>
        <w:tc>
          <w:tcPr>
            <w:tcW w:w="3497" w:type="dxa"/>
            <w:tcBorders>
              <w:top w:val="single" w:sz="4" w:space="0" w:color="auto"/>
              <w:left w:val="single" w:sz="4" w:space="0" w:color="auto"/>
              <w:bottom w:val="single" w:sz="4" w:space="0" w:color="auto"/>
            </w:tcBorders>
            <w:shd w:val="clear" w:color="auto" w:fill="auto"/>
          </w:tcPr>
          <w:p w14:paraId="36048A1B" w14:textId="77777777" w:rsidR="005B2372" w:rsidRPr="00A46038" w:rsidRDefault="005B2372" w:rsidP="005B2372">
            <w:r w:rsidRPr="00A46038">
              <w:lastRenderedPageBreak/>
              <w:t>Lūdzam skatīt sadaļu “Ievads”</w:t>
            </w:r>
          </w:p>
          <w:p w14:paraId="6732F13E" w14:textId="77777777" w:rsidR="003279D3" w:rsidRPr="009841AB" w:rsidRDefault="003279D3" w:rsidP="00AF74DE"/>
        </w:tc>
      </w:tr>
      <w:tr w:rsidR="00427850" w:rsidRPr="009841AB" w14:paraId="5D93E7A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1DF3B1E" w14:textId="77777777" w:rsidR="00427850" w:rsidRPr="009841AB" w:rsidRDefault="00427850" w:rsidP="00AF74DE">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BEBAE7C" w14:textId="77777777" w:rsidR="00427850" w:rsidRPr="009841AB" w:rsidRDefault="00427850" w:rsidP="5E26E605">
            <w:pPr>
              <w:pStyle w:val="naisc"/>
              <w:spacing w:before="0" w:after="0" w:line="259" w:lineRule="auto"/>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B91BAE9" w14:textId="77777777" w:rsidR="00427850" w:rsidRPr="00427850" w:rsidRDefault="00427850" w:rsidP="5E26E605">
            <w:pPr>
              <w:pStyle w:val="naisc"/>
              <w:tabs>
                <w:tab w:val="left" w:pos="720"/>
              </w:tabs>
              <w:spacing w:before="0" w:after="0" w:line="259" w:lineRule="auto"/>
              <w:jc w:val="left"/>
              <w:rPr>
                <w:b/>
                <w:bCs/>
                <w:lang w:eastAsia="en-US"/>
              </w:rPr>
            </w:pPr>
            <w:r w:rsidRPr="00427850">
              <w:rPr>
                <w:b/>
                <w:bCs/>
                <w:lang w:eastAsia="en-U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0BC841E" w14:textId="77777777" w:rsidR="00427850" w:rsidRPr="009841AB" w:rsidRDefault="00427850" w:rsidP="5E26E605">
            <w:pPr>
              <w:pStyle w:val="naisc"/>
              <w:spacing w:before="0" w:after="0" w:line="259" w:lineRule="auto"/>
              <w:jc w:val="left"/>
              <w:rPr>
                <w:b/>
                <w:bCs/>
              </w:rPr>
            </w:pPr>
          </w:p>
        </w:tc>
        <w:tc>
          <w:tcPr>
            <w:tcW w:w="3497" w:type="dxa"/>
            <w:tcBorders>
              <w:top w:val="single" w:sz="4" w:space="0" w:color="auto"/>
              <w:left w:val="single" w:sz="4" w:space="0" w:color="auto"/>
              <w:bottom w:val="single" w:sz="4" w:space="0" w:color="auto"/>
            </w:tcBorders>
            <w:shd w:val="clear" w:color="auto" w:fill="auto"/>
          </w:tcPr>
          <w:p w14:paraId="7B2535F5" w14:textId="77777777" w:rsidR="00427850" w:rsidRPr="009841AB" w:rsidRDefault="00427850" w:rsidP="5E26E605">
            <w:pPr>
              <w:pStyle w:val="naisc"/>
              <w:spacing w:before="0" w:after="0" w:line="259" w:lineRule="auto"/>
              <w:jc w:val="left"/>
            </w:pPr>
          </w:p>
        </w:tc>
      </w:tr>
      <w:tr w:rsidR="00427850" w:rsidRPr="009841AB" w14:paraId="71CFFCE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E2A97A9" w14:textId="77777777" w:rsidR="00427850" w:rsidRPr="009841AB" w:rsidRDefault="00FE7E6F" w:rsidP="00AF74DE">
            <w:pPr>
              <w:pStyle w:val="naisc"/>
              <w:spacing w:before="0" w:after="0"/>
            </w:pPr>
            <w:r>
              <w:t>18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308E565" w14:textId="77777777" w:rsidR="00427850" w:rsidRPr="009841AB" w:rsidRDefault="00427850"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755139B" w14:textId="77777777" w:rsidR="00427850" w:rsidRDefault="00E777FC" w:rsidP="00AF74DE">
            <w:pPr>
              <w:tabs>
                <w:tab w:val="left" w:pos="720"/>
              </w:tabs>
              <w:contextualSpacing/>
              <w:jc w:val="both"/>
              <w:rPr>
                <w:lang w:eastAsia="en-US"/>
              </w:rPr>
            </w:pPr>
            <w:r>
              <w:rPr>
                <w:lang w:eastAsia="en-US"/>
              </w:rPr>
              <w:t xml:space="preserve">1. </w:t>
            </w:r>
            <w:r w:rsidR="00427850" w:rsidRPr="00427850">
              <w:rPr>
                <w:lang w:eastAsia="en-US"/>
              </w:rPr>
              <w:t xml:space="preserve">Aicinām </w:t>
            </w:r>
            <w:r w:rsidR="00427850" w:rsidRPr="00A46038">
              <w:rPr>
                <w:lang w:eastAsia="en-US"/>
              </w:rPr>
              <w:t>VARAM</w:t>
            </w:r>
            <w:r w:rsidR="00427850" w:rsidRPr="00427850">
              <w:rPr>
                <w:lang w:eastAsia="en-US"/>
              </w:rPr>
              <w:t xml:space="preserve"> pamatnostādņu projekta sadaļā “1.Ievads” aiz pirmās rindkopas iekļaut </w:t>
            </w:r>
            <w:r w:rsidR="00427850" w:rsidRPr="00427850">
              <w:rPr>
                <w:lang w:eastAsia="en-US"/>
              </w:rPr>
              <w:lastRenderedPageBreak/>
              <w:t xml:space="preserve">pamatnostādņu </w:t>
            </w:r>
            <w:proofErr w:type="spellStart"/>
            <w:r w:rsidR="00427850" w:rsidRPr="00427850">
              <w:rPr>
                <w:lang w:eastAsia="en-US"/>
              </w:rPr>
              <w:t>virsmērķi</w:t>
            </w:r>
            <w:proofErr w:type="spellEnd"/>
            <w:r w:rsidR="00427850" w:rsidRPr="00427850">
              <w:rPr>
                <w:lang w:eastAsia="en-US"/>
              </w:rPr>
              <w:t xml:space="preserve"> un kopējo vīziju, jo tās ir vienas no galvenajām ziņām sabiedrībai un pamatnostādņu lietotajiem un saīsināt pārāk detalizēto informāciju attiecībā uz VARAM darba grupu (6.lpp.), īsi norādot, ka pamatnostādnes izstrādāja darba grupa VARAM vadībā sadarbībā ar nozaru ministrijām un nozaru asociāciju pārstāvjiem (kopā vairāk nekā 200 cilvēku dalība un iesaiste), ņemot vērā jau tā lielo pamatnostādņu ziņojuma apjomu.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5DDF8D2" w14:textId="77777777" w:rsidR="00427850" w:rsidRPr="009841AB" w:rsidRDefault="7D754859" w:rsidP="5E26E605">
            <w:pPr>
              <w:pStyle w:val="naisc"/>
              <w:spacing w:before="0" w:after="0" w:line="259" w:lineRule="auto"/>
              <w:jc w:val="left"/>
              <w:rPr>
                <w:b/>
                <w:bCs/>
              </w:rPr>
            </w:pPr>
            <w:r w:rsidRPr="00A46038">
              <w:rPr>
                <w:b/>
                <w:bCs/>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5F9F967C" w14:textId="77777777" w:rsidR="00427850" w:rsidRPr="00A46038" w:rsidRDefault="7D754859" w:rsidP="5E26E605">
            <w:r w:rsidRPr="00A46038">
              <w:t>Lūdzam skatīt sadaļu “Ievads”</w:t>
            </w:r>
          </w:p>
          <w:p w14:paraId="085CF92E" w14:textId="77777777" w:rsidR="00427850" w:rsidRPr="009841AB" w:rsidRDefault="00427850" w:rsidP="00AF74DE"/>
        </w:tc>
      </w:tr>
      <w:tr w:rsidR="00E777FC" w:rsidRPr="009841AB" w14:paraId="59F9763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326F82C" w14:textId="77777777" w:rsidR="00E777FC" w:rsidRPr="009841AB" w:rsidRDefault="00FE7E6F" w:rsidP="00AF74DE">
            <w:pPr>
              <w:pStyle w:val="naisc"/>
              <w:spacing w:before="0" w:after="0"/>
            </w:pPr>
            <w:r>
              <w:t>19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90B955D" w14:textId="77777777" w:rsidR="00E777FC" w:rsidRPr="009841AB" w:rsidRDefault="00E777FC"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C6DE168" w14:textId="77777777" w:rsidR="00E777FC" w:rsidRDefault="00E777FC" w:rsidP="00AF74DE">
            <w:pPr>
              <w:tabs>
                <w:tab w:val="left" w:pos="720"/>
              </w:tabs>
              <w:contextualSpacing/>
              <w:jc w:val="both"/>
              <w:rPr>
                <w:lang w:eastAsia="en-US"/>
              </w:rPr>
            </w:pPr>
            <w:r>
              <w:rPr>
                <w:lang w:eastAsia="en-US"/>
              </w:rPr>
              <w:t>2</w:t>
            </w:r>
            <w:r w:rsidRPr="00E777FC">
              <w:rPr>
                <w:lang w:eastAsia="en-US"/>
              </w:rPr>
              <w:t xml:space="preserve">. Aicinām VARAM novērst informācijas dublēšanos pamatnostādņu projekta sadaļā “Kopsavilkums”, attiecībā uz to, ka “Pamatnostādņu īstenošana notiks no valsts budžeta </w:t>
            </w:r>
            <w:r w:rsidRPr="00A46038">
              <w:rPr>
                <w:lang w:eastAsia="en-US"/>
              </w:rPr>
              <w:t>līdzekļiem</w:t>
            </w:r>
            <w:r w:rsidRPr="00E777FC">
              <w:rPr>
                <w:lang w:eastAsia="en-US"/>
              </w:rPr>
              <w:t>, kā arī piesaistot ES struktūrfondu līdzekļus un privāto finansējumu (divas reizes atkārtojas” 2.un 6.rindkopa 9.lpp).</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E6D3DB4" w14:textId="77777777" w:rsidR="00E777FC" w:rsidRPr="00A46038" w:rsidRDefault="4423A993" w:rsidP="5E26E605">
            <w:pPr>
              <w:pStyle w:val="naisc"/>
              <w:spacing w:before="0" w:after="0"/>
              <w:jc w:val="both"/>
              <w:rPr>
                <w:b/>
                <w:bCs/>
              </w:rPr>
            </w:pPr>
            <w:r w:rsidRPr="00A46038">
              <w:rPr>
                <w:b/>
                <w:bCs/>
              </w:rPr>
              <w:t>Ņemts vērā</w:t>
            </w:r>
          </w:p>
          <w:p w14:paraId="4FE50406" w14:textId="77777777" w:rsidR="00E777FC" w:rsidRPr="00A46038" w:rsidRDefault="00E777FC" w:rsidP="5E26E605">
            <w:pPr>
              <w:spacing w:line="259" w:lineRule="auto"/>
            </w:pPr>
          </w:p>
          <w:p w14:paraId="1FD827A8" w14:textId="77777777" w:rsidR="00E777FC" w:rsidRPr="009841AB" w:rsidRDefault="00E777FC" w:rsidP="00AF74DE">
            <w:pPr>
              <w:pStyle w:val="naisc"/>
              <w:spacing w:before="0" w:after="0"/>
              <w:jc w:val="both"/>
              <w:rPr>
                <w:b/>
                <w:bCs/>
              </w:rPr>
            </w:pPr>
          </w:p>
        </w:tc>
        <w:tc>
          <w:tcPr>
            <w:tcW w:w="3497" w:type="dxa"/>
            <w:tcBorders>
              <w:top w:val="single" w:sz="4" w:space="0" w:color="auto"/>
              <w:left w:val="single" w:sz="4" w:space="0" w:color="auto"/>
              <w:bottom w:val="single" w:sz="4" w:space="0" w:color="auto"/>
            </w:tcBorders>
            <w:shd w:val="clear" w:color="auto" w:fill="auto"/>
          </w:tcPr>
          <w:p w14:paraId="42762AD4" w14:textId="77777777" w:rsidR="00E777FC" w:rsidRPr="00A46038" w:rsidRDefault="4423A993" w:rsidP="5E26E605">
            <w:r w:rsidRPr="00A46038">
              <w:t>Lūdzam skatīt sadaļu “Ievads” un "Kopsavilkums"</w:t>
            </w:r>
          </w:p>
          <w:p w14:paraId="4A55D5D7" w14:textId="77777777" w:rsidR="00E777FC" w:rsidRPr="009841AB" w:rsidRDefault="00E777FC" w:rsidP="00AF74DE"/>
        </w:tc>
      </w:tr>
      <w:tr w:rsidR="00566B19" w:rsidRPr="009841AB" w14:paraId="1534AA13"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5239F9E5" w14:textId="77777777" w:rsidR="00566B19" w:rsidRPr="009841AB" w:rsidRDefault="00566B19" w:rsidP="00566B19">
            <w:pPr>
              <w:tabs>
                <w:tab w:val="left" w:pos="720"/>
              </w:tabs>
              <w:contextualSpacing/>
              <w:jc w:val="both"/>
              <w:rPr>
                <w:b/>
                <w:bCs/>
                <w:lang w:eastAsia="en-US"/>
              </w:rPr>
            </w:pPr>
            <w:r w:rsidRPr="009841AB">
              <w:rPr>
                <w:b/>
                <w:bCs/>
                <w:lang w:eastAsia="en-US"/>
              </w:rPr>
              <w:t>Latvijas Finanšu nozares asociācijas 28.01.2021. atzinums:</w:t>
            </w:r>
          </w:p>
        </w:tc>
      </w:tr>
      <w:tr w:rsidR="00566B19" w:rsidRPr="009841AB" w14:paraId="6AD849C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06D5340" w14:textId="77777777" w:rsidR="00566B19" w:rsidRPr="009841AB" w:rsidRDefault="00FE7E6F" w:rsidP="00AF74DE">
            <w:pPr>
              <w:pStyle w:val="naisc"/>
              <w:spacing w:before="0" w:after="0"/>
            </w:pPr>
            <w:r>
              <w:t>20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D1F8882" w14:textId="77777777" w:rsidR="00566B19" w:rsidRPr="009841AB" w:rsidRDefault="00566B1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DC496ED" w14:textId="77777777" w:rsidR="00566B19" w:rsidRPr="009841AB" w:rsidRDefault="00566B19" w:rsidP="00AF74DE">
            <w:pPr>
              <w:tabs>
                <w:tab w:val="left" w:pos="720"/>
              </w:tabs>
              <w:contextualSpacing/>
              <w:jc w:val="both"/>
              <w:rPr>
                <w:lang w:eastAsia="en-US"/>
              </w:rPr>
            </w:pPr>
            <w:r w:rsidRPr="009841AB">
              <w:rPr>
                <w:lang w:eastAsia="en-US"/>
              </w:rPr>
              <w:t xml:space="preserve">Asociācija norāda, ka Projektā digitālās transformācijas </w:t>
            </w:r>
            <w:proofErr w:type="spellStart"/>
            <w:r w:rsidRPr="009841AB">
              <w:rPr>
                <w:lang w:eastAsia="en-US"/>
              </w:rPr>
              <w:t>virsmērķis</w:t>
            </w:r>
            <w:proofErr w:type="spellEnd"/>
            <w:r w:rsidRPr="009841AB">
              <w:rPr>
                <w:lang w:eastAsia="en-US"/>
              </w:rPr>
              <w:t xml:space="preserve"> ir izveidot tādu sabiedrību, tautsaimniecību un valsts pārvaldi, kas mērķtiecīgi izmanto esošās un veido jaunas digitālo tehnoloģiju iespējas, kā arī to radīto vidi, uzlabojot dzīves kvalitāti ikvienam indivīdam un sabiedrībai kopumā, ceļot valsts un tautsaimniecības konkurētspēju. Pievienojoties </w:t>
            </w:r>
            <w:proofErr w:type="spellStart"/>
            <w:r w:rsidRPr="009841AB">
              <w:rPr>
                <w:lang w:eastAsia="en-US"/>
              </w:rPr>
              <w:t>virsmērķī</w:t>
            </w:r>
            <w:proofErr w:type="spellEnd"/>
            <w:r w:rsidRPr="009841AB">
              <w:rPr>
                <w:lang w:eastAsia="en-US"/>
              </w:rPr>
              <w:t xml:space="preserve"> norādītajai idejai, Asociācija vērš uzmanību, ka Projekts kopumā, noteiktais </w:t>
            </w:r>
            <w:proofErr w:type="spellStart"/>
            <w:r w:rsidRPr="009841AB">
              <w:rPr>
                <w:lang w:eastAsia="en-US"/>
              </w:rPr>
              <w:t>virsmērķis</w:t>
            </w:r>
            <w:proofErr w:type="spellEnd"/>
            <w:r w:rsidRPr="009841AB">
              <w:rPr>
                <w:lang w:eastAsia="en-US"/>
              </w:rPr>
              <w:t xml:space="preserve"> un atsevišķi noteiktajos rīcības virzienos identificētie rīcības virzieni neveido vienotu kopumu. Trūkst konkrēta ar </w:t>
            </w:r>
            <w:proofErr w:type="spellStart"/>
            <w:r w:rsidRPr="009841AB">
              <w:rPr>
                <w:lang w:eastAsia="en-US"/>
              </w:rPr>
              <w:t>virsmērķi</w:t>
            </w:r>
            <w:proofErr w:type="spellEnd"/>
            <w:r w:rsidRPr="009841AB">
              <w:rPr>
                <w:lang w:eastAsia="en-US"/>
              </w:rPr>
              <w:t xml:space="preserve"> sasaistītu </w:t>
            </w:r>
            <w:proofErr w:type="spellStart"/>
            <w:r w:rsidRPr="009841AB">
              <w:rPr>
                <w:lang w:eastAsia="en-US"/>
              </w:rPr>
              <w:t>apakšmērķu</w:t>
            </w:r>
            <w:proofErr w:type="spellEnd"/>
            <w:r w:rsidRPr="009841AB">
              <w:rPr>
                <w:lang w:eastAsia="en-US"/>
              </w:rPr>
              <w:t xml:space="preserve"> definējuma un vēl jo vairāk saprotamu, izmērāmu rādītāju, kuriem izpildoties būs iespējams pateikt, ka mērķis ir sasniegts. Būtu atbalstāma Projektā lietoto formulējumu konkretizācija, rezultatīvo rādītāju savstarpēja sasaiste, veidojot saprotamu pieeju kā ne tikai kvalitatīvi, bet arī kvantitatīvi izmērīt,  vai izvirzītie mērķi ir sasniegti.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9DEE8AC" w14:textId="77777777" w:rsidR="009309E9" w:rsidRPr="00F56B1C" w:rsidRDefault="6D3777D1" w:rsidP="00AF74DE">
            <w:pPr>
              <w:pStyle w:val="naisc"/>
              <w:spacing w:before="0" w:after="0"/>
              <w:jc w:val="both"/>
              <w:rPr>
                <w:b/>
                <w:bCs/>
              </w:rPr>
            </w:pPr>
            <w:r w:rsidRPr="009841AB">
              <w:rPr>
                <w:b/>
                <w:bCs/>
              </w:rPr>
              <w:t>Ņemts vērā</w:t>
            </w:r>
          </w:p>
          <w:p w14:paraId="579101DF" w14:textId="77777777" w:rsidR="009309E9" w:rsidRPr="009841AB" w:rsidRDefault="009309E9" w:rsidP="00AF74DE">
            <w:pPr>
              <w:pStyle w:val="naisc"/>
              <w:spacing w:before="0" w:after="0"/>
              <w:jc w:val="both"/>
            </w:pPr>
            <w:r w:rsidRPr="009841AB">
              <w:t xml:space="preserve">Precizēti pamatnostādņu rīcības virzieni, veidojot konkrētu sasaisti ar </w:t>
            </w:r>
            <w:proofErr w:type="spellStart"/>
            <w:r w:rsidRPr="009841AB">
              <w:t>virsmērķi</w:t>
            </w:r>
            <w:proofErr w:type="spellEnd"/>
            <w:r w:rsidRPr="009841AB">
              <w:t>.</w:t>
            </w:r>
          </w:p>
        </w:tc>
        <w:tc>
          <w:tcPr>
            <w:tcW w:w="3497" w:type="dxa"/>
            <w:tcBorders>
              <w:top w:val="single" w:sz="4" w:space="0" w:color="auto"/>
              <w:left w:val="single" w:sz="4" w:space="0" w:color="auto"/>
              <w:bottom w:val="single" w:sz="4" w:space="0" w:color="auto"/>
            </w:tcBorders>
            <w:shd w:val="clear" w:color="auto" w:fill="auto"/>
          </w:tcPr>
          <w:p w14:paraId="7101BDB9" w14:textId="77777777" w:rsidR="00566B19" w:rsidRPr="009841AB" w:rsidRDefault="00566B19" w:rsidP="00AF74DE"/>
        </w:tc>
      </w:tr>
      <w:tr w:rsidR="00566B19" w:rsidRPr="009841AB" w14:paraId="3B40001B"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6927285" w14:textId="77777777" w:rsidR="00566B19" w:rsidRPr="009841AB" w:rsidRDefault="00566B19" w:rsidP="00566B19">
            <w:pPr>
              <w:tabs>
                <w:tab w:val="left" w:pos="720"/>
              </w:tabs>
              <w:contextualSpacing/>
              <w:jc w:val="both"/>
              <w:rPr>
                <w:b/>
                <w:bCs/>
                <w:lang w:eastAsia="en-US"/>
              </w:rPr>
            </w:pPr>
            <w:r w:rsidRPr="009841AB">
              <w:rPr>
                <w:b/>
                <w:bCs/>
                <w:lang w:eastAsia="en-US"/>
              </w:rPr>
              <w:lastRenderedPageBreak/>
              <w:t>Izglītības un zinātnes ministrijas 27.01.2021. atzinums:</w:t>
            </w:r>
          </w:p>
        </w:tc>
      </w:tr>
      <w:tr w:rsidR="00566B19" w:rsidRPr="009841AB" w14:paraId="627B06F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150D098" w14:textId="77777777" w:rsidR="00566B19" w:rsidRPr="009841AB" w:rsidRDefault="006723F1" w:rsidP="00AF74DE">
            <w:pPr>
              <w:pStyle w:val="naisc"/>
              <w:spacing w:before="0" w:after="0"/>
            </w:pPr>
            <w:r>
              <w:t>21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45F2751" w14:textId="77777777" w:rsidR="00566B19" w:rsidRPr="009841AB" w:rsidRDefault="00566B1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1742EEF" w14:textId="77777777" w:rsidR="00566B19" w:rsidRPr="009841AB" w:rsidRDefault="00566B19" w:rsidP="00AF74DE">
            <w:pPr>
              <w:tabs>
                <w:tab w:val="left" w:pos="720"/>
              </w:tabs>
              <w:contextualSpacing/>
              <w:jc w:val="both"/>
              <w:rPr>
                <w:lang w:eastAsia="en-US"/>
              </w:rPr>
            </w:pPr>
            <w:r w:rsidRPr="009841AB">
              <w:rPr>
                <w:lang w:eastAsia="en-US"/>
              </w:rPr>
              <w:t xml:space="preserve">1. Projekta ievadā ir secināts, ka uzņēmumi “neizmanto savu </w:t>
            </w:r>
            <w:proofErr w:type="spellStart"/>
            <w:r w:rsidRPr="009841AB">
              <w:rPr>
                <w:lang w:eastAsia="en-US"/>
              </w:rPr>
              <w:t>digitalizācijas</w:t>
            </w:r>
            <w:proofErr w:type="spellEnd"/>
            <w:r w:rsidRPr="009841AB">
              <w:rPr>
                <w:lang w:eastAsia="en-US"/>
              </w:rPr>
              <w:t xml:space="preserve"> potenciālu, ko apliecina atpalicība no ES vidējā rādītāja un nav panākts būtisks progress digitālo tehnoloģiju integrācijā uzņēmējsabiedrībās. Latvijas komersanti joprojām nepietiekami izmanto preču un pakalpojumu tiešsaistes pārdošanas potenciālu, e-komercijas jomā starp MVU un ar to saistītā apgrozījuma ziņā ievērojami atpaliekot no ES vidējā rādītāja. Tikai 11 % MVU pārdod preces tiešsaistē, kas ir mazāk par ES vidējo rādītāju – 17,5 %. To MVU īpatsvars, kuri veic pārrobežu tirdzniecību, joprojām ir zemāks par ES vidējo rādītāju (tikai 6,6 % no visiem MVU salīdzinājumā ar 8,4 % ES kopumā), un tikai vidēji 5,3 % no MVU apgrozījuma nāk no tiešsaistes segmenta.” Savukārt, projekta rīcības daļā un rezultatīvajos rādītājos netiek atspoguļota atbilstoša </w:t>
            </w:r>
            <w:proofErr w:type="spellStart"/>
            <w:r w:rsidRPr="009841AB">
              <w:rPr>
                <w:lang w:eastAsia="en-US"/>
              </w:rPr>
              <w:t>rīcībpolitika</w:t>
            </w:r>
            <w:proofErr w:type="spellEnd"/>
            <w:r w:rsidRPr="009841AB">
              <w:rPr>
                <w:lang w:eastAsia="en-US"/>
              </w:rPr>
              <w:t xml:space="preserve"> izmaiņu panākšanai šajā jautājumā. Lūdzam precizēt projektu un paredzēt projekta ievadā pieteiktajām problēmām atbilstošus risinājumus projekta rīcības aprakstā.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1395EDE" w14:textId="77777777" w:rsidR="00566B19" w:rsidRPr="009841AB" w:rsidRDefault="00620BD2" w:rsidP="00AF74DE">
            <w:pPr>
              <w:pStyle w:val="naisc"/>
              <w:spacing w:before="0" w:after="0"/>
              <w:jc w:val="both"/>
              <w:rPr>
                <w:b/>
                <w:bCs/>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30F92E89" w14:textId="77777777" w:rsidR="00566B19" w:rsidRPr="009841AB" w:rsidRDefault="00CC28B3" w:rsidP="00AF74DE">
            <w:r w:rsidRPr="009841AB">
              <w:t xml:space="preserve">Lūdzam skatīt </w:t>
            </w:r>
            <w:proofErr w:type="spellStart"/>
            <w:r w:rsidRPr="009841AB">
              <w:t>apakšsadaļu</w:t>
            </w:r>
            <w:proofErr w:type="spellEnd"/>
            <w:r w:rsidRPr="009841AB">
              <w:t xml:space="preserve"> 4.4.11.</w:t>
            </w:r>
          </w:p>
        </w:tc>
      </w:tr>
      <w:tr w:rsidR="00620BD2" w:rsidRPr="009841AB" w14:paraId="1CBA4C47"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4C76A0E" w14:textId="77777777" w:rsidR="00620BD2" w:rsidRPr="009841AB" w:rsidRDefault="006723F1" w:rsidP="00620BD2">
            <w:pPr>
              <w:pStyle w:val="naisc"/>
              <w:spacing w:before="0" w:after="0"/>
            </w:pPr>
            <w:r>
              <w:t>22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13C6EA2" w14:textId="77777777" w:rsidR="00620BD2" w:rsidRPr="009841AB" w:rsidRDefault="00620BD2" w:rsidP="00620BD2">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66D04A2" w14:textId="77777777" w:rsidR="00620BD2" w:rsidRPr="009841AB" w:rsidRDefault="00620BD2" w:rsidP="00620BD2">
            <w:pPr>
              <w:tabs>
                <w:tab w:val="left" w:pos="720"/>
              </w:tabs>
              <w:contextualSpacing/>
              <w:jc w:val="both"/>
              <w:rPr>
                <w:lang w:eastAsia="en-US"/>
              </w:rPr>
            </w:pPr>
            <w:r w:rsidRPr="009841AB">
              <w:rPr>
                <w:lang w:eastAsia="en-US"/>
              </w:rPr>
              <w:t xml:space="preserve">2. Projekta ievadā kā būtiska problēma tiek pieteikta “Gandrīz puse no visiem Latvijas komersantiem, kas vēlas pieņemt darbā IKT jomas speciālistus, ziņo par grūtībām aizpildīt vakances. Turklāt 17,7 % komersantu nodrošina personālam apmācību, lai pilnveidotu un uzlabotu savas IKT prasmes, kas ir ievērojami mazāk nekā ES vidējais rādītājs – 23,9 %. IKT speciālistu trūkums ir redzams arī nodarbinātības rādītājos, jo viņu īpatsvars kopējā nodarbinātībā ir ievērojami zemāks par ES vidējo — 1,7 % salīdzinājumā ar 3,9 % (sk. 3.3. apakšnodaļu). Tas, iespējams, ir šķērslis ieguldījumiem un inovācijai un varētu arī ierobežot produktivitāti veicinošu digitālo </w:t>
            </w:r>
            <w:r w:rsidRPr="009841AB">
              <w:rPr>
                <w:lang w:eastAsia="en-US"/>
              </w:rPr>
              <w:lastRenderedPageBreak/>
              <w:t>risinājumu izplatību komersantu vidū. Pieprasījuma straujā pieauguma dēļ nākotnē šis trūkums, visticamāk, saasināsies.” Apzinoties, ka šis ir būtisks aspekts, kas kavē IKT jomas tālāku attīstību, arī šajā virzienā netiek izvirzīti rezultatīvie rādītāji, kuri būtu jāsasniedz pamatnostādņu īstenošanas periodā. Lūdzam precizēt projektu un pārskatīt pamatnostādņu rezultāta rādītājus.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F579524" w14:textId="77777777" w:rsidR="00620BD2" w:rsidRPr="009841AB" w:rsidRDefault="00620BD2" w:rsidP="00620BD2">
            <w:pPr>
              <w:pStyle w:val="naisc"/>
              <w:spacing w:before="0" w:after="0"/>
              <w:jc w:val="both"/>
              <w:rPr>
                <w:b/>
                <w:bCs/>
              </w:rPr>
            </w:pPr>
            <w:r w:rsidRPr="009841AB">
              <w:rPr>
                <w:b/>
                <w:bCs/>
              </w:rPr>
              <w:lastRenderedPageBreak/>
              <w:t>Ņemts vērā</w:t>
            </w:r>
          </w:p>
          <w:p w14:paraId="4E015B32" w14:textId="77777777" w:rsidR="00620BD2" w:rsidRPr="009841AB" w:rsidRDefault="00620BD2" w:rsidP="00620BD2">
            <w:pPr>
              <w:pStyle w:val="naisc"/>
              <w:spacing w:before="0" w:after="0"/>
              <w:jc w:val="both"/>
              <w:rPr>
                <w:bCs/>
              </w:rPr>
            </w:pPr>
            <w:r w:rsidRPr="009841AB">
              <w:rPr>
                <w:bCs/>
              </w:rPr>
              <w:t>Noteikts politikas rādītājs PR 4.1.-2: Palielināts IKT speciālistu kopumā un IKT speciālistu - sieviešu daudzums.</w:t>
            </w:r>
          </w:p>
        </w:tc>
        <w:tc>
          <w:tcPr>
            <w:tcW w:w="3497" w:type="dxa"/>
            <w:tcBorders>
              <w:top w:val="single" w:sz="4" w:space="0" w:color="auto"/>
              <w:left w:val="single" w:sz="4" w:space="0" w:color="auto"/>
              <w:bottom w:val="single" w:sz="4" w:space="0" w:color="auto"/>
            </w:tcBorders>
            <w:shd w:val="clear" w:color="auto" w:fill="auto"/>
          </w:tcPr>
          <w:p w14:paraId="25147431" w14:textId="77777777" w:rsidR="00620BD2" w:rsidRPr="009841AB" w:rsidRDefault="00620BD2" w:rsidP="00620BD2">
            <w:r w:rsidRPr="009841AB">
              <w:t xml:space="preserve">Lūdzam skatīt </w:t>
            </w:r>
            <w:proofErr w:type="spellStart"/>
            <w:r w:rsidRPr="009841AB">
              <w:t>apakšsadaļu</w:t>
            </w:r>
            <w:proofErr w:type="spellEnd"/>
            <w:r w:rsidRPr="009841AB">
              <w:t xml:space="preserve"> 4.1.</w:t>
            </w:r>
          </w:p>
        </w:tc>
      </w:tr>
      <w:tr w:rsidR="00566B19" w:rsidRPr="009841AB" w14:paraId="24FF607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20CF66B" w14:textId="77777777" w:rsidR="00566B19" w:rsidRPr="009841AB" w:rsidRDefault="006723F1" w:rsidP="00AF74DE">
            <w:pPr>
              <w:pStyle w:val="naisc"/>
              <w:spacing w:before="0" w:after="0"/>
            </w:pPr>
            <w:r>
              <w:t>23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6562A4F" w14:textId="77777777" w:rsidR="00566B19" w:rsidRPr="009841AB" w:rsidRDefault="00566B1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2A1DE76" w14:textId="77777777" w:rsidR="00642E85" w:rsidRDefault="00642E85" w:rsidP="00642E85">
            <w:pPr>
              <w:spacing w:line="276" w:lineRule="auto"/>
              <w:jc w:val="both"/>
            </w:pPr>
            <w:r>
              <w:t>(Iepriekš izziņas 14. punkts)</w:t>
            </w:r>
          </w:p>
          <w:p w14:paraId="36E00C77" w14:textId="77777777" w:rsidR="00566B19" w:rsidRPr="009841AB" w:rsidRDefault="00566B19" w:rsidP="00AF74DE">
            <w:pPr>
              <w:tabs>
                <w:tab w:val="left" w:pos="720"/>
              </w:tabs>
              <w:contextualSpacing/>
              <w:jc w:val="both"/>
              <w:rPr>
                <w:lang w:eastAsia="en-US"/>
              </w:rPr>
            </w:pPr>
            <w:r w:rsidRPr="009841AB">
              <w:rPr>
                <w:lang w:eastAsia="en-US"/>
              </w:rPr>
              <w:t xml:space="preserve">3. Lūdzam izvērtēt projektā plānoto rīcības virzienu un </w:t>
            </w:r>
            <w:proofErr w:type="spellStart"/>
            <w:r w:rsidRPr="009841AB">
              <w:rPr>
                <w:lang w:eastAsia="en-US"/>
              </w:rPr>
              <w:t>apakšvirzienu</w:t>
            </w:r>
            <w:proofErr w:type="spellEnd"/>
            <w:r w:rsidRPr="009841AB">
              <w:rPr>
                <w:lang w:eastAsia="en-US"/>
              </w:rPr>
              <w:t xml:space="preserve"> daudzuma un to uzdevumos paredzēto plānu izstrādes atbilstību labas pārvaldības un samērīguma principiem, jo projektā ir liels skaits rīcības virzienu tikai ar vienu uzdevumu tā īstenošanai un vienīgais uzdevums savukārt paredz izstrādāt plānu. Ņemot vērā, ka projektā nav paredzēts kādā līmenī šie plāni tiks apstiprināti, nav arī skaidrs to statuss politikas plānošanas dokumentu hierarhijā. Ja ir plānots, ka šie plāni ir pamatnostādņu īstenošanas dokumenti, kas jāapstiprina Ministru kabinetā, tad šāda pieeja rada ievērojamu administratīvo slogu visai valsts pārvaldei.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C4B0287" w14:textId="77777777" w:rsidR="00566B19" w:rsidRPr="009841AB" w:rsidRDefault="7D261E82" w:rsidP="00AF74DE">
            <w:pPr>
              <w:pStyle w:val="naisc"/>
              <w:spacing w:before="0" w:after="0"/>
              <w:jc w:val="both"/>
              <w:rPr>
                <w:b/>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74ACD1F3" w14:textId="77777777" w:rsidR="00566B19" w:rsidRPr="009841AB" w:rsidRDefault="009166B7" w:rsidP="00AF74DE">
            <w:r>
              <w:t xml:space="preserve">Lūdzam skatīt </w:t>
            </w:r>
            <w:proofErr w:type="spellStart"/>
            <w:r>
              <w:t>protokollēmuma</w:t>
            </w:r>
            <w:proofErr w:type="spellEnd"/>
            <w:r>
              <w:t xml:space="preserve"> projektu</w:t>
            </w:r>
          </w:p>
        </w:tc>
      </w:tr>
      <w:tr w:rsidR="00566B19" w:rsidRPr="009841AB" w14:paraId="3776791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424CBE9" w14:textId="77777777" w:rsidR="00566B19" w:rsidRPr="009841AB" w:rsidRDefault="006723F1" w:rsidP="00AF74DE">
            <w:pPr>
              <w:pStyle w:val="naisc"/>
              <w:spacing w:before="0" w:after="0"/>
            </w:pPr>
            <w:r>
              <w:t>24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2AF8E33" w14:textId="77777777" w:rsidR="00566B19" w:rsidRPr="009841AB" w:rsidRDefault="00566B1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3EF0B60" w14:textId="77777777" w:rsidR="00566B19" w:rsidRPr="009841AB" w:rsidRDefault="00566B19" w:rsidP="00AF74DE">
            <w:pPr>
              <w:tabs>
                <w:tab w:val="left" w:pos="720"/>
              </w:tabs>
              <w:contextualSpacing/>
              <w:jc w:val="both"/>
              <w:rPr>
                <w:lang w:eastAsia="en-US"/>
              </w:rPr>
            </w:pPr>
            <w:r w:rsidRPr="009841AB">
              <w:rPr>
                <w:lang w:eastAsia="en-US"/>
              </w:rPr>
              <w:t>4.</w:t>
            </w:r>
            <w:r w:rsidRPr="009841AB">
              <w:rPr>
                <w:lang w:eastAsia="en-US"/>
              </w:rPr>
              <w:tab/>
              <w:t xml:space="preserve">Ņemot vērā projektā paredzēto digitālās transformācijas politikas rīcības virzienu ietekmi uz citu nozaru politikām, rosinām pārskatīt pamatnostādņu īstenošanas pārvaldības otro līmeni, paredzot nozaru politiku vadošo institūciju iesaisti iestāžu vadītāju līmenī.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4943B56" w14:textId="77777777" w:rsidR="00566B19" w:rsidRPr="009841AB" w:rsidRDefault="0D4336FC" w:rsidP="00AF74DE">
            <w:pPr>
              <w:pStyle w:val="naisc"/>
              <w:spacing w:before="0" w:after="0"/>
              <w:jc w:val="both"/>
              <w:rPr>
                <w:b/>
              </w:rPr>
            </w:pPr>
            <w:r w:rsidRPr="009841AB">
              <w:rPr>
                <w:b/>
                <w:bCs/>
              </w:rPr>
              <w:t xml:space="preserve">Ņemts vērā </w:t>
            </w:r>
          </w:p>
        </w:tc>
        <w:tc>
          <w:tcPr>
            <w:tcW w:w="3497" w:type="dxa"/>
            <w:tcBorders>
              <w:top w:val="single" w:sz="4" w:space="0" w:color="auto"/>
              <w:left w:val="single" w:sz="4" w:space="0" w:color="auto"/>
              <w:bottom w:val="single" w:sz="4" w:space="0" w:color="auto"/>
            </w:tcBorders>
            <w:shd w:val="clear" w:color="auto" w:fill="auto"/>
          </w:tcPr>
          <w:p w14:paraId="25B54DCD" w14:textId="77777777" w:rsidR="00566B19" w:rsidRPr="009841AB" w:rsidRDefault="009166B7" w:rsidP="00AF74DE">
            <w:r>
              <w:t xml:space="preserve">Lūdzam skatīt </w:t>
            </w:r>
            <w:proofErr w:type="spellStart"/>
            <w:r>
              <w:t>protokollēmuma</w:t>
            </w:r>
            <w:proofErr w:type="spellEnd"/>
            <w:r>
              <w:t xml:space="preserve"> projektu</w:t>
            </w:r>
          </w:p>
        </w:tc>
      </w:tr>
      <w:tr w:rsidR="00566B19" w:rsidRPr="009841AB" w14:paraId="33C626A8"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710CD29" w14:textId="77777777" w:rsidR="00566B19" w:rsidRPr="009841AB" w:rsidRDefault="006723F1" w:rsidP="00AF74DE">
            <w:pPr>
              <w:pStyle w:val="naisc"/>
              <w:spacing w:before="0" w:after="0"/>
            </w:pPr>
            <w:r>
              <w:t>25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A9B7B41" w14:textId="77777777" w:rsidR="00566B19" w:rsidRPr="009841AB" w:rsidRDefault="00566B1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9D452E3" w14:textId="77777777" w:rsidR="00566B19" w:rsidRPr="009841AB" w:rsidRDefault="00566B19" w:rsidP="00AF74DE">
            <w:pPr>
              <w:tabs>
                <w:tab w:val="left" w:pos="720"/>
              </w:tabs>
              <w:contextualSpacing/>
              <w:jc w:val="both"/>
              <w:rPr>
                <w:lang w:eastAsia="en-US"/>
              </w:rPr>
            </w:pPr>
            <w:r w:rsidRPr="009841AB">
              <w:rPr>
                <w:lang w:eastAsia="en-US"/>
              </w:rPr>
              <w:t>5.</w:t>
            </w:r>
            <w:r w:rsidRPr="009841AB">
              <w:rPr>
                <w:lang w:eastAsia="en-US"/>
              </w:rPr>
              <w:tab/>
              <w:t xml:space="preserve">Lūdzam izvērtēt rīcības virzienu, kas attiecas uz valsts pārvaldes procesu un instrumentu modernizāciju, apvienošanu vienā rīcības virzienā ar skaidri nodefinētiem uzdevumiem katrai no iesaistītajām institūcijām, lai uzlabotu plānotās </w:t>
            </w:r>
            <w:proofErr w:type="spellStart"/>
            <w:r w:rsidRPr="009841AB">
              <w:rPr>
                <w:lang w:eastAsia="en-US"/>
              </w:rPr>
              <w:t>rīcībpolitikas</w:t>
            </w:r>
            <w:proofErr w:type="spellEnd"/>
            <w:r w:rsidRPr="009841AB">
              <w:rPr>
                <w:lang w:eastAsia="en-US"/>
              </w:rPr>
              <w:t xml:space="preserve"> uztveramību gan valsts pārvaldē nodarbinātajiem gan plašākai sabiedrībai.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17CCC58" w14:textId="35CD58C5" w:rsidR="00D66172" w:rsidRPr="00F56B1C" w:rsidRDefault="004774D3" w:rsidP="00AF74DE">
            <w:pPr>
              <w:pStyle w:val="naisc"/>
              <w:spacing w:before="0" w:after="0"/>
              <w:jc w:val="both"/>
              <w:rPr>
                <w:b/>
              </w:rPr>
            </w:pPr>
            <w:r>
              <w:rPr>
                <w:b/>
              </w:rPr>
              <w:t>Panākta vienošanās</w:t>
            </w:r>
          </w:p>
          <w:p w14:paraId="0BB82BCE" w14:textId="77777777" w:rsidR="00566B19" w:rsidRPr="009841AB" w:rsidRDefault="00D66172" w:rsidP="00AF74DE">
            <w:pPr>
              <w:pStyle w:val="naisc"/>
              <w:spacing w:before="0" w:after="0"/>
              <w:jc w:val="both"/>
              <w:rPr>
                <w:bCs/>
              </w:rPr>
            </w:pPr>
            <w:r w:rsidRPr="009841AB">
              <w:rPr>
                <w:bCs/>
              </w:rPr>
              <w:t xml:space="preserve">Tieši ar nolūku padarīt digitālās transformācijas politikas prioritātes uztveramākas un atvieglotu to </w:t>
            </w:r>
            <w:r w:rsidRPr="009841AB">
              <w:rPr>
                <w:bCs/>
              </w:rPr>
              <w:lastRenderedPageBreak/>
              <w:t>komunikāciju gan valsts pārvaldei, gan sabiedrībai, ir izveidota pamatnostādnēs piedāvātā satura un rīcības virzienu struktūra. Ņemot vērā dokumenta tvēruma plašumu un tā vietai plānošanas dokumentu hierarhijā atbilstošo detalizācijas līmeni, konkrētus operatīvos institūciju līmeņa digitālās transformācijas uzdevumus paredzēts noteikt no pamatnostādnēm izrietošajos rīcības plānos.</w:t>
            </w:r>
          </w:p>
        </w:tc>
        <w:tc>
          <w:tcPr>
            <w:tcW w:w="3497" w:type="dxa"/>
            <w:tcBorders>
              <w:top w:val="single" w:sz="4" w:space="0" w:color="auto"/>
              <w:left w:val="single" w:sz="4" w:space="0" w:color="auto"/>
              <w:bottom w:val="single" w:sz="4" w:space="0" w:color="auto"/>
            </w:tcBorders>
            <w:shd w:val="clear" w:color="auto" w:fill="auto"/>
          </w:tcPr>
          <w:p w14:paraId="33753D87" w14:textId="77777777" w:rsidR="00566B19" w:rsidRPr="009841AB" w:rsidRDefault="00566B19" w:rsidP="00AF74DE"/>
        </w:tc>
      </w:tr>
      <w:tr w:rsidR="00E01B2F" w:rsidRPr="009841AB" w14:paraId="7FC0036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3C5C0DD" w14:textId="77777777" w:rsidR="00E01B2F" w:rsidRPr="009841AB" w:rsidRDefault="006723F1" w:rsidP="00E01B2F">
            <w:pPr>
              <w:pStyle w:val="naisc"/>
              <w:spacing w:before="0" w:after="0"/>
            </w:pPr>
            <w:r>
              <w:t>26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484C336" w14:textId="77777777" w:rsidR="00E01B2F" w:rsidRPr="009841AB" w:rsidRDefault="00E01B2F" w:rsidP="00E01B2F">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441E228" w14:textId="77777777" w:rsidR="00E01B2F" w:rsidRPr="009841AB" w:rsidRDefault="00E01B2F" w:rsidP="00E01B2F">
            <w:pPr>
              <w:tabs>
                <w:tab w:val="left" w:pos="720"/>
              </w:tabs>
              <w:contextualSpacing/>
              <w:jc w:val="both"/>
              <w:rPr>
                <w:lang w:eastAsia="en-US"/>
              </w:rPr>
            </w:pPr>
            <w:r w:rsidRPr="009841AB">
              <w:rPr>
                <w:lang w:eastAsia="en-US"/>
              </w:rPr>
              <w:t>6.</w:t>
            </w:r>
            <w:r w:rsidRPr="009841AB">
              <w:rPr>
                <w:lang w:eastAsia="en-US"/>
              </w:rPr>
              <w:tab/>
              <w:t xml:space="preserve">Lūdzam izvērtēt jēdziena “kompetenču centrs” lietošanu visā projekta tekstā, ņemot vērā, ka nav saprotams, vai katrā no rīcības virzieniem, kurā šis jēdziens ir iekļauts, iet runa par citu struktūru ar šādu nosaukumu, vai par vienu un to pašu struktūru, tikai ar dažādiem nosaukumiem.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E8DF5D0" w14:textId="77777777" w:rsidR="00E01B2F" w:rsidRPr="009841AB" w:rsidRDefault="00E01B2F" w:rsidP="00E01B2F">
            <w:pPr>
              <w:pStyle w:val="naisc"/>
              <w:spacing w:before="0" w:after="0"/>
              <w:jc w:val="both"/>
              <w:rPr>
                <w:b/>
              </w:rPr>
            </w:pPr>
            <w:r w:rsidRPr="009841AB">
              <w:rPr>
                <w:b/>
              </w:rPr>
              <w:t xml:space="preserve">Ņemts vērā </w:t>
            </w:r>
          </w:p>
        </w:tc>
        <w:tc>
          <w:tcPr>
            <w:tcW w:w="3497" w:type="dxa"/>
            <w:tcBorders>
              <w:top w:val="single" w:sz="4" w:space="0" w:color="auto"/>
              <w:left w:val="single" w:sz="4" w:space="0" w:color="auto"/>
              <w:bottom w:val="single" w:sz="4" w:space="0" w:color="auto"/>
            </w:tcBorders>
            <w:shd w:val="clear" w:color="auto" w:fill="auto"/>
          </w:tcPr>
          <w:p w14:paraId="271C323D" w14:textId="77777777" w:rsidR="00E01B2F" w:rsidRPr="009841AB" w:rsidRDefault="00E01B2F" w:rsidP="00E01B2F"/>
        </w:tc>
      </w:tr>
      <w:tr w:rsidR="00566B19" w:rsidRPr="009841AB" w14:paraId="7BCA539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45098C9" w14:textId="77777777" w:rsidR="00566B19" w:rsidRPr="009841AB" w:rsidRDefault="006723F1" w:rsidP="00AF74DE">
            <w:pPr>
              <w:pStyle w:val="naisc"/>
              <w:spacing w:before="0" w:after="0"/>
            </w:pPr>
            <w:r>
              <w:t>27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3021A62" w14:textId="77777777" w:rsidR="00566B19" w:rsidRPr="009841AB" w:rsidRDefault="00566B1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2BAE065" w14:textId="77777777" w:rsidR="00566B19" w:rsidRPr="009841AB" w:rsidRDefault="00566B19" w:rsidP="00AF74DE">
            <w:pPr>
              <w:tabs>
                <w:tab w:val="left" w:pos="720"/>
              </w:tabs>
              <w:contextualSpacing/>
              <w:jc w:val="both"/>
              <w:rPr>
                <w:lang w:eastAsia="en-US"/>
              </w:rPr>
            </w:pPr>
            <w:r w:rsidRPr="009841AB">
              <w:rPr>
                <w:lang w:eastAsia="en-US"/>
              </w:rPr>
              <w:t>7.</w:t>
            </w:r>
            <w:r w:rsidRPr="009841AB">
              <w:rPr>
                <w:lang w:eastAsia="en-US"/>
              </w:rPr>
              <w:tab/>
              <w:t xml:space="preserve">Visā projekta tekstā lietot tā ievadā pieteiktos saīsinājumus (piemēram, IZM nevis </w:t>
            </w:r>
            <w:proofErr w:type="spellStart"/>
            <w:r w:rsidRPr="009841AB">
              <w:rPr>
                <w:lang w:eastAsia="en-US"/>
              </w:rPr>
              <w:t>IzM</w:t>
            </w:r>
            <w:proofErr w:type="spellEnd"/>
            <w:r w:rsidRPr="009841AB">
              <w:rPr>
                <w:lang w:eastAsia="en-US"/>
              </w:rPr>
              <w: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63F3E68" w14:textId="77777777" w:rsidR="00566B19" w:rsidRPr="009841AB" w:rsidRDefault="003B06C8" w:rsidP="00AF74DE">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734A1310" w14:textId="77777777" w:rsidR="00566B19" w:rsidRPr="009841AB" w:rsidRDefault="00566B19" w:rsidP="00AF74DE"/>
        </w:tc>
      </w:tr>
      <w:tr w:rsidR="00F8246F" w:rsidRPr="009841AB" w14:paraId="7264F58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BF658D2" w14:textId="77777777" w:rsidR="00F8246F" w:rsidRPr="009841AB" w:rsidRDefault="00F8246F" w:rsidP="00AF74DE">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4BA3F56" w14:textId="77777777" w:rsidR="00F8246F" w:rsidRPr="009841AB" w:rsidRDefault="00F8246F"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81CB849" w14:textId="77777777" w:rsidR="00F8246F" w:rsidRPr="009841AB" w:rsidRDefault="00F8246F" w:rsidP="00F8246F">
            <w:pPr>
              <w:tabs>
                <w:tab w:val="left" w:pos="720"/>
              </w:tabs>
              <w:contextualSpacing/>
              <w:jc w:val="both"/>
              <w:rPr>
                <w:b/>
                <w:bCs/>
                <w:lang w:eastAsia="en-US"/>
              </w:rPr>
            </w:pPr>
            <w:r w:rsidRPr="009841AB">
              <w:rPr>
                <w:b/>
                <w:bCs/>
                <w:lang w:eastAsia="en-U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0D68D87" w14:textId="77777777" w:rsidR="00F8246F" w:rsidRPr="009841AB" w:rsidRDefault="00F8246F" w:rsidP="00AF74DE">
            <w:pPr>
              <w:pStyle w:val="naisc"/>
              <w:spacing w:before="0" w:after="0"/>
              <w:jc w:val="both"/>
              <w:rPr>
                <w:b/>
              </w:rPr>
            </w:pPr>
          </w:p>
        </w:tc>
        <w:tc>
          <w:tcPr>
            <w:tcW w:w="3497" w:type="dxa"/>
            <w:tcBorders>
              <w:top w:val="single" w:sz="4" w:space="0" w:color="auto"/>
              <w:left w:val="single" w:sz="4" w:space="0" w:color="auto"/>
              <w:bottom w:val="single" w:sz="4" w:space="0" w:color="auto"/>
            </w:tcBorders>
            <w:shd w:val="clear" w:color="auto" w:fill="auto"/>
          </w:tcPr>
          <w:p w14:paraId="5200590C" w14:textId="77777777" w:rsidR="00F8246F" w:rsidRPr="009841AB" w:rsidRDefault="00F8246F" w:rsidP="00AF74DE"/>
        </w:tc>
      </w:tr>
      <w:tr w:rsidR="00566B19" w:rsidRPr="009841AB" w14:paraId="0C63831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62B2F08" w14:textId="77777777" w:rsidR="00566B19" w:rsidRPr="009841AB" w:rsidRDefault="006723F1" w:rsidP="00AF74DE">
            <w:pPr>
              <w:pStyle w:val="naisc"/>
              <w:spacing w:before="0" w:after="0"/>
            </w:pPr>
            <w:r>
              <w:t>28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1B7FF60" w14:textId="77777777" w:rsidR="00566B19" w:rsidRPr="009841AB" w:rsidRDefault="00566B19"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ACCEBED" w14:textId="77777777" w:rsidR="00566B19" w:rsidRPr="009841AB" w:rsidRDefault="00566B19" w:rsidP="00566B19">
            <w:pPr>
              <w:tabs>
                <w:tab w:val="left" w:pos="720"/>
              </w:tabs>
              <w:contextualSpacing/>
              <w:jc w:val="both"/>
              <w:rPr>
                <w:lang w:eastAsia="en-US"/>
              </w:rPr>
            </w:pPr>
            <w:r w:rsidRPr="009841AB">
              <w:rPr>
                <w:lang w:eastAsia="en-US"/>
              </w:rPr>
              <w:t xml:space="preserve">1. Ievērot konsekvenci, lietojot OECD piedāvāto scenāriju apzīmējumus (latviski vai angliski, vienādi tos saīsināt visa dokumenta tekstā).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283CC12" w14:textId="77777777" w:rsidR="00566B19" w:rsidRPr="009841AB" w:rsidRDefault="002C6642" w:rsidP="00AF74DE">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2538BAD0" w14:textId="77777777" w:rsidR="00566B19" w:rsidRPr="009841AB" w:rsidRDefault="00566B19" w:rsidP="00AF74DE"/>
        </w:tc>
      </w:tr>
      <w:tr w:rsidR="00F8246F" w:rsidRPr="009841AB" w14:paraId="5A2ECBF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0A91F23" w14:textId="77777777" w:rsidR="00F8246F" w:rsidRPr="009841AB" w:rsidRDefault="00190C08" w:rsidP="00AF74DE">
            <w:pPr>
              <w:pStyle w:val="naisc"/>
              <w:spacing w:before="0" w:after="0"/>
            </w:pPr>
            <w:r w:rsidRPr="009841AB">
              <w:t>2</w:t>
            </w:r>
            <w:r w:rsidR="006723F1">
              <w:t>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31C5F60" w14:textId="77777777" w:rsidR="00F8246F" w:rsidRPr="009841AB" w:rsidRDefault="00F8246F"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283C1AB" w14:textId="77777777" w:rsidR="00F8246F" w:rsidRPr="009841AB" w:rsidRDefault="00F8246F" w:rsidP="00AF74DE">
            <w:pPr>
              <w:tabs>
                <w:tab w:val="left" w:pos="720"/>
              </w:tabs>
              <w:contextualSpacing/>
              <w:jc w:val="both"/>
              <w:rPr>
                <w:lang w:eastAsia="en-US"/>
              </w:rPr>
            </w:pPr>
            <w:r w:rsidRPr="009841AB">
              <w:rPr>
                <w:lang w:eastAsia="en-US"/>
              </w:rPr>
              <w:t xml:space="preserve">2. Izvērtēt iespēju projektā neizmantot citātus no OECD dokumentiem, bet nodrošināt to publisku </w:t>
            </w:r>
            <w:r w:rsidRPr="009841AB">
              <w:rPr>
                <w:lang w:eastAsia="en-US"/>
              </w:rPr>
              <w:lastRenderedPageBreak/>
              <w:t>pieejamību digitālā vidē, projektā veidojot atsauces uz interneta vietnēm, kur attiecīgie dokumenti ir pieejami.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3A95DCB" w14:textId="77777777" w:rsidR="00983046" w:rsidRPr="009841AB" w:rsidRDefault="00983046" w:rsidP="00AF74DE">
            <w:pPr>
              <w:pStyle w:val="naisc"/>
              <w:spacing w:before="0" w:after="0"/>
              <w:jc w:val="both"/>
              <w:rPr>
                <w:b/>
              </w:rPr>
            </w:pPr>
            <w:r w:rsidRPr="009841AB">
              <w:rPr>
                <w:b/>
              </w:rPr>
              <w:lastRenderedPageBreak/>
              <w:t>Ņemts vērā</w:t>
            </w:r>
            <w:r w:rsidR="2DF6886A" w:rsidRPr="009841AB">
              <w:rPr>
                <w:b/>
                <w:bCs/>
              </w:rPr>
              <w:t xml:space="preserve"> </w:t>
            </w:r>
          </w:p>
          <w:p w14:paraId="637FEFB7" w14:textId="77777777" w:rsidR="00983046" w:rsidRPr="009841AB" w:rsidRDefault="00983046" w:rsidP="00AF74DE">
            <w:pPr>
              <w:pStyle w:val="naisc"/>
              <w:spacing w:before="0" w:after="0"/>
              <w:jc w:val="both"/>
              <w:rPr>
                <w:bCs/>
              </w:rPr>
            </w:pPr>
            <w:r w:rsidRPr="009841AB">
              <w:rPr>
                <w:bCs/>
              </w:rPr>
              <w:t>Teksts pārstrukturēts</w:t>
            </w:r>
          </w:p>
        </w:tc>
        <w:tc>
          <w:tcPr>
            <w:tcW w:w="3497" w:type="dxa"/>
            <w:tcBorders>
              <w:top w:val="single" w:sz="4" w:space="0" w:color="auto"/>
              <w:left w:val="single" w:sz="4" w:space="0" w:color="auto"/>
              <w:bottom w:val="single" w:sz="4" w:space="0" w:color="auto"/>
            </w:tcBorders>
            <w:shd w:val="clear" w:color="auto" w:fill="auto"/>
          </w:tcPr>
          <w:p w14:paraId="3E1C2E73" w14:textId="77777777" w:rsidR="00F8246F" w:rsidRPr="009841AB" w:rsidRDefault="00F8246F" w:rsidP="00AF74DE"/>
        </w:tc>
      </w:tr>
      <w:tr w:rsidR="00983046" w:rsidRPr="009841AB" w14:paraId="44EB03F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0549D6C" w14:textId="77777777" w:rsidR="00983046" w:rsidRPr="009841AB" w:rsidRDefault="006723F1" w:rsidP="00983046">
            <w:pPr>
              <w:pStyle w:val="naisc"/>
              <w:spacing w:before="0" w:after="0"/>
            </w:pPr>
            <w:r>
              <w:t>30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9282361" w14:textId="77777777" w:rsidR="00983046" w:rsidRPr="009841AB" w:rsidRDefault="00983046" w:rsidP="00983046">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3E236B2" w14:textId="77777777" w:rsidR="00983046" w:rsidRPr="009841AB" w:rsidRDefault="00983046" w:rsidP="00983046">
            <w:pPr>
              <w:tabs>
                <w:tab w:val="left" w:pos="720"/>
              </w:tabs>
              <w:contextualSpacing/>
              <w:jc w:val="both"/>
              <w:rPr>
                <w:lang w:eastAsia="en-US"/>
              </w:rPr>
            </w:pPr>
            <w:r w:rsidRPr="009841AB">
              <w:rPr>
                <w:lang w:eastAsia="en-US"/>
              </w:rPr>
              <w:t>3. Projekta saturs būtiski pārklājas ar citām pamatnostādnēm un to projektiem - lietderīgāk būtu ievietot atsauces, nevis dublēt vai veidot līdzīgus formulējumus, ņemot vērā, ka citu pamatnostādņu izstrādes process vēl turpinās un to gala redakcijas var būt atšķirīgas no tām, kuras ir iekļautas projektā.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8595189" w14:textId="211B1C88" w:rsidR="00983046" w:rsidRPr="00F56B1C" w:rsidRDefault="004774D3" w:rsidP="00F56B1C">
            <w:pPr>
              <w:pStyle w:val="naisc"/>
              <w:jc w:val="both"/>
              <w:rPr>
                <w:b/>
                <w:bCs/>
              </w:rPr>
            </w:pPr>
            <w:r>
              <w:rPr>
                <w:b/>
                <w:bCs/>
              </w:rPr>
              <w:t>Panākta vienošanās</w:t>
            </w:r>
          </w:p>
          <w:p w14:paraId="2599CCD0" w14:textId="77777777" w:rsidR="00983046" w:rsidRPr="009841AB" w:rsidRDefault="00983046" w:rsidP="00983046">
            <w:pPr>
              <w:pStyle w:val="naisc"/>
              <w:spacing w:before="0" w:after="0"/>
              <w:jc w:val="both"/>
              <w:rPr>
                <w:b/>
              </w:rPr>
            </w:pPr>
            <w:r w:rsidRPr="009841AB">
              <w:t>Atsaukšanās uz citiem dokumentiem ir lietota atbilstoši ierastajai prakses. Digitālā transformācija ir horizontāls process aptverošs visas nozares. Nav konstatēta pārklāšanās ar citām pamatnostādnēm.</w:t>
            </w:r>
          </w:p>
        </w:tc>
        <w:tc>
          <w:tcPr>
            <w:tcW w:w="3497" w:type="dxa"/>
            <w:tcBorders>
              <w:top w:val="single" w:sz="4" w:space="0" w:color="auto"/>
              <w:left w:val="single" w:sz="4" w:space="0" w:color="auto"/>
              <w:bottom w:val="single" w:sz="4" w:space="0" w:color="auto"/>
            </w:tcBorders>
            <w:shd w:val="clear" w:color="auto" w:fill="auto"/>
          </w:tcPr>
          <w:p w14:paraId="18530B73" w14:textId="77777777" w:rsidR="00983046" w:rsidRPr="009841AB" w:rsidRDefault="00983046" w:rsidP="00983046"/>
        </w:tc>
      </w:tr>
      <w:tr w:rsidR="00F8246F" w:rsidRPr="009841AB" w14:paraId="499FC963"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7049FC9" w14:textId="77777777" w:rsidR="00F8246F" w:rsidRPr="009841AB" w:rsidRDefault="006723F1" w:rsidP="00AF74DE">
            <w:pPr>
              <w:pStyle w:val="naisc"/>
              <w:spacing w:before="0" w:after="0"/>
            </w:pPr>
            <w:r>
              <w:t>31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7728F33" w14:textId="77777777" w:rsidR="00F8246F" w:rsidRPr="009841AB" w:rsidRDefault="00F8246F"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0EC85AC" w14:textId="77777777" w:rsidR="00F8246F" w:rsidRPr="009841AB" w:rsidRDefault="00F8246F" w:rsidP="00AF74DE">
            <w:pPr>
              <w:tabs>
                <w:tab w:val="left" w:pos="720"/>
              </w:tabs>
              <w:contextualSpacing/>
              <w:jc w:val="both"/>
              <w:rPr>
                <w:lang w:eastAsia="en-US"/>
              </w:rPr>
            </w:pPr>
            <w:r w:rsidRPr="009841AB">
              <w:rPr>
                <w:lang w:eastAsia="en-US"/>
              </w:rPr>
              <w:t xml:space="preserve">4. Aicinām Pamatnostādņu projektā nodrošināt sasaisti un sinerģiju starp dažādiem rīcības virzieniem kā 4.1. Attīstības virziens „Digitālās prasmes un izglītība”, 4.5. Attīstības virziens „Inovācijas, IKT industrija un IKT zinātne”, 4.4.11. Rīcības virziens „Komercdarbības </w:t>
            </w:r>
            <w:proofErr w:type="spellStart"/>
            <w:r w:rsidRPr="009841AB">
              <w:rPr>
                <w:lang w:eastAsia="en-US"/>
              </w:rPr>
              <w:t>digitalizācijas</w:t>
            </w:r>
            <w:proofErr w:type="spellEnd"/>
            <w:r w:rsidRPr="009841AB">
              <w:rPr>
                <w:lang w:eastAsia="en-US"/>
              </w:rPr>
              <w:t xml:space="preserve"> veicināšana”, 4.4.13. Rīcības virziens „Izglītības procesu </w:t>
            </w:r>
            <w:proofErr w:type="spellStart"/>
            <w:r w:rsidRPr="009841AB">
              <w:rPr>
                <w:lang w:eastAsia="en-US"/>
              </w:rPr>
              <w:t>digitalizācija</w:t>
            </w:r>
            <w:proofErr w:type="spellEnd"/>
            <w:r w:rsidRPr="009841AB">
              <w:rPr>
                <w:lang w:eastAsia="en-US"/>
              </w:rPr>
              <w:t>”, norādot atsauces uz rīcībām, kas papildus veicina kādu citu attīstības virzienu rezultātu sasniegšanu, lai nodrošinātu saskaņotu, mērķtiecīgu digitālās transformācijas politiku.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CD0F1C5" w14:textId="77777777" w:rsidR="00F8246F" w:rsidRPr="0075322E" w:rsidRDefault="485A4742" w:rsidP="00983046">
            <w:pPr>
              <w:pStyle w:val="naisc"/>
              <w:spacing w:before="0" w:after="0"/>
              <w:jc w:val="both"/>
              <w:rPr>
                <w:b/>
                <w:bCs/>
              </w:rPr>
            </w:pPr>
            <w:r w:rsidRPr="0075322E">
              <w:rPr>
                <w:b/>
                <w:bCs/>
              </w:rPr>
              <w:t>Ņemts vērā</w:t>
            </w:r>
          </w:p>
        </w:tc>
        <w:tc>
          <w:tcPr>
            <w:tcW w:w="3497" w:type="dxa"/>
            <w:tcBorders>
              <w:top w:val="single" w:sz="4" w:space="0" w:color="auto"/>
              <w:left w:val="single" w:sz="4" w:space="0" w:color="auto"/>
              <w:bottom w:val="single" w:sz="4" w:space="0" w:color="auto"/>
            </w:tcBorders>
            <w:shd w:val="clear" w:color="auto" w:fill="auto"/>
          </w:tcPr>
          <w:p w14:paraId="26D80E0D" w14:textId="77777777" w:rsidR="00F8246F" w:rsidRPr="009841AB" w:rsidRDefault="009309E9" w:rsidP="00AF74DE">
            <w:r w:rsidRPr="009841AB">
              <w:t xml:space="preserve">Lūdzam skatīt </w:t>
            </w:r>
            <w:r w:rsidR="485A4742" w:rsidRPr="009841AB">
              <w:t>sadaļ</w:t>
            </w:r>
            <w:r w:rsidRPr="009841AB">
              <w:t xml:space="preserve">u </w:t>
            </w:r>
            <w:r w:rsidR="485A4742" w:rsidRPr="009841AB">
              <w:t>"Kopsavilkums"</w:t>
            </w:r>
          </w:p>
        </w:tc>
      </w:tr>
      <w:tr w:rsidR="00F8246F" w:rsidRPr="009841AB" w14:paraId="0E6AFCE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1FDAB71" w14:textId="77777777" w:rsidR="00F8246F" w:rsidRPr="009841AB" w:rsidRDefault="006723F1" w:rsidP="00AF74DE">
            <w:pPr>
              <w:pStyle w:val="naisc"/>
              <w:spacing w:before="0" w:after="0"/>
            </w:pPr>
            <w:r>
              <w:t>32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BA6C4AC" w14:textId="77777777" w:rsidR="00F8246F" w:rsidRPr="009841AB" w:rsidRDefault="00F8246F"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7D3E448" w14:textId="77777777" w:rsidR="00F8246F" w:rsidRPr="009841AB" w:rsidRDefault="00F8246F" w:rsidP="00AF74DE">
            <w:pPr>
              <w:tabs>
                <w:tab w:val="left" w:pos="720"/>
              </w:tabs>
              <w:contextualSpacing/>
              <w:jc w:val="both"/>
              <w:rPr>
                <w:lang w:eastAsia="en-US"/>
              </w:rPr>
            </w:pPr>
            <w:r w:rsidRPr="009841AB">
              <w:rPr>
                <w:lang w:eastAsia="en-US"/>
              </w:rPr>
              <w:t xml:space="preserve">5. Ministru kabineta rīkojuma projekta 3.2. apakšpunktā ir noteikts VARAM līdz 2028.gada 1.jūlijam iesniegt Ministru kabinetā informatīvo ziņojumu par Pamatnostādņu īstenošanas gala novērtējumu, ietverot priekšlikumus digitālās transformācijas attīstībai turpmākajos gados. Jautājums, vai priekšlikumi turpmākajai digitālās transformācijas attīstībai nebūs par vēlu 2028. gada vidū, ja Pamatnostādņu projekta periods ir līdz 2027. gadam. Ja ir plānots turpināt šo politiku arī tālāk, tad </w:t>
            </w:r>
            <w:r w:rsidRPr="009841AB">
              <w:rPr>
                <w:lang w:eastAsia="en-US"/>
              </w:rPr>
              <w:lastRenderedPageBreak/>
              <w:t xml:space="preserve">priekšlikumi būs nepieciešami daudz ātrāk, tādēļ rosinām paredzēt pamatnostādņu </w:t>
            </w:r>
            <w:proofErr w:type="spellStart"/>
            <w:r w:rsidRPr="009841AB">
              <w:rPr>
                <w:lang w:eastAsia="en-US"/>
              </w:rPr>
              <w:t>vidusposma</w:t>
            </w:r>
            <w:proofErr w:type="spellEnd"/>
            <w:r w:rsidRPr="009841AB">
              <w:rPr>
                <w:lang w:eastAsia="en-US"/>
              </w:rPr>
              <w:t xml:space="preserve"> </w:t>
            </w:r>
            <w:proofErr w:type="spellStart"/>
            <w:r w:rsidRPr="009841AB">
              <w:rPr>
                <w:lang w:eastAsia="en-US"/>
              </w:rPr>
              <w:t>izvērtējumu</w:t>
            </w:r>
            <w:proofErr w:type="spellEnd"/>
            <w:r w:rsidRPr="009841AB">
              <w:rPr>
                <w:lang w:eastAsia="en-US"/>
              </w:rPr>
              <w: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6E98A46" w14:textId="77777777" w:rsidR="005F1E8D" w:rsidRPr="009841AB" w:rsidRDefault="00423069" w:rsidP="00CB6BC3">
            <w:pPr>
              <w:pStyle w:val="naisc"/>
              <w:spacing w:before="0" w:after="0"/>
              <w:jc w:val="both"/>
              <w:rPr>
                <w:b/>
              </w:rPr>
            </w:pPr>
            <w:r w:rsidRPr="009841AB">
              <w:rPr>
                <w:b/>
              </w:rPr>
              <w:lastRenderedPageBreak/>
              <w:t>Ņemts vērā</w:t>
            </w:r>
          </w:p>
          <w:p w14:paraId="786AA3C0" w14:textId="77777777" w:rsidR="00423069" w:rsidRPr="009841AB" w:rsidRDefault="00423069" w:rsidP="00CB6BC3">
            <w:pPr>
              <w:pStyle w:val="naisc"/>
              <w:spacing w:before="0" w:after="0"/>
              <w:jc w:val="both"/>
              <w:rPr>
                <w:bCs/>
              </w:rPr>
            </w:pPr>
          </w:p>
        </w:tc>
        <w:tc>
          <w:tcPr>
            <w:tcW w:w="3497" w:type="dxa"/>
            <w:tcBorders>
              <w:top w:val="single" w:sz="4" w:space="0" w:color="auto"/>
              <w:left w:val="single" w:sz="4" w:space="0" w:color="auto"/>
              <w:bottom w:val="single" w:sz="4" w:space="0" w:color="auto"/>
            </w:tcBorders>
            <w:shd w:val="clear" w:color="auto" w:fill="auto"/>
          </w:tcPr>
          <w:p w14:paraId="2E18F490" w14:textId="77777777" w:rsidR="00F8246F" w:rsidRPr="009841AB" w:rsidRDefault="00423069" w:rsidP="00AF74DE">
            <w:r w:rsidRPr="009841AB">
              <w:t>3.1. līdz 2024.gada 31.maijam – informatīvo ziņojumu par pamatnostādņu īstenošanas starpposma progresa novērtējumu;</w:t>
            </w:r>
          </w:p>
        </w:tc>
      </w:tr>
      <w:tr w:rsidR="00F8246F" w:rsidRPr="009841AB" w14:paraId="2C481F8C"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973D892" w14:textId="77777777" w:rsidR="00F8246F" w:rsidRPr="009841AB" w:rsidRDefault="00F8246F" w:rsidP="00F8246F">
            <w:pPr>
              <w:tabs>
                <w:tab w:val="left" w:pos="720"/>
              </w:tabs>
              <w:contextualSpacing/>
              <w:jc w:val="both"/>
              <w:rPr>
                <w:b/>
                <w:bCs/>
                <w:lang w:eastAsia="en-US"/>
              </w:rPr>
            </w:pPr>
            <w:r w:rsidRPr="009841AB">
              <w:rPr>
                <w:b/>
                <w:bCs/>
                <w:lang w:eastAsia="en-US"/>
              </w:rPr>
              <w:t>Latvijas atvērto tehnoloģiju asociācijas 02.02.2021. atzinums:</w:t>
            </w:r>
          </w:p>
        </w:tc>
      </w:tr>
      <w:tr w:rsidR="00AD1F0C" w:rsidRPr="009841AB" w14:paraId="174382B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5EF14C6" w14:textId="77777777" w:rsidR="00AD1F0C" w:rsidRPr="009841AB" w:rsidRDefault="006723F1" w:rsidP="4AF6D349">
            <w:pPr>
              <w:spacing w:line="259" w:lineRule="auto"/>
            </w:pPr>
            <w:r>
              <w:t>33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FFCE4BF" w14:textId="77777777" w:rsidR="00AD1F0C" w:rsidRPr="009841AB" w:rsidRDefault="00AD1F0C" w:rsidP="4AF6D349">
            <w:pPr>
              <w:pStyle w:val="naisc"/>
              <w:spacing w:before="0" w:after="0" w:line="259" w:lineRule="auto"/>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3E02DAE" w14:textId="77777777" w:rsidR="00F35518" w:rsidRPr="009841AB" w:rsidRDefault="00F35518" w:rsidP="4AF6D349">
            <w:pPr>
              <w:pStyle w:val="naisc"/>
              <w:tabs>
                <w:tab w:val="left" w:pos="720"/>
              </w:tabs>
              <w:spacing w:before="0" w:after="0" w:line="259" w:lineRule="auto"/>
              <w:jc w:val="left"/>
              <w:rPr>
                <w:lang w:eastAsia="en-US"/>
              </w:rPr>
            </w:pPr>
            <w:r w:rsidRPr="009841AB">
              <w:rPr>
                <w:lang w:eastAsia="en-US"/>
              </w:rPr>
              <w:t>1. LATA iebilst un nesaskaņo politikas plānošanas dokumentu “Digitālās transformācijas pamatnostādnes 2021.-2027.gadam” (turpmāk – Pamatnostādnes).</w:t>
            </w:r>
          </w:p>
          <w:p w14:paraId="0A455231" w14:textId="77777777" w:rsidR="00AD1F0C" w:rsidRPr="009841AB" w:rsidRDefault="00F35518" w:rsidP="4AF6D349">
            <w:pPr>
              <w:pStyle w:val="naisc"/>
              <w:tabs>
                <w:tab w:val="left" w:pos="720"/>
              </w:tabs>
              <w:spacing w:before="0" w:after="0" w:line="259" w:lineRule="auto"/>
              <w:jc w:val="left"/>
              <w:rPr>
                <w:lang w:eastAsia="en-US"/>
              </w:rPr>
            </w:pPr>
            <w:r w:rsidRPr="009841AB">
              <w:rPr>
                <w:lang w:eastAsia="en-US"/>
              </w:rPr>
              <w:t>LATA atkārtoti norāda, ka Pamatnostādnēm būtu jāspēj paskaidrot iedzīvotājam un uzņēmējam, līdzīgi kā publiskā sektora darbiniekiem, kādus ieguvumus sabiedrība un katrs indivīds atsevišķi iegūs no digitālās transformācijas pārskata periodā. LATA uzskata, ka ne katrs rīcības virziens atsevišķi, ne arī dokumenta ievadā ietvertais kopējās vīzijas un mērķa formulējums nesniedz šādu izpratni.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06EDD72" w14:textId="77777777" w:rsidR="005C4457" w:rsidRPr="009841AB" w:rsidRDefault="746B7D6E" w:rsidP="4AF6D349">
            <w:pPr>
              <w:pStyle w:val="naisc"/>
              <w:spacing w:before="0" w:after="0" w:line="259" w:lineRule="auto"/>
              <w:jc w:val="left"/>
              <w:rPr>
                <w:b/>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5832285E" w14:textId="77777777" w:rsidR="00AD1F0C" w:rsidRPr="009841AB" w:rsidRDefault="00E84329" w:rsidP="4AF6D349">
            <w:pPr>
              <w:pStyle w:val="naisc"/>
              <w:spacing w:before="0" w:after="0" w:line="259" w:lineRule="auto"/>
              <w:jc w:val="left"/>
            </w:pPr>
            <w:r w:rsidRPr="009841AB">
              <w:t>Lūdzam skatīt 4.sadaļu</w:t>
            </w:r>
          </w:p>
        </w:tc>
      </w:tr>
      <w:tr w:rsidR="00F8246F" w:rsidRPr="009841AB" w14:paraId="7930E6F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3FA0417" w14:textId="77777777" w:rsidR="00F8246F" w:rsidRPr="009841AB" w:rsidRDefault="006723F1" w:rsidP="00AF74DE">
            <w:pPr>
              <w:pStyle w:val="naisc"/>
              <w:spacing w:before="0" w:after="0"/>
            </w:pPr>
            <w:r>
              <w:t>34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97BB1E1" w14:textId="77777777" w:rsidR="00F8246F" w:rsidRPr="009841AB" w:rsidRDefault="00F8246F"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964088A" w14:textId="77777777" w:rsidR="00F8246F" w:rsidRPr="009841AB" w:rsidRDefault="00F8246F" w:rsidP="00F35518">
            <w:pPr>
              <w:tabs>
                <w:tab w:val="left" w:pos="720"/>
              </w:tabs>
              <w:contextualSpacing/>
              <w:jc w:val="both"/>
              <w:rPr>
                <w:lang w:eastAsia="en-US"/>
              </w:rPr>
            </w:pPr>
            <w:r w:rsidRPr="009841AB">
              <w:rPr>
                <w:lang w:eastAsia="en-US"/>
              </w:rPr>
              <w:t xml:space="preserve">2. Dokumentā ietvertajiem rīcības virzieniem trūkst izmērāmu progresa vai izpildes indikatoru. Lai gan atsevišķiem virzieniem ir ietverti konkrēti sasniedzami rezultatīvie rādītāji (piemēram, 4.3.2 – “ieviests IPv6”), tomēr lielākoties tie ir neizmērāmi (piemēram, 4.4.9.5. Rīcības </w:t>
            </w:r>
            <w:proofErr w:type="spellStart"/>
            <w:r w:rsidRPr="009841AB">
              <w:rPr>
                <w:lang w:eastAsia="en-US"/>
              </w:rPr>
              <w:t>apakšvirziens</w:t>
            </w:r>
            <w:proofErr w:type="spellEnd"/>
            <w:r w:rsidRPr="009841AB">
              <w:rPr>
                <w:lang w:eastAsia="en-US"/>
              </w:rPr>
              <w:t>: Inovācija valsts pārvaldē, dizaina domāšana, valsts pārvaldes pakalpojumu digitālās transformācijas kompetences) vai nav atrodami (piemēram, 4.5.2 viedās pilsētas).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9E18DA3" w14:textId="77777777" w:rsidR="004774D3" w:rsidRPr="00F56B1C" w:rsidRDefault="004774D3" w:rsidP="004774D3">
            <w:pPr>
              <w:pStyle w:val="naisc"/>
              <w:jc w:val="both"/>
              <w:rPr>
                <w:b/>
                <w:bCs/>
              </w:rPr>
            </w:pPr>
            <w:r>
              <w:rPr>
                <w:b/>
                <w:bCs/>
              </w:rPr>
              <w:t>Panākta vienošanās</w:t>
            </w:r>
          </w:p>
          <w:p w14:paraId="2F0815B8" w14:textId="77777777" w:rsidR="00BE529B" w:rsidRPr="009841AB" w:rsidRDefault="00BE529B" w:rsidP="00AF74DE">
            <w:pPr>
              <w:pStyle w:val="naisc"/>
              <w:spacing w:before="0" w:after="0"/>
              <w:jc w:val="both"/>
              <w:rPr>
                <w:bCs/>
              </w:rPr>
            </w:pPr>
            <w:r w:rsidRPr="009841AB">
              <w:rPr>
                <w:bCs/>
              </w:rPr>
              <w:t>Viedās pilsētas veicina rezultatīvo rādītāju RR4.5.-1-1 līdz RR4.5.-2-2 sasniegšanu.</w:t>
            </w:r>
          </w:p>
          <w:p w14:paraId="64360FEE" w14:textId="77777777" w:rsidR="0002311F" w:rsidRPr="009841AB" w:rsidRDefault="0002311F" w:rsidP="00AF74DE">
            <w:pPr>
              <w:pStyle w:val="naisc"/>
              <w:spacing w:before="0" w:after="0"/>
              <w:jc w:val="both"/>
              <w:rPr>
                <w:b/>
                <w:highlight w:val="green"/>
              </w:rPr>
            </w:pPr>
          </w:p>
        </w:tc>
        <w:tc>
          <w:tcPr>
            <w:tcW w:w="3497" w:type="dxa"/>
            <w:tcBorders>
              <w:top w:val="single" w:sz="4" w:space="0" w:color="auto"/>
              <w:left w:val="single" w:sz="4" w:space="0" w:color="auto"/>
              <w:bottom w:val="single" w:sz="4" w:space="0" w:color="auto"/>
            </w:tcBorders>
            <w:shd w:val="clear" w:color="auto" w:fill="auto"/>
          </w:tcPr>
          <w:p w14:paraId="090E005F" w14:textId="77777777" w:rsidR="00F8246F" w:rsidRPr="009841AB" w:rsidRDefault="00F8246F" w:rsidP="00AF74DE"/>
        </w:tc>
      </w:tr>
      <w:tr w:rsidR="00F8246F" w:rsidRPr="009841AB" w14:paraId="508F07A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41A9E19" w14:textId="77777777" w:rsidR="00F8246F" w:rsidRPr="009841AB" w:rsidRDefault="006723F1" w:rsidP="00AF74DE">
            <w:pPr>
              <w:pStyle w:val="naisc"/>
              <w:spacing w:before="0" w:after="0"/>
            </w:pPr>
            <w:r>
              <w:t>35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C3020C9" w14:textId="77777777" w:rsidR="00F8246F" w:rsidRPr="009841AB" w:rsidRDefault="00F8246F" w:rsidP="00AF74DE">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D66BAF4" w14:textId="77777777" w:rsidR="00F8246F" w:rsidRPr="009841AB" w:rsidRDefault="00F8246F" w:rsidP="00F35518">
            <w:pPr>
              <w:tabs>
                <w:tab w:val="left" w:pos="720"/>
              </w:tabs>
              <w:contextualSpacing/>
              <w:jc w:val="both"/>
              <w:rPr>
                <w:lang w:eastAsia="en-US"/>
              </w:rPr>
            </w:pPr>
            <w:r w:rsidRPr="009841AB">
              <w:rPr>
                <w:lang w:eastAsia="en-US"/>
              </w:rPr>
              <w:t xml:space="preserve">3. Savukārt dokumenta informatīvajā daļā ietvertie rezultātu formulējumi ir tehniski, vērsti uz konkrētu projektu pamatošanu, nevis ieguvumu sabiedrībai vai indivīdam. Piemēram, 4.4.1 nodaļā kā rezultāts ir minēts “Līdz 2027.g. pilnveidotas vai izveidotas 17 centrālās valsts platformas, kas ir modulāras un atvērtas trešo pušu pakalpojumu attīstītājiem”. Nav saprotams, kādu labumu dos tieši 17 platformas, vai lielāks platformu skaits ir uzskatāms par labāku (vai </w:t>
            </w:r>
            <w:r w:rsidRPr="009841AB">
              <w:rPr>
                <w:lang w:eastAsia="en-US"/>
              </w:rPr>
              <w:lastRenderedPageBreak/>
              <w:t>sliktāku) rezultātu un kādu faktisko ietekmi tas radīs tautsaimniecībā.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91EE6E7" w14:textId="77777777" w:rsidR="00607B4F" w:rsidRPr="00F56B1C" w:rsidRDefault="00607B4F" w:rsidP="00AF74DE">
            <w:pPr>
              <w:pStyle w:val="naisc"/>
              <w:spacing w:before="0" w:after="0"/>
              <w:jc w:val="both"/>
              <w:rPr>
                <w:b/>
                <w:bCs/>
              </w:rPr>
            </w:pPr>
            <w:r w:rsidRPr="009841AB">
              <w:rPr>
                <w:b/>
                <w:bCs/>
              </w:rPr>
              <w:lastRenderedPageBreak/>
              <w:t>Ņemts vērā</w:t>
            </w:r>
          </w:p>
          <w:p w14:paraId="718CF199" w14:textId="77777777" w:rsidR="00607B4F" w:rsidRPr="009841AB" w:rsidRDefault="00171624" w:rsidP="00AF74DE">
            <w:pPr>
              <w:pStyle w:val="naisc"/>
              <w:spacing w:before="0" w:after="0"/>
              <w:jc w:val="both"/>
              <w:rPr>
                <w:bCs/>
              </w:rPr>
            </w:pPr>
            <w:r w:rsidRPr="009841AB">
              <w:rPr>
                <w:bCs/>
              </w:rPr>
              <w:t xml:space="preserve">4.4.1. sadaļa ietver pamatojumu pārejai no fragmentētas un dublējošas valsts informācijas sistēmu attīstības pieejas uz horizontālu nacionālo platformu attīstību, kas </w:t>
            </w:r>
            <w:r w:rsidRPr="009841AB">
              <w:rPr>
                <w:bCs/>
              </w:rPr>
              <w:lastRenderedPageBreak/>
              <w:t xml:space="preserve">būtu koplietojamas ne tikai publiskajā, bet arī privātajā sektorā, paaugstinot efektivitāti, biznesa un pārvaldes procesu integrācijas un automatizācijas līmeni. Esošās situācijas sadaļā iekļauta atsauce uz Eiropas komisijas un </w:t>
            </w:r>
            <w:proofErr w:type="spellStart"/>
            <w:r w:rsidRPr="009841AB">
              <w:rPr>
                <w:bCs/>
              </w:rPr>
              <w:t>Gartner</w:t>
            </w:r>
            <w:proofErr w:type="spellEnd"/>
            <w:r w:rsidRPr="009841AB">
              <w:rPr>
                <w:bCs/>
              </w:rPr>
              <w:t xml:space="preserve"> pētījumu “</w:t>
            </w:r>
            <w:proofErr w:type="spellStart"/>
            <w:r w:rsidRPr="009841AB">
              <w:rPr>
                <w:bCs/>
              </w:rPr>
              <w:t>Digital</w:t>
            </w:r>
            <w:proofErr w:type="spellEnd"/>
            <w:r w:rsidRPr="009841AB">
              <w:rPr>
                <w:bCs/>
              </w:rPr>
              <w:t xml:space="preserve"> </w:t>
            </w:r>
            <w:proofErr w:type="spellStart"/>
            <w:r w:rsidRPr="009841AB">
              <w:rPr>
                <w:bCs/>
              </w:rPr>
              <w:t>Platform</w:t>
            </w:r>
            <w:proofErr w:type="spellEnd"/>
            <w:r w:rsidRPr="009841AB">
              <w:rPr>
                <w:bCs/>
              </w:rPr>
              <w:t xml:space="preserve"> </w:t>
            </w:r>
            <w:proofErr w:type="spellStart"/>
            <w:r w:rsidRPr="009841AB">
              <w:rPr>
                <w:bCs/>
              </w:rPr>
              <w:t>for</w:t>
            </w:r>
            <w:proofErr w:type="spellEnd"/>
            <w:r w:rsidRPr="009841AB">
              <w:rPr>
                <w:bCs/>
              </w:rPr>
              <w:t xml:space="preserve"> </w:t>
            </w:r>
            <w:proofErr w:type="spellStart"/>
            <w:r w:rsidRPr="009841AB">
              <w:rPr>
                <w:bCs/>
              </w:rPr>
              <w:t>public</w:t>
            </w:r>
            <w:proofErr w:type="spellEnd"/>
            <w:r w:rsidRPr="009841AB">
              <w:rPr>
                <w:bCs/>
              </w:rPr>
              <w:t xml:space="preserve"> </w:t>
            </w:r>
            <w:proofErr w:type="spellStart"/>
            <w:r w:rsidRPr="009841AB">
              <w:rPr>
                <w:bCs/>
              </w:rPr>
              <w:t>services</w:t>
            </w:r>
            <w:proofErr w:type="spellEnd"/>
            <w:r w:rsidRPr="009841AB">
              <w:rPr>
                <w:bCs/>
              </w:rPr>
              <w:t xml:space="preserve">, 2018", kas ietver izvērstu analīzi par Valdības digitālajām platformām, to ieguvumiem un darbības modeļiem. Savukārt 4.4.1. sadaļā minētais </w:t>
            </w:r>
            <w:proofErr w:type="spellStart"/>
            <w:r w:rsidRPr="009841AB">
              <w:rPr>
                <w:bCs/>
              </w:rPr>
              <w:t>platfromu</w:t>
            </w:r>
            <w:proofErr w:type="spellEnd"/>
            <w:r w:rsidRPr="009841AB">
              <w:rPr>
                <w:bCs/>
              </w:rPr>
              <w:t xml:space="preserve"> skaits un platformu piemēri iekļauti ar nolūku praktiski demonstrēt valsts pārvaldes apņemšanos realizēt konkrētus pasākumus, t.sk. veicot konkrētas investīcijas.</w:t>
            </w:r>
          </w:p>
        </w:tc>
        <w:tc>
          <w:tcPr>
            <w:tcW w:w="3497" w:type="dxa"/>
            <w:tcBorders>
              <w:top w:val="single" w:sz="4" w:space="0" w:color="auto"/>
              <w:left w:val="single" w:sz="4" w:space="0" w:color="auto"/>
              <w:bottom w:val="single" w:sz="4" w:space="0" w:color="auto"/>
            </w:tcBorders>
            <w:shd w:val="clear" w:color="auto" w:fill="auto"/>
          </w:tcPr>
          <w:p w14:paraId="471D77F0" w14:textId="77777777" w:rsidR="00F8246F" w:rsidRPr="009841AB" w:rsidRDefault="00F8246F" w:rsidP="00AF74DE"/>
        </w:tc>
      </w:tr>
      <w:tr w:rsidR="00152508" w:rsidRPr="009841AB" w14:paraId="3B55257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A2681B8" w14:textId="77777777" w:rsidR="00152508" w:rsidRPr="009841AB" w:rsidRDefault="00135D31" w:rsidP="4AF6D349">
            <w:pPr>
              <w:pStyle w:val="naisc"/>
              <w:spacing w:before="0" w:after="0" w:line="259" w:lineRule="auto"/>
              <w:jc w:val="both"/>
            </w:pPr>
            <w:r>
              <w:t>36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24B2BB6" w14:textId="77777777" w:rsidR="00152508" w:rsidRPr="009841AB" w:rsidRDefault="00152508" w:rsidP="4AF6D349">
            <w:pPr>
              <w:pStyle w:val="naisc"/>
              <w:spacing w:before="0" w:after="0" w:line="259" w:lineRule="auto"/>
              <w:jc w:val="both"/>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8D8C3FA" w14:textId="77777777" w:rsidR="00152508" w:rsidRPr="009841AB" w:rsidRDefault="00152508" w:rsidP="4AF6D349">
            <w:pPr>
              <w:pStyle w:val="naisc"/>
              <w:tabs>
                <w:tab w:val="left" w:pos="720"/>
              </w:tabs>
              <w:spacing w:before="0" w:after="0" w:line="259" w:lineRule="auto"/>
              <w:jc w:val="both"/>
            </w:pPr>
            <w:r w:rsidRPr="009841AB">
              <w:t xml:space="preserve">4. LATA ierosina formulēt vienotu, uz indivīdu un uzņēmēju vērstu, plašai sabiedrības daļai saprotamu </w:t>
            </w:r>
            <w:proofErr w:type="spellStart"/>
            <w:r w:rsidRPr="009841AB">
              <w:t>virsmērķi</w:t>
            </w:r>
            <w:proofErr w:type="spellEnd"/>
            <w:r w:rsidRPr="009841AB">
              <w:t xml:space="preserve">, kam pakārtoti visi pārējie dokumentā ietvertie rīcības virzieni un to </w:t>
            </w:r>
            <w:proofErr w:type="spellStart"/>
            <w:r w:rsidRPr="009841AB">
              <w:t>apakšmērķi</w:t>
            </w:r>
            <w:proofErr w:type="spellEnd"/>
            <w:r w:rsidRPr="009841AB">
              <w:t xml:space="preserve">. Dokumentā ietvertiem mērķiem un uzdevumiem ir jābūt </w:t>
            </w:r>
            <w:r w:rsidRPr="009841AB">
              <w:lastRenderedPageBreak/>
              <w:t>izaicinošiem, bet sasniedzamiem pārskata periodā un būtiski – izmērāmiem, lai perioda beigās varētu konstatēt to sasniegšanas pakāpi.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EE32603" w14:textId="77777777" w:rsidR="00152508" w:rsidRPr="009841AB" w:rsidRDefault="33211931" w:rsidP="4AF6D349">
            <w:pPr>
              <w:pStyle w:val="naisc"/>
              <w:spacing w:before="0" w:after="0" w:line="259" w:lineRule="auto"/>
              <w:jc w:val="both"/>
              <w:rPr>
                <w:b/>
                <w:bCs/>
              </w:rPr>
            </w:pPr>
            <w:r w:rsidRPr="009841AB">
              <w:rPr>
                <w:b/>
                <w:bCs/>
              </w:rPr>
              <w:lastRenderedPageBreak/>
              <w:t>Ņemts vērā</w:t>
            </w:r>
          </w:p>
          <w:p w14:paraId="0B3612EA" w14:textId="77777777" w:rsidR="00EE41ED" w:rsidRPr="009841AB" w:rsidRDefault="00EE41ED" w:rsidP="00EE41ED">
            <w:pPr>
              <w:pStyle w:val="naisc"/>
              <w:spacing w:before="0" w:after="0" w:line="259" w:lineRule="auto"/>
              <w:jc w:val="left"/>
              <w:rPr>
                <w:b/>
                <w:bCs/>
              </w:rPr>
            </w:pPr>
            <w:r w:rsidRPr="009841AB">
              <w:t xml:space="preserve">Pamatnostādņu </w:t>
            </w:r>
            <w:proofErr w:type="spellStart"/>
            <w:r w:rsidRPr="009841AB">
              <w:t>virsmērķa</w:t>
            </w:r>
            <w:proofErr w:type="spellEnd"/>
            <w:r w:rsidRPr="009841AB">
              <w:t xml:space="preserve"> sasniegšanai veikti precizējumi </w:t>
            </w:r>
            <w:r w:rsidRPr="009841AB">
              <w:lastRenderedPageBreak/>
              <w:t>pamatnostādņu sadaļu rīcības virzienos.</w:t>
            </w:r>
          </w:p>
        </w:tc>
        <w:tc>
          <w:tcPr>
            <w:tcW w:w="3497" w:type="dxa"/>
            <w:tcBorders>
              <w:top w:val="single" w:sz="4" w:space="0" w:color="auto"/>
              <w:left w:val="single" w:sz="4" w:space="0" w:color="auto"/>
              <w:bottom w:val="single" w:sz="4" w:space="0" w:color="auto"/>
            </w:tcBorders>
            <w:shd w:val="clear" w:color="auto" w:fill="auto"/>
          </w:tcPr>
          <w:p w14:paraId="34805BF9" w14:textId="77777777" w:rsidR="00152508" w:rsidRPr="009841AB" w:rsidRDefault="00152508" w:rsidP="4AF6D349">
            <w:pPr>
              <w:pStyle w:val="naisc"/>
              <w:spacing w:before="0" w:after="0" w:line="259" w:lineRule="auto"/>
              <w:jc w:val="both"/>
            </w:pPr>
          </w:p>
        </w:tc>
      </w:tr>
      <w:tr w:rsidR="00152508" w:rsidRPr="009841AB" w14:paraId="6BDC088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C8A2C8D" w14:textId="77777777" w:rsidR="00152508" w:rsidRPr="009841AB" w:rsidRDefault="00152508" w:rsidP="00152508">
            <w:pPr>
              <w:tabs>
                <w:tab w:val="left" w:pos="720"/>
              </w:tabs>
              <w:contextualSpacing/>
              <w:jc w:val="both"/>
              <w:rPr>
                <w:b/>
                <w:bCs/>
                <w:lang w:eastAsia="en-US"/>
              </w:rPr>
            </w:pPr>
            <w:r w:rsidRPr="009841AB">
              <w:rPr>
                <w:b/>
                <w:bCs/>
                <w:lang w:eastAsia="en-US"/>
              </w:rPr>
              <w:t>Latvijas Darba devēju konfederācijas 29.01.2021. atzinums:</w:t>
            </w:r>
          </w:p>
        </w:tc>
      </w:tr>
      <w:tr w:rsidR="005C4457" w:rsidRPr="009841AB" w14:paraId="06719E43"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33FB459" w14:textId="77777777" w:rsidR="005C4457" w:rsidRPr="009841AB" w:rsidRDefault="00135D31" w:rsidP="005C4457">
            <w:pPr>
              <w:pStyle w:val="naisc"/>
              <w:spacing w:before="0" w:after="0"/>
            </w:pPr>
            <w:r>
              <w:t>37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DF6B909" w14:textId="77777777" w:rsidR="005C4457" w:rsidRPr="009841AB" w:rsidRDefault="005C4457" w:rsidP="005C445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D256E1B" w14:textId="77777777" w:rsidR="005C4457" w:rsidRPr="009841AB" w:rsidRDefault="005C4457" w:rsidP="005C4457">
            <w:pPr>
              <w:tabs>
                <w:tab w:val="left" w:pos="720"/>
              </w:tabs>
              <w:contextualSpacing/>
              <w:jc w:val="both"/>
              <w:rPr>
                <w:lang w:eastAsia="en-US"/>
              </w:rPr>
            </w:pPr>
            <w:r w:rsidRPr="009841AB">
              <w:rPr>
                <w:lang w:eastAsia="en-US"/>
              </w:rPr>
              <w:t>Pamatnostādņu dokumentam trūkst lappušu numerācijas, tāpēc ir apgrūtināta gan informācijas uztvere, jo nav iespējams lietot satura rādītāju, gan komentāru sniegšana.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FFDC193" w14:textId="77777777" w:rsidR="005C4457" w:rsidRPr="009841AB" w:rsidRDefault="0030287C" w:rsidP="005C4457">
            <w:pPr>
              <w:pStyle w:val="naisc"/>
              <w:spacing w:before="0" w:after="0"/>
              <w:jc w:val="both"/>
              <w:rPr>
                <w:b/>
                <w:bCs/>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14F7EDFC" w14:textId="77777777" w:rsidR="005C4457" w:rsidRPr="009841AB" w:rsidRDefault="005C4457" w:rsidP="005C4457"/>
        </w:tc>
      </w:tr>
      <w:tr w:rsidR="005C4457" w:rsidRPr="009841AB" w14:paraId="270FA6D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FD12F47" w14:textId="77777777" w:rsidR="005C4457" w:rsidRPr="009841AB" w:rsidRDefault="005C4457" w:rsidP="005C4457">
            <w:pPr>
              <w:jc w:val="both"/>
              <w:rPr>
                <w:b/>
                <w:bCs/>
              </w:rPr>
            </w:pPr>
            <w:r w:rsidRPr="009841AB">
              <w:rPr>
                <w:b/>
                <w:bCs/>
              </w:rPr>
              <w:t>Latvijas Informācijas un komunikācijas tehnoloģijas asociācijas 29.01.2021. atzinums:</w:t>
            </w:r>
          </w:p>
        </w:tc>
      </w:tr>
      <w:tr w:rsidR="005C4457" w:rsidRPr="009841AB" w14:paraId="68F8F9E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E7F423F" w14:textId="77777777" w:rsidR="005C4457" w:rsidRPr="009841AB" w:rsidRDefault="00135D31" w:rsidP="005C4457">
            <w:pPr>
              <w:pStyle w:val="naisc"/>
              <w:spacing w:before="0" w:after="0"/>
            </w:pPr>
            <w:r>
              <w:t>38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31D25B5" w14:textId="77777777" w:rsidR="005C4457" w:rsidRPr="009841AB" w:rsidRDefault="005C4457" w:rsidP="005C445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03C5AC8" w14:textId="77777777" w:rsidR="005C4457" w:rsidRPr="009841AB" w:rsidRDefault="005C4457" w:rsidP="005C4457">
            <w:pPr>
              <w:jc w:val="both"/>
            </w:pPr>
            <w:r w:rsidRPr="009841AB">
              <w:t>1. Lūdzam dokumentā sanumurēt lapas un veikt sistemātisku sadaļu numerāciju, lai vieglāk atsaukties uz konkrētām teksta vietām.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689E111" w14:textId="77777777" w:rsidR="004774D3" w:rsidRPr="00F56B1C" w:rsidRDefault="004774D3" w:rsidP="004774D3">
            <w:pPr>
              <w:pStyle w:val="naisc"/>
              <w:jc w:val="both"/>
              <w:rPr>
                <w:b/>
                <w:bCs/>
              </w:rPr>
            </w:pPr>
            <w:r>
              <w:rPr>
                <w:b/>
                <w:bCs/>
              </w:rPr>
              <w:t>Panākta vienošanās</w:t>
            </w:r>
          </w:p>
          <w:p w14:paraId="1B552F4A" w14:textId="77777777" w:rsidR="005C4457" w:rsidRPr="009841AB" w:rsidRDefault="006B1786" w:rsidP="006B1786">
            <w:pPr>
              <w:pStyle w:val="naisc"/>
              <w:spacing w:before="0" w:after="0"/>
              <w:jc w:val="both"/>
              <w:rPr>
                <w:b/>
              </w:rPr>
            </w:pPr>
            <w:r w:rsidRPr="009841AB">
              <w:t>Satura sadaļas atbilstoši sistēmiski ir numurētas, kā piemēram " 4.1. Attīstības virziens „Digitālās prasmes un izglītība", savukārt sadaļu ietvarā apakšvirsrakstiņi, kas pievienoti, lai atvieglotu teksta uztveršanu atsevišķi netiek numurēti, lai nesarežģītu satura uztveramību.</w:t>
            </w:r>
          </w:p>
        </w:tc>
        <w:tc>
          <w:tcPr>
            <w:tcW w:w="3497" w:type="dxa"/>
            <w:tcBorders>
              <w:top w:val="single" w:sz="4" w:space="0" w:color="auto"/>
              <w:left w:val="single" w:sz="4" w:space="0" w:color="auto"/>
              <w:bottom w:val="single" w:sz="4" w:space="0" w:color="auto"/>
            </w:tcBorders>
            <w:shd w:val="clear" w:color="auto" w:fill="auto"/>
          </w:tcPr>
          <w:p w14:paraId="2E03F5C9" w14:textId="77777777" w:rsidR="005C4457" w:rsidRPr="009841AB" w:rsidRDefault="005C4457" w:rsidP="005C4457"/>
        </w:tc>
      </w:tr>
      <w:tr w:rsidR="005C4457" w:rsidRPr="009841AB" w14:paraId="40873D6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2991E77" w14:textId="77777777" w:rsidR="005C4457" w:rsidRPr="009841AB" w:rsidRDefault="005C4457" w:rsidP="005C4457">
            <w:pPr>
              <w:pStyle w:val="naisc"/>
              <w:spacing w:before="0" w:after="0"/>
            </w:pPr>
            <w:r w:rsidRPr="009841AB">
              <w:t>3</w:t>
            </w:r>
            <w:r w:rsidR="00135D31">
              <w:t>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7329080" w14:textId="77777777" w:rsidR="005C4457" w:rsidRPr="009841AB" w:rsidRDefault="005C4457" w:rsidP="005C445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9DE4D1A" w14:textId="77777777" w:rsidR="005C4457" w:rsidRPr="009841AB" w:rsidRDefault="005C4457" w:rsidP="005C4457">
            <w:pPr>
              <w:jc w:val="both"/>
            </w:pPr>
            <w:r w:rsidRPr="009841AB">
              <w:t>2. Lūdzam uzaicināt LIKTA pārstāvjus dalībai ekspertu darba grupās un citās sanāksmēs, kad notiks tālākais darbs pie Digitālo transformācijas pamatnostādņu 2021.-2027.gadam projekta.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040A6AD" w14:textId="77777777" w:rsidR="00DE3721" w:rsidRPr="009841AB" w:rsidRDefault="7E82CF1C" w:rsidP="005C4457">
            <w:pPr>
              <w:pStyle w:val="naisc"/>
              <w:spacing w:before="0" w:after="0"/>
              <w:jc w:val="both"/>
              <w:rPr>
                <w:b/>
                <w:bCs/>
              </w:rPr>
            </w:pPr>
            <w:r w:rsidRPr="009841AB">
              <w:rPr>
                <w:b/>
                <w:bCs/>
              </w:rPr>
              <w:t>Ņemts vērā</w:t>
            </w:r>
          </w:p>
          <w:p w14:paraId="5B471895" w14:textId="77777777" w:rsidR="00DE3721" w:rsidRPr="009841AB" w:rsidRDefault="00DE3721" w:rsidP="005C4457">
            <w:pPr>
              <w:pStyle w:val="naisc"/>
              <w:spacing w:before="0" w:after="0"/>
              <w:jc w:val="both"/>
              <w:rPr>
                <w:b/>
              </w:rPr>
            </w:pPr>
            <w:r w:rsidRPr="009841AB">
              <w:t xml:space="preserve">No projekta izsludināšanas valsts sekretāru sanāksmē starpinstitūciju sanāksmes par projekta precizēšanu nav tikušas sasauktas. Pamatnostādņu projekta saskaņošanas </w:t>
            </w:r>
            <w:r w:rsidRPr="009841AB">
              <w:lastRenderedPageBreak/>
              <w:t>sanāksmē, kad tā tiks organizēta, tiks uzaicināta arī LIKTA</w:t>
            </w:r>
          </w:p>
        </w:tc>
        <w:tc>
          <w:tcPr>
            <w:tcW w:w="3497" w:type="dxa"/>
            <w:tcBorders>
              <w:top w:val="single" w:sz="4" w:space="0" w:color="auto"/>
              <w:left w:val="single" w:sz="4" w:space="0" w:color="auto"/>
              <w:bottom w:val="single" w:sz="4" w:space="0" w:color="auto"/>
            </w:tcBorders>
            <w:shd w:val="clear" w:color="auto" w:fill="auto"/>
          </w:tcPr>
          <w:p w14:paraId="5186EEE2" w14:textId="77777777" w:rsidR="005C4457" w:rsidRPr="009841AB" w:rsidRDefault="005C4457" w:rsidP="005C4457"/>
        </w:tc>
      </w:tr>
      <w:tr w:rsidR="005C4457" w:rsidRPr="009841AB" w14:paraId="055AC194"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F4A6D95" w14:textId="77777777" w:rsidR="005C4457" w:rsidRPr="009841AB" w:rsidRDefault="005C4457" w:rsidP="005C4457">
            <w:pPr>
              <w:jc w:val="both"/>
              <w:rPr>
                <w:b/>
                <w:bCs/>
              </w:rPr>
            </w:pPr>
            <w:r w:rsidRPr="009841AB">
              <w:rPr>
                <w:b/>
                <w:bCs/>
              </w:rPr>
              <w:t>Latvijas Lielo pilsētu asociācijas 29.01.2021. atzinums:</w:t>
            </w:r>
          </w:p>
        </w:tc>
      </w:tr>
      <w:tr w:rsidR="005C4457" w:rsidRPr="009841AB" w14:paraId="36212D3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5C0F315" w14:textId="77777777" w:rsidR="005C4457" w:rsidRPr="009841AB" w:rsidRDefault="00135D31" w:rsidP="005C4457">
            <w:pPr>
              <w:pStyle w:val="naisc"/>
              <w:spacing w:before="0" w:after="0"/>
            </w:pPr>
            <w:r>
              <w:t>40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63A1577" w14:textId="77777777" w:rsidR="005C4457" w:rsidRPr="009841AB" w:rsidRDefault="005C4457" w:rsidP="005C445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D564FD9" w14:textId="77777777" w:rsidR="005C4457" w:rsidRPr="009841AB" w:rsidRDefault="005C4457" w:rsidP="005C4457">
            <w:pPr>
              <w:jc w:val="both"/>
            </w:pPr>
            <w:r w:rsidRPr="009841AB">
              <w:t>Dokumentā nav ievērota konsekvence terminu pielietojumā, piemēram, “valsts pārvalde”. No dokumenta konteksta tekstā lietotais “valsts pārvaldes” jēdziens izprotams, ka plānotās rīcības attiecas arī uz pašvaldībām. Tomēr atsevišķos gadījumos tekstā tiek izmantoti arī citi formulējumi, piemēram, “valsts pārvalde, tai skaitā pašvaldības”, “valsts pārvaldes un pašvaldību ikdienā”, “valsts pārvaldē un pašvaldības nodarbinātajiem” u.c., kas rada neizpratni, kuru rīcības virzienu īstenošanā ir ietekmētas vai plānots iesaistīt pašvaldības, un kuru rīcības virzienu īstenošana ir nozaru ministriju kompetencē. Viennozīmīgai dokumenta teksta uztverei un interpretāciju samazinājumam, teksts attiecībā uz pašvaldību aktīvo iesaisti rīcības virziena realizācijā ir jāprecizē.</w:t>
            </w:r>
          </w:p>
          <w:p w14:paraId="4341F499" w14:textId="77777777" w:rsidR="005C4457" w:rsidRPr="009841AB" w:rsidRDefault="005C4457" w:rsidP="005C4457">
            <w:pPr>
              <w:jc w:val="both"/>
            </w:pPr>
            <w:r w:rsidRPr="009841AB">
              <w:t>Papildu šim uzsverams, ka uzdevumos, kas tieši skar pašvaldību rīcību, atbildību sadalījumā arī ir jānorāda pašvaldības.</w:t>
            </w:r>
          </w:p>
          <w:p w14:paraId="54517755" w14:textId="77777777" w:rsidR="005C4457" w:rsidRPr="009841AB" w:rsidRDefault="005C4457" w:rsidP="005C4457">
            <w:pPr>
              <w:jc w:val="both"/>
            </w:pPr>
            <w:r w:rsidRPr="009841AB">
              <w:t xml:space="preserve">Piemēram, 4.4.2. Rīcības virziens: Datu pārvaldība, atvēršana un analīze;  4.4.2.4. Rīcības </w:t>
            </w:r>
            <w:proofErr w:type="spellStart"/>
            <w:r w:rsidRPr="009841AB">
              <w:t>apakšvirziens</w:t>
            </w:r>
            <w:proofErr w:type="spellEnd"/>
            <w:r w:rsidRPr="009841AB">
              <w:t xml:space="preserve">: Digitālais “Es”; 4.4.3.3. Rīcības </w:t>
            </w:r>
            <w:proofErr w:type="spellStart"/>
            <w:r w:rsidRPr="009841AB">
              <w:t>apakšvirziens</w:t>
            </w:r>
            <w:proofErr w:type="spellEnd"/>
            <w:r w:rsidRPr="009841AB">
              <w:t xml:space="preserve">: Inovatīva un efektīva maksājumu infrastruktūra; 4.4.4. Rīcības virziens: Vides pārvaldības un attīstības plānošanas </w:t>
            </w:r>
            <w:proofErr w:type="spellStart"/>
            <w:r w:rsidRPr="009841AB">
              <w:t>digitalizācija</w:t>
            </w:r>
            <w:proofErr w:type="spellEnd"/>
            <w:r w:rsidRPr="009841AB">
              <w:t>; 4.5.2. Rīcības virziens: Viedās pilsētas, viedā mobilitāte, autonomie transporta līdzekļi, izmēģinājuma poligoni un regulējuma smilškastes.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6C2E9FE" w14:textId="77777777" w:rsidR="004774D3" w:rsidRPr="00F56B1C" w:rsidRDefault="004774D3" w:rsidP="004774D3">
            <w:pPr>
              <w:pStyle w:val="naisc"/>
              <w:jc w:val="both"/>
              <w:rPr>
                <w:b/>
                <w:bCs/>
              </w:rPr>
            </w:pPr>
            <w:r>
              <w:rPr>
                <w:b/>
                <w:bCs/>
              </w:rPr>
              <w:t>Panākta vienošanās</w:t>
            </w:r>
          </w:p>
          <w:p w14:paraId="65606549" w14:textId="77777777" w:rsidR="005C4457" w:rsidRPr="009841AB" w:rsidRDefault="0060516E" w:rsidP="005C4457">
            <w:pPr>
              <w:pStyle w:val="naisc"/>
              <w:spacing w:before="0" w:after="0"/>
              <w:jc w:val="both"/>
            </w:pPr>
            <w:r w:rsidRPr="009841AB">
              <w:t>Ievaddaļā ir pirmo reizi lietojot jēdzienu “valsts pārvalde” tiek paskaidrots, ka šeit un turpmāk jēdziens “valsts pārvalde” ietver arī pašvaldības. Termins “pašvaldības” tiek lietots gadījos, kad nepieciešams nodalīt pašvaldības no MK pakļautības struktūrām.</w:t>
            </w:r>
          </w:p>
          <w:p w14:paraId="3E1A84F3" w14:textId="77777777" w:rsidR="003571B4" w:rsidRPr="009841AB" w:rsidRDefault="003571B4" w:rsidP="005C4457">
            <w:pPr>
              <w:pStyle w:val="naisc"/>
              <w:spacing w:before="0" w:after="0"/>
              <w:jc w:val="both"/>
            </w:pPr>
          </w:p>
          <w:p w14:paraId="1A6B398B" w14:textId="77777777" w:rsidR="003571B4" w:rsidRPr="009841AB" w:rsidRDefault="003571B4" w:rsidP="005C4457">
            <w:pPr>
              <w:pStyle w:val="naisc"/>
              <w:spacing w:before="0" w:after="0"/>
              <w:jc w:val="both"/>
            </w:pPr>
            <w:r w:rsidRPr="009841AB">
              <w:t xml:space="preserve">4.4.3.3. rīcības </w:t>
            </w:r>
            <w:proofErr w:type="spellStart"/>
            <w:r w:rsidRPr="009841AB">
              <w:t>apakšvirziens</w:t>
            </w:r>
            <w:proofErr w:type="spellEnd"/>
            <w:r w:rsidRPr="009841AB">
              <w:t xml:space="preserve"> papildināts ar pašvaldībām kā līdzatbildīgo. 4.5.2. LPS jau norādīta kā līdzatbildīgā.</w:t>
            </w:r>
          </w:p>
          <w:p w14:paraId="1E8B461E" w14:textId="77777777" w:rsidR="0009030B" w:rsidRPr="009841AB" w:rsidRDefault="0009030B" w:rsidP="005C4457">
            <w:pPr>
              <w:pStyle w:val="naisc"/>
              <w:spacing w:before="0" w:after="0"/>
              <w:jc w:val="both"/>
            </w:pPr>
          </w:p>
          <w:p w14:paraId="600D9E59" w14:textId="77777777" w:rsidR="002016F5" w:rsidRPr="009841AB" w:rsidRDefault="002016F5" w:rsidP="005C4457">
            <w:pPr>
              <w:pStyle w:val="naisc"/>
              <w:spacing w:before="0" w:after="0"/>
              <w:jc w:val="both"/>
              <w:rPr>
                <w:b/>
              </w:rPr>
            </w:pPr>
          </w:p>
        </w:tc>
        <w:tc>
          <w:tcPr>
            <w:tcW w:w="3497" w:type="dxa"/>
            <w:tcBorders>
              <w:top w:val="single" w:sz="4" w:space="0" w:color="auto"/>
              <w:left w:val="single" w:sz="4" w:space="0" w:color="auto"/>
              <w:bottom w:val="single" w:sz="4" w:space="0" w:color="auto"/>
            </w:tcBorders>
            <w:shd w:val="clear" w:color="auto" w:fill="auto"/>
          </w:tcPr>
          <w:p w14:paraId="0580B80B" w14:textId="77777777" w:rsidR="005C4457" w:rsidRPr="009841AB" w:rsidRDefault="005C4457" w:rsidP="005C4457"/>
        </w:tc>
      </w:tr>
      <w:tr w:rsidR="005C4457" w:rsidRPr="009841AB" w14:paraId="1004261D"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1CFE800" w14:textId="77777777" w:rsidR="005C4457" w:rsidRPr="00F8246F" w:rsidRDefault="005C4457" w:rsidP="005C4457">
            <w:pPr>
              <w:widowControl w:val="0"/>
              <w:jc w:val="both"/>
              <w:rPr>
                <w:rFonts w:cstheme="minorHAnsi"/>
                <w:b/>
              </w:rPr>
            </w:pPr>
            <w:r w:rsidRPr="00507245">
              <w:rPr>
                <w:rFonts w:cstheme="minorHAnsi"/>
                <w:b/>
              </w:rPr>
              <w:t>Latvijas Tirdzniecības un rūpniecības kameras 01.02.2021. atzinums:</w:t>
            </w:r>
          </w:p>
        </w:tc>
      </w:tr>
      <w:tr w:rsidR="007A628A" w:rsidRPr="009841AB" w14:paraId="0CFD1BC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A36DF69" w14:textId="77777777" w:rsidR="007A628A" w:rsidRPr="009841AB" w:rsidRDefault="009D6451" w:rsidP="007A628A">
            <w:pPr>
              <w:pStyle w:val="naisc"/>
              <w:spacing w:before="0" w:after="0"/>
            </w:pPr>
            <w:r>
              <w:t>41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6256D72" w14:textId="77777777" w:rsidR="007A628A" w:rsidRPr="009841AB" w:rsidRDefault="007A628A" w:rsidP="007A628A">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4E4B85C" w14:textId="77777777" w:rsidR="007A628A" w:rsidRPr="0075322E" w:rsidRDefault="007A628A" w:rsidP="007A628A">
            <w:pPr>
              <w:tabs>
                <w:tab w:val="left" w:pos="720"/>
              </w:tabs>
              <w:contextualSpacing/>
              <w:jc w:val="both"/>
              <w:rPr>
                <w:lang w:eastAsia="en-US"/>
              </w:rPr>
            </w:pPr>
            <w:r w:rsidRPr="009841AB">
              <w:rPr>
                <w:lang w:eastAsia="en-US"/>
              </w:rPr>
              <w:t>1.</w:t>
            </w:r>
            <w:r w:rsidRPr="009841AB">
              <w:tab/>
            </w:r>
            <w:r w:rsidRPr="0075322E">
              <w:rPr>
                <w:lang w:eastAsia="en-US"/>
              </w:rPr>
              <w:t xml:space="preserve">Pamatnostādnes un to sasaiste ar citiem iepriekš apstiprinātiem  politikas dokumentiem, kuros </w:t>
            </w:r>
            <w:r w:rsidRPr="0075322E">
              <w:rPr>
                <w:lang w:eastAsia="en-US"/>
              </w:rPr>
              <w:lastRenderedPageBreak/>
              <w:t>noteiktas aktivitātes, uzdevumi un rīcību plāni ar termiņiem.</w:t>
            </w:r>
          </w:p>
          <w:p w14:paraId="25816456" w14:textId="77777777" w:rsidR="007A628A" w:rsidRPr="009841AB" w:rsidRDefault="007A628A" w:rsidP="007A628A">
            <w:pPr>
              <w:tabs>
                <w:tab w:val="left" w:pos="720"/>
              </w:tabs>
              <w:contextualSpacing/>
              <w:jc w:val="both"/>
              <w:rPr>
                <w:lang w:eastAsia="en-US"/>
              </w:rPr>
            </w:pPr>
            <w:r w:rsidRPr="009841AB">
              <w:rPr>
                <w:lang w:eastAsia="en-US"/>
              </w:rPr>
              <w:t xml:space="preserve">Ministru kabineta 20.08.2019. sēdē tika izskatīts un apstiprināts Informatīvais ziņojums "Latvijas atvērto datu stratēģija" (turpmāk – Ziņojums). LTRK gan Ziņojuma saskaņošanas gaitā (skat izziņu: http://tap.mk.gov.lv/doc/2019_08/VARAM_Izzina_dati_1007.1376.docx), gan vēlāk vairākkārt diskusijās ar VARAM ir norādījis, piemēram, ka atvērto datu portālā šī brīža tehniskais risinājums un datu publicētājiem izvirzītie nosacījumi, nenodrošina reāllaika datu pieejamību (aktualizāciju), kas būtiska veidojot </w:t>
            </w:r>
            <w:proofErr w:type="spellStart"/>
            <w:r w:rsidRPr="009841AB">
              <w:rPr>
                <w:lang w:eastAsia="en-US"/>
              </w:rPr>
              <w:t>komercproduktus</w:t>
            </w:r>
            <w:proofErr w:type="spellEnd"/>
            <w:r w:rsidRPr="009841AB">
              <w:rPr>
                <w:lang w:eastAsia="en-US"/>
              </w:rPr>
              <w:t xml:space="preserve">, inovatīvus risinājumus, kā arī principa "atvērts pēc noklusējuma" ievērošana u.c. Tāpat Ziņojuma apspriešanas gaitā LTRK iesniedza prioritāri atveramo datu kopu sarakstu. Jāatzīmē, ka </w:t>
            </w:r>
            <w:proofErr w:type="spellStart"/>
            <w:r w:rsidRPr="009841AB">
              <w:rPr>
                <w:lang w:eastAsia="en-US"/>
              </w:rPr>
              <w:t>vēlaizvien</w:t>
            </w:r>
            <w:proofErr w:type="spellEnd"/>
            <w:r w:rsidRPr="009841AB">
              <w:rPr>
                <w:lang w:eastAsia="en-US"/>
              </w:rPr>
              <w:t xml:space="preserve"> no šajā sarakstā norādītajām datu kopām lielākā daļa nav pieejama atvērtā, mašīnlasāmā formātā, vai arī kā </w:t>
            </w:r>
            <w:proofErr w:type="spellStart"/>
            <w:r w:rsidRPr="009841AB">
              <w:rPr>
                <w:lang w:eastAsia="en-US"/>
              </w:rPr>
              <w:t>atkalizmantojamas</w:t>
            </w:r>
            <w:proofErr w:type="spellEnd"/>
            <w:r w:rsidRPr="009841AB">
              <w:rPr>
                <w:lang w:eastAsia="en-US"/>
              </w:rPr>
              <w:t xml:space="preserve"> datu kopas. Tādēļ nav saprotams, kādi iemesli ir kavējuši Ziņojumā norādīto uzdevumu izpildi (rīcības plāns), jo izskatot Pamatnostādņu dokumentu šīs aktivitātes atkal ieliktas kā darāmas ar jauniem izpildes termiņiem. Piemēram, skat. Pamatnostādnes 97.-99. un 104.-105.lpp., kurā aprakstīta Nepieciešamā rīcība, Sagaidāmie rezultāti, Uzdevumi (piem., Izveidot un īstenot plānu augstvērtīgo datu kopu atvēršanai sabiedrībai). </w:t>
            </w:r>
          </w:p>
          <w:p w14:paraId="6FF2F295" w14:textId="77777777" w:rsidR="007A628A" w:rsidRPr="009841AB" w:rsidRDefault="007A628A" w:rsidP="007A628A">
            <w:pPr>
              <w:tabs>
                <w:tab w:val="left" w:pos="720"/>
              </w:tabs>
              <w:contextualSpacing/>
              <w:jc w:val="both"/>
              <w:rPr>
                <w:lang w:eastAsia="en-US"/>
              </w:rPr>
            </w:pPr>
            <w:r w:rsidRPr="009841AB">
              <w:rPr>
                <w:lang w:eastAsia="en-US"/>
              </w:rPr>
              <w:t xml:space="preserve">Tāpat Ziņojumā bija paredzēts izveidot sadarbības padomi, kas koordinē datu atvēršanas jautājumus" Lai paaugstinātu datu pieejamību un </w:t>
            </w:r>
            <w:proofErr w:type="spellStart"/>
            <w:r w:rsidRPr="009841AB">
              <w:rPr>
                <w:lang w:eastAsia="en-US"/>
              </w:rPr>
              <w:t>atkalizmantošanas</w:t>
            </w:r>
            <w:proofErr w:type="spellEnd"/>
            <w:r w:rsidRPr="009841AB">
              <w:rPr>
                <w:lang w:eastAsia="en-US"/>
              </w:rPr>
              <w:t xml:space="preserve"> apjomu plānots izveidot sadarbības padomi atvērto datu jomas koordinēšanai. Sadarbības padomes sastāvā būs pārstāvji no Ekonomikas ministrijas, Tieslietu ministrijas un nevalstiskajām organizācijām. </w:t>
            </w:r>
            <w:r w:rsidRPr="009841AB">
              <w:rPr>
                <w:lang w:eastAsia="en-US"/>
              </w:rPr>
              <w:lastRenderedPageBreak/>
              <w:t xml:space="preserve">Ja Sadarbības padomes sēdes ietvaros tiek skatīti ar valsts budžeta finansējumu saistīti jautājumi, dalībai sēdē var tikt pieaicināti pārstāvji no Finanšu ministrijas". Tās izveide bija paredzēta līdz 2020.g. beigām. Pamatnostādnēs šādas padomes izveide neparādās vispār, tādēļ rodas jautājums par politikas dokumentos izvirzīto aktivitāšu un rīcības plānos noteikto uzdevumu </w:t>
            </w:r>
            <w:proofErr w:type="spellStart"/>
            <w:r w:rsidRPr="009841AB">
              <w:rPr>
                <w:lang w:eastAsia="en-US"/>
              </w:rPr>
              <w:t>pārmantojamību</w:t>
            </w:r>
            <w:proofErr w:type="spellEnd"/>
            <w:r w:rsidRPr="009841AB">
              <w:rPr>
                <w:lang w:eastAsia="en-US"/>
              </w:rPr>
              <w: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C2A3D73" w14:textId="77777777" w:rsidR="004774D3" w:rsidRPr="00F56B1C" w:rsidRDefault="004774D3" w:rsidP="004774D3">
            <w:pPr>
              <w:pStyle w:val="naisc"/>
              <w:jc w:val="both"/>
              <w:rPr>
                <w:b/>
                <w:bCs/>
              </w:rPr>
            </w:pPr>
            <w:r>
              <w:rPr>
                <w:b/>
                <w:bCs/>
              </w:rPr>
              <w:lastRenderedPageBreak/>
              <w:t>Panākta vienošanās</w:t>
            </w:r>
          </w:p>
          <w:p w14:paraId="05021DF1" w14:textId="77777777" w:rsidR="007A628A" w:rsidRPr="009841AB" w:rsidRDefault="0066174F" w:rsidP="00E15F19">
            <w:pPr>
              <w:pStyle w:val="naisc"/>
              <w:spacing w:before="0" w:after="0"/>
              <w:jc w:val="left"/>
              <w:rPr>
                <w:b/>
              </w:rPr>
            </w:pPr>
            <w:r w:rsidRPr="009841AB">
              <w:rPr>
                <w:bCs/>
              </w:rPr>
              <w:lastRenderedPageBreak/>
              <w:t xml:space="preserve">Pamatnostādņu ieviešanas procesā pēc pamatnostādņu apstiprināšanas tiks izstrādāts pamatnostādņu ieviešanas plāns (vai vairāki </w:t>
            </w:r>
            <w:r w:rsidR="00324C99" w:rsidRPr="009841AB">
              <w:rPr>
                <w:bCs/>
              </w:rPr>
              <w:t>–</w:t>
            </w:r>
            <w:r w:rsidRPr="009841AB">
              <w:rPr>
                <w:bCs/>
              </w:rPr>
              <w:t xml:space="preserve"> atbilstoši</w:t>
            </w:r>
            <w:r w:rsidR="00324C99" w:rsidRPr="009841AB">
              <w:rPr>
                <w:bCs/>
              </w:rPr>
              <w:t xml:space="preserve"> </w:t>
            </w:r>
            <w:r w:rsidRPr="009841AB">
              <w:rPr>
                <w:bCs/>
              </w:rPr>
              <w:t xml:space="preserve"> situācijai un  nepieciešamībai, kur detalizēs aktivitātes pamatnostādnēs noteikto mērķu sasniegšanai</w:t>
            </w:r>
            <w:r w:rsidR="00E15F19" w:rsidRPr="009841AB">
              <w:rPr>
                <w:b/>
              </w:rPr>
              <w:t>.</w:t>
            </w:r>
          </w:p>
          <w:p w14:paraId="3D43565B" w14:textId="77777777" w:rsidR="004A7AF1" w:rsidRPr="009841AB" w:rsidRDefault="004A7AF1" w:rsidP="00E15F19">
            <w:pPr>
              <w:pStyle w:val="naisc"/>
              <w:spacing w:before="0" w:after="0"/>
              <w:jc w:val="left"/>
              <w:rPr>
                <w:b/>
              </w:rPr>
            </w:pPr>
          </w:p>
          <w:p w14:paraId="5B54B68D" w14:textId="77777777" w:rsidR="004A7AF1" w:rsidRPr="009841AB" w:rsidRDefault="00852200" w:rsidP="00E15F19">
            <w:pPr>
              <w:pStyle w:val="naisc"/>
              <w:spacing w:before="0" w:after="0"/>
              <w:jc w:val="left"/>
              <w:rPr>
                <w:bCs/>
              </w:rPr>
            </w:pPr>
            <w:r w:rsidRPr="009841AB">
              <w:rPr>
                <w:bCs/>
              </w:rPr>
              <w:t>Latvijas atvērto datu stratēģija</w:t>
            </w:r>
            <w:r w:rsidR="0067410A" w:rsidRPr="009841AB">
              <w:rPr>
                <w:bCs/>
              </w:rPr>
              <w:t xml:space="preserve"> (</w:t>
            </w:r>
            <w:r w:rsidR="00F802A0" w:rsidRPr="009841AB">
              <w:rPr>
                <w:bCs/>
              </w:rPr>
              <w:t>Informatīvais ziņojums "Latvijas atvērto datu stratēģija"</w:t>
            </w:r>
            <w:r w:rsidR="008D620A" w:rsidRPr="009841AB">
              <w:rPr>
                <w:bCs/>
              </w:rPr>
              <w:t xml:space="preserve"> </w:t>
            </w:r>
            <w:hyperlink r:id="rId12" w:history="1">
              <w:r w:rsidR="008D620A" w:rsidRPr="009841AB">
                <w:rPr>
                  <w:rStyle w:val="Hyperlink"/>
                  <w:bCs/>
                </w:rPr>
                <w:t>http://polsis.mk.gov.lv/documents/6533</w:t>
              </w:r>
            </w:hyperlink>
            <w:r w:rsidR="008D620A" w:rsidRPr="009841AB">
              <w:rPr>
                <w:bCs/>
              </w:rPr>
              <w:t xml:space="preserve"> </w:t>
            </w:r>
            <w:r w:rsidR="00F802A0" w:rsidRPr="009841AB">
              <w:rPr>
                <w:bCs/>
              </w:rPr>
              <w:t>– turpmāk atvērto datu stratēģija)</w:t>
            </w:r>
            <w:r w:rsidRPr="009841AB">
              <w:rPr>
                <w:bCs/>
              </w:rPr>
              <w:t xml:space="preserve"> ir augstākas detalizācijas pakāpes dokuments un tajā noteiktos uzdevumus augstāka līmeņa pamatnostādņu dokumentā nenosaka.  </w:t>
            </w:r>
          </w:p>
        </w:tc>
        <w:tc>
          <w:tcPr>
            <w:tcW w:w="3497" w:type="dxa"/>
            <w:tcBorders>
              <w:top w:val="single" w:sz="4" w:space="0" w:color="auto"/>
              <w:left w:val="single" w:sz="4" w:space="0" w:color="auto"/>
              <w:bottom w:val="single" w:sz="4" w:space="0" w:color="auto"/>
            </w:tcBorders>
            <w:shd w:val="clear" w:color="auto" w:fill="auto"/>
          </w:tcPr>
          <w:p w14:paraId="5BEC22BA" w14:textId="77777777" w:rsidR="007A628A" w:rsidRPr="009841AB" w:rsidRDefault="007A628A" w:rsidP="007A628A"/>
        </w:tc>
      </w:tr>
      <w:tr w:rsidR="00226A31" w:rsidRPr="009841AB" w14:paraId="1D46EE9A"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5206654" w14:textId="77777777" w:rsidR="00226A31" w:rsidRPr="009841AB" w:rsidRDefault="009D6451" w:rsidP="00226A31">
            <w:pPr>
              <w:pStyle w:val="naisc"/>
              <w:spacing w:before="0" w:after="0"/>
            </w:pPr>
            <w:r>
              <w:lastRenderedPageBreak/>
              <w:t>42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702A312"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B36BB5D" w14:textId="77777777" w:rsidR="00226A31" w:rsidRPr="00CE37B0" w:rsidRDefault="00226A31" w:rsidP="00226A31">
            <w:pPr>
              <w:tabs>
                <w:tab w:val="left" w:pos="720"/>
              </w:tabs>
              <w:contextualSpacing/>
              <w:jc w:val="both"/>
              <w:rPr>
                <w:lang w:eastAsia="en-US"/>
              </w:rPr>
            </w:pPr>
            <w:r w:rsidRPr="009841AB">
              <w:rPr>
                <w:lang w:eastAsia="en-US"/>
              </w:rPr>
              <w:t xml:space="preserve">2. </w:t>
            </w:r>
            <w:r w:rsidRPr="00CE37B0">
              <w:rPr>
                <w:lang w:eastAsia="en-US"/>
              </w:rPr>
              <w:t>Konkurence.</w:t>
            </w:r>
          </w:p>
          <w:p w14:paraId="6DBE9FBF" w14:textId="77777777" w:rsidR="00226A31" w:rsidRPr="009841AB" w:rsidRDefault="00226A31" w:rsidP="00226A31">
            <w:pPr>
              <w:tabs>
                <w:tab w:val="left" w:pos="720"/>
              </w:tabs>
              <w:contextualSpacing/>
              <w:jc w:val="both"/>
              <w:rPr>
                <w:lang w:eastAsia="en-US"/>
              </w:rPr>
            </w:pPr>
            <w:r w:rsidRPr="009841AB">
              <w:rPr>
                <w:lang w:eastAsia="en-US"/>
              </w:rPr>
              <w:t xml:space="preserve">LTRK iestājas par principu, ka publiskajam sektoram jānodrošina datu atvēršana, pieejamība, </w:t>
            </w:r>
            <w:proofErr w:type="spellStart"/>
            <w:r w:rsidRPr="009841AB">
              <w:rPr>
                <w:lang w:eastAsia="en-US"/>
              </w:rPr>
              <w:t>atkalizmantošana</w:t>
            </w:r>
            <w:proofErr w:type="spellEnd"/>
            <w:r w:rsidRPr="009841AB">
              <w:rPr>
                <w:lang w:eastAsia="en-US"/>
              </w:rPr>
              <w:t xml:space="preserve">, savukārt - privātais sektors, balstoties uz datiem, veido analītiskus pakalpojumus. Pamatnostādņu dokumentā šis princips nav uzsvērts, izvērsts, līdz ar ko secinām, ka šim virzienam netiks pievērsta uzmanība, un digitālās transformācijas kontekstā šī brīvas konkurences pieeja netiks attīstīta. Pamatnostādnēs ir minēti daži veiksmīgi īstenoti privātā sektora piemēri, kur komersanta IT risinājums veiksmīgi nodrošina pakalpojums saņemšanu iedzīvotājiem - piem., E-klase, </w:t>
            </w:r>
            <w:proofErr w:type="spellStart"/>
            <w:r w:rsidRPr="009841AB">
              <w:rPr>
                <w:lang w:eastAsia="en-US"/>
              </w:rPr>
              <w:t>Mobilly</w:t>
            </w:r>
            <w:proofErr w:type="spellEnd"/>
            <w:r w:rsidRPr="009841AB">
              <w:rPr>
                <w:lang w:eastAsia="en-US"/>
              </w:rPr>
              <w:t xml:space="preserve"> utt., tomēr jāatzīmē, ka pēdējos gados aizvien vairāk sastopamies ar valsts sektora izveidotiem IT risinājumiem, kuru izveides rezultātā, izmantojot valsts informācijas sistēmās esošos datus (vispārpieejamus datus), tiek veidoti analītiski produkti, tādejādi saskatāms brīvas konkurences un tirgus kropļojuma pazīmes.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419F6DA" w14:textId="77777777" w:rsidR="00CE37B0" w:rsidRPr="00F56B1C" w:rsidRDefault="00CE37B0" w:rsidP="00CE37B0">
            <w:pPr>
              <w:pStyle w:val="naisc"/>
              <w:jc w:val="both"/>
              <w:rPr>
                <w:b/>
                <w:bCs/>
              </w:rPr>
            </w:pPr>
            <w:r>
              <w:rPr>
                <w:b/>
                <w:bCs/>
              </w:rPr>
              <w:t>Panākta vienošanās</w:t>
            </w:r>
          </w:p>
          <w:p w14:paraId="2AF04EF3" w14:textId="77777777" w:rsidR="00226A31" w:rsidRPr="009841AB" w:rsidRDefault="00A85A08" w:rsidP="00C85BF7">
            <w:pPr>
              <w:pStyle w:val="naisc"/>
              <w:spacing w:before="0" w:after="0"/>
              <w:jc w:val="both"/>
            </w:pPr>
            <w:r w:rsidRPr="009841AB">
              <w:rPr>
                <w:color w:val="000000"/>
                <w:shd w:val="clear" w:color="auto" w:fill="FFFFFF"/>
              </w:rPr>
              <w:t xml:space="preserve">Jau pastāv atvērto datu stratēģija, kurā jau detalizēti norādīts par datu atvēršanas nozīmīgumu, lai privātais sektors attiecīgos datus varētu izmantot savu pakalpojumu veidošanā un veidot atvērto datu analītiku. Ņemot vērā minēto nav nepieciešamas papildināt pamatnostādnes. Vēršam uzmanību, ka valsts pārvaldei var būt nepieciešamība veidot  analītiskus risinājumus, savu funkciju vai uzdevumu ietvaros, nodrošinot sabiedrības interešu ievērošanu, vienlaikus neliedzot privātajam sektoram </w:t>
            </w:r>
            <w:r w:rsidRPr="009841AB">
              <w:rPr>
                <w:color w:val="000000"/>
                <w:shd w:val="clear" w:color="auto" w:fill="FFFFFF"/>
              </w:rPr>
              <w:lastRenderedPageBreak/>
              <w:t>veidot analītikas pakalpojumus ar augstāku pievienoto vērtību un plašāku izmantošanu. Un šādā gadījumā nav saskatāms konkurences un tirgus kropļojuma pazīmes.</w:t>
            </w:r>
          </w:p>
        </w:tc>
        <w:tc>
          <w:tcPr>
            <w:tcW w:w="3497" w:type="dxa"/>
            <w:tcBorders>
              <w:top w:val="single" w:sz="4" w:space="0" w:color="auto"/>
              <w:left w:val="single" w:sz="4" w:space="0" w:color="auto"/>
              <w:bottom w:val="single" w:sz="4" w:space="0" w:color="auto"/>
            </w:tcBorders>
            <w:shd w:val="clear" w:color="auto" w:fill="auto"/>
          </w:tcPr>
          <w:p w14:paraId="60119325" w14:textId="77777777" w:rsidR="00226A31" w:rsidRPr="009841AB" w:rsidRDefault="00226A31" w:rsidP="00226A31"/>
        </w:tc>
      </w:tr>
      <w:tr w:rsidR="00A12F2A" w:rsidRPr="009841AB" w14:paraId="32ED8B54"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53C3C99" w14:textId="77777777" w:rsidR="00A12F2A" w:rsidRPr="009841AB" w:rsidRDefault="00A12F2A" w:rsidP="00226A31">
            <w:r w:rsidRPr="00507245">
              <w:rPr>
                <w:rFonts w:cstheme="minorHAnsi"/>
                <w:b/>
              </w:rPr>
              <w:t>Latvijas Tirdzniecības un rūpniecības kameras 01.02.2021. atzinums:</w:t>
            </w:r>
          </w:p>
        </w:tc>
      </w:tr>
      <w:tr w:rsidR="00A12F2A" w:rsidRPr="009841AB" w14:paraId="27ECD1D8"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E06F5DF" w14:textId="77777777" w:rsidR="00A12F2A" w:rsidRPr="009841AB" w:rsidRDefault="009D6451" w:rsidP="00226A31">
            <w:pPr>
              <w:pStyle w:val="naisc"/>
              <w:spacing w:before="0" w:after="0"/>
            </w:pPr>
            <w:r>
              <w:t>43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C135C7B" w14:textId="77777777" w:rsidR="00A12F2A" w:rsidRPr="009841AB" w:rsidRDefault="00A12F2A"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DCFA6D0" w14:textId="77777777" w:rsidR="00A12F2A" w:rsidRPr="009841AB" w:rsidRDefault="00A12F2A" w:rsidP="00226A31">
            <w:pPr>
              <w:tabs>
                <w:tab w:val="left" w:pos="720"/>
              </w:tabs>
              <w:contextualSpacing/>
              <w:jc w:val="both"/>
              <w:rPr>
                <w:lang w:eastAsia="en-US"/>
              </w:rPr>
            </w:pPr>
            <w:r w:rsidRPr="00A12F2A">
              <w:rPr>
                <w:lang w:eastAsia="en-US"/>
              </w:rPr>
              <w:t>1</w:t>
            </w:r>
            <w:r>
              <w:rPr>
                <w:lang w:eastAsia="en-US"/>
              </w:rPr>
              <w:t xml:space="preserve">. </w:t>
            </w:r>
            <w:r w:rsidRPr="00A12F2A">
              <w:rPr>
                <w:lang w:eastAsia="en-US"/>
              </w:rPr>
              <w:t xml:space="preserve">Ir pārāk maza Mākslīgā intelekta izmantošanas komponente nākotnes kontekstā – minēts tikai vides aizsardzības kontekstā. Tas neatbilst pašreizējām tendencēm un </w:t>
            </w:r>
            <w:proofErr w:type="spellStart"/>
            <w:r w:rsidRPr="00A12F2A">
              <w:rPr>
                <w:lang w:eastAsia="en-US"/>
              </w:rPr>
              <w:t>digitalizācijas</w:t>
            </w:r>
            <w:proofErr w:type="spellEnd"/>
            <w:r w:rsidRPr="00A12F2A">
              <w:rPr>
                <w:lang w:eastAsia="en-US"/>
              </w:rPr>
              <w:t xml:space="preserve"> idejai kā tādai, ņemot vērā, ka tieši VARAM organizē ari Latvijas MI attīstības darba grupu.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23F4205" w14:textId="77777777" w:rsidR="00EC2DCF" w:rsidRPr="00EC2DCF" w:rsidRDefault="00EC2DCF" w:rsidP="001543CB">
            <w:pPr>
              <w:tabs>
                <w:tab w:val="left" w:pos="720"/>
              </w:tabs>
              <w:contextualSpacing/>
              <w:jc w:val="both"/>
              <w:rPr>
                <w:b/>
                <w:bCs/>
                <w:lang w:eastAsia="en-US"/>
              </w:rPr>
            </w:pPr>
            <w:r w:rsidRPr="00EC2DCF">
              <w:rPr>
                <w:b/>
                <w:bCs/>
                <w:lang w:eastAsia="en-US"/>
              </w:rPr>
              <w:t>Ņemts vērā</w:t>
            </w:r>
          </w:p>
          <w:p w14:paraId="0FD48619" w14:textId="77777777" w:rsidR="00A12F2A" w:rsidRPr="009841AB" w:rsidRDefault="001543CB" w:rsidP="001543CB">
            <w:pPr>
              <w:tabs>
                <w:tab w:val="left" w:pos="720"/>
              </w:tabs>
              <w:contextualSpacing/>
              <w:jc w:val="both"/>
              <w:rPr>
                <w:b/>
                <w:bCs/>
                <w:color w:val="000000"/>
                <w:shd w:val="clear" w:color="auto" w:fill="FFFFFF"/>
              </w:rPr>
            </w:pPr>
            <w:r>
              <w:rPr>
                <w:lang w:eastAsia="en-US"/>
              </w:rPr>
              <w:t xml:space="preserve">Pamatnostādņu ietvaros </w:t>
            </w:r>
            <w:r w:rsidRPr="001543CB">
              <w:rPr>
                <w:lang w:eastAsia="en-US"/>
              </w:rPr>
              <w:t>Mākslīgā  intelekta komponente tiek ska</w:t>
            </w:r>
            <w:r>
              <w:rPr>
                <w:lang w:eastAsia="en-US"/>
              </w:rPr>
              <w:t xml:space="preserve">tīta kā </w:t>
            </w:r>
            <w:r w:rsidR="00324426">
              <w:rPr>
                <w:lang w:eastAsia="en-US"/>
              </w:rPr>
              <w:t xml:space="preserve">horizontāla tehnoloģija, </w:t>
            </w:r>
            <w:r w:rsidR="007577CE">
              <w:rPr>
                <w:lang w:eastAsia="en-US"/>
              </w:rPr>
              <w:t>attiecīgā lietojuma/ jomas kontekstā. Būtiska uzmanība MI jautājumiem pievērsta prasmju sadaļā,</w:t>
            </w:r>
            <w:r w:rsidR="00B86D0C">
              <w:rPr>
                <w:lang w:eastAsia="en-US"/>
              </w:rPr>
              <w:t xml:space="preserve"> t.sk. komersantu digitālo prasmju </w:t>
            </w:r>
            <w:r w:rsidR="00633E28">
              <w:rPr>
                <w:lang w:eastAsia="en-US"/>
              </w:rPr>
              <w:t>kontekstā,</w:t>
            </w:r>
            <w:r w:rsidR="007577CE">
              <w:rPr>
                <w:lang w:eastAsia="en-US"/>
              </w:rPr>
              <w:t xml:space="preserve"> </w:t>
            </w:r>
            <w:r w:rsidR="00C17D99">
              <w:rPr>
                <w:lang w:eastAsia="en-US"/>
              </w:rPr>
              <w:t xml:space="preserve">kā arī 4.5.2. </w:t>
            </w:r>
            <w:r w:rsidR="001F3378">
              <w:rPr>
                <w:lang w:eastAsia="en-US"/>
              </w:rPr>
              <w:t>rīcības virzienā “</w:t>
            </w:r>
            <w:r w:rsidR="001F3378" w:rsidRPr="001F3378">
              <w:rPr>
                <w:lang w:eastAsia="en-US"/>
              </w:rPr>
              <w:t xml:space="preserve">Viedās pilsētas, viedā mobilitāte, autonomie transporta līdzekļi, izmēģinājuma poligoni un regulējuma smilškastes </w:t>
            </w:r>
            <w:r w:rsidR="001F3378">
              <w:rPr>
                <w:lang w:eastAsia="en-US"/>
              </w:rPr>
              <w:t xml:space="preserve">“, kā arī </w:t>
            </w:r>
            <w:r w:rsidR="007577CE">
              <w:rPr>
                <w:lang w:eastAsia="en-US"/>
              </w:rPr>
              <w:t xml:space="preserve">veselības, </w:t>
            </w:r>
            <w:r w:rsidR="008010F4">
              <w:rPr>
                <w:lang w:eastAsia="en-US"/>
              </w:rPr>
              <w:t xml:space="preserve">pakalpojumu sniegšanas, </w:t>
            </w:r>
            <w:r w:rsidR="00633E28">
              <w:rPr>
                <w:lang w:eastAsia="en-US"/>
              </w:rPr>
              <w:t xml:space="preserve">sabiedrības drošības, </w:t>
            </w:r>
            <w:r w:rsidR="00A13770">
              <w:rPr>
                <w:lang w:eastAsia="en-US"/>
              </w:rPr>
              <w:t xml:space="preserve">fiziskās telpas </w:t>
            </w:r>
            <w:r w:rsidR="00A13770">
              <w:rPr>
                <w:lang w:eastAsia="en-US"/>
              </w:rPr>
              <w:lastRenderedPageBreak/>
              <w:t xml:space="preserve">pārvaldības, </w:t>
            </w:r>
            <w:r w:rsidR="006C7254">
              <w:rPr>
                <w:lang w:eastAsia="en-US"/>
              </w:rPr>
              <w:t xml:space="preserve">valodu tehnoloģiju, </w:t>
            </w:r>
            <w:r w:rsidR="00911F4E">
              <w:rPr>
                <w:lang w:eastAsia="en-US"/>
              </w:rPr>
              <w:t xml:space="preserve">pētniecības, </w:t>
            </w:r>
            <w:r w:rsidR="008010F4">
              <w:rPr>
                <w:lang w:eastAsia="en-US"/>
              </w:rPr>
              <w:t>datu pieej</w:t>
            </w:r>
            <w:r w:rsidR="001F3378">
              <w:rPr>
                <w:lang w:eastAsia="en-US"/>
              </w:rPr>
              <w:t xml:space="preserve">amības </w:t>
            </w:r>
            <w:r w:rsidR="006D4919">
              <w:rPr>
                <w:lang w:eastAsia="en-US"/>
              </w:rPr>
              <w:t xml:space="preserve">rīcības virzienu </w:t>
            </w:r>
            <w:r w:rsidR="00421496">
              <w:rPr>
                <w:lang w:eastAsia="en-US"/>
              </w:rPr>
              <w:t>ietvaros.</w:t>
            </w:r>
            <w:r w:rsidR="006D4919">
              <w:rPr>
                <w:lang w:eastAsia="en-US"/>
              </w:rPr>
              <w:t xml:space="preserve"> Vienlaikus VARAM paredz turpināt stiprināt horizontālu Mākslīgā intelekta politikas koordināciju</w:t>
            </w:r>
            <w:r w:rsidR="00A36C03">
              <w:rPr>
                <w:lang w:eastAsia="en-US"/>
              </w:rPr>
              <w:t xml:space="preserve">, organizējot MI attīstības darba grupu, pārņemot un ieviešot MI regulējumu, kā arī veicinot labās prakses </w:t>
            </w:r>
            <w:r w:rsidR="003C63FB">
              <w:rPr>
                <w:lang w:eastAsia="en-US"/>
              </w:rPr>
              <w:t>apmaiņu un identificējot MI ieviešanu veicinošu koplietošanas komponenšu apzināšanu un attīstību</w:t>
            </w:r>
            <w:r w:rsidR="00A36C03">
              <w:rPr>
                <w:lang w:eastAsia="en-US"/>
              </w:rPr>
              <w:t xml:space="preserve">. </w:t>
            </w:r>
          </w:p>
        </w:tc>
        <w:tc>
          <w:tcPr>
            <w:tcW w:w="3497" w:type="dxa"/>
            <w:tcBorders>
              <w:top w:val="single" w:sz="4" w:space="0" w:color="auto"/>
              <w:left w:val="single" w:sz="4" w:space="0" w:color="auto"/>
              <w:bottom w:val="single" w:sz="4" w:space="0" w:color="auto"/>
            </w:tcBorders>
            <w:shd w:val="clear" w:color="auto" w:fill="auto"/>
          </w:tcPr>
          <w:p w14:paraId="67291D1C" w14:textId="77777777" w:rsidR="00384214" w:rsidRPr="00384214" w:rsidRDefault="00384214" w:rsidP="00384214">
            <w:pPr>
              <w:spacing w:before="120" w:after="120"/>
              <w:rPr>
                <w:b/>
                <w:i/>
                <w:iCs/>
              </w:rPr>
            </w:pPr>
            <w:r w:rsidRPr="00384214">
              <w:rPr>
                <w:b/>
                <w:i/>
                <w:iCs/>
              </w:rPr>
              <w:lastRenderedPageBreak/>
              <w:t>4.4. Attīstības virziens “Tautsaimniecības (t.sk valsts pārvaldes) digitālā transformācija”</w:t>
            </w:r>
          </w:p>
          <w:p w14:paraId="2F4EA592" w14:textId="77777777" w:rsidR="00384214" w:rsidRPr="00384214" w:rsidRDefault="00384214" w:rsidP="00384214">
            <w:pPr>
              <w:spacing w:before="120" w:after="120"/>
              <w:jc w:val="both"/>
              <w:outlineLvl w:val="4"/>
              <w:rPr>
                <w:b/>
                <w:i/>
                <w:iCs/>
                <w:lang w:val="lv"/>
              </w:rPr>
            </w:pPr>
            <w:r w:rsidRPr="00384214">
              <w:rPr>
                <w:b/>
                <w:i/>
                <w:iCs/>
                <w:lang w:val="lv"/>
              </w:rPr>
              <w:t>Ievads</w:t>
            </w:r>
          </w:p>
          <w:p w14:paraId="7732A92D" w14:textId="77777777" w:rsidR="00384214" w:rsidRDefault="00384214" w:rsidP="00384214">
            <w:pPr>
              <w:ind w:firstLine="720"/>
              <w:jc w:val="both"/>
            </w:pPr>
            <w:r w:rsidRPr="007E3B07">
              <w:t xml:space="preserve">No tehnoloģijām būtiskāko pienesumu tautsaimniecības digitālai transformācijai sniegs mākslīgā intelekta izmantošana, kas būs vadošā </w:t>
            </w:r>
            <w:r>
              <w:t>ceturtās</w:t>
            </w:r>
            <w:r w:rsidRPr="007E3B07">
              <w:t xml:space="preserve"> rūpnieciskās revolūcijas tehnoloģija, kas līdzās citām tehnoloģijām būtiski mainīs gan tautsaimniecību, gan </w:t>
            </w:r>
            <w:r>
              <w:t>sabiedrību. Ieguvumi, ko sniegs mākslīgais intelekts, viens no iedalījumiem ir sekojošs:</w:t>
            </w:r>
          </w:p>
          <w:p w14:paraId="6D912D10" w14:textId="77777777" w:rsidR="00384214" w:rsidRDefault="00384214" w:rsidP="000C28AE">
            <w:pPr>
              <w:pStyle w:val="ListParagraph"/>
              <w:numPr>
                <w:ilvl w:val="3"/>
                <w:numId w:val="15"/>
              </w:numPr>
              <w:spacing w:after="160" w:line="259" w:lineRule="auto"/>
              <w:ind w:left="255" w:hanging="284"/>
              <w:jc w:val="both"/>
              <w:rPr>
                <w:rFonts w:ascii="Times New Roman" w:hAnsi="Times New Roman"/>
                <w:sz w:val="24"/>
                <w:szCs w:val="24"/>
              </w:rPr>
            </w:pPr>
            <w:r>
              <w:rPr>
                <w:rFonts w:ascii="Times New Roman" w:hAnsi="Times New Roman"/>
                <w:sz w:val="24"/>
                <w:szCs w:val="24"/>
              </w:rPr>
              <w:t xml:space="preserve">Esošo procesu automatizācija. Piemēram, virtuālo asistentu izmantošana fizisko konsultantu vietā, ātruma pārkāpēju auto numuru </w:t>
            </w:r>
            <w:r>
              <w:rPr>
                <w:rFonts w:ascii="Times New Roman" w:hAnsi="Times New Roman"/>
                <w:sz w:val="24"/>
                <w:szCs w:val="24"/>
              </w:rPr>
              <w:lastRenderedPageBreak/>
              <w:t xml:space="preserve">automātiskā atpazīšana policistu vietā. </w:t>
            </w:r>
          </w:p>
          <w:p w14:paraId="757AB99E" w14:textId="77777777" w:rsidR="00384214" w:rsidRDefault="00384214" w:rsidP="000C28AE">
            <w:pPr>
              <w:pStyle w:val="ListParagraph"/>
              <w:numPr>
                <w:ilvl w:val="3"/>
                <w:numId w:val="15"/>
              </w:numPr>
              <w:spacing w:after="160" w:line="259" w:lineRule="auto"/>
              <w:ind w:left="255" w:hanging="284"/>
              <w:jc w:val="both"/>
              <w:rPr>
                <w:rFonts w:ascii="Times New Roman" w:hAnsi="Times New Roman"/>
                <w:sz w:val="24"/>
                <w:szCs w:val="24"/>
              </w:rPr>
            </w:pPr>
            <w:r>
              <w:rPr>
                <w:rFonts w:ascii="Times New Roman" w:hAnsi="Times New Roman"/>
                <w:sz w:val="24"/>
                <w:szCs w:val="24"/>
              </w:rPr>
              <w:t xml:space="preserve">Personalizēti un </w:t>
            </w:r>
            <w:proofErr w:type="spellStart"/>
            <w:r>
              <w:rPr>
                <w:rFonts w:ascii="Times New Roman" w:hAnsi="Times New Roman"/>
                <w:sz w:val="24"/>
                <w:szCs w:val="24"/>
              </w:rPr>
              <w:t>proaktīvi</w:t>
            </w:r>
            <w:proofErr w:type="spellEnd"/>
            <w:r>
              <w:rPr>
                <w:rFonts w:ascii="Times New Roman" w:hAnsi="Times New Roman"/>
                <w:sz w:val="24"/>
                <w:szCs w:val="24"/>
              </w:rPr>
              <w:t xml:space="preserve"> pakalpojumi, kas līdz tam nebija pieejami (vismaz masveidā), jo prasītu milzīgu cilvēkresursu patēriņu analītikas veikšanai. Piemēram, personalizēta un </w:t>
            </w:r>
            <w:proofErr w:type="spellStart"/>
            <w:r>
              <w:rPr>
                <w:rFonts w:ascii="Times New Roman" w:hAnsi="Times New Roman"/>
                <w:sz w:val="24"/>
                <w:szCs w:val="24"/>
              </w:rPr>
              <w:t>proaktīva</w:t>
            </w:r>
            <w:proofErr w:type="spellEnd"/>
            <w:r>
              <w:rPr>
                <w:rFonts w:ascii="Times New Roman" w:hAnsi="Times New Roman"/>
                <w:sz w:val="24"/>
                <w:szCs w:val="24"/>
              </w:rPr>
              <w:t xml:space="preserve"> medicīna, kas automatizēti analizē konkrēta pacienta slimību vēsturi, ģenētiku, medicīnisko apskašu datus, radinieku slimības, </w:t>
            </w:r>
            <w:proofErr w:type="spellStart"/>
            <w:r>
              <w:rPr>
                <w:rFonts w:ascii="Times New Roman" w:hAnsi="Times New Roman"/>
                <w:sz w:val="24"/>
                <w:szCs w:val="24"/>
              </w:rPr>
              <w:t>viedierīču</w:t>
            </w:r>
            <w:proofErr w:type="spellEnd"/>
            <w:r>
              <w:rPr>
                <w:rFonts w:ascii="Times New Roman" w:hAnsi="Times New Roman"/>
                <w:sz w:val="24"/>
                <w:szCs w:val="24"/>
              </w:rPr>
              <w:t xml:space="preserve"> datus utt. un spēj uz to pamata ieteikt ārstniecības personālam pacienta diagnozi, piemērotāko ārstēšanu un pat </w:t>
            </w:r>
            <w:proofErr w:type="spellStart"/>
            <w:r>
              <w:rPr>
                <w:rFonts w:ascii="Times New Roman" w:hAnsi="Times New Roman"/>
                <w:sz w:val="24"/>
                <w:szCs w:val="24"/>
              </w:rPr>
              <w:t>proaktīvas</w:t>
            </w:r>
            <w:proofErr w:type="spellEnd"/>
            <w:r>
              <w:rPr>
                <w:rFonts w:ascii="Times New Roman" w:hAnsi="Times New Roman"/>
                <w:sz w:val="24"/>
                <w:szCs w:val="24"/>
              </w:rPr>
              <w:t xml:space="preserve"> darbības, lai mazinātu slimību iespējamību. Pirms mākslīgā intelekta plašākas izmantošanas šāda līmeņa pakalpojumi bija pieejami vai nu ļoti bagātiem cilvēkiem vai profesionāliem sportistiem. Vēl viens piemērs ir </w:t>
            </w:r>
            <w:proofErr w:type="spellStart"/>
            <w:r>
              <w:rPr>
                <w:rFonts w:ascii="Times New Roman" w:hAnsi="Times New Roman"/>
                <w:sz w:val="24"/>
                <w:szCs w:val="24"/>
              </w:rPr>
              <w:t>proaktīva</w:t>
            </w:r>
            <w:proofErr w:type="spellEnd"/>
            <w:r>
              <w:rPr>
                <w:rFonts w:ascii="Times New Roman" w:hAnsi="Times New Roman"/>
                <w:sz w:val="24"/>
                <w:szCs w:val="24"/>
              </w:rPr>
              <w:t xml:space="preserve"> publisko pakalpojumu piedāvāšana cilvēkiem atbilstoši viņu sociālekonomiskajam profilam un dzīves situācijai. Piemēram, vecākiem, kuriem piedzimst bērns, automatizēti un </w:t>
            </w:r>
            <w:proofErr w:type="spellStart"/>
            <w:r>
              <w:rPr>
                <w:rFonts w:ascii="Times New Roman" w:hAnsi="Times New Roman"/>
                <w:sz w:val="24"/>
                <w:szCs w:val="24"/>
              </w:rPr>
              <w:t>proaktīvi</w:t>
            </w:r>
            <w:proofErr w:type="spellEnd"/>
            <w:r>
              <w:rPr>
                <w:rFonts w:ascii="Times New Roman" w:hAnsi="Times New Roman"/>
                <w:sz w:val="24"/>
                <w:szCs w:val="24"/>
              </w:rPr>
              <w:t xml:space="preserve"> </w:t>
            </w:r>
            <w:r>
              <w:rPr>
                <w:rFonts w:ascii="Times New Roman" w:hAnsi="Times New Roman"/>
                <w:sz w:val="24"/>
                <w:szCs w:val="24"/>
              </w:rPr>
              <w:lastRenderedPageBreak/>
              <w:t>varētu piedāvāt visus ar bērna piedzimšanu saistītos pakalpojumus loģiskā secībā (bērna reģistrācija, pieteikšanās pabalstam, dzīves vietas deklarācija, pieraksts pie ģimenes ārsta utt.).</w:t>
            </w:r>
          </w:p>
          <w:p w14:paraId="002FD784" w14:textId="77777777" w:rsidR="00384214" w:rsidRPr="007E3B07" w:rsidRDefault="00384214" w:rsidP="000C28AE">
            <w:pPr>
              <w:pStyle w:val="ListParagraph"/>
              <w:numPr>
                <w:ilvl w:val="3"/>
                <w:numId w:val="15"/>
              </w:numPr>
              <w:spacing w:after="160" w:line="259" w:lineRule="auto"/>
              <w:ind w:left="255" w:hanging="284"/>
              <w:jc w:val="both"/>
              <w:rPr>
                <w:rFonts w:ascii="Times New Roman" w:eastAsiaTheme="minorEastAsia" w:hAnsi="Times New Roman"/>
                <w:sz w:val="24"/>
                <w:szCs w:val="24"/>
              </w:rPr>
            </w:pPr>
            <w:r>
              <w:rPr>
                <w:rFonts w:ascii="Times New Roman" w:hAnsi="Times New Roman"/>
                <w:sz w:val="24"/>
                <w:szCs w:val="24"/>
              </w:rPr>
              <w:t xml:space="preserve">Iekšējo un ārējo biznesa procesu likumsakarību atklāšana, kuri līdz tam nebija acīmredzami un ļoti grūti izpētāmi, jo bija grūti atrast sakarību vai pat izvirzīt hipotēzi par kādu rādītāju korelāciju. Tāpat arī politikas efektivitātes novērtēšana. Piemēram, dažādu sociālekonomisko rādītāju analīze novados un pagastos var sniegt atbildi, ka viens ieguldītais </w:t>
            </w:r>
            <w:proofErr w:type="spellStart"/>
            <w:r>
              <w:rPr>
                <w:rFonts w:ascii="Times New Roman" w:hAnsi="Times New Roman"/>
                <w:sz w:val="24"/>
                <w:szCs w:val="24"/>
              </w:rPr>
              <w:t>euro</w:t>
            </w:r>
            <w:proofErr w:type="spellEnd"/>
            <w:r>
              <w:rPr>
                <w:rFonts w:ascii="Times New Roman" w:hAnsi="Times New Roman"/>
                <w:sz w:val="24"/>
                <w:szCs w:val="24"/>
              </w:rPr>
              <w:t xml:space="preserve"> tehnoloģiskajos parkos izraisa vietējo IKP pieaugumu novadā ar koeficientu 0,7, ieguldījums tālākizglītībā ar koeficientu 0,8, bet ja šie ieguldījumi notiek vienlaikus, tad koeficients ir 1,2. Publisko iepirkumu analīze, automatizēta salīdzināšana ar tirgus cenām, iepirkumu biežums, līdzīgo iepirkumu rezultāti, konkrēto </w:t>
            </w:r>
            <w:r>
              <w:rPr>
                <w:rFonts w:ascii="Times New Roman" w:hAnsi="Times New Roman"/>
                <w:sz w:val="24"/>
                <w:szCs w:val="24"/>
              </w:rPr>
              <w:lastRenderedPageBreak/>
              <w:t>uzņēmumu dalība, konkursa nosacījumi var norādīt uz iespējamajiem augsta korupcijas riska iepirkumiem, kam būtu jāpievērš uzmanība uzraugošām iestādēm.</w:t>
            </w:r>
          </w:p>
          <w:p w14:paraId="466B92D5" w14:textId="77777777" w:rsidR="00A12F2A" w:rsidRPr="009841AB" w:rsidRDefault="00A12F2A" w:rsidP="00226A31"/>
        </w:tc>
      </w:tr>
      <w:tr w:rsidR="00A12F2A" w:rsidRPr="009841AB" w14:paraId="5B0436F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33B12E0" w14:textId="77777777" w:rsidR="00A12F2A" w:rsidRPr="009841AB" w:rsidRDefault="009D6451" w:rsidP="00226A31">
            <w:pPr>
              <w:pStyle w:val="naisc"/>
              <w:spacing w:before="0" w:after="0"/>
            </w:pPr>
            <w:r>
              <w:lastRenderedPageBreak/>
              <w:t>44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C4FF92F" w14:textId="77777777" w:rsidR="00A12F2A" w:rsidRPr="009841AB" w:rsidRDefault="00A12F2A"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31769CD" w14:textId="77777777" w:rsidR="00A12F2A" w:rsidRPr="009841AB" w:rsidRDefault="00A12F2A" w:rsidP="00226A31">
            <w:pPr>
              <w:tabs>
                <w:tab w:val="left" w:pos="720"/>
              </w:tabs>
              <w:contextualSpacing/>
              <w:jc w:val="both"/>
              <w:rPr>
                <w:lang w:eastAsia="en-US"/>
              </w:rPr>
            </w:pPr>
            <w:r w:rsidRPr="00A12F2A">
              <w:rPr>
                <w:lang w:eastAsia="en-US"/>
              </w:rPr>
              <w:t>2</w:t>
            </w:r>
            <w:r>
              <w:rPr>
                <w:lang w:eastAsia="en-US"/>
              </w:rPr>
              <w:t xml:space="preserve">. </w:t>
            </w:r>
            <w:r w:rsidRPr="00A12F2A">
              <w:rPr>
                <w:lang w:eastAsia="en-US"/>
              </w:rPr>
              <w:t>Ir pārāk liels uzsvars uz valsts nozīmes risinājumiem, nevis uzņēmēju un izglītības atbalstam, kas neatbilst šī brīža ES un ASV attīstības organizācijai. Latvija riskē ar to atpalikt un nepamatoti sadārdzināt IKT pakalpojumu izmaksas Latvijā kopumā.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4429C44" w14:textId="77777777" w:rsidR="00EC2DCF" w:rsidRPr="00EC2DCF" w:rsidRDefault="00EC2DCF" w:rsidP="00311DFC">
            <w:pPr>
              <w:tabs>
                <w:tab w:val="left" w:pos="720"/>
              </w:tabs>
              <w:contextualSpacing/>
              <w:jc w:val="both"/>
              <w:rPr>
                <w:b/>
                <w:bCs/>
                <w:lang w:eastAsia="en-US"/>
              </w:rPr>
            </w:pPr>
            <w:r w:rsidRPr="00EC2DCF">
              <w:rPr>
                <w:b/>
                <w:bCs/>
                <w:lang w:eastAsia="en-US"/>
              </w:rPr>
              <w:t>Ņemts vērā</w:t>
            </w:r>
          </w:p>
          <w:p w14:paraId="2A71986C" w14:textId="77777777" w:rsidR="00A12F2A" w:rsidRPr="009841AB" w:rsidRDefault="00791141" w:rsidP="00311DFC">
            <w:pPr>
              <w:tabs>
                <w:tab w:val="left" w:pos="720"/>
              </w:tabs>
              <w:contextualSpacing/>
              <w:jc w:val="both"/>
              <w:rPr>
                <w:b/>
                <w:bCs/>
                <w:color w:val="000000"/>
                <w:shd w:val="clear" w:color="auto" w:fill="FFFFFF"/>
              </w:rPr>
            </w:pPr>
            <w:r>
              <w:rPr>
                <w:lang w:eastAsia="en-US"/>
              </w:rPr>
              <w:t xml:space="preserve">Digitālās transformācijas pamatnostādnes iezīmē kopējās Nacionālās prioritātes </w:t>
            </w:r>
            <w:r w:rsidR="00E3795F">
              <w:rPr>
                <w:lang w:eastAsia="en-US"/>
              </w:rPr>
              <w:t xml:space="preserve">Digitālās transformācijas politikā, </w:t>
            </w:r>
            <w:r w:rsidR="006035BC">
              <w:rPr>
                <w:lang w:eastAsia="en-US"/>
              </w:rPr>
              <w:t>kas definētas plašā un iekļaujošā konsultāciju procesā iesaistot arī privātā, akadēmiskā un nevalstiskā sektora pārstāvjus. V</w:t>
            </w:r>
            <w:r w:rsidR="00E3795F">
              <w:rPr>
                <w:lang w:eastAsia="en-US"/>
              </w:rPr>
              <w:t xml:space="preserve">ienlaikus norādāms, ka </w:t>
            </w:r>
            <w:r w:rsidR="00D27BD0">
              <w:rPr>
                <w:lang w:eastAsia="en-US"/>
              </w:rPr>
              <w:t xml:space="preserve">industriālās politikas attīstību detalizētāk apskata </w:t>
            </w:r>
            <w:r w:rsidR="00311DFC">
              <w:rPr>
                <w:lang w:eastAsia="en-US"/>
              </w:rPr>
              <w:t>Nacionālās industriālās politikas pamatnostādnes</w:t>
            </w:r>
            <w:r w:rsidR="00E729E0">
              <w:rPr>
                <w:lang w:eastAsia="en-US"/>
              </w:rPr>
              <w:t xml:space="preserve"> 2021-2027</w:t>
            </w:r>
            <w:r w:rsidR="00311DFC">
              <w:rPr>
                <w:lang w:eastAsia="en-US"/>
              </w:rPr>
              <w:t xml:space="preserve">. </w:t>
            </w:r>
            <w:r w:rsidR="00E729E0">
              <w:rPr>
                <w:lang w:eastAsia="en-US"/>
              </w:rPr>
              <w:t xml:space="preserve">Turklāt, </w:t>
            </w:r>
            <w:r w:rsidR="00311DFC">
              <w:rPr>
                <w:lang w:eastAsia="en-US"/>
              </w:rPr>
              <w:t>a</w:t>
            </w:r>
            <w:r w:rsidR="00032CA9" w:rsidRPr="00032CA9">
              <w:rPr>
                <w:lang w:eastAsia="en-US"/>
              </w:rPr>
              <w:t xml:space="preserve">tbilstoši </w:t>
            </w:r>
            <w:r w:rsidR="001661FD">
              <w:rPr>
                <w:lang w:eastAsia="en-US"/>
              </w:rPr>
              <w:t xml:space="preserve">MK </w:t>
            </w:r>
            <w:r w:rsidR="00F83FE9">
              <w:rPr>
                <w:lang w:eastAsia="en-US"/>
              </w:rPr>
              <w:t>27.04.2021</w:t>
            </w:r>
            <w:r w:rsidR="002730B4">
              <w:rPr>
                <w:lang w:eastAsia="en-US"/>
              </w:rPr>
              <w:t xml:space="preserve"> sēdē </w:t>
            </w:r>
            <w:r w:rsidR="001661FD">
              <w:rPr>
                <w:lang w:eastAsia="en-US"/>
              </w:rPr>
              <w:t xml:space="preserve"> </w:t>
            </w:r>
            <w:r w:rsidR="00032CA9" w:rsidRPr="00032CA9">
              <w:rPr>
                <w:lang w:eastAsia="en-US"/>
              </w:rPr>
              <w:t xml:space="preserve">apstiprinātajam Latvijas Atjaunošanas </w:t>
            </w:r>
            <w:r w:rsidR="00032CA9">
              <w:rPr>
                <w:lang w:eastAsia="en-US"/>
              </w:rPr>
              <w:t xml:space="preserve">un Noturības mehānisma </w:t>
            </w:r>
            <w:r w:rsidR="001661FD">
              <w:rPr>
                <w:lang w:eastAsia="en-US"/>
              </w:rPr>
              <w:t>plānam</w:t>
            </w:r>
            <w:r w:rsidR="002730B4">
              <w:rPr>
                <w:lang w:eastAsia="en-US"/>
              </w:rPr>
              <w:t xml:space="preserve">, </w:t>
            </w:r>
            <w:r w:rsidR="00E729E0">
              <w:rPr>
                <w:lang w:eastAsia="en-US"/>
              </w:rPr>
              <w:t xml:space="preserve">tiešās </w:t>
            </w:r>
            <w:r w:rsidR="002730B4">
              <w:rPr>
                <w:lang w:eastAsia="en-US"/>
              </w:rPr>
              <w:t xml:space="preserve">investīcijas </w:t>
            </w:r>
            <w:r w:rsidR="0095658B">
              <w:rPr>
                <w:lang w:eastAsia="en-US"/>
              </w:rPr>
              <w:lastRenderedPageBreak/>
              <w:t xml:space="preserve">Komersantu </w:t>
            </w:r>
            <w:proofErr w:type="spellStart"/>
            <w:r w:rsidR="0095658B">
              <w:rPr>
                <w:lang w:eastAsia="en-US"/>
              </w:rPr>
              <w:t>digitalizācijā</w:t>
            </w:r>
            <w:proofErr w:type="spellEnd"/>
            <w:r w:rsidR="00B12202">
              <w:rPr>
                <w:lang w:eastAsia="en-US"/>
              </w:rPr>
              <w:t xml:space="preserve"> (125 milj. eiro)</w:t>
            </w:r>
            <w:r w:rsidR="0095658B">
              <w:rPr>
                <w:lang w:eastAsia="en-US"/>
              </w:rPr>
              <w:t xml:space="preserve"> </w:t>
            </w:r>
            <w:r w:rsidR="00C778FC">
              <w:rPr>
                <w:lang w:eastAsia="en-US"/>
              </w:rPr>
              <w:t xml:space="preserve">ir līdzvērtīgas plānotajām investīcijām publiskajā sektorā, kur daļa paredzēta arī uz uzņēmējiem orientētu platformu un pakalpojumu atbalstam.  </w:t>
            </w:r>
            <w:r w:rsidR="005A222B">
              <w:rPr>
                <w:lang w:eastAsia="en-US"/>
              </w:rPr>
              <w:t xml:space="preserve">Jāņem vērā, ka </w:t>
            </w:r>
            <w:r w:rsidR="00623BF1">
              <w:rPr>
                <w:lang w:eastAsia="en-US"/>
              </w:rPr>
              <w:t xml:space="preserve">konsultāciju procesā tika būtiski palielinātas investīcijas </w:t>
            </w:r>
            <w:proofErr w:type="spellStart"/>
            <w:r w:rsidR="00623BF1">
              <w:rPr>
                <w:lang w:eastAsia="en-US"/>
              </w:rPr>
              <w:t>komercsektora</w:t>
            </w:r>
            <w:proofErr w:type="spellEnd"/>
            <w:r w:rsidR="00623BF1">
              <w:rPr>
                <w:lang w:eastAsia="en-US"/>
              </w:rPr>
              <w:t xml:space="preserve"> </w:t>
            </w:r>
            <w:r w:rsidR="004304A8">
              <w:rPr>
                <w:lang w:eastAsia="en-US"/>
              </w:rPr>
              <w:t xml:space="preserve">digitālo prasmju pilnveidē, ANM plānam indikatīvi paredzot 20 milj. </w:t>
            </w:r>
            <w:r w:rsidR="00157987">
              <w:rPr>
                <w:lang w:eastAsia="en-US"/>
              </w:rPr>
              <w:t xml:space="preserve">eiro </w:t>
            </w:r>
            <w:r w:rsidR="00E87E06">
              <w:rPr>
                <w:lang w:eastAsia="en-US"/>
              </w:rPr>
              <w:t xml:space="preserve">investīcijas komersantu digitālo prasmju pilnveidē. Vienlaikus, saskaņā ar Izglītības un zinātnes ministrijas </w:t>
            </w:r>
            <w:r w:rsidR="00B12202">
              <w:rPr>
                <w:lang w:eastAsia="en-US"/>
              </w:rPr>
              <w:t>sniegto informāciju, indikatīv</w:t>
            </w:r>
            <w:r w:rsidR="00157987">
              <w:rPr>
                <w:lang w:eastAsia="en-US"/>
              </w:rPr>
              <w:t xml:space="preserve">ais Digitālo prasmju finansējums, kas komersantiem būs pieejams 2021-2027 periodā </w:t>
            </w:r>
            <w:r w:rsidR="00BA55F0">
              <w:rPr>
                <w:lang w:eastAsia="en-US"/>
              </w:rPr>
              <w:t xml:space="preserve">pārsniegs vairāk kā 100 milj. eiro (nodarbināto mācības, industrijas pasūtītās mācības, </w:t>
            </w:r>
            <w:r w:rsidR="00A87662">
              <w:rPr>
                <w:lang w:eastAsia="en-US"/>
              </w:rPr>
              <w:t xml:space="preserve">IKT skola </w:t>
            </w:r>
            <w:proofErr w:type="spellStart"/>
            <w:r w:rsidR="00A87662">
              <w:rPr>
                <w:lang w:eastAsia="en-US"/>
              </w:rPr>
              <w:lastRenderedPageBreak/>
              <w:t>pašvadītām</w:t>
            </w:r>
            <w:proofErr w:type="spellEnd"/>
            <w:r w:rsidR="00A87662">
              <w:rPr>
                <w:lang w:eastAsia="en-US"/>
              </w:rPr>
              <w:t xml:space="preserve"> mācībām, u.c.)</w:t>
            </w:r>
          </w:p>
        </w:tc>
        <w:tc>
          <w:tcPr>
            <w:tcW w:w="3497" w:type="dxa"/>
            <w:tcBorders>
              <w:top w:val="single" w:sz="4" w:space="0" w:color="auto"/>
              <w:left w:val="single" w:sz="4" w:space="0" w:color="auto"/>
              <w:bottom w:val="single" w:sz="4" w:space="0" w:color="auto"/>
            </w:tcBorders>
            <w:shd w:val="clear" w:color="auto" w:fill="auto"/>
          </w:tcPr>
          <w:p w14:paraId="62F13828" w14:textId="77777777" w:rsidR="00A12F2A" w:rsidRPr="009841AB" w:rsidRDefault="00A12F2A" w:rsidP="00226A31"/>
        </w:tc>
      </w:tr>
      <w:tr w:rsidR="00226A31" w:rsidRPr="009841AB" w14:paraId="3DEA10D8"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BBD72CD" w14:textId="77777777" w:rsidR="00226A31" w:rsidRPr="00F8246F" w:rsidRDefault="00226A31" w:rsidP="00226A31">
            <w:pPr>
              <w:widowControl w:val="0"/>
              <w:jc w:val="both"/>
              <w:rPr>
                <w:rFonts w:cstheme="minorHAnsi"/>
                <w:b/>
              </w:rPr>
            </w:pPr>
            <w:proofErr w:type="spellStart"/>
            <w:r>
              <w:rPr>
                <w:rFonts w:cstheme="minorHAnsi"/>
                <w:b/>
              </w:rPr>
              <w:lastRenderedPageBreak/>
              <w:t>Pārresoru</w:t>
            </w:r>
            <w:proofErr w:type="spellEnd"/>
            <w:r>
              <w:rPr>
                <w:rFonts w:cstheme="minorHAnsi"/>
                <w:b/>
              </w:rPr>
              <w:t xml:space="preserve"> koordinācijas centra</w:t>
            </w:r>
            <w:r w:rsidRPr="00507245">
              <w:rPr>
                <w:rFonts w:cstheme="minorHAnsi"/>
                <w:b/>
              </w:rPr>
              <w:t xml:space="preserve"> 0</w:t>
            </w:r>
            <w:r>
              <w:rPr>
                <w:rFonts w:cstheme="minorHAnsi"/>
                <w:b/>
              </w:rPr>
              <w:t>2</w:t>
            </w:r>
            <w:r w:rsidRPr="00507245">
              <w:rPr>
                <w:rFonts w:cstheme="minorHAnsi"/>
                <w:b/>
              </w:rPr>
              <w:t>.02.2021. atzinums:</w:t>
            </w:r>
          </w:p>
        </w:tc>
      </w:tr>
      <w:tr w:rsidR="00226A31" w:rsidRPr="009841AB" w14:paraId="6673566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794F74C" w14:textId="77777777" w:rsidR="00226A31" w:rsidRPr="009841AB" w:rsidRDefault="009D6451" w:rsidP="00226A31">
            <w:pPr>
              <w:pStyle w:val="naisc"/>
              <w:spacing w:before="0" w:after="0"/>
            </w:pPr>
            <w:r>
              <w:t>45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8E00DBB"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67B80B9" w14:textId="77777777" w:rsidR="00226A31" w:rsidRPr="009841AB" w:rsidRDefault="00226A31" w:rsidP="00226A31">
            <w:pPr>
              <w:tabs>
                <w:tab w:val="left" w:pos="720"/>
              </w:tabs>
              <w:contextualSpacing/>
              <w:jc w:val="both"/>
              <w:rPr>
                <w:lang w:eastAsia="en-US"/>
              </w:rPr>
            </w:pPr>
            <w:r w:rsidRPr="009841AB">
              <w:rPr>
                <w:lang w:eastAsia="en-US"/>
              </w:rPr>
              <w:t>1.</w:t>
            </w:r>
            <w:r w:rsidRPr="009841AB">
              <w:tab/>
            </w:r>
            <w:r w:rsidRPr="009841AB">
              <w:rPr>
                <w:lang w:eastAsia="en-US"/>
              </w:rPr>
              <w:t xml:space="preserve">Pamatnostādņu ievadā ir atzīmēts ļoti būtisks faktors, proti, ka digitālā transformācija ietekmē visas ekonomikas nozares un ikdienu, darbu un saziņu, un </w:t>
            </w:r>
            <w:proofErr w:type="spellStart"/>
            <w:r w:rsidRPr="009841AB">
              <w:rPr>
                <w:lang w:eastAsia="en-US"/>
              </w:rPr>
              <w:t>digitalizācijas</w:t>
            </w:r>
            <w:proofErr w:type="spellEnd"/>
            <w:r w:rsidRPr="009841AB">
              <w:rPr>
                <w:lang w:eastAsia="en-US"/>
              </w:rPr>
              <w:t xml:space="preserve"> turpmāko attīstību identificē kā caurvijošu elementu attiecībā uz visām nozarēm, īpaši tādās jomās kā inovācijas un zinātne, izglītība, veselības aprūpe, iekļaujoša sabiedrība un darba tirgus, infrastruktūra, reģionālā attīstība, drošība, kā arī vide un enerģētika, kas sasaistās ar piedāvāto Pamatnostādņu mērķi. Tomēr, iepazīstoties ar Pamatnostādņu struktūru un izvirzītajiem rīcības virzieniem, redzams, ka </w:t>
            </w:r>
            <w:r w:rsidRPr="009841AB">
              <w:rPr>
                <w:b/>
                <w:lang w:eastAsia="en-US"/>
              </w:rPr>
              <w:t>digitālās prasmes kā starpnozaru caurviju prasmes,</w:t>
            </w:r>
            <w:r w:rsidRPr="009841AB">
              <w:rPr>
                <w:lang w:eastAsia="en-US"/>
              </w:rPr>
              <w:t xml:space="preserve"> no kuru kvalitātes digitālās transformācijas procesā ir atkarīgas indivīda iespējas izglītoties, konkurēt darba tirgū un pilnvērtīgi iesaistīties sabiedrības procesos, </w:t>
            </w:r>
            <w:r w:rsidRPr="009841AB">
              <w:rPr>
                <w:b/>
                <w:lang w:eastAsia="en-US"/>
              </w:rPr>
              <w:t>ir uzrunātas tikai  vienā rīcības virzienā „Digitālās prasmes un izglītība”, uzsvaru liekot uz izglītības sistēmas un procesu pilnveidi un cilvēku prasmēm</w:t>
            </w:r>
            <w:r w:rsidRPr="009841AB">
              <w:rPr>
                <w:lang w:eastAsia="en-US"/>
              </w:rPr>
              <w:t xml:space="preserve">. Nodrošinot vienotu, starpnozaru attīstības plānošanu, </w:t>
            </w:r>
            <w:r w:rsidRPr="009841AB">
              <w:rPr>
                <w:b/>
                <w:lang w:eastAsia="en-US"/>
              </w:rPr>
              <w:t>aicinām nepazaudēt loģisko saiti un sasaisti kā caurviju elementu digitālajai transformācijai visās nozarēs, proti savstarpēji sasaistot mērķus un aktivitātes visos piedāvātajos rīcības virzienos;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B05FF1E" w14:textId="77777777" w:rsidR="00226A31" w:rsidRPr="009841AB" w:rsidRDefault="00212F37" w:rsidP="00226A31">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5018E76E" w14:textId="77777777" w:rsidR="00226A31" w:rsidRPr="009841AB" w:rsidRDefault="00226A31" w:rsidP="00226A31"/>
        </w:tc>
      </w:tr>
      <w:tr w:rsidR="00226A31" w:rsidRPr="009841AB" w14:paraId="31F7449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1C5A4E5" w14:textId="77777777" w:rsidR="00226A31" w:rsidRPr="009841AB" w:rsidRDefault="009D6451" w:rsidP="00226A31">
            <w:pPr>
              <w:pStyle w:val="naisc"/>
              <w:spacing w:before="0" w:after="0"/>
            </w:pPr>
            <w:r>
              <w:t>46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653E757"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BDEE214" w14:textId="77777777" w:rsidR="004E4AC4" w:rsidRDefault="0097231F" w:rsidP="00226A31">
            <w:pPr>
              <w:tabs>
                <w:tab w:val="left" w:pos="720"/>
              </w:tabs>
              <w:contextualSpacing/>
              <w:jc w:val="both"/>
              <w:rPr>
                <w:lang w:eastAsia="en-US"/>
              </w:rPr>
            </w:pPr>
            <w:r>
              <w:rPr>
                <w:lang w:eastAsia="en-US"/>
              </w:rPr>
              <w:t>(</w:t>
            </w:r>
            <w:r w:rsidR="00642E85">
              <w:rPr>
                <w:lang w:eastAsia="en-US"/>
              </w:rPr>
              <w:t>I</w:t>
            </w:r>
            <w:r>
              <w:rPr>
                <w:lang w:eastAsia="en-US"/>
              </w:rPr>
              <w:t>epriekš izziņas 35. punkts)</w:t>
            </w:r>
          </w:p>
          <w:p w14:paraId="5093DB34" w14:textId="77777777" w:rsidR="00226A31" w:rsidRPr="009841AB" w:rsidRDefault="00226A31" w:rsidP="00226A31">
            <w:pPr>
              <w:tabs>
                <w:tab w:val="left" w:pos="720"/>
              </w:tabs>
              <w:contextualSpacing/>
              <w:jc w:val="both"/>
              <w:rPr>
                <w:lang w:eastAsia="en-US"/>
              </w:rPr>
            </w:pPr>
            <w:r w:rsidRPr="009841AB">
              <w:rPr>
                <w:lang w:eastAsia="en-US"/>
              </w:rPr>
              <w:t>2.</w:t>
            </w:r>
            <w:r w:rsidRPr="009841AB">
              <w:rPr>
                <w:lang w:eastAsia="en-US"/>
              </w:rPr>
              <w:tab/>
              <w:t>lūdzam veidot Pamatnostādņu struktūru atbilstoši 02.12.2014. Ministru kabineta noteikumu Nr.737 “Attīstības plānošanas dokumentu izstrādes un ietekmes izvērtēšanas noteikumi” (turpmāk – MK noteikumi Nr.737) prasībām, tai skaitā:</w:t>
            </w:r>
          </w:p>
          <w:p w14:paraId="534D2DBC"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7.punktā noteiktajam: dokumentu veidot, īsi, skaidri un loģiski formulējot tā satura izklāstu;</w:t>
            </w:r>
          </w:p>
          <w:p w14:paraId="52E068F3" w14:textId="77777777" w:rsidR="00226A31" w:rsidRPr="009841AB" w:rsidRDefault="00226A31" w:rsidP="00226A31">
            <w:pPr>
              <w:tabs>
                <w:tab w:val="left" w:pos="720"/>
              </w:tabs>
              <w:contextualSpacing/>
              <w:jc w:val="both"/>
              <w:rPr>
                <w:lang w:eastAsia="en-US"/>
              </w:rPr>
            </w:pPr>
            <w:r w:rsidRPr="009841AB">
              <w:rPr>
                <w:lang w:eastAsia="en-US"/>
              </w:rPr>
              <w:lastRenderedPageBreak/>
              <w:t></w:t>
            </w:r>
            <w:r w:rsidRPr="009841AB">
              <w:rPr>
                <w:lang w:eastAsia="en-US"/>
              </w:rPr>
              <w:tab/>
              <w:t>18.punktā un 1.pielikumā noteiktajām prasībām pamatnostādņu saturam un struktūrai. Lūdzam neveidot jaunus jēdzienus, kas netiek paredzēti MK noteikumos, piemēram: “attīstības virzieni”, “rīcības nolūks”;</w:t>
            </w:r>
          </w:p>
          <w:p w14:paraId="06272273"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 xml:space="preserve">19.punktā noteiktajām prasībām par pamatnostādņu pielikumos ietveramo informāciju (pamatnostādņu pielikumā ietver esošās situācijas raksturojumu pamatnostādņu aptvertajās nozarēs (tajā skaitā aktuālo statistisko informāciju), identificētās problēmas, kuru risināšanai nepieciešama noteiktas politikas īstenošana (tajā skaitā sniedzot pamatojumu, ja atsevišķas problēmas netiks risinātas), kā arī piedāvātā risinājuma sākotnējās ietekmes </w:t>
            </w:r>
            <w:proofErr w:type="spellStart"/>
            <w:r w:rsidRPr="009841AB">
              <w:rPr>
                <w:lang w:eastAsia="en-US"/>
              </w:rPr>
              <w:t>izvērtējuma</w:t>
            </w:r>
            <w:proofErr w:type="spellEnd"/>
            <w:r w:rsidRPr="009841AB">
              <w:rPr>
                <w:lang w:eastAsia="en-US"/>
              </w:rPr>
              <w:t xml:space="preserve"> rezultātus). Vēršam uzmanību, ka dokumenta projekta esošā redakcija satur apjomīgu materiālu, kur ir konstatējami arī </w:t>
            </w:r>
            <w:proofErr w:type="spellStart"/>
            <w:r w:rsidRPr="009841AB">
              <w:rPr>
                <w:lang w:eastAsia="en-US"/>
              </w:rPr>
              <w:t>ex</w:t>
            </w:r>
            <w:proofErr w:type="spellEnd"/>
            <w:r w:rsidRPr="009841AB">
              <w:rPr>
                <w:lang w:eastAsia="en-US"/>
              </w:rPr>
              <w:t xml:space="preserve"> </w:t>
            </w:r>
            <w:proofErr w:type="spellStart"/>
            <w:r w:rsidRPr="009841AB">
              <w:rPr>
                <w:lang w:eastAsia="en-US"/>
              </w:rPr>
              <w:t>ante</w:t>
            </w:r>
            <w:proofErr w:type="spellEnd"/>
            <w:r w:rsidRPr="009841AB">
              <w:rPr>
                <w:lang w:eastAsia="en-US"/>
              </w:rPr>
              <w:t xml:space="preserve"> analīzes elementi, kas būtu norādāmi projekta pielikumos. Saprotot, ka digitālās transformācijas politika ir horizontāla un ieinteresēto pušu loks tās izmantošanā būs gan plašs, gan daudzveidīgs, tomēr uzskatām, ka svarīgāk ir nevis apkopot visu informāciju par tēmu, bet atbilstoši MK noteikumos Nr.737 noteiktajai struktūrai pamatdokumentā koncentrēti un skaidri norādīt tikai uz būtiskākajiem jaunajiem īstenojamiem rīcības virzieniem un uzdevumiem definēto mērķu sasniegšanā;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6614608" w14:textId="77777777" w:rsidR="00C36E93" w:rsidRPr="009841AB" w:rsidRDefault="00212F37" w:rsidP="00226A31">
            <w:pPr>
              <w:pStyle w:val="naisc"/>
              <w:spacing w:before="0" w:after="0"/>
              <w:jc w:val="both"/>
              <w:rPr>
                <w:b/>
                <w:highlight w:val="yellow"/>
              </w:rPr>
            </w:pPr>
            <w:r w:rsidRPr="009841AB">
              <w:rPr>
                <w:b/>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7CC879D8" w14:textId="77777777" w:rsidR="00226A31" w:rsidRPr="009841AB" w:rsidRDefault="00226A31" w:rsidP="00226A31"/>
        </w:tc>
      </w:tr>
      <w:tr w:rsidR="00226A31" w:rsidRPr="009841AB" w14:paraId="5FBD7AC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60FF94C" w14:textId="77777777" w:rsidR="00226A31" w:rsidRPr="009841AB" w:rsidRDefault="002219AB" w:rsidP="00226A31">
            <w:pPr>
              <w:pStyle w:val="naisc"/>
              <w:spacing w:before="0" w:after="0"/>
            </w:pPr>
            <w:r>
              <w:t>47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DDBD6A3"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5C61922" w14:textId="77777777" w:rsidR="00226A31" w:rsidRPr="009841AB" w:rsidRDefault="00226A31" w:rsidP="00226A31">
            <w:pPr>
              <w:tabs>
                <w:tab w:val="left" w:pos="720"/>
              </w:tabs>
              <w:contextualSpacing/>
              <w:jc w:val="both"/>
              <w:rPr>
                <w:lang w:eastAsia="en-US"/>
              </w:rPr>
            </w:pPr>
            <w:r w:rsidRPr="009841AB">
              <w:rPr>
                <w:lang w:eastAsia="en-US"/>
              </w:rPr>
              <w:t>3.</w:t>
            </w:r>
            <w:r w:rsidRPr="009841AB">
              <w:rPr>
                <w:lang w:eastAsia="en-US"/>
              </w:rPr>
              <w:tab/>
              <w:t xml:space="preserve">lūdzam atbilstoši MK noteikumu Nr.737 18.3.apakšpunktam norādīt informāciju par politikas mērķu sasaisti ar Nacionālo attīstības plānu 2021.-2027.gadam (turpmāk – NAP2027) , Latvijas ilgtspējīgas attīstības stratēģiju un citiem attīstības plānošanas dokumentiem, kā arī Eiropas Savienības politikas plānošanas dokumentiem, attiecīgi </w:t>
            </w:r>
            <w:r w:rsidRPr="009841AB">
              <w:rPr>
                <w:lang w:eastAsia="en-US"/>
              </w:rPr>
              <w:lastRenderedPageBreak/>
              <w:t xml:space="preserve">pievienojot pielikumu “Pamatnostādņu sasaiste ar citiem politikas plānošanas dokumentiem”. </w:t>
            </w:r>
          </w:p>
          <w:p w14:paraId="2BBF191A" w14:textId="77777777" w:rsidR="00226A31" w:rsidRPr="009841AB" w:rsidRDefault="00226A31" w:rsidP="00226A31">
            <w:pPr>
              <w:tabs>
                <w:tab w:val="left" w:pos="720"/>
              </w:tabs>
              <w:contextualSpacing/>
              <w:jc w:val="both"/>
              <w:rPr>
                <w:lang w:eastAsia="en-US"/>
              </w:rPr>
            </w:pPr>
            <w:r w:rsidRPr="009841AB">
              <w:rPr>
                <w:lang w:eastAsia="en-US"/>
              </w:rPr>
              <w:t>Papildus vēršam uzmanību uz vairākiem Ministru kabineta uzdevumiem un lūdzam jaunajā pielikumā norādīt informāciju, arī minēto MK uzdevumu aspektā;</w:t>
            </w:r>
          </w:p>
          <w:p w14:paraId="5D32B590"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 xml:space="preserve">apstiprinot Pakalpojumu vides pilnveides plānu 2020.-2023.gadam, tika noteikts, ka sagatavojot vidēja termiņa attīstības plānošanas dokumentu "Digitālās transformācijas pamatnostādnes 2021.-2027. gadam", jānosaka, ka valsts pārvaldes prioritāte ir uz lietotāju orientētu, </w:t>
            </w:r>
            <w:proofErr w:type="spellStart"/>
            <w:r w:rsidRPr="009841AB">
              <w:rPr>
                <w:lang w:eastAsia="en-US"/>
              </w:rPr>
              <w:t>proaktīvu</w:t>
            </w:r>
            <w:proofErr w:type="spellEnd"/>
            <w:r w:rsidRPr="009841AB">
              <w:rPr>
                <w:lang w:eastAsia="en-US"/>
              </w:rPr>
              <w:t xml:space="preserve"> pakalpojumu sniegšana, tai skaitā pakalpojumu pārrobežu pieejamības nodrošināšana (MK 04.02.2020 rīkojums Nr.39, 6.punkts);</w:t>
            </w:r>
          </w:p>
          <w:p w14:paraId="7D6C3B36"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 xml:space="preserve">pieņemot informatīvo ziņojumu “Par mākslīgā intelekta risinājumu attīstību”, tika dots uzdevums visām ministrijām, izstrādājot nacionālos vai nozares attīstības plānošanas dokumentus vai to grozījumus, veikt </w:t>
            </w:r>
            <w:proofErr w:type="spellStart"/>
            <w:r w:rsidRPr="009841AB">
              <w:rPr>
                <w:lang w:eastAsia="en-US"/>
              </w:rPr>
              <w:t>izvērtējumu</w:t>
            </w:r>
            <w:proofErr w:type="spellEnd"/>
            <w:r w:rsidRPr="009841AB">
              <w:rPr>
                <w:lang w:eastAsia="en-US"/>
              </w:rPr>
              <w:t xml:space="preserve"> par valsts pārvaldes uzdevumu automatizāciju un MI izmantošanu, ja tas iepriekš nav izvērtēts (MK 04.02.2020 sēdes </w:t>
            </w:r>
            <w:proofErr w:type="spellStart"/>
            <w:r w:rsidRPr="009841AB">
              <w:rPr>
                <w:lang w:eastAsia="en-US"/>
              </w:rPr>
              <w:t>protokollēmums</w:t>
            </w:r>
            <w:proofErr w:type="spellEnd"/>
            <w:r w:rsidRPr="009841AB">
              <w:rPr>
                <w:lang w:eastAsia="en-US"/>
              </w:rPr>
              <w:t xml:space="preserve">, prot. Nr.5, 33.§, 3.punkts); kā arī sagatavojot plānošanas dokumentu "Digitālās transformācijas pamatnostādnes 2021.-2028.gadam", noteikt MI risinājumu ieviešanu par vienu no publiskās pārvaldes prioritātēm (MK 04.02.2020 sēdes </w:t>
            </w:r>
            <w:proofErr w:type="spellStart"/>
            <w:r w:rsidRPr="009841AB">
              <w:rPr>
                <w:lang w:eastAsia="en-US"/>
              </w:rPr>
              <w:t>protokollēmums</w:t>
            </w:r>
            <w:proofErr w:type="spellEnd"/>
            <w:r w:rsidRPr="009841AB">
              <w:rPr>
                <w:lang w:eastAsia="en-US"/>
              </w:rPr>
              <w:t>, prot. Nr.5, 33.§, 7.punkts);</w:t>
            </w:r>
          </w:p>
          <w:p w14:paraId="3C288805" w14:textId="77777777" w:rsidR="00226A31" w:rsidRPr="009841AB" w:rsidRDefault="00226A31" w:rsidP="00226A31">
            <w:pPr>
              <w:tabs>
                <w:tab w:val="left" w:pos="720"/>
              </w:tabs>
              <w:contextualSpacing/>
              <w:jc w:val="both"/>
              <w:rPr>
                <w:lang w:eastAsia="en-US"/>
              </w:rPr>
            </w:pPr>
            <w:r w:rsidRPr="009841AB">
              <w:rPr>
                <w:lang w:eastAsia="en-US"/>
              </w:rPr>
              <w:t></w:t>
            </w:r>
            <w:r w:rsidRPr="009841AB">
              <w:tab/>
            </w:r>
            <w:r w:rsidRPr="009841AB">
              <w:rPr>
                <w:lang w:eastAsia="en-US"/>
              </w:rPr>
              <w:t xml:space="preserve">pieņemot  informatīvo ziņojumu "Latvijas stratēģija </w:t>
            </w:r>
            <w:proofErr w:type="spellStart"/>
            <w:r w:rsidRPr="009841AB">
              <w:rPr>
                <w:lang w:eastAsia="en-US"/>
              </w:rPr>
              <w:t>klimatneitralitātes</w:t>
            </w:r>
            <w:proofErr w:type="spellEnd"/>
            <w:r w:rsidRPr="009841AB">
              <w:rPr>
                <w:lang w:eastAsia="en-US"/>
              </w:rPr>
              <w:t xml:space="preserve"> sasniegšanai līdz 2050.gadam" tika dots uzdevums izstrādājot jaunus politikas plānošanas dokumentus ņemt vērā stratēģijā norādītos mērķus, lai izmaksu efektīvā, integrētā un pārdomātā veidā veicinātu oglekļa mazietilpīgu attīstību Latvijā un tiekšanos uz </w:t>
            </w:r>
            <w:proofErr w:type="spellStart"/>
            <w:r w:rsidRPr="009841AB">
              <w:rPr>
                <w:lang w:eastAsia="en-US"/>
              </w:rPr>
              <w:t>klimatneitralitāti</w:t>
            </w:r>
            <w:proofErr w:type="spellEnd"/>
            <w:r w:rsidRPr="009841AB">
              <w:rPr>
                <w:lang w:eastAsia="en-US"/>
              </w:rPr>
              <w:t xml:space="preserve">, </w:t>
            </w:r>
            <w:r w:rsidRPr="009841AB">
              <w:rPr>
                <w:lang w:eastAsia="en-US"/>
              </w:rPr>
              <w:lastRenderedPageBreak/>
              <w:t>ievērojot katras nozares prioritātes (MK sēdes 28.01.2020., prot Nr.4, 29.§, 4.punkts).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5A37303" w14:textId="77777777" w:rsidR="00CE37B0" w:rsidRPr="00F56B1C" w:rsidRDefault="00CE37B0" w:rsidP="00CE37B0">
            <w:pPr>
              <w:pStyle w:val="naisc"/>
              <w:jc w:val="both"/>
              <w:rPr>
                <w:b/>
                <w:bCs/>
              </w:rPr>
            </w:pPr>
            <w:r>
              <w:rPr>
                <w:b/>
                <w:bCs/>
              </w:rPr>
              <w:lastRenderedPageBreak/>
              <w:t>Panākta vienošanās</w:t>
            </w:r>
          </w:p>
          <w:p w14:paraId="1246EFE2" w14:textId="77777777" w:rsidR="00573B90" w:rsidRPr="009841AB" w:rsidRDefault="00573B90" w:rsidP="00226A31">
            <w:pPr>
              <w:pStyle w:val="naisc"/>
              <w:spacing w:before="0" w:after="0"/>
              <w:jc w:val="both"/>
              <w:rPr>
                <w:bCs/>
              </w:rPr>
            </w:pPr>
            <w:r w:rsidRPr="009841AB">
              <w:rPr>
                <w:bCs/>
              </w:rPr>
              <w:t xml:space="preserve">Iedzīvotājiem un uzņēmējiem ir pieejami uz lietotāju orientēti, ap dzīves notikumiem organizēti </w:t>
            </w:r>
            <w:proofErr w:type="spellStart"/>
            <w:r w:rsidRPr="009841AB">
              <w:rPr>
                <w:bCs/>
              </w:rPr>
              <w:t>proaktīvi</w:t>
            </w:r>
            <w:proofErr w:type="spellEnd"/>
            <w:r w:rsidRPr="009841AB">
              <w:rPr>
                <w:bCs/>
              </w:rPr>
              <w:t xml:space="preserve">, integrēti un optimāli </w:t>
            </w:r>
            <w:r w:rsidRPr="009841AB">
              <w:rPr>
                <w:bCs/>
              </w:rPr>
              <w:lastRenderedPageBreak/>
              <w:t>nodrošināti valsts pakalpojumi, kas risina sabiedrības vajadzības un nodrošina augstu pievienoto vērtību un maksimālu labumu iedzīvotājam, uzņēmējam un sabiedrībai kopumā, tajā skaitā ir nodrošināta pakalpojumu pārrobežu pieejamība.</w:t>
            </w:r>
          </w:p>
          <w:p w14:paraId="466D5AFD" w14:textId="77777777" w:rsidR="00573B90" w:rsidRPr="009841AB" w:rsidRDefault="00573B90" w:rsidP="00226A31">
            <w:pPr>
              <w:pStyle w:val="naisc"/>
              <w:spacing w:before="0" w:after="0"/>
              <w:jc w:val="both"/>
              <w:rPr>
                <w:bCs/>
              </w:rPr>
            </w:pPr>
          </w:p>
          <w:p w14:paraId="6C4863FD" w14:textId="77777777" w:rsidR="00226A31" w:rsidRPr="009841AB" w:rsidRDefault="003B1BCC" w:rsidP="00226A31">
            <w:pPr>
              <w:pStyle w:val="naisc"/>
              <w:spacing w:before="0" w:after="0"/>
              <w:jc w:val="both"/>
              <w:rPr>
                <w:bCs/>
              </w:rPr>
            </w:pPr>
            <w:r w:rsidRPr="009841AB">
              <w:rPr>
                <w:bCs/>
              </w:rPr>
              <w:t xml:space="preserve">Mākslīgā intelekta un citu tehnoloģiju pielietošana ir </w:t>
            </w:r>
            <w:r w:rsidR="009D21DF" w:rsidRPr="009841AB">
              <w:rPr>
                <w:bCs/>
              </w:rPr>
              <w:t>iekļauta</w:t>
            </w:r>
            <w:r w:rsidRPr="009841AB">
              <w:rPr>
                <w:bCs/>
              </w:rPr>
              <w:t xml:space="preserve"> tematiski pa sadaļām un nav izcelta kā atsevišķa sadaļa</w:t>
            </w:r>
            <w:r w:rsidR="00B710D8" w:rsidRPr="009841AB">
              <w:rPr>
                <w:bCs/>
              </w:rPr>
              <w:t>, jo mākslīgā intelekta tehnoloģiju pielietošana ir attīstības caurvijošs elements</w:t>
            </w:r>
            <w:r w:rsidRPr="009841AB">
              <w:rPr>
                <w:bCs/>
              </w:rPr>
              <w:t>.</w:t>
            </w:r>
          </w:p>
          <w:p w14:paraId="3030D713" w14:textId="77777777" w:rsidR="4AF6D349" w:rsidRPr="009841AB" w:rsidRDefault="4AF6D349" w:rsidP="4AF6D349">
            <w:pPr>
              <w:pStyle w:val="naisc"/>
              <w:spacing w:before="0" w:after="0"/>
              <w:jc w:val="both"/>
            </w:pPr>
          </w:p>
          <w:p w14:paraId="5CB7B89C" w14:textId="77777777" w:rsidR="25FEB2D6" w:rsidRPr="009841AB" w:rsidRDefault="25FEB2D6" w:rsidP="4AF6D349">
            <w:pPr>
              <w:pStyle w:val="naisc"/>
              <w:spacing w:before="0" w:after="0"/>
              <w:jc w:val="both"/>
            </w:pPr>
            <w:r w:rsidRPr="009841AB">
              <w:t xml:space="preserve">Attiecībā uz </w:t>
            </w:r>
            <w:proofErr w:type="spellStart"/>
            <w:r w:rsidRPr="009841AB">
              <w:t>klimatneitralitātes</w:t>
            </w:r>
            <w:proofErr w:type="spellEnd"/>
            <w:r w:rsidRPr="009841AB">
              <w:t xml:space="preserve"> sasniegšanu pamatnostādņu sadaļā 4.4.5. ir izvēsta informācija par</w:t>
            </w:r>
            <w:r w:rsidR="1ABE1C74" w:rsidRPr="009841AB">
              <w:t xml:space="preserve"> nepieciešamo rīcību</w:t>
            </w:r>
            <w:r w:rsidRPr="009841AB">
              <w:t xml:space="preserve"> dažādu risinājumu i</w:t>
            </w:r>
            <w:r w:rsidR="52097075" w:rsidRPr="009841AB">
              <w:t>zvēršan</w:t>
            </w:r>
            <w:r w:rsidR="19772EF4" w:rsidRPr="009841AB">
              <w:t xml:space="preserve">ai vairākās </w:t>
            </w:r>
            <w:proofErr w:type="spellStart"/>
            <w:r w:rsidR="19772EF4" w:rsidRPr="009841AB">
              <w:t>klimatneitralitātes</w:t>
            </w:r>
            <w:proofErr w:type="spellEnd"/>
            <w:r w:rsidR="19772EF4" w:rsidRPr="009841AB">
              <w:t xml:space="preserve"> </w:t>
            </w:r>
            <w:r w:rsidR="19772EF4" w:rsidRPr="009841AB">
              <w:lastRenderedPageBreak/>
              <w:t>veicinošajās jomās, piemēram,</w:t>
            </w:r>
            <w:r w:rsidR="52097075" w:rsidRPr="009841AB">
              <w:t xml:space="preserve"> attiecībā uz datu pieejamību, gan teritoriju plānojumu pilnveidi un piesārņoto vietu monitoringu </w:t>
            </w:r>
          </w:p>
          <w:p w14:paraId="0F32282B" w14:textId="77777777" w:rsidR="00325B2D" w:rsidRPr="009841AB" w:rsidRDefault="00325B2D" w:rsidP="00226A31">
            <w:pPr>
              <w:pStyle w:val="naisc"/>
              <w:spacing w:before="0" w:after="0"/>
              <w:jc w:val="both"/>
              <w:rPr>
                <w:bCs/>
              </w:rPr>
            </w:pPr>
          </w:p>
          <w:p w14:paraId="123BB7E4" w14:textId="77777777" w:rsidR="00325B2D" w:rsidRPr="009841AB" w:rsidRDefault="00325B2D" w:rsidP="00226A31">
            <w:pPr>
              <w:pStyle w:val="naisc"/>
              <w:spacing w:before="0" w:after="0"/>
              <w:jc w:val="both"/>
              <w:rPr>
                <w:color w:val="FF0000"/>
              </w:rPr>
            </w:pPr>
          </w:p>
        </w:tc>
        <w:tc>
          <w:tcPr>
            <w:tcW w:w="3497" w:type="dxa"/>
            <w:tcBorders>
              <w:top w:val="single" w:sz="4" w:space="0" w:color="auto"/>
              <w:left w:val="single" w:sz="4" w:space="0" w:color="auto"/>
              <w:bottom w:val="single" w:sz="4" w:space="0" w:color="auto"/>
            </w:tcBorders>
            <w:shd w:val="clear" w:color="auto" w:fill="auto"/>
          </w:tcPr>
          <w:p w14:paraId="180A5722" w14:textId="77777777" w:rsidR="00226A31" w:rsidRPr="009841AB" w:rsidRDefault="00226A31" w:rsidP="00226A31"/>
        </w:tc>
      </w:tr>
      <w:tr w:rsidR="00226A31" w:rsidRPr="009841AB" w14:paraId="5820D5D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31B424A" w14:textId="77777777" w:rsidR="00226A31" w:rsidRPr="009841AB" w:rsidRDefault="002219AB" w:rsidP="00226A31">
            <w:pPr>
              <w:pStyle w:val="naisc"/>
              <w:spacing w:before="0" w:after="0"/>
            </w:pPr>
            <w:r>
              <w:lastRenderedPageBreak/>
              <w:t>48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7CAD43E"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B3D33AE" w14:textId="77777777" w:rsidR="00226A31" w:rsidRPr="009841AB" w:rsidRDefault="00226A31" w:rsidP="00226A31">
            <w:pPr>
              <w:tabs>
                <w:tab w:val="left" w:pos="720"/>
              </w:tabs>
              <w:contextualSpacing/>
              <w:jc w:val="both"/>
              <w:rPr>
                <w:lang w:eastAsia="en-US"/>
              </w:rPr>
            </w:pPr>
            <w:r w:rsidRPr="009841AB">
              <w:rPr>
                <w:lang w:eastAsia="en-US"/>
              </w:rPr>
              <w:t>4.</w:t>
            </w:r>
            <w:r w:rsidRPr="009841AB">
              <w:rPr>
                <w:lang w:eastAsia="en-US"/>
              </w:rPr>
              <w:tab/>
              <w:t>Lūdzam iekļaut atsauces uz vismaz šādiem NAP2027 indikatoriem:</w:t>
            </w:r>
          </w:p>
          <w:p w14:paraId="05F46CF0"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[162] 16–74 gadus vecu personu īpatsvars, kurām ir pamata un augstākas digitālās prasmes, %;</w:t>
            </w:r>
          </w:p>
          <w:p w14:paraId="0D03D4AF"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 xml:space="preserve">[198] </w:t>
            </w:r>
            <w:proofErr w:type="spellStart"/>
            <w:r w:rsidRPr="009841AB">
              <w:rPr>
                <w:lang w:eastAsia="en-US"/>
              </w:rPr>
              <w:t>Datorpakalpojumu</w:t>
            </w:r>
            <w:proofErr w:type="spellEnd"/>
            <w:r w:rsidRPr="009841AB">
              <w:rPr>
                <w:lang w:eastAsia="en-US"/>
              </w:rPr>
              <w:t xml:space="preserve"> un informācijas pakalpojumu eksports no kopējā pakalpojumu eksporta, %;</w:t>
            </w:r>
          </w:p>
          <w:p w14:paraId="6702F877"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 xml:space="preserve">[234] Digitālo tehnoloģiju integrācija, vidējā svērtā vērtība no 4a – uzņēmējdarbības </w:t>
            </w:r>
            <w:proofErr w:type="spellStart"/>
            <w:r w:rsidRPr="009841AB">
              <w:rPr>
                <w:lang w:eastAsia="en-US"/>
              </w:rPr>
              <w:t>digitalizācija</w:t>
            </w:r>
            <w:proofErr w:type="spellEnd"/>
            <w:r w:rsidRPr="009841AB">
              <w:rPr>
                <w:lang w:eastAsia="en-US"/>
              </w:rPr>
              <w:t xml:space="preserve"> – (60 %) un 4b – e-komercija (40 %), %;</w:t>
            </w:r>
          </w:p>
          <w:p w14:paraId="7802E497"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 xml:space="preserve">[235] Atvērto datu rādītājs (indekss), vieta reitingā; </w:t>
            </w:r>
          </w:p>
          <w:p w14:paraId="22085C42"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 xml:space="preserve">[307] Digitālās ekonomikas un sabiedrības indekss (DESI), vieta; </w:t>
            </w:r>
          </w:p>
          <w:p w14:paraId="35C81CEE"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 xml:space="preserve">[424] Iedzīvotāju informētība, pieredze un apmierinātība ar saņemtajiem valsts pakalpojumiem, skala 0-10;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90A9ED7" w14:textId="77777777" w:rsidR="00226A31" w:rsidRPr="009841AB" w:rsidRDefault="00212F37" w:rsidP="00226A31">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077C89C8" w14:textId="77777777" w:rsidR="00226A31" w:rsidRPr="009841AB" w:rsidRDefault="00212F37" w:rsidP="00226A31">
            <w:r w:rsidRPr="009841AB">
              <w:t>Lūdzam skatīt rīcības virzienus 2.pielikumā  RV4.1.1., V4.4.2.3., RV4.4., RV4.4.9.7.</w:t>
            </w:r>
          </w:p>
          <w:p w14:paraId="4FBE71CE" w14:textId="77777777" w:rsidR="00212F37" w:rsidRPr="009841AB" w:rsidRDefault="00212F37" w:rsidP="00226A31"/>
        </w:tc>
      </w:tr>
      <w:tr w:rsidR="00226A31" w:rsidRPr="009841AB" w14:paraId="18FB865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EB93395" w14:textId="77777777" w:rsidR="00226A31" w:rsidRPr="009841AB" w:rsidRDefault="002219AB" w:rsidP="00226A31">
            <w:pPr>
              <w:pStyle w:val="naisc"/>
              <w:spacing w:before="0" w:after="0"/>
            </w:pPr>
            <w:r>
              <w:t>49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1FCD317"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B3AEBD9" w14:textId="77777777" w:rsidR="00226A31" w:rsidRPr="009841AB" w:rsidRDefault="00226A31" w:rsidP="00226A31">
            <w:pPr>
              <w:tabs>
                <w:tab w:val="left" w:pos="720"/>
              </w:tabs>
              <w:contextualSpacing/>
              <w:jc w:val="both"/>
              <w:rPr>
                <w:lang w:eastAsia="en-US"/>
              </w:rPr>
            </w:pPr>
            <w:r w:rsidRPr="009841AB">
              <w:rPr>
                <w:lang w:eastAsia="en-US"/>
              </w:rPr>
              <w:t>5.</w:t>
            </w:r>
            <w:r w:rsidRPr="009841AB">
              <w:rPr>
                <w:lang w:eastAsia="en-US"/>
              </w:rPr>
              <w:tab/>
              <w:t xml:space="preserve">papildus lūdzam saskaņot Pamatnostādņu projektā iekļautos politikas rezultātus un rezultatīvos rādītājus ar citu nozaru plānošanas dokumentos norādīto, piemēram Transporta attīstības pamatnostādņu 2021.-2027.gadam projektā iekļauts rezultatīvais rādītājs “5G mobilo sakaru pārklājuma pieejamība gar VIA </w:t>
            </w:r>
            <w:proofErr w:type="spellStart"/>
            <w:r w:rsidRPr="009841AB">
              <w:rPr>
                <w:lang w:eastAsia="en-US"/>
              </w:rPr>
              <w:t>Baltica</w:t>
            </w:r>
            <w:proofErr w:type="spellEnd"/>
            <w:r w:rsidRPr="009841AB">
              <w:rPr>
                <w:lang w:eastAsia="en-US"/>
              </w:rPr>
              <w:t xml:space="preserve"> un Rail </w:t>
            </w:r>
            <w:proofErr w:type="spellStart"/>
            <w:r w:rsidRPr="009841AB">
              <w:rPr>
                <w:lang w:eastAsia="en-US"/>
              </w:rPr>
              <w:t>Baltica</w:t>
            </w:r>
            <w:proofErr w:type="spellEnd"/>
            <w:r w:rsidRPr="009841AB">
              <w:rPr>
                <w:lang w:eastAsia="en-US"/>
              </w:rPr>
              <w:t xml:space="preserve"> transporta koridoriem, km” ar mērķa vērtību 2027.gadā - 202,5 km (</w:t>
            </w:r>
            <w:proofErr w:type="spellStart"/>
            <w:r w:rsidRPr="009841AB">
              <w:rPr>
                <w:lang w:eastAsia="en-US"/>
              </w:rPr>
              <w:t>Via</w:t>
            </w:r>
            <w:proofErr w:type="spellEnd"/>
            <w:r w:rsidRPr="009841AB">
              <w:rPr>
                <w:lang w:eastAsia="en-US"/>
              </w:rPr>
              <w:t xml:space="preserve"> </w:t>
            </w:r>
            <w:proofErr w:type="spellStart"/>
            <w:r w:rsidRPr="009841AB">
              <w:rPr>
                <w:lang w:eastAsia="en-US"/>
              </w:rPr>
              <w:t>Baltica</w:t>
            </w:r>
            <w:proofErr w:type="spellEnd"/>
            <w:r w:rsidRPr="009841AB">
              <w:rPr>
                <w:lang w:eastAsia="en-US"/>
              </w:rPr>
              <w:t xml:space="preserve">) +265 km (Rail </w:t>
            </w:r>
            <w:proofErr w:type="spellStart"/>
            <w:r w:rsidRPr="009841AB">
              <w:rPr>
                <w:lang w:eastAsia="en-US"/>
              </w:rPr>
              <w:t>Baltica</w:t>
            </w:r>
            <w:proofErr w:type="spellEnd"/>
            <w:r w:rsidRPr="009841AB">
              <w:rPr>
                <w:lang w:eastAsia="en-US"/>
              </w:rPr>
              <w:t xml:space="preserve">), bet Pamatnostādņu projektā iekļauts rādītājs “RR4.3.-1-2 </w:t>
            </w:r>
            <w:r w:rsidRPr="009841AB">
              <w:rPr>
                <w:lang w:eastAsia="en-US"/>
              </w:rPr>
              <w:lastRenderedPageBreak/>
              <w:t>Sauszemes transporta maģistrālēm nodrošināts nepārtraukts 5G pārklājums” ar mērķa vērtību 2027.gadā - 99% no visām sauszemes transporta maģistrālēm;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E76E383" w14:textId="77777777" w:rsidR="000C1BCB" w:rsidRPr="009841AB" w:rsidRDefault="000C1BCB" w:rsidP="000C1BCB">
            <w:pPr>
              <w:pStyle w:val="naisc"/>
              <w:jc w:val="both"/>
              <w:rPr>
                <w:b/>
              </w:rPr>
            </w:pPr>
            <w:r w:rsidRPr="009841AB">
              <w:rPr>
                <w:b/>
              </w:rPr>
              <w:lastRenderedPageBreak/>
              <w:t>Ņemts vērā</w:t>
            </w:r>
          </w:p>
          <w:p w14:paraId="5202DFD9" w14:textId="77777777" w:rsidR="00226A31" w:rsidRPr="009841AB" w:rsidRDefault="00226A31" w:rsidP="000C1BCB">
            <w:pPr>
              <w:pStyle w:val="naisc"/>
              <w:spacing w:before="0" w:after="0"/>
              <w:jc w:val="both"/>
              <w:rPr>
                <w:b/>
              </w:rPr>
            </w:pPr>
          </w:p>
        </w:tc>
        <w:tc>
          <w:tcPr>
            <w:tcW w:w="3497" w:type="dxa"/>
            <w:tcBorders>
              <w:top w:val="single" w:sz="4" w:space="0" w:color="auto"/>
              <w:left w:val="single" w:sz="4" w:space="0" w:color="auto"/>
              <w:bottom w:val="single" w:sz="4" w:space="0" w:color="auto"/>
            </w:tcBorders>
            <w:shd w:val="clear" w:color="auto" w:fill="auto"/>
          </w:tcPr>
          <w:p w14:paraId="535257B4" w14:textId="77777777" w:rsidR="00226A31" w:rsidRPr="009841AB" w:rsidRDefault="000C1BCB" w:rsidP="00226A31">
            <w:r w:rsidRPr="009841AB">
              <w:t>Lūdzam skatīt uzdevumu RR4.3.-1-2</w:t>
            </w:r>
          </w:p>
        </w:tc>
      </w:tr>
      <w:tr w:rsidR="00226A31" w:rsidRPr="009841AB" w14:paraId="6588EA9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45E3577" w14:textId="77777777" w:rsidR="00226A31" w:rsidRPr="009841AB" w:rsidRDefault="002219AB" w:rsidP="00226A31">
            <w:pPr>
              <w:pStyle w:val="naisc"/>
              <w:spacing w:before="0" w:after="0"/>
            </w:pPr>
            <w:r>
              <w:t>50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D35D8FE"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5D25C0C" w14:textId="77777777" w:rsidR="00226A31" w:rsidRPr="009841AB" w:rsidRDefault="00226A31" w:rsidP="00226A31">
            <w:pPr>
              <w:tabs>
                <w:tab w:val="left" w:pos="720"/>
              </w:tabs>
              <w:contextualSpacing/>
              <w:jc w:val="both"/>
              <w:rPr>
                <w:lang w:eastAsia="en-US"/>
              </w:rPr>
            </w:pPr>
            <w:r w:rsidRPr="009841AB">
              <w:rPr>
                <w:lang w:eastAsia="en-US"/>
              </w:rPr>
              <w:t>6.</w:t>
            </w:r>
            <w:r w:rsidRPr="009841AB">
              <w:rPr>
                <w:lang w:eastAsia="en-US"/>
              </w:rPr>
              <w:tab/>
              <w:t xml:space="preserve">lūdzam precizēt informāciju par Pamatnostādņu projektā identificēto uzdevumu sasaisti ar NAP2027, attiecīgi papildinot Pamatnostādņu 2.pielikumu “Rīcības virzieni un uzdevumi” ar papildus kolonnu par pamatnostādņu uzdevumu </w:t>
            </w:r>
            <w:proofErr w:type="spellStart"/>
            <w:r w:rsidRPr="009841AB">
              <w:rPr>
                <w:lang w:eastAsia="en-US"/>
              </w:rPr>
              <w:t>attiecināmību</w:t>
            </w:r>
            <w:proofErr w:type="spellEnd"/>
            <w:r w:rsidRPr="009841AB">
              <w:rPr>
                <w:lang w:eastAsia="en-US"/>
              </w:rPr>
              <w:t xml:space="preserve"> uz konkrētajiem NAP uzdevumiem  (norādot šajās kolonnās attiecīgi NAP uzdevuma Nr.). Noteikti iekļaujama atsauce uz sekojošiem NAP2027 uzdevumiem:</w:t>
            </w:r>
          </w:p>
          <w:p w14:paraId="7221EEAE"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[241] Konkurētspējīga un atvērta regulējuma nodrošināšana nākotnes tehnoloģijām (t. sk. digitālo risinājumu ieviešana informācijas apmaiņā gan starp pašiem uzņēmējiem, gan valsts un pašvaldības iestādēm;</w:t>
            </w:r>
          </w:p>
          <w:p w14:paraId="1ACE7D81" w14:textId="77777777" w:rsidR="00226A31" w:rsidRPr="009841AB" w:rsidRDefault="00226A31" w:rsidP="00226A31">
            <w:pPr>
              <w:tabs>
                <w:tab w:val="left" w:pos="720"/>
              </w:tabs>
              <w:contextualSpacing/>
              <w:jc w:val="both"/>
              <w:rPr>
                <w:lang w:eastAsia="en-US"/>
              </w:rPr>
            </w:pPr>
            <w:r w:rsidRPr="009841AB">
              <w:rPr>
                <w:lang w:eastAsia="en-US"/>
              </w:rPr>
              <w:t></w:t>
            </w:r>
            <w:r w:rsidRPr="009841AB">
              <w:rPr>
                <w:lang w:eastAsia="en-US"/>
              </w:rPr>
              <w:tab/>
              <w:t>[242] Valsts pārvaldes rīcībā esošo datu saprātīga atvēršana, uzlabojot privātā sektora konkurētspēju un inovatīvu produktu un pakalpojumu izstrādi.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EB16DBD" w14:textId="77777777" w:rsidR="00E3218D" w:rsidRPr="009841AB" w:rsidRDefault="3B3CEFAA" w:rsidP="007D7A9D">
            <w:pPr>
              <w:rPr>
                <w:b/>
                <w:bCs/>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77CBEE7B" w14:textId="77777777" w:rsidR="00226A31" w:rsidRPr="009841AB" w:rsidRDefault="00226A31" w:rsidP="00226A31"/>
        </w:tc>
      </w:tr>
      <w:tr w:rsidR="00226A31" w:rsidRPr="009841AB" w14:paraId="46E64F7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09C2062" w14:textId="77777777" w:rsidR="00226A31" w:rsidRPr="009841AB" w:rsidRDefault="00FF1A56" w:rsidP="00226A31">
            <w:pPr>
              <w:pStyle w:val="naisc"/>
              <w:spacing w:before="0" w:after="0"/>
            </w:pPr>
            <w:r>
              <w:t>51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09329AB"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8B24555" w14:textId="77777777" w:rsidR="00226A31" w:rsidRPr="00D851F8" w:rsidRDefault="00226A31" w:rsidP="00226A31">
            <w:pPr>
              <w:shd w:val="clear" w:color="auto" w:fill="FFFFFF" w:themeFill="background1"/>
              <w:jc w:val="both"/>
              <w:rPr>
                <w:rFonts w:cs="Calibri"/>
                <w:color w:val="000000"/>
              </w:rPr>
            </w:pPr>
            <w:r w:rsidRPr="009841AB">
              <w:t>7. lūdzam saturiski precizēt Pamatnostādņu projektu, pārformulējot uzdevumus, kuri paredz  plānu izstrādi, ieviešanu un ieviešanas koordinēšanu. PKC ieskatā minētie formulējumi saturiski atbilst VARAM ikdienas darba procesiem, nevis norāda konkrētus uzdevumus politikas mērķu sasniegšanai. Saskaņā ar esošo redakciju, secināms, ka Pamatnostādņu īstenošanai tiks izstrādāti vismaz 17 plāni, 5 politikas un 7 stratēģijas vai stratēģiskie plāni. Vēršam uzmanību, ka Latvijas attīstības plānošanas sistēma neparedz tādas dokumentu formas kā “stratēģija” vai “stratēģiskais plāns”. Lūdzam precizēt vismaz šādu uzdevumu formulējumus:</w:t>
            </w:r>
          </w:p>
          <w:p w14:paraId="6A1AC144" w14:textId="77777777" w:rsidR="00226A31" w:rsidRPr="009841AB" w:rsidRDefault="00226A31" w:rsidP="000C28AE">
            <w:pPr>
              <w:pStyle w:val="ListParagraph"/>
              <w:numPr>
                <w:ilvl w:val="1"/>
                <w:numId w:val="1"/>
              </w:numPr>
              <w:shd w:val="clear" w:color="auto" w:fill="FFFFFF" w:themeFill="background1"/>
              <w:spacing w:after="0" w:line="240" w:lineRule="auto"/>
              <w:jc w:val="both"/>
              <w:rPr>
                <w:rFonts w:ascii="Times New Roman" w:hAnsi="Times New Roman"/>
                <w:color w:val="000000"/>
                <w:sz w:val="24"/>
                <w:szCs w:val="24"/>
              </w:rPr>
            </w:pPr>
            <w:r w:rsidRPr="009841AB">
              <w:rPr>
                <w:rFonts w:ascii="Times New Roman" w:hAnsi="Times New Roman"/>
                <w:color w:val="000000" w:themeColor="text1"/>
                <w:sz w:val="24"/>
                <w:szCs w:val="24"/>
              </w:rPr>
              <w:lastRenderedPageBreak/>
              <w:t xml:space="preserve">uzdevumus </w:t>
            </w:r>
            <w:r w:rsidRPr="009841AB">
              <w:rPr>
                <w:rFonts w:ascii="Times New Roman" w:hAnsi="Times New Roman"/>
                <w:sz w:val="24"/>
                <w:szCs w:val="24"/>
              </w:rPr>
              <w:t>U4.1.1.-1; U4.1.2.-1; U4.1.3.-1; U4.2.4.-1; U4.2.4.-2; U4.4.1.-2; U4.4.9.1.-1; U4.4.9.6.-1; U4.4.10.2.-1; U4.4.13.-1; U4.4.13.-2; U4.5.1.-4; U4.5.2.-1, kuri paredz dažādu plānu izstrādi/izveidi;</w:t>
            </w:r>
          </w:p>
          <w:p w14:paraId="1F75436B" w14:textId="77777777" w:rsidR="00226A31" w:rsidRPr="009841AB" w:rsidRDefault="00226A31" w:rsidP="000C28AE">
            <w:pPr>
              <w:pStyle w:val="ListParagraph"/>
              <w:numPr>
                <w:ilvl w:val="1"/>
                <w:numId w:val="1"/>
              </w:numPr>
              <w:shd w:val="clear" w:color="auto" w:fill="FFFFFF" w:themeFill="background1"/>
              <w:spacing w:after="0" w:line="240" w:lineRule="auto"/>
              <w:jc w:val="both"/>
              <w:rPr>
                <w:rFonts w:ascii="Times New Roman" w:hAnsi="Times New Roman"/>
                <w:color w:val="000000"/>
                <w:sz w:val="24"/>
                <w:szCs w:val="24"/>
              </w:rPr>
            </w:pPr>
            <w:r w:rsidRPr="009841AB">
              <w:rPr>
                <w:rFonts w:ascii="Times New Roman" w:hAnsi="Times New Roman"/>
                <w:color w:val="000000" w:themeColor="text1"/>
                <w:sz w:val="24"/>
                <w:szCs w:val="24"/>
              </w:rPr>
              <w:t xml:space="preserve">uzdevumus </w:t>
            </w:r>
            <w:r w:rsidRPr="009841AB">
              <w:rPr>
                <w:rFonts w:ascii="Times New Roman" w:hAnsi="Times New Roman"/>
                <w:sz w:val="24"/>
                <w:szCs w:val="24"/>
              </w:rPr>
              <w:t>U4.1.2.-2; U4.4.9.1.-2; U4.4.9.6.-2; U4.4.10.1.-2, kuri paredz ieviest/īstenot plānus;</w:t>
            </w:r>
          </w:p>
          <w:p w14:paraId="70A8210E" w14:textId="77777777" w:rsidR="00226A31" w:rsidRPr="009841AB" w:rsidRDefault="00226A31" w:rsidP="000C28AE">
            <w:pPr>
              <w:pStyle w:val="ListParagraph"/>
              <w:numPr>
                <w:ilvl w:val="1"/>
                <w:numId w:val="1"/>
              </w:numPr>
              <w:shd w:val="clear" w:color="auto" w:fill="FFFFFF" w:themeFill="background1"/>
              <w:spacing w:after="0" w:line="240" w:lineRule="auto"/>
              <w:jc w:val="both"/>
              <w:rPr>
                <w:rFonts w:ascii="Times New Roman" w:hAnsi="Times New Roman"/>
                <w:color w:val="000000"/>
                <w:sz w:val="24"/>
                <w:szCs w:val="24"/>
              </w:rPr>
            </w:pPr>
            <w:r w:rsidRPr="009841AB">
              <w:rPr>
                <w:rFonts w:ascii="Times New Roman" w:hAnsi="Times New Roman"/>
                <w:sz w:val="24"/>
                <w:szCs w:val="24"/>
              </w:rPr>
              <w:t>uzdevumus  U4.4.2.2.-1; U4.4.2.3.-3; U4.5.1.-5; U4.5.2.-2, kuri paredz izstrādāt un ieviest plānu;</w:t>
            </w:r>
          </w:p>
          <w:p w14:paraId="7D091755" w14:textId="77777777" w:rsidR="00226A31" w:rsidRPr="009841AB" w:rsidRDefault="00226A31" w:rsidP="000C28AE">
            <w:pPr>
              <w:pStyle w:val="ListParagraph"/>
              <w:numPr>
                <w:ilvl w:val="1"/>
                <w:numId w:val="1"/>
              </w:numPr>
              <w:shd w:val="clear" w:color="auto" w:fill="FFFFFF" w:themeFill="background1"/>
              <w:spacing w:after="0" w:line="240" w:lineRule="auto"/>
              <w:jc w:val="both"/>
              <w:rPr>
                <w:rFonts w:ascii="Times New Roman" w:hAnsi="Times New Roman"/>
                <w:color w:val="000000"/>
                <w:sz w:val="24"/>
                <w:szCs w:val="24"/>
              </w:rPr>
            </w:pPr>
            <w:r w:rsidRPr="009841AB">
              <w:rPr>
                <w:rFonts w:ascii="Times New Roman" w:hAnsi="Times New Roman"/>
                <w:sz w:val="24"/>
                <w:szCs w:val="24"/>
              </w:rPr>
              <w:t>uzdevumu U4.1.2.-3, kurš paredz plāna ieviešanas koordinēšanu;</w:t>
            </w:r>
          </w:p>
          <w:p w14:paraId="60D124D1" w14:textId="77777777" w:rsidR="00226A31" w:rsidRPr="009841AB" w:rsidRDefault="00226A31" w:rsidP="000C28AE">
            <w:pPr>
              <w:pStyle w:val="ListParagraph"/>
              <w:numPr>
                <w:ilvl w:val="1"/>
                <w:numId w:val="1"/>
              </w:numPr>
              <w:shd w:val="clear" w:color="auto" w:fill="FFFFFF" w:themeFill="background1"/>
              <w:spacing w:after="0" w:line="240" w:lineRule="auto"/>
              <w:jc w:val="both"/>
              <w:rPr>
                <w:rFonts w:ascii="Times New Roman" w:hAnsi="Times New Roman"/>
                <w:color w:val="000000"/>
                <w:sz w:val="24"/>
                <w:szCs w:val="24"/>
              </w:rPr>
            </w:pPr>
            <w:r w:rsidRPr="009841AB">
              <w:rPr>
                <w:rFonts w:ascii="Times New Roman" w:hAnsi="Times New Roman"/>
                <w:sz w:val="24"/>
                <w:szCs w:val="24"/>
              </w:rPr>
              <w:t>uzdevumus U4.3.2.-1; U4.4.1.-1; U4.4.2.1.-1; U4.4.9.7.-1; U4.4.10.1.-1, kuri paredz izstrādāt politiku;</w:t>
            </w:r>
          </w:p>
          <w:p w14:paraId="527E5964" w14:textId="77777777" w:rsidR="00226A31" w:rsidRPr="009841AB" w:rsidRDefault="00226A31" w:rsidP="000C28AE">
            <w:pPr>
              <w:pStyle w:val="ListParagraph"/>
              <w:numPr>
                <w:ilvl w:val="1"/>
                <w:numId w:val="1"/>
              </w:numPr>
              <w:shd w:val="clear" w:color="auto" w:fill="FFFFFF" w:themeFill="background1"/>
              <w:spacing w:after="0" w:line="240" w:lineRule="auto"/>
              <w:jc w:val="both"/>
              <w:rPr>
                <w:rFonts w:ascii="Times New Roman" w:hAnsi="Times New Roman"/>
                <w:color w:val="000000"/>
                <w:sz w:val="24"/>
                <w:szCs w:val="24"/>
              </w:rPr>
            </w:pPr>
            <w:r w:rsidRPr="009841AB">
              <w:rPr>
                <w:rFonts w:ascii="Times New Roman" w:hAnsi="Times New Roman"/>
                <w:sz w:val="24"/>
                <w:szCs w:val="24"/>
              </w:rPr>
              <w:t>uzdevumus U4.2.1.-1; U4.4.7.-1; U4.4.9.1.-1; U4.4.9.6.-1; U4.4.12.-1; U4.4.13.-1; U4.4.13.-2, kuri paredz izstrādāt stratēģiju vai stratēģisku plānu.</w:t>
            </w:r>
          </w:p>
          <w:p w14:paraId="543827A5" w14:textId="77777777" w:rsidR="00226A31" w:rsidRPr="009841AB" w:rsidRDefault="00226A31" w:rsidP="00226A31">
            <w:pPr>
              <w:shd w:val="clear" w:color="auto" w:fill="FFFFFF" w:themeFill="background1"/>
              <w:jc w:val="both"/>
            </w:pPr>
            <w:r w:rsidRPr="009841AB">
              <w:t xml:space="preserve">Iesakām uzdevumu satura formulēšanai izmantot </w:t>
            </w:r>
            <w:proofErr w:type="spellStart"/>
            <w:r w:rsidRPr="009841AB">
              <w:t>apakšsadaļās</w:t>
            </w:r>
            <w:proofErr w:type="spellEnd"/>
            <w:r w:rsidRPr="009841AB">
              <w:t xml:space="preserve"> “Rīcības nolūks” un “Nepieciešamās rīcības” iekļauto informāciju, kur lielā mērā ir atklāts veicamo uzdevumu saturs.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955C860" w14:textId="77777777" w:rsidR="009E66D3" w:rsidRPr="009841AB" w:rsidRDefault="00036E09" w:rsidP="009E66D3">
            <w:pPr>
              <w:pStyle w:val="naisc"/>
              <w:jc w:val="both"/>
              <w:rPr>
                <w:b/>
              </w:rPr>
            </w:pPr>
            <w:r w:rsidRPr="009841AB">
              <w:rPr>
                <w:b/>
              </w:rPr>
              <w:lastRenderedPageBreak/>
              <w:t>Ņ</w:t>
            </w:r>
            <w:r w:rsidR="009E66D3" w:rsidRPr="009841AB">
              <w:rPr>
                <w:b/>
              </w:rPr>
              <w:t>emts vērā</w:t>
            </w:r>
          </w:p>
          <w:p w14:paraId="3AF4BFC6" w14:textId="77777777" w:rsidR="00226A31" w:rsidRPr="009841AB" w:rsidRDefault="00036E09" w:rsidP="00036E09">
            <w:pPr>
              <w:shd w:val="clear" w:color="auto" w:fill="FFFFFF" w:themeFill="background1"/>
              <w:jc w:val="both"/>
              <w:rPr>
                <w:b/>
              </w:rPr>
            </w:pPr>
            <w:r w:rsidRPr="009841AB">
              <w:t>Uzdevumi precizēti, samazināts  uzdevumu skaits un samazināts plānu daudzums</w:t>
            </w:r>
          </w:p>
        </w:tc>
        <w:tc>
          <w:tcPr>
            <w:tcW w:w="3497" w:type="dxa"/>
            <w:tcBorders>
              <w:top w:val="single" w:sz="4" w:space="0" w:color="auto"/>
              <w:left w:val="single" w:sz="4" w:space="0" w:color="auto"/>
              <w:bottom w:val="single" w:sz="4" w:space="0" w:color="auto"/>
            </w:tcBorders>
            <w:shd w:val="clear" w:color="auto" w:fill="auto"/>
          </w:tcPr>
          <w:p w14:paraId="5A6DF1E9" w14:textId="77777777" w:rsidR="00226A31" w:rsidRPr="009841AB" w:rsidRDefault="00226A31" w:rsidP="00226A31"/>
        </w:tc>
      </w:tr>
      <w:tr w:rsidR="00226A31" w:rsidRPr="009841AB" w14:paraId="1FF466DF" w14:textId="77777777" w:rsidTr="00DC72A3">
        <w:trPr>
          <w:gridAfter w:val="1"/>
          <w:wAfter w:w="7" w:type="dxa"/>
          <w:trHeight w:val="3283"/>
        </w:trPr>
        <w:tc>
          <w:tcPr>
            <w:tcW w:w="613" w:type="dxa"/>
            <w:tcBorders>
              <w:left w:val="single" w:sz="6" w:space="0" w:color="000000" w:themeColor="text1"/>
              <w:bottom w:val="single" w:sz="4" w:space="0" w:color="auto"/>
              <w:right w:val="single" w:sz="6" w:space="0" w:color="000000" w:themeColor="text1"/>
            </w:tcBorders>
            <w:shd w:val="clear" w:color="auto" w:fill="auto"/>
          </w:tcPr>
          <w:p w14:paraId="0C833737" w14:textId="77777777" w:rsidR="00226A31" w:rsidRPr="009841AB" w:rsidRDefault="00FF1A56" w:rsidP="00226A31">
            <w:pPr>
              <w:pStyle w:val="naisc"/>
              <w:spacing w:before="0" w:after="0"/>
            </w:pPr>
            <w:r>
              <w:lastRenderedPageBreak/>
              <w:t>52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0E9E830"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87D3D8C" w14:textId="77777777" w:rsidR="00226A31" w:rsidRPr="009841AB" w:rsidRDefault="00226A31" w:rsidP="00226A31">
            <w:pPr>
              <w:shd w:val="clear" w:color="auto" w:fill="FFFFFF" w:themeFill="background1"/>
              <w:jc w:val="both"/>
            </w:pPr>
            <w:r w:rsidRPr="009841AB">
              <w:t>8. ja identiska satura uzdevumi tiek iekļauti dažādos politikas plānošanas dokumentos, tad nepieciešams precizēt un vienādot atbildīgās/ līdzatbildīgās institūcijas, tā piemēram,  U4.5.2.-2. uzdevumā par viedajām pašvaldībām kā galvenā atbildīgā minēta EM, savukārt, Industriālās politikas pamatnostādnēs 2021.-2027.gadam (iesniegtas izskatīšanai MK) par šo uzdevumu atbild VARAM. Vienādošana nepieciešama arī attiecībā uz U4.4.11.3. u.c.;</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7AF01F9" w14:textId="77777777" w:rsidR="007D7A9D" w:rsidRPr="00F56B1C" w:rsidRDefault="005531EC" w:rsidP="007D7A9D">
            <w:pPr>
              <w:pStyle w:val="naisc"/>
              <w:tabs>
                <w:tab w:val="center" w:pos="1805"/>
              </w:tabs>
              <w:spacing w:before="0" w:after="0"/>
              <w:jc w:val="both"/>
              <w:rPr>
                <w:b/>
                <w:bCs/>
              </w:rPr>
            </w:pPr>
            <w:r w:rsidRPr="009841AB">
              <w:rPr>
                <w:b/>
                <w:bCs/>
              </w:rPr>
              <w:t>Ņemts vērā</w:t>
            </w:r>
            <w:r w:rsidR="007D7A9D" w:rsidRPr="009841AB">
              <w:rPr>
                <w:b/>
                <w:bCs/>
              </w:rPr>
              <w:tab/>
            </w:r>
          </w:p>
          <w:p w14:paraId="5FEB6653" w14:textId="77777777" w:rsidR="007D7A9D" w:rsidRPr="009841AB" w:rsidRDefault="007D7A9D" w:rsidP="007D7A9D">
            <w:r w:rsidRPr="009841AB">
              <w:t>VARAM ir noteikta kā atbildīgā iestāde.</w:t>
            </w:r>
          </w:p>
          <w:p w14:paraId="64C1792F" w14:textId="77777777" w:rsidR="007D7A9D" w:rsidRPr="009841AB" w:rsidRDefault="007D7A9D" w:rsidP="007D7A9D">
            <w:pPr>
              <w:pStyle w:val="naisc"/>
              <w:tabs>
                <w:tab w:val="center" w:pos="1805"/>
              </w:tabs>
              <w:spacing w:before="0" w:after="0"/>
              <w:jc w:val="both"/>
              <w:rPr>
                <w:highlight w:val="yellow"/>
              </w:rPr>
            </w:pPr>
          </w:p>
        </w:tc>
        <w:tc>
          <w:tcPr>
            <w:tcW w:w="3497" w:type="dxa"/>
            <w:tcBorders>
              <w:top w:val="single" w:sz="4" w:space="0" w:color="auto"/>
              <w:left w:val="single" w:sz="4" w:space="0" w:color="auto"/>
              <w:bottom w:val="single" w:sz="4" w:space="0" w:color="auto"/>
            </w:tcBorders>
            <w:shd w:val="clear" w:color="auto" w:fill="auto"/>
          </w:tcPr>
          <w:p w14:paraId="6D52E3A7" w14:textId="77777777" w:rsidR="00226A31" w:rsidRPr="009841AB" w:rsidRDefault="00B4645D" w:rsidP="00226A31">
            <w:r w:rsidRPr="009841AB">
              <w:t>Lūdzam skatīt U4.5.2.-2. un U4.4.11.3. uzdevumus.</w:t>
            </w:r>
          </w:p>
        </w:tc>
      </w:tr>
      <w:tr w:rsidR="00226A31" w:rsidRPr="009841AB" w14:paraId="1F17F14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E1B2D62" w14:textId="77777777" w:rsidR="00226A31" w:rsidRPr="009841AB" w:rsidRDefault="00FF1A56" w:rsidP="00226A31">
            <w:pPr>
              <w:pStyle w:val="naisc"/>
              <w:spacing w:before="0" w:after="0"/>
            </w:pPr>
            <w:r>
              <w:t>53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3A90787"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692BADB" w14:textId="77777777" w:rsidR="00226A31" w:rsidRPr="009841AB" w:rsidRDefault="00226A31" w:rsidP="00226A31">
            <w:pPr>
              <w:shd w:val="clear" w:color="auto" w:fill="FFFFFF"/>
              <w:jc w:val="both"/>
            </w:pPr>
            <w:r w:rsidRPr="009841AB">
              <w:t xml:space="preserve">9. lūdzam saturiski precizēt Pamatnostādņu projektu, novēršot uzdevumu saturisku dublēšanos, piemēram (bet ne tikai) - nav skaidrs, kāpēc atsevišķos uzdevumos sadalīti “U4.2.4.-1 Izstrādāt plānu un komunikācijas programmu  bērniem un pusaudžiem palīdzības saņemšanai par piedzīvotu prettiesisku darbību interneta vidē” un “U4.2.4.-2 Izstrādāt plānu un komunikācijas programmu bērniem, pusaudžiem un vecākiem par drošu un atbildīgu interneta piekļuves tehnoloģiju lietošanu un pārvaldību”;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617444B" w14:textId="77777777" w:rsidR="00BA389E" w:rsidRPr="00F56B1C" w:rsidRDefault="008B62B3" w:rsidP="00226A31">
            <w:pPr>
              <w:pStyle w:val="naisc"/>
              <w:spacing w:before="0" w:after="0"/>
              <w:jc w:val="both"/>
              <w:rPr>
                <w:b/>
              </w:rPr>
            </w:pPr>
            <w:r w:rsidRPr="009841AB">
              <w:rPr>
                <w:b/>
              </w:rPr>
              <w:t>Ņemts vērā</w:t>
            </w:r>
          </w:p>
          <w:p w14:paraId="35A3B7D4" w14:textId="77777777" w:rsidR="00BA389E" w:rsidRPr="009841AB" w:rsidRDefault="00BA389E" w:rsidP="00226A31">
            <w:pPr>
              <w:pStyle w:val="naisc"/>
              <w:spacing w:before="0" w:after="0"/>
              <w:jc w:val="both"/>
              <w:rPr>
                <w:bCs/>
              </w:rPr>
            </w:pPr>
            <w:r w:rsidRPr="009841AB">
              <w:t>Veiktas būtiskas korekcijas uzdevumu formulējumos – t.sk. mainīti arī U4.2.4. uzdevumi.</w:t>
            </w:r>
          </w:p>
        </w:tc>
        <w:tc>
          <w:tcPr>
            <w:tcW w:w="3497" w:type="dxa"/>
            <w:tcBorders>
              <w:top w:val="single" w:sz="4" w:space="0" w:color="auto"/>
              <w:left w:val="single" w:sz="4" w:space="0" w:color="auto"/>
              <w:bottom w:val="single" w:sz="4" w:space="0" w:color="auto"/>
            </w:tcBorders>
            <w:shd w:val="clear" w:color="auto" w:fill="auto"/>
          </w:tcPr>
          <w:p w14:paraId="64D01DE6" w14:textId="77777777" w:rsidR="00226A31" w:rsidRPr="009841AB" w:rsidRDefault="00BA389E" w:rsidP="00226A31">
            <w:r w:rsidRPr="009841AB">
              <w:t xml:space="preserve">Lūdzam skatīt </w:t>
            </w:r>
            <w:r w:rsidR="001808B1" w:rsidRPr="009841AB">
              <w:t>U4.2.4. uzdevumus.</w:t>
            </w:r>
            <w:r w:rsidR="00390510" w:rsidRPr="009841AB">
              <w:t xml:space="preserve"> </w:t>
            </w:r>
          </w:p>
        </w:tc>
      </w:tr>
      <w:tr w:rsidR="00226A31" w:rsidRPr="009841AB" w14:paraId="1DBBD6D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48EDEEA" w14:textId="77777777" w:rsidR="00226A31" w:rsidRPr="009841AB" w:rsidRDefault="005640A4" w:rsidP="00226A31">
            <w:pPr>
              <w:pStyle w:val="naisc"/>
              <w:spacing w:before="0" w:after="0"/>
            </w:pPr>
            <w:r>
              <w:t>54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80ABFD4"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F6DF591" w14:textId="77777777" w:rsidR="00226A31" w:rsidRPr="009841AB" w:rsidRDefault="00226A31" w:rsidP="00226A31">
            <w:pPr>
              <w:widowControl w:val="0"/>
              <w:jc w:val="both"/>
            </w:pPr>
            <w:r w:rsidRPr="009841AB">
              <w:t xml:space="preserve">10. lūdzam precizēt Ministru kabineta rīkojuma projekta 3.1. punktu, kas paredz līdz 2024.gada 31.maijam sniegt informatīvo ziņojumu par pamatnostādņu īstenošanas progresa novērtējumu. Atbilstoši MK noteikumu Nr.737 39.punktam, pamatnostādnēm ir jāveic </w:t>
            </w:r>
            <w:r w:rsidRPr="009841AB">
              <w:rPr>
                <w:u w:val="single"/>
              </w:rPr>
              <w:t xml:space="preserve">starpposma </w:t>
            </w:r>
            <w:proofErr w:type="spellStart"/>
            <w:r w:rsidRPr="009841AB">
              <w:rPr>
                <w:u w:val="single"/>
              </w:rPr>
              <w:t>izvērtējumu</w:t>
            </w:r>
            <w:proofErr w:type="spellEnd"/>
            <w:r w:rsidRPr="009841AB">
              <w: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8729570" w14:textId="77777777" w:rsidR="00226A31" w:rsidRPr="009841AB" w:rsidRDefault="0021052E" w:rsidP="00226A31">
            <w:pPr>
              <w:pStyle w:val="naisc"/>
              <w:spacing w:before="0" w:after="0"/>
              <w:jc w:val="both"/>
              <w:rPr>
                <w:b/>
              </w:rPr>
            </w:pPr>
            <w:r w:rsidRPr="009841AB">
              <w:rPr>
                <w:b/>
              </w:rPr>
              <w:t>Ņemts vērā</w:t>
            </w:r>
          </w:p>
          <w:p w14:paraId="5EDBDAC1" w14:textId="77777777" w:rsidR="0021052E" w:rsidRPr="009841AB" w:rsidRDefault="0021052E" w:rsidP="00226A31">
            <w:pPr>
              <w:pStyle w:val="naisc"/>
              <w:spacing w:before="0" w:after="0"/>
              <w:jc w:val="both"/>
              <w:rPr>
                <w:b/>
              </w:rPr>
            </w:pPr>
          </w:p>
        </w:tc>
        <w:tc>
          <w:tcPr>
            <w:tcW w:w="3497" w:type="dxa"/>
            <w:tcBorders>
              <w:top w:val="single" w:sz="4" w:space="0" w:color="auto"/>
              <w:left w:val="single" w:sz="4" w:space="0" w:color="auto"/>
              <w:bottom w:val="single" w:sz="4" w:space="0" w:color="auto"/>
            </w:tcBorders>
            <w:shd w:val="clear" w:color="auto" w:fill="auto"/>
          </w:tcPr>
          <w:p w14:paraId="3363FBB3" w14:textId="77777777" w:rsidR="00226A31" w:rsidRPr="009841AB" w:rsidRDefault="0021052E" w:rsidP="00226A31">
            <w:r w:rsidRPr="009841AB">
              <w:t xml:space="preserve">Lūdzam skatīt </w:t>
            </w:r>
            <w:r w:rsidR="003A2FC9" w:rsidRPr="009841AB">
              <w:t>4.2.4.apakšsadaļu</w:t>
            </w:r>
          </w:p>
        </w:tc>
      </w:tr>
      <w:tr w:rsidR="00226A31" w:rsidRPr="009841AB" w14:paraId="1B1B56A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A2E0DFC" w14:textId="77777777" w:rsidR="00226A31" w:rsidRPr="009841AB" w:rsidRDefault="005640A4" w:rsidP="00226A31">
            <w:pPr>
              <w:pStyle w:val="naisc"/>
              <w:spacing w:before="0" w:after="0"/>
            </w:pPr>
            <w:r>
              <w:t>55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3DB5D81"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19EF959" w14:textId="77777777" w:rsidR="00226A31" w:rsidRPr="009841AB" w:rsidRDefault="00226A31" w:rsidP="00226A31">
            <w:pPr>
              <w:tabs>
                <w:tab w:val="left" w:pos="720"/>
              </w:tabs>
              <w:contextualSpacing/>
              <w:jc w:val="both"/>
              <w:rPr>
                <w:lang w:eastAsia="en-US"/>
              </w:rPr>
            </w:pPr>
            <w:r w:rsidRPr="009841AB">
              <w:t xml:space="preserve">11. lūdzam precizēt Ministru kabineta rīkojuma projekta 3.2. punktu, kas paredz līdz 2028.gada 1.jūlijam sniegt informatīvo ziņojumu par pamatnostādņu īstenošanas gala novērtējumu, ietverot priekšlikumus digitālās transformācijas attīstībai turpmākajos gados. Atbilstoši MK noteikumu Nr.737 42.punktam, gala ietekmes novērtējumu veic ne vēlāk </w:t>
            </w:r>
            <w:r w:rsidRPr="009841AB">
              <w:lastRenderedPageBreak/>
              <w:t xml:space="preserve">kā 2 gadus pēc pamatnostādņu darbības termiņa beigām, turklāt,  </w:t>
            </w:r>
            <w:r w:rsidRPr="009841AB">
              <w:rPr>
                <w:u w:val="single"/>
              </w:rPr>
              <w:t xml:space="preserve">tikai tad, ja pamatnostādņu starpposma </w:t>
            </w:r>
            <w:proofErr w:type="spellStart"/>
            <w:r w:rsidRPr="009841AB">
              <w:rPr>
                <w:u w:val="single"/>
              </w:rPr>
              <w:t>izvērtējuma</w:t>
            </w:r>
            <w:proofErr w:type="spellEnd"/>
            <w:r w:rsidRPr="009841AB">
              <w:rPr>
                <w:u w:val="single"/>
              </w:rPr>
              <w:t xml:space="preserve"> rezultātā tiek pieņemts lēmums neveikt politikas plānošanas dokumenta izstrādi nākamajam plānošanas periodam</w:t>
            </w:r>
            <w:r w:rsidRPr="009841AB">
              <w:t xml:space="preserve">. Līdz ar to, lēmums par Pamatnostādņu gala ietekmes </w:t>
            </w:r>
            <w:proofErr w:type="spellStart"/>
            <w:r w:rsidRPr="009841AB">
              <w:t>izvērtējumu</w:t>
            </w:r>
            <w:proofErr w:type="spellEnd"/>
            <w:r w:rsidRPr="009841AB">
              <w:t xml:space="preserve"> (kas jauna nākamā perioda dokumenta izstrādes gadījumā praksē  nozīmē apvienošanu ar sākotnējās ietekmes </w:t>
            </w:r>
            <w:proofErr w:type="spellStart"/>
            <w:r w:rsidRPr="009841AB">
              <w:t>izvērtējumu</w:t>
            </w:r>
            <w:proofErr w:type="spellEnd"/>
            <w:r w:rsidRPr="009841AB">
              <w:t xml:space="preserve">) un tā termiņiem,  būs jāpieņem starpposma </w:t>
            </w:r>
            <w:proofErr w:type="spellStart"/>
            <w:r w:rsidRPr="009841AB">
              <w:t>izvērtējumā</w:t>
            </w:r>
            <w:proofErr w:type="spellEnd"/>
            <w:r w:rsidRPr="009841AB">
              <w:t xml:space="preserve"> un Ministru kabineta rīkojuma projekta 3.2. punkts ir svītrojams.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AD0C337" w14:textId="77777777" w:rsidR="00226A31" w:rsidRPr="009841AB" w:rsidRDefault="00285692" w:rsidP="00226A31">
            <w:pPr>
              <w:pStyle w:val="naisc"/>
              <w:spacing w:before="0" w:after="0"/>
              <w:jc w:val="both"/>
              <w:rPr>
                <w:b/>
              </w:rPr>
            </w:pPr>
            <w:r w:rsidRPr="009841AB">
              <w:rPr>
                <w:b/>
              </w:rPr>
              <w:lastRenderedPageBreak/>
              <w:t>Ņemts vērā</w:t>
            </w:r>
          </w:p>
          <w:p w14:paraId="35DE06CC" w14:textId="77777777" w:rsidR="00285692" w:rsidRPr="009841AB" w:rsidRDefault="00285692" w:rsidP="00226A31">
            <w:pPr>
              <w:pStyle w:val="naisc"/>
              <w:spacing w:before="0" w:after="0"/>
              <w:jc w:val="both"/>
              <w:rPr>
                <w:b/>
              </w:rPr>
            </w:pPr>
          </w:p>
        </w:tc>
        <w:tc>
          <w:tcPr>
            <w:tcW w:w="3497" w:type="dxa"/>
            <w:tcBorders>
              <w:top w:val="single" w:sz="4" w:space="0" w:color="auto"/>
              <w:left w:val="single" w:sz="4" w:space="0" w:color="auto"/>
              <w:bottom w:val="single" w:sz="4" w:space="0" w:color="auto"/>
            </w:tcBorders>
            <w:shd w:val="clear" w:color="auto" w:fill="auto"/>
          </w:tcPr>
          <w:p w14:paraId="21B796A7" w14:textId="77777777" w:rsidR="00226A31" w:rsidRPr="009841AB" w:rsidRDefault="00C95D61" w:rsidP="00226A31">
            <w:r w:rsidRPr="009841AB">
              <w:t xml:space="preserve">Lūdzam skatīt </w:t>
            </w:r>
            <w:proofErr w:type="spellStart"/>
            <w:r w:rsidRPr="009841AB">
              <w:t>protokollēmum</w:t>
            </w:r>
            <w:r w:rsidR="009166B7">
              <w:t>a</w:t>
            </w:r>
            <w:proofErr w:type="spellEnd"/>
            <w:r w:rsidR="009166B7">
              <w:t xml:space="preserve"> projektu</w:t>
            </w:r>
          </w:p>
        </w:tc>
      </w:tr>
      <w:tr w:rsidR="00A12F2A" w:rsidRPr="009841AB" w14:paraId="25344C6D"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2D7A07B" w14:textId="77777777" w:rsidR="00A12F2A" w:rsidRPr="009841AB" w:rsidRDefault="17E4CA77" w:rsidP="2568A4A9">
            <w:pPr>
              <w:rPr>
                <w:rFonts w:cstheme="minorBidi"/>
                <w:b/>
                <w:bCs/>
                <w:highlight w:val="green"/>
              </w:rPr>
            </w:pPr>
            <w:proofErr w:type="spellStart"/>
            <w:r w:rsidRPr="00AF74CB">
              <w:rPr>
                <w:rFonts w:cstheme="minorBidi"/>
                <w:b/>
                <w:bCs/>
              </w:rPr>
              <w:t>Pārresoru</w:t>
            </w:r>
            <w:proofErr w:type="spellEnd"/>
            <w:r w:rsidRPr="00AF74CB">
              <w:rPr>
                <w:rFonts w:cstheme="minorBidi"/>
                <w:b/>
                <w:bCs/>
              </w:rPr>
              <w:t xml:space="preserve"> koordinācijas centra </w:t>
            </w:r>
            <w:r w:rsidR="383E6047" w:rsidRPr="00AF74CB">
              <w:rPr>
                <w:rFonts w:cstheme="minorBidi"/>
                <w:b/>
                <w:bCs/>
              </w:rPr>
              <w:t>30</w:t>
            </w:r>
            <w:r w:rsidRPr="00AF74CB">
              <w:rPr>
                <w:rFonts w:cstheme="minorBidi"/>
                <w:b/>
                <w:bCs/>
              </w:rPr>
              <w:t>.0</w:t>
            </w:r>
            <w:r w:rsidR="383E6047" w:rsidRPr="00AF74CB">
              <w:rPr>
                <w:rFonts w:cstheme="minorBidi"/>
                <w:b/>
                <w:bCs/>
              </w:rPr>
              <w:t>4</w:t>
            </w:r>
            <w:r w:rsidRPr="00AF74CB">
              <w:rPr>
                <w:rFonts w:cstheme="minorBidi"/>
                <w:b/>
                <w:bCs/>
              </w:rPr>
              <w:t>.2021. atzinums:</w:t>
            </w:r>
          </w:p>
        </w:tc>
      </w:tr>
      <w:tr w:rsidR="00A12F2A" w:rsidRPr="009841AB" w14:paraId="2B2A1F8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264BED9" w14:textId="77777777" w:rsidR="00A12F2A" w:rsidRPr="009841AB" w:rsidRDefault="532DFFCE" w:rsidP="2568A4A9">
            <w:pPr>
              <w:pStyle w:val="naisc"/>
              <w:spacing w:before="0" w:after="0"/>
              <w:rPr>
                <w:highlight w:val="green"/>
              </w:rPr>
            </w:pPr>
            <w:r w:rsidRPr="00AF74CB">
              <w:t>56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DFA8617" w14:textId="77777777" w:rsidR="00A12F2A" w:rsidRPr="009841AB" w:rsidRDefault="00A12F2A" w:rsidP="2568A4A9">
            <w:pPr>
              <w:pStyle w:val="naisc"/>
              <w:spacing w:before="0" w:after="0"/>
              <w:jc w:val="left"/>
              <w:rPr>
                <w:highlight w:val="green"/>
              </w:rPr>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EF6F27B" w14:textId="77777777" w:rsidR="00A12F2A" w:rsidRPr="009841AB" w:rsidRDefault="17E4CA77" w:rsidP="2568A4A9">
            <w:pPr>
              <w:tabs>
                <w:tab w:val="left" w:pos="720"/>
              </w:tabs>
              <w:contextualSpacing/>
              <w:jc w:val="both"/>
              <w:rPr>
                <w:color w:val="000000" w:themeColor="text1"/>
                <w:highlight w:val="green"/>
              </w:rPr>
            </w:pPr>
            <w:r w:rsidRPr="00AF74CB">
              <w:t xml:space="preserve">1. </w:t>
            </w:r>
            <w:r w:rsidRPr="00AF74CB">
              <w:rPr>
                <w:color w:val="000000" w:themeColor="text1"/>
              </w:rPr>
              <w:t>Vēršam uzmanību, ka 9.lp. minētais apgalvojums vairs neatbilst esošajai dokumenta redakcijai (</w:t>
            </w:r>
            <w:r w:rsidRPr="00AF74CB">
              <w:rPr>
                <w:i/>
                <w:iCs/>
                <w:color w:val="000000" w:themeColor="text1"/>
              </w:rPr>
              <w:t>“Pamatnostādnes sastāv no ievada un septiņām nodaļām – esošās situācijas raksturojuma, kam seko nākotnes izaicinājumu un attīstības scenāriju apraksts, digitālās transformācijas mērķa un piecu rīcības virzienu formulējumi un izklāsti. Pielikumos tiek dots plānoto politikas rezultātu, rezultatīvo rādītāju un uzdevumu katram rīcības virzienam kopsavilkums”</w:t>
            </w:r>
            <w:r w:rsidRPr="00AF74CB">
              <w:rPr>
                <w:color w:val="000000" w:themeColor="text1"/>
              </w:rPr>
              <w:t>). Lūdzam precizēt.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2C10F29" w14:textId="77777777" w:rsidR="00A12F2A" w:rsidRPr="00AF74CB" w:rsidRDefault="00B55433" w:rsidP="2568A4A9">
            <w:pPr>
              <w:pStyle w:val="naisc"/>
              <w:spacing w:before="0" w:after="0"/>
              <w:jc w:val="both"/>
              <w:rPr>
                <w:b/>
                <w:bCs/>
              </w:rPr>
            </w:pPr>
            <w:r w:rsidRPr="00AF74CB">
              <w:rPr>
                <w:b/>
                <w:bCs/>
              </w:rPr>
              <w:t>Ņemts vērā</w:t>
            </w:r>
          </w:p>
          <w:p w14:paraId="436F4D65" w14:textId="77777777" w:rsidR="00B55433" w:rsidRPr="00B55433" w:rsidRDefault="00B55433" w:rsidP="2568A4A9">
            <w:pPr>
              <w:pStyle w:val="naisc"/>
              <w:spacing w:before="0" w:after="0"/>
              <w:jc w:val="both"/>
              <w:rPr>
                <w:highlight w:val="green"/>
              </w:rPr>
            </w:pPr>
            <w:r w:rsidRPr="00AF74CB">
              <w:t>Redakcija precizēta</w:t>
            </w:r>
          </w:p>
        </w:tc>
        <w:tc>
          <w:tcPr>
            <w:tcW w:w="3497" w:type="dxa"/>
            <w:tcBorders>
              <w:top w:val="single" w:sz="4" w:space="0" w:color="auto"/>
              <w:left w:val="single" w:sz="4" w:space="0" w:color="auto"/>
              <w:bottom w:val="single" w:sz="4" w:space="0" w:color="auto"/>
            </w:tcBorders>
            <w:shd w:val="clear" w:color="auto" w:fill="auto"/>
          </w:tcPr>
          <w:p w14:paraId="1FF8E9B2" w14:textId="77777777" w:rsidR="00A12F2A" w:rsidRPr="009841AB" w:rsidRDefault="00A12F2A" w:rsidP="2568A4A9">
            <w:pPr>
              <w:rPr>
                <w:highlight w:val="green"/>
              </w:rPr>
            </w:pPr>
          </w:p>
        </w:tc>
      </w:tr>
      <w:tr w:rsidR="00A12F2A" w:rsidRPr="009841AB" w14:paraId="19C7D04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A07DA3B" w14:textId="77777777" w:rsidR="00A12F2A" w:rsidRPr="009841AB" w:rsidRDefault="005640A4" w:rsidP="00226A31">
            <w:pPr>
              <w:pStyle w:val="naisc"/>
              <w:spacing w:before="0" w:after="0"/>
            </w:pPr>
            <w:r>
              <w:t>57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A4BC3A7" w14:textId="77777777" w:rsidR="00A12F2A" w:rsidRPr="009841AB" w:rsidRDefault="00A12F2A"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79DBCAD" w14:textId="77777777" w:rsidR="00021941" w:rsidRPr="00AF74CB" w:rsidRDefault="383E6047" w:rsidP="2568A4A9">
            <w:pPr>
              <w:pStyle w:val="BodyText"/>
              <w:spacing w:after="0"/>
              <w:jc w:val="both"/>
              <w:rPr>
                <w:color w:val="000000"/>
              </w:rPr>
            </w:pPr>
            <w:r w:rsidRPr="00AF74CB">
              <w:t xml:space="preserve">2. </w:t>
            </w:r>
            <w:r w:rsidRPr="00AF74CB">
              <w:rPr>
                <w:color w:val="000000" w:themeColor="text1"/>
              </w:rPr>
              <w:t xml:space="preserve">Atkārtoti lūdzam atbilstoši MK noteikumu Nr.737 18.3.apakšpunktam </w:t>
            </w:r>
            <w:r w:rsidRPr="00AF74CB">
              <w:rPr>
                <w:b/>
                <w:bCs/>
                <w:color w:val="000000" w:themeColor="text1"/>
              </w:rPr>
              <w:t>norādīt informāciju par politikas mērķu sasaisti ar Nacionālo attīstības plānu 2021.-2027.gadam</w:t>
            </w:r>
            <w:r w:rsidRPr="00AF74CB">
              <w:rPr>
                <w:color w:val="000000" w:themeColor="text1"/>
              </w:rPr>
              <w:t xml:space="preserve"> (turpmāk – NAP2027). Piedāvājam šādu risinājumu:</w:t>
            </w:r>
          </w:p>
          <w:p w14:paraId="795C1EF9" w14:textId="77777777" w:rsidR="00021941" w:rsidRPr="00AF74CB" w:rsidRDefault="383E6047" w:rsidP="000C28AE">
            <w:pPr>
              <w:numPr>
                <w:ilvl w:val="0"/>
                <w:numId w:val="12"/>
              </w:numPr>
              <w:spacing w:after="100" w:afterAutospacing="1"/>
              <w:rPr>
                <w:color w:val="000000"/>
              </w:rPr>
            </w:pPr>
            <w:r w:rsidRPr="00AF74CB">
              <w:rPr>
                <w:color w:val="000000" w:themeColor="text1"/>
              </w:rPr>
              <w:t>18.lp. zem politikas mērķa definīcijas iekļaut tekstu: “Veicinās NAP2027 mērķu [40], [123], [129], [145], [207] sasniegšanu”; </w:t>
            </w:r>
          </w:p>
          <w:p w14:paraId="5E1D2679" w14:textId="77777777" w:rsidR="00021941" w:rsidRPr="00AF74CB" w:rsidRDefault="383E6047" w:rsidP="000C28AE">
            <w:pPr>
              <w:numPr>
                <w:ilvl w:val="0"/>
                <w:numId w:val="12"/>
              </w:numPr>
              <w:spacing w:before="100" w:beforeAutospacing="1" w:after="100" w:afterAutospacing="1"/>
              <w:rPr>
                <w:color w:val="000000"/>
              </w:rPr>
            </w:pPr>
            <w:r w:rsidRPr="00AF74CB">
              <w:rPr>
                <w:color w:val="000000" w:themeColor="text1"/>
              </w:rPr>
              <w:t>34.lp. zem politikas mērķa definīcijas iekļaut tekstu: “Veicinās NAP2027 mērķu [39], [295], [386], [431] sasniegšanu”; </w:t>
            </w:r>
          </w:p>
          <w:p w14:paraId="1F59DF14" w14:textId="77777777" w:rsidR="00021941" w:rsidRPr="00AF74CB" w:rsidRDefault="383E6047" w:rsidP="000C28AE">
            <w:pPr>
              <w:numPr>
                <w:ilvl w:val="0"/>
                <w:numId w:val="12"/>
              </w:numPr>
              <w:spacing w:before="100" w:beforeAutospacing="1" w:after="100" w:afterAutospacing="1"/>
              <w:rPr>
                <w:color w:val="000000"/>
              </w:rPr>
            </w:pPr>
            <w:r w:rsidRPr="00AF74CB">
              <w:rPr>
                <w:color w:val="000000" w:themeColor="text1"/>
              </w:rPr>
              <w:lastRenderedPageBreak/>
              <w:t>41.lp. zem politikas mērķa definīcijas iekļaut tekstu: “Veicinās NAP2027 mērķu [244], [294], [295], [319], [412] sasniegšanu”;</w:t>
            </w:r>
          </w:p>
          <w:p w14:paraId="55CFC40D" w14:textId="77777777" w:rsidR="00021941" w:rsidRPr="00AF74CB" w:rsidRDefault="383E6047" w:rsidP="000C28AE">
            <w:pPr>
              <w:numPr>
                <w:ilvl w:val="0"/>
                <w:numId w:val="12"/>
              </w:numPr>
              <w:spacing w:before="100" w:beforeAutospacing="1" w:after="100" w:afterAutospacing="1"/>
              <w:rPr>
                <w:color w:val="000000"/>
              </w:rPr>
            </w:pPr>
            <w:r w:rsidRPr="00AF74CB">
              <w:rPr>
                <w:color w:val="000000" w:themeColor="text1"/>
              </w:rPr>
              <w:t>51.lp. zem politikas mērķa definīcijas iekļaut tekstu: “Veicinās NAP2027 mērķu [39], [40], [184], [189], [207], [226], [295], [319], [356], [360], [412] sasniegšanu";</w:t>
            </w:r>
          </w:p>
          <w:p w14:paraId="1EA112FF" w14:textId="77777777" w:rsidR="00A12F2A" w:rsidRPr="00021941" w:rsidRDefault="383E6047" w:rsidP="000C28AE">
            <w:pPr>
              <w:numPr>
                <w:ilvl w:val="0"/>
                <w:numId w:val="12"/>
              </w:numPr>
              <w:spacing w:before="100" w:beforeAutospacing="1"/>
              <w:rPr>
                <w:color w:val="000000"/>
              </w:rPr>
            </w:pPr>
            <w:r w:rsidRPr="00AF74CB">
              <w:rPr>
                <w:color w:val="000000" w:themeColor="text1"/>
              </w:rPr>
              <w:t>124.lp. zem politikas mērķa definīcijas iekļaut tekstu: “Veicinās NAP2027 mērķu [40], [123], [129], [189], [226] sasniegšanu”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462862C" w14:textId="77777777" w:rsidR="00A12F2A" w:rsidRPr="009841AB" w:rsidRDefault="7D01FE85" w:rsidP="2568A4A9">
            <w:pPr>
              <w:pStyle w:val="naisc"/>
              <w:spacing w:before="0" w:after="0"/>
              <w:jc w:val="both"/>
              <w:rPr>
                <w:b/>
                <w:bCs/>
                <w:highlight w:val="green"/>
              </w:rPr>
            </w:pPr>
            <w:r w:rsidRPr="00AF74CB">
              <w:rPr>
                <w:b/>
                <w:bCs/>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72C20F09" w14:textId="77777777" w:rsidR="00A12F2A" w:rsidRPr="009841AB" w:rsidRDefault="7D01FE85" w:rsidP="2568A4A9">
            <w:pPr>
              <w:rPr>
                <w:highlight w:val="green"/>
              </w:rPr>
            </w:pPr>
            <w:r w:rsidRPr="00AF74CB">
              <w:t>Skatīt precizētos politikas mērķus.</w:t>
            </w:r>
          </w:p>
        </w:tc>
      </w:tr>
      <w:tr w:rsidR="00021941" w:rsidRPr="009841AB" w14:paraId="18DFF01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18EA92F" w14:textId="77777777" w:rsidR="00021941" w:rsidRPr="009841AB" w:rsidRDefault="005640A4" w:rsidP="00226A31">
            <w:pPr>
              <w:pStyle w:val="naisc"/>
              <w:spacing w:before="0" w:after="0"/>
            </w:pPr>
            <w:r>
              <w:t>58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8FD450A" w14:textId="77777777" w:rsidR="00021941" w:rsidRPr="009841AB" w:rsidRDefault="0002194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74E9016" w14:textId="77777777" w:rsidR="00021941" w:rsidRPr="00AF74CB" w:rsidRDefault="383E6047" w:rsidP="2568A4A9">
            <w:pPr>
              <w:pStyle w:val="BodyText"/>
              <w:jc w:val="both"/>
              <w:rPr>
                <w:color w:val="000000"/>
              </w:rPr>
            </w:pPr>
            <w:r w:rsidRPr="00AF74CB">
              <w:t xml:space="preserve">3. </w:t>
            </w:r>
            <w:r w:rsidRPr="00AF74CB">
              <w:rPr>
                <w:color w:val="000000" w:themeColor="text1"/>
              </w:rPr>
              <w:t>Ja VARAM atzīs 2. punktā minēto risinājumu par pieņemamu, lūdzam apsvērt iespēju izslēgt no 2.pielikuma "Rīcības virzieni un uzdevumi" kolonnu “Sasaiste ar NAP mērķiem 2021.-2027.gadam”. Ja VARAM uzska</w:t>
            </w:r>
            <w:r w:rsidR="719D6F7A" w:rsidRPr="00AF74CB">
              <w:rPr>
                <w:color w:val="000000" w:themeColor="text1"/>
              </w:rPr>
              <w:t>t</w:t>
            </w:r>
            <w:r w:rsidRPr="00AF74CB">
              <w:rPr>
                <w:color w:val="000000" w:themeColor="text1"/>
              </w:rPr>
              <w:t>a par lietderīgāku atstāt šo 2.pielikuma kolonnu, lūdzam to pārskatīt gan saturiski, gan novērst šādas neprecizitātes: </w:t>
            </w:r>
          </w:p>
          <w:p w14:paraId="0BFA74C9" w14:textId="77777777" w:rsidR="00021941" w:rsidRPr="00AF74CB" w:rsidRDefault="383E6047" w:rsidP="000C28AE">
            <w:pPr>
              <w:numPr>
                <w:ilvl w:val="0"/>
                <w:numId w:val="13"/>
              </w:numPr>
              <w:spacing w:before="100" w:beforeAutospacing="1" w:after="100" w:afterAutospacing="1"/>
              <w:rPr>
                <w:color w:val="000000"/>
              </w:rPr>
            </w:pPr>
            <w:r w:rsidRPr="00AF74CB">
              <w:rPr>
                <w:color w:val="000000" w:themeColor="text1"/>
              </w:rPr>
              <w:t>pie 4.1.1. svītrot [162],  kas nav NAP2027 mērķa numurs, bet gan rīcības virziena mērķa indikatora numurs;</w:t>
            </w:r>
          </w:p>
          <w:p w14:paraId="225EFFDD" w14:textId="77777777" w:rsidR="00021941" w:rsidRPr="00AF74CB" w:rsidRDefault="383E6047" w:rsidP="000C28AE">
            <w:pPr>
              <w:numPr>
                <w:ilvl w:val="0"/>
                <w:numId w:val="13"/>
              </w:numPr>
              <w:spacing w:before="100" w:beforeAutospacing="1" w:after="100" w:afterAutospacing="1"/>
              <w:rPr>
                <w:color w:val="000000"/>
              </w:rPr>
            </w:pPr>
            <w:r w:rsidRPr="00AF74CB">
              <w:rPr>
                <w:color w:val="000000" w:themeColor="text1"/>
              </w:rPr>
              <w:t>pie 4.4. svītrot [307], kas nav NAP2027 mērķa numurs, bet gan rīcības virziena mērķa indikatora numurs;</w:t>
            </w:r>
          </w:p>
          <w:p w14:paraId="318A87A5" w14:textId="77777777" w:rsidR="00021941" w:rsidRPr="00AF74CB" w:rsidRDefault="383E6047" w:rsidP="000C28AE">
            <w:pPr>
              <w:numPr>
                <w:ilvl w:val="0"/>
                <w:numId w:val="13"/>
              </w:numPr>
              <w:spacing w:before="100" w:beforeAutospacing="1" w:after="100" w:afterAutospacing="1"/>
              <w:rPr>
                <w:color w:val="000000"/>
              </w:rPr>
            </w:pPr>
            <w:r w:rsidRPr="00AF74CB">
              <w:rPr>
                <w:color w:val="000000" w:themeColor="text1"/>
              </w:rPr>
              <w:t>pie 4.4.2.3. svītrot [235], kas nav NAP2027 mērķa numurs, bet gan rīcības virziena mērķa indikatora numurs;</w:t>
            </w:r>
          </w:p>
          <w:p w14:paraId="2A828DEC" w14:textId="77777777" w:rsidR="00021941" w:rsidRPr="00AF74CB" w:rsidRDefault="383E6047" w:rsidP="000C28AE">
            <w:pPr>
              <w:numPr>
                <w:ilvl w:val="0"/>
                <w:numId w:val="13"/>
              </w:numPr>
              <w:spacing w:before="100" w:beforeAutospacing="1" w:after="100" w:afterAutospacing="1"/>
              <w:rPr>
                <w:color w:val="000000"/>
              </w:rPr>
            </w:pPr>
            <w:r w:rsidRPr="00AF74CB">
              <w:rPr>
                <w:color w:val="000000" w:themeColor="text1"/>
              </w:rPr>
              <w:t>pie 4.4.5.2. svītrot [439] un [440], kas nav NAP2027 mērķu numuri, bet uzdevumu numuri;</w:t>
            </w:r>
          </w:p>
          <w:p w14:paraId="6D8B6D6D" w14:textId="77777777" w:rsidR="00021941" w:rsidRPr="00AF74CB" w:rsidRDefault="383E6047" w:rsidP="000C28AE">
            <w:pPr>
              <w:numPr>
                <w:ilvl w:val="0"/>
                <w:numId w:val="13"/>
              </w:numPr>
              <w:spacing w:before="100" w:beforeAutospacing="1" w:after="100" w:afterAutospacing="1"/>
              <w:rPr>
                <w:color w:val="000000"/>
              </w:rPr>
            </w:pPr>
            <w:r w:rsidRPr="00AF74CB">
              <w:rPr>
                <w:color w:val="000000" w:themeColor="text1"/>
              </w:rPr>
              <w:t>pie 4.4.9.7. svītrot [424], kas nav NAP2027 mērķa numurs, bet gan rīcības virziena mērķa indikatora numurs;</w:t>
            </w:r>
          </w:p>
          <w:p w14:paraId="18F1CE82" w14:textId="77777777" w:rsidR="00021941" w:rsidRPr="00AF74CB" w:rsidRDefault="383E6047" w:rsidP="000C28AE">
            <w:pPr>
              <w:numPr>
                <w:ilvl w:val="0"/>
                <w:numId w:val="13"/>
              </w:numPr>
              <w:spacing w:before="100" w:beforeAutospacing="1" w:after="100" w:afterAutospacing="1"/>
              <w:rPr>
                <w:color w:val="000000"/>
              </w:rPr>
            </w:pPr>
            <w:r w:rsidRPr="00AF74CB">
              <w:rPr>
                <w:color w:val="000000" w:themeColor="text1"/>
              </w:rPr>
              <w:t xml:space="preserve">pie 4.4.11. svītrot [198], [234] un [241] kas nav NAP2027 mērķu numuri, bet gan rīcības </w:t>
            </w:r>
            <w:r w:rsidRPr="00AF74CB">
              <w:rPr>
                <w:color w:val="000000" w:themeColor="text1"/>
              </w:rPr>
              <w:lastRenderedPageBreak/>
              <w:t>virziena mērķa indikatoru un uzdevuma numuri;</w:t>
            </w:r>
          </w:p>
          <w:p w14:paraId="0F8C17E3" w14:textId="77777777" w:rsidR="00021941" w:rsidRPr="00AF74CB" w:rsidRDefault="383E6047" w:rsidP="000C28AE">
            <w:pPr>
              <w:numPr>
                <w:ilvl w:val="0"/>
                <w:numId w:val="13"/>
              </w:numPr>
              <w:spacing w:before="100" w:beforeAutospacing="1" w:after="100" w:afterAutospacing="1"/>
              <w:rPr>
                <w:color w:val="000000"/>
              </w:rPr>
            </w:pPr>
            <w:r w:rsidRPr="00AF74CB">
              <w:rPr>
                <w:color w:val="000000" w:themeColor="text1"/>
              </w:rPr>
              <w:t>pie 4.4.12. svītrot [242], kas nav NAP2027 mērķa numurs, bet gan uzdevuma numurs;</w:t>
            </w:r>
          </w:p>
          <w:p w14:paraId="0C7D1DF5" w14:textId="77777777" w:rsidR="00021941" w:rsidRPr="00021941" w:rsidRDefault="383E6047" w:rsidP="000C28AE">
            <w:pPr>
              <w:numPr>
                <w:ilvl w:val="0"/>
                <w:numId w:val="13"/>
              </w:numPr>
              <w:rPr>
                <w:color w:val="000000"/>
              </w:rPr>
            </w:pPr>
            <w:r w:rsidRPr="00AF74CB">
              <w:rPr>
                <w:color w:val="000000" w:themeColor="text1"/>
              </w:rPr>
              <w:t>pie 4.5.1. svītrot [241], kas nav NAP2027 mērķa numurs, bet gan uzdevuma numurs.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6F30636" w14:textId="77777777" w:rsidR="00021941" w:rsidRPr="009841AB" w:rsidRDefault="09BD6DD6" w:rsidP="2568A4A9">
            <w:pPr>
              <w:pStyle w:val="naisc"/>
              <w:spacing w:before="0" w:after="0"/>
              <w:jc w:val="both"/>
              <w:rPr>
                <w:b/>
                <w:bCs/>
                <w:highlight w:val="green"/>
              </w:rPr>
            </w:pPr>
            <w:r w:rsidRPr="00AF74CB">
              <w:rPr>
                <w:b/>
                <w:bCs/>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24422707" w14:textId="77777777" w:rsidR="00021941" w:rsidRPr="009841AB" w:rsidRDefault="09BD6DD6" w:rsidP="2568A4A9">
            <w:pPr>
              <w:rPr>
                <w:highlight w:val="green"/>
              </w:rPr>
            </w:pPr>
            <w:r w:rsidRPr="00AF74CB">
              <w:t>Lūdzam skatīt precizēto 2.pielikuma kolonnu.</w:t>
            </w:r>
          </w:p>
        </w:tc>
      </w:tr>
      <w:tr w:rsidR="00021941" w:rsidRPr="009841AB" w14:paraId="127D593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20B67B1" w14:textId="77777777" w:rsidR="00021941" w:rsidRPr="009841AB" w:rsidRDefault="00B032B1" w:rsidP="00226A31">
            <w:pPr>
              <w:pStyle w:val="naisc"/>
              <w:spacing w:before="0" w:after="0"/>
              <w:rPr>
                <w:highlight w:val="green"/>
              </w:rPr>
            </w:pPr>
            <w:r w:rsidRPr="00AF74CB">
              <w:t>59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A95E55D" w14:textId="77777777" w:rsidR="00021941" w:rsidRPr="009841AB" w:rsidRDefault="00021941" w:rsidP="00226A31">
            <w:pPr>
              <w:pStyle w:val="naisc"/>
              <w:spacing w:before="0" w:after="0"/>
              <w:jc w:val="left"/>
              <w:rPr>
                <w:highlight w:val="green"/>
              </w:rPr>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38D087D" w14:textId="77777777" w:rsidR="00021941" w:rsidRPr="008B6A9F" w:rsidRDefault="00021941" w:rsidP="00021941">
            <w:pPr>
              <w:rPr>
                <w:color w:val="000000"/>
              </w:rPr>
            </w:pPr>
            <w:r w:rsidRPr="008B6A9F">
              <w:rPr>
                <w:color w:val="000000" w:themeColor="text1"/>
              </w:rPr>
              <w:t>4. Lūdzam neveidot jaunus jēdzienus, kas netiek paredzēti MK noteikumos Nr.737, piemēram “attīstības virzieni”. Ņemot vērā, ka izziņas par atzinumos sniegtajiem iebildumiem punktā Nr.35 minēts, ka šis 02.02.2021. atzinumā izteiktais PKC iebildums ir ņemts vērā, lūdzam novērst redakcionālas neprecizitātes, kur minēts jēdziens “attīstības virziens”:</w:t>
            </w:r>
          </w:p>
          <w:p w14:paraId="248B65E0"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8.lp.  Attīstības virziens „Inovācijas, IKT industrija un IKT zinātne”</w:t>
            </w:r>
          </w:p>
          <w:p w14:paraId="12CFFA46"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9.lp. Pamatnostādņu īstenošanai ir noteikti pieci attīstības virzieni:</w:t>
            </w:r>
          </w:p>
          <w:p w14:paraId="4FC1163C"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10.lp. attīstības virziens minēts2 reizes</w:t>
            </w:r>
          </w:p>
          <w:p w14:paraId="3D7EEE96"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 xml:space="preserve">15. </w:t>
            </w:r>
            <w:proofErr w:type="spellStart"/>
            <w:r w:rsidRPr="008B6A9F">
              <w:rPr>
                <w:color w:val="000000" w:themeColor="text1"/>
              </w:rPr>
              <w:t>lp</w:t>
            </w:r>
            <w:proofErr w:type="spellEnd"/>
            <w:r w:rsidRPr="008B6A9F">
              <w:rPr>
                <w:color w:val="000000" w:themeColor="text1"/>
              </w:rPr>
              <w:t xml:space="preserve">. attīstības virziens minēts 5 reizes, pieminēti arī attīstības virzienu </w:t>
            </w:r>
            <w:proofErr w:type="spellStart"/>
            <w:r w:rsidRPr="008B6A9F">
              <w:rPr>
                <w:color w:val="000000" w:themeColor="text1"/>
              </w:rPr>
              <w:t>apakšvirzieni</w:t>
            </w:r>
            <w:proofErr w:type="spellEnd"/>
          </w:p>
          <w:p w14:paraId="4993D4D2"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16.lp. Attīstības virzienā “Digitālās prasmes un izglītība”</w:t>
            </w:r>
          </w:p>
          <w:p w14:paraId="47585E72"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17.lp. attīstības virziens minēts 2 reizes Attīstības virziens “Digitālās prasmes un izglītība”</w:t>
            </w:r>
          </w:p>
          <w:p w14:paraId="242C134F"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18.lp. attīstības virziens minēts 2 reizes Attīstības virzienā “Digitālās prasmes un izglītība”</w:t>
            </w:r>
          </w:p>
          <w:p w14:paraId="49ED73A6"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19.lp. Indikatīvs finansējums attīstības virziena mērķa sasniegšanai</w:t>
            </w:r>
          </w:p>
          <w:p w14:paraId="357A78C1"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33.lp. attīstības virziens minēts 3 reizes Attīstības virziens „Digitālā drošība un uzticamība”</w:t>
            </w:r>
          </w:p>
          <w:p w14:paraId="36774899"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lastRenderedPageBreak/>
              <w:t>35.lp. Indikatīvs finansējums attīstības virziena mērķa sasniegšanai</w:t>
            </w:r>
          </w:p>
          <w:p w14:paraId="1928F02C"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41.lp. Attīstības virziens „Telekomunikāciju pakalpojumu pieejamība”</w:t>
            </w:r>
          </w:p>
          <w:p w14:paraId="5292929D"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43.lp. Indikatīvs finansējums attīstības virziena mērķa sasniegšanai</w:t>
            </w:r>
          </w:p>
          <w:p w14:paraId="5C0F6793"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49.lp. Attīstības virziens „Tautsaimniecības (t.sk valsts pārvaldes) digitālā transformācija”</w:t>
            </w:r>
          </w:p>
          <w:p w14:paraId="56056ABC"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50.lp. Attīstības virziena “Tautsaimniecības digitālā transformācija”</w:t>
            </w:r>
          </w:p>
          <w:p w14:paraId="28DCA390"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55.lp. Indikatīvs finansējums attīstības virziena mērķa sasniegšanai</w:t>
            </w:r>
          </w:p>
          <w:p w14:paraId="337B890E" w14:textId="77777777" w:rsidR="00021941" w:rsidRPr="008B6A9F" w:rsidRDefault="00021941" w:rsidP="000C28AE">
            <w:pPr>
              <w:numPr>
                <w:ilvl w:val="0"/>
                <w:numId w:val="14"/>
              </w:numPr>
              <w:spacing w:before="100" w:beforeAutospacing="1" w:after="100" w:afterAutospacing="1"/>
              <w:rPr>
                <w:color w:val="000000"/>
              </w:rPr>
            </w:pPr>
            <w:r w:rsidRPr="008B6A9F">
              <w:rPr>
                <w:color w:val="000000" w:themeColor="text1"/>
              </w:rPr>
              <w:t xml:space="preserve">124. </w:t>
            </w:r>
            <w:proofErr w:type="spellStart"/>
            <w:r w:rsidRPr="008B6A9F">
              <w:rPr>
                <w:color w:val="000000" w:themeColor="text1"/>
              </w:rPr>
              <w:t>lp</w:t>
            </w:r>
            <w:proofErr w:type="spellEnd"/>
            <w:r w:rsidRPr="008B6A9F">
              <w:rPr>
                <w:color w:val="000000" w:themeColor="text1"/>
              </w:rPr>
              <w:t>. Attīstības virziens „Inovācijas, IKT industrija un IKT zinātne”</w:t>
            </w:r>
          </w:p>
          <w:p w14:paraId="2545AB57" w14:textId="77777777" w:rsidR="00021941" w:rsidRPr="00021941" w:rsidRDefault="00021941" w:rsidP="000C28AE">
            <w:pPr>
              <w:numPr>
                <w:ilvl w:val="0"/>
                <w:numId w:val="14"/>
              </w:numPr>
              <w:rPr>
                <w:color w:val="000000"/>
              </w:rPr>
            </w:pPr>
            <w:r w:rsidRPr="008B6A9F">
              <w:rPr>
                <w:color w:val="000000" w:themeColor="text1"/>
              </w:rPr>
              <w:t>125.lp. Indikatīvs finansējums attīstības virziena mērķa sasniegšanai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CCAE67E" w14:textId="77777777" w:rsidR="00021941" w:rsidRPr="009841AB" w:rsidRDefault="4AF86C3E" w:rsidP="00226A31">
            <w:pPr>
              <w:pStyle w:val="naisc"/>
              <w:spacing w:before="0" w:after="0"/>
              <w:jc w:val="both"/>
              <w:rPr>
                <w:b/>
                <w:highlight w:val="green"/>
              </w:rPr>
            </w:pPr>
            <w:r w:rsidRPr="00AF74CB">
              <w:rPr>
                <w:b/>
                <w:bCs/>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0EF97154" w14:textId="77777777" w:rsidR="00021941" w:rsidRPr="009841AB" w:rsidRDefault="4AF86C3E" w:rsidP="00226A31">
            <w:pPr>
              <w:rPr>
                <w:highlight w:val="green"/>
              </w:rPr>
            </w:pPr>
            <w:r w:rsidRPr="00AF74CB">
              <w:t>Jēdziens "attīstības virziens" attiecīgajā locījumā visā dokumentā aizstāts ar jēdzienu "rīcības virziens" attiecīgajā locījumā.</w:t>
            </w:r>
          </w:p>
        </w:tc>
      </w:tr>
      <w:tr w:rsidR="00021941" w:rsidRPr="009841AB" w14:paraId="5A6FBBE3"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DD55C10" w14:textId="77777777" w:rsidR="00021941" w:rsidRPr="009841AB" w:rsidRDefault="3561F8AD" w:rsidP="2568A4A9">
            <w:pPr>
              <w:pStyle w:val="naisc"/>
              <w:spacing w:before="0" w:after="0"/>
              <w:rPr>
                <w:highlight w:val="green"/>
              </w:rPr>
            </w:pPr>
            <w:r w:rsidRPr="008B6A9F">
              <w:lastRenderedPageBreak/>
              <w:t>60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D39C906" w14:textId="77777777" w:rsidR="00021941" w:rsidRPr="009841AB" w:rsidRDefault="00021941" w:rsidP="2568A4A9">
            <w:pPr>
              <w:pStyle w:val="naisc"/>
              <w:spacing w:before="0" w:after="0"/>
              <w:jc w:val="left"/>
              <w:rPr>
                <w:highlight w:val="green"/>
              </w:rPr>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CE1C4B9" w14:textId="77777777" w:rsidR="00021941" w:rsidRPr="00021941" w:rsidRDefault="383E6047" w:rsidP="2568A4A9">
            <w:pPr>
              <w:jc w:val="both"/>
              <w:rPr>
                <w:color w:val="000000"/>
                <w:highlight w:val="green"/>
              </w:rPr>
            </w:pPr>
            <w:r w:rsidRPr="008B6A9F">
              <w:rPr>
                <w:color w:val="000000" w:themeColor="text1"/>
              </w:rPr>
              <w:t>5. Atkārtoti vēršam uzmanību, ka atbilstoši MK noteikumu Nr.737 42.punktam, gala ietekmes novērtējumu veic tikai</w:t>
            </w:r>
            <w:r w:rsidRPr="008B6A9F">
              <w:rPr>
                <w:color w:val="000000" w:themeColor="text1"/>
                <w:u w:val="single"/>
              </w:rPr>
              <w:t xml:space="preserve"> tad, ja pamatnostādņu starpposma </w:t>
            </w:r>
            <w:proofErr w:type="spellStart"/>
            <w:r w:rsidRPr="008B6A9F">
              <w:rPr>
                <w:color w:val="000000" w:themeColor="text1"/>
                <w:u w:val="single"/>
              </w:rPr>
              <w:t>izvērtējuma</w:t>
            </w:r>
            <w:proofErr w:type="spellEnd"/>
            <w:r w:rsidRPr="008B6A9F">
              <w:rPr>
                <w:color w:val="000000" w:themeColor="text1"/>
                <w:u w:val="single"/>
              </w:rPr>
              <w:t xml:space="preserve"> rezultātā tiek pieņemts lēmums neveikt politikas plānošanas dokumenta izstrādi nākamajam plānošanas periodam</w:t>
            </w:r>
            <w:r w:rsidRPr="008B6A9F">
              <w:rPr>
                <w:color w:val="000000" w:themeColor="text1"/>
              </w:rPr>
              <w:t xml:space="preserve">. Līdz ar to, lēmums par Pamatnostādņu gala ietekmes </w:t>
            </w:r>
            <w:proofErr w:type="spellStart"/>
            <w:r w:rsidRPr="008B6A9F">
              <w:rPr>
                <w:color w:val="000000" w:themeColor="text1"/>
              </w:rPr>
              <w:t>izvērtējumu</w:t>
            </w:r>
            <w:proofErr w:type="spellEnd"/>
            <w:r w:rsidRPr="008B6A9F">
              <w:rPr>
                <w:color w:val="000000" w:themeColor="text1"/>
              </w:rPr>
              <w:t xml:space="preserve"> (kas jauna nākamā perioda dokumenta izstrādes gadījumā praksē  nozīmē apvienošanu ar sākotnējās ietekmes </w:t>
            </w:r>
            <w:proofErr w:type="spellStart"/>
            <w:r w:rsidRPr="008B6A9F">
              <w:rPr>
                <w:color w:val="000000" w:themeColor="text1"/>
              </w:rPr>
              <w:t>izvērtējumu</w:t>
            </w:r>
            <w:proofErr w:type="spellEnd"/>
            <w:r w:rsidRPr="008B6A9F">
              <w:rPr>
                <w:color w:val="000000" w:themeColor="text1"/>
              </w:rPr>
              <w:t xml:space="preserve">) un tā termiņiem,  būs jāpieņem starpposma </w:t>
            </w:r>
            <w:proofErr w:type="spellStart"/>
            <w:r w:rsidRPr="008B6A9F">
              <w:rPr>
                <w:color w:val="000000" w:themeColor="text1"/>
              </w:rPr>
              <w:t>izvērtējumā</w:t>
            </w:r>
            <w:proofErr w:type="spellEnd"/>
            <w:r w:rsidRPr="008B6A9F">
              <w:rPr>
                <w:color w:val="000000" w:themeColor="text1"/>
              </w:rPr>
              <w:t>, tāpēc  </w:t>
            </w:r>
            <w:r w:rsidRPr="008B6A9F">
              <w:rPr>
                <w:b/>
                <w:bCs/>
                <w:color w:val="000000" w:themeColor="text1"/>
              </w:rPr>
              <w:t>Ministru kabineta rīkojuma projekta 3.2. punkts ir svītrojams.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C44A302" w14:textId="77777777" w:rsidR="00021941" w:rsidRPr="009841AB" w:rsidRDefault="4D761FEB" w:rsidP="2568A4A9">
            <w:pPr>
              <w:pStyle w:val="naisc"/>
              <w:spacing w:before="0" w:after="0"/>
              <w:jc w:val="both"/>
              <w:rPr>
                <w:b/>
                <w:bCs/>
                <w:highlight w:val="green"/>
              </w:rPr>
            </w:pPr>
            <w:r w:rsidRPr="008B6A9F">
              <w:rPr>
                <w:b/>
                <w:bCs/>
              </w:rPr>
              <w:t>Ņemts vērā</w:t>
            </w:r>
          </w:p>
        </w:tc>
        <w:tc>
          <w:tcPr>
            <w:tcW w:w="3497" w:type="dxa"/>
            <w:tcBorders>
              <w:top w:val="single" w:sz="4" w:space="0" w:color="auto"/>
              <w:left w:val="single" w:sz="4" w:space="0" w:color="auto"/>
              <w:bottom w:val="single" w:sz="4" w:space="0" w:color="auto"/>
            </w:tcBorders>
            <w:shd w:val="clear" w:color="auto" w:fill="auto"/>
          </w:tcPr>
          <w:p w14:paraId="102E473D" w14:textId="77777777" w:rsidR="00021941" w:rsidRPr="009841AB" w:rsidRDefault="4D761FEB" w:rsidP="2568A4A9">
            <w:pPr>
              <w:rPr>
                <w:highlight w:val="green"/>
              </w:rPr>
            </w:pPr>
            <w:r w:rsidRPr="008B6A9F">
              <w:t>Dzēsts Ministru kabineta rī</w:t>
            </w:r>
            <w:r w:rsidR="00AF74CB" w:rsidRPr="008B6A9F">
              <w:t>koj</w:t>
            </w:r>
            <w:r w:rsidRPr="008B6A9F">
              <w:t>uma projekta 3.2. punkts.</w:t>
            </w:r>
            <w:r>
              <w:t xml:space="preserve"> </w:t>
            </w:r>
          </w:p>
        </w:tc>
      </w:tr>
      <w:tr w:rsidR="00021941" w:rsidRPr="009841AB" w14:paraId="0C24B81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B87CD4F" w14:textId="77777777" w:rsidR="00021941" w:rsidRPr="009841AB" w:rsidRDefault="3561F8AD" w:rsidP="2568A4A9">
            <w:pPr>
              <w:pStyle w:val="naisc"/>
              <w:spacing w:before="0" w:after="0"/>
              <w:rPr>
                <w:highlight w:val="green"/>
              </w:rPr>
            </w:pPr>
            <w:r w:rsidRPr="008B6A9F">
              <w:t>61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3DBFB01" w14:textId="77777777" w:rsidR="00021941" w:rsidRPr="009841AB" w:rsidRDefault="00021941" w:rsidP="2568A4A9">
            <w:pPr>
              <w:pStyle w:val="naisc"/>
              <w:spacing w:before="0" w:after="0"/>
              <w:jc w:val="left"/>
              <w:rPr>
                <w:highlight w:val="green"/>
              </w:rPr>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939551D" w14:textId="77777777" w:rsidR="00021941" w:rsidRDefault="383E6047" w:rsidP="2568A4A9">
            <w:pPr>
              <w:pStyle w:val="BodyText"/>
              <w:spacing w:after="0"/>
              <w:jc w:val="both"/>
              <w:rPr>
                <w:color w:val="000000" w:themeColor="text1"/>
                <w:highlight w:val="green"/>
              </w:rPr>
            </w:pPr>
            <w:r w:rsidRPr="008B6A9F">
              <w:rPr>
                <w:color w:val="000000" w:themeColor="text1"/>
              </w:rPr>
              <w:t xml:space="preserve">6. Lūdzam saturiski precizēt Pamatnostādņu projektu, lai panāktu, ka Pamatnostādņu rīcības virzienu </w:t>
            </w:r>
            <w:proofErr w:type="spellStart"/>
            <w:r w:rsidRPr="008B6A9F">
              <w:rPr>
                <w:color w:val="000000" w:themeColor="text1"/>
              </w:rPr>
              <w:t>apakšsadaļās</w:t>
            </w:r>
            <w:proofErr w:type="spellEnd"/>
            <w:r w:rsidRPr="008B6A9F">
              <w:rPr>
                <w:color w:val="000000" w:themeColor="text1"/>
              </w:rPr>
              <w:t xml:space="preserve"> ”Nepieciešamā rīcība“ un “Sagaidāmais rezultāts” minētais iespējamo aktivitāšu/pasākumu  un rezultātu saturs pēc iespējas korelētu ar “Uzdevumu” saturu, t.i., lai būtu iespējams skaidri saprast, kas tiek </w:t>
            </w:r>
            <w:r w:rsidRPr="008B6A9F">
              <w:rPr>
                <w:color w:val="000000" w:themeColor="text1"/>
              </w:rPr>
              <w:lastRenderedPageBreak/>
              <w:t>sagaidīts uzdevuma izpildes beigās, un kas kalpo kā kritērijs, lai konstatētu uzdevuma izpildi.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7832E34" w14:textId="77777777" w:rsidR="00021941" w:rsidRPr="009841AB" w:rsidRDefault="1F1B726B" w:rsidP="2568A4A9">
            <w:pPr>
              <w:pStyle w:val="naisc"/>
              <w:spacing w:before="0" w:after="0"/>
              <w:jc w:val="both"/>
              <w:rPr>
                <w:b/>
                <w:bCs/>
                <w:highlight w:val="green"/>
              </w:rPr>
            </w:pPr>
            <w:r w:rsidRPr="008B6A9F">
              <w:rPr>
                <w:b/>
                <w:bCs/>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4E902D3F" w14:textId="77777777" w:rsidR="00021941" w:rsidRPr="009841AB" w:rsidRDefault="1F1B726B" w:rsidP="2568A4A9">
            <w:pPr>
              <w:rPr>
                <w:highlight w:val="green"/>
              </w:rPr>
            </w:pPr>
            <w:r w:rsidRPr="008B6A9F">
              <w:t xml:space="preserve">Saturiski precizēts pamatnostādņu teksts </w:t>
            </w:r>
          </w:p>
        </w:tc>
      </w:tr>
      <w:tr w:rsidR="00226A31" w:rsidRPr="009841AB" w14:paraId="600FEE2C"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77B7C510" w14:textId="77777777" w:rsidR="00226A31" w:rsidRPr="00F8246F" w:rsidRDefault="00226A31" w:rsidP="00226A31">
            <w:pPr>
              <w:widowControl w:val="0"/>
              <w:jc w:val="both"/>
              <w:rPr>
                <w:rFonts w:cstheme="minorHAnsi"/>
                <w:b/>
              </w:rPr>
            </w:pPr>
            <w:r>
              <w:rPr>
                <w:rFonts w:cstheme="minorHAnsi"/>
                <w:b/>
              </w:rPr>
              <w:t>Satiksmes ministrijas</w:t>
            </w:r>
            <w:r w:rsidRPr="00507245">
              <w:rPr>
                <w:rFonts w:cstheme="minorHAnsi"/>
                <w:b/>
              </w:rPr>
              <w:t xml:space="preserve"> 01.02.2021. atzinums:</w:t>
            </w:r>
          </w:p>
        </w:tc>
      </w:tr>
      <w:tr w:rsidR="00226A31" w:rsidRPr="009841AB" w14:paraId="17FF185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E30F575" w14:textId="77777777" w:rsidR="00226A31" w:rsidRPr="009841AB" w:rsidRDefault="00226A31" w:rsidP="00226A31">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74583CA"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0DDA0A4" w14:textId="77777777" w:rsidR="00226A31" w:rsidRPr="009841AB" w:rsidRDefault="00226A31" w:rsidP="00226A31">
            <w:pPr>
              <w:tabs>
                <w:tab w:val="left" w:pos="720"/>
              </w:tabs>
              <w:contextualSpacing/>
              <w:jc w:val="both"/>
              <w:rPr>
                <w:b/>
                <w:bCs/>
                <w:lang w:eastAsia="en-US"/>
              </w:rPr>
            </w:pPr>
            <w:r w:rsidRPr="009841AB">
              <w:rPr>
                <w:b/>
                <w:lang w:eastAsia="en-U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1689FA0" w14:textId="77777777" w:rsidR="00226A31" w:rsidRPr="009841AB" w:rsidRDefault="00226A31" w:rsidP="00226A31">
            <w:pPr>
              <w:pStyle w:val="naisc"/>
              <w:spacing w:before="0" w:after="0"/>
              <w:jc w:val="both"/>
              <w:rPr>
                <w:b/>
              </w:rPr>
            </w:pPr>
          </w:p>
        </w:tc>
        <w:tc>
          <w:tcPr>
            <w:tcW w:w="3497" w:type="dxa"/>
            <w:tcBorders>
              <w:top w:val="single" w:sz="4" w:space="0" w:color="auto"/>
              <w:left w:val="single" w:sz="4" w:space="0" w:color="auto"/>
              <w:bottom w:val="single" w:sz="4" w:space="0" w:color="auto"/>
            </w:tcBorders>
            <w:shd w:val="clear" w:color="auto" w:fill="auto"/>
          </w:tcPr>
          <w:p w14:paraId="15C0941F" w14:textId="77777777" w:rsidR="00226A31" w:rsidRPr="009841AB" w:rsidRDefault="00226A31" w:rsidP="00226A31"/>
        </w:tc>
      </w:tr>
      <w:tr w:rsidR="00226A31" w:rsidRPr="009841AB" w14:paraId="777F1D97"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054B7F7" w14:textId="77777777" w:rsidR="00226A31" w:rsidRPr="009841AB" w:rsidRDefault="00B032B1" w:rsidP="00226A31">
            <w:pPr>
              <w:pStyle w:val="naisc"/>
              <w:spacing w:before="0" w:after="0"/>
            </w:pPr>
            <w:r>
              <w:t>62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D223EB8"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5CCF754" w14:textId="77777777" w:rsidR="00226A31" w:rsidRPr="009841AB" w:rsidRDefault="00226A31" w:rsidP="00226A31">
            <w:pPr>
              <w:tabs>
                <w:tab w:val="left" w:pos="720"/>
              </w:tabs>
              <w:contextualSpacing/>
              <w:jc w:val="both"/>
              <w:rPr>
                <w:lang w:eastAsia="en-US"/>
              </w:rPr>
            </w:pPr>
            <w:r w:rsidRPr="009841AB">
              <w:rPr>
                <w:lang w:eastAsia="en-US"/>
              </w:rPr>
              <w:t>1. Satiksmes ministrija vērš uzmanību, ka pamatnostādņu projektā iekļauto uzdevumu izpilde un rezultatīvo rādītāju sasniegšana vairumā gadījumu ir saistīta ar aktivitātei pieejamā finansējuma apjomu. Ņemot vērā minēto, lūdzam šādu atrunu iekļaut pamatnostādņu projektā.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3392D3B" w14:textId="77777777" w:rsidR="00226A31" w:rsidRPr="009841AB" w:rsidRDefault="62342388" w:rsidP="7D254A66">
            <w:pPr>
              <w:pStyle w:val="naisc"/>
              <w:spacing w:before="0" w:after="0" w:line="259" w:lineRule="auto"/>
              <w:jc w:val="both"/>
              <w:rPr>
                <w:b/>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4388F07F" w14:textId="77777777" w:rsidR="00226A31" w:rsidRPr="009841AB" w:rsidRDefault="002F39B4" w:rsidP="00226A31">
            <w:r>
              <w:t xml:space="preserve">Lūdzam skatīt </w:t>
            </w:r>
            <w:r w:rsidR="003B69DF">
              <w:t xml:space="preserve">4.sadaļu. </w:t>
            </w:r>
          </w:p>
        </w:tc>
      </w:tr>
      <w:tr w:rsidR="00226A31" w:rsidRPr="009841AB" w14:paraId="7148EF6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29F1873" w14:textId="77777777" w:rsidR="00226A31" w:rsidRPr="009841AB" w:rsidRDefault="00B032B1" w:rsidP="00226A31">
            <w:pPr>
              <w:pStyle w:val="naisc"/>
              <w:spacing w:before="0" w:after="0"/>
            </w:pPr>
            <w:r>
              <w:t>63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C79D184"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8677159" w14:textId="77777777" w:rsidR="00226A31" w:rsidRPr="009841AB" w:rsidRDefault="00226A31" w:rsidP="00226A31">
            <w:pPr>
              <w:tabs>
                <w:tab w:val="left" w:pos="720"/>
              </w:tabs>
              <w:contextualSpacing/>
              <w:jc w:val="both"/>
              <w:rPr>
                <w:lang w:eastAsia="en-US"/>
              </w:rPr>
            </w:pPr>
            <w:r w:rsidRPr="009841AB">
              <w:rPr>
                <w:lang w:eastAsia="en-US"/>
              </w:rPr>
              <w:t>2. Lūdzam precizēt pamatnostādņu projekta 4.punkta “Mērķis, attīstības virzieni un rīcība” sadaļu “Vīzija”, izsakot to šādā redakcijā: “Izveidota labvēlīga un moderna dzīves telpa, kas ir balstīta mūsdienu tehnoloģiju izmantošanā, un pilnveidotas sabiedrības spējas savu labklājību un tautsaimniecības izaugsmi veidot efektīvi, pielietojot digitālo tehnoloģiju iespējas un attīstot radošo potenciālu.”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374263D" w14:textId="77777777" w:rsidR="00226A31" w:rsidRPr="009841AB" w:rsidRDefault="0131FBFE" w:rsidP="00226A31">
            <w:pPr>
              <w:pStyle w:val="naisc"/>
              <w:spacing w:before="0" w:after="0"/>
              <w:jc w:val="both"/>
              <w:rPr>
                <w:b/>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49EBFA3B" w14:textId="77777777" w:rsidR="00226A31" w:rsidRPr="009841AB" w:rsidRDefault="19C418EC" w:rsidP="4AF6D349">
            <w:pPr>
              <w:spacing w:after="160" w:line="259" w:lineRule="auto"/>
              <w:jc w:val="both"/>
            </w:pPr>
            <w:r w:rsidRPr="009841AB">
              <w:t>"Izveidota labvēlīga un moderna dzīves telpa, kas ir balstīta mūsdienu tehnoloģiju izmantošanā un attīstītas sabiedrības spējas savu labklājību un tautsaimniecības izaugsmi veidot efektīvi, pielietojot digitālo tehnoloģiju iespējas un turpinot radoši attīstīt sabiedrības spējas</w:t>
            </w:r>
            <w:r w:rsidRPr="009841AB">
              <w:rPr>
                <w:color w:val="881798"/>
              </w:rPr>
              <w:t>,</w:t>
            </w:r>
            <w:r w:rsidRPr="009841AB">
              <w:t xml:space="preserve"> kā arī attīstot radošo potenciālu."</w:t>
            </w:r>
          </w:p>
          <w:p w14:paraId="7CEB7DE0" w14:textId="77777777" w:rsidR="00226A31" w:rsidRPr="009841AB" w:rsidRDefault="00226A31" w:rsidP="00226A31"/>
        </w:tc>
      </w:tr>
      <w:tr w:rsidR="00226A31" w:rsidRPr="009841AB" w14:paraId="5296AD2F"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61584DC" w14:textId="77777777" w:rsidR="00226A31" w:rsidRPr="009841AB" w:rsidRDefault="00226A31" w:rsidP="00226A31">
            <w:pPr>
              <w:tabs>
                <w:tab w:val="left" w:pos="720"/>
              </w:tabs>
              <w:contextualSpacing/>
              <w:jc w:val="both"/>
              <w:rPr>
                <w:b/>
                <w:bCs/>
                <w:lang w:eastAsia="en-US"/>
              </w:rPr>
            </w:pPr>
            <w:r w:rsidRPr="009841AB">
              <w:rPr>
                <w:b/>
                <w:bCs/>
                <w:lang w:eastAsia="en-US"/>
              </w:rPr>
              <w:t>Veselības ministrijas 07.02.2021. atzinums:</w:t>
            </w:r>
          </w:p>
        </w:tc>
      </w:tr>
      <w:tr w:rsidR="00226A31" w:rsidRPr="009841AB" w14:paraId="1E60DBF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97EC5ED" w14:textId="77777777" w:rsidR="00226A31" w:rsidRPr="009841AB" w:rsidRDefault="00B032B1" w:rsidP="00226A31">
            <w:pPr>
              <w:pStyle w:val="naisc"/>
              <w:spacing w:before="0" w:after="0"/>
            </w:pPr>
            <w:r>
              <w:t>64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F7C1DD8"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791ADFA" w14:textId="77777777" w:rsidR="00226A31" w:rsidRPr="009841AB" w:rsidRDefault="00226A31" w:rsidP="00226A31">
            <w:pPr>
              <w:tabs>
                <w:tab w:val="left" w:pos="720"/>
              </w:tabs>
              <w:contextualSpacing/>
              <w:jc w:val="both"/>
              <w:rPr>
                <w:lang w:eastAsia="en-US"/>
              </w:rPr>
            </w:pPr>
            <w:r w:rsidRPr="009841AB">
              <w:rPr>
                <w:lang w:eastAsia="en-US"/>
              </w:rPr>
              <w:t xml:space="preserve">Lūdzam pārskatīt projektu un apvienot rīcības virzienus un </w:t>
            </w:r>
            <w:proofErr w:type="spellStart"/>
            <w:r w:rsidRPr="009841AB">
              <w:rPr>
                <w:lang w:eastAsia="en-US"/>
              </w:rPr>
              <w:t>apakšvirzienus</w:t>
            </w:r>
            <w:proofErr w:type="spellEnd"/>
            <w:r w:rsidRPr="009841AB">
              <w:rPr>
                <w:lang w:eastAsia="en-US"/>
              </w:rPr>
              <w:t xml:space="preserve">, kuros ietvertās rīcības pārklājas vai dublējas, lai novērstu dokumenta sadrumstalotību. Piemēram, būtu apvienojams 4.1.1., 4.1.3. un 4.1.5. rīcības virziens, jo abos ir ietverta digitālo prasmju attīstība visa mūža garumā, digitālo prasmju integrācija izglītības programmās. Tāpat būtu apvienojams 4.4.9.1., 4.4.9.2., 4.4.9.7. </w:t>
            </w:r>
            <w:proofErr w:type="spellStart"/>
            <w:r w:rsidRPr="009841AB">
              <w:rPr>
                <w:lang w:eastAsia="en-US"/>
              </w:rPr>
              <w:t>apakšvirziens</w:t>
            </w:r>
            <w:proofErr w:type="spellEnd"/>
            <w:r w:rsidRPr="009841AB">
              <w:rPr>
                <w:lang w:eastAsia="en-US"/>
              </w:rPr>
              <w:t xml:space="preserve">, 4.4.10.1., 4.4.10.2, 4.4.10.3. u.c. Piemēram, viens un tas pats uzdevums “Vienota rīcības plāna izstrāde un ieviešana digitālo prasmju kā caurviju </w:t>
            </w:r>
            <w:proofErr w:type="spellStart"/>
            <w:r w:rsidRPr="009841AB">
              <w:rPr>
                <w:lang w:eastAsia="en-US"/>
              </w:rPr>
              <w:t>pamatprasmju</w:t>
            </w:r>
            <w:proofErr w:type="spellEnd"/>
            <w:r w:rsidRPr="009841AB">
              <w:rPr>
                <w:lang w:eastAsia="en-US"/>
              </w:rPr>
              <w:t xml:space="preserve"> </w:t>
            </w:r>
            <w:r w:rsidRPr="009841AB">
              <w:rPr>
                <w:lang w:eastAsia="en-US"/>
              </w:rPr>
              <w:lastRenderedPageBreak/>
              <w:t>apguves nodrošināšanai katram iedzīvotājam” iekļauts gan 4.1.1., gan 4.5.2. rīcības virzienā, bet vienā gadījumā atbildīgā institūcija par plāna izstrādi norādīta IZM, otrā VARAM. Būtiskas atšķirības ir arī šī uzdevuma līdzatbildīgo institūciju sarakstā.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ACC26BD" w14:textId="77777777" w:rsidR="00964B8A" w:rsidRPr="009841AB" w:rsidRDefault="009A389A" w:rsidP="00226A31">
            <w:pPr>
              <w:pStyle w:val="naisc"/>
              <w:spacing w:before="0" w:after="0"/>
              <w:jc w:val="both"/>
              <w:rPr>
                <w:b/>
              </w:rPr>
            </w:pPr>
            <w:r w:rsidRPr="009841AB">
              <w:rPr>
                <w:b/>
              </w:rPr>
              <w:lastRenderedPageBreak/>
              <w:t>Ņemts vērā</w:t>
            </w:r>
          </w:p>
          <w:p w14:paraId="24F6EF1D" w14:textId="77777777" w:rsidR="00226A31" w:rsidRPr="009841AB" w:rsidRDefault="00CE542A" w:rsidP="00226A31">
            <w:pPr>
              <w:pStyle w:val="naisc"/>
              <w:spacing w:before="0" w:after="0"/>
              <w:jc w:val="both"/>
              <w:rPr>
                <w:b/>
              </w:rPr>
            </w:pPr>
            <w:r w:rsidRPr="009841AB">
              <w:rPr>
                <w:lang w:eastAsia="en-US"/>
              </w:rPr>
              <w:t xml:space="preserve">4.5.2. </w:t>
            </w:r>
            <w:r w:rsidR="00964B8A" w:rsidRPr="009841AB">
              <w:rPr>
                <w:lang w:eastAsia="en-US"/>
              </w:rPr>
              <w:t>apakš</w:t>
            </w:r>
            <w:r w:rsidRPr="009841AB">
              <w:rPr>
                <w:lang w:eastAsia="en-US"/>
              </w:rPr>
              <w:t>punkts svītrots</w:t>
            </w:r>
            <w:r w:rsidR="006423E1" w:rsidRPr="009841AB">
              <w:rPr>
                <w:lang w:eastAsia="en-US"/>
              </w:rPr>
              <w:t>.</w:t>
            </w:r>
          </w:p>
        </w:tc>
        <w:tc>
          <w:tcPr>
            <w:tcW w:w="3497" w:type="dxa"/>
            <w:tcBorders>
              <w:top w:val="single" w:sz="4" w:space="0" w:color="auto"/>
              <w:left w:val="single" w:sz="4" w:space="0" w:color="auto"/>
              <w:bottom w:val="single" w:sz="4" w:space="0" w:color="auto"/>
            </w:tcBorders>
            <w:shd w:val="clear" w:color="auto" w:fill="auto"/>
          </w:tcPr>
          <w:p w14:paraId="303FE5D5" w14:textId="77777777" w:rsidR="00226A31" w:rsidRPr="009841AB" w:rsidRDefault="00226A31" w:rsidP="00226A31"/>
        </w:tc>
      </w:tr>
      <w:tr w:rsidR="00556A7F" w:rsidRPr="009841AB" w14:paraId="4D40711C"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4E48149" w14:textId="77777777" w:rsidR="00556A7F" w:rsidRPr="009841AB" w:rsidRDefault="00556A7F" w:rsidP="00226A31">
            <w:r w:rsidRPr="009841AB">
              <w:rPr>
                <w:b/>
                <w:bCs/>
                <w:lang w:eastAsia="en-US"/>
              </w:rPr>
              <w:t xml:space="preserve">Veselības ministrijas </w:t>
            </w:r>
            <w:r>
              <w:rPr>
                <w:b/>
                <w:bCs/>
                <w:lang w:eastAsia="en-US"/>
              </w:rPr>
              <w:t>05</w:t>
            </w:r>
            <w:r w:rsidRPr="009841AB">
              <w:rPr>
                <w:b/>
                <w:bCs/>
                <w:lang w:eastAsia="en-US"/>
              </w:rPr>
              <w:t>.0</w:t>
            </w:r>
            <w:r>
              <w:rPr>
                <w:b/>
                <w:bCs/>
                <w:lang w:eastAsia="en-US"/>
              </w:rPr>
              <w:t>5</w:t>
            </w:r>
            <w:r w:rsidRPr="009841AB">
              <w:rPr>
                <w:b/>
                <w:bCs/>
                <w:lang w:eastAsia="en-US"/>
              </w:rPr>
              <w:t>.2021. atzinums:</w:t>
            </w:r>
          </w:p>
        </w:tc>
      </w:tr>
      <w:tr w:rsidR="00556A7F" w:rsidRPr="009841AB" w14:paraId="6B3AB067"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C4023BA" w14:textId="77777777" w:rsidR="00556A7F" w:rsidRPr="009841AB" w:rsidRDefault="00AB7877" w:rsidP="00226A31">
            <w:pPr>
              <w:pStyle w:val="naisc"/>
              <w:spacing w:before="0" w:after="0"/>
            </w:pPr>
            <w:r>
              <w:t>65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3A76746" w14:textId="77777777" w:rsidR="00556A7F" w:rsidRPr="009841AB" w:rsidRDefault="00556A7F"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8318D98" w14:textId="77777777" w:rsidR="00556A7F" w:rsidRPr="009841AB" w:rsidRDefault="0022274B" w:rsidP="00226A31">
            <w:pPr>
              <w:tabs>
                <w:tab w:val="left" w:pos="720"/>
              </w:tabs>
              <w:contextualSpacing/>
              <w:jc w:val="both"/>
              <w:rPr>
                <w:lang w:eastAsia="en-US"/>
              </w:rPr>
            </w:pPr>
            <w:r w:rsidRPr="0022274B">
              <w:rPr>
                <w:lang w:eastAsia="en-US"/>
              </w:rPr>
              <w:t>Pamatnostādnēs tiek lietots termins “e-veselība”, “e-veselības sistēma”, bet nekur tas nav paskaidrots, tāpēc lūdzam saīsinājumu sarakstu papildināt ar sekojošu skaidrojumu - “e-veselības sistēma - Vienotā veselības nozares elektroniskā informācijas sistēma”.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011DDA8" w14:textId="77777777" w:rsidR="00556A7F" w:rsidRPr="009841AB" w:rsidRDefault="00014D86" w:rsidP="00226A31">
            <w:pPr>
              <w:pStyle w:val="naisc"/>
              <w:spacing w:before="0" w:after="0"/>
              <w:jc w:val="both"/>
              <w:rPr>
                <w:b/>
              </w:rPr>
            </w:pPr>
            <w:r>
              <w:rPr>
                <w:b/>
              </w:rPr>
              <w:t xml:space="preserve">Ņemts </w:t>
            </w:r>
            <w:r w:rsidR="00C749C9">
              <w:rPr>
                <w:b/>
              </w:rPr>
              <w:t>vērā</w:t>
            </w:r>
          </w:p>
        </w:tc>
        <w:tc>
          <w:tcPr>
            <w:tcW w:w="3497" w:type="dxa"/>
            <w:tcBorders>
              <w:top w:val="single" w:sz="4" w:space="0" w:color="auto"/>
              <w:left w:val="single" w:sz="4" w:space="0" w:color="auto"/>
              <w:bottom w:val="single" w:sz="4" w:space="0" w:color="auto"/>
            </w:tcBorders>
            <w:shd w:val="clear" w:color="auto" w:fill="auto"/>
          </w:tcPr>
          <w:p w14:paraId="38713CEA" w14:textId="77777777" w:rsidR="00556A7F" w:rsidRPr="009841AB" w:rsidRDefault="00C749C9" w:rsidP="00226A31">
            <w:r>
              <w:t>Sk. saīsinājumu sarakstu</w:t>
            </w:r>
          </w:p>
        </w:tc>
      </w:tr>
      <w:tr w:rsidR="00226A31" w:rsidRPr="009841AB" w14:paraId="7D2BBFA7"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58E3FA0" w14:textId="77777777" w:rsidR="00226A31" w:rsidRPr="009841AB" w:rsidRDefault="00226A31" w:rsidP="00226A31">
            <w:pPr>
              <w:tabs>
                <w:tab w:val="left" w:pos="720"/>
              </w:tabs>
              <w:contextualSpacing/>
              <w:jc w:val="both"/>
              <w:rPr>
                <w:b/>
                <w:bCs/>
                <w:lang w:eastAsia="en-US"/>
              </w:rPr>
            </w:pPr>
            <w:r w:rsidRPr="009841AB">
              <w:rPr>
                <w:b/>
                <w:bCs/>
                <w:lang w:eastAsia="en-US"/>
              </w:rPr>
              <w:t>Valsts kancelejas 05.02.2021. atzinums:</w:t>
            </w:r>
          </w:p>
        </w:tc>
      </w:tr>
      <w:tr w:rsidR="00226A31" w:rsidRPr="009841AB" w14:paraId="3A63499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2646467" w14:textId="77777777" w:rsidR="00226A31" w:rsidRPr="009841AB" w:rsidRDefault="00AB7877" w:rsidP="00226A31">
            <w:pPr>
              <w:pStyle w:val="naisc"/>
              <w:spacing w:before="0" w:after="0"/>
            </w:pPr>
            <w:r>
              <w:t>66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06C8B47"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F27DDB0" w14:textId="77777777" w:rsidR="00226A31" w:rsidRPr="009841AB" w:rsidRDefault="00226A31" w:rsidP="00226A31">
            <w:pPr>
              <w:tabs>
                <w:tab w:val="left" w:pos="720"/>
              </w:tabs>
              <w:contextualSpacing/>
              <w:jc w:val="both"/>
              <w:rPr>
                <w:lang w:eastAsia="en-US"/>
              </w:rPr>
            </w:pPr>
            <w:r w:rsidRPr="009841AB">
              <w:rPr>
                <w:lang w:eastAsia="en-US"/>
              </w:rPr>
              <w:t>1.</w:t>
            </w:r>
            <w:r w:rsidRPr="009841AB">
              <w:rPr>
                <w:lang w:eastAsia="en-US"/>
              </w:rPr>
              <w:tab/>
              <w:t xml:space="preserve">Aicinām pārskatīt pamatnostādņu struktūru, to vienkāršojot, samazinot un, kur iespējams, apvienojot rīcības virzienus. Pašlaik vienas un tas pašas vai līdzīgas tēmas un idejas ir ietvertas vairākos rīcības virzienos, un tām ir grūti izsekot. Iespējams, jāievieš rīcības virzienu vai pasākumu savstarpējas papildinātības paskaidrojumi, lai būtu skaidrs, kurā vietā ir jāmeklē saistītais saturs.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4F72694" w14:textId="77777777" w:rsidR="00CE37B0" w:rsidRPr="00F56B1C" w:rsidRDefault="00CE37B0" w:rsidP="00CE37B0">
            <w:pPr>
              <w:pStyle w:val="naisc"/>
              <w:jc w:val="both"/>
              <w:rPr>
                <w:b/>
                <w:bCs/>
              </w:rPr>
            </w:pPr>
            <w:r>
              <w:rPr>
                <w:b/>
                <w:bCs/>
              </w:rPr>
              <w:t>Panākta vienošanās</w:t>
            </w:r>
          </w:p>
          <w:p w14:paraId="4102AD3A" w14:textId="77777777" w:rsidR="00226A31" w:rsidRPr="009841AB" w:rsidRDefault="003B69DF" w:rsidP="00226A31">
            <w:pPr>
              <w:pStyle w:val="naisc"/>
              <w:spacing w:before="0" w:after="0"/>
              <w:jc w:val="both"/>
              <w:rPr>
                <w:b/>
              </w:rPr>
            </w:pPr>
            <w:r w:rsidRPr="009841AB">
              <w:t>Veikta satura pārskatīšana, kas tiks turpināta līdz pamatnostādņu iesniegšanai apstiprināšanā.</w:t>
            </w:r>
          </w:p>
        </w:tc>
        <w:tc>
          <w:tcPr>
            <w:tcW w:w="3497" w:type="dxa"/>
            <w:tcBorders>
              <w:top w:val="single" w:sz="4" w:space="0" w:color="auto"/>
              <w:left w:val="single" w:sz="4" w:space="0" w:color="auto"/>
              <w:bottom w:val="single" w:sz="4" w:space="0" w:color="auto"/>
            </w:tcBorders>
            <w:shd w:val="clear" w:color="auto" w:fill="auto"/>
          </w:tcPr>
          <w:p w14:paraId="1EBC5706" w14:textId="77777777" w:rsidR="00226A31" w:rsidRPr="009841AB" w:rsidRDefault="00226A31" w:rsidP="00226A31"/>
        </w:tc>
      </w:tr>
      <w:tr w:rsidR="00226A31" w:rsidRPr="009841AB" w14:paraId="4B68CCB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E09DEA0" w14:textId="77777777" w:rsidR="00226A31" w:rsidRPr="009841AB" w:rsidRDefault="00AB7877" w:rsidP="00226A31">
            <w:pPr>
              <w:pStyle w:val="naisc"/>
              <w:spacing w:before="0" w:after="0"/>
            </w:pPr>
            <w:r>
              <w:t>67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BAE5447"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9E3EB74" w14:textId="77777777" w:rsidR="00226A31" w:rsidRPr="009841AB" w:rsidRDefault="00226A31" w:rsidP="00226A31">
            <w:pPr>
              <w:tabs>
                <w:tab w:val="left" w:pos="720"/>
              </w:tabs>
              <w:contextualSpacing/>
              <w:jc w:val="both"/>
              <w:rPr>
                <w:lang w:eastAsia="en-US"/>
              </w:rPr>
            </w:pPr>
            <w:r w:rsidRPr="009841AB">
              <w:rPr>
                <w:lang w:eastAsia="en-US"/>
              </w:rPr>
              <w:t>2.</w:t>
            </w:r>
            <w:r w:rsidRPr="009841AB">
              <w:rPr>
                <w:lang w:eastAsia="en-US"/>
              </w:rPr>
              <w:tab/>
              <w:t>Aicinām pārskatīšanas procesā rast iespēju saīsināt pamatnostādnes, padarot to draudzīgāku lietotājam (arī sanumurēt lapas) - vairāk kā 200 lapaspušu politikas plānošanas dokuments nav pārskatāms un ērti lietojams.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FE37ACF" w14:textId="77777777" w:rsidR="00CE37B0" w:rsidRPr="00F56B1C" w:rsidRDefault="00CE37B0" w:rsidP="00CE37B0">
            <w:pPr>
              <w:pStyle w:val="naisc"/>
              <w:jc w:val="both"/>
              <w:rPr>
                <w:b/>
                <w:bCs/>
              </w:rPr>
            </w:pPr>
            <w:r>
              <w:rPr>
                <w:b/>
                <w:bCs/>
              </w:rPr>
              <w:t>Panākta vienošanās</w:t>
            </w:r>
          </w:p>
          <w:p w14:paraId="1F81FF6F" w14:textId="77777777" w:rsidR="00504B89" w:rsidRPr="009841AB" w:rsidRDefault="00504B89" w:rsidP="00226A31">
            <w:pPr>
              <w:pStyle w:val="naisc"/>
              <w:spacing w:before="0" w:after="0"/>
              <w:jc w:val="both"/>
              <w:rPr>
                <w:b/>
              </w:rPr>
            </w:pPr>
            <w:r w:rsidRPr="009841AB">
              <w:t>Veikta satura pārskatīšana, kas tiks turpināta līdz pamatnostādņu iesniegšanai apstiprināšanā.</w:t>
            </w:r>
          </w:p>
        </w:tc>
        <w:tc>
          <w:tcPr>
            <w:tcW w:w="3497" w:type="dxa"/>
            <w:tcBorders>
              <w:top w:val="single" w:sz="4" w:space="0" w:color="auto"/>
              <w:left w:val="single" w:sz="4" w:space="0" w:color="auto"/>
              <w:bottom w:val="single" w:sz="4" w:space="0" w:color="auto"/>
            </w:tcBorders>
            <w:shd w:val="clear" w:color="auto" w:fill="auto"/>
          </w:tcPr>
          <w:p w14:paraId="593117BE" w14:textId="77777777" w:rsidR="00226A31" w:rsidRPr="009841AB" w:rsidRDefault="00226A31" w:rsidP="00226A31"/>
        </w:tc>
      </w:tr>
      <w:tr w:rsidR="006A176F" w:rsidRPr="009841AB" w14:paraId="5596A358"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E8313AE" w14:textId="77777777" w:rsidR="006A176F" w:rsidRPr="009841AB" w:rsidRDefault="006A176F" w:rsidP="00226A31">
            <w:r w:rsidRPr="009841AB">
              <w:rPr>
                <w:b/>
                <w:bCs/>
                <w:lang w:eastAsia="en-US"/>
              </w:rPr>
              <w:t>Valsts kancelejas 05.02.2021. atzinums:</w:t>
            </w:r>
          </w:p>
        </w:tc>
      </w:tr>
      <w:tr w:rsidR="00C6176D" w:rsidRPr="009841AB" w14:paraId="742BD40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F055C76" w14:textId="77777777" w:rsidR="00C6176D" w:rsidRPr="009841AB" w:rsidRDefault="00AB7877" w:rsidP="00226A31">
            <w:pPr>
              <w:pStyle w:val="naisc"/>
              <w:spacing w:before="0" w:after="0"/>
            </w:pPr>
            <w:r>
              <w:t>68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BB8C726" w14:textId="77777777" w:rsidR="00C6176D" w:rsidRPr="009841AB" w:rsidRDefault="00C6176D"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ABCE40E" w14:textId="77777777" w:rsidR="00C6176D" w:rsidRDefault="00C6176D" w:rsidP="00C6176D">
            <w:pPr>
              <w:tabs>
                <w:tab w:val="left" w:pos="720"/>
              </w:tabs>
              <w:contextualSpacing/>
              <w:jc w:val="both"/>
              <w:rPr>
                <w:lang w:eastAsia="en-US"/>
              </w:rPr>
            </w:pPr>
            <w:r>
              <w:rPr>
                <w:lang w:eastAsia="en-US"/>
              </w:rPr>
              <w:t xml:space="preserve">Valsts kancelejas Valsts pārvaldes politikas departaments ir izvērtējis Vides aizsardzības un reģionālās attīstības ministrijas 5 dienu elektroniskai saskaņošanai atsūtīto precizēto pamatnostādņu projektu "Digitālās transformācijas pamatnostādnes 2021.-2027.gadam" (VSS-48), tā pielikumus, </w:t>
            </w:r>
            <w:proofErr w:type="spellStart"/>
            <w:r>
              <w:rPr>
                <w:lang w:eastAsia="en-US"/>
              </w:rPr>
              <w:lastRenderedPageBreak/>
              <w:t>protokollēmuma</w:t>
            </w:r>
            <w:proofErr w:type="spellEnd"/>
            <w:r>
              <w:rPr>
                <w:lang w:eastAsia="en-US"/>
              </w:rPr>
              <w:t xml:space="preserve"> projektu un izziņu par atzinumos sniegtajiem iebildumiem un priekšlikumiem.</w:t>
            </w:r>
          </w:p>
          <w:p w14:paraId="1B85D277" w14:textId="77777777" w:rsidR="00C6176D" w:rsidRDefault="00C6176D" w:rsidP="00C6176D">
            <w:pPr>
              <w:tabs>
                <w:tab w:val="left" w:pos="720"/>
              </w:tabs>
              <w:contextualSpacing/>
              <w:jc w:val="both"/>
              <w:rPr>
                <w:lang w:eastAsia="en-US"/>
              </w:rPr>
            </w:pPr>
          </w:p>
          <w:p w14:paraId="77E7EFDA" w14:textId="77777777" w:rsidR="00C6176D" w:rsidRPr="009841AB" w:rsidRDefault="00C6176D" w:rsidP="00C6176D">
            <w:pPr>
              <w:tabs>
                <w:tab w:val="left" w:pos="720"/>
              </w:tabs>
              <w:contextualSpacing/>
              <w:jc w:val="both"/>
              <w:rPr>
                <w:lang w:eastAsia="en-US"/>
              </w:rPr>
            </w:pPr>
            <w:r>
              <w:rPr>
                <w:lang w:eastAsia="en-US"/>
              </w:rPr>
              <w:t>Esam gandarīti par pamatnostādņu projektā veiktajiem uzlabojumiem, ka arī par to, ka lielākā daļa Valsts kancelejas izteikto iebildumu un priekšlikumu ir tikuši ņemti vērā. Vienlaikus, lai pārrunātu digitālās transformācijas un ar to saistīto jautājumu turpmāko stratēģisko virzību gan Vides aizsardzības un reģionālās attīstības ministrijas, gan Valsts kancelejas politikas un attīstības plānošanas dokumentos, kā arī citās iniciatīvās, aicinām rast iespēju noorganizēt divpusējo tikšanos tiešsaistē Jums ērtajā laikā pirms precizētais projekts tiek sagatavots iesniegšanai izskatīšanai Ministru kabineta 2021. gada 11. maija sēdē.</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7E9691F" w14:textId="77777777" w:rsidR="00C6176D" w:rsidRDefault="00EC2DCF" w:rsidP="00226A31">
            <w:pPr>
              <w:pStyle w:val="naisc"/>
              <w:spacing w:before="0" w:after="0"/>
              <w:jc w:val="both"/>
              <w:rPr>
                <w:b/>
                <w:bCs/>
              </w:rPr>
            </w:pPr>
            <w:r>
              <w:rPr>
                <w:b/>
                <w:bCs/>
              </w:rPr>
              <w:lastRenderedPageBreak/>
              <w:t xml:space="preserve">Ņemts vērā </w:t>
            </w:r>
          </w:p>
          <w:p w14:paraId="70728587" w14:textId="77777777" w:rsidR="00C6176D" w:rsidRPr="00EC2DCF" w:rsidRDefault="00EC2DCF" w:rsidP="00226A31">
            <w:pPr>
              <w:pStyle w:val="naisc"/>
              <w:spacing w:before="0" w:after="0"/>
              <w:jc w:val="both"/>
            </w:pPr>
            <w:r w:rsidRPr="00EC2DCF">
              <w:t>05.05.2021</w:t>
            </w:r>
            <w:r>
              <w:t xml:space="preserve"> </w:t>
            </w:r>
            <w:r w:rsidR="00BE3E24">
              <w:t>tikšanās laikā pārrunāta Digitālās transformācijas pamatnostādņu 2021-</w:t>
            </w:r>
            <w:r w:rsidR="00BE3E24">
              <w:lastRenderedPageBreak/>
              <w:t xml:space="preserve">2027. gadam </w:t>
            </w:r>
            <w:r w:rsidR="00A80197">
              <w:t xml:space="preserve">sasaiste ar Valsts kancelejas plānotajiem politikas plānošanas dokumentiem, rasta izpratne par </w:t>
            </w:r>
            <w:r w:rsidR="00397D85">
              <w:t>savstarpēju papildinātību un dublēšanās novēršanu.</w:t>
            </w:r>
            <w:r w:rsidR="00140D70">
              <w:t xml:space="preserve"> </w:t>
            </w:r>
            <w:r w:rsidR="00397D85">
              <w:t xml:space="preserve"> </w:t>
            </w:r>
          </w:p>
        </w:tc>
        <w:tc>
          <w:tcPr>
            <w:tcW w:w="3497" w:type="dxa"/>
            <w:tcBorders>
              <w:top w:val="single" w:sz="4" w:space="0" w:color="auto"/>
              <w:left w:val="single" w:sz="4" w:space="0" w:color="auto"/>
              <w:bottom w:val="single" w:sz="4" w:space="0" w:color="auto"/>
            </w:tcBorders>
            <w:shd w:val="clear" w:color="auto" w:fill="auto"/>
          </w:tcPr>
          <w:p w14:paraId="74797FE1" w14:textId="77777777" w:rsidR="00C6176D" w:rsidRPr="009841AB" w:rsidRDefault="00C6176D" w:rsidP="00226A31"/>
        </w:tc>
      </w:tr>
      <w:tr w:rsidR="00226A31" w:rsidRPr="009841AB" w14:paraId="5A6B331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5072AD32" w14:textId="77777777" w:rsidR="00226A31" w:rsidRPr="009841AB" w:rsidRDefault="00226A31" w:rsidP="00226A31">
            <w:pPr>
              <w:tabs>
                <w:tab w:val="left" w:pos="720"/>
              </w:tabs>
              <w:contextualSpacing/>
              <w:jc w:val="both"/>
              <w:rPr>
                <w:b/>
                <w:bCs/>
                <w:lang w:eastAsia="en-US"/>
              </w:rPr>
            </w:pPr>
            <w:r w:rsidRPr="009841AB">
              <w:rPr>
                <w:b/>
                <w:bCs/>
                <w:lang w:eastAsia="en-US"/>
              </w:rPr>
              <w:t>Tieslietu ministrijas 05.02.2021. atzinums:</w:t>
            </w:r>
          </w:p>
        </w:tc>
      </w:tr>
      <w:tr w:rsidR="00226A31" w:rsidRPr="009841AB" w14:paraId="4FE5A5A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D94416A" w14:textId="77777777" w:rsidR="00226A31" w:rsidRPr="009841AB" w:rsidRDefault="00AB7877" w:rsidP="00226A31">
            <w:pPr>
              <w:pStyle w:val="naisc"/>
              <w:spacing w:before="0" w:after="0"/>
            </w:pPr>
            <w:r>
              <w:t>69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B9E589A"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4B9BE4D" w14:textId="77777777" w:rsidR="00226A31" w:rsidRPr="009841AB" w:rsidRDefault="00226A31" w:rsidP="00226A31">
            <w:pPr>
              <w:tabs>
                <w:tab w:val="left" w:pos="720"/>
              </w:tabs>
              <w:contextualSpacing/>
              <w:jc w:val="both"/>
              <w:rPr>
                <w:lang w:eastAsia="en-US"/>
              </w:rPr>
            </w:pPr>
            <w:r w:rsidRPr="009841AB">
              <w:rPr>
                <w:lang w:eastAsia="en-US"/>
              </w:rPr>
              <w:t xml:space="preserve">1. Atbilstoši Ministru kabineta 2014. gada 2. decembra noteikumu Nr.737 “Attīstības plānošanas dokumentu izstrādes un ietekmes izvērtēšanas noteikumi” 20.1. apakšpunktam, Ministru kabineta rīkojumā par pamatnostādnēm norāda institūciju, kas atbildīga par pamatnostādņu īstenošanu, un līdzatbildīgās institūcijas. Rīkojuma projekta 2.punktā norādīta atbildīgā institūcija pamatnostādņu īstenošanā, ņemot vērā to, ka pamatnostādņu projektā ir iekļautas arī līdzatbildīgās institūcijas, lūdzam precizēt rīkojuma projektu 2.punktu, iekļaujot tajā arī līdzatbildīgās institūcijas.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4C645DA" w14:textId="77777777" w:rsidR="00226A31" w:rsidRPr="009841AB" w:rsidRDefault="008336D1" w:rsidP="00226A31">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45726050" w14:textId="77777777" w:rsidR="00226A31" w:rsidRPr="009841AB" w:rsidRDefault="00501026" w:rsidP="00226A31">
            <w:r w:rsidRPr="009841AB">
              <w:t xml:space="preserve">Lūdzam skatīt </w:t>
            </w:r>
            <w:proofErr w:type="spellStart"/>
            <w:r w:rsidRPr="009841AB">
              <w:t>protokollēmu</w:t>
            </w:r>
            <w:r w:rsidR="009166B7">
              <w:t>ma</w:t>
            </w:r>
            <w:proofErr w:type="spellEnd"/>
            <w:r w:rsidR="009166B7">
              <w:t xml:space="preserve"> projektu</w:t>
            </w:r>
          </w:p>
        </w:tc>
      </w:tr>
      <w:tr w:rsidR="00501026" w:rsidRPr="009841AB" w14:paraId="3BEA84E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8116B56" w14:textId="77777777" w:rsidR="00501026" w:rsidRPr="009841AB" w:rsidRDefault="00AB7877" w:rsidP="00501026">
            <w:pPr>
              <w:pStyle w:val="naisc"/>
              <w:spacing w:before="0" w:after="0"/>
            </w:pPr>
            <w:r>
              <w:t>70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F4F9065" w14:textId="77777777" w:rsidR="00501026" w:rsidRPr="009841AB" w:rsidRDefault="00501026" w:rsidP="00501026">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A633779" w14:textId="77777777" w:rsidR="00D030E7" w:rsidRDefault="00D030E7" w:rsidP="00501026">
            <w:pPr>
              <w:tabs>
                <w:tab w:val="left" w:pos="720"/>
              </w:tabs>
              <w:contextualSpacing/>
              <w:jc w:val="both"/>
              <w:rPr>
                <w:lang w:eastAsia="en-US"/>
              </w:rPr>
            </w:pPr>
            <w:r w:rsidRPr="00D030E7">
              <w:rPr>
                <w:lang w:eastAsia="en-US"/>
              </w:rPr>
              <w:t xml:space="preserve">(Iepriekš izziņas </w:t>
            </w:r>
            <w:r>
              <w:rPr>
                <w:lang w:eastAsia="en-US"/>
              </w:rPr>
              <w:t>51</w:t>
            </w:r>
            <w:r w:rsidRPr="00D030E7">
              <w:rPr>
                <w:lang w:eastAsia="en-US"/>
              </w:rPr>
              <w:t>. punkts)</w:t>
            </w:r>
          </w:p>
          <w:p w14:paraId="4B54136B" w14:textId="77777777" w:rsidR="00501026" w:rsidRPr="009841AB" w:rsidRDefault="00501026" w:rsidP="00501026">
            <w:pPr>
              <w:tabs>
                <w:tab w:val="left" w:pos="720"/>
              </w:tabs>
              <w:contextualSpacing/>
              <w:jc w:val="both"/>
              <w:rPr>
                <w:lang w:eastAsia="en-US"/>
              </w:rPr>
            </w:pPr>
            <w:r w:rsidRPr="009841AB">
              <w:rPr>
                <w:lang w:eastAsia="en-US"/>
              </w:rPr>
              <w:t xml:space="preserve">2. Vēršam uzmanību, ka rīkojuma projektā būtu iekļaujams uzdevums Vides aizsardzības un reģionālās attīstības ministrijai sagatavot pamatnostādņu īstenošanas plānu, atbilstoši Ministru kabineta 2014.gada 2.decembra noteikumu Nr. 737 “Attīstības </w:t>
            </w:r>
            <w:r w:rsidRPr="009841AB">
              <w:rPr>
                <w:lang w:eastAsia="en-US"/>
              </w:rPr>
              <w:lastRenderedPageBreak/>
              <w:t>plānošanas dokumentu izstrādes un ietekmes izvērtēšanas noteikumi” 20.4. apakšpunktam.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379D073" w14:textId="77777777" w:rsidR="00501026" w:rsidRPr="009841AB" w:rsidRDefault="00501026" w:rsidP="00501026">
            <w:pPr>
              <w:pStyle w:val="naisc"/>
              <w:spacing w:before="0" w:after="0"/>
              <w:jc w:val="both"/>
              <w:rPr>
                <w:b/>
              </w:rPr>
            </w:pPr>
            <w:r w:rsidRPr="009841AB">
              <w:rPr>
                <w:b/>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233ED127" w14:textId="77777777" w:rsidR="00501026" w:rsidRPr="009841AB" w:rsidRDefault="00501026" w:rsidP="00501026">
            <w:r w:rsidRPr="009841AB">
              <w:t xml:space="preserve">Lūdzam skatīt </w:t>
            </w:r>
            <w:proofErr w:type="spellStart"/>
            <w:r w:rsidRPr="009841AB">
              <w:t>protokollēmum</w:t>
            </w:r>
            <w:r w:rsidR="009166B7">
              <w:t>a</w:t>
            </w:r>
            <w:proofErr w:type="spellEnd"/>
            <w:r w:rsidR="009166B7">
              <w:t xml:space="preserve"> projektu</w:t>
            </w:r>
          </w:p>
        </w:tc>
      </w:tr>
      <w:tr w:rsidR="00F50C5D" w:rsidRPr="009841AB" w14:paraId="5D35ED7E" w14:textId="77777777" w:rsidTr="15B1D617">
        <w:tc>
          <w:tcPr>
            <w:tcW w:w="14451" w:type="dxa"/>
            <w:gridSpan w:val="6"/>
            <w:tcBorders>
              <w:left w:val="single" w:sz="6" w:space="0" w:color="000000" w:themeColor="text1"/>
              <w:bottom w:val="single" w:sz="4" w:space="0" w:color="auto"/>
            </w:tcBorders>
            <w:shd w:val="clear" w:color="auto" w:fill="auto"/>
          </w:tcPr>
          <w:p w14:paraId="2EFA8E68" w14:textId="77777777" w:rsidR="00F50C5D" w:rsidRPr="009841AB" w:rsidRDefault="00F50C5D" w:rsidP="00501026">
            <w:pPr>
              <w:rPr>
                <w:b/>
                <w:highlight w:val="green"/>
                <w:lang w:eastAsia="en-US"/>
              </w:rPr>
            </w:pPr>
            <w:r w:rsidRPr="008B6A9F">
              <w:rPr>
                <w:b/>
                <w:lang w:eastAsia="en-US"/>
              </w:rPr>
              <w:t>Tieslietu ministrijas 07.05.2021. atzinums:</w:t>
            </w:r>
          </w:p>
        </w:tc>
      </w:tr>
      <w:tr w:rsidR="00F50C5D" w:rsidRPr="009841AB" w14:paraId="11D05AC9"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8E4E013" w14:textId="77777777" w:rsidR="00F50C5D" w:rsidRPr="009841AB" w:rsidRDefault="00AB7877" w:rsidP="00501026">
            <w:pPr>
              <w:pStyle w:val="naisc"/>
              <w:spacing w:before="0" w:after="0"/>
              <w:rPr>
                <w:highlight w:val="green"/>
              </w:rPr>
            </w:pPr>
            <w:r w:rsidRPr="008B6A9F">
              <w:t>71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F7528EB" w14:textId="77777777" w:rsidR="00F50C5D" w:rsidRPr="009841AB" w:rsidRDefault="00F50C5D" w:rsidP="00501026">
            <w:pPr>
              <w:pStyle w:val="naisc"/>
              <w:spacing w:before="0" w:after="0"/>
              <w:jc w:val="left"/>
              <w:rPr>
                <w:highlight w:val="green"/>
              </w:rPr>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CAFAE7D" w14:textId="77777777" w:rsidR="00F50C5D" w:rsidRPr="009841AB" w:rsidRDefault="00EC16B0" w:rsidP="00501026">
            <w:pPr>
              <w:tabs>
                <w:tab w:val="left" w:pos="720"/>
              </w:tabs>
              <w:contextualSpacing/>
              <w:jc w:val="both"/>
              <w:rPr>
                <w:highlight w:val="green"/>
                <w:lang w:eastAsia="en-US"/>
              </w:rPr>
            </w:pPr>
            <w:r w:rsidRPr="008B6A9F">
              <w:rPr>
                <w:lang w:eastAsia="en-US"/>
              </w:rPr>
              <w:t>Iebilstam par rīkojuma projekta 4.punktā dotajam uzdevumam, jo saskaņā ar rīkojuma projekta 2.punktu atbildīgā par pamatnostādņu īstenošanu ir noteikta Vides aizsardzības un reģionālās attīstības ministrija. Situācijā, kad hierarhiski augstākam plānošanas dokumentam pakārtotus dokumentus izstrādās citas nozaru ministrijas, veidosies lielāka savstarpēji nekoordinētu iniciatīvu un tam paredzētā finansējuma plānošanas iespējamība. Ņemot vērā to, ka daudzas iniciatīvas plānots finansēt no ārvalstu finanšu instrumentiem, šāds risks nav pieļaujams.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AC5D9A4" w14:textId="77777777" w:rsidR="00F50C5D" w:rsidRPr="009841AB" w:rsidRDefault="067390E9" w:rsidP="00501026">
            <w:pPr>
              <w:pStyle w:val="naisc"/>
              <w:spacing w:before="0" w:after="0"/>
              <w:jc w:val="both"/>
              <w:rPr>
                <w:b/>
                <w:highlight w:val="green"/>
              </w:rPr>
            </w:pPr>
            <w:r w:rsidRPr="008B6A9F">
              <w:rPr>
                <w:b/>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633B0F17" w14:textId="77777777" w:rsidR="00F50C5D" w:rsidRPr="009841AB" w:rsidRDefault="009166B7" w:rsidP="00501026">
            <w:pPr>
              <w:rPr>
                <w:highlight w:val="green"/>
              </w:rPr>
            </w:pPr>
            <w:r w:rsidRPr="008B6A9F">
              <w:t xml:space="preserve">Lūdzam skatīt </w:t>
            </w:r>
            <w:r w:rsidR="008B6A9F" w:rsidRPr="008B6A9F">
              <w:t>MK rīkojuma</w:t>
            </w:r>
            <w:r w:rsidRPr="008B6A9F">
              <w:t xml:space="preserve"> projektu</w:t>
            </w:r>
          </w:p>
          <w:p w14:paraId="6BBECD21" w14:textId="77777777" w:rsidR="00F50C5D" w:rsidRPr="009841AB" w:rsidRDefault="00F50C5D" w:rsidP="00501026">
            <w:pPr>
              <w:rPr>
                <w:highlight w:val="green"/>
              </w:rPr>
            </w:pPr>
          </w:p>
        </w:tc>
      </w:tr>
      <w:tr w:rsidR="00226A31" w:rsidRPr="009841AB" w14:paraId="49EE4D4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13784CD" w14:textId="77777777" w:rsidR="00226A31" w:rsidRPr="009841AB" w:rsidRDefault="00226A31" w:rsidP="00226A31">
            <w:pPr>
              <w:tabs>
                <w:tab w:val="left" w:pos="720"/>
              </w:tabs>
              <w:contextualSpacing/>
              <w:rPr>
                <w:b/>
                <w:bCs/>
                <w:lang w:eastAsia="en-US"/>
              </w:rPr>
            </w:pPr>
            <w:r w:rsidRPr="009841AB">
              <w:rPr>
                <w:b/>
                <w:bCs/>
                <w:lang w:eastAsia="en-US"/>
              </w:rPr>
              <w:t>Latvijas Pašvaldību savienības 28.01.2021. atzinums:</w:t>
            </w:r>
          </w:p>
        </w:tc>
      </w:tr>
      <w:tr w:rsidR="00226A31" w:rsidRPr="009841AB" w14:paraId="1DDF674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617FF27" w14:textId="77777777" w:rsidR="00226A31" w:rsidRPr="009841AB" w:rsidRDefault="00AB7877" w:rsidP="00226A31">
            <w:pPr>
              <w:pStyle w:val="naisc"/>
              <w:spacing w:before="0" w:after="0"/>
            </w:pPr>
            <w:r>
              <w:t>72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1A4565A"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891BD12" w14:textId="77777777" w:rsidR="00EF67F5" w:rsidRDefault="00EF67F5" w:rsidP="00226A31">
            <w:pPr>
              <w:tabs>
                <w:tab w:val="left" w:pos="720"/>
              </w:tabs>
              <w:contextualSpacing/>
              <w:jc w:val="both"/>
              <w:rPr>
                <w:lang w:eastAsia="en-US"/>
              </w:rPr>
            </w:pPr>
            <w:r>
              <w:rPr>
                <w:lang w:eastAsia="en-US"/>
              </w:rPr>
              <w:t>(</w:t>
            </w:r>
            <w:r w:rsidR="00337B46">
              <w:rPr>
                <w:lang w:eastAsia="en-US"/>
              </w:rPr>
              <w:t>I</w:t>
            </w:r>
            <w:r>
              <w:rPr>
                <w:lang w:eastAsia="en-US"/>
              </w:rPr>
              <w:t>epriekš izziņas 52. punkts)</w:t>
            </w:r>
          </w:p>
          <w:p w14:paraId="1A0F377B" w14:textId="77777777" w:rsidR="00226A31" w:rsidRPr="009841AB" w:rsidRDefault="00226A31" w:rsidP="00226A31">
            <w:pPr>
              <w:tabs>
                <w:tab w:val="left" w:pos="720"/>
              </w:tabs>
              <w:contextualSpacing/>
              <w:jc w:val="both"/>
              <w:rPr>
                <w:lang w:eastAsia="en-US"/>
              </w:rPr>
            </w:pPr>
            <w:r w:rsidRPr="009841AB">
              <w:rPr>
                <w:lang w:eastAsia="en-US"/>
              </w:rPr>
              <w:t>1. Lūgums papildināt pamatnostādnes Ievada daļā:</w:t>
            </w:r>
          </w:p>
          <w:p w14:paraId="54D0184A" w14:textId="77777777" w:rsidR="00226A31" w:rsidRPr="009841AB" w:rsidRDefault="00226A31" w:rsidP="00226A31">
            <w:pPr>
              <w:tabs>
                <w:tab w:val="left" w:pos="720"/>
              </w:tabs>
              <w:contextualSpacing/>
              <w:jc w:val="both"/>
              <w:rPr>
                <w:b/>
                <w:bCs/>
                <w:lang w:eastAsia="en-US"/>
              </w:rPr>
            </w:pPr>
            <w:r w:rsidRPr="009841AB">
              <w:rPr>
                <w:lang w:eastAsia="en-US"/>
              </w:rPr>
              <w:t xml:space="preserve">Latvijas pašvaldībās ir ļoti atšķirīga situācija IKT jomā. Katra no pašvaldībām pati veido savu infrastruktūru, pati izvēlas </w:t>
            </w:r>
            <w:proofErr w:type="spellStart"/>
            <w:r w:rsidRPr="009841AB">
              <w:rPr>
                <w:lang w:eastAsia="en-US"/>
              </w:rPr>
              <w:t>programmrisinājumus</w:t>
            </w:r>
            <w:proofErr w:type="spellEnd"/>
            <w:r w:rsidRPr="009841AB">
              <w:rPr>
                <w:lang w:eastAsia="en-US"/>
              </w:rPr>
              <w:t xml:space="preserve"> un savu iespēju robežās nodrošina arī elektroniskos pakalpojumus. Risinājumu izvēle notiek atbilstoši pašvaldību iespējām un kompetencei vai brīvā tirgus nosacījumiem, tos nevieno vienots redzējums un kopīga resursu plānošana un izmantošana. Unikāla situācija ir pašvaldību funkciju automatizēšanā, kas vēsturiski izveidojusies jau ļoti sen (vēl 90os gados) un pamatā ir balstīta uz viena komersanta risinājumiem, kuriem brīvajā tirgū nav alternatīvu. Atšķirīgā ekonomiskā situācija reģionos un pieejamie elektronisko sakaru pakalpojumu apjomi rada atšķirības arī pašvaldību spējā attīstīt savu IKT infrastruktūru, pretendēt uz finansējuma saņemšanu no dažādiem ES fondiem un programmām.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4746E2C" w14:textId="77777777" w:rsidR="00962AF6" w:rsidRPr="00F56B1C" w:rsidRDefault="00962AF6" w:rsidP="00962AF6">
            <w:pPr>
              <w:pStyle w:val="naisc"/>
              <w:jc w:val="both"/>
              <w:rPr>
                <w:b/>
                <w:bCs/>
              </w:rPr>
            </w:pPr>
            <w:r>
              <w:rPr>
                <w:b/>
                <w:bCs/>
              </w:rPr>
              <w:t>Panākta vienošanās</w:t>
            </w:r>
          </w:p>
          <w:p w14:paraId="2178D42D" w14:textId="77777777" w:rsidR="005A1311" w:rsidRPr="009841AB" w:rsidRDefault="005A1311" w:rsidP="00226A31">
            <w:pPr>
              <w:pStyle w:val="naisc"/>
              <w:spacing w:before="0" w:after="0"/>
              <w:jc w:val="both"/>
              <w:rPr>
                <w:bCs/>
              </w:rPr>
            </w:pPr>
            <w:r w:rsidRPr="009841AB">
              <w:rPr>
                <w:bCs/>
              </w:rPr>
              <w:t xml:space="preserve">VARAM </w:t>
            </w:r>
            <w:r w:rsidR="008F7C1F" w:rsidRPr="009841AB">
              <w:rPr>
                <w:bCs/>
              </w:rPr>
              <w:t xml:space="preserve">pēc būtības </w:t>
            </w:r>
            <w:r w:rsidRPr="009841AB">
              <w:rPr>
                <w:bCs/>
              </w:rPr>
              <w:t>piekrīt LPS spriedumiem</w:t>
            </w:r>
            <w:r w:rsidR="00867D54" w:rsidRPr="009841AB">
              <w:rPr>
                <w:bCs/>
              </w:rPr>
              <w:t xml:space="preserve"> par atšķirībām pašvaldībās un </w:t>
            </w:r>
            <w:r w:rsidR="0032562C" w:rsidRPr="009841AB">
              <w:rPr>
                <w:bCs/>
              </w:rPr>
              <w:t>dažādu fina</w:t>
            </w:r>
            <w:r w:rsidR="008469E8" w:rsidRPr="009841AB">
              <w:rPr>
                <w:bCs/>
              </w:rPr>
              <w:t>nšu instrumentu piesaisti</w:t>
            </w:r>
            <w:r w:rsidRPr="009841AB">
              <w:rPr>
                <w:bCs/>
              </w:rPr>
              <w:t xml:space="preserve">, tomēr </w:t>
            </w:r>
            <w:r w:rsidR="00A7694E" w:rsidRPr="009841AB">
              <w:rPr>
                <w:bCs/>
              </w:rPr>
              <w:t xml:space="preserve">pamatnostādņu </w:t>
            </w:r>
            <w:r w:rsidRPr="009841AB">
              <w:rPr>
                <w:bCs/>
              </w:rPr>
              <w:t>dokumenta formāta dēļ nevar i</w:t>
            </w:r>
            <w:r w:rsidR="00CE33E5" w:rsidRPr="009841AB">
              <w:rPr>
                <w:bCs/>
              </w:rPr>
              <w:t xml:space="preserve">zvērst šo tēmu </w:t>
            </w:r>
            <w:r w:rsidRPr="009841AB">
              <w:rPr>
                <w:bCs/>
              </w:rPr>
              <w:t>pamatnostādņu ievada sadaļā. VARAM norāda, ka pamatnostādņu mērķis nav dot tiešas norādes par finanšu instrumentu pielietojumu konkr</w:t>
            </w:r>
            <w:r w:rsidR="003F4E64" w:rsidRPr="009841AB">
              <w:rPr>
                <w:bCs/>
              </w:rPr>
              <w:t>ē</w:t>
            </w:r>
            <w:r w:rsidRPr="009841AB">
              <w:rPr>
                <w:bCs/>
              </w:rPr>
              <w:t>tām aktivitātēm</w:t>
            </w:r>
          </w:p>
          <w:p w14:paraId="33707839" w14:textId="77777777" w:rsidR="0080740B" w:rsidRPr="009841AB" w:rsidRDefault="0080740B" w:rsidP="00226A31">
            <w:pPr>
              <w:pStyle w:val="naisc"/>
              <w:spacing w:before="0" w:after="0"/>
              <w:jc w:val="both"/>
              <w:rPr>
                <w:bCs/>
              </w:rPr>
            </w:pPr>
          </w:p>
          <w:p w14:paraId="7CC0ED2F" w14:textId="77777777" w:rsidR="0080740B" w:rsidRPr="009841AB" w:rsidRDefault="0080740B" w:rsidP="00226A31">
            <w:pPr>
              <w:pStyle w:val="naisc"/>
              <w:spacing w:before="0" w:after="0"/>
              <w:jc w:val="both"/>
              <w:rPr>
                <w:bCs/>
              </w:rPr>
            </w:pPr>
          </w:p>
        </w:tc>
        <w:tc>
          <w:tcPr>
            <w:tcW w:w="3497" w:type="dxa"/>
            <w:tcBorders>
              <w:top w:val="single" w:sz="4" w:space="0" w:color="auto"/>
              <w:left w:val="single" w:sz="4" w:space="0" w:color="auto"/>
              <w:bottom w:val="single" w:sz="4" w:space="0" w:color="auto"/>
            </w:tcBorders>
            <w:shd w:val="clear" w:color="auto" w:fill="auto"/>
          </w:tcPr>
          <w:p w14:paraId="1058130C" w14:textId="77777777" w:rsidR="00226A31" w:rsidRPr="009841AB" w:rsidRDefault="00226A31" w:rsidP="00226A31"/>
        </w:tc>
      </w:tr>
      <w:tr w:rsidR="00226A31" w:rsidRPr="009841AB" w14:paraId="315DB48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E8A30A4" w14:textId="77777777" w:rsidR="00226A31" w:rsidRPr="009841AB" w:rsidRDefault="008A4FDD" w:rsidP="00226A31">
            <w:pPr>
              <w:pStyle w:val="naisc"/>
              <w:spacing w:before="0" w:after="0"/>
            </w:pPr>
            <w:r>
              <w:t>73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678C43E"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20D4EFF" w14:textId="77777777" w:rsidR="00226A31" w:rsidRPr="009841AB" w:rsidRDefault="00226A31" w:rsidP="00226A31">
            <w:pPr>
              <w:tabs>
                <w:tab w:val="left" w:pos="720"/>
              </w:tabs>
              <w:contextualSpacing/>
              <w:jc w:val="both"/>
              <w:rPr>
                <w:lang w:eastAsia="en-US"/>
              </w:rPr>
            </w:pPr>
            <w:r w:rsidRPr="009841AB">
              <w:rPr>
                <w:lang w:eastAsia="en-US"/>
              </w:rPr>
              <w:t>2. Digitālā transformācija Latvijas mērogā ir nepieciešama, tā ir uz izaugsmi vērsts process, bet īstenojot šīs pamatnostādnes būtiskākais ir nodrošināt digitālo pieejamību ne tikai blīvāk apdzīvotās teritorijās, bet arī lauku reģionos.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39C699F" w14:textId="77777777" w:rsidR="001D56C0" w:rsidRPr="00F56B1C" w:rsidRDefault="001D56C0" w:rsidP="00226A31">
            <w:pPr>
              <w:pStyle w:val="naisc"/>
              <w:spacing w:before="0" w:after="0"/>
              <w:jc w:val="both"/>
              <w:rPr>
                <w:b/>
                <w:bCs/>
              </w:rPr>
            </w:pPr>
            <w:r w:rsidRPr="009841AB">
              <w:rPr>
                <w:b/>
                <w:bCs/>
              </w:rPr>
              <w:t>Ņemts vērā</w:t>
            </w:r>
          </w:p>
          <w:p w14:paraId="028CE291" w14:textId="77777777" w:rsidR="00226A31" w:rsidRPr="009841AB" w:rsidRDefault="001D56C0" w:rsidP="00226A31">
            <w:pPr>
              <w:pStyle w:val="naisc"/>
              <w:spacing w:before="0" w:after="0"/>
              <w:jc w:val="both"/>
            </w:pPr>
            <w:r w:rsidRPr="009841AB">
              <w:t>Digitālā pieejamība skatīta sadaļā 4.3. un uzdevumā 4.3.1.1.-4. Nākamās paaudzes tīkla izveide lauku teritorijām</w:t>
            </w:r>
          </w:p>
        </w:tc>
        <w:tc>
          <w:tcPr>
            <w:tcW w:w="3497" w:type="dxa"/>
            <w:tcBorders>
              <w:top w:val="single" w:sz="4" w:space="0" w:color="auto"/>
              <w:left w:val="single" w:sz="4" w:space="0" w:color="auto"/>
              <w:bottom w:val="single" w:sz="4" w:space="0" w:color="auto"/>
            </w:tcBorders>
            <w:shd w:val="clear" w:color="auto" w:fill="auto"/>
          </w:tcPr>
          <w:p w14:paraId="71DC7411" w14:textId="77777777" w:rsidR="00226A31" w:rsidRPr="009841AB" w:rsidRDefault="00B66F7C" w:rsidP="00226A31">
            <w:r w:rsidRPr="009841AB">
              <w:t xml:space="preserve">Lūdzam skatīt </w:t>
            </w:r>
            <w:proofErr w:type="spellStart"/>
            <w:r w:rsidRPr="009841AB">
              <w:t>apakšsadaļu</w:t>
            </w:r>
            <w:proofErr w:type="spellEnd"/>
            <w:r w:rsidRPr="009841AB">
              <w:t xml:space="preserve"> 4.3.</w:t>
            </w:r>
          </w:p>
        </w:tc>
      </w:tr>
      <w:tr w:rsidR="003B5CC4" w:rsidRPr="009841AB" w14:paraId="0671434B" w14:textId="77777777" w:rsidTr="006C37ED">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2E27ADF" w14:textId="77777777" w:rsidR="003B5CC4" w:rsidRPr="009841AB" w:rsidRDefault="008A4FDD" w:rsidP="003B5CC4">
            <w:pPr>
              <w:pStyle w:val="naisc"/>
              <w:spacing w:before="0" w:after="0"/>
            </w:pPr>
            <w:r>
              <w:t>74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590BE2F" w14:textId="77777777" w:rsidR="003B5CC4" w:rsidRPr="009841AB" w:rsidRDefault="003B5CC4" w:rsidP="003B5CC4">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CDD16F8" w14:textId="77777777" w:rsidR="003B5CC4" w:rsidRPr="009841AB" w:rsidRDefault="003B5CC4" w:rsidP="003B5CC4">
            <w:pPr>
              <w:tabs>
                <w:tab w:val="left" w:pos="720"/>
              </w:tabs>
              <w:contextualSpacing/>
              <w:jc w:val="both"/>
              <w:rPr>
                <w:lang w:eastAsia="en-US"/>
              </w:rPr>
            </w:pPr>
            <w:r w:rsidRPr="009841AB">
              <w:rPr>
                <w:lang w:eastAsia="en-US"/>
              </w:rPr>
              <w:t>3. Plānojot būtiski uzlabot digitālo publisko pakalpojumu pieejamību un digitālo prasmju attīstību noteikti lielāka uzmanība jāpievērš lauku reģioniem, lai vēl vairāk neierobežotu šo reģionu attīstības iespējas. Nav iespējams pilnveidot digitālās prasmes un sasniegt citus pamatnostādnēs norādītos mērķus lauku reģionos kamēr šeit ir nepietiekama digitālās infrastruktūras attīstība.</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8C718B6" w14:textId="13DA28CE" w:rsidR="003B5CC4" w:rsidRPr="00962AF6" w:rsidRDefault="00962AF6" w:rsidP="00962AF6">
            <w:pPr>
              <w:pStyle w:val="naisc"/>
              <w:jc w:val="both"/>
              <w:rPr>
                <w:b/>
                <w:bCs/>
              </w:rPr>
            </w:pPr>
            <w:r>
              <w:rPr>
                <w:b/>
                <w:bCs/>
              </w:rPr>
              <w:t>Panākta vienošanās</w:t>
            </w:r>
            <w:r w:rsidR="003B5CC4" w:rsidRPr="009841AB">
              <w:rPr>
                <w:color w:val="000000"/>
              </w:rPr>
              <w:br/>
              <w:t>RR4.3.-1-1 paredz veicināt platjoslas tīklu izmantošanu. Vidējās un pēdējās jūdzes attīstības pasākumi, tostarp valsts atbalsts, tiks izvērtēti un iekļauti platjoslas attīstības plānā laika posmam no 2021. līdz 2027.gadam. Platjoslas plāns ietvers investīciju nepietiekamības novērtējumu, pamatojoties uz esošās privātās un publiskās infrastruktūras un pakalpojumu kvalitātes kartēšanu, kā arī plānotās valsts intervences pamatojumu, balstītu uz ilgtspējīgiem ieguldījumu modeļiem.</w:t>
            </w:r>
          </w:p>
        </w:tc>
        <w:tc>
          <w:tcPr>
            <w:tcW w:w="3497" w:type="dxa"/>
            <w:tcBorders>
              <w:top w:val="single" w:sz="4" w:space="0" w:color="auto"/>
              <w:left w:val="single" w:sz="4" w:space="0" w:color="auto"/>
              <w:bottom w:val="single" w:sz="4" w:space="0" w:color="auto"/>
            </w:tcBorders>
            <w:shd w:val="clear" w:color="auto" w:fill="auto"/>
          </w:tcPr>
          <w:p w14:paraId="690BD82E" w14:textId="77777777" w:rsidR="003B5CC4" w:rsidRPr="009841AB" w:rsidRDefault="003B5CC4" w:rsidP="003B5CC4"/>
        </w:tc>
      </w:tr>
      <w:tr w:rsidR="003B5CC4" w:rsidRPr="009841AB" w14:paraId="383C8646" w14:textId="77777777" w:rsidTr="006C37ED">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22F3AE9" w14:textId="77777777" w:rsidR="003B5CC4" w:rsidRPr="009841AB" w:rsidRDefault="008A4FDD" w:rsidP="003B5CC4">
            <w:pPr>
              <w:pStyle w:val="naisc"/>
              <w:spacing w:before="0" w:after="0"/>
            </w:pPr>
            <w:r>
              <w:lastRenderedPageBreak/>
              <w:t>75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8F3CBFF" w14:textId="77777777" w:rsidR="003B5CC4" w:rsidRPr="009841AB" w:rsidRDefault="003B5CC4" w:rsidP="003B5CC4">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BE5B6D3" w14:textId="77777777" w:rsidR="003B5CC4" w:rsidRPr="009841AB" w:rsidRDefault="003B5CC4" w:rsidP="003B5CC4">
            <w:pPr>
              <w:tabs>
                <w:tab w:val="left" w:pos="720"/>
              </w:tabs>
              <w:contextualSpacing/>
              <w:jc w:val="both"/>
              <w:rPr>
                <w:lang w:eastAsia="en-US"/>
              </w:rPr>
            </w:pPr>
            <w:r w:rsidRPr="009841AB">
              <w:rPr>
                <w:lang w:eastAsia="en-US"/>
              </w:rPr>
              <w:t>4. Platjoslas infrastruktūras pieejamība ir priekšnosacījums digitālās transformācijas īstenošanai, bet ir svarīgi nodrošināt ne tikai teorētisku, bet arī praktisku šāda interneta pieejamību patērētājiem. Kā vienu no negatīvajiem piemēriem varētu minēt LVRTC saraktos interneta optikas tīklus, kuru izmantošana pakalpojuma sniedzējiem un patērētājiem sanāk neracionāli dārgi un neviens īsti nav spējīgs tos izmantot.</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26A3978B" w14:textId="75962E07" w:rsidR="003B5CC4" w:rsidRPr="006C37ED" w:rsidRDefault="006C37ED" w:rsidP="006C37ED">
            <w:pPr>
              <w:pStyle w:val="naisc"/>
              <w:jc w:val="both"/>
              <w:rPr>
                <w:b/>
                <w:bCs/>
              </w:rPr>
            </w:pPr>
            <w:r>
              <w:rPr>
                <w:b/>
                <w:bCs/>
              </w:rPr>
              <w:t>Panākta vienošanās</w:t>
            </w:r>
            <w:r w:rsidR="003B5CC4" w:rsidRPr="009841AB">
              <w:rPr>
                <w:b/>
                <w:bCs/>
                <w:color w:val="000000"/>
              </w:rPr>
              <w:br/>
            </w:r>
            <w:r w:rsidR="003B5CC4" w:rsidRPr="009841AB">
              <w:rPr>
                <w:color w:val="000000"/>
              </w:rPr>
              <w:t>Vidējās un pēdējās jūdzes attīstības pasākumi, tostarp valsts atbalsts, tiks izvērtēti un iekļauti platjoslas attīstības plānā laika posmam no 2021. līdz 2027.gadam. Platjoslas plāns ietvers investīciju nepietiekamības novērtējumu, pamatojoties uz esošās privātās un publiskās infrastruktūras un pakalpojumu kvalitātes kartēšanu, kā arī plānotās valsts intervences pamatojumu, balstītu uz ilgtspējīgiem ieguldījumu modeļiem.</w:t>
            </w:r>
          </w:p>
        </w:tc>
        <w:tc>
          <w:tcPr>
            <w:tcW w:w="3497" w:type="dxa"/>
            <w:tcBorders>
              <w:top w:val="single" w:sz="4" w:space="0" w:color="auto"/>
              <w:left w:val="single" w:sz="4" w:space="0" w:color="auto"/>
              <w:bottom w:val="single" w:sz="4" w:space="0" w:color="auto"/>
            </w:tcBorders>
            <w:shd w:val="clear" w:color="auto" w:fill="auto"/>
          </w:tcPr>
          <w:p w14:paraId="6CF96FA2" w14:textId="77777777" w:rsidR="003B5CC4" w:rsidRPr="009841AB" w:rsidRDefault="003B5CC4" w:rsidP="003B5CC4"/>
        </w:tc>
      </w:tr>
      <w:tr w:rsidR="00226A31" w:rsidRPr="009841AB" w14:paraId="5A44299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4F7FEFB" w14:textId="77777777" w:rsidR="00226A31" w:rsidRPr="009841AB" w:rsidRDefault="008A4FDD" w:rsidP="00226A31">
            <w:pPr>
              <w:pStyle w:val="naisc"/>
              <w:spacing w:before="0" w:after="0"/>
            </w:pPr>
            <w:r>
              <w:t>76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8FD849A"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0D4E23B" w14:textId="77777777" w:rsidR="00226A31" w:rsidRPr="009841AB" w:rsidRDefault="00226A31" w:rsidP="00226A31">
            <w:pPr>
              <w:tabs>
                <w:tab w:val="left" w:pos="720"/>
              </w:tabs>
              <w:contextualSpacing/>
              <w:jc w:val="both"/>
              <w:rPr>
                <w:lang w:eastAsia="en-US"/>
              </w:rPr>
            </w:pPr>
            <w:r w:rsidRPr="009841AB">
              <w:rPr>
                <w:lang w:eastAsia="en-US"/>
              </w:rPr>
              <w:t xml:space="preserve">5. Arī pamatnostādnēs minētais Latvijas komersantu nepilnīgi izmantotais </w:t>
            </w:r>
            <w:proofErr w:type="spellStart"/>
            <w:r w:rsidRPr="009841AB">
              <w:rPr>
                <w:lang w:eastAsia="en-US"/>
              </w:rPr>
              <w:t>digitalizācijas</w:t>
            </w:r>
            <w:proofErr w:type="spellEnd"/>
            <w:r w:rsidRPr="009841AB">
              <w:rPr>
                <w:lang w:eastAsia="en-US"/>
              </w:rPr>
              <w:t xml:space="preserve"> potenciāls ir saistīts ar Latvijas lauku reģionos bāzēto uzņēmumu ierobežotajām </w:t>
            </w:r>
            <w:proofErr w:type="spellStart"/>
            <w:r w:rsidRPr="009841AB">
              <w:rPr>
                <w:lang w:eastAsia="en-US"/>
              </w:rPr>
              <w:t>digitalizācijas</w:t>
            </w:r>
            <w:proofErr w:type="spellEnd"/>
            <w:r w:rsidRPr="009841AB">
              <w:rPr>
                <w:lang w:eastAsia="en-US"/>
              </w:rPr>
              <w:t xml:space="preserve"> iespējām, kas negatīvi ietekmē Latvijas kopīgos statistikas rādītājus.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F48B40A" w14:textId="79B4E5AD" w:rsidR="00A251AA" w:rsidRPr="006C37ED" w:rsidRDefault="00A251AA" w:rsidP="00226A31">
            <w:pPr>
              <w:pStyle w:val="naisc"/>
              <w:spacing w:before="0" w:after="0"/>
              <w:jc w:val="both"/>
              <w:rPr>
                <w:b/>
              </w:rPr>
            </w:pPr>
            <w:r w:rsidRPr="009841AB">
              <w:rPr>
                <w:b/>
              </w:rPr>
              <w:t>Ņemts vērā</w:t>
            </w:r>
          </w:p>
          <w:p w14:paraId="732F8DBD" w14:textId="77777777" w:rsidR="00226A31" w:rsidRPr="009841AB" w:rsidRDefault="00A251AA" w:rsidP="00226A31">
            <w:pPr>
              <w:pStyle w:val="naisc"/>
              <w:spacing w:before="0" w:after="0"/>
              <w:jc w:val="both"/>
              <w:rPr>
                <w:bCs/>
              </w:rPr>
            </w:pPr>
            <w:r w:rsidRPr="009841AB">
              <w:rPr>
                <w:bCs/>
              </w:rPr>
              <w:t xml:space="preserve">Rīcības virzienā 4.4.11. Komercdarbības </w:t>
            </w:r>
            <w:proofErr w:type="spellStart"/>
            <w:r w:rsidRPr="009841AB">
              <w:rPr>
                <w:bCs/>
              </w:rPr>
              <w:t>digitalizācijas</w:t>
            </w:r>
            <w:proofErr w:type="spellEnd"/>
            <w:r w:rsidRPr="009841AB">
              <w:rPr>
                <w:bCs/>
              </w:rPr>
              <w:t xml:space="preserve"> veicināšana papildināta ar atsauci</w:t>
            </w:r>
          </w:p>
        </w:tc>
        <w:tc>
          <w:tcPr>
            <w:tcW w:w="3497" w:type="dxa"/>
            <w:tcBorders>
              <w:top w:val="single" w:sz="4" w:space="0" w:color="auto"/>
              <w:left w:val="single" w:sz="4" w:space="0" w:color="auto"/>
              <w:bottom w:val="single" w:sz="4" w:space="0" w:color="auto"/>
            </w:tcBorders>
            <w:shd w:val="clear" w:color="auto" w:fill="auto"/>
          </w:tcPr>
          <w:p w14:paraId="025D8F03" w14:textId="77777777" w:rsidR="00226A31" w:rsidRPr="009841AB" w:rsidRDefault="00A251AA" w:rsidP="00226A31">
            <w:pPr>
              <w:rPr>
                <w:bCs/>
              </w:rPr>
            </w:pPr>
            <w:r w:rsidRPr="009841AB">
              <w:rPr>
                <w:bCs/>
              </w:rPr>
              <w:t xml:space="preserve">Lūdzam skatīt </w:t>
            </w:r>
            <w:proofErr w:type="spellStart"/>
            <w:r w:rsidRPr="009841AB">
              <w:rPr>
                <w:bCs/>
              </w:rPr>
              <w:t>apakšsadaļu</w:t>
            </w:r>
            <w:proofErr w:type="spellEnd"/>
            <w:r w:rsidRPr="009841AB">
              <w:rPr>
                <w:bCs/>
              </w:rPr>
              <w:t xml:space="preserve"> 4.4.1</w:t>
            </w:r>
            <w:r w:rsidR="00E75C24" w:rsidRPr="009841AB">
              <w:rPr>
                <w:bCs/>
              </w:rPr>
              <w:t>1.</w:t>
            </w:r>
          </w:p>
        </w:tc>
      </w:tr>
      <w:tr w:rsidR="00226A31" w:rsidRPr="009841AB" w14:paraId="58A6CF1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3FCC5AE" w14:textId="77777777" w:rsidR="00226A31" w:rsidRPr="009841AB" w:rsidRDefault="008A4FDD" w:rsidP="00226A31">
            <w:pPr>
              <w:pStyle w:val="naisc"/>
              <w:spacing w:before="0" w:after="0"/>
            </w:pPr>
            <w:r>
              <w:t>77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3384854"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13B871E" w14:textId="77777777" w:rsidR="00226A31" w:rsidRPr="009841AB" w:rsidRDefault="00226A31" w:rsidP="00226A31">
            <w:pPr>
              <w:tabs>
                <w:tab w:val="left" w:pos="720"/>
              </w:tabs>
              <w:contextualSpacing/>
              <w:jc w:val="both"/>
              <w:rPr>
                <w:lang w:eastAsia="en-US"/>
              </w:rPr>
            </w:pPr>
            <w:r w:rsidRPr="009841AB">
              <w:rPr>
                <w:lang w:eastAsia="en-US"/>
              </w:rPr>
              <w:t xml:space="preserve">6. Ieviešot pamatnostādnēs norādītos digitālās transformācijas mērķus, nedrīkst aizmirst par to iedzīvotāju daļu, kuri joprojām nespēs iekļauties šajā </w:t>
            </w:r>
            <w:proofErr w:type="spellStart"/>
            <w:r w:rsidRPr="009841AB">
              <w:rPr>
                <w:lang w:eastAsia="en-US"/>
              </w:rPr>
              <w:t>digitalizācijas</w:t>
            </w:r>
            <w:proofErr w:type="spellEnd"/>
            <w:r w:rsidRPr="009841AB">
              <w:rPr>
                <w:lang w:eastAsia="en-US"/>
              </w:rPr>
              <w:t xml:space="preserve"> pasaulē (seniori, cilvēki ar īpašām vajadzībām utt.).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3BB8A7A" w14:textId="77777777" w:rsidR="008D5839" w:rsidRPr="009841AB" w:rsidRDefault="00AE4949" w:rsidP="00226A31">
            <w:pPr>
              <w:pStyle w:val="naisc"/>
              <w:spacing w:before="0" w:after="0"/>
              <w:jc w:val="both"/>
              <w:rPr>
                <w:b/>
              </w:rPr>
            </w:pPr>
            <w:r w:rsidRPr="009841AB">
              <w:rPr>
                <w:b/>
              </w:rPr>
              <w:t>Ņemts vērā</w:t>
            </w:r>
          </w:p>
          <w:p w14:paraId="1CBC3879" w14:textId="77777777" w:rsidR="008D5839" w:rsidRPr="009841AB" w:rsidRDefault="008D5839" w:rsidP="00226A31">
            <w:pPr>
              <w:pStyle w:val="naisc"/>
              <w:spacing w:before="0" w:after="0"/>
              <w:jc w:val="both"/>
              <w:rPr>
                <w:b/>
              </w:rPr>
            </w:pPr>
            <w:r w:rsidRPr="009841AB">
              <w:t xml:space="preserve">Pamatnostādņu projekta 4.4.7. un 4.4.8.sadaļas </w:t>
            </w:r>
            <w:r w:rsidRPr="009841AB">
              <w:lastRenderedPageBreak/>
              <w:t>papildinātas visā tekstā, kur attiecināms</w:t>
            </w:r>
          </w:p>
        </w:tc>
        <w:tc>
          <w:tcPr>
            <w:tcW w:w="3497" w:type="dxa"/>
            <w:tcBorders>
              <w:top w:val="single" w:sz="4" w:space="0" w:color="auto"/>
              <w:left w:val="single" w:sz="4" w:space="0" w:color="auto"/>
              <w:bottom w:val="single" w:sz="4" w:space="0" w:color="auto"/>
            </w:tcBorders>
            <w:shd w:val="clear" w:color="auto" w:fill="auto"/>
          </w:tcPr>
          <w:p w14:paraId="7BCF3EBD" w14:textId="77777777" w:rsidR="00226A31" w:rsidRPr="009841AB" w:rsidRDefault="008D5839" w:rsidP="00226A31">
            <w:r w:rsidRPr="009841AB">
              <w:lastRenderedPageBreak/>
              <w:t xml:space="preserve">Lūdzam skatīt </w:t>
            </w:r>
            <w:r w:rsidR="009B6A1B" w:rsidRPr="009841AB">
              <w:t>4.4.7. un 4.4.8.</w:t>
            </w:r>
            <w:r w:rsidRPr="009841AB">
              <w:t>apakšadaļu</w:t>
            </w:r>
          </w:p>
        </w:tc>
      </w:tr>
      <w:tr w:rsidR="00226A31" w:rsidRPr="009841AB" w14:paraId="4D2B1AA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264B8D9" w14:textId="77777777" w:rsidR="00226A31" w:rsidRPr="009841AB" w:rsidRDefault="008A4FDD" w:rsidP="00226A31">
            <w:pPr>
              <w:pStyle w:val="naisc"/>
              <w:spacing w:before="0" w:after="0"/>
            </w:pPr>
            <w:r>
              <w:t>78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D14157A"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688CF73" w14:textId="77777777" w:rsidR="00226A31" w:rsidRPr="009841AB" w:rsidRDefault="00226A31" w:rsidP="00226A31">
            <w:pPr>
              <w:tabs>
                <w:tab w:val="left" w:pos="720"/>
              </w:tabs>
              <w:contextualSpacing/>
              <w:jc w:val="both"/>
              <w:rPr>
                <w:lang w:eastAsia="en-US"/>
              </w:rPr>
            </w:pPr>
            <w:r w:rsidRPr="009841AB">
              <w:rPr>
                <w:lang w:eastAsia="en-US"/>
              </w:rPr>
              <w:t>7. Pamatnostādnēs kā viens no riska faktoriem tiek norādīts nepietiekams pieprasījums pēc platjoslas pakalpojumiem, kas cita starpā ir sekas nepieciešamo digitālo prasmju trūkumam gan biznesa realizācijā, gan mājsaimniecību ikdienas jautājumu kārtošanā. Visdrīzāk pieprasījums ir neliels ņemot vērā nepieciešamos investīciju apjomus, kas mājsaimniecībām jāiegulda, lai nodrošinātu pēdējās jūdzes nodrošināšanu no izveidotajiem platjoslas tīkliem.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98B385C" w14:textId="77777777" w:rsidR="00422F28" w:rsidRPr="009841AB" w:rsidRDefault="00422F28" w:rsidP="00422F28">
            <w:pPr>
              <w:pStyle w:val="naisc"/>
              <w:jc w:val="both"/>
              <w:rPr>
                <w:b/>
              </w:rPr>
            </w:pPr>
            <w:r w:rsidRPr="009841AB">
              <w:rPr>
                <w:b/>
              </w:rPr>
              <w:t>Ņemts vērā</w:t>
            </w:r>
          </w:p>
          <w:p w14:paraId="3CFDE322" w14:textId="77777777" w:rsidR="00226A31" w:rsidRPr="009841AB" w:rsidRDefault="00422F28" w:rsidP="00422F28">
            <w:pPr>
              <w:pStyle w:val="naisc"/>
              <w:spacing w:before="0" w:after="0"/>
              <w:jc w:val="both"/>
              <w:rPr>
                <w:bCs/>
              </w:rPr>
            </w:pPr>
            <w:r w:rsidRPr="009841AB">
              <w:rPr>
                <w:bCs/>
              </w:rPr>
              <w:t>Pamatnostādnēs ir noteikts - Vidējās un pēdējās jūdzes attīstības pasākumi, tostarp valsts atbalsts, tiks izvērtēti un iekļauti platjoslas attīstības plānā laika posmam no 2021. līdz 2027.gadam. Platjoslas plāns ietvers investīciju nepietiekamības novērtējumu, pamatojoties uz esošās privātās un publiskās infrastruktūras un pakalpojumu kvalitātes kartēšanu, kā arī plānotās valsts intervences pamatojumu, balstītu uz ilgtspējīgiem ieguldījumu modeļiem.</w:t>
            </w:r>
          </w:p>
        </w:tc>
        <w:tc>
          <w:tcPr>
            <w:tcW w:w="3497" w:type="dxa"/>
            <w:tcBorders>
              <w:top w:val="single" w:sz="4" w:space="0" w:color="auto"/>
              <w:left w:val="single" w:sz="4" w:space="0" w:color="auto"/>
              <w:bottom w:val="single" w:sz="4" w:space="0" w:color="auto"/>
            </w:tcBorders>
            <w:shd w:val="clear" w:color="auto" w:fill="auto"/>
          </w:tcPr>
          <w:p w14:paraId="72FF74A7" w14:textId="77777777" w:rsidR="00226A31" w:rsidRPr="009841AB" w:rsidRDefault="00226A31" w:rsidP="00226A31"/>
        </w:tc>
      </w:tr>
      <w:tr w:rsidR="00226A31" w:rsidRPr="009841AB" w14:paraId="4EC9979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9AB9AB2" w14:textId="77777777" w:rsidR="00226A31" w:rsidRPr="009841AB" w:rsidRDefault="008A4FDD" w:rsidP="758E7DDC">
            <w:pPr>
              <w:pStyle w:val="naisc"/>
              <w:spacing w:before="0" w:after="0" w:line="259" w:lineRule="auto"/>
              <w:jc w:val="left"/>
            </w:pPr>
            <w:r>
              <w:t>79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75A6074" w14:textId="77777777" w:rsidR="00226A31" w:rsidRPr="009841AB" w:rsidRDefault="00226A31" w:rsidP="758E7DDC">
            <w:pPr>
              <w:pStyle w:val="naisc"/>
              <w:spacing w:before="0" w:after="0" w:line="259" w:lineRule="auto"/>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133080E" w14:textId="77777777" w:rsidR="00226A31" w:rsidRPr="009841AB" w:rsidRDefault="1774C56B" w:rsidP="758E7DDC">
            <w:pPr>
              <w:pStyle w:val="naisc"/>
              <w:tabs>
                <w:tab w:val="left" w:pos="720"/>
              </w:tabs>
              <w:spacing w:before="0" w:after="0" w:line="259" w:lineRule="auto"/>
              <w:jc w:val="left"/>
              <w:rPr>
                <w:lang w:eastAsia="en-US"/>
              </w:rPr>
            </w:pPr>
            <w:r w:rsidRPr="009841AB">
              <w:rPr>
                <w:lang w:eastAsia="en-US"/>
              </w:rPr>
              <w:t>8. Tas, kas nav skaidrs - kā šis dokuments korelē ar Darbības programmu, RRF mehānismiem. Cik un kas tiks finansēts no valsts fondiem. Un pašvaldībām svarīgākais - ko no šī varēs ieviest pašvaldības, kā arī biedrības, nodibinājumi, kas strādā ar pilsētu attīstības jautājumiem?</w:t>
            </w:r>
          </w:p>
          <w:p w14:paraId="1DC8A042" w14:textId="77777777" w:rsidR="00226A31" w:rsidRPr="009841AB" w:rsidRDefault="1774C56B" w:rsidP="758E7DDC">
            <w:pPr>
              <w:pStyle w:val="naisc"/>
              <w:tabs>
                <w:tab w:val="left" w:pos="720"/>
              </w:tabs>
              <w:spacing w:before="0" w:after="0" w:line="259" w:lineRule="auto"/>
              <w:jc w:val="left"/>
              <w:rPr>
                <w:lang w:eastAsia="en-US"/>
              </w:rPr>
            </w:pPr>
            <w:r w:rsidRPr="009841AB">
              <w:rPr>
                <w:lang w:eastAsia="en-US"/>
              </w:rPr>
              <w:lastRenderedPageBreak/>
              <w:t>Ļoti vēlams dokumentu papildināt ar tabulu, kur redzamas šīs korelācijas, kā arī redzami potenciālie ieviesēji, finanšu apjomi un avoti.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31B5145" w14:textId="77777777" w:rsidR="006C37ED" w:rsidRPr="00F56B1C" w:rsidRDefault="006C37ED" w:rsidP="006C37ED">
            <w:pPr>
              <w:pStyle w:val="naisc"/>
              <w:jc w:val="both"/>
              <w:rPr>
                <w:b/>
                <w:bCs/>
              </w:rPr>
            </w:pPr>
            <w:r>
              <w:rPr>
                <w:b/>
                <w:bCs/>
              </w:rPr>
              <w:lastRenderedPageBreak/>
              <w:t>Panākta vienošanās</w:t>
            </w:r>
          </w:p>
          <w:p w14:paraId="34B8CD09" w14:textId="2BDC0793" w:rsidR="00226A31" w:rsidRPr="009841AB" w:rsidRDefault="00226A31" w:rsidP="758E7DDC">
            <w:pPr>
              <w:pStyle w:val="naisc"/>
              <w:spacing w:before="0" w:after="0" w:line="259" w:lineRule="auto"/>
              <w:jc w:val="left"/>
              <w:rPr>
                <w:b/>
                <w:bCs/>
              </w:rPr>
            </w:pPr>
          </w:p>
        </w:tc>
        <w:tc>
          <w:tcPr>
            <w:tcW w:w="3497" w:type="dxa"/>
            <w:tcBorders>
              <w:top w:val="single" w:sz="4" w:space="0" w:color="auto"/>
              <w:left w:val="single" w:sz="4" w:space="0" w:color="auto"/>
              <w:bottom w:val="single" w:sz="4" w:space="0" w:color="auto"/>
            </w:tcBorders>
            <w:shd w:val="clear" w:color="auto" w:fill="auto"/>
          </w:tcPr>
          <w:p w14:paraId="309E9512" w14:textId="77777777" w:rsidR="00226A31" w:rsidRPr="009841AB" w:rsidRDefault="00AC2056" w:rsidP="758E7DDC">
            <w:pPr>
              <w:pStyle w:val="naisc"/>
              <w:spacing w:before="0" w:after="0" w:line="259" w:lineRule="auto"/>
              <w:jc w:val="left"/>
            </w:pPr>
            <w:r w:rsidRPr="009841AB">
              <w:t>Lūdzam s</w:t>
            </w:r>
            <w:r w:rsidR="7BFF7587" w:rsidRPr="009841AB">
              <w:t>katīt pamatnostādņu pielikumu.</w:t>
            </w:r>
          </w:p>
        </w:tc>
      </w:tr>
      <w:tr w:rsidR="00226A31" w:rsidRPr="009841AB" w14:paraId="34FF79E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6CA297B" w14:textId="77777777" w:rsidR="00226A31" w:rsidRPr="009841AB" w:rsidRDefault="008A4FDD" w:rsidP="00226A31">
            <w:pPr>
              <w:pStyle w:val="naisc"/>
              <w:spacing w:before="0" w:after="0"/>
            </w:pPr>
            <w:r>
              <w:t>80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4A621C3" w14:textId="77777777" w:rsidR="00226A31" w:rsidRPr="009841AB" w:rsidRDefault="00226A31" w:rsidP="00226A3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469F3A7" w14:textId="77777777" w:rsidR="00226A31" w:rsidRPr="009841AB" w:rsidRDefault="00226A31" w:rsidP="00226A31">
            <w:pPr>
              <w:tabs>
                <w:tab w:val="left" w:pos="720"/>
              </w:tabs>
              <w:contextualSpacing/>
              <w:jc w:val="both"/>
              <w:rPr>
                <w:lang w:eastAsia="en-US"/>
              </w:rPr>
            </w:pPr>
            <w:r w:rsidRPr="009841AB">
              <w:rPr>
                <w:lang w:eastAsia="en-US"/>
              </w:rPr>
              <w:t>9. Precizēt terminu “valsts pārvalde” uz, piemēram, publiskā pārvalde, vai sniegt tam skaidrojumu;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FB54840" w14:textId="77777777" w:rsidR="00226A31" w:rsidRPr="009841AB" w:rsidRDefault="00CA2B2D" w:rsidP="00226A31">
            <w:pPr>
              <w:pStyle w:val="naisc"/>
              <w:spacing w:before="0" w:after="0"/>
              <w:jc w:val="both"/>
              <w:rPr>
                <w:b/>
              </w:rPr>
            </w:pPr>
            <w:r w:rsidRPr="009841AB">
              <w:rPr>
                <w:b/>
              </w:rPr>
              <w:t>Ņemts vērā</w:t>
            </w:r>
          </w:p>
          <w:p w14:paraId="78A19F61" w14:textId="77777777" w:rsidR="00CA2B2D" w:rsidRPr="009841AB" w:rsidRDefault="00CA2B2D" w:rsidP="00226A31">
            <w:pPr>
              <w:pStyle w:val="naisc"/>
              <w:spacing w:before="0" w:after="0"/>
              <w:jc w:val="both"/>
              <w:rPr>
                <w:b/>
              </w:rPr>
            </w:pPr>
          </w:p>
        </w:tc>
        <w:tc>
          <w:tcPr>
            <w:tcW w:w="3497" w:type="dxa"/>
            <w:tcBorders>
              <w:top w:val="single" w:sz="4" w:space="0" w:color="auto"/>
              <w:left w:val="single" w:sz="4" w:space="0" w:color="auto"/>
              <w:bottom w:val="single" w:sz="4" w:space="0" w:color="auto"/>
            </w:tcBorders>
            <w:shd w:val="clear" w:color="auto" w:fill="auto"/>
          </w:tcPr>
          <w:p w14:paraId="6B6C4E29" w14:textId="77777777" w:rsidR="00226A31" w:rsidRPr="009841AB" w:rsidRDefault="00CA2B2D" w:rsidP="00226A31">
            <w:r w:rsidRPr="009841AB">
              <w:t>Lūdzam skatīt sadaļu “Ievads”</w:t>
            </w:r>
          </w:p>
        </w:tc>
      </w:tr>
      <w:tr w:rsidR="00C02ED5" w:rsidRPr="009841AB" w14:paraId="0090EA21"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7F441E6" w14:textId="77777777" w:rsidR="00C02ED5" w:rsidRPr="009841AB" w:rsidRDefault="00C02ED5" w:rsidP="00226A31">
            <w:r w:rsidRPr="009841AB">
              <w:rPr>
                <w:b/>
                <w:bCs/>
                <w:lang w:eastAsia="en-US"/>
              </w:rPr>
              <w:t xml:space="preserve">Latvijas Pašvaldību savienības </w:t>
            </w:r>
            <w:r>
              <w:rPr>
                <w:b/>
                <w:bCs/>
                <w:lang w:eastAsia="en-US"/>
              </w:rPr>
              <w:t>01</w:t>
            </w:r>
            <w:r w:rsidRPr="009841AB">
              <w:rPr>
                <w:b/>
                <w:bCs/>
                <w:lang w:eastAsia="en-US"/>
              </w:rPr>
              <w:t>.0</w:t>
            </w:r>
            <w:r>
              <w:rPr>
                <w:b/>
                <w:bCs/>
                <w:lang w:eastAsia="en-US"/>
              </w:rPr>
              <w:t>5</w:t>
            </w:r>
            <w:r w:rsidRPr="009841AB">
              <w:rPr>
                <w:b/>
                <w:bCs/>
                <w:lang w:eastAsia="en-US"/>
              </w:rPr>
              <w:t>.2021. atzinums:</w:t>
            </w:r>
          </w:p>
        </w:tc>
      </w:tr>
      <w:tr w:rsidR="00C02ED5" w:rsidRPr="009841AB" w14:paraId="034C51B8"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27291BC" w14:textId="77777777" w:rsidR="00C02ED5" w:rsidRPr="009841AB" w:rsidRDefault="008A4FDD" w:rsidP="00226A31">
            <w:pPr>
              <w:pStyle w:val="naisc"/>
              <w:spacing w:before="0" w:after="0"/>
              <w:rPr>
                <w:highlight w:val="green"/>
              </w:rPr>
            </w:pPr>
            <w:r w:rsidRPr="00A22D38">
              <w:t>81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04DB769" w14:textId="77777777" w:rsidR="00C02ED5" w:rsidRPr="009841AB" w:rsidRDefault="00C02ED5" w:rsidP="00226A31">
            <w:pPr>
              <w:pStyle w:val="naisc"/>
              <w:spacing w:before="0" w:after="0"/>
              <w:jc w:val="left"/>
              <w:rPr>
                <w:highlight w:val="green"/>
              </w:rPr>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081FB7B" w14:textId="77777777" w:rsidR="00C02ED5" w:rsidRPr="009841AB" w:rsidRDefault="00C02ED5" w:rsidP="00226A31">
            <w:pPr>
              <w:tabs>
                <w:tab w:val="left" w:pos="720"/>
              </w:tabs>
              <w:contextualSpacing/>
              <w:jc w:val="both"/>
              <w:rPr>
                <w:highlight w:val="red"/>
                <w:lang w:eastAsia="en-US"/>
              </w:rPr>
            </w:pPr>
            <w:r w:rsidRPr="00A22D38">
              <w:rPr>
                <w:lang w:eastAsia="en-US"/>
              </w:rPr>
              <w:t>Izziņas 52. punkts – par ievada daļu. LPS priekšlikuma mērķis nav vērsts uz tiešām norādēm par finanšu instrumentu pielietojumu konkrētām aktivitātēm, bet gan vispārīgs, vēsturisks ieskats par atšķirīgo situāciju pašvaldībās no valsts pārvaldes.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5996A55" w14:textId="7DE3DFEA" w:rsidR="00C02ED5" w:rsidRPr="00A22D38" w:rsidRDefault="388B6EFE" w:rsidP="15B1D617">
            <w:pPr>
              <w:jc w:val="both"/>
              <w:rPr>
                <w:b/>
                <w:bCs/>
              </w:rPr>
            </w:pPr>
            <w:r w:rsidRPr="15B1D617">
              <w:rPr>
                <w:b/>
                <w:bCs/>
              </w:rPr>
              <w:t>Ņ</w:t>
            </w:r>
            <w:r w:rsidR="103903A0" w:rsidRPr="15B1D617">
              <w:rPr>
                <w:b/>
                <w:bCs/>
              </w:rPr>
              <w:t>emts vērā</w:t>
            </w:r>
          </w:p>
          <w:p w14:paraId="4991381D" w14:textId="77777777" w:rsidR="00C02ED5" w:rsidRPr="00A22D38" w:rsidRDefault="103903A0" w:rsidP="1EAFD8AF">
            <w:pPr>
              <w:jc w:val="both"/>
            </w:pPr>
            <w:r>
              <w:t xml:space="preserve"> </w:t>
            </w:r>
          </w:p>
          <w:p w14:paraId="58200347" w14:textId="5B8D6BA3" w:rsidR="00C02ED5" w:rsidRPr="00A22D38" w:rsidRDefault="00C02ED5" w:rsidP="1EAFD8AF">
            <w:pPr>
              <w:jc w:val="both"/>
            </w:pPr>
          </w:p>
        </w:tc>
        <w:tc>
          <w:tcPr>
            <w:tcW w:w="3497" w:type="dxa"/>
            <w:tcBorders>
              <w:top w:val="single" w:sz="4" w:space="0" w:color="auto"/>
              <w:left w:val="single" w:sz="4" w:space="0" w:color="auto"/>
              <w:bottom w:val="single" w:sz="4" w:space="0" w:color="auto"/>
            </w:tcBorders>
            <w:shd w:val="clear" w:color="auto" w:fill="auto"/>
          </w:tcPr>
          <w:p w14:paraId="6B10A8C5" w14:textId="448DCFB6" w:rsidR="00C02ED5" w:rsidRPr="009841AB" w:rsidRDefault="6A36B1BB" w:rsidP="15B1D617">
            <w:pPr>
              <w:jc w:val="both"/>
            </w:pPr>
            <w:proofErr w:type="spellStart"/>
            <w:r w:rsidRPr="15B1D617">
              <w:rPr>
                <w:b/>
                <w:bCs/>
                <w:lang w:val="en-US"/>
              </w:rPr>
              <w:t>Ņemts</w:t>
            </w:r>
            <w:proofErr w:type="spellEnd"/>
            <w:r w:rsidRPr="15B1D617">
              <w:rPr>
                <w:b/>
                <w:bCs/>
                <w:lang w:val="en-US"/>
              </w:rPr>
              <w:t xml:space="preserve"> </w:t>
            </w:r>
            <w:proofErr w:type="spellStart"/>
            <w:r w:rsidRPr="15B1D617">
              <w:rPr>
                <w:b/>
                <w:bCs/>
                <w:lang w:val="en-US"/>
              </w:rPr>
              <w:t>vērā</w:t>
            </w:r>
            <w:proofErr w:type="spellEnd"/>
          </w:p>
          <w:p w14:paraId="5BC55E5C" w14:textId="091429D9" w:rsidR="00C02ED5" w:rsidRPr="009841AB" w:rsidRDefault="6A36B1BB" w:rsidP="15B1D617">
            <w:pPr>
              <w:jc w:val="both"/>
            </w:pPr>
            <w:r w:rsidRPr="15B1D617">
              <w:rPr>
                <w:lang w:val="en-US"/>
              </w:rPr>
              <w:t xml:space="preserve"> </w:t>
            </w:r>
          </w:p>
          <w:p w14:paraId="5F2AAD6F" w14:textId="6B74B55D" w:rsidR="00C02ED5" w:rsidRPr="009841AB" w:rsidRDefault="6A36B1BB" w:rsidP="15B1D617">
            <w:pPr>
              <w:jc w:val="both"/>
            </w:pPr>
            <w:r w:rsidRPr="15B1D617">
              <w:rPr>
                <w:lang w:val="en-US"/>
              </w:rPr>
              <w:t xml:space="preserve">VARAM </w:t>
            </w:r>
            <w:proofErr w:type="spellStart"/>
            <w:r w:rsidRPr="15B1D617">
              <w:rPr>
                <w:lang w:val="en-US"/>
              </w:rPr>
              <w:t>pēc</w:t>
            </w:r>
            <w:proofErr w:type="spellEnd"/>
            <w:r w:rsidRPr="15B1D617">
              <w:rPr>
                <w:lang w:val="en-US"/>
              </w:rPr>
              <w:t xml:space="preserve"> </w:t>
            </w:r>
            <w:proofErr w:type="spellStart"/>
            <w:r w:rsidRPr="15B1D617">
              <w:rPr>
                <w:lang w:val="en-US"/>
              </w:rPr>
              <w:t>būtības</w:t>
            </w:r>
            <w:proofErr w:type="spellEnd"/>
            <w:r w:rsidRPr="15B1D617">
              <w:rPr>
                <w:lang w:val="en-US"/>
              </w:rPr>
              <w:t xml:space="preserve"> </w:t>
            </w:r>
            <w:proofErr w:type="spellStart"/>
            <w:r w:rsidRPr="15B1D617">
              <w:rPr>
                <w:lang w:val="en-US"/>
              </w:rPr>
              <w:t>piekrīt</w:t>
            </w:r>
            <w:proofErr w:type="spellEnd"/>
            <w:r w:rsidRPr="15B1D617">
              <w:rPr>
                <w:lang w:val="en-US"/>
              </w:rPr>
              <w:t xml:space="preserve"> LPS par </w:t>
            </w:r>
            <w:proofErr w:type="spellStart"/>
            <w:r w:rsidRPr="15B1D617">
              <w:rPr>
                <w:lang w:val="en-US"/>
              </w:rPr>
              <w:t>esošajām</w:t>
            </w:r>
            <w:proofErr w:type="spellEnd"/>
            <w:r w:rsidRPr="15B1D617">
              <w:rPr>
                <w:lang w:val="en-US"/>
              </w:rPr>
              <w:t xml:space="preserve"> </w:t>
            </w:r>
            <w:proofErr w:type="spellStart"/>
            <w:r w:rsidRPr="15B1D617">
              <w:rPr>
                <w:lang w:val="en-US"/>
              </w:rPr>
              <w:t>atšķirībām</w:t>
            </w:r>
            <w:proofErr w:type="spellEnd"/>
            <w:r w:rsidRPr="15B1D617">
              <w:rPr>
                <w:lang w:val="en-US"/>
              </w:rPr>
              <w:t xml:space="preserve"> </w:t>
            </w:r>
            <w:proofErr w:type="spellStart"/>
            <w:r w:rsidRPr="15B1D617">
              <w:rPr>
                <w:lang w:val="en-US"/>
              </w:rPr>
              <w:t>pašvaldībās</w:t>
            </w:r>
            <w:proofErr w:type="spellEnd"/>
            <w:r w:rsidRPr="15B1D617">
              <w:rPr>
                <w:lang w:val="en-US"/>
              </w:rPr>
              <w:t xml:space="preserve"> IKT </w:t>
            </w:r>
            <w:proofErr w:type="spellStart"/>
            <w:r w:rsidRPr="15B1D617">
              <w:rPr>
                <w:lang w:val="en-US"/>
              </w:rPr>
              <w:t>jomā</w:t>
            </w:r>
            <w:proofErr w:type="spellEnd"/>
            <w:r w:rsidRPr="15B1D617">
              <w:rPr>
                <w:lang w:val="en-US"/>
              </w:rPr>
              <w:t xml:space="preserve"> </w:t>
            </w:r>
            <w:proofErr w:type="spellStart"/>
            <w:r w:rsidRPr="15B1D617">
              <w:rPr>
                <w:lang w:val="en-US"/>
              </w:rPr>
              <w:t>Skatīt</w:t>
            </w:r>
            <w:proofErr w:type="spellEnd"/>
            <w:r w:rsidRPr="15B1D617">
              <w:rPr>
                <w:lang w:val="en-US"/>
              </w:rPr>
              <w:t xml:space="preserve"> </w:t>
            </w:r>
            <w:proofErr w:type="spellStart"/>
            <w:r w:rsidRPr="15B1D617">
              <w:rPr>
                <w:lang w:val="en-US"/>
              </w:rPr>
              <w:t>papildinātās</w:t>
            </w:r>
            <w:proofErr w:type="spellEnd"/>
            <w:r w:rsidRPr="15B1D617">
              <w:rPr>
                <w:lang w:val="en-US"/>
              </w:rPr>
              <w:t xml:space="preserve"> </w:t>
            </w:r>
            <w:proofErr w:type="spellStart"/>
            <w:r w:rsidRPr="15B1D617">
              <w:rPr>
                <w:lang w:val="en-US"/>
              </w:rPr>
              <w:t>sadaļas</w:t>
            </w:r>
            <w:proofErr w:type="spellEnd"/>
            <w:r w:rsidRPr="15B1D617">
              <w:rPr>
                <w:lang w:val="en-US"/>
              </w:rPr>
              <w:t xml:space="preserve"> “</w:t>
            </w:r>
            <w:proofErr w:type="spellStart"/>
            <w:r w:rsidRPr="15B1D617">
              <w:rPr>
                <w:lang w:val="en-US"/>
              </w:rPr>
              <w:t>Ievads</w:t>
            </w:r>
            <w:proofErr w:type="spellEnd"/>
            <w:r w:rsidRPr="15B1D617">
              <w:rPr>
                <w:lang w:val="en-US"/>
              </w:rPr>
              <w:t xml:space="preserve">” un “5. </w:t>
            </w:r>
            <w:proofErr w:type="spellStart"/>
            <w:r w:rsidRPr="15B1D617">
              <w:rPr>
                <w:lang w:val="en-US"/>
              </w:rPr>
              <w:t>Digitālās</w:t>
            </w:r>
            <w:proofErr w:type="spellEnd"/>
            <w:r w:rsidRPr="15B1D617">
              <w:rPr>
                <w:lang w:val="en-US"/>
              </w:rPr>
              <w:t xml:space="preserve"> </w:t>
            </w:r>
            <w:proofErr w:type="spellStart"/>
            <w:r w:rsidRPr="15B1D617">
              <w:rPr>
                <w:lang w:val="en-US"/>
              </w:rPr>
              <w:t>transformācijas</w:t>
            </w:r>
            <w:proofErr w:type="spellEnd"/>
            <w:r w:rsidRPr="15B1D617">
              <w:rPr>
                <w:lang w:val="en-US"/>
              </w:rPr>
              <w:t xml:space="preserve"> </w:t>
            </w:r>
            <w:proofErr w:type="spellStart"/>
            <w:r w:rsidRPr="15B1D617">
              <w:rPr>
                <w:lang w:val="en-US"/>
              </w:rPr>
              <w:t>pārvaldība</w:t>
            </w:r>
            <w:proofErr w:type="spellEnd"/>
            <w:r w:rsidRPr="15B1D617">
              <w:rPr>
                <w:lang w:val="en-US"/>
              </w:rPr>
              <w:t>”.</w:t>
            </w:r>
          </w:p>
        </w:tc>
      </w:tr>
      <w:tr w:rsidR="0084485F" w:rsidRPr="009841AB" w14:paraId="535265E2"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1E7C3E1" w14:textId="77777777" w:rsidR="0084485F" w:rsidRPr="009841AB" w:rsidRDefault="0084485F" w:rsidP="00226A31">
            <w:r>
              <w:rPr>
                <w:b/>
                <w:bCs/>
                <w:lang w:eastAsia="en-US"/>
              </w:rPr>
              <w:t>Labklājības</w:t>
            </w:r>
            <w:r w:rsidRPr="009841AB">
              <w:rPr>
                <w:b/>
                <w:bCs/>
                <w:lang w:eastAsia="en-US"/>
              </w:rPr>
              <w:t xml:space="preserve"> ministrijas </w:t>
            </w:r>
            <w:r>
              <w:rPr>
                <w:b/>
                <w:bCs/>
                <w:lang w:eastAsia="en-US"/>
              </w:rPr>
              <w:t>30</w:t>
            </w:r>
            <w:r w:rsidRPr="009841AB">
              <w:rPr>
                <w:b/>
                <w:bCs/>
                <w:lang w:eastAsia="en-US"/>
              </w:rPr>
              <w:t>.0</w:t>
            </w:r>
            <w:r>
              <w:rPr>
                <w:b/>
                <w:bCs/>
                <w:lang w:eastAsia="en-US"/>
              </w:rPr>
              <w:t>4</w:t>
            </w:r>
            <w:r w:rsidRPr="009841AB">
              <w:rPr>
                <w:b/>
                <w:bCs/>
                <w:lang w:eastAsia="en-US"/>
              </w:rPr>
              <w:t>.2021. atzinums:</w:t>
            </w:r>
          </w:p>
        </w:tc>
      </w:tr>
      <w:tr w:rsidR="0084485F" w:rsidRPr="009841AB" w14:paraId="0C72B56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B1B6319" w14:textId="77777777" w:rsidR="0084485F" w:rsidRPr="009841AB" w:rsidRDefault="008A4FDD" w:rsidP="00226A31">
            <w:pPr>
              <w:pStyle w:val="naisc"/>
              <w:spacing w:before="0" w:after="0"/>
              <w:rPr>
                <w:highlight w:val="green"/>
              </w:rPr>
            </w:pPr>
            <w:r w:rsidRPr="008B6A9F">
              <w:t>82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4B58150" w14:textId="77777777" w:rsidR="0084485F" w:rsidRPr="009841AB" w:rsidRDefault="0084485F" w:rsidP="00226A31">
            <w:pPr>
              <w:pStyle w:val="naisc"/>
              <w:spacing w:before="0" w:after="0"/>
              <w:jc w:val="left"/>
              <w:rPr>
                <w:highlight w:val="green"/>
              </w:rPr>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22E9BA0" w14:textId="77777777" w:rsidR="0084485F" w:rsidRPr="0084485F" w:rsidRDefault="0084485F" w:rsidP="00226A31">
            <w:pPr>
              <w:tabs>
                <w:tab w:val="left" w:pos="720"/>
              </w:tabs>
              <w:contextualSpacing/>
              <w:jc w:val="both"/>
              <w:rPr>
                <w:highlight w:val="green"/>
                <w:lang w:eastAsia="en-US"/>
              </w:rPr>
            </w:pPr>
            <w:r w:rsidRPr="008B6A9F">
              <w:t xml:space="preserve">1. Lūdzam vai nu svītrot vai precizēt Ministru kabineta rīkojuma projekta 4.punktu. Ja ar atbildīgo ministriju tiek saprasta Vides aizsardzības un reģionālās attīstības ministrija, nevis līdzatbildīgās institūcijas, tad lūdzam attiecīgi to norādīt 4.punktā. Ja šajā punktā par atbildīgajām ministrijām tiek uzskatītas visas nozares ministrijas, tad norādām, ka prasība par plāna projekta izstrādi katrai nozares ministrijai, nevērtējot nedz tās atbildībā esošo uzdevumu saturu, nedz uzdevumu skaitu, nedz uzdevuma detalizācijas pakāpi, ir nepamatota un nesamērīga pret administratīvo slogu, ko rada šāda prasība. Lūdzam ņemt vērā, ka atbilstoši uzdevumi var tikt iestrādāti nozaru ministriju citu izstrādāto pamatnostādņu pakārtotajos īstermiņa plānošanas dokumentos, daļa uzdevumu var tikt īstenoti bez to iekļaušanas plāna projektos, daļa tiek īstenoti pamatdarbības ietvaros, bet daļa uzdevumu jau ir iekļauti ārvalstu finanšu instrumentu programmās. Tāpat nav saprotama šāda prasība gadījumos, kad </w:t>
            </w:r>
            <w:r w:rsidRPr="008B6A9F">
              <w:lastRenderedPageBreak/>
              <w:t>uzdevums ir kāda noteikta plāna izstrāde, piemēram, U4.1.1.-1 – šajā gadījumā plānā tiks nodublēts pamatnostādņu projekta uzdevums. Informējam, ka Labklājības ministrija neplāno izstrādāt atsevišķu plānu par tās atbildīgā noteiktajiem Pamatnostādņu projekta trīs (U4.1.5.-1., U4.2.4.-2., 4.4.5.-5.) uzdevumiem. Uzskatām, ka Ministru kabineta rīkojuma projektā iekļautā 4.punkta redakcija neatbild uz Izglītības un zinātnes ministrijas sniegto iebildumu izziņas 14.punktā par neskaidrībām uzdevumos noteikto plānu statusu politikas plānošanas dokumentu hierarhijā un Tieslietu ministrijas iebildumu izziņas 51.punktā.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115207F" w14:textId="77777777" w:rsidR="0084485F" w:rsidRPr="009841AB" w:rsidRDefault="551901E5" w:rsidP="00226A31">
            <w:pPr>
              <w:pStyle w:val="naisc"/>
              <w:spacing w:before="0" w:after="0"/>
              <w:jc w:val="both"/>
              <w:rPr>
                <w:b/>
                <w:highlight w:val="green"/>
              </w:rPr>
            </w:pPr>
            <w:r w:rsidRPr="008B6A9F">
              <w:rPr>
                <w:b/>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728C53AB" w14:textId="77777777" w:rsidR="0084485F" w:rsidRPr="009841AB" w:rsidRDefault="551901E5" w:rsidP="00226A31">
            <w:pPr>
              <w:rPr>
                <w:highlight w:val="green"/>
              </w:rPr>
            </w:pPr>
            <w:r w:rsidRPr="008B6A9F">
              <w:t xml:space="preserve">Dzēsts </w:t>
            </w:r>
            <w:proofErr w:type="spellStart"/>
            <w:r w:rsidRPr="008B6A9F">
              <w:t>protokollēmuma</w:t>
            </w:r>
            <w:proofErr w:type="spellEnd"/>
            <w:r w:rsidRPr="008B6A9F">
              <w:t xml:space="preserve"> </w:t>
            </w:r>
            <w:r w:rsidR="009166B7" w:rsidRPr="008B6A9F">
              <w:t xml:space="preserve">projekta </w:t>
            </w:r>
            <w:r w:rsidRPr="008B6A9F">
              <w:t>4.punkts.</w:t>
            </w:r>
          </w:p>
        </w:tc>
      </w:tr>
      <w:tr w:rsidR="0084485F" w:rsidRPr="009841AB" w14:paraId="6EBB8A6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7A68BBC" w14:textId="77777777" w:rsidR="0084485F" w:rsidRPr="009841AB" w:rsidRDefault="008A4FDD" w:rsidP="00226A31">
            <w:pPr>
              <w:pStyle w:val="naisc"/>
              <w:spacing w:before="0" w:after="0"/>
              <w:rPr>
                <w:highlight w:val="green"/>
              </w:rPr>
            </w:pPr>
            <w:r w:rsidRPr="008B6A9F">
              <w:t>83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B4B782D" w14:textId="77777777" w:rsidR="0084485F" w:rsidRPr="009841AB" w:rsidRDefault="0084485F" w:rsidP="00226A31">
            <w:pPr>
              <w:pStyle w:val="naisc"/>
              <w:spacing w:before="0" w:after="0"/>
              <w:jc w:val="left"/>
              <w:rPr>
                <w:highlight w:val="green"/>
              </w:rPr>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94E17C2" w14:textId="77777777" w:rsidR="0084485F" w:rsidRPr="0084485F" w:rsidRDefault="0084485F" w:rsidP="00226A31">
            <w:pPr>
              <w:tabs>
                <w:tab w:val="left" w:pos="720"/>
              </w:tabs>
              <w:contextualSpacing/>
              <w:jc w:val="both"/>
              <w:rPr>
                <w:highlight w:val="green"/>
              </w:rPr>
            </w:pPr>
            <w:r w:rsidRPr="008B6A9F">
              <w:t>2. Līdztekus lūdzam redakcionāli precizēt Sociālās aizsardzības un darba tirgus politikas pamatnostādņu 2021.-2027.gadam nosaukumu Pamatnostādņu projekta 7.lpp., precizēt Pamatnostādņu projekta satura rādītāju un iekļaut tajā arī 4.4.6.sadaļu, Pamatnostādņu projekta 4.4.6.sadaļā sakārtot uzdevumu numerāciju atbilstoši nodaļas numerācijai.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3F25D46" w14:textId="77777777" w:rsidR="0084485F" w:rsidRPr="009841AB" w:rsidRDefault="5F3D92D0" w:rsidP="00226A31">
            <w:pPr>
              <w:pStyle w:val="naisc"/>
              <w:spacing w:before="0" w:after="0"/>
              <w:jc w:val="both"/>
              <w:rPr>
                <w:b/>
                <w:highlight w:val="green"/>
              </w:rPr>
            </w:pPr>
            <w:r w:rsidRPr="008B6A9F">
              <w:rPr>
                <w:b/>
              </w:rPr>
              <w:t>Ņemts vērā</w:t>
            </w:r>
          </w:p>
        </w:tc>
        <w:tc>
          <w:tcPr>
            <w:tcW w:w="3497" w:type="dxa"/>
            <w:tcBorders>
              <w:top w:val="single" w:sz="4" w:space="0" w:color="auto"/>
              <w:left w:val="single" w:sz="4" w:space="0" w:color="auto"/>
              <w:bottom w:val="single" w:sz="4" w:space="0" w:color="auto"/>
            </w:tcBorders>
            <w:shd w:val="clear" w:color="auto" w:fill="auto"/>
          </w:tcPr>
          <w:p w14:paraId="23F0FA35" w14:textId="77777777" w:rsidR="0084485F" w:rsidRPr="009841AB" w:rsidRDefault="5F3D92D0" w:rsidP="00226A31">
            <w:pPr>
              <w:rPr>
                <w:highlight w:val="green"/>
              </w:rPr>
            </w:pPr>
            <w:r w:rsidRPr="008B6A9F">
              <w:t>Precizēts nosaukums. Skat. Sadaļu kopsavilkums 7.lapā.</w:t>
            </w:r>
          </w:p>
        </w:tc>
      </w:tr>
      <w:tr w:rsidR="00226A31" w:rsidRPr="009841AB" w14:paraId="34889E0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BBAB398" w14:textId="77777777" w:rsidR="00226A31" w:rsidRPr="009841AB" w:rsidRDefault="00226A31" w:rsidP="00226A31">
            <w:pPr>
              <w:tabs>
                <w:tab w:val="center" w:pos="7046"/>
                <w:tab w:val="right" w:pos="14093"/>
              </w:tabs>
              <w:rPr>
                <w:b/>
              </w:rPr>
            </w:pPr>
            <w:r w:rsidRPr="009841AB">
              <w:rPr>
                <w:b/>
              </w:rPr>
              <w:tab/>
              <w:t>4.1. Attīstības virziens „Digitālās prasmes un izglītība”</w:t>
            </w:r>
            <w:r w:rsidRPr="009841AB">
              <w:rPr>
                <w:b/>
              </w:rPr>
              <w:tab/>
            </w:r>
          </w:p>
        </w:tc>
      </w:tr>
      <w:tr w:rsidR="00226A31" w:rsidRPr="009841AB" w14:paraId="6E89264D"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7822EA73" w14:textId="77777777" w:rsidR="00226A31" w:rsidRPr="009841AB" w:rsidRDefault="00226A31" w:rsidP="00226A31">
            <w:pPr>
              <w:tabs>
                <w:tab w:val="left" w:pos="720"/>
              </w:tabs>
              <w:contextualSpacing/>
              <w:rPr>
                <w:b/>
                <w:bCs/>
                <w:lang w:eastAsia="en-US"/>
              </w:rPr>
            </w:pPr>
            <w:r w:rsidRPr="009841AB">
              <w:rPr>
                <w:b/>
                <w:bCs/>
                <w:lang w:eastAsia="en-US"/>
              </w:rPr>
              <w:t>Ekonomikas ministrijas 03.02.2021. atzinums:</w:t>
            </w:r>
          </w:p>
        </w:tc>
      </w:tr>
      <w:tr w:rsidR="00C83550" w:rsidRPr="009841AB" w14:paraId="73F0622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E8F40CD" w14:textId="77777777" w:rsidR="00C83550" w:rsidRPr="00F37993" w:rsidRDefault="0024731A" w:rsidP="00C83550">
            <w:pPr>
              <w:pStyle w:val="naisc"/>
              <w:spacing w:before="0" w:after="0"/>
            </w:pPr>
            <w:r w:rsidRPr="00F37993">
              <w:t>84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8B5B071" w14:textId="77777777" w:rsidR="00C83550" w:rsidRPr="00F37993" w:rsidRDefault="00C83550" w:rsidP="00C83550">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D3ED330" w14:textId="77777777" w:rsidR="00C83550" w:rsidRPr="00F37993" w:rsidRDefault="00C83550" w:rsidP="00C83550">
            <w:pPr>
              <w:widowControl w:val="0"/>
              <w:jc w:val="both"/>
            </w:pPr>
            <w:r w:rsidRPr="00F37993">
              <w:t>Latvijas komersantu digitālās prasmes izriet no valsts kopējās digitālo prasmju apguves un pielietošanas. Pilnībā piekrītam, ka tās ir jāceļ, taču nav saprotama uzdevumu U4.1.3.-1 un U4.1.1.-1 nodalīšana.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E38C742" w14:textId="77777777" w:rsidR="00C83550" w:rsidRPr="00F37993" w:rsidRDefault="00C83550" w:rsidP="00C83550">
            <w:pPr>
              <w:jc w:val="both"/>
              <w:rPr>
                <w:b/>
                <w:bCs/>
              </w:rPr>
            </w:pPr>
            <w:r w:rsidRPr="00F37993">
              <w:rPr>
                <w:b/>
                <w:bCs/>
              </w:rPr>
              <w:t>Ņemts vērā</w:t>
            </w:r>
          </w:p>
          <w:p w14:paraId="0340FB55" w14:textId="77777777" w:rsidR="00000354" w:rsidRPr="00F37993" w:rsidRDefault="00000354" w:rsidP="00C83550">
            <w:pPr>
              <w:pStyle w:val="naisc"/>
              <w:spacing w:before="0" w:after="0"/>
              <w:jc w:val="both"/>
            </w:pPr>
            <w:r w:rsidRPr="00F37993">
              <w:t>Uzdevumi U4.1.3.-1 un U4.1.1.-1  apvienoti vienā uzdevumā. Saskaņojot ar IZM, uzdevuma formulējums precizēts, šādā redakcijā:</w:t>
            </w:r>
          </w:p>
          <w:p w14:paraId="6EF6A2E0" w14:textId="77777777" w:rsidR="00C83550" w:rsidRPr="00F37993" w:rsidRDefault="00000354" w:rsidP="00C83550">
            <w:pPr>
              <w:pStyle w:val="naisc"/>
              <w:spacing w:before="0" w:after="0"/>
              <w:jc w:val="both"/>
              <w:rPr>
                <w:b/>
              </w:rPr>
            </w:pPr>
            <w:r w:rsidRPr="00F37993">
              <w:t xml:space="preserve">Vienota koordinētas rīcības plāna izstrāde digitālo prasmju kā caurviju </w:t>
            </w:r>
            <w:proofErr w:type="spellStart"/>
            <w:r w:rsidRPr="00F37993">
              <w:t>pamatprasmju</w:t>
            </w:r>
            <w:proofErr w:type="spellEnd"/>
            <w:r w:rsidRPr="00F37993">
              <w:t xml:space="preserve"> apguves </w:t>
            </w:r>
            <w:r w:rsidRPr="00F37993">
              <w:lastRenderedPageBreak/>
              <w:t>nodrošināšanai iedzīvotājiem, tostarp meitenēm un sievietēm, un uzņēmējiem ar mērķi sasniegt ES dalībvalstu vidējo līmeni digitālo kompetenču jomā Starpresoru koordinācijas struktūras izveide/ aktualizācija.</w:t>
            </w:r>
            <w:r w:rsidRPr="00F37993">
              <w:rPr>
                <w:b/>
              </w:rPr>
              <w:t xml:space="preserve"> </w:t>
            </w:r>
          </w:p>
        </w:tc>
        <w:tc>
          <w:tcPr>
            <w:tcW w:w="3497" w:type="dxa"/>
            <w:tcBorders>
              <w:top w:val="single" w:sz="4" w:space="0" w:color="auto"/>
              <w:left w:val="single" w:sz="4" w:space="0" w:color="auto"/>
              <w:bottom w:val="single" w:sz="4" w:space="0" w:color="auto"/>
            </w:tcBorders>
            <w:shd w:val="clear" w:color="auto" w:fill="auto"/>
          </w:tcPr>
          <w:p w14:paraId="06D351A9" w14:textId="77777777" w:rsidR="00C83550" w:rsidRPr="00F37993" w:rsidRDefault="0051564C" w:rsidP="00000354">
            <w:r w:rsidRPr="00F37993">
              <w:lastRenderedPageBreak/>
              <w:t>Lū</w:t>
            </w:r>
            <w:r w:rsidR="00000354" w:rsidRPr="00F37993">
              <w:t>dzam skatīt uzdevumu</w:t>
            </w:r>
            <w:r w:rsidR="00000354" w:rsidRPr="00F37993">
              <w:br/>
              <w:t>U4.1.2.-1</w:t>
            </w:r>
          </w:p>
        </w:tc>
      </w:tr>
      <w:tr w:rsidR="00C83550" w:rsidRPr="009841AB" w14:paraId="08A28BEC"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7F3A234" w14:textId="77777777" w:rsidR="00C83550" w:rsidRPr="00F37993" w:rsidRDefault="00C83550" w:rsidP="00C83550">
            <w:pPr>
              <w:tabs>
                <w:tab w:val="left" w:pos="720"/>
              </w:tabs>
              <w:contextualSpacing/>
              <w:rPr>
                <w:b/>
                <w:bCs/>
                <w:lang w:eastAsia="en-US"/>
              </w:rPr>
            </w:pPr>
            <w:r w:rsidRPr="00F37993">
              <w:rPr>
                <w:b/>
                <w:bCs/>
                <w:lang w:eastAsia="en-US"/>
              </w:rPr>
              <w:t>Finanšu ministrijas 01.02.2021. atzinums:</w:t>
            </w:r>
          </w:p>
        </w:tc>
      </w:tr>
      <w:tr w:rsidR="0093208C" w:rsidRPr="009841AB" w14:paraId="6E578CA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EDE86D8" w14:textId="77777777" w:rsidR="0093208C" w:rsidRPr="00F37993" w:rsidRDefault="0093208C" w:rsidP="0093208C">
            <w:pPr>
              <w:pStyle w:val="naisc"/>
              <w:spacing w:before="0" w:after="0"/>
            </w:pPr>
            <w:r w:rsidRPr="00F37993">
              <w:t>85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9E7E975" w14:textId="77777777" w:rsidR="0093208C" w:rsidRPr="00F37993" w:rsidRDefault="0093208C" w:rsidP="0093208C">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0F3F0F0" w14:textId="77777777" w:rsidR="0093208C" w:rsidRPr="00F37993" w:rsidRDefault="0093208C" w:rsidP="0093208C">
            <w:pPr>
              <w:jc w:val="both"/>
            </w:pPr>
            <w:r w:rsidRPr="00F37993">
              <w:t xml:space="preserve">1. Pamatnostādņu projektā ir iekļauta atsauce uz DESI indeksā lietotajām definīcijām digitālo prasmju jomā, kas ir saskaņotas ar ES Digitālo kompetenču ietvaru.[1] Atbilstoši iepriekš minētajam digitālajām prasmēm tiek izdalīti tikai divi līmeņi - digitālās prasmes </w:t>
            </w:r>
            <w:proofErr w:type="spellStart"/>
            <w:r w:rsidRPr="00F37993">
              <w:t>pamatlīmenī</w:t>
            </w:r>
            <w:proofErr w:type="spellEnd"/>
            <w:r w:rsidRPr="00F37993">
              <w:t xml:space="preserve"> un digitālās prasmes virs </w:t>
            </w:r>
            <w:proofErr w:type="spellStart"/>
            <w:r w:rsidRPr="00F37993">
              <w:t>pamatlīmeņa</w:t>
            </w:r>
            <w:proofErr w:type="spellEnd"/>
            <w:r w:rsidRPr="00F37993">
              <w:t xml:space="preserve">. Vēršam uzmanību uz to, ka digitālo prasmju klasifikācija/definēšana ir nepieciešama vairākām nozaru ministrijām, (piemēram, Izglītības un zinātnes ministrijai un Ekonomikas ministrijai (turpmāk - EM), plānojot 2021.-2027.gada periodu; investīcijas tiek plānotas 2021.-2027. plānošanas perioda darbības programmas (turpmāk – DP) 1.prioritārā mērķa (turpmāk – PM) un 4. PM ietvaros, piemēram, digitālo prasmju un kompetenču attīstīšana gan pieaugušo apmācību ietvaros, gan komersantu digitālo prasmju attīstīšana, un EM gadījumā divu līmeņu iedalījums praktiski nav piemērojams un attiecināms. Piemēram, </w:t>
            </w:r>
            <w:r w:rsidRPr="00F37993">
              <w:rPr>
                <w:b/>
              </w:rPr>
              <w:t xml:space="preserve">EM pārziņā ir digitālo prasmju līmeņa celšana komersantiem, lai nodrošinātu digitālo pakalpojumu ieviešanu un integrāciju uzņēmumos (DP 1.2.2.specifiskais </w:t>
            </w:r>
            <w:r w:rsidRPr="00F37993">
              <w:rPr>
                <w:b/>
              </w:rPr>
              <w:lastRenderedPageBreak/>
              <w:t>atbalsta mērķis).</w:t>
            </w:r>
            <w:r w:rsidRPr="00F37993">
              <w:t xml:space="preserve"> EM līdz šim šo ir definējusi kā digitālās </w:t>
            </w:r>
            <w:proofErr w:type="spellStart"/>
            <w:r w:rsidRPr="00F37993">
              <w:t>pamatprasmes</w:t>
            </w:r>
            <w:proofErr w:type="spellEnd"/>
            <w:r w:rsidRPr="00F37993">
              <w:t xml:space="preserve">, kas neatbilst digitālo </w:t>
            </w:r>
            <w:proofErr w:type="spellStart"/>
            <w:r w:rsidRPr="00F37993">
              <w:t>pamatprasmju</w:t>
            </w:r>
            <w:proofErr w:type="spellEnd"/>
            <w:r w:rsidRPr="00F37993">
              <w:t xml:space="preserve"> būtībai, jo aptver e-komerciju, utt. </w:t>
            </w:r>
            <w:r w:rsidRPr="00F37993">
              <w:rPr>
                <w:b/>
              </w:rPr>
              <w:t>Lūdzam pamatnostādņu projektā pārskatīt vai papildināt digitālo prasmju līmeņu skaidrojumu vai iekļaut atbilstošu paskaidrojošu terminoloģiju, ņemot vērā, ka ir nepieciešams nodrošināt to vienotu nacionālu lietojumu.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96F134F" w14:textId="77777777" w:rsidR="0093208C" w:rsidRPr="00F37993" w:rsidRDefault="0093208C" w:rsidP="0093208C">
            <w:pPr>
              <w:jc w:val="both"/>
              <w:rPr>
                <w:b/>
                <w:bCs/>
              </w:rPr>
            </w:pPr>
            <w:r w:rsidRPr="00F37993">
              <w:rPr>
                <w:b/>
                <w:bCs/>
              </w:rPr>
              <w:lastRenderedPageBreak/>
              <w:t>Ņemts vērā</w:t>
            </w:r>
          </w:p>
          <w:p w14:paraId="15449BBD" w14:textId="77777777" w:rsidR="0093208C" w:rsidRPr="00F37993" w:rsidRDefault="0093208C" w:rsidP="0093208C">
            <w:pPr>
              <w:pStyle w:val="naisc"/>
              <w:spacing w:before="0" w:after="0"/>
              <w:jc w:val="both"/>
            </w:pPr>
            <w:r w:rsidRPr="00F37993">
              <w:t>Uzdevumi U4.1.3.-1 un U4.1.1.-1  apvienoti vienā uzdevumā. Saskaņojot ar IZM, uzdevuma formulējums precizēts, šādā redakcijā:</w:t>
            </w:r>
          </w:p>
          <w:p w14:paraId="04175391" w14:textId="77777777" w:rsidR="0093208C" w:rsidRPr="00F37993" w:rsidRDefault="0093208C" w:rsidP="0093208C">
            <w:pPr>
              <w:jc w:val="both"/>
            </w:pPr>
            <w:r w:rsidRPr="00F37993">
              <w:t xml:space="preserve">Vienota koordinētas rīcības plāna izstrāde digitālo prasmju kā caurviju </w:t>
            </w:r>
            <w:proofErr w:type="spellStart"/>
            <w:r w:rsidRPr="00F37993">
              <w:t>pamatprasmju</w:t>
            </w:r>
            <w:proofErr w:type="spellEnd"/>
            <w:r w:rsidRPr="00F37993">
              <w:t xml:space="preserve"> apguves nodrošināšanai iedzīvotājiem, tostarp meitenēm un sievietēm, un uzņēmējiem ar mērķi sasniegt ES dalībvalstu vidējo līmeni digitālo kompetenču jomā Starpresoru </w:t>
            </w:r>
            <w:r w:rsidRPr="00F37993">
              <w:lastRenderedPageBreak/>
              <w:t>koordinācijas struktūras izveide/ aktualizācija.</w:t>
            </w:r>
            <w:r w:rsidRPr="00F37993">
              <w:rPr>
                <w:b/>
              </w:rPr>
              <w:t xml:space="preserve"> </w:t>
            </w:r>
          </w:p>
        </w:tc>
        <w:tc>
          <w:tcPr>
            <w:tcW w:w="3497" w:type="dxa"/>
            <w:tcBorders>
              <w:top w:val="single" w:sz="4" w:space="0" w:color="auto"/>
              <w:left w:val="single" w:sz="4" w:space="0" w:color="auto"/>
              <w:bottom w:val="single" w:sz="4" w:space="0" w:color="auto"/>
            </w:tcBorders>
            <w:shd w:val="clear" w:color="auto" w:fill="auto"/>
          </w:tcPr>
          <w:p w14:paraId="0DED941B" w14:textId="77777777" w:rsidR="0093208C" w:rsidRPr="00F37993" w:rsidRDefault="0093208C" w:rsidP="0093208C">
            <w:pPr>
              <w:jc w:val="both"/>
            </w:pPr>
            <w:r w:rsidRPr="00F37993">
              <w:lastRenderedPageBreak/>
              <w:t>Lūdzam skatīt uzdevumu</w:t>
            </w:r>
            <w:r w:rsidRPr="00F37993">
              <w:br/>
              <w:t>U4.1.2.-1</w:t>
            </w:r>
          </w:p>
        </w:tc>
      </w:tr>
      <w:tr w:rsidR="0093208C" w:rsidRPr="009841AB" w14:paraId="2D2F2BB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FBBA907" w14:textId="77777777" w:rsidR="0093208C" w:rsidRPr="00F37993" w:rsidRDefault="0093208C" w:rsidP="0093208C">
            <w:pPr>
              <w:pStyle w:val="naisc"/>
              <w:spacing w:before="0" w:after="0"/>
            </w:pPr>
            <w:r w:rsidRPr="00F37993">
              <w:t>86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D503A99" w14:textId="77777777" w:rsidR="0093208C" w:rsidRPr="00F37993" w:rsidRDefault="0093208C" w:rsidP="0093208C">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9E4DD3F" w14:textId="77777777" w:rsidR="0093208C" w:rsidRPr="00F37993" w:rsidRDefault="0093208C" w:rsidP="0093208C">
            <w:pPr>
              <w:jc w:val="both"/>
            </w:pPr>
            <w:r w:rsidRPr="00F37993">
              <w:t>2.</w:t>
            </w:r>
            <w:r w:rsidRPr="00F37993">
              <w:tab/>
              <w:t xml:space="preserve">Pamatnostādņu 4.1.apašsadaļas ietvaros īstenotie 4.1.1. un 4.1.2. rīcības virzieni būs svarīgi arī valsts pārvaldes iekšējiem auditoriem – viņu profesionālo kompetenču attīstīšanai tādās jomās kā </w:t>
            </w:r>
            <w:proofErr w:type="spellStart"/>
            <w:r w:rsidRPr="00F37993">
              <w:t>digitalizācija</w:t>
            </w:r>
            <w:proofErr w:type="spellEnd"/>
            <w:r w:rsidRPr="00F37993">
              <w:t xml:space="preserve">, IKT, </w:t>
            </w:r>
            <w:proofErr w:type="spellStart"/>
            <w:r w:rsidRPr="00F37993">
              <w:t>kiberdrošība</w:t>
            </w:r>
            <w:proofErr w:type="spellEnd"/>
            <w:r w:rsidRPr="00F37993">
              <w:t>, kritiskā domāšana, dizaina domāšana.</w:t>
            </w:r>
          </w:p>
          <w:p w14:paraId="7C086F4F" w14:textId="77777777" w:rsidR="0093208C" w:rsidRPr="00F37993" w:rsidRDefault="0093208C" w:rsidP="0093208C">
            <w:pPr>
              <w:jc w:val="both"/>
            </w:pPr>
            <w:r w:rsidRPr="00F37993">
              <w:t xml:space="preserve">Neparedzami strauju pārmaiņu un izaicinājumu apstākļos iekšējā audita struktūrvienībām ir ne tikai savlaicīgi jāreaģē uz trūkumiem iekšējā kontroles sistēmā, sniedzot priekšlikumus to novēršanai, bet vēl būtiskāk - jābūt </w:t>
            </w:r>
            <w:proofErr w:type="spellStart"/>
            <w:r w:rsidRPr="00F37993">
              <w:t>proaktīviem</w:t>
            </w:r>
            <w:proofErr w:type="spellEnd"/>
            <w:r w:rsidRPr="00F37993">
              <w:t xml:space="preserve">, uz nākotni orientētiem un tālredzīgiem, it īpaši IKT vidē. Arvien vairāk iekšējā audita struktūrvienības kļūst par nozīmīgu padomdevēju ministriju/iestāžu vadītājam izpratnes veidošanai par IT risku pārvaldību, sniedz atbalstu IKT projektu, elektronisko un automatizēto risinājumu veiksmīgākai ieviešanai. Līdz ar to </w:t>
            </w:r>
            <w:r w:rsidRPr="00F37993">
              <w:rPr>
                <w:b/>
              </w:rPr>
              <w:t>iekšējie auditori kā mērķa grupa jāietver 4.1. attīstības virziena īstenošanā.</w:t>
            </w:r>
            <w:r w:rsidRPr="00F37993">
              <w:t xml:space="preserve">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AA31718" w14:textId="021C9F4B" w:rsidR="0093208C" w:rsidRPr="00F37993" w:rsidRDefault="008E6F2C" w:rsidP="0093208C">
            <w:pPr>
              <w:pStyle w:val="naisc"/>
              <w:spacing w:before="0" w:after="0"/>
              <w:jc w:val="both"/>
            </w:pPr>
            <w:r>
              <w:rPr>
                <w:b/>
                <w:bCs/>
                <w:lang w:eastAsia="en-US"/>
              </w:rPr>
              <w:t>Ņemts vērā</w:t>
            </w:r>
          </w:p>
        </w:tc>
        <w:tc>
          <w:tcPr>
            <w:tcW w:w="3497" w:type="dxa"/>
            <w:tcBorders>
              <w:top w:val="single" w:sz="4" w:space="0" w:color="auto"/>
              <w:left w:val="single" w:sz="4" w:space="0" w:color="auto"/>
              <w:bottom w:val="single" w:sz="4" w:space="0" w:color="auto"/>
            </w:tcBorders>
            <w:shd w:val="clear" w:color="auto" w:fill="auto"/>
          </w:tcPr>
          <w:p w14:paraId="0DB9D50E" w14:textId="0678E269" w:rsidR="0093208C" w:rsidRPr="00F37993" w:rsidRDefault="00DC6BE0" w:rsidP="0093208C">
            <w:r>
              <w:t>Lūdzam skatīt 4.1. sadaļu</w:t>
            </w:r>
          </w:p>
        </w:tc>
      </w:tr>
      <w:tr w:rsidR="0093208C" w:rsidRPr="009841AB" w14:paraId="0D257B0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5ABE239" w14:textId="77777777" w:rsidR="0093208C" w:rsidRPr="00F37993" w:rsidRDefault="0093208C" w:rsidP="0093208C">
            <w:pPr>
              <w:pStyle w:val="naisc"/>
              <w:spacing w:before="0" w:after="0"/>
            </w:pPr>
            <w:r w:rsidRPr="00F37993">
              <w:t>87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E124BAC" w14:textId="77777777" w:rsidR="0093208C" w:rsidRPr="00F37993" w:rsidRDefault="0093208C" w:rsidP="0093208C">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EEDCA59" w14:textId="77777777" w:rsidR="0093208C" w:rsidRPr="00F37993" w:rsidRDefault="0093208C" w:rsidP="0093208C">
            <w:pPr>
              <w:jc w:val="both"/>
            </w:pPr>
            <w:r w:rsidRPr="00F37993">
              <w:t>3.</w:t>
            </w:r>
            <w:r w:rsidRPr="00F37993">
              <w:tab/>
              <w:t xml:space="preserve">Lūdzam papildināt pamatnostādņu projektu ar detalizētāku informāciju attiecībā uz 4.1.apakšadaļas 4.1.3. Rīcības virzienā “Pakalpojumu un sistēmu veidošana” iekļautajiem kompetenču centriem. Vēršam uzmanību, ka 2014.-2020.gada plānošanas perioda ietvaros jau tiek īstenots 3.1.1.6. pasākums “Atbalsts jaunu produktu un tehnoloģiju izstrādei kompetences centru ietvaros”. Tas pats attiecināms arī </w:t>
            </w:r>
            <w:r w:rsidRPr="00F37993">
              <w:lastRenderedPageBreak/>
              <w:t>uz 4.1.2. Rīcības virzienā “Pakalpojumu sniegšana” iekļautajiem IKT kompetenču centriem. (ES FSD)</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3786909" w14:textId="77777777" w:rsidR="0093208C" w:rsidRPr="00F37993" w:rsidRDefault="0093208C" w:rsidP="0093208C">
            <w:pPr>
              <w:pStyle w:val="naisc"/>
              <w:spacing w:before="0" w:after="0"/>
              <w:jc w:val="both"/>
              <w:rPr>
                <w:b/>
              </w:rPr>
            </w:pPr>
            <w:r w:rsidRPr="00F37993">
              <w:rPr>
                <w:b/>
              </w:rPr>
              <w:lastRenderedPageBreak/>
              <w:t>Ņemts vērā</w:t>
            </w:r>
          </w:p>
          <w:p w14:paraId="513CB772" w14:textId="02693508" w:rsidR="0093208C" w:rsidRPr="00F37993" w:rsidRDefault="0093208C" w:rsidP="00DC6BE0">
            <w:pPr>
              <w:pStyle w:val="naisc"/>
              <w:spacing w:before="0" w:after="0"/>
              <w:jc w:val="both"/>
              <w:rPr>
                <w:b/>
              </w:rPr>
            </w:pPr>
            <w:r w:rsidRPr="00F37993">
              <w:t xml:space="preserve">Skaidrojam, ka ES statistikā par digitālas ekonomikas un sabiedrības attīstību – DESI indeksā progress no digitālo prasmju aspekta tiek vērtēts </w:t>
            </w:r>
            <w:r w:rsidRPr="00F37993">
              <w:lastRenderedPageBreak/>
              <w:t>sadaļā “</w:t>
            </w:r>
            <w:proofErr w:type="spellStart"/>
            <w:r w:rsidRPr="00F37993">
              <w:t>Cilvēkkapitāls</w:t>
            </w:r>
            <w:proofErr w:type="spellEnd"/>
            <w:r w:rsidRPr="00F37993">
              <w:t xml:space="preserve">” 6 aspektos, tostarp, pamata un paaugstināto digitālo prasmju līmenis ES Dalībvalstīs. Savukārt, </w:t>
            </w:r>
            <w:r w:rsidRPr="00F37993">
              <w:rPr>
                <w:b/>
              </w:rPr>
              <w:t xml:space="preserve">digitālo risinājumu ieviešana un integrācija uzņēmumos tiek vērtēta </w:t>
            </w:r>
            <w:r w:rsidRPr="00F37993">
              <w:t xml:space="preserve">DESI indeksa sadaļā “Digitālo tehnoloģiju integrācija”, kurā ietvertie novērtējuma elementi vērtē progresu no digitālo tehnoloģiju izmantošanas uzņēmumos viedokļa, nevis no komersantu prasmju pieauguma novērtējuma. Vēršam uzmanību, ka ES Statistikas iestāde </w:t>
            </w:r>
            <w:proofErr w:type="spellStart"/>
            <w:r w:rsidRPr="00F37993">
              <w:t>Eurostat</w:t>
            </w:r>
            <w:proofErr w:type="spellEnd"/>
            <w:r w:rsidRPr="00F37993">
              <w:t xml:space="preserve"> mēra progresu indikatorā “Uzņēmumi, kas personālam nodrošinājuši apmācību, lai attīstītu/paaugstinātu IKT prasmes, kas, iespējams, ir piemērots komersantu digitālo prasmju novērtēšanai</w:t>
            </w:r>
          </w:p>
        </w:tc>
        <w:tc>
          <w:tcPr>
            <w:tcW w:w="3497" w:type="dxa"/>
            <w:tcBorders>
              <w:top w:val="single" w:sz="4" w:space="0" w:color="auto"/>
              <w:left w:val="single" w:sz="4" w:space="0" w:color="auto"/>
              <w:bottom w:val="single" w:sz="4" w:space="0" w:color="auto"/>
            </w:tcBorders>
            <w:shd w:val="clear" w:color="auto" w:fill="auto"/>
          </w:tcPr>
          <w:p w14:paraId="21567725" w14:textId="69DCAA13" w:rsidR="0093208C" w:rsidRPr="00DC6BE0" w:rsidRDefault="00DC6BE0" w:rsidP="0093208C">
            <w:pPr>
              <w:rPr>
                <w:bCs/>
              </w:rPr>
            </w:pPr>
            <w:r w:rsidRPr="00DC6BE0">
              <w:rPr>
                <w:bCs/>
              </w:rPr>
              <w:lastRenderedPageBreak/>
              <w:t>Lūdzam skatīt 4.1. sadaļu</w:t>
            </w:r>
          </w:p>
        </w:tc>
      </w:tr>
      <w:tr w:rsidR="0093208C" w:rsidRPr="009841AB" w14:paraId="56B8F9BF"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71EE1C1A" w14:textId="77777777" w:rsidR="0093208C" w:rsidRPr="00F37993" w:rsidRDefault="0093208C" w:rsidP="0093208C">
            <w:r w:rsidRPr="00F37993">
              <w:rPr>
                <w:b/>
                <w:bCs/>
                <w:lang w:eastAsia="en-US"/>
              </w:rPr>
              <w:t>Finanšu ministrijas 05.05.2021. atzinums:</w:t>
            </w:r>
          </w:p>
        </w:tc>
      </w:tr>
      <w:tr w:rsidR="0093208C" w:rsidRPr="009841AB" w14:paraId="4B29A1C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151E83C" w14:textId="77777777" w:rsidR="0093208C" w:rsidRPr="00F37993" w:rsidRDefault="0093208C" w:rsidP="0093208C">
            <w:pPr>
              <w:pStyle w:val="naisc"/>
              <w:spacing w:before="0" w:after="0"/>
            </w:pPr>
            <w:r w:rsidRPr="00F37993">
              <w:lastRenderedPageBreak/>
              <w:t>88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E470317" w14:textId="77777777" w:rsidR="0093208C" w:rsidRPr="00F37993" w:rsidRDefault="0093208C" w:rsidP="0093208C">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54E5329" w14:textId="77777777" w:rsidR="0093208C" w:rsidRPr="00F37993" w:rsidRDefault="0093208C" w:rsidP="0093208C">
            <w:pPr>
              <w:jc w:val="both"/>
            </w:pPr>
            <w:r w:rsidRPr="00F37993">
              <w:t xml:space="preserve">1. Uzturam iepriekš izteikto iebildumu un norādām, ka pamatnostādņu 4.1.apašsadaļas ietvaros īstenotie 4.1.1. un 4.1.2. rīcības virzieni būs svarīgi arī valsts pārvaldes iekšējiem auditoriem – viņu profesionālo kompetenču attīstīšanai tādās jomās kā </w:t>
            </w:r>
            <w:proofErr w:type="spellStart"/>
            <w:r w:rsidRPr="00F37993">
              <w:t>digitalizācija</w:t>
            </w:r>
            <w:proofErr w:type="spellEnd"/>
            <w:r w:rsidRPr="00F37993">
              <w:t xml:space="preserve">, IKT, </w:t>
            </w:r>
            <w:proofErr w:type="spellStart"/>
            <w:r w:rsidRPr="00F37993">
              <w:t>kiberdrošība</w:t>
            </w:r>
            <w:proofErr w:type="spellEnd"/>
            <w:r w:rsidRPr="00F37993">
              <w:t>, kritiskā domāšana, dizaina domāšana.</w:t>
            </w:r>
          </w:p>
          <w:p w14:paraId="38D92283" w14:textId="77777777" w:rsidR="0093208C" w:rsidRPr="00F37993" w:rsidRDefault="0093208C" w:rsidP="0093208C">
            <w:pPr>
              <w:jc w:val="both"/>
            </w:pPr>
            <w:r w:rsidRPr="00F37993">
              <w:t xml:space="preserve">Neparedzami strauju pārmaiņu un izaicinājumu apstākļos iekšējā audita struktūrvienībām ir ne tikai savlaicīgi jāreaģē uz trūkumiem iekšējā kontroles sistēmā, sniedzot priekšlikumus to novēršanai, bet vēl būtiskāk - jābūt </w:t>
            </w:r>
            <w:proofErr w:type="spellStart"/>
            <w:r w:rsidRPr="00F37993">
              <w:t>proaktīviem</w:t>
            </w:r>
            <w:proofErr w:type="spellEnd"/>
            <w:r w:rsidRPr="00F37993">
              <w:t>, uz nākotni orientētiem un tālredzīgiem, it īpaši IKT vidē. Arvien vairāk iekšējā audita struktūrvienības kļūst par nozīmīgu padomdevēju ministriju/iestāžu vadītājam izpratnes veidošanai par IT risku pārvaldību, sniedz atbalstu IKT projektu, elektronisko un automatizēto risinājumu veiksmīgākai ieviešanai. Līdz ar to iekšējie auditori kā mērķa grupa jāietver 4.1. attīstības virziena īstenošanā.</w:t>
            </w:r>
          </w:p>
          <w:p w14:paraId="7D0DD487" w14:textId="77777777" w:rsidR="0093208C" w:rsidRPr="00F37993" w:rsidRDefault="0093208C" w:rsidP="0093208C">
            <w:pPr>
              <w:jc w:val="both"/>
            </w:pPr>
            <w:r w:rsidRPr="00F37993">
              <w:t xml:space="preserve">Iekšējā audita jomā nodarbinātajiem ir nepieciešamas specializētas zināšanas un apmācības, kas atšķiras no valsts pārvaldē nodarbināto vispārīgajām prasmēm, līdz ar to lūdzam precizētajā projektā veikt šādus labojumus: </w:t>
            </w:r>
          </w:p>
          <w:p w14:paraId="169F3030" w14:textId="77777777" w:rsidR="0093208C" w:rsidRPr="00F37993" w:rsidRDefault="0093208C" w:rsidP="0093208C">
            <w:pPr>
              <w:jc w:val="both"/>
            </w:pPr>
            <w:r w:rsidRPr="00F37993">
              <w:t xml:space="preserve">Lūdzam rīcības virziena “4.1.2. Rīcības virziens: Pakalpojumu sniegšana“: </w:t>
            </w:r>
          </w:p>
          <w:p w14:paraId="74085FB3" w14:textId="77777777" w:rsidR="0093208C" w:rsidRPr="00F37993" w:rsidRDefault="0093208C" w:rsidP="0093208C">
            <w:pPr>
              <w:jc w:val="both"/>
            </w:pPr>
            <w:r w:rsidRPr="00F37993">
              <w:t xml:space="preserve">• 4.punktā aiz vārdiem “Valsts pārvaldes darbinieku – augstākā līmeņa vadības, pakalpojumu pārvaldītāju un vidējā līmeņa vadītāju, IKT pakalpojumu un projektu vadītāju un ieviesēju, klientu apkalpošanas speciālistu” papildināt ar vārdiem: “, iekšējo auditoru”, </w:t>
            </w:r>
          </w:p>
          <w:p w14:paraId="004C5410" w14:textId="77777777" w:rsidR="0093208C" w:rsidRPr="00F37993" w:rsidRDefault="0093208C" w:rsidP="0093208C">
            <w:pPr>
              <w:jc w:val="both"/>
            </w:pPr>
            <w:r w:rsidRPr="00F37993">
              <w:t xml:space="preserve">• uzdevumu U4.1.2.-1 izteikt šādā redakcijā: “Izstrādāt un ieviest plānu digitālo prasmju pilnveidei valsts iestādēm un amatu grupām, </w:t>
            </w:r>
            <w:proofErr w:type="spellStart"/>
            <w:r w:rsidRPr="00F37993">
              <w:t>monitorēt</w:t>
            </w:r>
            <w:proofErr w:type="spellEnd"/>
            <w:r w:rsidRPr="00F37993">
              <w:t xml:space="preserve"> rezultātus un izvērtēt efektivitāti.” </w:t>
            </w:r>
          </w:p>
          <w:p w14:paraId="0B418B02" w14:textId="77777777" w:rsidR="0093208C" w:rsidRPr="00F37993" w:rsidRDefault="0093208C" w:rsidP="0093208C">
            <w:pPr>
              <w:jc w:val="both"/>
            </w:pPr>
            <w:r w:rsidRPr="00F37993">
              <w:lastRenderedPageBreak/>
              <w:t xml:space="preserve">Lūdzam rīcības virziena “4.2.1. Rīcības virziens: Digitālās drošības politika “ 6.punktu izteikt šādā redakcijā: “ Valsts pārvaldes iestāžu kapacitātes stiprināšana un personāla, jo sevišķi IKT projektu vadītāju, iekšējo auditoru izpratnes veicināšana par draudiem </w:t>
            </w:r>
            <w:proofErr w:type="spellStart"/>
            <w:r w:rsidRPr="00F37993">
              <w:t>kibervidē</w:t>
            </w:r>
            <w:proofErr w:type="spellEnd"/>
            <w:r w:rsidRPr="00F37993">
              <w: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C7E911C" w14:textId="77777777" w:rsidR="0093208C" w:rsidRPr="00F37993" w:rsidRDefault="0093208C" w:rsidP="0093208C">
            <w:pPr>
              <w:pStyle w:val="naisc"/>
              <w:spacing w:before="0" w:after="0"/>
              <w:jc w:val="both"/>
              <w:rPr>
                <w:b/>
              </w:rPr>
            </w:pPr>
            <w:r w:rsidRPr="00F37993">
              <w:rPr>
                <w:b/>
              </w:rPr>
              <w:lastRenderedPageBreak/>
              <w:t>Ņemts vērā</w:t>
            </w:r>
          </w:p>
          <w:p w14:paraId="4E91CF08" w14:textId="77777777" w:rsidR="0093208C" w:rsidRPr="00F37993" w:rsidRDefault="0093208C" w:rsidP="0093208C">
            <w:pPr>
              <w:jc w:val="both"/>
            </w:pPr>
            <w:proofErr w:type="spellStart"/>
            <w:r w:rsidRPr="00F37993">
              <w:t>Apakšsadaļā</w:t>
            </w:r>
            <w:proofErr w:type="spellEnd"/>
            <w:r w:rsidRPr="00F37993">
              <w:t xml:space="preserve"> 4.1.3. teksts precizēts, nepieciešamās rīcības uzskaitījumā ietverts jēdziens  “IKT koplietošanas pakalpojumu sniedzējs skaitļošanas jomā” un tā skaidrojums</w:t>
            </w:r>
          </w:p>
        </w:tc>
        <w:tc>
          <w:tcPr>
            <w:tcW w:w="3497" w:type="dxa"/>
            <w:tcBorders>
              <w:top w:val="single" w:sz="4" w:space="0" w:color="auto"/>
              <w:left w:val="single" w:sz="4" w:space="0" w:color="auto"/>
              <w:bottom w:val="single" w:sz="4" w:space="0" w:color="auto"/>
            </w:tcBorders>
            <w:shd w:val="clear" w:color="auto" w:fill="auto"/>
          </w:tcPr>
          <w:p w14:paraId="4AC037CD" w14:textId="77777777" w:rsidR="0093208C" w:rsidRPr="00F37993" w:rsidRDefault="0093208C" w:rsidP="0093208C">
            <w:r w:rsidRPr="00F37993">
              <w:t xml:space="preserve">Lūdzam skatīt </w:t>
            </w:r>
            <w:proofErr w:type="spellStart"/>
            <w:r w:rsidRPr="00F37993">
              <w:t>apakšsadaļu</w:t>
            </w:r>
            <w:proofErr w:type="spellEnd"/>
            <w:r w:rsidRPr="00F37993">
              <w:t xml:space="preserve"> 4.1.3. </w:t>
            </w:r>
          </w:p>
        </w:tc>
      </w:tr>
      <w:tr w:rsidR="0093208C" w:rsidRPr="009841AB" w14:paraId="3163D63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72FC46E" w14:textId="77777777" w:rsidR="0093208C" w:rsidRPr="00F37993" w:rsidRDefault="0093208C" w:rsidP="0093208C">
            <w:pPr>
              <w:pStyle w:val="naisc"/>
              <w:spacing w:before="0" w:after="0"/>
            </w:pPr>
            <w:r w:rsidRPr="00F37993">
              <w:lastRenderedPageBreak/>
              <w:t>89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E8F7CD7" w14:textId="77777777" w:rsidR="0093208C" w:rsidRPr="00F37993" w:rsidRDefault="0093208C" w:rsidP="0093208C">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1B50586" w14:textId="77777777" w:rsidR="0093208C" w:rsidRPr="00F37993" w:rsidRDefault="0093208C" w:rsidP="0093208C">
            <w:pPr>
              <w:jc w:val="both"/>
            </w:pPr>
            <w:r w:rsidRPr="00F37993">
              <w:t>2. Atkārtoti lūdzam skaidrot, kas pamatnostādņu projekta 4.1.apakšadaļas 4.1.3. Rīcības virziena “Pakalpojumu un sistēmu veidošana” apraksta ietvaros ir saprotams ar kompetenču centriem. Valsts pārvaldes iestāžu un īpaši - kompetenču centru darbinieki, ir prasmīgi ieviest digitālās tehnoloģijas (tajā skaitā mākslīgo intelektu, datu analītiku, automatizāciju), lai uzlabotu iestādes darbības produktivitāti, pakalpojumus iedzīvotājiem un uzņēmējiem, kā arī efektīvi risinātu sabiedrības un klimata izaicinājumus.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8A188C0" w14:textId="5F68B5A9" w:rsidR="0093208C" w:rsidRPr="00F37993" w:rsidRDefault="003C55C0" w:rsidP="0093208C">
            <w:pPr>
              <w:jc w:val="both"/>
              <w:rPr>
                <w:b/>
              </w:rPr>
            </w:pPr>
            <w:r>
              <w:rPr>
                <w:b/>
                <w:bCs/>
                <w:lang w:eastAsia="en-US"/>
              </w:rPr>
              <w:t>Ņemts vērā</w:t>
            </w:r>
          </w:p>
        </w:tc>
        <w:tc>
          <w:tcPr>
            <w:tcW w:w="3497" w:type="dxa"/>
            <w:tcBorders>
              <w:top w:val="single" w:sz="4" w:space="0" w:color="auto"/>
              <w:left w:val="single" w:sz="4" w:space="0" w:color="auto"/>
              <w:bottom w:val="single" w:sz="4" w:space="0" w:color="auto"/>
            </w:tcBorders>
            <w:shd w:val="clear" w:color="auto" w:fill="auto"/>
          </w:tcPr>
          <w:p w14:paraId="0807E188" w14:textId="6BA03DF5" w:rsidR="0093208C" w:rsidRPr="00F37993" w:rsidRDefault="003C55C0" w:rsidP="0093208C">
            <w:r>
              <w:t>Lūdzam skatīt 4.1. sadaļu</w:t>
            </w:r>
          </w:p>
        </w:tc>
      </w:tr>
      <w:tr w:rsidR="00C83550" w:rsidRPr="009841AB" w14:paraId="4CBA2EF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5E1E5545" w14:textId="77777777" w:rsidR="00C83550" w:rsidRPr="00F37993" w:rsidRDefault="00C83550" w:rsidP="00C83550">
            <w:pPr>
              <w:tabs>
                <w:tab w:val="left" w:pos="720"/>
              </w:tabs>
              <w:contextualSpacing/>
              <w:jc w:val="both"/>
              <w:rPr>
                <w:b/>
                <w:bCs/>
                <w:lang w:eastAsia="en-US"/>
              </w:rPr>
            </w:pPr>
            <w:r w:rsidRPr="00F37993">
              <w:rPr>
                <w:b/>
                <w:bCs/>
                <w:lang w:eastAsia="en-US"/>
              </w:rPr>
              <w:t>Izglītības un zinātnes ministrijas 27.01.2021. atzinums:</w:t>
            </w:r>
          </w:p>
        </w:tc>
      </w:tr>
      <w:tr w:rsidR="0093208C" w:rsidRPr="009841AB" w14:paraId="118683D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DA910C7" w14:textId="77777777" w:rsidR="0093208C" w:rsidRPr="00F37993" w:rsidRDefault="0093208C" w:rsidP="0093208C">
            <w:pPr>
              <w:pStyle w:val="naisc"/>
              <w:spacing w:before="0" w:after="0"/>
            </w:pPr>
            <w:r w:rsidRPr="00F37993">
              <w:t>90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9F5619B" w14:textId="77777777" w:rsidR="0093208C" w:rsidRPr="00F37993" w:rsidRDefault="0093208C" w:rsidP="0093208C">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5AE63CE" w14:textId="77777777" w:rsidR="0093208C" w:rsidRPr="00F37993" w:rsidRDefault="0093208C" w:rsidP="0093208C">
            <w:pPr>
              <w:jc w:val="both"/>
            </w:pPr>
            <w:r w:rsidRPr="00F37993">
              <w:t>1.</w:t>
            </w:r>
            <w:r w:rsidRPr="00F37993">
              <w:tab/>
              <w:t xml:space="preserve">Lūdzam Pamatnostādņu projekta 4.1. attīstības virziena „Digitālās prasmes un izglītība” ievadā (17. </w:t>
            </w:r>
            <w:proofErr w:type="spellStart"/>
            <w:r w:rsidRPr="00F37993">
              <w:t>lp</w:t>
            </w:r>
            <w:proofErr w:type="spellEnd"/>
            <w:r w:rsidRPr="00F37993">
              <w:t xml:space="preserve">) </w:t>
            </w:r>
            <w:r w:rsidRPr="00F37993">
              <w:rPr>
                <w:b/>
              </w:rPr>
              <w:t xml:space="preserve">precizēt 1. un 2. digitālās </w:t>
            </w:r>
            <w:proofErr w:type="spellStart"/>
            <w:r w:rsidRPr="00F37993">
              <w:rPr>
                <w:b/>
              </w:rPr>
              <w:t>pratības</w:t>
            </w:r>
            <w:proofErr w:type="spellEnd"/>
            <w:r w:rsidRPr="00F37993">
              <w:rPr>
                <w:b/>
              </w:rPr>
              <w:t xml:space="preserve"> līmeņa aprakstus, skaidri definējot atšķirības starp līmeņiem attiecībā uz mācību mērķiem un konkrētām mērķauditorijām,</w:t>
            </w:r>
            <w:r w:rsidRPr="00F37993">
              <w:t xml:space="preserve"> norādot, ka 1. līmenis “Līdzdalība” ir pamata līmenis iedzīvotāju informācijas iegūšanas un līdzdalības tiesību nodrošināšanai, t.sk. digitālās prasmes iekļaušanai digitālajā sabiedrībā, informācijas iegūšanai, saziņai, aktīvai līdzdalībai un ikdienas pakalpojumu lietošanai, savukārt 2. līmenis – digitālās prasmes, kas </w:t>
            </w:r>
            <w:proofErr w:type="spellStart"/>
            <w:r w:rsidRPr="00F37993">
              <w:t>efektivizē</w:t>
            </w:r>
            <w:proofErr w:type="spellEnd"/>
            <w:r w:rsidRPr="00F37993">
              <w:t xml:space="preserve"> darbu un mācības, palielina veiktspēju un paplašina iespējas – “Nodarbinātībai un mūžizglītībai”, t.i. digitālās prasmes produktivitātei, darba efektivitātes uzlabošanai un mūžizglītībai, t.sk. digitālo tehnoloģiju risinājumu, lietotņu un pakalpojumu izmantošanai.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E37B047" w14:textId="77777777" w:rsidR="0093208C" w:rsidRPr="00F37993" w:rsidRDefault="0093208C" w:rsidP="0093208C">
            <w:pPr>
              <w:pStyle w:val="naisc"/>
              <w:spacing w:before="0" w:after="0"/>
              <w:jc w:val="both"/>
            </w:pPr>
            <w:r w:rsidRPr="00F37993">
              <w:rPr>
                <w:b/>
              </w:rPr>
              <w:t>Ņemts vērā</w:t>
            </w:r>
          </w:p>
        </w:tc>
        <w:tc>
          <w:tcPr>
            <w:tcW w:w="3497" w:type="dxa"/>
            <w:tcBorders>
              <w:top w:val="single" w:sz="4" w:space="0" w:color="auto"/>
              <w:left w:val="single" w:sz="4" w:space="0" w:color="auto"/>
              <w:bottom w:val="single" w:sz="4" w:space="0" w:color="auto"/>
            </w:tcBorders>
            <w:shd w:val="clear" w:color="auto" w:fill="auto"/>
          </w:tcPr>
          <w:p w14:paraId="5972507C" w14:textId="77777777" w:rsidR="0093208C" w:rsidRPr="00F37993" w:rsidRDefault="0093208C" w:rsidP="0093208C">
            <w:r w:rsidRPr="00F37993">
              <w:t>Lūdzam skatīt attīstības virziena 4.1. ievadu</w:t>
            </w:r>
          </w:p>
        </w:tc>
      </w:tr>
      <w:tr w:rsidR="0093208C" w:rsidRPr="009841AB" w14:paraId="7B985F8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07C5399" w14:textId="77777777" w:rsidR="0093208C" w:rsidRPr="00F37993" w:rsidRDefault="0093208C" w:rsidP="0093208C">
            <w:pPr>
              <w:pStyle w:val="naisc"/>
              <w:spacing w:before="0" w:after="0"/>
            </w:pPr>
            <w:r w:rsidRPr="00F37993">
              <w:lastRenderedPageBreak/>
              <w:t>91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CA010E3" w14:textId="77777777" w:rsidR="0093208C" w:rsidRPr="00F37993" w:rsidRDefault="0093208C" w:rsidP="0093208C">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3B4BB7E" w14:textId="77777777" w:rsidR="0093208C" w:rsidRPr="00F37993" w:rsidRDefault="0093208C" w:rsidP="0093208C">
            <w:pPr>
              <w:jc w:val="both"/>
            </w:pPr>
            <w:r w:rsidRPr="00F37993">
              <w:t>2.</w:t>
            </w:r>
            <w:r w:rsidRPr="00F37993">
              <w:tab/>
              <w:t xml:space="preserve">Projekta 4.1.attīstības virzienā “Digitālās prasmes un izglītība” par dažādiem uzdevumiem, kuri IZM ieskatā, lielā daļā pārklājas, ir noteiktas kā atbildīgās institūcijas dažādas ministrijas, piemēram, uzdevumam U4.1.1.-1 “Vienota rīcības plāna izstrāde un ieviešana digitālo prasmju kā caurviju </w:t>
            </w:r>
            <w:proofErr w:type="spellStart"/>
            <w:r w:rsidRPr="00F37993">
              <w:t>pamatprasmju</w:t>
            </w:r>
            <w:proofErr w:type="spellEnd"/>
            <w:r w:rsidRPr="00F37993">
              <w:t xml:space="preserve"> apguves nodrošināšanai katram iedzīvotājam” kā atbildīgā institūcija ir noteikta IZM, savukārt, uzdevumam U4.1.2.-3 “Noteikt prioritāros pasākumus, koordinēt plāna izstrādi un ieviešanu Digitālo prasmju pilnveidei” kā atbildīgā institūcija ir noteikta VARAM. IZM ieskatā uz digitālo prasmju attīstības plānošanu ir jāskatās caur integrētu pieeju, veidojot elastīgu un vienotu prasmju pārvaldības sistēmu, skatoties uz visām caurviju prasmēm kā vienotu veselumu, lai nodrošinātu pilnvērtīgas prasmju attīstības un pārvaldības sistēmas veidošanu valstī. Tādēļ par visiem prasmju attīstības pasākumiem kā atbildīgā institūcija ir nosakāma IZM, kā vadošā valsts pārvaldes iestāde izglītības politikas t.sk. pieaugušo izglītības politikas veidošanā, paredzot citu ministriju un institūciju līdzatbildību par to plānošanu un izpildi.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789A152" w14:textId="77777777" w:rsidR="0093208C" w:rsidRPr="00F37993" w:rsidRDefault="0093208C" w:rsidP="0093208C">
            <w:pPr>
              <w:pStyle w:val="naisc"/>
              <w:spacing w:before="0" w:after="0"/>
              <w:jc w:val="both"/>
              <w:rPr>
                <w:b/>
              </w:rPr>
            </w:pPr>
            <w:r w:rsidRPr="00F37993">
              <w:rPr>
                <w:b/>
              </w:rPr>
              <w:t>Ņemts vērā</w:t>
            </w:r>
          </w:p>
          <w:p w14:paraId="55FEAABE" w14:textId="77777777" w:rsidR="0093208C" w:rsidRPr="00F37993" w:rsidRDefault="0093208C" w:rsidP="0093208C">
            <w:pPr>
              <w:pStyle w:val="naisc"/>
              <w:spacing w:before="0" w:after="0"/>
              <w:jc w:val="both"/>
              <w:rPr>
                <w:bCs/>
              </w:rPr>
            </w:pPr>
            <w:r w:rsidRPr="00F37993">
              <w:rPr>
                <w:bCs/>
              </w:rPr>
              <w:t>Pie visiem prasmju attīstības pasākumiem kā atbildīgā institūcija vai viena no atbildīgajām institūcijām ir noteikta IZM kā vadošā valsts pārvaldes iestāde izglītības politikas t.sk. pieaugušo izglītības politikas veidošanā, paredzot citu ministriju un institūciju atbildību un līdzatbildību par to plānošanu un izpildi.</w:t>
            </w:r>
          </w:p>
        </w:tc>
        <w:tc>
          <w:tcPr>
            <w:tcW w:w="3497" w:type="dxa"/>
            <w:tcBorders>
              <w:top w:val="single" w:sz="4" w:space="0" w:color="auto"/>
              <w:left w:val="single" w:sz="4" w:space="0" w:color="auto"/>
              <w:bottom w:val="single" w:sz="4" w:space="0" w:color="auto"/>
            </w:tcBorders>
            <w:shd w:val="clear" w:color="auto" w:fill="auto"/>
          </w:tcPr>
          <w:p w14:paraId="25E920B4" w14:textId="77777777" w:rsidR="0093208C" w:rsidRPr="00F37993" w:rsidRDefault="0093208C" w:rsidP="0093208C">
            <w:pPr>
              <w:jc w:val="both"/>
            </w:pPr>
          </w:p>
        </w:tc>
      </w:tr>
      <w:tr w:rsidR="0093208C" w:rsidRPr="009841AB" w14:paraId="44CC726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F95721F" w14:textId="77777777" w:rsidR="0093208C" w:rsidRPr="00F37993" w:rsidRDefault="0093208C" w:rsidP="0093208C">
            <w:pPr>
              <w:pStyle w:val="naisc"/>
              <w:spacing w:before="0" w:after="0"/>
            </w:pPr>
            <w:r w:rsidRPr="00F37993">
              <w:t>92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347CC07" w14:textId="77777777" w:rsidR="0093208C" w:rsidRPr="00F37993" w:rsidRDefault="0093208C" w:rsidP="0093208C">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46B0E4C" w14:textId="77777777" w:rsidR="0093208C" w:rsidRPr="00F37993" w:rsidRDefault="0093208C" w:rsidP="0093208C">
            <w:pPr>
              <w:jc w:val="both"/>
            </w:pPr>
            <w:r w:rsidRPr="00F37993">
              <w:t>3.</w:t>
            </w:r>
            <w:r w:rsidRPr="00F37993">
              <w:tab/>
              <w:t xml:space="preserve">Projekta 4.1.attīstības virzienā “Digitālās prasmes un izglītība” </w:t>
            </w:r>
            <w:r w:rsidRPr="00F37993">
              <w:rPr>
                <w:b/>
              </w:rPr>
              <w:t>4.1.1.rīcības virziena esošās situācijas aprakstā nav analizēta esošā situācija rīcības virziena ietvaros</w:t>
            </w:r>
            <w:r w:rsidRPr="00F37993">
              <w:t xml:space="preserve">, bet gan vispārīgi aprakstīts pamatnostādņu izveides mērķis, </w:t>
            </w:r>
            <w:r w:rsidRPr="00F37993">
              <w:rPr>
                <w:b/>
              </w:rPr>
              <w:t xml:space="preserve">nav veikta plašāka analīze par iedzīvotāju grupām, kurām ir digitālo </w:t>
            </w:r>
            <w:proofErr w:type="spellStart"/>
            <w:r w:rsidRPr="00F37993">
              <w:rPr>
                <w:b/>
              </w:rPr>
              <w:t>pamatprasmju</w:t>
            </w:r>
            <w:proofErr w:type="spellEnd"/>
            <w:r w:rsidRPr="00F37993">
              <w:rPr>
                <w:b/>
              </w:rPr>
              <w:t xml:space="preserve"> trūkums, iztrūkst informācija, kas pamato tālāk pieteikto nepieciešamo rīcību</w:t>
            </w:r>
            <w:r w:rsidRPr="00F37993">
              <w:t xml:space="preserve"> kā atbilstošu izvirzīto mērķu un attīstības virzienam noteikto rezultatīvo rādītāju sasniegšanu.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A1046B7" w14:textId="77777777" w:rsidR="0093208C" w:rsidRPr="00F37993" w:rsidRDefault="0093208C" w:rsidP="0093208C">
            <w:pPr>
              <w:pStyle w:val="naisc"/>
              <w:spacing w:before="0" w:after="0"/>
              <w:jc w:val="both"/>
              <w:rPr>
                <w:b/>
              </w:rPr>
            </w:pPr>
            <w:r w:rsidRPr="00F37993">
              <w:rPr>
                <w:b/>
              </w:rPr>
              <w:t>Ņemts vērā</w:t>
            </w:r>
          </w:p>
          <w:p w14:paraId="2D758A70" w14:textId="77777777" w:rsidR="0093208C" w:rsidRPr="00F37993" w:rsidRDefault="0093208C" w:rsidP="0093208C">
            <w:pPr>
              <w:pStyle w:val="naisc"/>
              <w:spacing w:before="0" w:after="0"/>
              <w:jc w:val="both"/>
            </w:pPr>
            <w:r w:rsidRPr="00F37993">
              <w:t xml:space="preserve">Precizēts, sniedzot plašāku analīzi par iedzīvotāju grupām, kurām ir digitālo </w:t>
            </w:r>
            <w:proofErr w:type="spellStart"/>
            <w:r w:rsidRPr="00F37993">
              <w:t>pamatprasmju</w:t>
            </w:r>
            <w:proofErr w:type="spellEnd"/>
            <w:r w:rsidRPr="00F37993">
              <w:t xml:space="preserve"> trūkums, iztrūkst informācija, kas pamato tālāk pieteikto nepieciešamo rīcību</w:t>
            </w:r>
          </w:p>
        </w:tc>
        <w:tc>
          <w:tcPr>
            <w:tcW w:w="3497" w:type="dxa"/>
            <w:tcBorders>
              <w:top w:val="single" w:sz="4" w:space="0" w:color="auto"/>
              <w:left w:val="single" w:sz="4" w:space="0" w:color="auto"/>
              <w:bottom w:val="single" w:sz="4" w:space="0" w:color="auto"/>
            </w:tcBorders>
            <w:shd w:val="clear" w:color="auto" w:fill="auto"/>
          </w:tcPr>
          <w:p w14:paraId="114CA7C2" w14:textId="77777777" w:rsidR="0093208C" w:rsidRPr="00F37993" w:rsidRDefault="0093208C" w:rsidP="0093208C">
            <w:r w:rsidRPr="00F37993">
              <w:t xml:space="preserve">Lūdzam skatīt </w:t>
            </w:r>
            <w:proofErr w:type="spellStart"/>
            <w:r w:rsidRPr="00F37993">
              <w:t>apakšsadaļu</w:t>
            </w:r>
            <w:proofErr w:type="spellEnd"/>
            <w:r w:rsidRPr="00F37993">
              <w:t xml:space="preserve">  4.1.2 (iepriekš 4.1.1.)</w:t>
            </w:r>
          </w:p>
        </w:tc>
      </w:tr>
      <w:tr w:rsidR="0093208C" w:rsidRPr="009841AB" w14:paraId="499B629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24CAFDA" w14:textId="77777777" w:rsidR="0093208C" w:rsidRPr="00F37993" w:rsidRDefault="0093208C" w:rsidP="0093208C">
            <w:pPr>
              <w:pStyle w:val="naisc"/>
              <w:spacing w:before="0" w:after="0"/>
            </w:pPr>
            <w:r w:rsidRPr="00F37993">
              <w:t>93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3033C61" w14:textId="77777777" w:rsidR="0093208C" w:rsidRPr="00F37993" w:rsidRDefault="0093208C" w:rsidP="0093208C">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E300438" w14:textId="77777777" w:rsidR="0093208C" w:rsidRPr="00F37993" w:rsidRDefault="0093208C" w:rsidP="0093208C">
            <w:pPr>
              <w:jc w:val="both"/>
            </w:pPr>
            <w:r w:rsidRPr="00F37993">
              <w:t>4.</w:t>
            </w:r>
            <w:r w:rsidRPr="00F37993">
              <w:tab/>
              <w:t>Projekta 4.1.attīstības virzienā “Digitālās prasmes un izglītība” 4</w:t>
            </w:r>
            <w:r w:rsidRPr="00F37993">
              <w:rPr>
                <w:b/>
              </w:rPr>
              <w:t xml:space="preserve">.1.1.rīcības virziena sadaļā “Nepieciešamā rīcība” nav iezīmēti plānotie </w:t>
            </w:r>
            <w:proofErr w:type="spellStart"/>
            <w:r w:rsidRPr="00F37993">
              <w:rPr>
                <w:b/>
              </w:rPr>
              <w:lastRenderedPageBreak/>
              <w:t>rīcībpolitikas</w:t>
            </w:r>
            <w:proofErr w:type="spellEnd"/>
            <w:r w:rsidRPr="00F37993">
              <w:rPr>
                <w:b/>
              </w:rPr>
              <w:t xml:space="preserve"> virzieni, kas ļautu veikt būtiskas izmaiņas</w:t>
            </w:r>
            <w:r w:rsidRPr="00F37993">
              <w:t xml:space="preserve"> Latvijas sniegumā DESI indeksa komponentē </w:t>
            </w:r>
            <w:r w:rsidRPr="00F37993">
              <w:rPr>
                <w:b/>
              </w:rPr>
              <w:t>par iedzīvotāju ar vismaz pamata digitālajām īpatsvara būtisku paaugstināšanu un novestu pie sadaļā “Sagaidāmais rezultāts” aprakstītajiem rezultātiem.</w:t>
            </w:r>
            <w:r w:rsidRPr="00F37993">
              <w:t xml:space="preserve">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31EADEB" w14:textId="77777777" w:rsidR="0093208C" w:rsidRPr="00F37993" w:rsidRDefault="0093208C" w:rsidP="0093208C">
            <w:pPr>
              <w:pStyle w:val="naisc"/>
              <w:spacing w:before="0" w:after="0"/>
              <w:jc w:val="both"/>
              <w:rPr>
                <w:b/>
              </w:rPr>
            </w:pPr>
            <w:r w:rsidRPr="00F37993">
              <w:rPr>
                <w:b/>
              </w:rPr>
              <w:lastRenderedPageBreak/>
              <w:t>Ņemts vērā</w:t>
            </w:r>
          </w:p>
          <w:p w14:paraId="4B02C51F" w14:textId="77777777" w:rsidR="0093208C" w:rsidRPr="00F37993" w:rsidRDefault="0093208C" w:rsidP="0093208C">
            <w:pPr>
              <w:pStyle w:val="naisc"/>
              <w:spacing w:before="0" w:after="0"/>
              <w:jc w:val="both"/>
              <w:rPr>
                <w:b/>
              </w:rPr>
            </w:pPr>
            <w:r w:rsidRPr="00F37993">
              <w:t xml:space="preserve">4.1.attīstības virziena ievada teksts precizēts </w:t>
            </w:r>
            <w:r w:rsidRPr="00F37993">
              <w:lastRenderedPageBreak/>
              <w:t xml:space="preserve">uzsverot  nepieciešamību pēc integrētas pieejas, veidojot elastīgu un vienotu prasmju pārvaldības sistēmu, skatoties uz visām caurviju prasmēm kā vienotu veselumu, lai nodrošinātu pilnvērtīgas prasmju attīstības un pārvaldības sistēmas veidošanu valstī. Iezīmēti </w:t>
            </w:r>
            <w:proofErr w:type="spellStart"/>
            <w:r w:rsidRPr="00F37993">
              <w:t>rīcībpolitikas</w:t>
            </w:r>
            <w:proofErr w:type="spellEnd"/>
            <w:r w:rsidRPr="00F37993">
              <w:t xml:space="preserve"> virzieni.</w:t>
            </w:r>
          </w:p>
        </w:tc>
        <w:tc>
          <w:tcPr>
            <w:tcW w:w="3497" w:type="dxa"/>
            <w:tcBorders>
              <w:top w:val="single" w:sz="4" w:space="0" w:color="auto"/>
              <w:left w:val="single" w:sz="4" w:space="0" w:color="auto"/>
              <w:bottom w:val="single" w:sz="4" w:space="0" w:color="auto"/>
            </w:tcBorders>
            <w:shd w:val="clear" w:color="auto" w:fill="auto"/>
          </w:tcPr>
          <w:p w14:paraId="44510B4F" w14:textId="77777777" w:rsidR="0093208C" w:rsidRPr="00F37993" w:rsidRDefault="0093208C" w:rsidP="0093208C">
            <w:pPr>
              <w:spacing w:before="120" w:after="120"/>
            </w:pPr>
            <w:r w:rsidRPr="00F37993">
              <w:lastRenderedPageBreak/>
              <w:t xml:space="preserve">Lūdzam skatīt </w:t>
            </w:r>
            <w:proofErr w:type="spellStart"/>
            <w:r w:rsidRPr="00F37993">
              <w:t>apakšsadaļu</w:t>
            </w:r>
            <w:proofErr w:type="spellEnd"/>
            <w:r w:rsidRPr="00F37993">
              <w:t xml:space="preserve"> 4.1.2.</w:t>
            </w:r>
          </w:p>
          <w:p w14:paraId="742BA665" w14:textId="77777777" w:rsidR="0093208C" w:rsidRPr="00F37993" w:rsidRDefault="0093208C" w:rsidP="0093208C">
            <w:pPr>
              <w:spacing w:before="120" w:after="120"/>
            </w:pPr>
            <w:r w:rsidRPr="00F37993">
              <w:lastRenderedPageBreak/>
              <w:t xml:space="preserve"> Uzdevums U4.1.2.-1</w:t>
            </w:r>
          </w:p>
        </w:tc>
      </w:tr>
      <w:tr w:rsidR="0093208C" w:rsidRPr="009841AB" w14:paraId="776EEE6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921CB90" w14:textId="77777777" w:rsidR="0093208C" w:rsidRPr="00F37993" w:rsidRDefault="0093208C" w:rsidP="0093208C">
            <w:pPr>
              <w:pStyle w:val="naisc"/>
              <w:spacing w:before="0" w:after="0"/>
            </w:pPr>
            <w:r w:rsidRPr="00F37993">
              <w:lastRenderedPageBreak/>
              <w:t>94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08B408F" w14:textId="77777777" w:rsidR="0093208C" w:rsidRPr="00F37993" w:rsidRDefault="0093208C" w:rsidP="0093208C">
            <w:r w:rsidRPr="00F37993">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9388159" w14:textId="77777777" w:rsidR="0093208C" w:rsidRPr="00F37993" w:rsidRDefault="0093208C" w:rsidP="0093208C">
            <w:pPr>
              <w:jc w:val="both"/>
            </w:pPr>
            <w:r w:rsidRPr="00F37993">
              <w:t>5.</w:t>
            </w:r>
            <w:r w:rsidRPr="00F37993">
              <w:tab/>
              <w:t xml:space="preserve">Projekta 4.1.3. rīcības virzienā “Pakalpojumu un sistēmu veidošana” nav saprotama sakarības starp rīcības virziena esošās situācijas aprakstu, kurā ir liels uzsvars uz IKT speciālistiem, bet tajā pašā laikā to trūkums nav identificēts kā izaicinājums. Izaicinājumos vairāk ir minētas problēmas ar valsts pārvaldes iestāžu darbību,  trūkumi valsts pārvaldes darbinieku digitālajās kompetencē. Savukārt, nepieciešamā rīcība vairāk norāda uz nepieciešamību pēc plašākiem vidēja līmeņa digitālo prasmju attīstības pasākumiem. Turklāt, nav arī saprotams ar kuru no sagaidāmās rīcības pasākumiem tiek paredzēts sasniegt plānotos rezultātus.  Vēl jāatzīmē, ka </w:t>
            </w:r>
            <w:r w:rsidRPr="00F37993">
              <w:rPr>
                <w:b/>
              </w:rPr>
              <w:t>šo rīcības virzienu tiek paredzēts īstenot ar uzdevuma U4.1.3.-1 “</w:t>
            </w:r>
            <w:proofErr w:type="spellStart"/>
            <w:r w:rsidRPr="00F37993">
              <w:rPr>
                <w:b/>
              </w:rPr>
              <w:t>Digitalizācijas</w:t>
            </w:r>
            <w:proofErr w:type="spellEnd"/>
            <w:r w:rsidRPr="00F37993">
              <w:rPr>
                <w:b/>
              </w:rPr>
              <w:t xml:space="preserve"> un vispārējo digitālo prasmju stiprināšanas komersantiem plāna izveide un īstenošana” izpildi, kas, IZM ieskatā, neveido sakarības ne ar aprakstīto esošo situāciju, ne </w:t>
            </w:r>
            <w:r w:rsidRPr="00F37993">
              <w:rPr>
                <w:b/>
              </w:rPr>
              <w:lastRenderedPageBreak/>
              <w:t xml:space="preserve">izaicinājumiem, ne arī sagaidāmo rīcību un rezultātiem. </w:t>
            </w:r>
            <w:r w:rsidRPr="00F37993">
              <w:t xml:space="preserve">Lūdzam precizēt projektu.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7C6ED2D" w14:textId="77777777" w:rsidR="0093208C" w:rsidRPr="00F37993" w:rsidRDefault="0093208C" w:rsidP="0093208C">
            <w:pPr>
              <w:pStyle w:val="naisc"/>
              <w:spacing w:before="0" w:after="0"/>
              <w:jc w:val="both"/>
              <w:rPr>
                <w:b/>
              </w:rPr>
            </w:pPr>
            <w:r w:rsidRPr="00F37993">
              <w:rPr>
                <w:b/>
              </w:rPr>
              <w:lastRenderedPageBreak/>
              <w:t>Ņemts vērā</w:t>
            </w:r>
          </w:p>
          <w:p w14:paraId="0585B9E2" w14:textId="77777777" w:rsidR="0093208C" w:rsidRPr="00F37993" w:rsidRDefault="0093208C" w:rsidP="0093208C">
            <w:r w:rsidRPr="00F37993">
              <w:t>Uzdevums 4.1.3.-1 precizēts, nodrošinot labāku sasaisti ar plānoto rīcību un nosakot, ka</w:t>
            </w:r>
          </w:p>
          <w:p w14:paraId="7638C11B" w14:textId="77777777" w:rsidR="0093208C" w:rsidRPr="00F37993" w:rsidRDefault="0093208C" w:rsidP="0093208C">
            <w:pPr>
              <w:pStyle w:val="naisc"/>
              <w:spacing w:before="0" w:after="0"/>
              <w:jc w:val="both"/>
              <w:rPr>
                <w:b/>
              </w:rPr>
            </w:pPr>
            <w:r w:rsidRPr="00F37993">
              <w:t xml:space="preserve">trīs un publiskās pārvaldes iestādēm, atbalstot </w:t>
            </w:r>
            <w:r w:rsidRPr="00F37993">
              <w:rPr>
                <w:noProof/>
              </w:rPr>
              <w:t>padziļinātu digitālo prasmju vieglu pieejamību pašreizējam un nākotnes darbaspēkam, jo īpaši augstas veiktspējas datošanas, mākslīgā intelekta, blokķēžu un kiberdrošības jomā, piedāvājot apgūt un pilnveidot šīs prasmes.</w:t>
            </w:r>
          </w:p>
        </w:tc>
        <w:tc>
          <w:tcPr>
            <w:tcW w:w="3497" w:type="dxa"/>
            <w:tcBorders>
              <w:top w:val="single" w:sz="4" w:space="0" w:color="auto"/>
              <w:left w:val="single" w:sz="4" w:space="0" w:color="auto"/>
              <w:bottom w:val="single" w:sz="4" w:space="0" w:color="auto"/>
            </w:tcBorders>
            <w:shd w:val="clear" w:color="auto" w:fill="auto"/>
          </w:tcPr>
          <w:p w14:paraId="7A5516E0" w14:textId="77777777" w:rsidR="0093208C" w:rsidRPr="00F37993" w:rsidRDefault="0093208C" w:rsidP="0093208C">
            <w:r w:rsidRPr="00F37993">
              <w:t>Lūdzam skatīt ievadu:</w:t>
            </w:r>
          </w:p>
          <w:p w14:paraId="2D5B8923" w14:textId="77777777" w:rsidR="0093208C" w:rsidRPr="00F37993" w:rsidRDefault="0093208C" w:rsidP="0093208C"/>
          <w:p w14:paraId="2BA8BDA3" w14:textId="77777777" w:rsidR="0093208C" w:rsidRPr="00F37993" w:rsidRDefault="0093208C" w:rsidP="0093208C">
            <w:r w:rsidRPr="00F37993">
              <w:rPr>
                <w:lang w:val="lv"/>
              </w:rPr>
              <w:t>Uzlabojumus digitālo pakalpojumu integrācijā komersantu vidū ierobežo augsti kvalificētu speciālistu trūkums.... Gandrīz puse no visiem Latvijas komersantiem, kas vēlas pieņemt darbā IKT jomas speciālistus, ziņo par grūtībām aizpildīt vakances</w:t>
            </w:r>
          </w:p>
          <w:p w14:paraId="037FD95B" w14:textId="77777777" w:rsidR="0093208C" w:rsidRPr="00F37993" w:rsidRDefault="0093208C" w:rsidP="0093208C">
            <w:r w:rsidRPr="00F37993">
              <w:t>uzdevumu 4.1.3.-1</w:t>
            </w:r>
          </w:p>
          <w:p w14:paraId="5AC221F1" w14:textId="77777777" w:rsidR="0093208C" w:rsidRPr="00F37993" w:rsidRDefault="0093208C" w:rsidP="0093208C"/>
          <w:p w14:paraId="649D08FE" w14:textId="77777777" w:rsidR="0093208C" w:rsidRPr="00F37993" w:rsidRDefault="0093208C" w:rsidP="0093208C">
            <w:r w:rsidRPr="00F37993">
              <w:t>Norāde uz IKT speciālistu trūkumu sniegta 4.pielikumā “Situācijas apraksts”</w:t>
            </w:r>
          </w:p>
        </w:tc>
      </w:tr>
      <w:tr w:rsidR="0093208C" w:rsidRPr="00C144C1" w14:paraId="5CABF32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5BE0352" w14:textId="77777777" w:rsidR="0093208C" w:rsidRPr="00C144C1" w:rsidRDefault="0093208C" w:rsidP="0093208C">
            <w:pPr>
              <w:pStyle w:val="naisc"/>
              <w:spacing w:before="0" w:after="0"/>
            </w:pPr>
            <w:r w:rsidRPr="00C144C1">
              <w:t>95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5924951"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8136AE4" w14:textId="77777777" w:rsidR="0093208C" w:rsidRPr="00C144C1" w:rsidRDefault="0093208C" w:rsidP="0093208C">
            <w:pPr>
              <w:jc w:val="both"/>
            </w:pPr>
            <w:r w:rsidRPr="00C144C1">
              <w:t>6.</w:t>
            </w:r>
            <w:r w:rsidRPr="00C144C1">
              <w:tab/>
              <w:t xml:space="preserve">Vēršam uzmanību, ka 4.1.5. rīcības virziens: “Digitālās prasmes izglītības sektorā” saturiski daļēji pārklājas ar iepriekšējos rīcības virzienos aprakstīto, tādēļ IZM ieskatā, rīcības virzienu skaits 4.1.attīstības virzienā būtu samazināms, grupējot plānoto rīcību lielākos rīcības virzienos, kuriem pakārtojas attīstības virzienam noteikto rezultatīvo rādītāju izpildei atbilstoši uzdevumi.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BF864BA" w14:textId="77777777" w:rsidR="0093208C" w:rsidRPr="00C144C1" w:rsidRDefault="0093208C" w:rsidP="0093208C">
            <w:pPr>
              <w:pStyle w:val="naisc"/>
              <w:spacing w:before="0" w:after="0"/>
              <w:jc w:val="both"/>
              <w:rPr>
                <w:b/>
              </w:rPr>
            </w:pPr>
            <w:r w:rsidRPr="00C144C1">
              <w:rPr>
                <w:b/>
              </w:rPr>
              <w:t>Ņemts vērā</w:t>
            </w:r>
          </w:p>
          <w:p w14:paraId="533CFA60" w14:textId="77777777" w:rsidR="0093208C" w:rsidRPr="00C144C1" w:rsidRDefault="0093208C" w:rsidP="0093208C">
            <w:pPr>
              <w:pStyle w:val="naisc"/>
              <w:spacing w:before="0" w:after="0"/>
              <w:jc w:val="both"/>
            </w:pPr>
          </w:p>
          <w:p w14:paraId="655E27AA" w14:textId="77777777" w:rsidR="0093208C" w:rsidRPr="00C144C1" w:rsidRDefault="0093208C" w:rsidP="0093208C">
            <w:pPr>
              <w:pStyle w:val="naisc"/>
              <w:spacing w:before="0" w:after="0"/>
              <w:jc w:val="both"/>
            </w:pPr>
            <w:r w:rsidRPr="00C144C1">
              <w:t xml:space="preserve">Plānotā rīcība grupēta lielākos rīcības virzienos, apvienojot </w:t>
            </w:r>
            <w:proofErr w:type="spellStart"/>
            <w:r w:rsidRPr="00C144C1">
              <w:t>apakšvirzienus</w:t>
            </w:r>
            <w:proofErr w:type="spellEnd"/>
            <w:r w:rsidRPr="00C144C1">
              <w:t xml:space="preserve"> 4.1.2. un 4.1.3</w:t>
            </w:r>
          </w:p>
        </w:tc>
        <w:tc>
          <w:tcPr>
            <w:tcW w:w="3497" w:type="dxa"/>
            <w:tcBorders>
              <w:top w:val="single" w:sz="4" w:space="0" w:color="auto"/>
              <w:left w:val="single" w:sz="4" w:space="0" w:color="auto"/>
              <w:bottom w:val="single" w:sz="4" w:space="0" w:color="auto"/>
            </w:tcBorders>
            <w:shd w:val="clear" w:color="auto" w:fill="auto"/>
          </w:tcPr>
          <w:p w14:paraId="68248916" w14:textId="77777777" w:rsidR="0093208C" w:rsidRPr="00C144C1" w:rsidRDefault="0093208C" w:rsidP="0093208C"/>
        </w:tc>
      </w:tr>
      <w:tr w:rsidR="0093208C" w:rsidRPr="00C144C1" w14:paraId="1B81B90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B9BD0B2" w14:textId="77777777" w:rsidR="0093208C" w:rsidRPr="00C144C1" w:rsidRDefault="0093208C" w:rsidP="0093208C">
            <w:pPr>
              <w:pStyle w:val="naisc"/>
              <w:spacing w:before="0" w:after="0"/>
            </w:pPr>
            <w:r w:rsidRPr="00C144C1">
              <w:t>96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3A218FA"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CA50044" w14:textId="77777777" w:rsidR="0093208C" w:rsidRPr="00C144C1" w:rsidRDefault="0093208C" w:rsidP="0093208C">
            <w:pPr>
              <w:jc w:val="both"/>
            </w:pPr>
            <w:r w:rsidRPr="00C144C1">
              <w:t>7.</w:t>
            </w:r>
            <w:r w:rsidRPr="00C144C1">
              <w:tab/>
              <w:t>Pamatnostādņu projekta sadaļā 4.1.4. “Rīcības virziens: Ietekme un peļņa” kā viens no uzdevumiem Nr. U4.1.4.-2 minēts „RIS3 izcilības centru izveide un iedarbināšana”, tajā pašā laikā sadaļā 4.1.4. nav sniegts apraksts par RIS3 izcilības centru lomu sagaidāmo rezultātu sasniegšanā. Lūdzam papildināt aprakstošās daļas ar RIS3 izcilības centru lomu un uzdevumiem “Rīcības virziena: Ietekme un peļņa” sagaidāmo rezultātu sasniegšanā.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1081B8E" w14:textId="77777777" w:rsidR="0093208C" w:rsidRPr="00C144C1" w:rsidRDefault="0093208C" w:rsidP="0093208C">
            <w:pPr>
              <w:pStyle w:val="naisc"/>
              <w:spacing w:before="0" w:after="0"/>
              <w:jc w:val="both"/>
              <w:rPr>
                <w:b/>
              </w:rPr>
            </w:pPr>
            <w:r w:rsidRPr="00C144C1">
              <w:rPr>
                <w:b/>
              </w:rPr>
              <w:t>Ņemts vērā</w:t>
            </w:r>
          </w:p>
          <w:p w14:paraId="7F15CAF5" w14:textId="77777777" w:rsidR="0093208C" w:rsidRPr="00C144C1" w:rsidRDefault="0093208C" w:rsidP="0093208C">
            <w:pPr>
              <w:jc w:val="both"/>
            </w:pPr>
            <w:r w:rsidRPr="00C144C1">
              <w:t xml:space="preserve">Atbilstoši </w:t>
            </w:r>
          </w:p>
          <w:p w14:paraId="021817F0" w14:textId="77777777" w:rsidR="0093208C" w:rsidRPr="00C144C1" w:rsidRDefault="0093208C" w:rsidP="0093208C">
            <w:pPr>
              <w:jc w:val="both"/>
            </w:pPr>
            <w:r w:rsidRPr="00C144C1">
              <w:t>IZM papildus priekšlikumam uzdevums U4.1.4.-2 “RIS3 izcilības centru izveide un iedarbināšana” svītrots, ņemot vērā, ka</w:t>
            </w:r>
          </w:p>
          <w:p w14:paraId="715AFA45" w14:textId="77777777" w:rsidR="0093208C" w:rsidRPr="00C144C1" w:rsidRDefault="0093208C" w:rsidP="0093208C">
            <w:pPr>
              <w:pStyle w:val="naisc"/>
              <w:spacing w:before="0" w:after="0"/>
              <w:jc w:val="both"/>
            </w:pPr>
            <w:r w:rsidRPr="00C144C1">
              <w:t>NIP 2027 ietver izvērstu sadaļu par Viedās specializācijas stratēģijas ieviešanu  un  uzdevumu 4.4.6.2.RIS3 izcilības centri.</w:t>
            </w:r>
          </w:p>
        </w:tc>
        <w:tc>
          <w:tcPr>
            <w:tcW w:w="3497" w:type="dxa"/>
            <w:tcBorders>
              <w:top w:val="single" w:sz="4" w:space="0" w:color="auto"/>
              <w:left w:val="single" w:sz="4" w:space="0" w:color="auto"/>
              <w:bottom w:val="single" w:sz="4" w:space="0" w:color="auto"/>
            </w:tcBorders>
            <w:shd w:val="clear" w:color="auto" w:fill="auto"/>
          </w:tcPr>
          <w:p w14:paraId="4A403017" w14:textId="77777777" w:rsidR="0093208C" w:rsidRPr="00C144C1" w:rsidRDefault="0093208C" w:rsidP="0093208C">
            <w:pPr>
              <w:jc w:val="both"/>
            </w:pPr>
          </w:p>
        </w:tc>
      </w:tr>
      <w:tr w:rsidR="0093208C" w:rsidRPr="00C144C1" w14:paraId="7AC2ECA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AA4E144" w14:textId="77777777" w:rsidR="0093208C" w:rsidRPr="00C144C1" w:rsidRDefault="0093208C" w:rsidP="0093208C">
            <w:pPr>
              <w:pStyle w:val="naisc"/>
              <w:spacing w:before="0" w:after="0"/>
            </w:pPr>
            <w:r w:rsidRPr="00C144C1">
              <w:t>97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262DABA"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56DD010" w14:textId="77777777" w:rsidR="0093208C" w:rsidRPr="00C144C1" w:rsidRDefault="0093208C" w:rsidP="0093208C">
            <w:pPr>
              <w:jc w:val="both"/>
            </w:pPr>
            <w:r w:rsidRPr="00C144C1">
              <w:t>8.</w:t>
            </w:r>
            <w:r w:rsidRPr="00C144C1">
              <w:tab/>
              <w:t xml:space="preserve">Lūdzam 4.1.5. rīcības virziena nepieciešamās rīcības aprakstā “Atbalsts nodarbināto, kā arī bezdarbnieku, darba meklētāju un bezdarba riskam pakļauto pieaugušo (visi kopā – pieaugušie) digitālo prasmju attīstībai” </w:t>
            </w:r>
            <w:r w:rsidRPr="00C144C1">
              <w:rPr>
                <w:b/>
              </w:rPr>
              <w:t>paredzēt uzdevumus digitālo prasmju attīstībai bezdarbniekiem</w:t>
            </w:r>
            <w:r w:rsidRPr="00C144C1">
              <w:t xml:space="preserve">. Kaut arī virziens aptver arī bezdarbnieku digitālo prasmju pilnveidi, uzdevumos tas netiek atspoguļots.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0D3BC07" w14:textId="77777777" w:rsidR="0093208C" w:rsidRPr="00C144C1" w:rsidRDefault="0093208C" w:rsidP="0093208C">
            <w:pPr>
              <w:pStyle w:val="naisc"/>
              <w:spacing w:before="0" w:after="0"/>
              <w:jc w:val="both"/>
              <w:rPr>
                <w:b/>
              </w:rPr>
            </w:pPr>
            <w:r w:rsidRPr="00C144C1">
              <w:rPr>
                <w:b/>
              </w:rPr>
              <w:t>Ņemts vērā</w:t>
            </w:r>
          </w:p>
          <w:p w14:paraId="55E1043A" w14:textId="77777777" w:rsidR="0093208C" w:rsidRPr="00C144C1" w:rsidRDefault="0093208C" w:rsidP="0093208C">
            <w:pPr>
              <w:pStyle w:val="naisc"/>
              <w:spacing w:before="0" w:after="0"/>
              <w:jc w:val="both"/>
            </w:pPr>
          </w:p>
        </w:tc>
        <w:tc>
          <w:tcPr>
            <w:tcW w:w="3497" w:type="dxa"/>
            <w:tcBorders>
              <w:top w:val="single" w:sz="4" w:space="0" w:color="auto"/>
              <w:left w:val="single" w:sz="4" w:space="0" w:color="auto"/>
              <w:bottom w:val="single" w:sz="4" w:space="0" w:color="auto"/>
            </w:tcBorders>
            <w:shd w:val="clear" w:color="auto" w:fill="auto"/>
          </w:tcPr>
          <w:p w14:paraId="346BFAF1" w14:textId="77777777" w:rsidR="0093208C" w:rsidRPr="00C144C1" w:rsidRDefault="0093208C" w:rsidP="0093208C">
            <w:pPr>
              <w:jc w:val="both"/>
            </w:pPr>
            <w:r w:rsidRPr="00C144C1">
              <w:t xml:space="preserve">Lūdzam skatīt 4. pielikumu Situācijas apraksts </w:t>
            </w:r>
          </w:p>
          <w:p w14:paraId="2D86B4A3" w14:textId="77777777" w:rsidR="0093208C" w:rsidRPr="00C144C1" w:rsidRDefault="0093208C" w:rsidP="0093208C">
            <w:pPr>
              <w:jc w:val="both"/>
            </w:pPr>
          </w:p>
          <w:p w14:paraId="23CC96D3" w14:textId="77777777" w:rsidR="0093208C" w:rsidRPr="00C144C1" w:rsidRDefault="0093208C" w:rsidP="0093208C">
            <w:pPr>
              <w:jc w:val="both"/>
            </w:pPr>
            <w:r w:rsidRPr="00C144C1">
              <w:t xml:space="preserve">Uzdevumu līmenī bezdarbnieku digitālo prasmju pilnveide paredzēta 4.1.2 </w:t>
            </w:r>
            <w:proofErr w:type="spellStart"/>
            <w:r w:rsidRPr="00C144C1">
              <w:t>apakšsadaļas</w:t>
            </w:r>
            <w:proofErr w:type="spellEnd"/>
            <w:r w:rsidRPr="00C144C1">
              <w:t xml:space="preserve"> uzdevumos, piemēram, Vienota koordinētas rīcības plāna izstrāde digitālo prasmju kā caurviju </w:t>
            </w:r>
            <w:proofErr w:type="spellStart"/>
            <w:r w:rsidRPr="00C144C1">
              <w:t>pamatprasmju</w:t>
            </w:r>
            <w:proofErr w:type="spellEnd"/>
            <w:r w:rsidRPr="00C144C1">
              <w:t xml:space="preserve"> apguves </w:t>
            </w:r>
            <w:r w:rsidRPr="00C144C1">
              <w:lastRenderedPageBreak/>
              <w:t>nodrošināšanai iedzīvotājiem, tostarp meitenēm un sievietēm, un uzņēmējiem ar mērķi sasniegt ES dalībvalstu vidējo līmeni digitālo kompetenču jomā Starpresoru koordinācijas struktūras izveide/ aktualizācija.</w:t>
            </w:r>
          </w:p>
        </w:tc>
      </w:tr>
      <w:tr w:rsidR="0093208C" w:rsidRPr="00C144C1" w14:paraId="5DCC623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2FE8264" w14:textId="77777777" w:rsidR="0093208C" w:rsidRPr="00C144C1" w:rsidRDefault="0093208C" w:rsidP="0093208C">
            <w:pPr>
              <w:pStyle w:val="naisc"/>
              <w:spacing w:before="0" w:after="0"/>
            </w:pPr>
            <w:r w:rsidRPr="00C144C1">
              <w:lastRenderedPageBreak/>
              <w:t>98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8DCEC34"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E5E515E" w14:textId="77777777" w:rsidR="0093208C" w:rsidRPr="00C144C1" w:rsidRDefault="0093208C" w:rsidP="0093208C">
            <w:pPr>
              <w:jc w:val="both"/>
            </w:pPr>
            <w:r w:rsidRPr="00C144C1">
              <w:t>9.</w:t>
            </w:r>
            <w:r w:rsidRPr="00C144C1">
              <w:tab/>
              <w:t>Uzsverot digitālā darba ar jaunatni potenciālu jauniešu digitālo kompetenču un prasmju pilnveidē, kā arī jauniešu līdzdalības veicināšanā (sk. Padomes un Padomē sanākušo dalībvalstu valdību pārstāvju secinājumi par digitālo darbu ar jaunatni (2019/C 414/02), pieejams: https://eur-lex.europa.eu/legal-content/LV/TXT/PDF/?uri=CELEX:52019XG1210(01)&amp;qid=1586248603487&amp;from=LV), aicinām iekļaut šo aspektu Pamatnostādņu projektā, papildinot attīstības virziena “4.1. Digitālās prasmes un izglītība” rīcības virziena “4.1.3 Pakalpojumu un sistēmu veidošana” rezultātus:  “7. Jaunieši, neatkarīgi no dzīvesvietas, materiālā stāvokļa vai citiem faktoriem, izmanto digitālā darba ar jaunatni pakalpojumus, līdzdarbojoties un pilnveidojoties digitālajā vidē”.</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364721E" w14:textId="77777777" w:rsidR="0093208C" w:rsidRPr="00C144C1" w:rsidRDefault="0093208C" w:rsidP="0093208C">
            <w:pPr>
              <w:pStyle w:val="naisc"/>
              <w:spacing w:before="0" w:after="0"/>
              <w:jc w:val="both"/>
              <w:rPr>
                <w:b/>
              </w:rPr>
            </w:pPr>
            <w:r w:rsidRPr="00C144C1">
              <w:rPr>
                <w:b/>
              </w:rPr>
              <w:t>Ņemts vērā</w:t>
            </w:r>
          </w:p>
          <w:p w14:paraId="2F7AC330" w14:textId="77777777" w:rsidR="0093208C" w:rsidRPr="00C144C1" w:rsidRDefault="0093208C" w:rsidP="0093208C">
            <w:pPr>
              <w:pStyle w:val="naisc"/>
              <w:spacing w:before="0" w:after="0"/>
              <w:jc w:val="both"/>
            </w:pPr>
            <w:r w:rsidRPr="00C144C1">
              <w:t>Precizēts atbilstoši iebildumam, ieviests, papildinot rīcības virziena “4.1.3 Pakalpojumu un sistēmu veidošana” rezultātus:  “7. Jaunieši, neatkarīgi no dzīvesvietas, materiālā stāvokļa vai citiem faktoriem, izmanto digitālā darba ar jaunatni pakalpojumus, līdzdarbojoties un pilnveidojoties digitālajā vidē”.</w:t>
            </w:r>
          </w:p>
        </w:tc>
        <w:tc>
          <w:tcPr>
            <w:tcW w:w="3497" w:type="dxa"/>
            <w:tcBorders>
              <w:top w:val="single" w:sz="4" w:space="0" w:color="auto"/>
              <w:left w:val="single" w:sz="4" w:space="0" w:color="auto"/>
              <w:bottom w:val="single" w:sz="4" w:space="0" w:color="auto"/>
            </w:tcBorders>
            <w:shd w:val="clear" w:color="auto" w:fill="auto"/>
          </w:tcPr>
          <w:p w14:paraId="139EDD8F" w14:textId="77777777" w:rsidR="0093208C" w:rsidRPr="00C144C1" w:rsidRDefault="0093208C" w:rsidP="0093208C">
            <w:pPr>
              <w:jc w:val="both"/>
            </w:pPr>
            <w:r w:rsidRPr="00C144C1">
              <w:t xml:space="preserve"> “7. Jaunieši, neatkarīgi no dzīvesvietas, materiālā stāvokļa vai citiem faktoriem, izmanto digitālā darba ar jaunatni pakalpojumus, līdzdarbojoties un pilnveidojoties digitālajā vidē”.</w:t>
            </w:r>
          </w:p>
          <w:p w14:paraId="50A6779D" w14:textId="77777777" w:rsidR="0093208C" w:rsidRPr="00C144C1" w:rsidRDefault="0093208C" w:rsidP="0093208C">
            <w:pPr>
              <w:jc w:val="both"/>
            </w:pPr>
          </w:p>
          <w:p w14:paraId="1D479283" w14:textId="77777777" w:rsidR="0093208C" w:rsidRPr="00C144C1" w:rsidRDefault="0093208C" w:rsidP="0093208C">
            <w:pPr>
              <w:jc w:val="both"/>
            </w:pPr>
          </w:p>
        </w:tc>
      </w:tr>
      <w:tr w:rsidR="0093208C" w:rsidRPr="00C144C1" w14:paraId="2F1C979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4E09B6B" w14:textId="77777777" w:rsidR="0093208C" w:rsidRPr="00C144C1" w:rsidRDefault="0093208C" w:rsidP="0093208C">
            <w:pPr>
              <w:pStyle w:val="naisc"/>
              <w:spacing w:before="0" w:after="0"/>
            </w:pPr>
            <w:r w:rsidRPr="00C144C1">
              <w:t>99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7B71DA1"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6F88774" w14:textId="77777777" w:rsidR="0093208C" w:rsidRPr="00C144C1" w:rsidRDefault="0093208C" w:rsidP="0093208C">
            <w:pPr>
              <w:jc w:val="both"/>
            </w:pPr>
            <w:r w:rsidRPr="00C144C1">
              <w:t xml:space="preserve">10. Lūdzam precizēt Pamatnostādņu projekta rīcības virziena „4.1.5. Digitālās prasmes izglītības sektorā” sadaļu „Digitālo prasmju attīstība un izmantošana izglītības procesā” (39.lp.), digitālo prasmju attīstību papildinot ar nepieciešamību pēc atbilstošas tehniskās kapacitātes izglītības iestādēs. Piemēram, papildinot sadaļas otro rindkopu aiz pirmā teikuma šādā redakcijā: „Izglītības procesā digitāli mācību līdzekļi un rīki, kā arī mācīšanās tiešsaistē un attālināti kļūs par arvien ierastāku ikdienas praksi. Nākotnē paredzama arī arvien plašāka virtuālās un papildinātās realitātes </w:t>
            </w:r>
            <w:r w:rsidRPr="00C144C1">
              <w:lastRenderedPageBreak/>
              <w:t xml:space="preserve">tehnoloģiju izmantošana izglītībā, veidojot virtuālas klases, virtuālas laboratorijas, virtuālas tikšanās un diskusijas. Tādējādi mainīsies arī nepieciešamība pēc noteikta veida resursiem un infrastruktūras – būtiskāki par ieguldījumiem ēku attīstībā būs ieguldījumi telekomunikāciju, ātrdarbīga interneta platjoslas </w:t>
            </w:r>
            <w:proofErr w:type="spellStart"/>
            <w:r w:rsidRPr="00C144C1">
              <w:t>pieslēguma</w:t>
            </w:r>
            <w:proofErr w:type="spellEnd"/>
            <w:r w:rsidRPr="00C144C1">
              <w:t xml:space="preserve"> un digitālu rīku, resursu nodrošināšanā .” </w:t>
            </w:r>
            <w:r w:rsidRPr="00C144C1">
              <w:rPr>
                <w:u w:val="single"/>
              </w:rPr>
              <w:t>Papildus lūdzam šo papildinājumu ņemt vērā, precizējot pamatnostādņu 3.pielikumā finansējuma sadalījumu pa rīcības virzieniem un budžeta resoriem.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7711814" w14:textId="77777777" w:rsidR="0093208C" w:rsidRPr="00C144C1" w:rsidRDefault="0093208C" w:rsidP="0093208C">
            <w:pPr>
              <w:pStyle w:val="naisc"/>
              <w:spacing w:before="0" w:after="0"/>
              <w:jc w:val="both"/>
              <w:rPr>
                <w:b/>
              </w:rPr>
            </w:pPr>
            <w:r w:rsidRPr="00C144C1">
              <w:rPr>
                <w:b/>
              </w:rPr>
              <w:lastRenderedPageBreak/>
              <w:t xml:space="preserve">Ņemts vērā </w:t>
            </w:r>
          </w:p>
          <w:p w14:paraId="18B56DD1" w14:textId="77777777" w:rsidR="0093208C" w:rsidRPr="00C144C1" w:rsidRDefault="0093208C" w:rsidP="0093208C">
            <w:pPr>
              <w:pStyle w:val="naisc"/>
              <w:spacing w:before="0" w:after="0"/>
              <w:jc w:val="both"/>
              <w:rPr>
                <w:b/>
              </w:rPr>
            </w:pPr>
            <w:r w:rsidRPr="00C144C1">
              <w:t xml:space="preserve">Rīcības virziena 4.1.5. teksts dokumentā precizēts atbilstoši IZM iebildumam. Vienlaikus, vēršam uzmanību, ka izglītības iestāžu tehniskās kapacitātes jautājumi nav VARAM kompetencē, bet ir </w:t>
            </w:r>
            <w:r w:rsidRPr="00C144C1">
              <w:lastRenderedPageBreak/>
              <w:t>risināms IZM izstrādājamās politikas un ieviešamo pasākumu ietvarā, līdz ar to DTP2027 3.pielikuma teksts nav precizēts.</w:t>
            </w:r>
          </w:p>
        </w:tc>
        <w:tc>
          <w:tcPr>
            <w:tcW w:w="3497" w:type="dxa"/>
            <w:tcBorders>
              <w:top w:val="single" w:sz="4" w:space="0" w:color="auto"/>
              <w:left w:val="single" w:sz="4" w:space="0" w:color="auto"/>
              <w:bottom w:val="single" w:sz="4" w:space="0" w:color="auto"/>
            </w:tcBorders>
            <w:shd w:val="clear" w:color="auto" w:fill="auto"/>
          </w:tcPr>
          <w:p w14:paraId="0342A766" w14:textId="77777777" w:rsidR="0093208C" w:rsidRPr="00C144C1" w:rsidRDefault="0093208C" w:rsidP="0093208C">
            <w:r w:rsidRPr="00C144C1">
              <w:lastRenderedPageBreak/>
              <w:t xml:space="preserve">Lūdzam skatīt 4. pielikumu Situācijas apraksts. </w:t>
            </w:r>
          </w:p>
        </w:tc>
      </w:tr>
      <w:tr w:rsidR="0093208C" w:rsidRPr="00C144C1" w14:paraId="05509A1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6EF99A0" w14:textId="77777777" w:rsidR="0093208C" w:rsidRPr="00C144C1" w:rsidRDefault="0093208C" w:rsidP="0093208C">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0E57AF2" w14:textId="77777777" w:rsidR="0093208C" w:rsidRPr="00C144C1" w:rsidRDefault="0093208C" w:rsidP="0093208C"/>
        </w:tc>
        <w:tc>
          <w:tcPr>
            <w:tcW w:w="5427" w:type="dxa"/>
            <w:tcBorders>
              <w:left w:val="single" w:sz="6" w:space="0" w:color="000000" w:themeColor="text1"/>
              <w:bottom w:val="single" w:sz="4" w:space="0" w:color="auto"/>
              <w:right w:val="single" w:sz="6" w:space="0" w:color="000000" w:themeColor="text1"/>
            </w:tcBorders>
            <w:shd w:val="clear" w:color="auto" w:fill="auto"/>
          </w:tcPr>
          <w:p w14:paraId="5EAA7E70" w14:textId="77777777" w:rsidR="0093208C" w:rsidRPr="00C144C1" w:rsidRDefault="0093208C" w:rsidP="0093208C">
            <w:pPr>
              <w:jc w:val="both"/>
              <w:rPr>
                <w:b/>
                <w:bCs/>
              </w:rPr>
            </w:pPr>
            <w:r w:rsidRPr="00C144C1">
              <w:rPr>
                <w:b/>
                <w:bC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DC17770" w14:textId="77777777" w:rsidR="0093208C" w:rsidRPr="00C144C1" w:rsidRDefault="0093208C" w:rsidP="0093208C">
            <w:pPr>
              <w:pStyle w:val="naisc"/>
              <w:spacing w:before="0" w:after="0"/>
              <w:jc w:val="both"/>
            </w:pPr>
          </w:p>
        </w:tc>
        <w:tc>
          <w:tcPr>
            <w:tcW w:w="3497" w:type="dxa"/>
            <w:tcBorders>
              <w:top w:val="single" w:sz="4" w:space="0" w:color="auto"/>
              <w:left w:val="single" w:sz="4" w:space="0" w:color="auto"/>
              <w:bottom w:val="single" w:sz="4" w:space="0" w:color="auto"/>
            </w:tcBorders>
            <w:shd w:val="clear" w:color="auto" w:fill="auto"/>
          </w:tcPr>
          <w:p w14:paraId="120FDAFB" w14:textId="77777777" w:rsidR="0093208C" w:rsidRPr="00C144C1" w:rsidRDefault="0093208C" w:rsidP="0093208C"/>
        </w:tc>
      </w:tr>
      <w:tr w:rsidR="0093208C" w:rsidRPr="00C144C1" w14:paraId="2FCB705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0351697" w14:textId="77777777" w:rsidR="0093208C" w:rsidRPr="00C144C1" w:rsidRDefault="0093208C" w:rsidP="0093208C">
            <w:pPr>
              <w:pStyle w:val="naisc"/>
              <w:spacing w:before="0" w:after="0"/>
            </w:pPr>
            <w:r w:rsidRPr="00C144C1">
              <w:t>100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FB06059"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C6CE05D" w14:textId="77777777" w:rsidR="0093208C" w:rsidRPr="00C144C1" w:rsidRDefault="0093208C" w:rsidP="0093208C">
            <w:pPr>
              <w:jc w:val="both"/>
            </w:pPr>
            <w:r w:rsidRPr="00C144C1">
              <w:t xml:space="preserve">1. Ierosinām papildināt 4.1. Attīstības virziena „Digitālās prasmes un izglītība” sadaļu “Politikas rezultāti (PR) un rezultatīvie rādītāji (RR)” ar papildu rādītāju sadaļā “PR4.1.-2: Palielināts IKT speciālistu kopumā un IKT speciālistu - sieviešu daudzums.” (skat. 20 </w:t>
            </w:r>
            <w:proofErr w:type="spellStart"/>
            <w:r w:rsidRPr="00C144C1">
              <w:t>lp</w:t>
            </w:r>
            <w:proofErr w:type="spellEnd"/>
            <w:r w:rsidRPr="00C144C1">
              <w:t>). piemēram, nodarbināto IKT speciālistu skaits (absolūtos skaitļos) vai nodarbināto IKT speciālistu skaita pieaugums 2024. un 2027. gadā procentos, salīdzinot ar bāzes gada rādītāju, kas dotu iespēju izvērtēt politikas instrumentu efektivitāti. Pamatojums: RR 4.1.2-1 rādītājs „IKT speciālistu daudzums % no kopējā nodarbināto skaita” var tikt sasniegts nodarbināto skaita izmaiņu dēļ, nevis pateicoties nodarbināto IKT speciālistu skaita pieaugumam valstī. RR 4.1.2-1 rādītāja izpildi var ietekmēt citi rādītāji, tas ir, nodarbināto skaita izmaiņas darbaspēka tirgū, piemēram, darbaspēka migrācijas vai tautsaimniecības nozaru struktūras izmaiņu rezultātā.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7E85A88" w14:textId="77777777" w:rsidR="0093208C" w:rsidRPr="00C144C1" w:rsidRDefault="0093208C" w:rsidP="0093208C">
            <w:pPr>
              <w:pStyle w:val="naisc"/>
              <w:spacing w:before="0" w:after="0"/>
              <w:jc w:val="both"/>
              <w:rPr>
                <w:b/>
              </w:rPr>
            </w:pPr>
            <w:r w:rsidRPr="00C144C1">
              <w:rPr>
                <w:b/>
              </w:rPr>
              <w:t>Ņemts vērā</w:t>
            </w:r>
          </w:p>
          <w:p w14:paraId="27E6047A" w14:textId="77777777" w:rsidR="0093208C" w:rsidRPr="00C144C1" w:rsidRDefault="0093208C" w:rsidP="0093208C">
            <w:pPr>
              <w:pStyle w:val="naisc"/>
              <w:spacing w:before="0" w:after="0"/>
              <w:jc w:val="left"/>
              <w:rPr>
                <w:b/>
              </w:rPr>
            </w:pPr>
            <w:r w:rsidRPr="00C144C1">
              <w:t>Rosināsim priekšlikumu ietvert pamatnostādņu ieviešanas dokumentā, pamatnostādņu ieviešanas plānā</w:t>
            </w:r>
          </w:p>
        </w:tc>
        <w:tc>
          <w:tcPr>
            <w:tcW w:w="3497" w:type="dxa"/>
            <w:tcBorders>
              <w:top w:val="single" w:sz="4" w:space="0" w:color="auto"/>
              <w:left w:val="single" w:sz="4" w:space="0" w:color="auto"/>
              <w:bottom w:val="single" w:sz="4" w:space="0" w:color="auto"/>
            </w:tcBorders>
            <w:shd w:val="clear" w:color="auto" w:fill="auto"/>
          </w:tcPr>
          <w:p w14:paraId="3E46738B" w14:textId="77777777" w:rsidR="0093208C" w:rsidRPr="00C144C1" w:rsidRDefault="0093208C" w:rsidP="0093208C"/>
        </w:tc>
      </w:tr>
      <w:tr w:rsidR="0093208C" w:rsidRPr="00C144C1" w14:paraId="5B8D7D2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AA09E95" w14:textId="77777777" w:rsidR="0093208C" w:rsidRPr="00C144C1" w:rsidRDefault="0093208C" w:rsidP="0093208C">
            <w:pPr>
              <w:pStyle w:val="naisc"/>
              <w:spacing w:before="0" w:after="0"/>
            </w:pPr>
            <w:r w:rsidRPr="00C144C1">
              <w:t>101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EF074B8"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9BAB8B2" w14:textId="77777777" w:rsidR="0093208C" w:rsidRPr="00C144C1" w:rsidRDefault="0093208C" w:rsidP="0093208C">
            <w:pPr>
              <w:jc w:val="both"/>
            </w:pPr>
            <w:r w:rsidRPr="00C144C1">
              <w:t xml:space="preserve">2. 18.lp – norādīt atsauci uz attēla avotu “IZM izstrādāts materiāls 2020.gads”.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B4C5643" w14:textId="77777777" w:rsidR="0093208C" w:rsidRPr="00C144C1" w:rsidRDefault="0093208C" w:rsidP="0093208C">
            <w:pPr>
              <w:pStyle w:val="naisc"/>
              <w:spacing w:before="0" w:after="0"/>
              <w:jc w:val="both"/>
              <w:rPr>
                <w:b/>
              </w:rPr>
            </w:pPr>
            <w:r w:rsidRPr="00C144C1">
              <w:rPr>
                <w:b/>
              </w:rPr>
              <w:t>Ņemts vērā</w:t>
            </w:r>
          </w:p>
        </w:tc>
        <w:tc>
          <w:tcPr>
            <w:tcW w:w="3497" w:type="dxa"/>
            <w:tcBorders>
              <w:top w:val="single" w:sz="4" w:space="0" w:color="auto"/>
              <w:left w:val="single" w:sz="4" w:space="0" w:color="auto"/>
              <w:bottom w:val="single" w:sz="4" w:space="0" w:color="auto"/>
            </w:tcBorders>
            <w:shd w:val="clear" w:color="auto" w:fill="auto"/>
          </w:tcPr>
          <w:p w14:paraId="2A961AC3" w14:textId="77777777" w:rsidR="0093208C" w:rsidRPr="00C144C1" w:rsidRDefault="0093208C" w:rsidP="0093208C">
            <w:r w:rsidRPr="00C144C1">
              <w:t xml:space="preserve">Lūdzam skatīt </w:t>
            </w:r>
            <w:proofErr w:type="spellStart"/>
            <w:r w:rsidRPr="00C144C1">
              <w:t>apakšsadaļu</w:t>
            </w:r>
            <w:proofErr w:type="spellEnd"/>
            <w:r w:rsidRPr="00C144C1">
              <w:t xml:space="preserve"> 4.1.</w:t>
            </w:r>
          </w:p>
        </w:tc>
      </w:tr>
      <w:tr w:rsidR="0093208C" w:rsidRPr="00C144C1" w14:paraId="1E2FC62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E0865D0" w14:textId="77777777" w:rsidR="0093208C" w:rsidRPr="00C144C1" w:rsidRDefault="0093208C" w:rsidP="0093208C">
            <w:pPr>
              <w:pStyle w:val="naisc"/>
              <w:spacing w:before="0" w:after="0"/>
            </w:pPr>
            <w:r w:rsidRPr="00C144C1">
              <w:t>102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336D26E"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9336EB8" w14:textId="77777777" w:rsidR="0093208C" w:rsidRPr="00C144C1" w:rsidRDefault="0093208C" w:rsidP="0093208C">
            <w:pPr>
              <w:jc w:val="both"/>
            </w:pPr>
            <w:r w:rsidRPr="00C144C1">
              <w:t>3.</w:t>
            </w:r>
            <w:r w:rsidRPr="00C144C1">
              <w:tab/>
              <w:t xml:space="preserve">19.lp un 20.lp – lūgums papildināt „Metodika: “Īpatsvars – % no kopējā iedzīvotāju skaita”” ar vecuma grupu 16-74 </w:t>
            </w:r>
            <w:proofErr w:type="spellStart"/>
            <w:r w:rsidRPr="00C144C1">
              <w:t>g.v</w:t>
            </w:r>
            <w:proofErr w:type="spellEnd"/>
            <w:r w:rsidRPr="00C144C1">
              <w:t xml:space="preserve">.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52B81DA" w14:textId="77777777" w:rsidR="0093208C" w:rsidRPr="00C144C1" w:rsidRDefault="0093208C" w:rsidP="0093208C">
            <w:pPr>
              <w:pStyle w:val="naisc"/>
              <w:spacing w:before="0" w:after="0"/>
              <w:jc w:val="both"/>
              <w:rPr>
                <w:b/>
              </w:rPr>
            </w:pPr>
            <w:r w:rsidRPr="00C144C1">
              <w:rPr>
                <w:b/>
              </w:rPr>
              <w:t>Ņemts vērā</w:t>
            </w:r>
          </w:p>
        </w:tc>
        <w:tc>
          <w:tcPr>
            <w:tcW w:w="3497" w:type="dxa"/>
            <w:tcBorders>
              <w:top w:val="single" w:sz="4" w:space="0" w:color="auto"/>
              <w:left w:val="single" w:sz="4" w:space="0" w:color="auto"/>
              <w:bottom w:val="single" w:sz="4" w:space="0" w:color="auto"/>
            </w:tcBorders>
            <w:shd w:val="clear" w:color="auto" w:fill="auto"/>
          </w:tcPr>
          <w:p w14:paraId="21218674" w14:textId="77777777" w:rsidR="0093208C" w:rsidRPr="00C144C1" w:rsidRDefault="0093208C" w:rsidP="0093208C">
            <w:r w:rsidRPr="00C144C1">
              <w:t xml:space="preserve">Lūdzam skatīt </w:t>
            </w:r>
            <w:proofErr w:type="spellStart"/>
            <w:r w:rsidRPr="00C144C1">
              <w:t>apakšsadaļu</w:t>
            </w:r>
            <w:proofErr w:type="spellEnd"/>
            <w:r w:rsidRPr="00C144C1">
              <w:t xml:space="preserve"> 4.1.</w:t>
            </w:r>
          </w:p>
        </w:tc>
      </w:tr>
      <w:tr w:rsidR="0093208C" w:rsidRPr="00C144C1" w14:paraId="2BD1DBD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9D211AD" w14:textId="77777777" w:rsidR="0093208C" w:rsidRPr="00C144C1" w:rsidRDefault="0093208C" w:rsidP="0093208C">
            <w:pPr>
              <w:pStyle w:val="naisc"/>
              <w:spacing w:before="0" w:after="0"/>
            </w:pPr>
            <w:r w:rsidRPr="00C144C1">
              <w:lastRenderedPageBreak/>
              <w:t>103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AFCDA35"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14C2494" w14:textId="77777777" w:rsidR="0093208C" w:rsidRPr="00C144C1" w:rsidRDefault="0093208C" w:rsidP="0093208C">
            <w:pPr>
              <w:jc w:val="both"/>
            </w:pPr>
            <w:r w:rsidRPr="00C144C1">
              <w:t>4.</w:t>
            </w:r>
            <w:r w:rsidRPr="00C144C1">
              <w:tab/>
              <w:t xml:space="preserve">20.lp – lūgums aizstāt frāzi “IKT speciālistu daudzums” ar “IKT speciālistu īpatsvars”.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1242F62" w14:textId="77777777" w:rsidR="0093208C" w:rsidRPr="00C144C1" w:rsidRDefault="0093208C" w:rsidP="0093208C">
            <w:pPr>
              <w:pStyle w:val="naisc"/>
              <w:spacing w:before="0" w:after="0"/>
              <w:jc w:val="both"/>
            </w:pPr>
            <w:r w:rsidRPr="00C144C1">
              <w:rPr>
                <w:b/>
              </w:rPr>
              <w:t>Ņemts vērā</w:t>
            </w:r>
          </w:p>
        </w:tc>
        <w:tc>
          <w:tcPr>
            <w:tcW w:w="3497" w:type="dxa"/>
            <w:tcBorders>
              <w:top w:val="single" w:sz="4" w:space="0" w:color="auto"/>
              <w:left w:val="single" w:sz="4" w:space="0" w:color="auto"/>
              <w:bottom w:val="single" w:sz="4" w:space="0" w:color="auto"/>
            </w:tcBorders>
            <w:shd w:val="clear" w:color="auto" w:fill="auto"/>
          </w:tcPr>
          <w:p w14:paraId="143AB8D7" w14:textId="77777777" w:rsidR="0093208C" w:rsidRPr="00C144C1" w:rsidRDefault="0093208C" w:rsidP="0093208C">
            <w:r w:rsidRPr="00C144C1">
              <w:t xml:space="preserve">Lūdzam skatīt </w:t>
            </w:r>
            <w:proofErr w:type="spellStart"/>
            <w:r w:rsidRPr="00C144C1">
              <w:t>apakšsadaļu</w:t>
            </w:r>
            <w:proofErr w:type="spellEnd"/>
            <w:r w:rsidRPr="00C144C1">
              <w:t xml:space="preserve"> 4.1.</w:t>
            </w:r>
          </w:p>
        </w:tc>
      </w:tr>
      <w:tr w:rsidR="0093208C" w:rsidRPr="00C144C1" w14:paraId="02A1EFC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CEC52E7" w14:textId="77777777" w:rsidR="0093208C" w:rsidRPr="00C144C1" w:rsidRDefault="0093208C" w:rsidP="0093208C">
            <w:pPr>
              <w:pStyle w:val="naisc"/>
              <w:spacing w:before="0" w:after="0"/>
            </w:pPr>
            <w:r w:rsidRPr="00C144C1">
              <w:t>104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1352271"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E76F734" w14:textId="77777777" w:rsidR="0093208C" w:rsidRPr="00C144C1" w:rsidRDefault="0093208C" w:rsidP="0093208C">
            <w:pPr>
              <w:jc w:val="both"/>
            </w:pPr>
            <w:r w:rsidRPr="00C144C1">
              <w:t>5.</w:t>
            </w:r>
            <w:r w:rsidRPr="00C144C1">
              <w:tab/>
              <w:t xml:space="preserve">20.lp – lūgums pārbaudīt 2019. gada IKT speciālistu īpatsvara vērtību. Saskaņā ar DESI digitālo rīku 1,7 % ir rādītāja vērtība 2020. gadā, savukārt 2019. gada vērtība bija – 2,3 % .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4F681E5" w14:textId="77777777" w:rsidR="0093208C" w:rsidRPr="00C144C1" w:rsidRDefault="0093208C" w:rsidP="0093208C">
            <w:pPr>
              <w:pStyle w:val="naisc"/>
              <w:spacing w:before="0" w:after="0"/>
              <w:jc w:val="both"/>
            </w:pPr>
            <w:r w:rsidRPr="00C144C1">
              <w:rPr>
                <w:b/>
              </w:rPr>
              <w:t>Ņemts vērā</w:t>
            </w:r>
          </w:p>
        </w:tc>
        <w:tc>
          <w:tcPr>
            <w:tcW w:w="3497" w:type="dxa"/>
            <w:tcBorders>
              <w:top w:val="single" w:sz="4" w:space="0" w:color="auto"/>
              <w:left w:val="single" w:sz="4" w:space="0" w:color="auto"/>
              <w:bottom w:val="single" w:sz="4" w:space="0" w:color="auto"/>
            </w:tcBorders>
            <w:shd w:val="clear" w:color="auto" w:fill="auto"/>
          </w:tcPr>
          <w:p w14:paraId="5FE22B3F" w14:textId="77777777" w:rsidR="0093208C" w:rsidRPr="00C144C1" w:rsidRDefault="0093208C" w:rsidP="0093208C">
            <w:r w:rsidRPr="00C144C1">
              <w:t xml:space="preserve">Lūdzam skatīt </w:t>
            </w:r>
            <w:proofErr w:type="spellStart"/>
            <w:r w:rsidRPr="00C144C1">
              <w:t>apakšsadaļu</w:t>
            </w:r>
            <w:proofErr w:type="spellEnd"/>
            <w:r w:rsidRPr="00C144C1">
              <w:t xml:space="preserve"> 4.1.</w:t>
            </w:r>
          </w:p>
        </w:tc>
      </w:tr>
      <w:tr w:rsidR="0093208C" w:rsidRPr="00C144C1" w14:paraId="0740F62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9792BC5" w14:textId="77777777" w:rsidR="0093208C" w:rsidRPr="00C144C1" w:rsidRDefault="0093208C" w:rsidP="0093208C">
            <w:pPr>
              <w:pStyle w:val="naisc"/>
              <w:spacing w:before="0" w:after="0"/>
            </w:pPr>
            <w:r w:rsidRPr="00C144C1">
              <w:t>105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890E30F"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96393A9" w14:textId="77777777" w:rsidR="0093208C" w:rsidRPr="00C144C1" w:rsidRDefault="0093208C" w:rsidP="0093208C">
            <w:pPr>
              <w:jc w:val="both"/>
            </w:pPr>
            <w:r w:rsidRPr="00C144C1">
              <w:t>6.</w:t>
            </w:r>
            <w:r w:rsidRPr="00C144C1">
              <w:tab/>
              <w:t>24.lp – lūgums svītrot “un mūžizglītības mācību”, ja saskaņā ar izglītības klasifikāciju ir tikai izglītības programmas.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C2492BD" w14:textId="77777777" w:rsidR="0093208C" w:rsidRPr="00C144C1" w:rsidRDefault="0093208C" w:rsidP="0093208C">
            <w:pPr>
              <w:pStyle w:val="naisc"/>
              <w:spacing w:before="0" w:after="0"/>
              <w:jc w:val="both"/>
            </w:pPr>
            <w:r w:rsidRPr="00C144C1">
              <w:rPr>
                <w:b/>
              </w:rPr>
              <w:t>Ņemts vērā</w:t>
            </w:r>
          </w:p>
        </w:tc>
        <w:tc>
          <w:tcPr>
            <w:tcW w:w="3497" w:type="dxa"/>
            <w:tcBorders>
              <w:top w:val="single" w:sz="4" w:space="0" w:color="auto"/>
              <w:left w:val="single" w:sz="4" w:space="0" w:color="auto"/>
              <w:bottom w:val="single" w:sz="4" w:space="0" w:color="auto"/>
            </w:tcBorders>
            <w:shd w:val="clear" w:color="auto" w:fill="auto"/>
          </w:tcPr>
          <w:p w14:paraId="721E160D" w14:textId="77777777" w:rsidR="0093208C" w:rsidRPr="00C144C1" w:rsidRDefault="0093208C" w:rsidP="0093208C">
            <w:r w:rsidRPr="00C144C1">
              <w:t xml:space="preserve">Lūdzam skatīt </w:t>
            </w:r>
            <w:proofErr w:type="spellStart"/>
            <w:r w:rsidRPr="00C144C1">
              <w:t>apakšsadaļu</w:t>
            </w:r>
            <w:proofErr w:type="spellEnd"/>
            <w:r w:rsidRPr="00C144C1">
              <w:t xml:space="preserve"> 4.1.5</w:t>
            </w:r>
          </w:p>
        </w:tc>
      </w:tr>
      <w:tr w:rsidR="0093208C" w:rsidRPr="00C144C1" w14:paraId="1F916568"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230BCCA" w14:textId="77777777" w:rsidR="0093208C" w:rsidRPr="00C144C1" w:rsidRDefault="0093208C" w:rsidP="0093208C">
            <w:pPr>
              <w:pStyle w:val="naisc"/>
              <w:spacing w:before="0" w:after="0"/>
            </w:pPr>
            <w:r w:rsidRPr="00C144C1">
              <w:t>106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2C7842D"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B267050" w14:textId="77777777" w:rsidR="0093208C" w:rsidRPr="00C144C1" w:rsidRDefault="0093208C" w:rsidP="0093208C">
            <w:pPr>
              <w:jc w:val="both"/>
            </w:pPr>
            <w:r w:rsidRPr="00C144C1">
              <w:t>7.</w:t>
            </w:r>
            <w:r w:rsidRPr="00C144C1">
              <w:tab/>
              <w:t>39.lp. – lūgums pirmajā rindkopā vārdus „jaunā mācību satura” aizvietot ar vārdiem „pārskatītā mācību satura”, kā arī lūgums visā tekstā novērst pareizrakstības kļūdas (piemēram, 210., 211.lp.).</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CAF8F38" w14:textId="77777777" w:rsidR="0093208C" w:rsidRPr="00C144C1" w:rsidRDefault="0093208C" w:rsidP="0093208C">
            <w:pPr>
              <w:pStyle w:val="naisc"/>
              <w:spacing w:before="0" w:after="0"/>
              <w:jc w:val="both"/>
            </w:pPr>
            <w:r w:rsidRPr="00C144C1">
              <w:rPr>
                <w:b/>
              </w:rPr>
              <w:t>Ņemts vērā</w:t>
            </w:r>
          </w:p>
        </w:tc>
        <w:tc>
          <w:tcPr>
            <w:tcW w:w="3497" w:type="dxa"/>
            <w:tcBorders>
              <w:top w:val="single" w:sz="4" w:space="0" w:color="auto"/>
              <w:left w:val="single" w:sz="4" w:space="0" w:color="auto"/>
              <w:bottom w:val="single" w:sz="4" w:space="0" w:color="auto"/>
            </w:tcBorders>
            <w:shd w:val="clear" w:color="auto" w:fill="auto"/>
          </w:tcPr>
          <w:p w14:paraId="0616463E" w14:textId="77777777" w:rsidR="0093208C" w:rsidRPr="00C144C1" w:rsidRDefault="0093208C" w:rsidP="0093208C">
            <w:r w:rsidRPr="00C144C1">
              <w:t>Lūdzam skatīt situācijas aprakstu (4. pielikums)</w:t>
            </w:r>
          </w:p>
        </w:tc>
      </w:tr>
      <w:tr w:rsidR="00A90BE0" w:rsidRPr="009841AB" w14:paraId="2789F27F" w14:textId="77777777" w:rsidTr="15B1D617">
        <w:tc>
          <w:tcPr>
            <w:tcW w:w="14451" w:type="dxa"/>
            <w:gridSpan w:val="6"/>
            <w:tcBorders>
              <w:left w:val="single" w:sz="6" w:space="0" w:color="000000" w:themeColor="text1"/>
              <w:bottom w:val="single" w:sz="4" w:space="0" w:color="auto"/>
            </w:tcBorders>
            <w:shd w:val="clear" w:color="auto" w:fill="auto"/>
          </w:tcPr>
          <w:p w14:paraId="27EC190E" w14:textId="77777777" w:rsidR="00A90BE0" w:rsidRPr="00C144C1" w:rsidRDefault="00A90BE0" w:rsidP="007B676A">
            <w:r w:rsidRPr="00C144C1">
              <w:rPr>
                <w:b/>
                <w:bCs/>
                <w:lang w:eastAsia="en-US"/>
              </w:rPr>
              <w:t xml:space="preserve">Izglītības un zinātnes ministrijas </w:t>
            </w:r>
            <w:r w:rsidR="00F32921" w:rsidRPr="00C144C1">
              <w:rPr>
                <w:b/>
                <w:bCs/>
                <w:lang w:eastAsia="en-US"/>
              </w:rPr>
              <w:t>30</w:t>
            </w:r>
            <w:r w:rsidRPr="00C144C1">
              <w:rPr>
                <w:b/>
                <w:bCs/>
                <w:lang w:eastAsia="en-US"/>
              </w:rPr>
              <w:t>.0</w:t>
            </w:r>
            <w:r w:rsidR="00F32921" w:rsidRPr="00C144C1">
              <w:rPr>
                <w:b/>
                <w:bCs/>
                <w:lang w:eastAsia="en-US"/>
              </w:rPr>
              <w:t>4</w:t>
            </w:r>
            <w:r w:rsidRPr="00C144C1">
              <w:rPr>
                <w:b/>
                <w:bCs/>
                <w:lang w:eastAsia="en-US"/>
              </w:rPr>
              <w:t>.2021. atzinums:</w:t>
            </w:r>
          </w:p>
        </w:tc>
      </w:tr>
      <w:tr w:rsidR="00A90BE0" w:rsidRPr="009841AB" w14:paraId="3930BF36"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228C5C1" w14:textId="77777777" w:rsidR="00A90BE0" w:rsidRPr="00C144C1" w:rsidRDefault="0024731A" w:rsidP="007B676A">
            <w:pPr>
              <w:pStyle w:val="naisc"/>
              <w:spacing w:before="0" w:after="0"/>
            </w:pPr>
            <w:r w:rsidRPr="00C144C1">
              <w:t>107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137723A" w14:textId="77777777" w:rsidR="00A90BE0" w:rsidRPr="00C144C1" w:rsidRDefault="00F32921" w:rsidP="007B676A">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725F150" w14:textId="77777777" w:rsidR="00631310" w:rsidRPr="00C144C1" w:rsidRDefault="00631310" w:rsidP="00631310">
            <w:pPr>
              <w:jc w:val="both"/>
            </w:pPr>
            <w:r w:rsidRPr="00C144C1">
              <w:t xml:space="preserve">Izglītības un zinātnes ministrija (turpmāk – IZM) ir iepazinusies ar Vides aizsardzības un reģionālās attīstības ministrijas (turpmāk – VARAM) sagatavoto, precizēto pamatnostādņu projektu „Digitālās transformācijas pamatnostādnes 2021.-2027. gadam” (VSS-48)  (turpmāk – projekts), kas ir saņemts atkārtotai saskaņošanai 2021.gada 26.aprīlī un informē, ka turpina uzturēt iebildumus, kuri ir izteikti IZM 2021.gada 29.janvāra atzinumā Nr. 4-3.1e/21/345, kuri nav ņemti vērā un uz kuriem nav sniegta atbilde VARAM pievienotajā izziņā. </w:t>
            </w:r>
          </w:p>
          <w:p w14:paraId="35A76686" w14:textId="77777777" w:rsidR="00631310" w:rsidRPr="00C144C1" w:rsidRDefault="00631310" w:rsidP="00631310">
            <w:pPr>
              <w:jc w:val="both"/>
            </w:pPr>
            <w:r w:rsidRPr="00C144C1">
              <w:t xml:space="preserve">Ņemot vērā iepriekš minēto, informējam, ka nevaram atbalstīt projekta tālāku virzību pirms IZM izteikto iebildumu pārrunāšanas saskaņošanas sanāksmē, kas saskaņā ar VARAM sniegto informāciju ir plānota 2021.gada 6.maijā. </w:t>
            </w:r>
          </w:p>
          <w:p w14:paraId="72150210" w14:textId="77777777" w:rsidR="00631310" w:rsidRPr="00C144C1" w:rsidRDefault="00631310" w:rsidP="00631310">
            <w:pPr>
              <w:jc w:val="both"/>
            </w:pPr>
            <w:r w:rsidRPr="00C144C1">
              <w:t xml:space="preserve">Vienlaikus, informējam, ka esam sagatavojuši un </w:t>
            </w:r>
            <w:proofErr w:type="spellStart"/>
            <w:r w:rsidRPr="00C144C1">
              <w:t>nosūtām</w:t>
            </w:r>
            <w:proofErr w:type="spellEnd"/>
            <w:r w:rsidRPr="00C144C1">
              <w:t xml:space="preserve"> jums IZM priekšlikumus izmaiņām IZM kompetencē esošo projekta rīcības virzienu un uzdevumu aprakstos un to pilnveidošanai atbilstoši </w:t>
            </w:r>
            <w:proofErr w:type="spellStart"/>
            <w:r w:rsidRPr="00C144C1">
              <w:t>aktuālakajai</w:t>
            </w:r>
            <w:proofErr w:type="spellEnd"/>
            <w:r w:rsidRPr="00C144C1">
              <w:t xml:space="preserve"> informācijai par IZM kompetencē esošo </w:t>
            </w:r>
            <w:r w:rsidRPr="00C144C1">
              <w:lastRenderedPageBreak/>
              <w:t xml:space="preserve">digitālās transformācijas reformu, pasākumu un investīciju plāniem. </w:t>
            </w:r>
          </w:p>
          <w:p w14:paraId="2AFD026B" w14:textId="77777777" w:rsidR="00A90BE0" w:rsidRPr="00C144C1" w:rsidRDefault="00631310" w:rsidP="00631310">
            <w:pPr>
              <w:jc w:val="both"/>
              <w:rPr>
                <w:i/>
                <w:iCs/>
              </w:rPr>
            </w:pPr>
            <w:r w:rsidRPr="00C144C1">
              <w:rPr>
                <w:i/>
                <w:iCs/>
              </w:rPr>
              <w:t>Pielikumā: Projekts ar labošanas režīmā redzamām izmaiņām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7529E35" w14:textId="77777777" w:rsidR="00A90BE0" w:rsidRPr="00C144C1" w:rsidRDefault="00BC25DF" w:rsidP="007B676A">
            <w:pPr>
              <w:pStyle w:val="naisc"/>
              <w:spacing w:before="0" w:after="0"/>
              <w:jc w:val="both"/>
              <w:rPr>
                <w:b/>
              </w:rPr>
            </w:pPr>
            <w:r w:rsidRPr="00C144C1">
              <w:rPr>
                <w:b/>
              </w:rPr>
              <w:lastRenderedPageBreak/>
              <w:t>Ņemts vērā</w:t>
            </w:r>
          </w:p>
          <w:p w14:paraId="478C4134" w14:textId="77777777" w:rsidR="00A90BE0" w:rsidRPr="00C144C1" w:rsidRDefault="00143C97" w:rsidP="007B676A">
            <w:pPr>
              <w:pStyle w:val="naisc"/>
              <w:spacing w:before="0" w:after="0"/>
              <w:jc w:val="both"/>
            </w:pPr>
            <w:r w:rsidRPr="00C144C1">
              <w:rPr>
                <w:bCs/>
              </w:rPr>
              <w:t>Jautājumi pārrunāti 08.05 VARAM un IZM savstarpējā ekspertu sanāksmē</w:t>
            </w:r>
          </w:p>
        </w:tc>
        <w:tc>
          <w:tcPr>
            <w:tcW w:w="3504" w:type="dxa"/>
            <w:gridSpan w:val="2"/>
            <w:tcBorders>
              <w:top w:val="single" w:sz="4" w:space="0" w:color="auto"/>
              <w:left w:val="single" w:sz="4" w:space="0" w:color="auto"/>
              <w:bottom w:val="single" w:sz="4" w:space="0" w:color="auto"/>
            </w:tcBorders>
            <w:shd w:val="clear" w:color="auto" w:fill="auto"/>
          </w:tcPr>
          <w:p w14:paraId="6AAE3B95" w14:textId="77777777" w:rsidR="00A90BE0" w:rsidRPr="00C144C1" w:rsidRDefault="00BC25DF" w:rsidP="007B676A">
            <w:r w:rsidRPr="00C144C1">
              <w:t xml:space="preserve">Lūdzam skatīt </w:t>
            </w:r>
            <w:proofErr w:type="spellStart"/>
            <w:r w:rsidRPr="00C144C1">
              <w:t>apakšsadaļu</w:t>
            </w:r>
            <w:proofErr w:type="spellEnd"/>
            <w:r w:rsidRPr="00C144C1">
              <w:t xml:space="preserve"> 4.1.</w:t>
            </w:r>
          </w:p>
        </w:tc>
      </w:tr>
      <w:tr w:rsidR="00C83550" w:rsidRPr="009841AB" w14:paraId="719DEB9F"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E244CAB" w14:textId="77777777" w:rsidR="00C83550" w:rsidRPr="009841AB" w:rsidRDefault="00C83550" w:rsidP="00C83550">
            <w:pPr>
              <w:tabs>
                <w:tab w:val="left" w:pos="720"/>
              </w:tabs>
              <w:contextualSpacing/>
              <w:jc w:val="both"/>
              <w:rPr>
                <w:b/>
                <w:bCs/>
                <w:lang w:eastAsia="en-US"/>
              </w:rPr>
            </w:pPr>
            <w:r w:rsidRPr="009841AB">
              <w:rPr>
                <w:b/>
                <w:bCs/>
                <w:lang w:eastAsia="en-US"/>
              </w:rPr>
              <w:t>Latvijas Darba devēju konfederācijas 29.01.2021. atzinums:</w:t>
            </w:r>
          </w:p>
        </w:tc>
      </w:tr>
      <w:tr w:rsidR="0093208C" w:rsidRPr="009841AB" w14:paraId="6791B88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265391B" w14:textId="77777777" w:rsidR="0093208C" w:rsidRPr="00C144C1" w:rsidRDefault="0093208C" w:rsidP="0093208C">
            <w:pPr>
              <w:pStyle w:val="naisc"/>
              <w:spacing w:before="0" w:after="0"/>
            </w:pPr>
            <w:r w:rsidRPr="00C144C1">
              <w:t>108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04CB4E0" w14:textId="77777777" w:rsidR="0093208C" w:rsidRPr="00C144C1" w:rsidRDefault="0093208C" w:rsidP="0093208C">
            <w:r w:rsidRPr="00C144C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9C3B6B6" w14:textId="77777777" w:rsidR="0093208C" w:rsidRPr="00C144C1" w:rsidRDefault="0093208C" w:rsidP="0093208C">
            <w:pPr>
              <w:jc w:val="both"/>
            </w:pPr>
            <w:r w:rsidRPr="00C144C1">
              <w:t>1.</w:t>
            </w:r>
            <w:r w:rsidRPr="00C144C1">
              <w:tab/>
              <w:t xml:space="preserve">Par attīstības virzienu ”Digitālās prasmes un izglītība” – LDDK iebilst pret politikas rezultātu (PR) un rezultatīvo rādītāju (RR) formulējumu PR4.1.1-2): palielināts iedzīvotāju skaits, kam ir digitālās prasmes. LDDK uzskata, ka ir nepietiekami tikai nodrošināt prasmes </w:t>
            </w:r>
            <w:proofErr w:type="spellStart"/>
            <w:r w:rsidRPr="00C144C1">
              <w:t>pamatlīmenī</w:t>
            </w:r>
            <w:proofErr w:type="spellEnd"/>
            <w:r w:rsidRPr="00C144C1">
              <w:t xml:space="preserve"> vai virs </w:t>
            </w:r>
            <w:proofErr w:type="spellStart"/>
            <w:r w:rsidRPr="00C144C1">
              <w:t>pamatlīmeņa</w:t>
            </w:r>
            <w:proofErr w:type="spellEnd"/>
            <w:r w:rsidRPr="00C144C1">
              <w:t xml:space="preserve"> un noteikt IKT speciālistu skaitu. LDDK uzsver, ka ir nepieciešami speciālisti visās nozarēs (ieskaitot inženierzinātnes, veselības aprūpi, izglītību, utt.) ar augstāka līmeņa digitālajām prasmēm, tāpēc mērķa rādītājs (45% no kopējā iedzīvotāju skaita ar prasmēm virs </w:t>
            </w:r>
            <w:proofErr w:type="spellStart"/>
            <w:r w:rsidRPr="00C144C1">
              <w:t>pamatlīmeņa</w:t>
            </w:r>
            <w:proofErr w:type="spellEnd"/>
            <w:r w:rsidRPr="00C144C1">
              <w:t xml:space="preserve">) ir nepietiekams.  Īpaši izsakām neizpratni par to, kāpēc Atbalsts nodarbināto kā arī bezdarbnieku, darba meklētāju un bezdarba riskam pakļauto pieaugušo digitālo prasmju attīstībai ir iekļauts rīcības virzienā Digitālās prasmes izglītības sektorā (4.1.5), nevis virzienā Līdzdalība un praktiskā e-pakalpojumu izmantošana – katra iedzīvotāja digitālo prasmju un digitālo rīku pamata komplekts (4.1.1.). Te ir skaidri redzams </w:t>
            </w:r>
            <w:proofErr w:type="spellStart"/>
            <w:r w:rsidRPr="00C144C1">
              <w:t>resoriskais</w:t>
            </w:r>
            <w:proofErr w:type="spellEnd"/>
            <w:r w:rsidRPr="00C144C1">
              <w:t xml:space="preserve"> finanšu dalījums.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4454CF2" w14:textId="77777777" w:rsidR="0093208C" w:rsidRPr="00C144C1" w:rsidRDefault="0093208C" w:rsidP="0093208C">
            <w:pPr>
              <w:jc w:val="both"/>
            </w:pPr>
            <w:r w:rsidRPr="00C144C1">
              <w:rPr>
                <w:b/>
              </w:rPr>
              <w:t>Ņemts vērā</w:t>
            </w:r>
          </w:p>
          <w:p w14:paraId="41A597D0" w14:textId="77777777" w:rsidR="0093208C" w:rsidRPr="00C144C1" w:rsidRDefault="0093208C" w:rsidP="0093208C">
            <w:pPr>
              <w:jc w:val="both"/>
            </w:pPr>
            <w:r w:rsidRPr="00C144C1">
              <w:t xml:space="preserve">Tiks risināts ar uzdevumiem U4.2.1-1 Vienota koordinētas rīcības plāna izstrāde digitālo prasmju kā caurviju </w:t>
            </w:r>
            <w:proofErr w:type="spellStart"/>
            <w:r w:rsidRPr="00C144C1">
              <w:t>pamatprasmju</w:t>
            </w:r>
            <w:proofErr w:type="spellEnd"/>
            <w:r w:rsidRPr="00C144C1">
              <w:t xml:space="preserve"> apguves nodrošināšanai iedzīvotājiem, tostarp meitenēm un sievietēm, un uzņēmējiem ar mērķi sasniegt ES dalībvalstu vidējo līmeni digitālo kompetenču jomā Starpresoru koordinācijas struktūras izveide/ aktualizācija.</w:t>
            </w:r>
          </w:p>
          <w:p w14:paraId="08BDCD60" w14:textId="77777777" w:rsidR="0093208C" w:rsidRPr="00C144C1" w:rsidRDefault="0093208C" w:rsidP="0093208C">
            <w:pPr>
              <w:rPr>
                <w:b/>
                <w:bCs/>
              </w:rPr>
            </w:pPr>
            <w:r w:rsidRPr="00C144C1">
              <w:t xml:space="preserve">U4.2.1.-2 Sabiedrības digitālo prasmju attīstības programmas īstenošana, t.sk. </w:t>
            </w:r>
            <w:proofErr w:type="spellStart"/>
            <w:r w:rsidRPr="00C144C1">
              <w:t>individālo</w:t>
            </w:r>
            <w:proofErr w:type="spellEnd"/>
            <w:r w:rsidRPr="00C144C1">
              <w:t xml:space="preserve"> mācību kontu pieejas attīstība un pilotēšana digitālo prasmju apgūšanai un U4.1.3.-3 Digitālo prasmju attīstība  </w:t>
            </w:r>
            <w:r w:rsidRPr="00C144C1">
              <w:lastRenderedPageBreak/>
              <w:t>nodarbinātajiem pieaugušajiem (iekļauts  IAP</w:t>
            </w:r>
            <w:r w:rsidRPr="00C144C1">
              <w:rPr>
                <w:rStyle w:val="FootnoteReference"/>
              </w:rPr>
              <w:footnoteReference w:id="2"/>
            </w:r>
            <w:r w:rsidRPr="00C144C1">
              <w:t>).</w:t>
            </w:r>
          </w:p>
        </w:tc>
        <w:tc>
          <w:tcPr>
            <w:tcW w:w="3497" w:type="dxa"/>
            <w:tcBorders>
              <w:top w:val="single" w:sz="4" w:space="0" w:color="auto"/>
              <w:left w:val="single" w:sz="4" w:space="0" w:color="auto"/>
              <w:bottom w:val="single" w:sz="4" w:space="0" w:color="auto"/>
            </w:tcBorders>
            <w:shd w:val="clear" w:color="auto" w:fill="auto"/>
          </w:tcPr>
          <w:p w14:paraId="747C81F0" w14:textId="77777777" w:rsidR="0093208C" w:rsidRPr="00C144C1" w:rsidRDefault="0093208C" w:rsidP="0093208C">
            <w:pPr>
              <w:jc w:val="both"/>
            </w:pPr>
          </w:p>
        </w:tc>
      </w:tr>
      <w:tr w:rsidR="0093208C" w:rsidRPr="009841AB" w14:paraId="796C4ED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C60822F" w14:textId="77777777" w:rsidR="0093208C" w:rsidRPr="00496547" w:rsidRDefault="0093208C" w:rsidP="0093208C">
            <w:pPr>
              <w:pStyle w:val="naisc"/>
              <w:spacing w:before="0" w:after="0"/>
            </w:pPr>
            <w:r w:rsidRPr="00496547">
              <w:t>109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D6F23EE" w14:textId="77777777" w:rsidR="0093208C" w:rsidRPr="00496547" w:rsidRDefault="0093208C" w:rsidP="0093208C">
            <w:r w:rsidRPr="00496547">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BC26004" w14:textId="77777777" w:rsidR="0093208C" w:rsidRPr="00496547" w:rsidRDefault="0093208C" w:rsidP="0093208C">
            <w:pPr>
              <w:jc w:val="both"/>
            </w:pPr>
            <w:r w:rsidRPr="00496547">
              <w:t>2.</w:t>
            </w:r>
            <w:r w:rsidRPr="00496547">
              <w:tab/>
              <w:t xml:space="preserve">LDDK iebilst un uzskata, ka nepietiekami definēti uzdevumi virzienam 4.1.2.“Pakalpojumu sniegšana”. Uzdevumi – Izstrādāt plānu digitālo prasmju pilnveidei valsts un pašvaldību iestādēm (U4.1.2.1. un to ieviest (U4.1.2.2.), kā arī “Noteikt prioritāros pasākumus, koordinēt plāna izstrādi un ieviešanu Digitālo prasmju pilnveidei” (U4.1.2.3.) </w:t>
            </w:r>
            <w:r w:rsidRPr="00496547">
              <w:rPr>
                <w:b/>
              </w:rPr>
              <w:t>nedod pārliecību par caurspīdīgu finanšu līdzekļu izlietošanu valsts pārvaldē.</w:t>
            </w:r>
            <w:r w:rsidRPr="00496547">
              <w:t xml:space="preserve"> Tas attiecas arī uz citiem vispārīgi formulētiem uzdevumiem.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95983A0" w14:textId="5E56BA70" w:rsidR="0093208C" w:rsidRPr="003E7CA1" w:rsidRDefault="0093208C" w:rsidP="0093208C">
            <w:pPr>
              <w:pStyle w:val="naisc"/>
              <w:spacing w:before="0" w:after="0"/>
              <w:jc w:val="both"/>
              <w:rPr>
                <w:b/>
                <w:bCs/>
              </w:rPr>
            </w:pPr>
            <w:r w:rsidRPr="00496547">
              <w:rPr>
                <w:b/>
                <w:bCs/>
              </w:rPr>
              <w:t>Ņemts vērā</w:t>
            </w:r>
          </w:p>
          <w:p w14:paraId="2A1B795A" w14:textId="77777777" w:rsidR="0093208C" w:rsidRPr="00496547" w:rsidRDefault="0093208C" w:rsidP="0093208C">
            <w:pPr>
              <w:pStyle w:val="naisc"/>
              <w:spacing w:before="0" w:after="0"/>
              <w:jc w:val="both"/>
              <w:rPr>
                <w:b/>
                <w:bCs/>
              </w:rPr>
            </w:pPr>
            <w:r w:rsidRPr="00496547">
              <w:rPr>
                <w:bCs/>
              </w:rPr>
              <w:t xml:space="preserve">Precizētajā 4.1.3. </w:t>
            </w:r>
            <w:proofErr w:type="spellStart"/>
            <w:r w:rsidRPr="00496547">
              <w:rPr>
                <w:bCs/>
              </w:rPr>
              <w:t>apakšsadaļā</w:t>
            </w:r>
            <w:proofErr w:type="spellEnd"/>
            <w:r w:rsidRPr="00496547">
              <w:rPr>
                <w:bCs/>
              </w:rPr>
              <w:t xml:space="preserve">  ietverti 3 uzdevumi: U4.1.3.-1</w:t>
            </w:r>
            <w:r w:rsidRPr="00496547">
              <w:rPr>
                <w:b/>
                <w:bCs/>
              </w:rPr>
              <w:t xml:space="preserve"> </w:t>
            </w:r>
            <w:proofErr w:type="spellStart"/>
            <w:r w:rsidRPr="00496547">
              <w:t>Digitalizācijas</w:t>
            </w:r>
            <w:proofErr w:type="spellEnd"/>
            <w:r w:rsidRPr="00496547">
              <w:t xml:space="preserve"> un vispārējo digitālo prasmju stiprināšanas komersantiem programmas  izveide un īstenošana; U4.1.3.-2 Izstrādāt un ieviest plānu digitālo prasmju pilnveidei valsts iestādēm, </w:t>
            </w:r>
            <w:proofErr w:type="spellStart"/>
            <w:r w:rsidRPr="00496547">
              <w:t>monitorēt</w:t>
            </w:r>
            <w:proofErr w:type="spellEnd"/>
            <w:r w:rsidRPr="00496547">
              <w:t xml:space="preserve"> rezultātus un izvērtēt efektivitāti; U4.1.3.-3 Ieviest vienotu, mūsdienu prasībām atbilstošu attālinātu mācību procesu nodrošinājumu pārvaldē, izveidojot digitālo mācību platformu, nodrošinot tās pārvaldīšanu un sasaisti ar centralizētajām sistēmām</w:t>
            </w:r>
          </w:p>
        </w:tc>
        <w:tc>
          <w:tcPr>
            <w:tcW w:w="3497" w:type="dxa"/>
            <w:tcBorders>
              <w:top w:val="single" w:sz="4" w:space="0" w:color="auto"/>
              <w:left w:val="single" w:sz="4" w:space="0" w:color="auto"/>
              <w:bottom w:val="single" w:sz="4" w:space="0" w:color="auto"/>
            </w:tcBorders>
            <w:shd w:val="clear" w:color="auto" w:fill="auto"/>
          </w:tcPr>
          <w:p w14:paraId="7B0B3E92" w14:textId="77777777" w:rsidR="0093208C" w:rsidRPr="00496547" w:rsidRDefault="0093208C" w:rsidP="0093208C">
            <w:r w:rsidRPr="00496547">
              <w:t xml:space="preserve">Lūdzam skatīt </w:t>
            </w:r>
            <w:proofErr w:type="spellStart"/>
            <w:r w:rsidRPr="00496547">
              <w:t>apakšsadaļu</w:t>
            </w:r>
            <w:proofErr w:type="spellEnd"/>
            <w:r w:rsidRPr="00496547">
              <w:t xml:space="preserve"> 4.1.3. (iepriekš 4.1.2)</w:t>
            </w:r>
          </w:p>
        </w:tc>
      </w:tr>
      <w:tr w:rsidR="0093208C" w:rsidRPr="009841AB" w14:paraId="68B9CD6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B18716E" w14:textId="77777777" w:rsidR="0093208C" w:rsidRPr="00496547" w:rsidRDefault="0093208C" w:rsidP="0093208C">
            <w:pPr>
              <w:pStyle w:val="naisc"/>
              <w:spacing w:before="0" w:after="0"/>
            </w:pPr>
            <w:r w:rsidRPr="00496547">
              <w:t>110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3C46A26" w14:textId="77777777" w:rsidR="0093208C" w:rsidRPr="00496547" w:rsidRDefault="0093208C" w:rsidP="0093208C">
            <w:r w:rsidRPr="00496547">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128D779" w14:textId="77777777" w:rsidR="0093208C" w:rsidRPr="00496547" w:rsidRDefault="0093208C" w:rsidP="0093208C">
            <w:pPr>
              <w:jc w:val="both"/>
            </w:pPr>
            <w:r w:rsidRPr="00496547">
              <w:t>3.</w:t>
            </w:r>
            <w:r w:rsidRPr="00496547">
              <w:tab/>
              <w:t xml:space="preserve">LDDK ierosina rīcības virzienā: Ietekme un peļņa (4.1.4.) uzsvērt ne tikai IKT sektora attīstību, bet </w:t>
            </w:r>
            <w:r w:rsidRPr="00496547">
              <w:lastRenderedPageBreak/>
              <w:t xml:space="preserve">arī citu nozaru </w:t>
            </w:r>
            <w:proofErr w:type="spellStart"/>
            <w:r w:rsidRPr="00496547">
              <w:t>digitalizāciju</w:t>
            </w:r>
            <w:proofErr w:type="spellEnd"/>
            <w:r w:rsidRPr="00496547">
              <w:t>, īpaši uzsverot IKT un augsta līmeņa digitālo prasmju izmantošanu dažādās tautsaimniecības jomās, to atspoguļojot arī uzdevumos.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6DF021E" w14:textId="77777777" w:rsidR="0093208C" w:rsidRPr="00496547" w:rsidRDefault="0093208C" w:rsidP="0093208C">
            <w:pPr>
              <w:pStyle w:val="naisc"/>
              <w:spacing w:before="0" w:after="0"/>
              <w:jc w:val="both"/>
              <w:rPr>
                <w:b/>
                <w:bCs/>
              </w:rPr>
            </w:pPr>
            <w:r w:rsidRPr="00496547">
              <w:rPr>
                <w:b/>
                <w:bCs/>
              </w:rPr>
              <w:lastRenderedPageBreak/>
              <w:t>Ņemts vērā</w:t>
            </w:r>
          </w:p>
          <w:p w14:paraId="2461057A" w14:textId="77777777" w:rsidR="0093208C" w:rsidRPr="00496547" w:rsidRDefault="0093208C" w:rsidP="0093208C">
            <w:pPr>
              <w:jc w:val="both"/>
            </w:pPr>
            <w:r w:rsidRPr="00496547">
              <w:lastRenderedPageBreak/>
              <w:t xml:space="preserve">Precizēta vīzija un nepieciešamās rīcības kopsavilkums (ievilkumā), tajā minot gan IKT nozari, gan citas tautsaimniecības nozares. Skaidrojam, ka rīcības virziena uzdevuma 4.1.4.2. izpilde  </w:t>
            </w:r>
          </w:p>
          <w:p w14:paraId="391BE539" w14:textId="77777777" w:rsidR="0093208C" w:rsidRPr="00496547" w:rsidRDefault="0093208C" w:rsidP="0093208C">
            <w:pPr>
              <w:pStyle w:val="naisc"/>
              <w:spacing w:before="0" w:after="0"/>
              <w:jc w:val="both"/>
              <w:rPr>
                <w:b/>
                <w:bCs/>
              </w:rPr>
            </w:pPr>
            <w:r w:rsidRPr="00496547">
              <w:t>sniegs ieguldījumu digitālo prasmju attīstībā dažādās tautsaimniecības nozarēs</w:t>
            </w:r>
          </w:p>
        </w:tc>
        <w:tc>
          <w:tcPr>
            <w:tcW w:w="3497" w:type="dxa"/>
            <w:tcBorders>
              <w:top w:val="single" w:sz="4" w:space="0" w:color="auto"/>
              <w:left w:val="single" w:sz="4" w:space="0" w:color="auto"/>
              <w:bottom w:val="single" w:sz="4" w:space="0" w:color="auto"/>
            </w:tcBorders>
            <w:shd w:val="clear" w:color="auto" w:fill="auto"/>
          </w:tcPr>
          <w:p w14:paraId="7E35959E" w14:textId="77777777" w:rsidR="0093208C" w:rsidRPr="00496547" w:rsidRDefault="0093208C" w:rsidP="0093208C">
            <w:r w:rsidRPr="00496547">
              <w:lastRenderedPageBreak/>
              <w:t xml:space="preserve">Lūdzam skatīt </w:t>
            </w:r>
            <w:proofErr w:type="spellStart"/>
            <w:r w:rsidRPr="00496547">
              <w:t>apakšsadaļu</w:t>
            </w:r>
            <w:proofErr w:type="spellEnd"/>
            <w:r w:rsidRPr="00496547">
              <w:t xml:space="preserve"> 4.1.4. 4.1.</w:t>
            </w:r>
          </w:p>
        </w:tc>
      </w:tr>
      <w:tr w:rsidR="00C83550" w:rsidRPr="009841AB" w14:paraId="7FC1B768"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B09BDC3" w14:textId="77777777" w:rsidR="00C83550" w:rsidRPr="00496547" w:rsidRDefault="00C83550" w:rsidP="00C83550">
            <w:pPr>
              <w:jc w:val="both"/>
              <w:rPr>
                <w:b/>
                <w:bCs/>
              </w:rPr>
            </w:pPr>
            <w:r w:rsidRPr="00496547">
              <w:rPr>
                <w:b/>
                <w:bCs/>
              </w:rPr>
              <w:t>Latvijas Informācijas un komunikācijas tehnoloģijas asociācijas 29.01.2021. atzinums:</w:t>
            </w:r>
          </w:p>
        </w:tc>
      </w:tr>
      <w:tr w:rsidR="0093208C" w:rsidRPr="009841AB" w14:paraId="7DD80ED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5A5FB41" w14:textId="77777777" w:rsidR="0093208C" w:rsidRPr="00496547" w:rsidRDefault="0093208C" w:rsidP="0093208C">
            <w:pPr>
              <w:pStyle w:val="naisc"/>
              <w:spacing w:before="0" w:after="0"/>
            </w:pPr>
            <w:r w:rsidRPr="00496547">
              <w:t>111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BA4CACD" w14:textId="77777777" w:rsidR="0093208C" w:rsidRPr="00496547" w:rsidRDefault="0093208C" w:rsidP="0093208C">
            <w:r w:rsidRPr="00496547">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C04DA50" w14:textId="77777777" w:rsidR="0093208C" w:rsidRPr="00496547" w:rsidRDefault="0093208C" w:rsidP="0093208C">
            <w:pPr>
              <w:jc w:val="both"/>
              <w:rPr>
                <w:i/>
              </w:rPr>
            </w:pPr>
            <w:r w:rsidRPr="00496547">
              <w:rPr>
                <w:i/>
              </w:rPr>
              <w:t>18. lpp. "... lai visi jaunie cilvēki varētu vislabāk izmantot izglītību un apmācību un atrast darbu visā Eiropā."</w:t>
            </w:r>
          </w:p>
          <w:p w14:paraId="7137FF9C" w14:textId="77777777" w:rsidR="0093208C" w:rsidRPr="00496547" w:rsidRDefault="0093208C" w:rsidP="0093208C">
            <w:pPr>
              <w:jc w:val="both"/>
            </w:pPr>
            <w:r w:rsidRPr="00496547">
              <w:rPr>
                <w:b/>
                <w:bCs/>
              </w:rPr>
              <w:t>Komentārs:</w:t>
            </w:r>
            <w:r w:rsidRPr="00496547">
              <w:t xml:space="preserve"> Uzskatām, ka jauniem cilvēkiem jābūt digitāli kompetentiem, bet Latvijas izglītības sistēmas mērķis nedrīkstētu būt speciālistu gatavošana citām valstīm un jaunatnes emigrācijas veicināšana.</w:t>
            </w:r>
          </w:p>
          <w:p w14:paraId="0C55E7A1" w14:textId="77777777" w:rsidR="0093208C" w:rsidRPr="00496547" w:rsidRDefault="0093208C" w:rsidP="0093208C">
            <w:pPr>
              <w:jc w:val="both"/>
              <w:rPr>
                <w:b/>
              </w:rPr>
            </w:pPr>
            <w:r w:rsidRPr="00496547">
              <w:rPr>
                <w:b/>
              </w:rPr>
              <w:t>Piedāvājam šādu redakciju:</w:t>
            </w:r>
          </w:p>
          <w:p w14:paraId="56A3CAF4" w14:textId="77777777" w:rsidR="0093208C" w:rsidRPr="00496547" w:rsidRDefault="0093208C" w:rsidP="0093208C">
            <w:pPr>
              <w:jc w:val="both"/>
            </w:pPr>
            <w:r w:rsidRPr="00496547">
              <w:t xml:space="preserve">18. lpp. "... lai visi jaunie cilvēki varētu vislabāk izmantot izglītību un apmācību </w:t>
            </w:r>
            <w:r w:rsidRPr="00496547">
              <w:rPr>
                <w:u w:val="single"/>
              </w:rPr>
              <w:t>un būt konkurētspējīgi darba tirgū</w:t>
            </w:r>
            <w:r w:rsidRPr="00496547">
              <w: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4ADC6B5" w14:textId="77777777" w:rsidR="0093208C" w:rsidRPr="00496547" w:rsidRDefault="0093208C" w:rsidP="0093208C">
            <w:pPr>
              <w:pStyle w:val="naisc"/>
              <w:spacing w:before="0" w:after="0"/>
              <w:jc w:val="both"/>
              <w:rPr>
                <w:b/>
              </w:rPr>
            </w:pPr>
            <w:r w:rsidRPr="00496547">
              <w:rPr>
                <w:b/>
              </w:rPr>
              <w:t>Ņemts vērā</w:t>
            </w:r>
          </w:p>
        </w:tc>
        <w:tc>
          <w:tcPr>
            <w:tcW w:w="3497" w:type="dxa"/>
            <w:tcBorders>
              <w:top w:val="single" w:sz="4" w:space="0" w:color="auto"/>
              <w:left w:val="single" w:sz="4" w:space="0" w:color="auto"/>
              <w:bottom w:val="single" w:sz="4" w:space="0" w:color="auto"/>
            </w:tcBorders>
            <w:shd w:val="clear" w:color="auto" w:fill="auto"/>
          </w:tcPr>
          <w:p w14:paraId="79AD064F" w14:textId="77777777" w:rsidR="0093208C" w:rsidRPr="00496547" w:rsidRDefault="0093208C" w:rsidP="0093208C">
            <w:r w:rsidRPr="00496547">
              <w:t xml:space="preserve">"... lai visi jaunie cilvēki varētu vislabāk izmantot izglītību un apmācību </w:t>
            </w:r>
            <w:r w:rsidRPr="00496547">
              <w:rPr>
                <w:u w:val="single"/>
              </w:rPr>
              <w:t>un būt konkurētspējīgi darba tirgū</w:t>
            </w:r>
            <w:r w:rsidRPr="00496547">
              <w:t>."</w:t>
            </w:r>
          </w:p>
        </w:tc>
      </w:tr>
      <w:tr w:rsidR="0093208C" w:rsidRPr="009841AB" w14:paraId="15FCF4C8"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4BF3263" w14:textId="77777777" w:rsidR="0093208C" w:rsidRPr="00496547" w:rsidRDefault="0093208C" w:rsidP="0093208C">
            <w:pPr>
              <w:jc w:val="both"/>
              <w:rPr>
                <w:b/>
                <w:bCs/>
              </w:rPr>
            </w:pPr>
            <w:r w:rsidRPr="00496547">
              <w:rPr>
                <w:b/>
                <w:bCs/>
              </w:rPr>
              <w:t>Latvijas Lielo pilsētu asociācijas 29.01.2021. atzinums:</w:t>
            </w:r>
          </w:p>
        </w:tc>
      </w:tr>
      <w:tr w:rsidR="0093208C" w:rsidRPr="009841AB" w14:paraId="0716B633"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44756F4" w14:textId="77777777" w:rsidR="0093208C" w:rsidRPr="00496547" w:rsidRDefault="0093208C" w:rsidP="0093208C">
            <w:pPr>
              <w:pStyle w:val="naisc"/>
              <w:spacing w:before="0" w:after="0"/>
            </w:pPr>
            <w:r w:rsidRPr="00496547">
              <w:t>112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FDF8E41" w14:textId="77777777" w:rsidR="0093208C" w:rsidRPr="00496547" w:rsidRDefault="0093208C" w:rsidP="0093208C">
            <w:r w:rsidRPr="00496547">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E61359F" w14:textId="77777777" w:rsidR="0093208C" w:rsidRPr="00496547" w:rsidRDefault="0093208C" w:rsidP="0093208C">
            <w:pPr>
              <w:jc w:val="both"/>
            </w:pPr>
            <w:r w:rsidRPr="00496547">
              <w:rPr>
                <w:bCs/>
                <w:color w:val="000000"/>
                <w:shd w:val="clear" w:color="auto" w:fill="FFFFFF"/>
              </w:rPr>
              <w:t xml:space="preserve">27. lapa. </w:t>
            </w:r>
            <w:r w:rsidRPr="00496547">
              <w:rPr>
                <w:color w:val="000000"/>
                <w:shd w:val="clear" w:color="auto" w:fill="FFFFFF"/>
              </w:rPr>
              <w:t xml:space="preserve">Tekstā un uzdevumos ir minēti pašvaldību darbinieki, taču pie sagaidāmajiem rezultātiem nav. Sagaidāmo rezultātu pirmajos divos punktos lielu ieguldījumu var dot arī pašvaldību darbinieki, motivējot iedzīvotājus un uzņēmējus izvēlēties digitālos risinājumus gan valsts, gan pašvaldību sniegto pakalpojumu klāstā. Tāpat, apgūstot izpratni </w:t>
            </w:r>
            <w:r w:rsidRPr="00496547">
              <w:rPr>
                <w:color w:val="000000"/>
                <w:shd w:val="clear" w:color="auto" w:fill="FFFFFF"/>
              </w:rPr>
              <w:lastRenderedPageBreak/>
              <w:t>un prasmes lietot pieprasītākos e-risinājumus, arī pašvaldībās strādājošie klientu speciālisti var palīdzēt iedzīvotājiem lietot arī valsts institūciju pārziņā esošos e-pakalpojumus.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252DEB8" w14:textId="77777777" w:rsidR="0093208C" w:rsidRPr="00496547" w:rsidRDefault="0093208C" w:rsidP="0093208C">
            <w:pPr>
              <w:pStyle w:val="naisc"/>
              <w:spacing w:before="0" w:after="0"/>
              <w:jc w:val="both"/>
              <w:rPr>
                <w:b/>
              </w:rPr>
            </w:pPr>
            <w:r w:rsidRPr="00496547">
              <w:rPr>
                <w:b/>
              </w:rPr>
              <w:lastRenderedPageBreak/>
              <w:t>Ņemts vērā</w:t>
            </w:r>
          </w:p>
          <w:p w14:paraId="1036F70A" w14:textId="77777777" w:rsidR="0093208C" w:rsidRPr="00496547" w:rsidRDefault="0093208C" w:rsidP="0093208C">
            <w:pPr>
              <w:jc w:val="both"/>
              <w:rPr>
                <w:lang w:val="lv"/>
              </w:rPr>
            </w:pPr>
            <w:r w:rsidRPr="00496547">
              <w:rPr>
                <w:bCs/>
                <w:lang w:val="lv"/>
              </w:rPr>
              <w:t xml:space="preserve">Iebildumā minētais par pašvaldību darbinieku iesaisti tiek risināts ar </w:t>
            </w:r>
            <w:r w:rsidRPr="00496547">
              <w:rPr>
                <w:lang w:val="lv"/>
              </w:rPr>
              <w:t xml:space="preserve"> visaptverošu VPVKAC un digitālo aģentu un līderu tīkls, kas atbalsta </w:t>
            </w:r>
            <w:r w:rsidRPr="00496547">
              <w:rPr>
                <w:lang w:val="lv"/>
              </w:rPr>
              <w:lastRenderedPageBreak/>
              <w:t>un iedrošina dažādas sabiedrības grupas valsts pārvaldes izmantošanā, kā arī caur digitālo prasmju pilnveidi uzlabo vietējo kopienu dzīves kvalitāti. Tas tiks realizēts ieviešot uzdevumu</w:t>
            </w:r>
          </w:p>
          <w:p w14:paraId="27AFE4F8" w14:textId="77777777" w:rsidR="0093208C" w:rsidRPr="00496547" w:rsidRDefault="0093208C" w:rsidP="0093208C">
            <w:pPr>
              <w:jc w:val="both"/>
            </w:pPr>
            <w:r w:rsidRPr="00496547">
              <w:t xml:space="preserve">“Vienota rīcības plāna izstrāde un ieviešana digitālo prasmju kā caurviju </w:t>
            </w:r>
            <w:proofErr w:type="spellStart"/>
            <w:r w:rsidRPr="00496547">
              <w:t>pamatprasmju</w:t>
            </w:r>
            <w:proofErr w:type="spellEnd"/>
            <w:r w:rsidRPr="00496547">
              <w:t xml:space="preserve"> apguves nodrošināšanai katram iedzīvotājam”</w:t>
            </w:r>
          </w:p>
        </w:tc>
        <w:tc>
          <w:tcPr>
            <w:tcW w:w="3497" w:type="dxa"/>
            <w:tcBorders>
              <w:top w:val="single" w:sz="4" w:space="0" w:color="auto"/>
              <w:left w:val="single" w:sz="4" w:space="0" w:color="auto"/>
              <w:bottom w:val="single" w:sz="4" w:space="0" w:color="auto"/>
            </w:tcBorders>
            <w:shd w:val="clear" w:color="auto" w:fill="auto"/>
          </w:tcPr>
          <w:p w14:paraId="21EFC9A0" w14:textId="77777777" w:rsidR="0093208C" w:rsidRPr="00496547" w:rsidRDefault="0093208C" w:rsidP="0093208C"/>
        </w:tc>
      </w:tr>
      <w:tr w:rsidR="00C83550" w:rsidRPr="009841AB" w14:paraId="189C548B"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D58896A" w14:textId="77777777" w:rsidR="00C83550" w:rsidRPr="00496547" w:rsidRDefault="00C83550" w:rsidP="00C83550">
            <w:pPr>
              <w:tabs>
                <w:tab w:val="left" w:pos="720"/>
              </w:tabs>
              <w:contextualSpacing/>
              <w:jc w:val="both"/>
              <w:rPr>
                <w:b/>
                <w:bCs/>
                <w:lang w:eastAsia="en-US"/>
              </w:rPr>
            </w:pPr>
            <w:r w:rsidRPr="00496547">
              <w:rPr>
                <w:b/>
                <w:bCs/>
                <w:lang w:eastAsia="en-US"/>
              </w:rPr>
              <w:t>Labklājības ministrijas 01.02.2021. atzinums:</w:t>
            </w:r>
          </w:p>
        </w:tc>
      </w:tr>
      <w:tr w:rsidR="0093208C" w:rsidRPr="009841AB" w14:paraId="419350C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0641257" w14:textId="77777777" w:rsidR="0093208C" w:rsidRPr="00496547" w:rsidRDefault="0093208C" w:rsidP="0093208C">
            <w:pPr>
              <w:pStyle w:val="naisc"/>
              <w:spacing w:before="0" w:after="0"/>
            </w:pPr>
            <w:r w:rsidRPr="00496547">
              <w:t>113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A207623" w14:textId="77777777" w:rsidR="0093208C" w:rsidRPr="00496547" w:rsidRDefault="0093208C" w:rsidP="0093208C">
            <w:r w:rsidRPr="00496547">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A60F116" w14:textId="77777777" w:rsidR="0093208C" w:rsidRPr="00496547" w:rsidRDefault="0093208C" w:rsidP="0093208C">
            <w:pPr>
              <w:shd w:val="clear" w:color="auto" w:fill="FFFFFF"/>
              <w:jc w:val="both"/>
              <w:rPr>
                <w:color w:val="212121"/>
              </w:rPr>
            </w:pPr>
            <w:r w:rsidRPr="00496547">
              <w:t>1. Lūdzam precizēt Pamatnostādņu projekta 4.1.5.sadaļas 42.lpp. iekļauto tekstu “</w:t>
            </w:r>
            <w:r w:rsidRPr="00496547">
              <w:rPr>
                <w:bCs/>
              </w:rPr>
              <w:t xml:space="preserve">Atbalsts nodarbināto pieaugušo digitālo prasmju attīstībai”, izsakot to šādā redakcijā “Atbalsts pieaugušo digitālo prasmju attīstībai” atbilstoši šīs pašas sadaļas 41.lpp. sniegtajam skaidrojumam (nodarbinātie, kā arī bezdarbnieki, darba meklētāji un bezdarba riskam pakļautie pieaugušie (visi kopā – pieaugušie)). Tāpat lūdzam attiecīgi precizēt arī </w:t>
            </w:r>
            <w:r w:rsidRPr="00496547">
              <w:t>uzdevuma U4.1.5.-1 formulējumā iekļauto pēdējo teikumu.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9DAC658" w14:textId="66933517" w:rsidR="0093208C" w:rsidRPr="00496547" w:rsidRDefault="0093208C" w:rsidP="0093208C">
            <w:pPr>
              <w:pStyle w:val="naisc"/>
              <w:spacing w:before="0" w:after="0"/>
              <w:jc w:val="both"/>
              <w:rPr>
                <w:b/>
              </w:rPr>
            </w:pPr>
            <w:r w:rsidRPr="00496547">
              <w:rPr>
                <w:b/>
              </w:rPr>
              <w:t>Ņemts vērā</w:t>
            </w:r>
          </w:p>
        </w:tc>
        <w:tc>
          <w:tcPr>
            <w:tcW w:w="3497" w:type="dxa"/>
            <w:tcBorders>
              <w:top w:val="single" w:sz="4" w:space="0" w:color="auto"/>
              <w:left w:val="single" w:sz="4" w:space="0" w:color="auto"/>
              <w:bottom w:val="single" w:sz="4" w:space="0" w:color="auto"/>
            </w:tcBorders>
            <w:shd w:val="clear" w:color="auto" w:fill="auto"/>
          </w:tcPr>
          <w:p w14:paraId="58F81D92" w14:textId="77777777" w:rsidR="0093208C" w:rsidRPr="00496547" w:rsidRDefault="0093208C" w:rsidP="0093208C">
            <w:r w:rsidRPr="00496547">
              <w:t xml:space="preserve">Lūdzam skatīt 4.1.1. </w:t>
            </w:r>
            <w:proofErr w:type="spellStart"/>
            <w:r w:rsidRPr="00496547">
              <w:t>apakšsadaļu</w:t>
            </w:r>
            <w:proofErr w:type="spellEnd"/>
            <w:r w:rsidRPr="00496547">
              <w:t xml:space="preserve"> (iepriekš 4.1.5.)</w:t>
            </w:r>
          </w:p>
        </w:tc>
      </w:tr>
      <w:tr w:rsidR="0093208C" w:rsidRPr="009841AB" w14:paraId="14FF5CA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B8E4A2A" w14:textId="77777777" w:rsidR="0093208C" w:rsidRPr="00496547" w:rsidRDefault="0093208C" w:rsidP="0093208C">
            <w:pPr>
              <w:pStyle w:val="naisc"/>
              <w:spacing w:before="0" w:after="0"/>
            </w:pPr>
            <w:r w:rsidRPr="00496547">
              <w:t>114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CC01ABB" w14:textId="77777777" w:rsidR="0093208C" w:rsidRPr="00496547" w:rsidRDefault="0093208C" w:rsidP="0093208C">
            <w:r w:rsidRPr="00496547">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0CE39DE" w14:textId="77777777" w:rsidR="0093208C" w:rsidRPr="00496547" w:rsidRDefault="0093208C" w:rsidP="0093208C">
            <w:pPr>
              <w:shd w:val="clear" w:color="auto" w:fill="FFFFFF"/>
              <w:jc w:val="both"/>
              <w:rPr>
                <w:color w:val="212121"/>
              </w:rPr>
            </w:pPr>
            <w:r w:rsidRPr="00496547">
              <w:rPr>
                <w:color w:val="212121"/>
              </w:rPr>
              <w:t xml:space="preserve">2. Lūdzam Pamatnostādņu projekta 4.1.5.sadaļas uzdevumā U4.1.5.-1 papildināt atbildīgo institūciju uzskaitījumu ar Labklājības ministriju (LM), bet līdzatbildīgo institūciju uzskaitījumu ar Nodarbinātības valsts aģentūru (NVA). Vēršam VARAM uzmanību uz to, ka š.g. februāra vidū noslēgsies NVA klientu bezmaksas iesaiste vienā no </w:t>
            </w:r>
            <w:r w:rsidRPr="00496547">
              <w:rPr>
                <w:color w:val="212121"/>
              </w:rPr>
              <w:lastRenderedPageBreak/>
              <w:t xml:space="preserve">pasaules populārākajām tiešsaistes mācību platformām </w:t>
            </w:r>
            <w:proofErr w:type="spellStart"/>
            <w:r w:rsidRPr="00496547">
              <w:rPr>
                <w:color w:val="212121"/>
              </w:rPr>
              <w:t>Coursera</w:t>
            </w:r>
            <w:proofErr w:type="spellEnd"/>
            <w:r w:rsidRPr="00496547">
              <w:rPr>
                <w:color w:val="212121"/>
              </w:rPr>
              <w:t xml:space="preserve">, ko kopā ar citām Latvijas mācību platformām LM Apmācību komisija pilotprojekta veidā apstiprināja 2020.gada 12.maijā. </w:t>
            </w:r>
            <w:proofErr w:type="spellStart"/>
            <w:r w:rsidRPr="00496547">
              <w:rPr>
                <w:color w:val="212121"/>
              </w:rPr>
              <w:t>Coursera</w:t>
            </w:r>
            <w:proofErr w:type="spellEnd"/>
            <w:r w:rsidRPr="00496547">
              <w:rPr>
                <w:color w:val="212121"/>
              </w:rPr>
              <w:t xml:space="preserve">  bezmaksas tiešsaistes kursu apguve izrietēja no NVA un </w:t>
            </w:r>
            <w:proofErr w:type="spellStart"/>
            <w:r w:rsidRPr="00496547">
              <w:rPr>
                <w:color w:val="212121"/>
              </w:rPr>
              <w:t>Courseras</w:t>
            </w:r>
            <w:proofErr w:type="spellEnd"/>
            <w:r w:rsidRPr="00496547">
              <w:rPr>
                <w:color w:val="212121"/>
              </w:rPr>
              <w:t xml:space="preserve"> abpusējās sadarbības, reaģējot uz pandēmijas izplatību. Pusgada laikā vairākās mācību platformās kopā iesaistījās aptuveni 2 tūkst. NVA klientu. Ņemot vērā pirmo tiešsaistes mācību rezultātu </w:t>
            </w:r>
            <w:proofErr w:type="spellStart"/>
            <w:r w:rsidRPr="00496547">
              <w:rPr>
                <w:color w:val="212121"/>
              </w:rPr>
              <w:t>izvērtējumu</w:t>
            </w:r>
            <w:proofErr w:type="spellEnd"/>
            <w:r w:rsidRPr="00496547">
              <w:rPr>
                <w:color w:val="212121"/>
              </w:rPr>
              <w:t xml:space="preserve"> un NVA klientu pieprasījumu šādu mācību apguvei, arī turpmāk NVA plāno nodrošināt atbalstu darba tirgū nepieciešamo prasmju un izglītības ieguvei gan atvērtajos tiešsaistes kursos (</w:t>
            </w:r>
            <w:proofErr w:type="spellStart"/>
            <w:r w:rsidRPr="00496547">
              <w:rPr>
                <w:i/>
                <w:iCs/>
                <w:color w:val="212121"/>
              </w:rPr>
              <w:t>Massive</w:t>
            </w:r>
            <w:proofErr w:type="spellEnd"/>
            <w:r w:rsidRPr="00496547">
              <w:rPr>
                <w:i/>
                <w:iCs/>
                <w:color w:val="212121"/>
              </w:rPr>
              <w:t xml:space="preserve"> </w:t>
            </w:r>
            <w:proofErr w:type="spellStart"/>
            <w:r w:rsidRPr="00496547">
              <w:rPr>
                <w:i/>
                <w:iCs/>
                <w:color w:val="212121"/>
              </w:rPr>
              <w:t>Open</w:t>
            </w:r>
            <w:proofErr w:type="spellEnd"/>
            <w:r w:rsidRPr="00496547">
              <w:rPr>
                <w:i/>
                <w:iCs/>
                <w:color w:val="212121"/>
              </w:rPr>
              <w:t xml:space="preserve"> Online </w:t>
            </w:r>
            <w:proofErr w:type="spellStart"/>
            <w:r w:rsidRPr="00496547">
              <w:rPr>
                <w:i/>
                <w:iCs/>
                <w:color w:val="212121"/>
              </w:rPr>
              <w:t>Courses</w:t>
            </w:r>
            <w:proofErr w:type="spellEnd"/>
            <w:r w:rsidRPr="00496547">
              <w:rPr>
                <w:color w:val="212121"/>
              </w:rPr>
              <w:t>), gan arī paplašināta attālināto profesionālās pilnveides un profesionālās modulārās izglītības ietvaros, ieskaitot arī attālinātās un klātienes augstākās izglītības iestādes studiju kursus un moduļus. Turklāt šādu augstākās izglītības modulāru apguves piedāvājumu uzsver arī OECD ziņojumā “</w:t>
            </w:r>
            <w:proofErr w:type="spellStart"/>
            <w:r w:rsidRPr="00496547">
              <w:rPr>
                <w:i/>
                <w:iCs/>
                <w:color w:val="212121"/>
              </w:rPr>
              <w:t>Going</w:t>
            </w:r>
            <w:proofErr w:type="spellEnd"/>
            <w:r w:rsidRPr="00496547">
              <w:rPr>
                <w:i/>
                <w:iCs/>
                <w:color w:val="212121"/>
              </w:rPr>
              <w:t xml:space="preserve"> </w:t>
            </w:r>
            <w:proofErr w:type="spellStart"/>
            <w:r w:rsidRPr="00496547">
              <w:rPr>
                <w:i/>
                <w:iCs/>
                <w:color w:val="212121"/>
              </w:rPr>
              <w:t>Digital</w:t>
            </w:r>
            <w:proofErr w:type="spellEnd"/>
            <w:r w:rsidRPr="00496547">
              <w:rPr>
                <w:i/>
                <w:iCs/>
                <w:color w:val="212121"/>
              </w:rPr>
              <w:t xml:space="preserve"> </w:t>
            </w:r>
            <w:proofErr w:type="spellStart"/>
            <w:r w:rsidRPr="00496547">
              <w:rPr>
                <w:i/>
                <w:iCs/>
                <w:color w:val="212121"/>
              </w:rPr>
              <w:t>in</w:t>
            </w:r>
            <w:proofErr w:type="spellEnd"/>
            <w:r w:rsidRPr="00496547">
              <w:rPr>
                <w:i/>
                <w:iCs/>
                <w:color w:val="212121"/>
              </w:rPr>
              <w:t xml:space="preserve"> Latvia</w:t>
            </w:r>
            <w:r w:rsidRPr="00496547">
              <w:rPr>
                <w:color w:val="212121"/>
              </w:rPr>
              <w:t xml:space="preserve">”. Šobrīd NVA un LM veic visus nepieciešamos priekšdarbus pie šī - paplašināto mācību piedāvājuma izveides, un drīzumā tas kļūs pieejams arī NVA klientiem. Informējam, ka NVA īsteno citas ar digitālās prasmju veicināšanas apguvi saistītas jaunās iniciatīvas. Piemēram, sadarbībā ar Latvijas Informācijas un komunikācijas tehnoloģijas asociāciju tiek īstenota sieviešu vecumā no 18 – 29 gadiem bezmaksas IKT prasmju apguve, kas ir daļa no starptautiska projekta “Women4IT” aktivitātēm. Projekta mērķis ir jaunu sieviešu, kuras nemācās, nestrādā un neapgūst arodu iesaiste IKT nozarē un digitālajos darbos. Visbeidzot, NVA ilgstoši ir nodrošinājusi  tās klientiem IT neformālās izglītības programmas un pamata </w:t>
            </w:r>
            <w:proofErr w:type="spellStart"/>
            <w:r w:rsidRPr="00496547">
              <w:rPr>
                <w:color w:val="212121"/>
              </w:rPr>
              <w:t>datorprasmju</w:t>
            </w:r>
            <w:proofErr w:type="spellEnd"/>
            <w:r w:rsidRPr="00496547">
              <w:rPr>
                <w:color w:val="212121"/>
              </w:rPr>
              <w:t xml:space="preserve"> apguves kursus, kas ir vispopulārākie klientu vidū. Ik gadu aptuveni </w:t>
            </w:r>
            <w:r w:rsidRPr="00496547">
              <w:rPr>
                <w:color w:val="212121"/>
              </w:rPr>
              <w:lastRenderedPageBreak/>
              <w:t>4000 personas iesaistās šo programmu apguvē, ieskaitot mazkvalificētos un personas ar zemu prasmju un izglītības līmeni. NVA digitālo prasmju pilnveides kuros iesaistās ne tikai bezdarbnieki un darba meklētāji, bet arī bezdarba riskam pakļautās personas. Arī nākošajā plānošanas periodā NVA turpinās nodrošināt ar IKT un citu darba tirgus pieprasītu prasmju un izglītības programmu apguvi gan bezdarbniekiem un darba meklētājiem, gan bezdarba riskam pakļautajām personām atbilstoši “Sociālās aizsardzības un darba tirgus politikas attīstības pamatnostādnēm 2021.-2027.gadam”.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28EF3DB" w14:textId="77777777" w:rsidR="0093208C" w:rsidRPr="00496547" w:rsidRDefault="0093208C" w:rsidP="0093208C">
            <w:pPr>
              <w:pStyle w:val="naisc"/>
              <w:spacing w:before="0" w:after="0"/>
              <w:jc w:val="both"/>
              <w:rPr>
                <w:b/>
              </w:rPr>
            </w:pPr>
            <w:r w:rsidRPr="00496547">
              <w:rPr>
                <w:b/>
              </w:rPr>
              <w:lastRenderedPageBreak/>
              <w:t>Ņemts vērā</w:t>
            </w:r>
          </w:p>
          <w:p w14:paraId="212DFC37" w14:textId="77777777" w:rsidR="0093208C" w:rsidRPr="00496547" w:rsidRDefault="0093208C" w:rsidP="0093208C">
            <w:pPr>
              <w:pStyle w:val="naisc"/>
              <w:spacing w:before="0" w:after="0"/>
              <w:jc w:val="both"/>
              <w:rPr>
                <w:b/>
              </w:rPr>
            </w:pPr>
            <w:r w:rsidRPr="00496547">
              <w:rPr>
                <w:color w:val="212121"/>
              </w:rPr>
              <w:t xml:space="preserve">Papildināts atbildīgo institūciju uzskaitījumu ar Labklājības ministriju (LM), bet līdzatbildīgo institūciju uzskaitījumu ar </w:t>
            </w:r>
            <w:r w:rsidRPr="00496547">
              <w:rPr>
                <w:color w:val="212121"/>
              </w:rPr>
              <w:lastRenderedPageBreak/>
              <w:t>Nodarbinātības valsts aģentūru (NVA).</w:t>
            </w:r>
          </w:p>
        </w:tc>
        <w:tc>
          <w:tcPr>
            <w:tcW w:w="3497" w:type="dxa"/>
            <w:tcBorders>
              <w:top w:val="single" w:sz="4" w:space="0" w:color="auto"/>
              <w:left w:val="single" w:sz="4" w:space="0" w:color="auto"/>
              <w:bottom w:val="single" w:sz="4" w:space="0" w:color="auto"/>
            </w:tcBorders>
            <w:shd w:val="clear" w:color="auto" w:fill="auto"/>
          </w:tcPr>
          <w:p w14:paraId="7C3193C8" w14:textId="77777777" w:rsidR="0093208C" w:rsidRPr="00496547" w:rsidRDefault="0093208C" w:rsidP="0093208C">
            <w:r w:rsidRPr="00496547">
              <w:lastRenderedPageBreak/>
              <w:t xml:space="preserve">Lūdzam skatīt 4.1.1. </w:t>
            </w:r>
            <w:proofErr w:type="spellStart"/>
            <w:r w:rsidRPr="00496547">
              <w:t>apakšsadaļu</w:t>
            </w:r>
            <w:proofErr w:type="spellEnd"/>
            <w:r w:rsidRPr="00496547">
              <w:t xml:space="preserve"> (iepriekš 4.1.5.) </w:t>
            </w:r>
          </w:p>
        </w:tc>
      </w:tr>
      <w:tr w:rsidR="000541B7" w:rsidRPr="009841AB" w14:paraId="276C735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391B228" w14:textId="77777777" w:rsidR="000541B7" w:rsidRPr="00AC28F2" w:rsidRDefault="000541B7" w:rsidP="000541B7">
            <w:pPr>
              <w:widowControl w:val="0"/>
              <w:jc w:val="both"/>
              <w:rPr>
                <w:rFonts w:cstheme="minorHAnsi"/>
                <w:b/>
              </w:rPr>
            </w:pPr>
            <w:r w:rsidRPr="00AC28F2">
              <w:rPr>
                <w:rFonts w:cstheme="minorHAnsi"/>
                <w:b/>
              </w:rPr>
              <w:lastRenderedPageBreak/>
              <w:t>Latvijas Tirdzniecības un rūpniecības kameras 01.02.2021. atzinums:</w:t>
            </w:r>
          </w:p>
        </w:tc>
      </w:tr>
      <w:tr w:rsidR="0093208C" w:rsidRPr="009841AB" w14:paraId="1526602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690822F" w14:textId="77777777" w:rsidR="0093208C" w:rsidRPr="00AC28F2" w:rsidRDefault="0093208C" w:rsidP="0093208C">
            <w:pPr>
              <w:pStyle w:val="naisc"/>
              <w:spacing w:before="0" w:after="0"/>
            </w:pPr>
            <w:r w:rsidRPr="00AC28F2">
              <w:t>115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0DEE870"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28806B3" w14:textId="77777777" w:rsidR="0093208C" w:rsidRPr="00AC28F2" w:rsidRDefault="0093208C" w:rsidP="0093208C">
            <w:pPr>
              <w:widowControl w:val="0"/>
              <w:jc w:val="both"/>
            </w:pPr>
            <w:r w:rsidRPr="00AC28F2">
              <w:t xml:space="preserve">4.1 Rīcības virziens „Digitālās prasmes un izglītība” </w:t>
            </w:r>
          </w:p>
          <w:p w14:paraId="2775DE2A" w14:textId="77777777" w:rsidR="0093208C" w:rsidRPr="00AC28F2" w:rsidRDefault="0093208C" w:rsidP="0093208C">
            <w:pPr>
              <w:widowControl w:val="0"/>
              <w:jc w:val="both"/>
              <w:rPr>
                <w:bCs/>
              </w:rPr>
            </w:pPr>
            <w:r w:rsidRPr="00AC28F2">
              <w:rPr>
                <w:bCs/>
              </w:rPr>
              <w:t>Ierosinām pievienot atsauksmes uz Eiropas izglītības telpas izveides iniciatīvu, paziņojums 2020. gada 30. septembrī: https://ec.europa.eu/education/education-in-the-eu/european-education-area_lv un saistīto Rīcības plānu digitālās izglītības jomā (2021–2027) :</w:t>
            </w:r>
          </w:p>
          <w:p w14:paraId="6FD8C2A1" w14:textId="77777777" w:rsidR="0093208C" w:rsidRPr="00AC28F2" w:rsidRDefault="0093208C" w:rsidP="0093208C">
            <w:pPr>
              <w:widowControl w:val="0"/>
              <w:jc w:val="both"/>
              <w:rPr>
                <w:bCs/>
              </w:rPr>
            </w:pPr>
            <w:r w:rsidRPr="00AC28F2">
              <w:rPr>
                <w:bCs/>
              </w:rPr>
              <w:t>https://ec.europa.eu/education/education-in-the-eu/digital-education-action-plan_lv,</w:t>
            </w:r>
          </w:p>
          <w:p w14:paraId="69AF7E5E" w14:textId="77777777" w:rsidR="0093208C" w:rsidRPr="00AC28F2" w:rsidRDefault="0093208C" w:rsidP="0093208C">
            <w:pPr>
              <w:widowControl w:val="0"/>
              <w:jc w:val="both"/>
              <w:rPr>
                <w:bCs/>
              </w:rPr>
            </w:pPr>
            <w:r w:rsidRPr="00AC28F2">
              <w:rPr>
                <w:bCs/>
              </w:rPr>
              <w:t>https://ec.europa.eu/education/sites/education/files/document-library-docs/deap-communication-sept2020_en.pdf.</w:t>
            </w:r>
          </w:p>
          <w:p w14:paraId="0C8FBAF0" w14:textId="77777777" w:rsidR="0093208C" w:rsidRPr="00AC28F2" w:rsidRDefault="0093208C" w:rsidP="0093208C">
            <w:pPr>
              <w:widowControl w:val="0"/>
              <w:jc w:val="both"/>
            </w:pPr>
            <w:r w:rsidRPr="00AC28F2">
              <w:rPr>
                <w:bCs/>
              </w:rPr>
              <w:t>Jaunajam rīcības plānam ir divas stratēģiskās</w:t>
            </w:r>
            <w:r w:rsidRPr="00AC28F2">
              <w:t xml:space="preserve"> prioritātes: 1. Veicināt augstas veiktspējas digitālās izglītības ekosistēmas attīstību; un 2. Nostiprināt attiecīgās digitālās prasmes un kompetences digitālās pārveides īstenošanai. Ir lietderīgi piekoriģēt rīcības virziena 4.1. saturu, lai tas vairāk saskan ar EK piedāvāto rīcības plānu digitālās izglītības jomā.</w:t>
            </w:r>
          </w:p>
          <w:p w14:paraId="0103340D" w14:textId="77777777" w:rsidR="0093208C" w:rsidRPr="00AC28F2" w:rsidRDefault="0093208C" w:rsidP="0093208C">
            <w:pPr>
              <w:widowControl w:val="0"/>
              <w:jc w:val="both"/>
            </w:pPr>
            <w:r w:rsidRPr="00AC28F2">
              <w:t xml:space="preserve">Latvijai būtu jāiekļaujas starptautiskajā pētījumā par </w:t>
            </w:r>
            <w:proofErr w:type="spellStart"/>
            <w:r w:rsidRPr="00AC28F2">
              <w:t>datorprasmi</w:t>
            </w:r>
            <w:proofErr w:type="spellEnd"/>
            <w:r w:rsidRPr="00AC28F2">
              <w:t xml:space="preserve"> un informācijas </w:t>
            </w:r>
            <w:proofErr w:type="spellStart"/>
            <w:r w:rsidRPr="00AC28F2">
              <w:t>lietotprasmi</w:t>
            </w:r>
            <w:proofErr w:type="spellEnd"/>
            <w:r w:rsidRPr="00AC28F2">
              <w:t xml:space="preserve"> (ICILS), kas apkopo starpvalstu datus par skolēnu digitālajām prasmēm un ievieš attiecībā uz skolēnu digitālajām </w:t>
            </w:r>
            <w:r w:rsidRPr="00AC28F2">
              <w:lastRenderedPageBreak/>
              <w:t xml:space="preserve">prasmēm un atbilstoši līdzīgi jāformulē arī Latvijas mērķis panākt, ka līdz 2030. gadam vismaz par 15 % (apspriežams) tiek samazināta tā 13 līdz 14 gadīgo skolēnu daļa, kuru </w:t>
            </w:r>
            <w:proofErr w:type="spellStart"/>
            <w:r w:rsidRPr="00AC28F2">
              <w:t>datorprasmes</w:t>
            </w:r>
            <w:proofErr w:type="spellEnd"/>
            <w:r w:rsidRPr="00AC28F2">
              <w:t xml:space="preserve"> un informācijas </w:t>
            </w:r>
            <w:proofErr w:type="spellStart"/>
            <w:r w:rsidRPr="00AC28F2">
              <w:t>lietotprasmes</w:t>
            </w:r>
            <w:proofErr w:type="spellEnd"/>
            <w:r w:rsidRPr="00AC28F2">
              <w:t xml:space="preserve"> līmenis nav pietiekams. </w:t>
            </w:r>
          </w:p>
          <w:p w14:paraId="72F0864D" w14:textId="77777777" w:rsidR="0093208C" w:rsidRPr="00AC28F2" w:rsidRDefault="0093208C" w:rsidP="0093208C">
            <w:pPr>
              <w:widowControl w:val="0"/>
              <w:jc w:val="both"/>
            </w:pPr>
            <w:r w:rsidRPr="00AC28F2">
              <w:t xml:space="preserve">Tāpat plānā ir paredzēts atjaunot Eiropas digitālās kompetences ietvaru, lai tajā iekļautu kompetences mākslīgā intelekta un datu jomā. Pēdējais ir saistīts arī ar šobrīd dokumentā neskaidro atsauci uz  </w:t>
            </w:r>
            <w:proofErr w:type="spellStart"/>
            <w:r w:rsidRPr="00AC28F2">
              <w:t>DidComp</w:t>
            </w:r>
            <w:proofErr w:type="spellEnd"/>
            <w:r w:rsidRPr="00AC28F2">
              <w:t xml:space="preserve"> 2.1., ar ko ir pamatota dokumentā aprakstītā zināšanu līmeņu pieeja un 5 līmeņu klasifikācija, kura piedāvāta lai definētu politikas mērķus, ietvaru un mācību mērķus konkrētām mērķauditorijām. </w:t>
            </w:r>
          </w:p>
          <w:p w14:paraId="105D1EEE" w14:textId="77777777" w:rsidR="0093208C" w:rsidRPr="00AC28F2" w:rsidRDefault="0093208C" w:rsidP="0093208C">
            <w:pPr>
              <w:widowControl w:val="0"/>
              <w:jc w:val="both"/>
            </w:pPr>
            <w:r w:rsidRPr="00AC28F2">
              <w:t xml:space="preserve">Šeit vietā būtu arī atsauces uz vēl agrāk izstrādātajiem ietvaru digitāli kompetentajām izglītības iestādēm </w:t>
            </w:r>
            <w:proofErr w:type="spellStart"/>
            <w:r w:rsidRPr="00AC28F2">
              <w:t>DigCompOrg</w:t>
            </w:r>
            <w:proofErr w:type="spellEnd"/>
            <w:r w:rsidRPr="00AC28F2">
              <w:t xml:space="preserve"> https://ec.europa.eu/jrc/en/digcomporg un ietvaru digitālajiem izglītotājiem </w:t>
            </w:r>
            <w:proofErr w:type="spellStart"/>
            <w:r w:rsidRPr="00AC28F2">
              <w:t>DigCompEdu</w:t>
            </w:r>
            <w:proofErr w:type="spellEnd"/>
            <w:r w:rsidRPr="00AC28F2">
              <w:t xml:space="preserve"> https://ec.europa.eu/jrc/en/digcompedu.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F783F24" w14:textId="77777777" w:rsidR="0093208C" w:rsidRPr="00AC28F2" w:rsidRDefault="0093208C" w:rsidP="0093208C">
            <w:pPr>
              <w:pStyle w:val="naisc"/>
              <w:spacing w:before="0" w:after="0"/>
              <w:jc w:val="both"/>
              <w:rPr>
                <w:b/>
              </w:rPr>
            </w:pPr>
            <w:r w:rsidRPr="00AC28F2">
              <w:rPr>
                <w:b/>
              </w:rPr>
              <w:lastRenderedPageBreak/>
              <w:t>Ņemts vērā</w:t>
            </w:r>
          </w:p>
          <w:p w14:paraId="231B2823" w14:textId="77777777" w:rsidR="0093208C" w:rsidRPr="00AC28F2" w:rsidRDefault="0093208C" w:rsidP="0093208C">
            <w:pPr>
              <w:widowControl w:val="0"/>
              <w:jc w:val="both"/>
            </w:pPr>
            <w:r w:rsidRPr="00AC28F2">
              <w:t xml:space="preserve">Lūdzam skatīt </w:t>
            </w:r>
            <w:proofErr w:type="spellStart"/>
            <w:r w:rsidRPr="00AC28F2">
              <w:t>apakšsadaļas</w:t>
            </w:r>
            <w:proofErr w:type="spellEnd"/>
            <w:r w:rsidRPr="00AC28F2">
              <w:t xml:space="preserve"> 4.1. ievadu</w:t>
            </w:r>
          </w:p>
          <w:p w14:paraId="63DF9B4F" w14:textId="77777777" w:rsidR="0093208C" w:rsidRPr="00AC28F2" w:rsidRDefault="0093208C" w:rsidP="0093208C">
            <w:pPr>
              <w:pStyle w:val="naisc"/>
              <w:spacing w:before="0" w:after="0"/>
              <w:jc w:val="both"/>
              <w:rPr>
                <w:b/>
              </w:rPr>
            </w:pPr>
          </w:p>
        </w:tc>
        <w:tc>
          <w:tcPr>
            <w:tcW w:w="3497" w:type="dxa"/>
            <w:tcBorders>
              <w:top w:val="single" w:sz="4" w:space="0" w:color="auto"/>
              <w:left w:val="single" w:sz="4" w:space="0" w:color="auto"/>
              <w:bottom w:val="single" w:sz="4" w:space="0" w:color="auto"/>
            </w:tcBorders>
            <w:shd w:val="clear" w:color="auto" w:fill="auto"/>
          </w:tcPr>
          <w:p w14:paraId="14560250" w14:textId="77777777" w:rsidR="0093208C" w:rsidRPr="00AC28F2" w:rsidRDefault="0093208C" w:rsidP="0093208C">
            <w:pPr>
              <w:widowControl w:val="0"/>
              <w:jc w:val="both"/>
            </w:pPr>
            <w:r w:rsidRPr="00AC28F2">
              <w:t xml:space="preserve">Lūdzam skatīt </w:t>
            </w:r>
            <w:proofErr w:type="spellStart"/>
            <w:r w:rsidRPr="00AC28F2">
              <w:t>apakšsadaļu</w:t>
            </w:r>
            <w:proofErr w:type="spellEnd"/>
            <w:r w:rsidRPr="00AC28F2">
              <w:t xml:space="preserve"> 4.1.</w:t>
            </w:r>
          </w:p>
          <w:p w14:paraId="42A37E05" w14:textId="77777777" w:rsidR="0093208C" w:rsidRPr="00AC28F2" w:rsidRDefault="0093208C" w:rsidP="0093208C"/>
        </w:tc>
      </w:tr>
      <w:tr w:rsidR="000541B7" w:rsidRPr="009841AB" w14:paraId="6FD99503"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7C44A0CB" w14:textId="77777777" w:rsidR="000541B7" w:rsidRPr="00AC28F2" w:rsidRDefault="000541B7" w:rsidP="000541B7">
            <w:pPr>
              <w:tabs>
                <w:tab w:val="left" w:pos="720"/>
              </w:tabs>
              <w:contextualSpacing/>
              <w:jc w:val="both"/>
              <w:rPr>
                <w:b/>
                <w:bCs/>
                <w:lang w:eastAsia="en-US"/>
              </w:rPr>
            </w:pPr>
            <w:r w:rsidRPr="00AC28F2">
              <w:rPr>
                <w:b/>
                <w:bCs/>
                <w:lang w:eastAsia="en-US"/>
              </w:rPr>
              <w:t>Veselības ministrijas 07.02.2021. atzinums:</w:t>
            </w:r>
          </w:p>
        </w:tc>
      </w:tr>
      <w:tr w:rsidR="0093208C" w:rsidRPr="009841AB" w14:paraId="67692DF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9368B4E" w14:textId="77777777" w:rsidR="0093208C" w:rsidRPr="00AC28F2" w:rsidRDefault="0093208C" w:rsidP="0093208C">
            <w:pPr>
              <w:pStyle w:val="naisc"/>
              <w:spacing w:before="0" w:after="0"/>
            </w:pPr>
            <w:r w:rsidRPr="00AC28F2">
              <w:t>116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C8AE284"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72097C0" w14:textId="77777777" w:rsidR="0093208C" w:rsidRPr="00AC28F2" w:rsidRDefault="0093208C" w:rsidP="0093208C">
            <w:pPr>
              <w:widowControl w:val="0"/>
              <w:jc w:val="both"/>
            </w:pPr>
            <w:r w:rsidRPr="00AC28F2">
              <w:t>1.</w:t>
            </w:r>
            <w:r w:rsidRPr="00AC28F2">
              <w:tab/>
              <w:t>4.1.3. rīcības virziena sadaļā “Nepieciešamā rīcība” 5. un 6.punktā minēti IKT kompetenču centri un tehnoloģiju inovāciju centri. Lūdzam papildināt pamatnostādnes ar skaidrojumu, kas tie ir par centriem. Vai tādi jau pastāv, vai plānots tikai veidot?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A54E8DA" w14:textId="4FAB2DE2" w:rsidR="0093208C" w:rsidRPr="00AC28F2" w:rsidRDefault="0093208C" w:rsidP="0093208C">
            <w:pPr>
              <w:pStyle w:val="naisc"/>
              <w:spacing w:before="0" w:after="0"/>
              <w:jc w:val="both"/>
              <w:rPr>
                <w:b/>
              </w:rPr>
            </w:pPr>
            <w:r w:rsidRPr="00AC28F2">
              <w:rPr>
                <w:b/>
              </w:rPr>
              <w:t xml:space="preserve">Ņemts vērā </w:t>
            </w:r>
          </w:p>
          <w:p w14:paraId="6675CD08" w14:textId="77777777" w:rsidR="0093208C" w:rsidRPr="00AC28F2" w:rsidRDefault="0093208C" w:rsidP="0093208C">
            <w:pPr>
              <w:pStyle w:val="naisc"/>
              <w:spacing w:before="0" w:after="0"/>
              <w:jc w:val="both"/>
              <w:rPr>
                <w:bCs/>
              </w:rPr>
            </w:pPr>
            <w:r w:rsidRPr="00AC28F2">
              <w:t>IKT kompetenču centri un tehnoloģiju inovāciju centri</w:t>
            </w:r>
            <w:r w:rsidRPr="00AC28F2">
              <w:rPr>
                <w:bCs/>
              </w:rPr>
              <w:t xml:space="preserve">  -svītrots</w:t>
            </w:r>
          </w:p>
        </w:tc>
        <w:tc>
          <w:tcPr>
            <w:tcW w:w="3497" w:type="dxa"/>
            <w:tcBorders>
              <w:top w:val="single" w:sz="4" w:space="0" w:color="auto"/>
              <w:left w:val="single" w:sz="4" w:space="0" w:color="auto"/>
              <w:bottom w:val="single" w:sz="4" w:space="0" w:color="auto"/>
            </w:tcBorders>
            <w:shd w:val="clear" w:color="auto" w:fill="auto"/>
          </w:tcPr>
          <w:p w14:paraId="5047A3F1" w14:textId="77777777" w:rsidR="0093208C" w:rsidRPr="00AC28F2" w:rsidRDefault="0093208C" w:rsidP="0093208C">
            <w:r w:rsidRPr="00AC28F2">
              <w:t xml:space="preserve">Lūdzam skatīt sadaļu 4.1.3. </w:t>
            </w:r>
          </w:p>
        </w:tc>
      </w:tr>
      <w:tr w:rsidR="0093208C" w:rsidRPr="009841AB" w14:paraId="22414F1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91444C7" w14:textId="77777777" w:rsidR="0093208C" w:rsidRPr="00AC28F2" w:rsidRDefault="0093208C" w:rsidP="0093208C">
            <w:pPr>
              <w:pStyle w:val="naisc"/>
              <w:spacing w:before="0" w:after="0"/>
            </w:pPr>
            <w:r w:rsidRPr="00AC28F2">
              <w:t>117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99F520C"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01B6256" w14:textId="77777777" w:rsidR="0093208C" w:rsidRPr="00AC28F2" w:rsidRDefault="0093208C" w:rsidP="0093208C">
            <w:pPr>
              <w:widowControl w:val="0"/>
              <w:jc w:val="both"/>
            </w:pPr>
            <w:r w:rsidRPr="00AC28F2">
              <w:t>2.</w:t>
            </w:r>
            <w:r w:rsidRPr="00AC28F2">
              <w:tab/>
              <w:t>Lūdzam svītrot 4.1.6. rīcības virziena “Digitālās prasmes veselības sektorā” 6.un 7.rīcību, jo tās vērstas nevis uz digitālo prasmju attīstīšanu veselības sektorā, bet gan datu pieejamības uzlabošanu pētniecībai.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5985E21" w14:textId="77777777" w:rsidR="0093208C" w:rsidRPr="00AC28F2" w:rsidRDefault="0093208C" w:rsidP="0093208C">
            <w:pPr>
              <w:pStyle w:val="naisc"/>
              <w:spacing w:before="0" w:after="0"/>
              <w:jc w:val="both"/>
              <w:rPr>
                <w:b/>
              </w:rPr>
            </w:pPr>
            <w:r w:rsidRPr="00AC28F2">
              <w:rPr>
                <w:b/>
              </w:rPr>
              <w:t>Ņemts vērā</w:t>
            </w:r>
          </w:p>
        </w:tc>
        <w:tc>
          <w:tcPr>
            <w:tcW w:w="3497" w:type="dxa"/>
            <w:tcBorders>
              <w:top w:val="single" w:sz="4" w:space="0" w:color="auto"/>
              <w:left w:val="single" w:sz="4" w:space="0" w:color="auto"/>
              <w:bottom w:val="single" w:sz="4" w:space="0" w:color="auto"/>
            </w:tcBorders>
            <w:shd w:val="clear" w:color="auto" w:fill="auto"/>
          </w:tcPr>
          <w:p w14:paraId="115FC626" w14:textId="77777777" w:rsidR="0093208C" w:rsidRPr="00AC28F2" w:rsidRDefault="0093208C" w:rsidP="0093208C">
            <w:r w:rsidRPr="00AC28F2">
              <w:t xml:space="preserve">Lūdzam skatīt </w:t>
            </w:r>
            <w:proofErr w:type="spellStart"/>
            <w:r w:rsidRPr="00AC28F2">
              <w:t>apakšsadaļu</w:t>
            </w:r>
            <w:proofErr w:type="spellEnd"/>
            <w:r w:rsidRPr="00AC28F2">
              <w:t xml:space="preserve"> 4.1.6.</w:t>
            </w:r>
          </w:p>
        </w:tc>
      </w:tr>
      <w:tr w:rsidR="0093208C" w:rsidRPr="009841AB" w14:paraId="4FBCA1A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E83CA12" w14:textId="77777777" w:rsidR="0093208C" w:rsidRPr="00AC28F2" w:rsidRDefault="0093208C" w:rsidP="0093208C">
            <w:pPr>
              <w:pStyle w:val="naisc"/>
              <w:spacing w:before="0" w:after="0"/>
            </w:pPr>
            <w:r w:rsidRPr="00AC28F2">
              <w:t>118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0EBEE87"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62A90A7" w14:textId="77777777" w:rsidR="0093208C" w:rsidRPr="00AC28F2" w:rsidRDefault="0093208C" w:rsidP="0093208C">
            <w:pPr>
              <w:widowControl w:val="0"/>
              <w:jc w:val="both"/>
            </w:pPr>
            <w:r w:rsidRPr="00AC28F2">
              <w:t>3.</w:t>
            </w:r>
            <w:r w:rsidRPr="00AC28F2">
              <w:tab/>
              <w:t>Lūdzam svītrot 4.1.6. rīcības virziena “Digitālās prasmes veselības sektorā” 8.rīcību, jo tā neattiecas ne uz šo rīcības virzienu, ne uz šo attīstības plānošanas dokumentu. Ārstniecības personu tālākizglītības  sistēmas attīstības jautājumi tiks ietverti Sabiedrības veselības pamatnostādnēs 2021.-</w:t>
            </w:r>
            <w:r w:rsidRPr="00AC28F2">
              <w:lastRenderedPageBreak/>
              <w:t>2027.gadam.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9FC27D1" w14:textId="77777777" w:rsidR="0093208C" w:rsidRPr="00AC28F2" w:rsidRDefault="0093208C" w:rsidP="0093208C">
            <w:pPr>
              <w:pStyle w:val="naisc"/>
              <w:spacing w:before="0" w:after="0"/>
              <w:jc w:val="both"/>
              <w:rPr>
                <w:b/>
              </w:rPr>
            </w:pPr>
            <w:r w:rsidRPr="00AC28F2">
              <w:rPr>
                <w:b/>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19904BE7" w14:textId="77777777" w:rsidR="0093208C" w:rsidRPr="00AC28F2" w:rsidRDefault="0093208C" w:rsidP="0093208C">
            <w:r w:rsidRPr="00AC28F2">
              <w:t xml:space="preserve">Lūdzam skatīt </w:t>
            </w:r>
            <w:proofErr w:type="spellStart"/>
            <w:r w:rsidRPr="00AC28F2">
              <w:t>apakšsadaļu</w:t>
            </w:r>
            <w:proofErr w:type="spellEnd"/>
            <w:r w:rsidRPr="00AC28F2">
              <w:t xml:space="preserve"> 4.1.5. (iepriekš 4.1.6.)</w:t>
            </w:r>
          </w:p>
        </w:tc>
      </w:tr>
      <w:tr w:rsidR="00E06F4D" w:rsidRPr="009841AB" w14:paraId="6F1AA006"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291669F" w14:textId="77777777" w:rsidR="00E06F4D" w:rsidRPr="00AC28F2" w:rsidRDefault="00E06F4D" w:rsidP="000541B7">
            <w:r w:rsidRPr="00AC28F2">
              <w:rPr>
                <w:b/>
                <w:bCs/>
                <w:lang w:eastAsia="en-US"/>
              </w:rPr>
              <w:t>Veselības ministrijas 05.05.2021. atzinums:</w:t>
            </w:r>
          </w:p>
        </w:tc>
      </w:tr>
      <w:tr w:rsidR="0093208C" w:rsidRPr="009841AB" w14:paraId="0F9E002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B7A0435" w14:textId="77777777" w:rsidR="0093208C" w:rsidRPr="00AC28F2" w:rsidRDefault="0093208C" w:rsidP="0093208C">
            <w:pPr>
              <w:pStyle w:val="naisc"/>
              <w:spacing w:before="0" w:after="0"/>
            </w:pPr>
            <w:r w:rsidRPr="00AC28F2">
              <w:t>119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300532D"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E83AACD" w14:textId="77777777" w:rsidR="0093208C" w:rsidRPr="00AC28F2" w:rsidRDefault="0093208C" w:rsidP="0093208C">
            <w:pPr>
              <w:widowControl w:val="0"/>
              <w:jc w:val="both"/>
            </w:pPr>
            <w:r w:rsidRPr="00AC28F2">
              <w:t>1. U4.1.1.-1. uzdevumā kā līdzatbildīgo ministriju lūdzam norādīt arī Veselības ministriju.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C3C894A" w14:textId="77777777" w:rsidR="0093208C" w:rsidRPr="00AC28F2" w:rsidRDefault="0093208C" w:rsidP="0093208C">
            <w:pPr>
              <w:pStyle w:val="naisc"/>
              <w:spacing w:before="0" w:after="0"/>
              <w:jc w:val="both"/>
              <w:rPr>
                <w:b/>
              </w:rPr>
            </w:pPr>
            <w:r w:rsidRPr="00AC28F2">
              <w:rPr>
                <w:b/>
              </w:rPr>
              <w:t>Ņemts vērā</w:t>
            </w:r>
          </w:p>
        </w:tc>
        <w:tc>
          <w:tcPr>
            <w:tcW w:w="3497" w:type="dxa"/>
            <w:tcBorders>
              <w:top w:val="single" w:sz="4" w:space="0" w:color="auto"/>
              <w:left w:val="single" w:sz="4" w:space="0" w:color="auto"/>
              <w:bottom w:val="single" w:sz="4" w:space="0" w:color="auto"/>
            </w:tcBorders>
            <w:shd w:val="clear" w:color="auto" w:fill="auto"/>
          </w:tcPr>
          <w:p w14:paraId="596B9773" w14:textId="77777777" w:rsidR="0093208C" w:rsidRPr="00AC28F2" w:rsidRDefault="0093208C" w:rsidP="0093208C">
            <w:r w:rsidRPr="00AC28F2">
              <w:t xml:space="preserve">Lūdzam skatīt </w:t>
            </w:r>
            <w:proofErr w:type="spellStart"/>
            <w:r w:rsidRPr="00AC28F2">
              <w:t>apakšsadaļu</w:t>
            </w:r>
            <w:proofErr w:type="spellEnd"/>
            <w:r w:rsidRPr="00AC28F2">
              <w:t xml:space="preserve"> 4.1.2. (iepriekš 4.1.1.)</w:t>
            </w:r>
          </w:p>
        </w:tc>
      </w:tr>
      <w:tr w:rsidR="0093208C" w:rsidRPr="009841AB" w14:paraId="1F68196A"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B77B44D" w14:textId="77777777" w:rsidR="0093208C" w:rsidRPr="00AC28F2" w:rsidRDefault="0093208C" w:rsidP="0093208C">
            <w:pPr>
              <w:pStyle w:val="naisc"/>
              <w:spacing w:before="0" w:after="0"/>
            </w:pPr>
            <w:r w:rsidRPr="00AC28F2">
              <w:t>120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A4CBE4B"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D2D38A8" w14:textId="77777777" w:rsidR="0093208C" w:rsidRPr="00AC28F2" w:rsidRDefault="0093208C" w:rsidP="0093208C">
            <w:pPr>
              <w:widowControl w:val="0"/>
              <w:jc w:val="both"/>
            </w:pPr>
            <w:r w:rsidRPr="00AC28F2">
              <w:t>2. U4.1.1.-2 un U4.1.1.-3 uzdevums dublējas “Sabiedrības digitālo prasmju attīstības programmas īstenošana…”, bet atbildīgās institūcijas atšķiras. Lūdzam precizēt.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AE37725" w14:textId="77777777" w:rsidR="0093208C" w:rsidRPr="00AC28F2" w:rsidRDefault="0093208C" w:rsidP="0093208C">
            <w:pPr>
              <w:pStyle w:val="naisc"/>
              <w:spacing w:before="0" w:after="0"/>
              <w:jc w:val="both"/>
              <w:rPr>
                <w:b/>
              </w:rPr>
            </w:pPr>
            <w:r w:rsidRPr="00AC28F2">
              <w:rPr>
                <w:b/>
              </w:rPr>
              <w:t>Ņemts vērā</w:t>
            </w:r>
          </w:p>
          <w:p w14:paraId="035EB8DC" w14:textId="77777777" w:rsidR="0093208C" w:rsidRPr="00AC28F2" w:rsidRDefault="0093208C" w:rsidP="0093208C">
            <w:pPr>
              <w:pStyle w:val="naisc"/>
              <w:spacing w:before="0" w:after="0"/>
              <w:jc w:val="both"/>
              <w:rPr>
                <w:bCs/>
              </w:rPr>
            </w:pPr>
            <w:r w:rsidRPr="00AC28F2">
              <w:rPr>
                <w:bCs/>
              </w:rPr>
              <w:t xml:space="preserve">Precizēts uzdevums 4.1.1.-3, dzēšot dublējošo sadaļu. </w:t>
            </w:r>
          </w:p>
        </w:tc>
        <w:tc>
          <w:tcPr>
            <w:tcW w:w="3497" w:type="dxa"/>
            <w:tcBorders>
              <w:top w:val="single" w:sz="4" w:space="0" w:color="auto"/>
              <w:left w:val="single" w:sz="4" w:space="0" w:color="auto"/>
              <w:bottom w:val="single" w:sz="4" w:space="0" w:color="auto"/>
            </w:tcBorders>
            <w:shd w:val="clear" w:color="auto" w:fill="auto"/>
          </w:tcPr>
          <w:p w14:paraId="63E6917B" w14:textId="77777777" w:rsidR="0093208C" w:rsidRPr="00AC28F2" w:rsidRDefault="0093208C" w:rsidP="0093208C">
            <w:r w:rsidRPr="00AC28F2">
              <w:t xml:space="preserve">Lūdzam skatīt </w:t>
            </w:r>
            <w:proofErr w:type="spellStart"/>
            <w:r w:rsidRPr="00AC28F2">
              <w:t>apakšsadaļu</w:t>
            </w:r>
            <w:proofErr w:type="spellEnd"/>
            <w:r w:rsidRPr="00AC28F2">
              <w:t xml:space="preserve"> 4.1.2. (iepriekš 4.1.1.)</w:t>
            </w:r>
          </w:p>
        </w:tc>
      </w:tr>
      <w:tr w:rsidR="0093208C" w:rsidRPr="009841AB" w14:paraId="56EE2C0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7A3C967" w14:textId="77777777" w:rsidR="0093208C" w:rsidRPr="00AC28F2" w:rsidRDefault="0093208C" w:rsidP="0093208C">
            <w:pPr>
              <w:pStyle w:val="naisc"/>
              <w:spacing w:before="0" w:after="0"/>
            </w:pPr>
            <w:r w:rsidRPr="00AC28F2">
              <w:t>121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17262B6"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C41C857" w14:textId="77777777" w:rsidR="0093208C" w:rsidRPr="00AC28F2" w:rsidRDefault="0093208C" w:rsidP="0093208C">
            <w:pPr>
              <w:widowControl w:val="0"/>
              <w:jc w:val="both"/>
            </w:pPr>
            <w:r w:rsidRPr="00AC28F2">
              <w:t>3. U4.1.5.-1 paredzēts atbalsts pieaugušo digitālo prasmju attīstīšanai. Vai tas ir kaut kas cits un papildus uzdevumā U4.1.1.-2 “Sabiedrības digitālo prasmju attīstības programmas īstenošana” paredzētajam? Lūdzam precizēt.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2AFA4D9" w14:textId="77777777" w:rsidR="0093208C" w:rsidRPr="00AC28F2" w:rsidRDefault="0093208C" w:rsidP="0093208C">
            <w:pPr>
              <w:pStyle w:val="naisc"/>
              <w:spacing w:before="0" w:after="0"/>
              <w:jc w:val="both"/>
              <w:rPr>
                <w:b/>
              </w:rPr>
            </w:pPr>
            <w:r w:rsidRPr="00AC28F2">
              <w:rPr>
                <w:b/>
              </w:rPr>
              <w:t>Ņemts vērā</w:t>
            </w:r>
          </w:p>
        </w:tc>
        <w:tc>
          <w:tcPr>
            <w:tcW w:w="3497" w:type="dxa"/>
            <w:tcBorders>
              <w:top w:val="single" w:sz="4" w:space="0" w:color="auto"/>
              <w:left w:val="single" w:sz="4" w:space="0" w:color="auto"/>
              <w:bottom w:val="single" w:sz="4" w:space="0" w:color="auto"/>
            </w:tcBorders>
            <w:shd w:val="clear" w:color="auto" w:fill="auto"/>
          </w:tcPr>
          <w:p w14:paraId="2753DA65" w14:textId="77777777" w:rsidR="0093208C" w:rsidRPr="00AC28F2" w:rsidRDefault="0093208C" w:rsidP="0093208C">
            <w:r w:rsidRPr="00AC28F2">
              <w:t xml:space="preserve">Lūdzam skatīt </w:t>
            </w:r>
            <w:proofErr w:type="spellStart"/>
            <w:r w:rsidRPr="00AC28F2">
              <w:t>apakšsadaļu</w:t>
            </w:r>
            <w:proofErr w:type="spellEnd"/>
            <w:r w:rsidRPr="00AC28F2">
              <w:t xml:space="preserve"> 4.1.5. (iepriekš 4.1.6.)</w:t>
            </w:r>
          </w:p>
        </w:tc>
      </w:tr>
      <w:tr w:rsidR="0093208C" w:rsidRPr="009841AB" w14:paraId="03A62E06"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A1D245A" w14:textId="77777777" w:rsidR="0093208C" w:rsidRPr="00AC28F2" w:rsidRDefault="0093208C" w:rsidP="0093208C">
            <w:pPr>
              <w:pStyle w:val="naisc"/>
              <w:spacing w:before="0" w:after="0"/>
            </w:pPr>
            <w:r w:rsidRPr="00AC28F2">
              <w:t>122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B084F90"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8E10A00" w14:textId="77777777" w:rsidR="0093208C" w:rsidRPr="00AC28F2" w:rsidRDefault="0093208C" w:rsidP="0093208C">
            <w:pPr>
              <w:jc w:val="both"/>
            </w:pPr>
            <w:r w:rsidRPr="00AC28F2">
              <w:t>4. Lūdzam 4.1.6. Rīcības virziena “Digitālās prasmes veselības sektorā” vīziju, nepieciešamo rīcību un sagaidāmo rezultātu izteikt šādā redakcijā:</w:t>
            </w:r>
          </w:p>
          <w:p w14:paraId="5C496ECD" w14:textId="77777777" w:rsidR="0093208C" w:rsidRPr="00AC28F2" w:rsidRDefault="0093208C" w:rsidP="0093208C">
            <w:pPr>
              <w:ind w:firstLine="720"/>
              <w:jc w:val="both"/>
            </w:pPr>
            <w:r w:rsidRPr="00AC28F2">
              <w:t>“</w:t>
            </w:r>
            <w:r w:rsidRPr="00AC28F2">
              <w:rPr>
                <w:b/>
                <w:bCs/>
              </w:rPr>
              <w:t>Vīzija</w:t>
            </w:r>
          </w:p>
          <w:p w14:paraId="082C8F49" w14:textId="77777777" w:rsidR="0093208C" w:rsidRPr="00AC28F2" w:rsidRDefault="0093208C" w:rsidP="0093208C">
            <w:pPr>
              <w:ind w:firstLine="720"/>
              <w:jc w:val="both"/>
            </w:pPr>
            <w:r w:rsidRPr="00AC28F2">
              <w:t xml:space="preserve">Veselības </w:t>
            </w:r>
            <w:proofErr w:type="spellStart"/>
            <w:r w:rsidRPr="00AC28F2">
              <w:t>prūpē</w:t>
            </w:r>
            <w:proofErr w:type="spellEnd"/>
            <w:r w:rsidRPr="00AC28F2">
              <w:t xml:space="preserve"> nodarbinātie, tai skaitā ārstniecības iestāžu vadītāji, ir apguvuši digitālās prasmes, tie prasmīgi izmanto digitālos risinājumus, sniedzot pakalpojumus, un iesaistās e-veselības un citu nozares digitālo risinājumu izstrādē, pilnveidošanā un attīstīšanā.</w:t>
            </w:r>
          </w:p>
          <w:p w14:paraId="30818AB5" w14:textId="77777777" w:rsidR="0093208C" w:rsidRPr="00AC28F2" w:rsidRDefault="0093208C" w:rsidP="0093208C">
            <w:pPr>
              <w:ind w:firstLine="720"/>
              <w:jc w:val="both"/>
              <w:rPr>
                <w:b/>
                <w:bCs/>
              </w:rPr>
            </w:pPr>
            <w:r w:rsidRPr="00AC28F2">
              <w:rPr>
                <w:b/>
                <w:bCs/>
              </w:rPr>
              <w:t>Nepieciešamā rīcība</w:t>
            </w:r>
          </w:p>
          <w:p w14:paraId="74B31B84" w14:textId="77777777" w:rsidR="0093208C" w:rsidRPr="00AC28F2" w:rsidRDefault="0093208C" w:rsidP="0093208C">
            <w:pPr>
              <w:ind w:firstLine="720"/>
              <w:jc w:val="both"/>
            </w:pPr>
            <w:r w:rsidRPr="00AC28F2">
              <w:t xml:space="preserve">Panākt, ka Latvijā veselības aprūpē nodarbināto digitālās prasmes un kompetences veicina kvalitatīvu, efektīvu un ētiskiem principiem atbilstošu digitālo risinājumu ieviešanu un izmantošanu veselības nozarē, lai veselības veicināšanas, slimību profilakses un veselības aprūpes pakalpojumi būtu efektīvāki, kvalitatīvāki un pacientiem pieejamāki. </w:t>
            </w:r>
          </w:p>
          <w:p w14:paraId="16338806" w14:textId="77777777" w:rsidR="0093208C" w:rsidRPr="00AC28F2" w:rsidRDefault="0093208C" w:rsidP="0093208C">
            <w:pPr>
              <w:ind w:firstLine="720"/>
              <w:jc w:val="both"/>
              <w:rPr>
                <w:b/>
                <w:bCs/>
              </w:rPr>
            </w:pPr>
            <w:r w:rsidRPr="00AC28F2">
              <w:rPr>
                <w:b/>
                <w:bCs/>
              </w:rPr>
              <w:t>Sagaidāmie rezultāti</w:t>
            </w:r>
          </w:p>
          <w:p w14:paraId="51F60567" w14:textId="77777777" w:rsidR="0093208C" w:rsidRPr="00AC28F2" w:rsidRDefault="0093208C" w:rsidP="0093208C">
            <w:pPr>
              <w:widowControl w:val="0"/>
              <w:jc w:val="both"/>
            </w:pPr>
            <w:r w:rsidRPr="00AC28F2">
              <w:t xml:space="preserve">Uzlabotas veselības nozares profesionāļu digitālās prasmes, informētība par pieejamiem digitālajiem risinājumiem pakalpojumu sniegšanā, nodrošināta </w:t>
            </w:r>
            <w:r w:rsidRPr="00AC28F2">
              <w:lastRenderedPageBreak/>
              <w:t>plašāka ārstniecības personu iesaiste nozares digitālo un e-veselības risinājumu izstrādē, pilnveidošanā un attīstībā.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63A153C" w14:textId="77777777" w:rsidR="0093208C" w:rsidRPr="00AC28F2" w:rsidRDefault="0093208C" w:rsidP="0093208C">
            <w:pPr>
              <w:pStyle w:val="naisc"/>
              <w:spacing w:before="0" w:after="0"/>
              <w:jc w:val="both"/>
              <w:rPr>
                <w:b/>
              </w:rPr>
            </w:pPr>
            <w:r w:rsidRPr="00AC28F2">
              <w:rPr>
                <w:b/>
              </w:rPr>
              <w:lastRenderedPageBreak/>
              <w:t>Ņemts vērā</w:t>
            </w:r>
          </w:p>
        </w:tc>
        <w:tc>
          <w:tcPr>
            <w:tcW w:w="3504" w:type="dxa"/>
            <w:gridSpan w:val="2"/>
            <w:tcBorders>
              <w:top w:val="single" w:sz="4" w:space="0" w:color="auto"/>
              <w:left w:val="single" w:sz="4" w:space="0" w:color="auto"/>
              <w:bottom w:val="single" w:sz="4" w:space="0" w:color="auto"/>
            </w:tcBorders>
            <w:shd w:val="clear" w:color="auto" w:fill="auto"/>
          </w:tcPr>
          <w:p w14:paraId="5D4D9050" w14:textId="77777777" w:rsidR="0093208C" w:rsidRPr="00AC28F2" w:rsidRDefault="0093208C" w:rsidP="0093208C">
            <w:r w:rsidRPr="00AC28F2">
              <w:t xml:space="preserve">Lūdzam skatīt </w:t>
            </w:r>
            <w:proofErr w:type="spellStart"/>
            <w:r w:rsidRPr="00AC28F2">
              <w:t>apakšsadaļu</w:t>
            </w:r>
            <w:proofErr w:type="spellEnd"/>
            <w:r w:rsidRPr="00AC28F2">
              <w:t xml:space="preserve"> 4.1.5. (iepriekš 4.1.6.)</w:t>
            </w:r>
          </w:p>
        </w:tc>
      </w:tr>
      <w:tr w:rsidR="0093208C" w:rsidRPr="009841AB" w14:paraId="7D5ED37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940514E" w14:textId="77777777" w:rsidR="0093208C" w:rsidRPr="00AC28F2" w:rsidRDefault="0093208C" w:rsidP="0093208C">
            <w:pPr>
              <w:pStyle w:val="naisc"/>
              <w:spacing w:before="0" w:after="0"/>
            </w:pPr>
            <w:r w:rsidRPr="00AC28F2">
              <w:t>123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37BEEDB"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4873960" w14:textId="77777777" w:rsidR="0093208C" w:rsidRPr="00AC28F2" w:rsidRDefault="0093208C" w:rsidP="0093208C">
            <w:pPr>
              <w:widowControl w:val="0"/>
              <w:jc w:val="both"/>
            </w:pPr>
            <w:r w:rsidRPr="00AC28F2">
              <w:t xml:space="preserve">5. U4.1.6.-1. uzdevumu lūdzam izteikt šādā redakcijā “Ārstniecības personu digitālo prasmju un profesionālās kompetences pilnveide darbam ar veselības nozares informācijas sistēmām un digitālajiem risinājumiem, t.sk. pakalpojumu sniegšanai pacientiem”, kā arī kā otru atbildīgo ministriju lūdzam norādīt arī Izglītības un zinātnes ministriju, jo studiju virzienā “Veselības aprūpe” </w:t>
            </w:r>
            <w:proofErr w:type="spellStart"/>
            <w:r w:rsidRPr="00AC28F2">
              <w:t>līdzdiploma</w:t>
            </w:r>
            <w:proofErr w:type="spellEnd"/>
            <w:r w:rsidRPr="00AC28F2">
              <w:t xml:space="preserve"> izglītības programmas finansē arī Izglītības un zinātnes ministrija.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2B0EE57" w14:textId="77777777" w:rsidR="0093208C" w:rsidRPr="00AC28F2" w:rsidRDefault="0093208C" w:rsidP="0093208C">
            <w:pPr>
              <w:pStyle w:val="naisc"/>
              <w:spacing w:before="0" w:after="0"/>
              <w:jc w:val="both"/>
              <w:rPr>
                <w:b/>
              </w:rPr>
            </w:pPr>
            <w:r w:rsidRPr="00AC28F2">
              <w:rPr>
                <w:b/>
              </w:rPr>
              <w:t>Ņemts vērā</w:t>
            </w:r>
          </w:p>
        </w:tc>
        <w:tc>
          <w:tcPr>
            <w:tcW w:w="3497" w:type="dxa"/>
            <w:tcBorders>
              <w:top w:val="single" w:sz="4" w:space="0" w:color="auto"/>
              <w:left w:val="single" w:sz="4" w:space="0" w:color="auto"/>
              <w:bottom w:val="single" w:sz="4" w:space="0" w:color="auto"/>
            </w:tcBorders>
            <w:shd w:val="clear" w:color="auto" w:fill="auto"/>
          </w:tcPr>
          <w:p w14:paraId="38B470F9" w14:textId="77777777" w:rsidR="0093208C" w:rsidRPr="00AC28F2" w:rsidRDefault="0093208C" w:rsidP="0093208C">
            <w:r w:rsidRPr="00AC28F2">
              <w:t xml:space="preserve">Lūdzam skatīt </w:t>
            </w:r>
            <w:proofErr w:type="spellStart"/>
            <w:r w:rsidRPr="00AC28F2">
              <w:t>apakšsadaļu</w:t>
            </w:r>
            <w:proofErr w:type="spellEnd"/>
            <w:r w:rsidRPr="00AC28F2">
              <w:t xml:space="preserve"> 4.1.5. (iepriekš 4.1.6.)</w:t>
            </w:r>
          </w:p>
        </w:tc>
      </w:tr>
      <w:tr w:rsidR="000541B7" w:rsidRPr="009841AB" w14:paraId="74246A91"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9E3D30D" w14:textId="77777777" w:rsidR="000541B7" w:rsidRPr="00AC28F2" w:rsidRDefault="000541B7" w:rsidP="000541B7">
            <w:pPr>
              <w:tabs>
                <w:tab w:val="left" w:pos="720"/>
              </w:tabs>
              <w:contextualSpacing/>
              <w:jc w:val="both"/>
              <w:rPr>
                <w:b/>
                <w:bCs/>
                <w:lang w:eastAsia="en-US"/>
              </w:rPr>
            </w:pPr>
            <w:r w:rsidRPr="00AC28F2">
              <w:rPr>
                <w:b/>
                <w:bCs/>
                <w:lang w:eastAsia="en-US"/>
              </w:rPr>
              <w:t>Valsts kancelejas 05.02.2021. atzinums:</w:t>
            </w:r>
          </w:p>
        </w:tc>
      </w:tr>
      <w:tr w:rsidR="0093208C" w:rsidRPr="009841AB" w14:paraId="469EED83"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4193C81" w14:textId="77777777" w:rsidR="0093208C" w:rsidRPr="00AC28F2" w:rsidRDefault="0093208C" w:rsidP="0093208C">
            <w:pPr>
              <w:pStyle w:val="naisc"/>
              <w:spacing w:before="0" w:after="0"/>
            </w:pPr>
            <w:r w:rsidRPr="00AC28F2">
              <w:t>124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732F635"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91C24D3" w14:textId="77777777" w:rsidR="0093208C" w:rsidRPr="00AC28F2" w:rsidRDefault="0093208C" w:rsidP="0093208C">
            <w:pPr>
              <w:widowControl w:val="0"/>
              <w:ind w:right="126"/>
              <w:jc w:val="both"/>
              <w:rPr>
                <w:lang w:eastAsia="ar-SA"/>
              </w:rPr>
            </w:pPr>
            <w:r w:rsidRPr="00AC28F2">
              <w:rPr>
                <w:lang w:eastAsia="ar-SA"/>
              </w:rPr>
              <w:t>1. Lūdzam 4.1. Attīstības virziena “Digitālās prasmes un izglītība” ievada pirmajā rindkopā uzsvērt publiskās pārvaldes digitālo prasmju apguves nepieciešamību, papildinot aiz vārdiem “īpašu uzmanību velta digitālajām prasmēm un izglītībai izglītības un veselības sektorā” ar vārdiem “kā arī publiskajā pārvaldē”.</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7BD76C4" w14:textId="77777777" w:rsidR="0093208C" w:rsidRPr="00AC28F2" w:rsidRDefault="0093208C" w:rsidP="0093208C">
            <w:pPr>
              <w:pStyle w:val="naisc"/>
              <w:spacing w:before="0" w:after="0"/>
              <w:jc w:val="both"/>
              <w:rPr>
                <w:b/>
              </w:rPr>
            </w:pPr>
            <w:r w:rsidRPr="00AC28F2">
              <w:rPr>
                <w:b/>
              </w:rPr>
              <w:t>Ņemts vērā</w:t>
            </w:r>
          </w:p>
        </w:tc>
        <w:tc>
          <w:tcPr>
            <w:tcW w:w="3497" w:type="dxa"/>
            <w:tcBorders>
              <w:top w:val="single" w:sz="4" w:space="0" w:color="auto"/>
              <w:left w:val="single" w:sz="4" w:space="0" w:color="auto"/>
              <w:bottom w:val="single" w:sz="4" w:space="0" w:color="auto"/>
            </w:tcBorders>
            <w:shd w:val="clear" w:color="auto" w:fill="auto"/>
          </w:tcPr>
          <w:p w14:paraId="5A81F4F3" w14:textId="77777777" w:rsidR="0093208C" w:rsidRPr="00AC28F2" w:rsidRDefault="0093208C" w:rsidP="0093208C">
            <w:r w:rsidRPr="00AC28F2">
              <w:t>Lūdzam skatīt ievadu</w:t>
            </w:r>
          </w:p>
        </w:tc>
      </w:tr>
      <w:tr w:rsidR="0093208C" w:rsidRPr="009841AB" w14:paraId="4B5C356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A0A8F42" w14:textId="77777777" w:rsidR="0093208C" w:rsidRPr="00AC28F2" w:rsidRDefault="0093208C" w:rsidP="0093208C">
            <w:pPr>
              <w:pStyle w:val="naisc"/>
              <w:spacing w:before="0" w:after="0"/>
            </w:pPr>
            <w:r w:rsidRPr="00AC28F2">
              <w:t>125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226BA8E"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2CFC2CA" w14:textId="77777777" w:rsidR="0093208C" w:rsidRPr="00AC28F2" w:rsidRDefault="0093208C" w:rsidP="0093208C">
            <w:pPr>
              <w:widowControl w:val="0"/>
              <w:ind w:right="126"/>
              <w:jc w:val="both"/>
            </w:pPr>
            <w:r w:rsidRPr="00AC28F2">
              <w:rPr>
                <w:lang w:eastAsia="ar-SA"/>
              </w:rPr>
              <w:t>2. Aicinām 4.1. Attīstības virziena “Digitālās prasmes un izglītība” ievadu (17. </w:t>
            </w:r>
            <w:proofErr w:type="spellStart"/>
            <w:r w:rsidRPr="00AC28F2">
              <w:rPr>
                <w:lang w:eastAsia="ar-SA"/>
              </w:rPr>
              <w:t>lpp</w:t>
            </w:r>
            <w:proofErr w:type="spellEnd"/>
            <w:r w:rsidRPr="00AC28F2">
              <w:rPr>
                <w:lang w:eastAsia="ar-SA"/>
              </w:rPr>
              <w:t>) papildināt ar jaunu piekto rindkopu šādā redakcijā: “</w:t>
            </w:r>
            <w:r w:rsidRPr="00AC28F2">
              <w:t>Tāpat krīze izgaismoja, ka publiskajā pārvaldē ir nepietiekošas digitālās prasmes un nav pietiekams tehniskais nodrošinājums, un nerisinot šo jautājumu, nākotnē tas var ietekmēt digitālo pakalpojumu kvalitāti”.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77073C1" w14:textId="77777777" w:rsidR="0093208C" w:rsidRPr="00AC28F2" w:rsidRDefault="0093208C" w:rsidP="0093208C">
            <w:pPr>
              <w:pStyle w:val="naisc"/>
              <w:spacing w:before="0" w:after="0"/>
              <w:jc w:val="both"/>
              <w:rPr>
                <w:b/>
              </w:rPr>
            </w:pPr>
            <w:r w:rsidRPr="00AC28F2">
              <w:rPr>
                <w:b/>
              </w:rPr>
              <w:t>Ņemts vērā</w:t>
            </w:r>
          </w:p>
        </w:tc>
        <w:tc>
          <w:tcPr>
            <w:tcW w:w="3497" w:type="dxa"/>
            <w:tcBorders>
              <w:top w:val="single" w:sz="4" w:space="0" w:color="auto"/>
              <w:left w:val="single" w:sz="4" w:space="0" w:color="auto"/>
              <w:bottom w:val="single" w:sz="4" w:space="0" w:color="auto"/>
            </w:tcBorders>
            <w:shd w:val="clear" w:color="auto" w:fill="auto"/>
          </w:tcPr>
          <w:p w14:paraId="3015B20C" w14:textId="77777777" w:rsidR="0093208C" w:rsidRPr="00AC28F2" w:rsidRDefault="0093208C" w:rsidP="0093208C">
            <w:r w:rsidRPr="00AC28F2">
              <w:t>Lūdzam skatīt ievadu</w:t>
            </w:r>
          </w:p>
        </w:tc>
      </w:tr>
      <w:tr w:rsidR="0093208C" w:rsidRPr="009841AB" w14:paraId="3395E0E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B787480" w14:textId="77777777" w:rsidR="0093208C" w:rsidRPr="00AC28F2" w:rsidRDefault="0093208C" w:rsidP="0093208C">
            <w:pPr>
              <w:pStyle w:val="naisc"/>
              <w:spacing w:before="0" w:after="0"/>
            </w:pPr>
            <w:r w:rsidRPr="00AC28F2">
              <w:t>126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71A170F"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EF37C01" w14:textId="77777777" w:rsidR="0093208C" w:rsidRPr="00AC28F2" w:rsidRDefault="0093208C" w:rsidP="0093208C">
            <w:pPr>
              <w:widowControl w:val="0"/>
              <w:ind w:right="126"/>
              <w:jc w:val="both"/>
            </w:pPr>
            <w:r w:rsidRPr="00AC28F2">
              <w:rPr>
                <w:lang w:eastAsia="ar-SA"/>
              </w:rPr>
              <w:t>3. Lūdzam 4.1.1. Rīcības virziena “</w:t>
            </w:r>
            <w:r w:rsidRPr="00AC28F2">
              <w:t xml:space="preserve">Līdzdalība un praktiskā e-risinājumu izmantošana – katra iedzīvotāja digitālo prasmju un digitālo rīku pamata komplekts” sagaidāmo rezultātu 5.punktā precizēt, vai runa ir par visiem nodarbinātajiem, kas strādā privātajā sektorā un valsts pārvaldē, vai par kādu nodarbināto grupu.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DE91F3B" w14:textId="77777777" w:rsidR="0093208C" w:rsidRPr="00AC28F2" w:rsidRDefault="0093208C" w:rsidP="0093208C">
            <w:pPr>
              <w:pStyle w:val="naisc"/>
              <w:spacing w:before="0" w:after="0"/>
              <w:jc w:val="both"/>
              <w:rPr>
                <w:b/>
              </w:rPr>
            </w:pPr>
            <w:r w:rsidRPr="00AC28F2">
              <w:rPr>
                <w:b/>
              </w:rPr>
              <w:t>Ņemts vērā</w:t>
            </w:r>
          </w:p>
          <w:p w14:paraId="236017B7" w14:textId="77777777" w:rsidR="0093208C" w:rsidRPr="00AC28F2" w:rsidRDefault="0093208C" w:rsidP="0093208C">
            <w:pPr>
              <w:autoSpaceDE w:val="0"/>
              <w:autoSpaceDN w:val="0"/>
              <w:adjustRightInd w:val="0"/>
              <w:spacing w:before="120" w:after="120" w:line="259" w:lineRule="auto"/>
              <w:jc w:val="both"/>
            </w:pPr>
            <w:r w:rsidRPr="00AC28F2">
              <w:rPr>
                <w:b/>
              </w:rPr>
              <w:t xml:space="preserve"> </w:t>
            </w:r>
            <w:r w:rsidRPr="00AC28F2">
              <w:t xml:space="preserve">Ietverts 4.1.3. sagaidāmo rezultātu 6.punktā Valsts pārvaldes darbinieki dažādās amata </w:t>
            </w:r>
            <w:r w:rsidRPr="00AC28F2">
              <w:lastRenderedPageBreak/>
              <w:t>kategorijās ir izglītoti digitālās transformācijas jomā un pakalpojumu, kā arī e-risinājumu sniegšanā, veicinot digitālo risinājumu patstāvīgu izmantošanu iedzīvotāju un uzņēmēju vidū, un uzlabojot valsts pārvaldes efektivitāti.</w:t>
            </w:r>
          </w:p>
          <w:p w14:paraId="387A95EE" w14:textId="77777777" w:rsidR="0093208C" w:rsidRPr="00AC28F2" w:rsidRDefault="0093208C" w:rsidP="0093208C">
            <w:pPr>
              <w:pStyle w:val="naisc"/>
              <w:spacing w:before="0" w:after="0"/>
              <w:jc w:val="both"/>
              <w:rPr>
                <w:b/>
              </w:rPr>
            </w:pPr>
          </w:p>
        </w:tc>
        <w:tc>
          <w:tcPr>
            <w:tcW w:w="3497" w:type="dxa"/>
            <w:tcBorders>
              <w:top w:val="single" w:sz="4" w:space="0" w:color="auto"/>
              <w:left w:val="single" w:sz="4" w:space="0" w:color="auto"/>
              <w:bottom w:val="single" w:sz="4" w:space="0" w:color="auto"/>
            </w:tcBorders>
            <w:shd w:val="clear" w:color="auto" w:fill="auto"/>
          </w:tcPr>
          <w:p w14:paraId="51D6AC1E" w14:textId="77777777" w:rsidR="0093208C" w:rsidRPr="00AC28F2" w:rsidRDefault="0093208C" w:rsidP="0093208C">
            <w:r w:rsidRPr="00AC28F2">
              <w:lastRenderedPageBreak/>
              <w:t xml:space="preserve">Lūdzam skatīt </w:t>
            </w:r>
            <w:proofErr w:type="spellStart"/>
            <w:r w:rsidRPr="00AC28F2">
              <w:t>apakšsadaļu</w:t>
            </w:r>
            <w:proofErr w:type="spellEnd"/>
            <w:r w:rsidRPr="00AC28F2">
              <w:t xml:space="preserve"> 4.1.3. (iepriekš 4.1.1)</w:t>
            </w:r>
          </w:p>
        </w:tc>
      </w:tr>
      <w:tr w:rsidR="0093208C" w:rsidRPr="009841AB" w14:paraId="77A0F7B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7E0D362" w14:textId="77777777" w:rsidR="0093208C" w:rsidRPr="00AC28F2" w:rsidRDefault="0093208C" w:rsidP="0093208C">
            <w:pPr>
              <w:pStyle w:val="naisc"/>
              <w:spacing w:before="0" w:after="0"/>
            </w:pPr>
            <w:r w:rsidRPr="00AC28F2">
              <w:t>127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71A208F" w14:textId="77777777" w:rsidR="0093208C" w:rsidRPr="00AC28F2" w:rsidRDefault="0093208C" w:rsidP="0093208C">
            <w:r w:rsidRPr="00AC28F2">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05FCC24" w14:textId="77777777" w:rsidR="0093208C" w:rsidRPr="00AC28F2" w:rsidRDefault="0093208C" w:rsidP="0093208C">
            <w:pPr>
              <w:widowControl w:val="0"/>
              <w:ind w:right="126"/>
              <w:jc w:val="both"/>
            </w:pPr>
            <w:r w:rsidRPr="00AC28F2">
              <w:rPr>
                <w:lang w:eastAsia="ar-SA"/>
              </w:rPr>
              <w:t xml:space="preserve">4. Lūdzam 4.1.2. Rīcības virziena “Pakalpojumu sniegšana” sadaļu </w:t>
            </w:r>
            <w:r w:rsidRPr="00AC28F2">
              <w:rPr>
                <w:i/>
                <w:lang w:eastAsia="ar-SA"/>
              </w:rPr>
              <w:t>Nepieciešamā rīcība</w:t>
            </w:r>
            <w:r w:rsidRPr="00AC28F2">
              <w:rPr>
                <w:lang w:eastAsia="ar-SA"/>
              </w:rPr>
              <w:t xml:space="preserve"> (27. </w:t>
            </w:r>
            <w:proofErr w:type="spellStart"/>
            <w:r w:rsidRPr="00AC28F2">
              <w:rPr>
                <w:lang w:eastAsia="ar-SA"/>
              </w:rPr>
              <w:t>lpp</w:t>
            </w:r>
            <w:proofErr w:type="spellEnd"/>
            <w:r w:rsidRPr="00AC28F2">
              <w:rPr>
                <w:lang w:eastAsia="ar-SA"/>
              </w:rPr>
              <w:t>) 2. rindkopu papildināt ar teikumu: “</w:t>
            </w:r>
            <w:r w:rsidRPr="00AC28F2">
              <w:t xml:space="preserve">Valsts pārvaldes darbiniekiem ir nepieciešams attīstīt digitālās prasmes, tostarp datu analītikas prasmes, lai nodrošinātu augsta līmeņa pakalpojumu </w:t>
            </w:r>
            <w:proofErr w:type="spellStart"/>
            <w:r w:rsidRPr="00AC28F2">
              <w:t>digitalizāciju</w:t>
            </w:r>
            <w:proofErr w:type="spellEnd"/>
            <w:r w:rsidRPr="00AC28F2">
              <w:t xml:space="preserve">. Tāpat valsts pārvaldē ir nepieciešamas attīstīt profesionālo kompetenču ietvarus, lai atbilstoši amatu grupām noteiktu nepieciešamo digitālo prasmju līmeņus – no </w:t>
            </w:r>
            <w:proofErr w:type="spellStart"/>
            <w:r w:rsidRPr="00AC28F2">
              <w:t>pamatprasmju</w:t>
            </w:r>
            <w:proofErr w:type="spellEnd"/>
            <w:r w:rsidRPr="00AC28F2">
              <w:t xml:space="preserve"> zināšanām līdz stratēģiskajam jeb augstākajam digitālo prasmju līmenim.” Pamatnostādnēs, kur ir minēta valsts pārvalde, ir uzsvērti attīstības virzieni konkrētās tēmās un attiecīgi jomas speciālistiem, bet nav likts uzsvars uz visu valsts pārvaldes darbinieku digitālo prasmju attīstību.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62751C6" w14:textId="77777777" w:rsidR="0093208C" w:rsidRPr="00AC28F2" w:rsidRDefault="0093208C" w:rsidP="0093208C">
            <w:pPr>
              <w:pStyle w:val="naisc"/>
              <w:spacing w:before="0" w:after="0"/>
              <w:jc w:val="both"/>
              <w:rPr>
                <w:b/>
              </w:rPr>
            </w:pPr>
            <w:r w:rsidRPr="00AC28F2">
              <w:rPr>
                <w:b/>
              </w:rPr>
              <w:t>Ņemts vērā</w:t>
            </w:r>
          </w:p>
        </w:tc>
        <w:tc>
          <w:tcPr>
            <w:tcW w:w="3497" w:type="dxa"/>
            <w:tcBorders>
              <w:top w:val="single" w:sz="4" w:space="0" w:color="auto"/>
              <w:left w:val="single" w:sz="4" w:space="0" w:color="auto"/>
              <w:bottom w:val="single" w:sz="4" w:space="0" w:color="auto"/>
            </w:tcBorders>
            <w:shd w:val="clear" w:color="auto" w:fill="auto"/>
          </w:tcPr>
          <w:p w14:paraId="0D790AD3" w14:textId="77777777" w:rsidR="0093208C" w:rsidRPr="00AC28F2" w:rsidRDefault="0093208C" w:rsidP="0093208C">
            <w:r w:rsidRPr="00AC28F2">
              <w:t xml:space="preserve">Lūdzam skatīt </w:t>
            </w:r>
            <w:proofErr w:type="spellStart"/>
            <w:r w:rsidRPr="00AC28F2">
              <w:t>apakšsadaļu</w:t>
            </w:r>
            <w:proofErr w:type="spellEnd"/>
            <w:r w:rsidRPr="00AC28F2">
              <w:t xml:space="preserve"> 4.1.2.</w:t>
            </w:r>
          </w:p>
        </w:tc>
      </w:tr>
      <w:tr w:rsidR="0093208C" w:rsidRPr="009841AB" w14:paraId="623E919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54C6173" w14:textId="77777777" w:rsidR="0093208C" w:rsidRPr="009841AB" w:rsidRDefault="0093208C" w:rsidP="0093208C">
            <w:pPr>
              <w:pStyle w:val="naisc"/>
              <w:spacing w:before="0" w:after="0"/>
            </w:pPr>
            <w:r>
              <w:t>128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E4372B0" w14:textId="77777777" w:rsidR="0093208C" w:rsidRPr="009841AB" w:rsidRDefault="0093208C" w:rsidP="0093208C">
            <w:r w:rsidRPr="009841AB">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C9391CB" w14:textId="77777777" w:rsidR="0093208C" w:rsidRPr="0093208C" w:rsidRDefault="0093208C" w:rsidP="0093208C">
            <w:pPr>
              <w:widowControl w:val="0"/>
              <w:ind w:right="126"/>
              <w:jc w:val="both"/>
              <w:rPr>
                <w:rStyle w:val="eop"/>
                <w:lang w:eastAsia="ar-SA"/>
              </w:rPr>
            </w:pPr>
            <w:r w:rsidRPr="0093208C">
              <w:t xml:space="preserve">5. Lūdzam </w:t>
            </w:r>
            <w:r w:rsidRPr="0093208C">
              <w:rPr>
                <w:rStyle w:val="normaltextrun"/>
                <w:shd w:val="clear" w:color="auto" w:fill="FFFFFF"/>
              </w:rPr>
              <w:t>4.1.2. Rīcības virziena Pakalpojumu sniegšana”</w:t>
            </w:r>
            <w:r w:rsidRPr="0093208C">
              <w:rPr>
                <w:rStyle w:val="eop"/>
                <w:shd w:val="clear" w:color="auto" w:fill="FFFFFF"/>
              </w:rPr>
              <w:t xml:space="preserve"> uzdevumu tabulu izteikt šādā redakcijā, papildinot sarakstu ar vienu jaunu uzdevumu un precizējot atbildības (izmaiņas izceltas ar </w:t>
            </w:r>
            <w:proofErr w:type="spellStart"/>
            <w:r w:rsidRPr="0093208C">
              <w:rPr>
                <w:rStyle w:val="eop"/>
                <w:shd w:val="clear" w:color="auto" w:fill="FFFFFF"/>
              </w:rPr>
              <w:t>bold</w:t>
            </w:r>
            <w:proofErr w:type="spellEnd"/>
            <w:r w:rsidRPr="0093208C">
              <w:rPr>
                <w:rStyle w:val="eop"/>
                <w:shd w:val="clear" w:color="auto" w:fill="FFFFFF"/>
              </w:rPr>
              <w:t>):</w:t>
            </w:r>
          </w:p>
          <w:p w14:paraId="544CFA01" w14:textId="77777777" w:rsidR="0093208C" w:rsidRPr="0093208C" w:rsidRDefault="0093208C" w:rsidP="0093208C">
            <w:pPr>
              <w:widowControl w:val="0"/>
              <w:ind w:right="126"/>
              <w:jc w:val="both"/>
              <w:rPr>
                <w:lang w:eastAsia="ar-SA"/>
              </w:rPr>
            </w:pP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7B989A4" w14:textId="47FD3FAB" w:rsidR="00A22D38" w:rsidRPr="00A22D38" w:rsidRDefault="0093208C" w:rsidP="00A22D38">
            <w:pPr>
              <w:pStyle w:val="naisc"/>
              <w:spacing w:before="0" w:after="0"/>
              <w:jc w:val="both"/>
              <w:rPr>
                <w:b/>
              </w:rPr>
            </w:pPr>
            <w:r w:rsidRPr="0093208C">
              <w:rPr>
                <w:b/>
              </w:rPr>
              <w:lastRenderedPageBreak/>
              <w:t>Ņemts vērā</w:t>
            </w:r>
          </w:p>
          <w:p w14:paraId="23E247DA" w14:textId="77777777" w:rsidR="00A22D38" w:rsidRDefault="00A22D38" w:rsidP="00A22D38">
            <w:pPr>
              <w:pStyle w:val="naisc"/>
              <w:spacing w:before="0" w:after="0"/>
              <w:jc w:val="both"/>
              <w:rPr>
                <w:lang w:eastAsia="en-US"/>
              </w:rPr>
            </w:pPr>
            <w:r>
              <w:rPr>
                <w:lang w:eastAsia="en-US"/>
              </w:rPr>
              <w:t xml:space="preserve">Konsultējoties ar Valsts Kancelejas ekspertiem </w:t>
            </w:r>
            <w:r>
              <w:rPr>
                <w:lang w:eastAsia="en-US"/>
              </w:rPr>
              <w:lastRenderedPageBreak/>
              <w:t>definēti šādi 3 uzdevumi:</w:t>
            </w:r>
          </w:p>
          <w:p w14:paraId="3AEB2B2C" w14:textId="77777777" w:rsidR="00A22D38" w:rsidRDefault="00A22D38" w:rsidP="00A22D38">
            <w:pPr>
              <w:pStyle w:val="naisc"/>
              <w:spacing w:before="0" w:after="0"/>
              <w:jc w:val="both"/>
              <w:rPr>
                <w:lang w:eastAsia="en-US"/>
              </w:rPr>
            </w:pPr>
            <w:r>
              <w:rPr>
                <w:lang w:eastAsia="en-US"/>
              </w:rPr>
              <w:t xml:space="preserve">U4.1.3.-1 </w:t>
            </w:r>
            <w:proofErr w:type="spellStart"/>
            <w:r>
              <w:rPr>
                <w:lang w:eastAsia="en-US"/>
              </w:rPr>
              <w:t>Digitalizācijas</w:t>
            </w:r>
            <w:proofErr w:type="spellEnd"/>
            <w:r>
              <w:rPr>
                <w:lang w:eastAsia="en-US"/>
              </w:rPr>
              <w:t xml:space="preserve"> un vispārējo digitālo prasmju stiprināšanas komersantiem programmas  izveide un īstenošana (atbildīgā –EM; līdzatbildīgās: VARAM, NVO);</w:t>
            </w:r>
          </w:p>
          <w:p w14:paraId="6AE3FA91" w14:textId="77777777" w:rsidR="00A22D38" w:rsidRDefault="00A22D38" w:rsidP="00A22D38">
            <w:pPr>
              <w:pStyle w:val="naisc"/>
              <w:spacing w:before="0" w:after="0"/>
              <w:jc w:val="both"/>
              <w:rPr>
                <w:lang w:eastAsia="en-US"/>
              </w:rPr>
            </w:pPr>
            <w:r>
              <w:rPr>
                <w:lang w:eastAsia="en-US"/>
              </w:rPr>
              <w:t xml:space="preserve">U4.1.3.-2 Izstrādāt un ieviest plānu digitālo prasmju pilnveidei valsts iestādēm, </w:t>
            </w:r>
            <w:proofErr w:type="spellStart"/>
            <w:r>
              <w:rPr>
                <w:lang w:eastAsia="en-US"/>
              </w:rPr>
              <w:t>monitorēt</w:t>
            </w:r>
            <w:proofErr w:type="spellEnd"/>
            <w:r>
              <w:rPr>
                <w:lang w:eastAsia="en-US"/>
              </w:rPr>
              <w:t xml:space="preserve"> rezultātus un izvērtēt efektivitāti (atbildīgās: VK, /VAS, IZM; līdzatbildīgās: VARAM, visas ministrijas, LPS, pašvaldības);</w:t>
            </w:r>
          </w:p>
          <w:p w14:paraId="667CB5D2" w14:textId="471086BC" w:rsidR="0093208C" w:rsidRPr="0093208C" w:rsidRDefault="00A22D38" w:rsidP="00A22D38">
            <w:pPr>
              <w:pStyle w:val="naisc"/>
              <w:spacing w:before="0" w:after="0"/>
              <w:jc w:val="both"/>
              <w:rPr>
                <w:b/>
              </w:rPr>
            </w:pPr>
            <w:r>
              <w:t xml:space="preserve">U4.1.3.-3 Ieviest vienotu, mūsdienu prasībām atbilstošu attālinātu mācību procesu nodrošinājumu pārvaldē, izveidojot digitālo mācību platformu, nodrošinot tās pārvaldīšanu un sasaisti ar centralizētajām sistēmām (atbildīgās: VK, VAS, IZM; </w:t>
            </w:r>
            <w:r>
              <w:lastRenderedPageBreak/>
              <w:t>līdzatbildīgās: VARAM, visas ministrijas, pašvaldības, LPS</w:t>
            </w:r>
            <w:r>
              <w:rPr>
                <w:b/>
                <w:bCs/>
              </w:rPr>
              <w:t> </w:t>
            </w:r>
            <w:r>
              <w:t>).</w:t>
            </w:r>
          </w:p>
          <w:p w14:paraId="59582C9A" w14:textId="77777777" w:rsidR="0093208C" w:rsidRPr="0093208C" w:rsidRDefault="0093208C" w:rsidP="0093208C">
            <w:pPr>
              <w:pStyle w:val="naisc"/>
              <w:spacing w:before="0" w:after="0"/>
              <w:jc w:val="both"/>
              <w:rPr>
                <w:b/>
              </w:rPr>
            </w:pPr>
          </w:p>
        </w:tc>
        <w:tc>
          <w:tcPr>
            <w:tcW w:w="3497" w:type="dxa"/>
            <w:tcBorders>
              <w:top w:val="single" w:sz="4" w:space="0" w:color="auto"/>
              <w:left w:val="single" w:sz="4" w:space="0" w:color="auto"/>
              <w:bottom w:val="single" w:sz="4" w:space="0" w:color="auto"/>
            </w:tcBorders>
            <w:shd w:val="clear" w:color="auto" w:fill="auto"/>
          </w:tcPr>
          <w:p w14:paraId="26B3FEB1" w14:textId="2F91977A" w:rsidR="0093208C" w:rsidRPr="0093208C" w:rsidRDefault="0093208C" w:rsidP="0093208C">
            <w:pPr>
              <w:rPr>
                <w:shd w:val="clear" w:color="auto" w:fill="FFFFFF"/>
              </w:rPr>
            </w:pPr>
            <w:r w:rsidRPr="0093208C">
              <w:lastRenderedPageBreak/>
              <w:t xml:space="preserve">Lūdzam skatīt </w:t>
            </w:r>
            <w:proofErr w:type="spellStart"/>
            <w:r w:rsidRPr="0093208C">
              <w:t>apakšsadaļu</w:t>
            </w:r>
            <w:proofErr w:type="spellEnd"/>
            <w:r w:rsidRPr="0093208C">
              <w:t xml:space="preserve"> </w:t>
            </w:r>
            <w:r w:rsidRPr="0093208C">
              <w:rPr>
                <w:rStyle w:val="normaltextrun"/>
                <w:shd w:val="clear" w:color="auto" w:fill="FFFFFF"/>
              </w:rPr>
              <w:t>4.1.</w:t>
            </w:r>
            <w:r w:rsidR="00A22D38">
              <w:rPr>
                <w:rStyle w:val="normaltextrun"/>
                <w:shd w:val="clear" w:color="auto" w:fill="FFFFFF"/>
              </w:rPr>
              <w:t>3</w:t>
            </w:r>
            <w:r w:rsidRPr="0093208C">
              <w:rPr>
                <w:rStyle w:val="normaltextrun"/>
                <w:shd w:val="clear" w:color="auto" w:fill="FFFFFF"/>
              </w:rPr>
              <w:t xml:space="preserve">.  </w:t>
            </w:r>
          </w:p>
        </w:tc>
      </w:tr>
      <w:tr w:rsidR="00BD393F" w:rsidRPr="009841AB" w14:paraId="35B19144" w14:textId="77777777" w:rsidTr="15B1D617">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564E830" w14:textId="77777777" w:rsidR="00BD393F" w:rsidRPr="009841AB" w:rsidRDefault="006B02DE" w:rsidP="00A20859">
            <w:pPr>
              <w:pStyle w:val="naisc"/>
              <w:spacing w:before="0" w:after="0"/>
            </w:pPr>
            <w:r>
              <w:lastRenderedPageBreak/>
              <w:t>128</w:t>
            </w:r>
          </w:p>
        </w:tc>
        <w:tc>
          <w:tcPr>
            <w:tcW w:w="13831" w:type="dxa"/>
            <w:gridSpan w:val="4"/>
            <w:tcBorders>
              <w:left w:val="single" w:sz="6" w:space="0" w:color="000000" w:themeColor="text1"/>
              <w:bottom w:val="single" w:sz="4" w:space="0" w:color="auto"/>
            </w:tcBorders>
            <w:shd w:val="clear" w:color="auto" w:fill="auto"/>
          </w:tcPr>
          <w:tbl>
            <w:tblPr>
              <w:tblW w:w="8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6"/>
              <w:gridCol w:w="2525"/>
              <w:gridCol w:w="805"/>
              <w:gridCol w:w="851"/>
              <w:gridCol w:w="1134"/>
              <w:gridCol w:w="2134"/>
            </w:tblGrid>
            <w:tr w:rsidR="00F54FEC" w:rsidRPr="0093208C" w14:paraId="1EB5AC9D" w14:textId="77777777" w:rsidTr="003561D5">
              <w:tc>
                <w:tcPr>
                  <w:tcW w:w="1206" w:type="dxa"/>
                  <w:shd w:val="clear" w:color="auto" w:fill="auto"/>
                  <w:vAlign w:val="center"/>
                  <w:hideMark/>
                </w:tcPr>
                <w:p w14:paraId="5B2C3D19" w14:textId="77777777" w:rsidR="00F54FEC" w:rsidRPr="0093208C" w:rsidRDefault="00F54FEC" w:rsidP="00F54FEC">
                  <w:pPr>
                    <w:jc w:val="center"/>
                    <w:textAlignment w:val="baseline"/>
                  </w:pPr>
                  <w:r w:rsidRPr="0093208C">
                    <w:rPr>
                      <w:color w:val="000000"/>
                    </w:rPr>
                    <w:t>Identifikators </w:t>
                  </w:r>
                </w:p>
              </w:tc>
              <w:tc>
                <w:tcPr>
                  <w:tcW w:w="2525" w:type="dxa"/>
                  <w:shd w:val="clear" w:color="auto" w:fill="auto"/>
                  <w:vAlign w:val="center"/>
                  <w:hideMark/>
                </w:tcPr>
                <w:p w14:paraId="4B30C2BF" w14:textId="77777777" w:rsidR="00F54FEC" w:rsidRPr="0093208C" w:rsidRDefault="00F54FEC" w:rsidP="00F54FEC">
                  <w:pPr>
                    <w:jc w:val="center"/>
                    <w:textAlignment w:val="baseline"/>
                  </w:pPr>
                  <w:r w:rsidRPr="0093208C">
                    <w:rPr>
                      <w:color w:val="000000"/>
                    </w:rPr>
                    <w:t>Uzdevums </w:t>
                  </w:r>
                </w:p>
              </w:tc>
              <w:tc>
                <w:tcPr>
                  <w:tcW w:w="805" w:type="dxa"/>
                  <w:shd w:val="clear" w:color="auto" w:fill="auto"/>
                  <w:vAlign w:val="center"/>
                  <w:hideMark/>
                </w:tcPr>
                <w:p w14:paraId="28ABEAFC" w14:textId="77777777" w:rsidR="00F54FEC" w:rsidRPr="0093208C" w:rsidRDefault="00F54FEC" w:rsidP="00F54FEC">
                  <w:pPr>
                    <w:jc w:val="center"/>
                    <w:textAlignment w:val="baseline"/>
                  </w:pPr>
                  <w:r w:rsidRPr="0093208C">
                    <w:t>Sākuma termiņš </w:t>
                  </w:r>
                </w:p>
              </w:tc>
              <w:tc>
                <w:tcPr>
                  <w:tcW w:w="851" w:type="dxa"/>
                  <w:shd w:val="clear" w:color="auto" w:fill="auto"/>
                  <w:vAlign w:val="center"/>
                  <w:hideMark/>
                </w:tcPr>
                <w:p w14:paraId="666297F7" w14:textId="77777777" w:rsidR="00F54FEC" w:rsidRPr="0093208C" w:rsidRDefault="00F54FEC" w:rsidP="00F54FEC">
                  <w:pPr>
                    <w:jc w:val="center"/>
                    <w:textAlignment w:val="baseline"/>
                  </w:pPr>
                  <w:r w:rsidRPr="0093208C">
                    <w:t>Beigu termiņš </w:t>
                  </w:r>
                </w:p>
              </w:tc>
              <w:tc>
                <w:tcPr>
                  <w:tcW w:w="1134" w:type="dxa"/>
                  <w:shd w:val="clear" w:color="auto" w:fill="auto"/>
                  <w:vAlign w:val="center"/>
                  <w:hideMark/>
                </w:tcPr>
                <w:p w14:paraId="6F6CD770" w14:textId="77777777" w:rsidR="00F54FEC" w:rsidRPr="0093208C" w:rsidRDefault="00F54FEC" w:rsidP="00F54FEC">
                  <w:pPr>
                    <w:jc w:val="center"/>
                    <w:textAlignment w:val="baseline"/>
                  </w:pPr>
                  <w:r w:rsidRPr="0093208C">
                    <w:rPr>
                      <w:color w:val="000000"/>
                    </w:rPr>
                    <w:t>Atbildīgais </w:t>
                  </w:r>
                </w:p>
              </w:tc>
              <w:tc>
                <w:tcPr>
                  <w:tcW w:w="2134" w:type="dxa"/>
                  <w:shd w:val="clear" w:color="auto" w:fill="auto"/>
                  <w:vAlign w:val="center"/>
                  <w:hideMark/>
                </w:tcPr>
                <w:p w14:paraId="3D91D56E" w14:textId="77777777" w:rsidR="00F54FEC" w:rsidRPr="0093208C" w:rsidRDefault="00F54FEC" w:rsidP="00F54FEC">
                  <w:pPr>
                    <w:jc w:val="center"/>
                    <w:textAlignment w:val="baseline"/>
                  </w:pPr>
                  <w:r w:rsidRPr="0093208C">
                    <w:rPr>
                      <w:color w:val="000000"/>
                    </w:rPr>
                    <w:t>Līdzatbildīgie </w:t>
                  </w:r>
                </w:p>
              </w:tc>
            </w:tr>
            <w:tr w:rsidR="00F54FEC" w:rsidRPr="0093208C" w14:paraId="3BB3FB92" w14:textId="77777777" w:rsidTr="003561D5">
              <w:tc>
                <w:tcPr>
                  <w:tcW w:w="1206" w:type="dxa"/>
                  <w:shd w:val="clear" w:color="auto" w:fill="auto"/>
                  <w:vAlign w:val="center"/>
                  <w:hideMark/>
                </w:tcPr>
                <w:p w14:paraId="3AABB9BC" w14:textId="77777777" w:rsidR="00F54FEC" w:rsidRPr="00BA7891" w:rsidRDefault="00F54FEC" w:rsidP="00F54FEC">
                  <w:pPr>
                    <w:jc w:val="both"/>
                    <w:textAlignment w:val="baseline"/>
                    <w:rPr>
                      <w:highlight w:val="yellow"/>
                    </w:rPr>
                  </w:pPr>
                  <w:r w:rsidRPr="00A22D38">
                    <w:t>U4.1.2.-1 </w:t>
                  </w:r>
                </w:p>
              </w:tc>
              <w:tc>
                <w:tcPr>
                  <w:tcW w:w="2525" w:type="dxa"/>
                  <w:shd w:val="clear" w:color="auto" w:fill="auto"/>
                  <w:vAlign w:val="center"/>
                  <w:hideMark/>
                </w:tcPr>
                <w:p w14:paraId="69012BB3" w14:textId="77777777" w:rsidR="00F54FEC" w:rsidRPr="00A22D38" w:rsidRDefault="00F54FEC" w:rsidP="00F54FEC">
                  <w:pPr>
                    <w:textAlignment w:val="baseline"/>
                    <w:rPr>
                      <w:color w:val="000000"/>
                    </w:rPr>
                  </w:pPr>
                  <w:r w:rsidRPr="00A22D38">
                    <w:rPr>
                      <w:color w:val="000000"/>
                    </w:rPr>
                    <w:t>Izstrādāt plānu digitālo prasmju pilnveidei valsts un pašvaldību iestādēm </w:t>
                  </w:r>
                </w:p>
              </w:tc>
              <w:tc>
                <w:tcPr>
                  <w:tcW w:w="805" w:type="dxa"/>
                  <w:shd w:val="clear" w:color="auto" w:fill="auto"/>
                  <w:vAlign w:val="center"/>
                  <w:hideMark/>
                </w:tcPr>
                <w:p w14:paraId="6CF65A07" w14:textId="77777777" w:rsidR="00F54FEC" w:rsidRPr="00A22D38" w:rsidRDefault="00F54FEC" w:rsidP="00F54FEC">
                  <w:pPr>
                    <w:jc w:val="center"/>
                    <w:textAlignment w:val="baseline"/>
                  </w:pPr>
                  <w:r w:rsidRPr="00A22D38">
                    <w:t>2021 </w:t>
                  </w:r>
                </w:p>
              </w:tc>
              <w:tc>
                <w:tcPr>
                  <w:tcW w:w="851" w:type="dxa"/>
                  <w:shd w:val="clear" w:color="auto" w:fill="auto"/>
                  <w:vAlign w:val="center"/>
                  <w:hideMark/>
                </w:tcPr>
                <w:p w14:paraId="41E89CE1" w14:textId="77777777" w:rsidR="00F54FEC" w:rsidRPr="00A22D38" w:rsidRDefault="00F54FEC" w:rsidP="00F54FEC">
                  <w:pPr>
                    <w:jc w:val="center"/>
                    <w:textAlignment w:val="baseline"/>
                  </w:pPr>
                  <w:r w:rsidRPr="00A22D38">
                    <w:t>2022 </w:t>
                  </w:r>
                </w:p>
              </w:tc>
              <w:tc>
                <w:tcPr>
                  <w:tcW w:w="1134" w:type="dxa"/>
                  <w:shd w:val="clear" w:color="auto" w:fill="auto"/>
                  <w:vAlign w:val="center"/>
                  <w:hideMark/>
                </w:tcPr>
                <w:p w14:paraId="13D73198" w14:textId="77777777" w:rsidR="00F54FEC" w:rsidRPr="00A22D38" w:rsidRDefault="00F54FEC" w:rsidP="00F54FEC">
                  <w:pPr>
                    <w:jc w:val="center"/>
                    <w:textAlignment w:val="baseline"/>
                  </w:pPr>
                  <w:r w:rsidRPr="00A22D38">
                    <w:t>VARAM,</w:t>
                  </w:r>
                  <w:r w:rsidRPr="00A22D38">
                    <w:rPr>
                      <w:color w:val="D13438"/>
                      <w:u w:val="single"/>
                    </w:rPr>
                    <w:t xml:space="preserve"> </w:t>
                  </w:r>
                  <w:r w:rsidRPr="00A22D38">
                    <w:rPr>
                      <w:b/>
                    </w:rPr>
                    <w:t>VK</w:t>
                  </w:r>
                  <w:r w:rsidRPr="00A22D38">
                    <w:rPr>
                      <w:color w:val="D13438"/>
                    </w:rPr>
                    <w:t> </w:t>
                  </w:r>
                </w:p>
              </w:tc>
              <w:tc>
                <w:tcPr>
                  <w:tcW w:w="2134" w:type="dxa"/>
                  <w:shd w:val="clear" w:color="auto" w:fill="auto"/>
                  <w:vAlign w:val="center"/>
                  <w:hideMark/>
                </w:tcPr>
                <w:p w14:paraId="41963D21" w14:textId="77777777" w:rsidR="00F54FEC" w:rsidRPr="00A22D38" w:rsidRDefault="00F54FEC" w:rsidP="00F54FEC">
                  <w:pPr>
                    <w:jc w:val="center"/>
                    <w:textAlignment w:val="baseline"/>
                    <w:rPr>
                      <w:color w:val="000000"/>
                    </w:rPr>
                  </w:pPr>
                  <w:r w:rsidRPr="00A22D38">
                    <w:rPr>
                      <w:color w:val="000000"/>
                    </w:rPr>
                    <w:t>VAS, visas ministrijas, LPS, pašvaldības </w:t>
                  </w:r>
                </w:p>
              </w:tc>
            </w:tr>
            <w:tr w:rsidR="00F54FEC" w:rsidRPr="0093208C" w14:paraId="7E4A8811" w14:textId="77777777" w:rsidTr="003561D5">
              <w:tc>
                <w:tcPr>
                  <w:tcW w:w="1206" w:type="dxa"/>
                  <w:shd w:val="clear" w:color="auto" w:fill="auto"/>
                  <w:vAlign w:val="center"/>
                </w:tcPr>
                <w:p w14:paraId="02C6EF0D" w14:textId="77777777" w:rsidR="00F54FEC" w:rsidRPr="00A22D38" w:rsidRDefault="00F54FEC" w:rsidP="00F54FEC">
                  <w:pPr>
                    <w:jc w:val="both"/>
                    <w:textAlignment w:val="baseline"/>
                    <w:rPr>
                      <w:b/>
                    </w:rPr>
                  </w:pPr>
                  <w:r w:rsidRPr="00A22D38">
                    <w:rPr>
                      <w:b/>
                    </w:rPr>
                    <w:t>U 4.1.2.- 2.</w:t>
                  </w:r>
                </w:p>
              </w:tc>
              <w:tc>
                <w:tcPr>
                  <w:tcW w:w="2525" w:type="dxa"/>
                  <w:shd w:val="clear" w:color="auto" w:fill="auto"/>
                  <w:vAlign w:val="center"/>
                </w:tcPr>
                <w:p w14:paraId="24CD857D" w14:textId="77777777" w:rsidR="00F54FEC" w:rsidRPr="00A22D38" w:rsidRDefault="00F54FEC" w:rsidP="00F54FEC">
                  <w:pPr>
                    <w:textAlignment w:val="baseline"/>
                    <w:rPr>
                      <w:b/>
                    </w:rPr>
                  </w:pPr>
                  <w:r w:rsidRPr="00A22D38">
                    <w:rPr>
                      <w:b/>
                    </w:rPr>
                    <w:t xml:space="preserve">Izveidot digitālo mācību platformu, nodrošināt tās pārvaldīšanu un sasaisti ar centralizētajām sistēmām </w:t>
                  </w:r>
                </w:p>
              </w:tc>
              <w:tc>
                <w:tcPr>
                  <w:tcW w:w="805" w:type="dxa"/>
                  <w:shd w:val="clear" w:color="auto" w:fill="auto"/>
                  <w:vAlign w:val="center"/>
                </w:tcPr>
                <w:p w14:paraId="7B86D5FD" w14:textId="77777777" w:rsidR="00F54FEC" w:rsidRPr="00A22D38" w:rsidRDefault="00F54FEC" w:rsidP="00F54FEC">
                  <w:pPr>
                    <w:jc w:val="center"/>
                    <w:textAlignment w:val="baseline"/>
                    <w:rPr>
                      <w:b/>
                    </w:rPr>
                  </w:pPr>
                  <w:r w:rsidRPr="00A22D38">
                    <w:rPr>
                      <w:b/>
                    </w:rPr>
                    <w:t xml:space="preserve">2021 </w:t>
                  </w:r>
                </w:p>
              </w:tc>
              <w:tc>
                <w:tcPr>
                  <w:tcW w:w="851" w:type="dxa"/>
                  <w:shd w:val="clear" w:color="auto" w:fill="auto"/>
                  <w:vAlign w:val="center"/>
                </w:tcPr>
                <w:p w14:paraId="7ECC49FC" w14:textId="77777777" w:rsidR="00F54FEC" w:rsidRPr="00A22D38" w:rsidRDefault="00F54FEC" w:rsidP="00F54FEC">
                  <w:pPr>
                    <w:jc w:val="center"/>
                    <w:textAlignment w:val="baseline"/>
                    <w:rPr>
                      <w:b/>
                    </w:rPr>
                  </w:pPr>
                  <w:r w:rsidRPr="00A22D38">
                    <w:rPr>
                      <w:b/>
                    </w:rPr>
                    <w:t>2027</w:t>
                  </w:r>
                </w:p>
              </w:tc>
              <w:tc>
                <w:tcPr>
                  <w:tcW w:w="1134" w:type="dxa"/>
                  <w:shd w:val="clear" w:color="auto" w:fill="auto"/>
                  <w:vAlign w:val="center"/>
                </w:tcPr>
                <w:p w14:paraId="7E3F4B25" w14:textId="77777777" w:rsidR="00F54FEC" w:rsidRPr="00A22D38" w:rsidRDefault="00F54FEC" w:rsidP="00F54FEC">
                  <w:pPr>
                    <w:jc w:val="center"/>
                    <w:textAlignment w:val="baseline"/>
                    <w:rPr>
                      <w:b/>
                    </w:rPr>
                  </w:pPr>
                  <w:r w:rsidRPr="00A22D38">
                    <w:rPr>
                      <w:b/>
                    </w:rPr>
                    <w:t>VK, VAS </w:t>
                  </w:r>
                </w:p>
              </w:tc>
              <w:tc>
                <w:tcPr>
                  <w:tcW w:w="2134" w:type="dxa"/>
                  <w:shd w:val="clear" w:color="auto" w:fill="auto"/>
                  <w:vAlign w:val="center"/>
                </w:tcPr>
                <w:p w14:paraId="5D32BB5B" w14:textId="77777777" w:rsidR="00F54FEC" w:rsidRPr="00A22D38" w:rsidRDefault="00F54FEC" w:rsidP="00F54FEC">
                  <w:pPr>
                    <w:jc w:val="center"/>
                    <w:textAlignment w:val="baseline"/>
                    <w:rPr>
                      <w:b/>
                      <w:shd w:val="clear" w:color="auto" w:fill="FFFF00"/>
                    </w:rPr>
                  </w:pPr>
                  <w:r w:rsidRPr="00A22D38">
                    <w:rPr>
                      <w:b/>
                    </w:rPr>
                    <w:t>VARAM, ministrijas, pašvaldības, LPS  </w:t>
                  </w:r>
                </w:p>
              </w:tc>
            </w:tr>
            <w:tr w:rsidR="00F54FEC" w:rsidRPr="0093208C" w14:paraId="47E14E63" w14:textId="77777777" w:rsidTr="003561D5">
              <w:tc>
                <w:tcPr>
                  <w:tcW w:w="1206" w:type="dxa"/>
                  <w:shd w:val="clear" w:color="auto" w:fill="auto"/>
                  <w:vAlign w:val="center"/>
                  <w:hideMark/>
                </w:tcPr>
                <w:p w14:paraId="0C52F79A" w14:textId="77777777" w:rsidR="00F54FEC" w:rsidRPr="00A22D38" w:rsidRDefault="00F54FEC" w:rsidP="00F54FEC">
                  <w:pPr>
                    <w:jc w:val="both"/>
                    <w:textAlignment w:val="baseline"/>
                  </w:pPr>
                  <w:r w:rsidRPr="00A22D38">
                    <w:t>U4.1.2.-</w:t>
                  </w:r>
                  <w:r w:rsidRPr="00A22D38">
                    <w:rPr>
                      <w:b/>
                    </w:rPr>
                    <w:t>3</w:t>
                  </w:r>
                  <w:r w:rsidRPr="00A22D38">
                    <w:rPr>
                      <w:color w:val="D13438"/>
                    </w:rPr>
                    <w:t> </w:t>
                  </w:r>
                </w:p>
              </w:tc>
              <w:tc>
                <w:tcPr>
                  <w:tcW w:w="2525" w:type="dxa"/>
                  <w:shd w:val="clear" w:color="auto" w:fill="auto"/>
                  <w:vAlign w:val="center"/>
                  <w:hideMark/>
                </w:tcPr>
                <w:p w14:paraId="65F1997F" w14:textId="77777777" w:rsidR="00F54FEC" w:rsidRPr="00A22D38" w:rsidRDefault="00F54FEC" w:rsidP="00F54FEC">
                  <w:pPr>
                    <w:textAlignment w:val="baseline"/>
                    <w:rPr>
                      <w:color w:val="000000"/>
                    </w:rPr>
                  </w:pPr>
                  <w:r w:rsidRPr="00A22D38">
                    <w:rPr>
                      <w:color w:val="000000"/>
                    </w:rPr>
                    <w:t>Ieviest plānu digitālo prasmju pilnveidei valsts un pašvaldību iestādēm </w:t>
                  </w:r>
                </w:p>
              </w:tc>
              <w:tc>
                <w:tcPr>
                  <w:tcW w:w="805" w:type="dxa"/>
                  <w:shd w:val="clear" w:color="auto" w:fill="auto"/>
                  <w:vAlign w:val="center"/>
                  <w:hideMark/>
                </w:tcPr>
                <w:p w14:paraId="009A9314" w14:textId="77777777" w:rsidR="00F54FEC" w:rsidRPr="00A22D38" w:rsidRDefault="00F54FEC" w:rsidP="00F54FEC">
                  <w:pPr>
                    <w:jc w:val="center"/>
                    <w:textAlignment w:val="baseline"/>
                  </w:pPr>
                  <w:r w:rsidRPr="00A22D38">
                    <w:t>2023 </w:t>
                  </w:r>
                </w:p>
              </w:tc>
              <w:tc>
                <w:tcPr>
                  <w:tcW w:w="851" w:type="dxa"/>
                  <w:shd w:val="clear" w:color="auto" w:fill="auto"/>
                  <w:vAlign w:val="center"/>
                  <w:hideMark/>
                </w:tcPr>
                <w:p w14:paraId="450915FF" w14:textId="77777777" w:rsidR="00F54FEC" w:rsidRPr="00A22D38" w:rsidRDefault="00F54FEC" w:rsidP="00F54FEC">
                  <w:pPr>
                    <w:jc w:val="center"/>
                    <w:textAlignment w:val="baseline"/>
                  </w:pPr>
                  <w:r w:rsidRPr="00A22D38">
                    <w:t>2027 </w:t>
                  </w:r>
                </w:p>
              </w:tc>
              <w:tc>
                <w:tcPr>
                  <w:tcW w:w="1134" w:type="dxa"/>
                  <w:shd w:val="clear" w:color="auto" w:fill="auto"/>
                  <w:vAlign w:val="center"/>
                  <w:hideMark/>
                </w:tcPr>
                <w:p w14:paraId="089DA62B" w14:textId="77777777" w:rsidR="00F54FEC" w:rsidRPr="00A22D38" w:rsidRDefault="00F54FEC" w:rsidP="00F54FEC">
                  <w:pPr>
                    <w:jc w:val="center"/>
                    <w:textAlignment w:val="baseline"/>
                  </w:pPr>
                  <w:r w:rsidRPr="00A22D38">
                    <w:t>VAS </w:t>
                  </w:r>
                </w:p>
              </w:tc>
              <w:tc>
                <w:tcPr>
                  <w:tcW w:w="2134" w:type="dxa"/>
                  <w:shd w:val="clear" w:color="auto" w:fill="auto"/>
                  <w:vAlign w:val="center"/>
                  <w:hideMark/>
                </w:tcPr>
                <w:p w14:paraId="22FC65FD" w14:textId="77777777" w:rsidR="00F54FEC" w:rsidRPr="00A22D38" w:rsidRDefault="00F54FEC" w:rsidP="00F54FEC">
                  <w:pPr>
                    <w:jc w:val="center"/>
                    <w:textAlignment w:val="baseline"/>
                    <w:rPr>
                      <w:color w:val="000000"/>
                    </w:rPr>
                  </w:pPr>
                  <w:r w:rsidRPr="00A22D38">
                    <w:rPr>
                      <w:color w:val="000000"/>
                    </w:rPr>
                    <w:t>VARAM </w:t>
                  </w:r>
                </w:p>
              </w:tc>
            </w:tr>
            <w:tr w:rsidR="00F54FEC" w:rsidRPr="0093208C" w14:paraId="568EA0D3" w14:textId="77777777" w:rsidTr="003561D5">
              <w:tc>
                <w:tcPr>
                  <w:tcW w:w="1206" w:type="dxa"/>
                  <w:shd w:val="clear" w:color="auto" w:fill="auto"/>
                  <w:vAlign w:val="center"/>
                  <w:hideMark/>
                </w:tcPr>
                <w:p w14:paraId="2988FDA3" w14:textId="77777777" w:rsidR="00F54FEC" w:rsidRPr="00A22D38" w:rsidRDefault="00F54FEC" w:rsidP="00F54FEC">
                  <w:pPr>
                    <w:jc w:val="both"/>
                    <w:textAlignment w:val="baseline"/>
                  </w:pPr>
                  <w:r w:rsidRPr="00A22D38">
                    <w:t>U4.1.2.-</w:t>
                  </w:r>
                  <w:r w:rsidRPr="00A22D38">
                    <w:rPr>
                      <w:b/>
                    </w:rPr>
                    <w:t>4</w:t>
                  </w:r>
                  <w:r w:rsidRPr="00A22D38">
                    <w:rPr>
                      <w:b/>
                      <w:color w:val="D13438"/>
                    </w:rPr>
                    <w:t> </w:t>
                  </w:r>
                </w:p>
              </w:tc>
              <w:tc>
                <w:tcPr>
                  <w:tcW w:w="2525" w:type="dxa"/>
                  <w:shd w:val="clear" w:color="auto" w:fill="auto"/>
                  <w:vAlign w:val="center"/>
                  <w:hideMark/>
                </w:tcPr>
                <w:p w14:paraId="07772F9C" w14:textId="77777777" w:rsidR="00F54FEC" w:rsidRPr="00A22D38" w:rsidRDefault="00F54FEC" w:rsidP="00F54FEC">
                  <w:pPr>
                    <w:textAlignment w:val="baseline"/>
                    <w:rPr>
                      <w:b/>
                      <w:color w:val="000000"/>
                    </w:rPr>
                  </w:pPr>
                  <w:proofErr w:type="spellStart"/>
                  <w:r w:rsidRPr="00A22D38">
                    <w:rPr>
                      <w:b/>
                    </w:rPr>
                    <w:t>Monitorēt</w:t>
                  </w:r>
                  <w:proofErr w:type="spellEnd"/>
                  <w:r w:rsidRPr="00A22D38">
                    <w:rPr>
                      <w:b/>
                    </w:rPr>
                    <w:t> un izvērtēt plāna ieviešanu, apkopot rezultātus un izvērtēt efektivitāti </w:t>
                  </w:r>
                </w:p>
              </w:tc>
              <w:tc>
                <w:tcPr>
                  <w:tcW w:w="805" w:type="dxa"/>
                  <w:shd w:val="clear" w:color="auto" w:fill="auto"/>
                  <w:vAlign w:val="center"/>
                  <w:hideMark/>
                </w:tcPr>
                <w:p w14:paraId="026A1B8A" w14:textId="77777777" w:rsidR="00F54FEC" w:rsidRPr="00A22D38" w:rsidRDefault="00F54FEC" w:rsidP="00F54FEC">
                  <w:pPr>
                    <w:jc w:val="center"/>
                    <w:textAlignment w:val="baseline"/>
                  </w:pPr>
                  <w:r w:rsidRPr="00A22D38">
                    <w:t>2021 </w:t>
                  </w:r>
                </w:p>
              </w:tc>
              <w:tc>
                <w:tcPr>
                  <w:tcW w:w="851" w:type="dxa"/>
                  <w:shd w:val="clear" w:color="auto" w:fill="auto"/>
                  <w:vAlign w:val="center"/>
                  <w:hideMark/>
                </w:tcPr>
                <w:p w14:paraId="3BAF2286" w14:textId="77777777" w:rsidR="00F54FEC" w:rsidRPr="00A22D38" w:rsidRDefault="00F54FEC" w:rsidP="00F54FEC">
                  <w:pPr>
                    <w:jc w:val="center"/>
                    <w:textAlignment w:val="baseline"/>
                  </w:pPr>
                  <w:r w:rsidRPr="00A22D38">
                    <w:t>2027 </w:t>
                  </w:r>
                </w:p>
              </w:tc>
              <w:tc>
                <w:tcPr>
                  <w:tcW w:w="1134" w:type="dxa"/>
                  <w:shd w:val="clear" w:color="auto" w:fill="auto"/>
                  <w:vAlign w:val="center"/>
                  <w:hideMark/>
                </w:tcPr>
                <w:p w14:paraId="48CC3AA9" w14:textId="77777777" w:rsidR="00F54FEC" w:rsidRPr="00A22D38" w:rsidRDefault="00F54FEC" w:rsidP="00F54FEC">
                  <w:pPr>
                    <w:jc w:val="center"/>
                    <w:textAlignment w:val="baseline"/>
                  </w:pPr>
                  <w:r w:rsidRPr="00A22D38">
                    <w:t>VARAM,</w:t>
                  </w:r>
                  <w:r w:rsidRPr="00A22D38">
                    <w:rPr>
                      <w:color w:val="D13438"/>
                      <w:u w:val="single"/>
                    </w:rPr>
                    <w:t xml:space="preserve"> </w:t>
                  </w:r>
                  <w:r w:rsidRPr="00A22D38">
                    <w:rPr>
                      <w:b/>
                    </w:rPr>
                    <w:t>VK </w:t>
                  </w:r>
                </w:p>
              </w:tc>
              <w:tc>
                <w:tcPr>
                  <w:tcW w:w="2134" w:type="dxa"/>
                  <w:shd w:val="clear" w:color="auto" w:fill="auto"/>
                  <w:vAlign w:val="center"/>
                  <w:hideMark/>
                </w:tcPr>
                <w:p w14:paraId="5DF336EA" w14:textId="77777777" w:rsidR="00F54FEC" w:rsidRPr="00A22D38" w:rsidRDefault="00F54FEC" w:rsidP="00F54FEC">
                  <w:pPr>
                    <w:jc w:val="center"/>
                    <w:textAlignment w:val="baseline"/>
                    <w:rPr>
                      <w:color w:val="000000"/>
                    </w:rPr>
                  </w:pPr>
                  <w:r w:rsidRPr="00A22D38">
                    <w:rPr>
                      <w:color w:val="000000"/>
                    </w:rPr>
                    <w:t>VAS, visas ministrijas, LPS, pašvaldības </w:t>
                  </w:r>
                </w:p>
              </w:tc>
            </w:tr>
          </w:tbl>
          <w:p w14:paraId="38BC951F" w14:textId="77777777" w:rsidR="00BD393F" w:rsidRPr="0093208C" w:rsidRDefault="00BD393F" w:rsidP="00A20859"/>
        </w:tc>
      </w:tr>
      <w:tr w:rsidR="0093208C" w:rsidRPr="009841AB" w14:paraId="516CEBC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81EB0B8" w14:textId="77777777" w:rsidR="0093208C" w:rsidRPr="00BA7891" w:rsidRDefault="0093208C" w:rsidP="0093208C">
            <w:pPr>
              <w:pStyle w:val="naisc"/>
              <w:spacing w:before="0" w:after="0"/>
            </w:pPr>
            <w:r w:rsidRPr="00BA7891">
              <w:t>129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C6E8CF0" w14:textId="77777777" w:rsidR="0093208C" w:rsidRPr="00BA7891" w:rsidRDefault="0093208C" w:rsidP="0093208C">
            <w:r w:rsidRPr="00BA789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821A409" w14:textId="77777777" w:rsidR="0093208C" w:rsidRPr="00BA7891" w:rsidRDefault="0093208C" w:rsidP="0093208C">
            <w:pPr>
              <w:widowControl w:val="0"/>
              <w:ind w:right="126"/>
              <w:jc w:val="both"/>
              <w:rPr>
                <w:lang w:eastAsia="ar-SA"/>
              </w:rPr>
            </w:pPr>
            <w:r w:rsidRPr="00BA7891">
              <w:rPr>
                <w:color w:val="212121"/>
              </w:rPr>
              <w:t>6. Lūdzam precizēt 4.1.3. Rīcības virziena “Pakalpojuma un sistēmas veidošana” Nepieciešamās rīcības 2. punktu par Augstākā līmeņa un vidējā līmeņa vadītāju izglītošanu, norādot par kuras nozares vadītājiem te ir runa - valsts pārvalde, privātais sektors. Tāpat lūdzam precizēt pēc līdzības Sagaidāmo rezultātu 1. un 2.</w:t>
            </w:r>
            <w:r w:rsidRPr="00BA7891">
              <w:t> </w:t>
            </w:r>
            <w:r w:rsidRPr="00BA7891">
              <w:rPr>
                <w:color w:val="212121"/>
              </w:rPr>
              <w:t>punktus.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D9EC6BC" w14:textId="77777777" w:rsidR="0093208C" w:rsidRPr="00BA7891" w:rsidRDefault="0093208C" w:rsidP="0093208C">
            <w:pPr>
              <w:pStyle w:val="naisc"/>
              <w:spacing w:before="0" w:after="0"/>
              <w:jc w:val="both"/>
              <w:rPr>
                <w:b/>
              </w:rPr>
            </w:pPr>
            <w:r w:rsidRPr="00BA7891">
              <w:rPr>
                <w:b/>
              </w:rPr>
              <w:t>Ņemts vērā</w:t>
            </w:r>
          </w:p>
          <w:p w14:paraId="73027C67" w14:textId="7F6CE7F3" w:rsidR="0093208C" w:rsidRPr="00BA7891" w:rsidRDefault="0093208C" w:rsidP="0093208C">
            <w:pPr>
              <w:pStyle w:val="naisc"/>
              <w:spacing w:before="0" w:after="0"/>
              <w:jc w:val="both"/>
            </w:pPr>
          </w:p>
        </w:tc>
        <w:tc>
          <w:tcPr>
            <w:tcW w:w="3497" w:type="dxa"/>
            <w:tcBorders>
              <w:top w:val="single" w:sz="4" w:space="0" w:color="auto"/>
              <w:left w:val="single" w:sz="4" w:space="0" w:color="auto"/>
              <w:bottom w:val="single" w:sz="4" w:space="0" w:color="auto"/>
            </w:tcBorders>
            <w:shd w:val="clear" w:color="auto" w:fill="auto"/>
          </w:tcPr>
          <w:p w14:paraId="416B6E22" w14:textId="77777777" w:rsidR="0093208C" w:rsidRPr="00BA7891" w:rsidRDefault="0093208C" w:rsidP="0093208C">
            <w:r w:rsidRPr="00BA7891">
              <w:rPr>
                <w:color w:val="212121"/>
              </w:rPr>
              <w:t xml:space="preserve">Lūdzam skatīt </w:t>
            </w:r>
            <w:proofErr w:type="spellStart"/>
            <w:r w:rsidRPr="00BA7891">
              <w:rPr>
                <w:color w:val="212121"/>
              </w:rPr>
              <w:t>apakšsadaļu</w:t>
            </w:r>
            <w:proofErr w:type="spellEnd"/>
            <w:r w:rsidRPr="00BA7891">
              <w:rPr>
                <w:color w:val="212121"/>
              </w:rPr>
              <w:t xml:space="preserve"> 4.1.3. </w:t>
            </w:r>
          </w:p>
        </w:tc>
      </w:tr>
      <w:tr w:rsidR="00A20859" w:rsidRPr="009841AB" w14:paraId="0A85E31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5A9E6B44" w14:textId="77777777" w:rsidR="00A20859" w:rsidRPr="00BA7891" w:rsidRDefault="00A20859" w:rsidP="00A20859">
            <w:pPr>
              <w:tabs>
                <w:tab w:val="left" w:pos="720"/>
              </w:tabs>
              <w:contextualSpacing/>
              <w:jc w:val="both"/>
              <w:rPr>
                <w:b/>
                <w:bCs/>
                <w:lang w:eastAsia="en-US"/>
              </w:rPr>
            </w:pPr>
            <w:r w:rsidRPr="00BA7891">
              <w:rPr>
                <w:b/>
                <w:bCs/>
                <w:lang w:eastAsia="en-US"/>
              </w:rPr>
              <w:t>Tieslietu ministrijas 05.02.2021. atzinums:</w:t>
            </w:r>
          </w:p>
        </w:tc>
      </w:tr>
      <w:tr w:rsidR="0093208C" w:rsidRPr="009841AB" w14:paraId="40E6398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D66164A" w14:textId="77777777" w:rsidR="0093208C" w:rsidRPr="00BA7891" w:rsidRDefault="0093208C" w:rsidP="0093208C">
            <w:pPr>
              <w:pStyle w:val="naisc"/>
              <w:spacing w:before="0" w:after="0"/>
            </w:pPr>
            <w:r w:rsidRPr="00BA7891">
              <w:lastRenderedPageBreak/>
              <w:t>130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071F769" w14:textId="77777777" w:rsidR="0093208C" w:rsidRPr="00BA7891" w:rsidRDefault="0093208C" w:rsidP="0093208C">
            <w:r w:rsidRPr="00BA789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F2D71E1" w14:textId="77777777" w:rsidR="0093208C" w:rsidRPr="00BA7891" w:rsidRDefault="0093208C" w:rsidP="0093208C">
            <w:pPr>
              <w:spacing w:line="276" w:lineRule="auto"/>
              <w:jc w:val="both"/>
            </w:pPr>
            <w:r w:rsidRPr="00BA7891">
              <w:t>1. Ņemot vērā to, ka 4.1.1. Rīcības virzienā “Līdzdalība un praktiskā e-risinājumu izmantošana – katra iedzīvotāja digitālo prasmju un digitālo rīku pamata komplekts” kā mērķa grupas ir minēti arī ieslodzītie un probācijas klienti, lūdzam uzdevumā “U4.1.1.-1” kā līdzatbildīgo norādīt arī Tieslietu ministriju.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D768C71" w14:textId="77777777" w:rsidR="0093208C" w:rsidRPr="00BA7891" w:rsidRDefault="0093208C" w:rsidP="0093208C">
            <w:pPr>
              <w:pStyle w:val="naisc"/>
              <w:spacing w:before="0" w:after="0"/>
              <w:jc w:val="both"/>
              <w:rPr>
                <w:b/>
              </w:rPr>
            </w:pPr>
            <w:r w:rsidRPr="00BA7891">
              <w:rPr>
                <w:b/>
              </w:rPr>
              <w:t>Ņemts vērā</w:t>
            </w:r>
          </w:p>
        </w:tc>
        <w:tc>
          <w:tcPr>
            <w:tcW w:w="3497" w:type="dxa"/>
            <w:tcBorders>
              <w:top w:val="single" w:sz="4" w:space="0" w:color="auto"/>
              <w:left w:val="single" w:sz="4" w:space="0" w:color="auto"/>
              <w:bottom w:val="single" w:sz="4" w:space="0" w:color="auto"/>
            </w:tcBorders>
            <w:shd w:val="clear" w:color="auto" w:fill="auto"/>
          </w:tcPr>
          <w:p w14:paraId="27F6C4BC" w14:textId="77777777" w:rsidR="0093208C" w:rsidRPr="00BA7891" w:rsidRDefault="0093208C" w:rsidP="0093208C">
            <w:r w:rsidRPr="00BA7891">
              <w:rPr>
                <w:color w:val="212121"/>
              </w:rPr>
              <w:t xml:space="preserve">Lūdzam skatīt </w:t>
            </w:r>
            <w:proofErr w:type="spellStart"/>
            <w:r w:rsidRPr="00BA7891">
              <w:rPr>
                <w:color w:val="212121"/>
              </w:rPr>
              <w:t>apakšsadaļu</w:t>
            </w:r>
            <w:proofErr w:type="spellEnd"/>
            <w:r w:rsidRPr="00BA7891">
              <w:rPr>
                <w:color w:val="212121"/>
              </w:rPr>
              <w:t xml:space="preserve"> 4.1.2 (iepriekš 4.1.1.)</w:t>
            </w:r>
          </w:p>
        </w:tc>
      </w:tr>
      <w:tr w:rsidR="0093208C" w:rsidRPr="009841AB" w14:paraId="3372FE4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B3A236C" w14:textId="77777777" w:rsidR="0093208C" w:rsidRPr="00BA7891" w:rsidRDefault="0093208C" w:rsidP="0093208C">
            <w:pPr>
              <w:pStyle w:val="naisc"/>
              <w:spacing w:before="0" w:after="0"/>
            </w:pPr>
            <w:r w:rsidRPr="00BA7891">
              <w:t>131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06DBA3A" w14:textId="77777777" w:rsidR="0093208C" w:rsidRPr="00BA7891" w:rsidRDefault="0093208C" w:rsidP="0093208C">
            <w:r w:rsidRPr="00BA789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C8E34A9" w14:textId="77777777" w:rsidR="0093208C" w:rsidRPr="00BA7891" w:rsidRDefault="0093208C" w:rsidP="0093208C">
            <w:pPr>
              <w:spacing w:line="276" w:lineRule="auto"/>
              <w:jc w:val="both"/>
            </w:pPr>
            <w:r w:rsidRPr="00BA7891">
              <w:t>2. Lūdzam precizēt 4.1.3. Rīcības virziena “Pakalpojumu un sistēmu veidošana” rīcības nolūka aprakstu, otrajā teikumā kā īpašas jomas neizceļot izglītību un veselības aprūpi, jo pakalpojumu un sistēmu veidošana nav tikai šo jomu īpaša vajadzība, bet tas ir visas publiskās pārvaldes digitālās transformācijas nosacījums.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8C9643B" w14:textId="1AFFEFE1" w:rsidR="0093208C" w:rsidRPr="00BA7891" w:rsidRDefault="0093208C" w:rsidP="0093208C">
            <w:pPr>
              <w:pStyle w:val="naisc"/>
              <w:spacing w:before="0" w:after="0"/>
              <w:jc w:val="both"/>
              <w:rPr>
                <w:b/>
              </w:rPr>
            </w:pPr>
            <w:r w:rsidRPr="00BA7891">
              <w:rPr>
                <w:b/>
              </w:rPr>
              <w:t>Ņemts vērā</w:t>
            </w:r>
          </w:p>
          <w:p w14:paraId="5117044C" w14:textId="77777777" w:rsidR="0093208C" w:rsidRPr="00BA7891" w:rsidRDefault="0093208C" w:rsidP="0093208C">
            <w:pPr>
              <w:pStyle w:val="naisc"/>
              <w:spacing w:before="0" w:after="0"/>
              <w:jc w:val="both"/>
            </w:pPr>
            <w:proofErr w:type="spellStart"/>
            <w:r w:rsidRPr="00BA7891">
              <w:t>Apakšsadaļas</w:t>
            </w:r>
            <w:proofErr w:type="spellEnd"/>
            <w:r w:rsidRPr="00BA7891">
              <w:t xml:space="preserve"> “Rīcības nolūks” teksts svītrots</w:t>
            </w:r>
          </w:p>
        </w:tc>
        <w:tc>
          <w:tcPr>
            <w:tcW w:w="3497" w:type="dxa"/>
            <w:tcBorders>
              <w:top w:val="single" w:sz="4" w:space="0" w:color="auto"/>
              <w:left w:val="single" w:sz="4" w:space="0" w:color="auto"/>
              <w:bottom w:val="single" w:sz="4" w:space="0" w:color="auto"/>
            </w:tcBorders>
            <w:shd w:val="clear" w:color="auto" w:fill="auto"/>
          </w:tcPr>
          <w:p w14:paraId="7B0CC1C8" w14:textId="77777777" w:rsidR="0093208C" w:rsidRPr="00BA7891" w:rsidRDefault="0093208C" w:rsidP="0093208C">
            <w:r w:rsidRPr="00BA7891">
              <w:rPr>
                <w:color w:val="212121"/>
              </w:rPr>
              <w:t xml:space="preserve">Lūdzam skatīt </w:t>
            </w:r>
            <w:proofErr w:type="spellStart"/>
            <w:r w:rsidRPr="00BA7891">
              <w:rPr>
                <w:color w:val="212121"/>
              </w:rPr>
              <w:t>apakšsadaļu</w:t>
            </w:r>
            <w:proofErr w:type="spellEnd"/>
            <w:r w:rsidRPr="00BA7891">
              <w:rPr>
                <w:color w:val="212121"/>
              </w:rPr>
              <w:t xml:space="preserve"> 4.1.3.</w:t>
            </w:r>
          </w:p>
        </w:tc>
      </w:tr>
      <w:tr w:rsidR="0093208C" w:rsidRPr="009841AB" w14:paraId="63D615A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D90F354" w14:textId="77777777" w:rsidR="0093208C" w:rsidRPr="00BA7891" w:rsidRDefault="0093208C" w:rsidP="0093208C">
            <w:pPr>
              <w:pStyle w:val="naisc"/>
              <w:spacing w:before="0" w:after="0"/>
            </w:pPr>
            <w:r w:rsidRPr="00BA7891">
              <w:t>132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CD3D70D" w14:textId="77777777" w:rsidR="0093208C" w:rsidRPr="00BA7891" w:rsidRDefault="0093208C" w:rsidP="0093208C">
            <w:r w:rsidRPr="00BA789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5EDD908" w14:textId="77777777" w:rsidR="0093208C" w:rsidRPr="00BA7891" w:rsidRDefault="0093208C" w:rsidP="0093208C">
            <w:pPr>
              <w:spacing w:line="276" w:lineRule="auto"/>
              <w:jc w:val="both"/>
            </w:pPr>
            <w:r w:rsidRPr="00BA7891">
              <w:t>3. Aicinām precizēt uzdevuma “U4.1.3.-1” formulējumu, jo piedāvātajā redakcijā tas neatbilst rīcības virziena nolūkam - nodrošināt visu iesaistīto pušu profesionalitāti un prasmes pakalpojumu un sistēmu veidošanā. Uzdevuma “U4.1.3.-1” tvērums šobrīd attiecināms tikai uz komersantu prasmju stiprināšanu.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0ABAA14" w14:textId="77777777" w:rsidR="0093208C" w:rsidRPr="00BA7891" w:rsidRDefault="0093208C" w:rsidP="0093208C">
            <w:pPr>
              <w:pStyle w:val="naisc"/>
              <w:spacing w:before="0" w:after="0"/>
              <w:jc w:val="both"/>
              <w:rPr>
                <w:b/>
              </w:rPr>
            </w:pPr>
            <w:r w:rsidRPr="00BA7891">
              <w:rPr>
                <w:b/>
              </w:rPr>
              <w:t>Ņemts vērā</w:t>
            </w:r>
          </w:p>
          <w:p w14:paraId="24A86E26" w14:textId="77777777" w:rsidR="0093208C" w:rsidRPr="00BA7891" w:rsidRDefault="0093208C" w:rsidP="0093208C">
            <w:pPr>
              <w:pStyle w:val="naisc"/>
              <w:spacing w:before="0" w:after="0"/>
              <w:jc w:val="both"/>
              <w:rPr>
                <w:b/>
              </w:rPr>
            </w:pPr>
            <w:r w:rsidRPr="00BA7891">
              <w:t>Precizēts atbilstoši TM iebildumam, uzdevums precizēts, ietverot gan komersantus, gan publisko pārvaldi šādā redakcijā: “Eiropas Digitālo inovāciju centri nodrošina pakalpojumu sniegšanu uzņēmumiem un publiskās pārvaldes iestādēm”</w:t>
            </w:r>
          </w:p>
        </w:tc>
        <w:tc>
          <w:tcPr>
            <w:tcW w:w="3497" w:type="dxa"/>
            <w:tcBorders>
              <w:top w:val="single" w:sz="4" w:space="0" w:color="auto"/>
              <w:left w:val="single" w:sz="4" w:space="0" w:color="auto"/>
              <w:bottom w:val="single" w:sz="4" w:space="0" w:color="auto"/>
            </w:tcBorders>
            <w:shd w:val="clear" w:color="auto" w:fill="auto"/>
          </w:tcPr>
          <w:p w14:paraId="6C967A13" w14:textId="77777777" w:rsidR="0093208C" w:rsidRPr="00BA7891" w:rsidRDefault="0093208C" w:rsidP="0093208C">
            <w:r w:rsidRPr="00BA7891">
              <w:rPr>
                <w:color w:val="212121"/>
              </w:rPr>
              <w:t xml:space="preserve">Lūdzam skatīt uzdevumu </w:t>
            </w:r>
            <w:r w:rsidRPr="00BA7891">
              <w:t>U4.1.3.</w:t>
            </w:r>
          </w:p>
        </w:tc>
      </w:tr>
      <w:tr w:rsidR="0093208C" w:rsidRPr="009841AB" w14:paraId="21E09BC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70A618B" w14:textId="77777777" w:rsidR="0093208C" w:rsidRPr="00BA7891" w:rsidRDefault="0093208C" w:rsidP="0093208C">
            <w:pPr>
              <w:pStyle w:val="naisc"/>
              <w:spacing w:before="0" w:after="0"/>
            </w:pPr>
            <w:r w:rsidRPr="00BA7891">
              <w:t>133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44CE737" w14:textId="77777777" w:rsidR="0093208C" w:rsidRPr="00BA7891" w:rsidRDefault="0093208C" w:rsidP="0093208C">
            <w:r w:rsidRPr="00BA789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54EFB07" w14:textId="77777777" w:rsidR="0093208C" w:rsidRPr="00BA7891" w:rsidRDefault="0093208C" w:rsidP="0093208C">
            <w:pPr>
              <w:jc w:val="both"/>
            </w:pPr>
            <w:r w:rsidRPr="00BA7891">
              <w:t xml:space="preserve">4. Pamatnostādņu projekta 4.1.4. Rīcības virziena “Ietekme un peļņa” situācijas aprakstā tiek norādīta digitālās transformācijas ietekme uz procesu automatizāciju un Latvijas darbaspēku, kas nenoliedzami ir atzīstams izaicinājums. Tomēr uzdevumu piedāvājums nesniedz redzējumu par to, kā </w:t>
            </w:r>
            <w:r w:rsidRPr="00BA7891">
              <w:lastRenderedPageBreak/>
              <w:t>tiktu nodrošināta mazkvalificēta darbaspēka pārkvalificēšana, vai to darbinieku pārkvalificēšana, kuru potenciāls nebūs piemērots inovāciju, jaunu IKT produktu un pakalpojumu veidošanai u.tml. Vēršam uzmanību, ka ne tikai šajā, bet arī pārējos rīcības virzienos izvirzītie uzdevumi tikai daļēji atbilst nepieciešamās rīcības aprakstam, tādējādi neveidojot politikas īstenotāju un citu interesentu izpratni par pamatnostādņu projektā piedāvāto darbību savstarpējo korelāciju, to nozīmi, svarīgumu.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2011169" w14:textId="77777777" w:rsidR="0093208C" w:rsidRPr="00BA7891" w:rsidRDefault="0093208C" w:rsidP="0093208C">
            <w:pPr>
              <w:pStyle w:val="naisc"/>
              <w:spacing w:before="0" w:after="0"/>
              <w:jc w:val="both"/>
              <w:rPr>
                <w:b/>
              </w:rPr>
            </w:pPr>
            <w:proofErr w:type="spellStart"/>
            <w:r w:rsidRPr="00BA7891">
              <w:rPr>
                <w:b/>
              </w:rPr>
              <w:lastRenderedPageBreak/>
              <w:t>Nemts</w:t>
            </w:r>
            <w:proofErr w:type="spellEnd"/>
            <w:r w:rsidRPr="00BA7891">
              <w:rPr>
                <w:b/>
              </w:rPr>
              <w:t xml:space="preserve"> vērā</w:t>
            </w:r>
          </w:p>
          <w:p w14:paraId="5E05C920" w14:textId="77777777" w:rsidR="0093208C" w:rsidRPr="00BA7891" w:rsidRDefault="0093208C" w:rsidP="0093208C">
            <w:pPr>
              <w:pStyle w:val="naisc"/>
              <w:spacing w:before="0" w:after="0"/>
              <w:jc w:val="both"/>
              <w:rPr>
                <w:b/>
              </w:rPr>
            </w:pPr>
            <w:r w:rsidRPr="00BA7891">
              <w:t xml:space="preserve">Vēršam uzmanību, ka 4.1.4. </w:t>
            </w:r>
            <w:proofErr w:type="spellStart"/>
            <w:r w:rsidRPr="00BA7891">
              <w:t>apakšsadaļa</w:t>
            </w:r>
            <w:proofErr w:type="spellEnd"/>
            <w:r w:rsidRPr="00BA7891">
              <w:t xml:space="preserve"> “Ietekme un peļņa” neattiecas uz mazkvalificēta </w:t>
            </w:r>
            <w:r w:rsidRPr="00BA7891">
              <w:lastRenderedPageBreak/>
              <w:t xml:space="preserve">darbaspēka pārkvalificēšanu, vai to darbinieku pārkvalificēšana, kuru potenciāls nebūs piemērots inovāciju, jaunu IKT produktu un pakalpojumu veidošanai u.tml. Iebildumā minētais skatīts 4.2.1. </w:t>
            </w:r>
            <w:proofErr w:type="spellStart"/>
            <w:r w:rsidRPr="00BA7891">
              <w:t>apakšsadaļā</w:t>
            </w:r>
            <w:proofErr w:type="spellEnd"/>
          </w:p>
        </w:tc>
        <w:tc>
          <w:tcPr>
            <w:tcW w:w="3497" w:type="dxa"/>
            <w:tcBorders>
              <w:top w:val="single" w:sz="4" w:space="0" w:color="auto"/>
              <w:left w:val="single" w:sz="4" w:space="0" w:color="auto"/>
              <w:bottom w:val="single" w:sz="4" w:space="0" w:color="auto"/>
            </w:tcBorders>
            <w:shd w:val="clear" w:color="auto" w:fill="auto"/>
          </w:tcPr>
          <w:p w14:paraId="1F01C49E" w14:textId="77777777" w:rsidR="0093208C" w:rsidRPr="00BA7891" w:rsidRDefault="0093208C" w:rsidP="0093208C">
            <w:pPr>
              <w:jc w:val="both"/>
            </w:pPr>
            <w:r w:rsidRPr="00BA7891">
              <w:rPr>
                <w:color w:val="212121"/>
              </w:rPr>
              <w:lastRenderedPageBreak/>
              <w:t xml:space="preserve">Lūdzam skatīt </w:t>
            </w:r>
            <w:proofErr w:type="spellStart"/>
            <w:r w:rsidRPr="00BA7891">
              <w:rPr>
                <w:color w:val="212121"/>
              </w:rPr>
              <w:t>apakšsadaļu</w:t>
            </w:r>
            <w:proofErr w:type="spellEnd"/>
            <w:r w:rsidRPr="00BA7891">
              <w:rPr>
                <w:color w:val="212121"/>
              </w:rPr>
              <w:t xml:space="preserve"> 4.1.2. (iepriekš 4.1.4) </w:t>
            </w:r>
          </w:p>
        </w:tc>
      </w:tr>
      <w:tr w:rsidR="0093208C" w:rsidRPr="009841AB" w14:paraId="078CA05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0C49B26" w14:textId="77777777" w:rsidR="0093208C" w:rsidRPr="00BA7891" w:rsidRDefault="0093208C" w:rsidP="0093208C">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180DEB0" w14:textId="77777777" w:rsidR="0093208C" w:rsidRPr="00BA7891" w:rsidRDefault="0093208C" w:rsidP="0093208C"/>
        </w:tc>
        <w:tc>
          <w:tcPr>
            <w:tcW w:w="5427" w:type="dxa"/>
            <w:tcBorders>
              <w:left w:val="single" w:sz="6" w:space="0" w:color="000000" w:themeColor="text1"/>
              <w:bottom w:val="single" w:sz="4" w:space="0" w:color="auto"/>
              <w:right w:val="single" w:sz="6" w:space="0" w:color="000000" w:themeColor="text1"/>
            </w:tcBorders>
            <w:shd w:val="clear" w:color="auto" w:fill="auto"/>
          </w:tcPr>
          <w:p w14:paraId="57EBF6A1" w14:textId="77777777" w:rsidR="0093208C" w:rsidRPr="00BA7891" w:rsidRDefault="0093208C" w:rsidP="0093208C">
            <w:pPr>
              <w:widowControl w:val="0"/>
              <w:jc w:val="both"/>
              <w:rPr>
                <w:b/>
                <w:bCs/>
              </w:rPr>
            </w:pPr>
            <w:r w:rsidRPr="00BA7891">
              <w:rPr>
                <w:b/>
                <w:bC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2615F86" w14:textId="77777777" w:rsidR="0093208C" w:rsidRPr="00BA7891" w:rsidRDefault="0093208C" w:rsidP="0093208C">
            <w:pPr>
              <w:pStyle w:val="naisc"/>
              <w:spacing w:before="0" w:after="0"/>
              <w:jc w:val="both"/>
              <w:rPr>
                <w:b/>
              </w:rPr>
            </w:pPr>
            <w:r w:rsidRPr="00BA7891">
              <w:rPr>
                <w:b/>
              </w:rPr>
              <w:t>Ņemts vērā</w:t>
            </w:r>
          </w:p>
        </w:tc>
        <w:tc>
          <w:tcPr>
            <w:tcW w:w="3497" w:type="dxa"/>
            <w:tcBorders>
              <w:top w:val="single" w:sz="4" w:space="0" w:color="auto"/>
              <w:left w:val="single" w:sz="4" w:space="0" w:color="auto"/>
              <w:bottom w:val="single" w:sz="4" w:space="0" w:color="auto"/>
            </w:tcBorders>
            <w:shd w:val="clear" w:color="auto" w:fill="auto"/>
          </w:tcPr>
          <w:p w14:paraId="3C9A53C6" w14:textId="77777777" w:rsidR="0093208C" w:rsidRPr="00BA7891" w:rsidRDefault="0093208C" w:rsidP="0093208C">
            <w:r w:rsidRPr="00BA7891">
              <w:rPr>
                <w:color w:val="212121"/>
              </w:rPr>
              <w:t xml:space="preserve">Lūdzam skatīt </w:t>
            </w:r>
            <w:proofErr w:type="spellStart"/>
            <w:r w:rsidRPr="00BA7891">
              <w:rPr>
                <w:color w:val="212121"/>
              </w:rPr>
              <w:t>apakšsadaļu</w:t>
            </w:r>
            <w:proofErr w:type="spellEnd"/>
            <w:r w:rsidRPr="00BA7891">
              <w:rPr>
                <w:color w:val="212121"/>
              </w:rPr>
              <w:t xml:space="preserve"> 4.1.2 (iepriekš 4.1.1.)</w:t>
            </w:r>
          </w:p>
        </w:tc>
      </w:tr>
      <w:tr w:rsidR="0093208C" w:rsidRPr="009841AB" w14:paraId="23D45DD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8EFA8B5" w14:textId="77777777" w:rsidR="0093208C" w:rsidRPr="00BA7891" w:rsidRDefault="0093208C" w:rsidP="0093208C">
            <w:pPr>
              <w:pStyle w:val="naisc"/>
              <w:spacing w:before="0" w:after="0"/>
            </w:pPr>
            <w:r w:rsidRPr="00BA7891">
              <w:t>134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D27FAB3" w14:textId="77777777" w:rsidR="0093208C" w:rsidRPr="00BA7891" w:rsidRDefault="0093208C" w:rsidP="0093208C">
            <w:r w:rsidRPr="00BA789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1C981C9" w14:textId="77777777" w:rsidR="0093208C" w:rsidRPr="00BA7891" w:rsidRDefault="0093208C" w:rsidP="0093208C">
            <w:pPr>
              <w:widowControl w:val="0"/>
              <w:jc w:val="both"/>
            </w:pPr>
            <w:r w:rsidRPr="00BA7891">
              <w:t xml:space="preserve">1. Lūdzam papildināt pamatnostādņu projekta 4.1. Attīstības virziena „Digitālās prasmes un izglītība” ievadā norādīto teikumu: "Krīze ir izgaismojusi jau pastāvošo digitālo prasmju plaisu, radot nevienlīdzību, jo daudziem iedzīvotājiem nav vajadzīgā digitālo prasmju līmeņa, mājsaimniecībā nav pietiekams tehniskais nodrošinājums, kas ļauj visai ģimenei pilnvērtīgi strādāt/mācīties attālināti, iedzīvotāju darbavietas un apmācāmo izglītības iestādes ir starp tām, kas atpaliek </w:t>
            </w:r>
            <w:proofErr w:type="spellStart"/>
            <w:r w:rsidRPr="00BA7891">
              <w:t>digitalizācijā</w:t>
            </w:r>
            <w:proofErr w:type="spellEnd"/>
            <w:r w:rsidRPr="00BA7891">
              <w:t>" aiz vārda "tehniskais" ar vārdiem "un vides", jo tikai tehniskais nodrošinājums nevar nodrošināt, ka četri vai vairāk ģimenes locekļi vienlaicīgi var piedalīties tiešsaistes mācībās un sanāksmēs, ja ir nepieciešams sarunāties. Ir svarīgi, lai būtu iespējams nodalīt telpas, lai netraucētu viens otru, piemēram, ja vienam bērnam ir mūzikas stunda, bet otram ir runas ieskaite svešvalodā, bet vecākiem katram ir svarīga sanāksme, kurā jāprezentē prezentācija.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A84F748" w14:textId="77777777" w:rsidR="0093208C" w:rsidRPr="00BA7891" w:rsidRDefault="0093208C" w:rsidP="0093208C">
            <w:pPr>
              <w:pStyle w:val="naisc"/>
              <w:spacing w:before="0" w:after="0"/>
              <w:jc w:val="both"/>
              <w:rPr>
                <w:b/>
              </w:rPr>
            </w:pPr>
            <w:r w:rsidRPr="00BA7891">
              <w:rPr>
                <w:b/>
              </w:rPr>
              <w:t>Ņemts vērā</w:t>
            </w:r>
          </w:p>
        </w:tc>
        <w:tc>
          <w:tcPr>
            <w:tcW w:w="3497" w:type="dxa"/>
            <w:tcBorders>
              <w:top w:val="single" w:sz="4" w:space="0" w:color="auto"/>
              <w:left w:val="single" w:sz="4" w:space="0" w:color="auto"/>
              <w:bottom w:val="single" w:sz="4" w:space="0" w:color="auto"/>
            </w:tcBorders>
            <w:shd w:val="clear" w:color="auto" w:fill="auto"/>
          </w:tcPr>
          <w:p w14:paraId="2A0F30EB" w14:textId="77777777" w:rsidR="0093208C" w:rsidRPr="00BA7891" w:rsidRDefault="0093208C" w:rsidP="0093208C">
            <w:r w:rsidRPr="00BA7891">
              <w:rPr>
                <w:color w:val="212121"/>
              </w:rPr>
              <w:t xml:space="preserve">Lūdzam skatīt </w:t>
            </w:r>
            <w:proofErr w:type="spellStart"/>
            <w:r w:rsidRPr="00BA7891">
              <w:rPr>
                <w:color w:val="212121"/>
              </w:rPr>
              <w:t>apakšsadaļu</w:t>
            </w:r>
            <w:proofErr w:type="spellEnd"/>
            <w:r w:rsidRPr="00BA7891">
              <w:rPr>
                <w:color w:val="212121"/>
              </w:rPr>
              <w:t xml:space="preserve"> 4.1.2 (iepriekš 4.1.1.)</w:t>
            </w:r>
          </w:p>
        </w:tc>
      </w:tr>
      <w:tr w:rsidR="0093208C" w:rsidRPr="009841AB" w14:paraId="248F99F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5210355" w14:textId="77777777" w:rsidR="0093208C" w:rsidRPr="00BA7891" w:rsidRDefault="0093208C" w:rsidP="0093208C">
            <w:pPr>
              <w:pStyle w:val="naisc"/>
              <w:spacing w:before="0" w:after="0"/>
            </w:pPr>
            <w:r w:rsidRPr="00BA7891">
              <w:t>135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E89A1E0" w14:textId="77777777" w:rsidR="0093208C" w:rsidRPr="00BA7891" w:rsidRDefault="0093208C" w:rsidP="0093208C">
            <w:r w:rsidRPr="00BA789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11411F4" w14:textId="77777777" w:rsidR="0093208C" w:rsidRPr="00BA7891" w:rsidRDefault="0093208C" w:rsidP="0093208C">
            <w:pPr>
              <w:tabs>
                <w:tab w:val="left" w:pos="720"/>
              </w:tabs>
              <w:contextualSpacing/>
              <w:jc w:val="both"/>
              <w:rPr>
                <w:b/>
                <w:bCs/>
                <w:lang w:eastAsia="en-US"/>
              </w:rPr>
            </w:pPr>
            <w:r w:rsidRPr="00BA7891">
              <w:t xml:space="preserve">2. Tieslietu ministrija piekrīt, ka ieslodzītie ir īpaša personu grupa, kurai nepieciešams nodrošināt digitālās </w:t>
            </w:r>
            <w:proofErr w:type="spellStart"/>
            <w:r w:rsidRPr="00BA7891">
              <w:lastRenderedPageBreak/>
              <w:t>pamatprasmes</w:t>
            </w:r>
            <w:proofErr w:type="spellEnd"/>
            <w:r w:rsidRPr="00BA7891">
              <w:t xml:space="preserve"> integrācijai digitālā sabiedrībā, tomēr jāņem vērā, ka šo personu minēto prasmju apguve ir saistīta ar ieslodzījumā noteiktiem ierobežojumiem, tāpēc digitālo prasmju sniegšanas kanāli, kas varētu tikt vispārēji piemēroti, ļoti iespējams nebūs piemēroti ieslodzījuma vietās. Ņemot vērā minēto, aicinām pamatnostādņu projekta 4.1.1. Rīcības virziena “Līdzdalība un praktiskā e-risinājumu izmantošana – katra iedzīvotāja digitālo prasmju un digitālo rīku pamata komplekts” sadaļu “Nepieciešamā rīcība” papildināt ar norādi, ka jāmeklē jauni saturiski un tehniski risinājumi attiecībā uz ieslodzīto digitālo prasmju attīstību, tādejādi līdzsvarojot ieslodzījumā noteiktos ierobežojumus un sabiedrības drošībai drošu digitālo prasmju apguves iespējas.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A016F9D" w14:textId="77777777" w:rsidR="0093208C" w:rsidRPr="00BA7891" w:rsidRDefault="0093208C" w:rsidP="0093208C">
            <w:pPr>
              <w:pStyle w:val="naisc"/>
              <w:spacing w:before="0" w:after="0"/>
              <w:jc w:val="both"/>
              <w:rPr>
                <w:b/>
              </w:rPr>
            </w:pPr>
            <w:r w:rsidRPr="00BA7891">
              <w:rPr>
                <w:b/>
              </w:rPr>
              <w:lastRenderedPageBreak/>
              <w:t>Ņemts vērā</w:t>
            </w:r>
          </w:p>
          <w:p w14:paraId="2423E029" w14:textId="77777777" w:rsidR="0093208C" w:rsidRPr="00BA7891" w:rsidRDefault="0093208C" w:rsidP="0093208C">
            <w:pPr>
              <w:pStyle w:val="naisc"/>
              <w:spacing w:before="0" w:after="0"/>
              <w:jc w:val="both"/>
              <w:rPr>
                <w:b/>
              </w:rPr>
            </w:pPr>
          </w:p>
          <w:p w14:paraId="0F5B4928" w14:textId="77777777" w:rsidR="0093208C" w:rsidRPr="00BA7891" w:rsidRDefault="0093208C" w:rsidP="0093208C">
            <w:pPr>
              <w:pStyle w:val="naisc"/>
              <w:spacing w:before="0" w:after="0"/>
              <w:jc w:val="both"/>
              <w:rPr>
                <w:b/>
              </w:rPr>
            </w:pPr>
            <w:proofErr w:type="spellStart"/>
            <w:r w:rsidRPr="00BA7891">
              <w:lastRenderedPageBreak/>
              <w:t>Apakšsadaļas</w:t>
            </w:r>
            <w:proofErr w:type="spellEnd"/>
            <w:r w:rsidRPr="00BA7891">
              <w:t xml:space="preserve"> “Rīcības nolūks” teksts svītrots</w:t>
            </w:r>
          </w:p>
        </w:tc>
        <w:tc>
          <w:tcPr>
            <w:tcW w:w="3497" w:type="dxa"/>
            <w:tcBorders>
              <w:top w:val="single" w:sz="4" w:space="0" w:color="auto"/>
              <w:left w:val="single" w:sz="4" w:space="0" w:color="auto"/>
              <w:bottom w:val="single" w:sz="4" w:space="0" w:color="auto"/>
            </w:tcBorders>
            <w:shd w:val="clear" w:color="auto" w:fill="auto"/>
          </w:tcPr>
          <w:p w14:paraId="3C124937" w14:textId="77777777" w:rsidR="0093208C" w:rsidRPr="00BA7891" w:rsidRDefault="0093208C" w:rsidP="0093208C">
            <w:pPr>
              <w:spacing w:before="240"/>
            </w:pPr>
            <w:r w:rsidRPr="00BA7891">
              <w:rPr>
                <w:color w:val="212121"/>
              </w:rPr>
              <w:lastRenderedPageBreak/>
              <w:t xml:space="preserve">Lūdzam skatīt </w:t>
            </w:r>
            <w:proofErr w:type="spellStart"/>
            <w:r w:rsidRPr="00BA7891">
              <w:rPr>
                <w:color w:val="212121"/>
              </w:rPr>
              <w:t>apakšsadaļu</w:t>
            </w:r>
            <w:proofErr w:type="spellEnd"/>
            <w:r w:rsidRPr="00BA7891">
              <w:rPr>
                <w:color w:val="212121"/>
              </w:rPr>
              <w:t xml:space="preserve"> 4.1.3.</w:t>
            </w:r>
          </w:p>
        </w:tc>
      </w:tr>
      <w:tr w:rsidR="0093208C" w:rsidRPr="009841AB" w14:paraId="4D97FFE9"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412BAE0" w14:textId="77777777" w:rsidR="0093208C" w:rsidRPr="00BA7891" w:rsidRDefault="0093208C" w:rsidP="0093208C">
            <w:r w:rsidRPr="00BA7891">
              <w:rPr>
                <w:b/>
                <w:bCs/>
                <w:lang w:eastAsia="en-US"/>
              </w:rPr>
              <w:t>Latvijas Pašvaldību savienības 28.01.2021. atzinums:</w:t>
            </w:r>
          </w:p>
        </w:tc>
      </w:tr>
      <w:tr w:rsidR="0093208C" w:rsidRPr="009841AB" w14:paraId="730390AA"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B4173FF" w14:textId="77777777" w:rsidR="0093208C" w:rsidRPr="00BA7891" w:rsidRDefault="0093208C" w:rsidP="0093208C">
            <w:pPr>
              <w:pStyle w:val="naisc"/>
              <w:spacing w:before="0" w:after="0"/>
            </w:pPr>
            <w:r w:rsidRPr="00BA7891">
              <w:t>136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90BDC1E" w14:textId="77777777" w:rsidR="0093208C" w:rsidRPr="00BA7891" w:rsidRDefault="0093208C" w:rsidP="0093208C">
            <w:r w:rsidRPr="00BA7891">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7086CF9" w14:textId="77777777" w:rsidR="0093208C" w:rsidRPr="00BA7891" w:rsidRDefault="0093208C" w:rsidP="0093208C">
            <w:pPr>
              <w:tabs>
                <w:tab w:val="left" w:pos="720"/>
              </w:tabs>
              <w:contextualSpacing/>
              <w:jc w:val="both"/>
              <w:rPr>
                <w:lang w:eastAsia="en-US"/>
              </w:rPr>
            </w:pPr>
            <w:r w:rsidRPr="00BA7891">
              <w:rPr>
                <w:lang w:eastAsia="en-US"/>
              </w:rPr>
              <w:t xml:space="preserve">Par "Digitālās prasmes un izglītība" 4.1.2. Pakalpojumu sniegšana apakšpunktos 4.1.2.-1 un 4.1.2.-3 minēto vēlamies vērst uzmanību, ka kopš esam nodrošinājuši publisko datoru pieejamību Carnikavas novada domes KAC telpā, administratīvās nodaļas lietvedes patērē daudz laiku apmācot un skaidrojot </w:t>
            </w:r>
            <w:proofErr w:type="spellStart"/>
            <w:r w:rsidRPr="00BA7891">
              <w:rPr>
                <w:lang w:eastAsia="en-US"/>
              </w:rPr>
              <w:t>ePakalpojumu</w:t>
            </w:r>
            <w:proofErr w:type="spellEnd"/>
            <w:r w:rsidRPr="00BA7891">
              <w:rPr>
                <w:lang w:eastAsia="en-US"/>
              </w:rPr>
              <w:t xml:space="preserve"> pieejamību un lietojamību, kā arī pandēmijas laikā tiek tērēts darba laiks uz </w:t>
            </w:r>
            <w:proofErr w:type="spellStart"/>
            <w:r w:rsidRPr="00BA7891">
              <w:rPr>
                <w:lang w:eastAsia="en-US"/>
              </w:rPr>
              <w:t>ePakalpojumu</w:t>
            </w:r>
            <w:proofErr w:type="spellEnd"/>
            <w:r w:rsidRPr="00BA7891">
              <w:rPr>
                <w:lang w:eastAsia="en-US"/>
              </w:rPr>
              <w:t xml:space="preserve"> lietojamību sniedzot konsultācijas telefoniski. Šai sakarā </w:t>
            </w:r>
            <w:r w:rsidRPr="00BA7891">
              <w:rPr>
                <w:b/>
                <w:u w:val="single"/>
                <w:lang w:eastAsia="en-US"/>
              </w:rPr>
              <w:t>izsakām</w:t>
            </w:r>
            <w:r w:rsidRPr="00BA7891">
              <w:rPr>
                <w:b/>
                <w:lang w:eastAsia="en-US"/>
              </w:rPr>
              <w:t xml:space="preserve"> </w:t>
            </w:r>
            <w:r w:rsidRPr="00BA7891">
              <w:rPr>
                <w:b/>
                <w:u w:val="single"/>
                <w:lang w:eastAsia="en-US"/>
              </w:rPr>
              <w:t>priekšlikumu</w:t>
            </w:r>
            <w:r w:rsidRPr="00BA7891">
              <w:rPr>
                <w:b/>
                <w:lang w:eastAsia="en-US"/>
              </w:rPr>
              <w:t xml:space="preserve"> </w:t>
            </w:r>
            <w:r w:rsidRPr="00BA7891">
              <w:rPr>
                <w:lang w:eastAsia="en-US"/>
              </w:rPr>
              <w:t xml:space="preserve">nodrošināt atsevišķu štata vietu tieši </w:t>
            </w:r>
            <w:proofErr w:type="spellStart"/>
            <w:r w:rsidRPr="00BA7891">
              <w:rPr>
                <w:lang w:eastAsia="en-US"/>
              </w:rPr>
              <w:t>ePakalpojumu</w:t>
            </w:r>
            <w:proofErr w:type="spellEnd"/>
            <w:r w:rsidRPr="00BA7891">
              <w:rPr>
                <w:lang w:eastAsia="en-US"/>
              </w:rPr>
              <w:t xml:space="preserve"> lietojamībai un apmācībai, kas varētu notikt gan attālināti -pielietojot mūsdienīgus risinājumus gan klātienē ievērojot visus aktuālos drošības nosacījumus. Savukārt apakšpunktā 4.1.5.-1 minētajam iesakām izskatīt pieejamības jautājumu izglītības iestāžu iekārtotajām datorklasēm un algotajiem pasniedzējiem (t.sk. ārpakalpojums) visām vecuma grupām, kas ieinteresēti apgūt digitālās prasmes.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94972E1" w14:textId="77777777" w:rsidR="0093208C" w:rsidRPr="00BA7891" w:rsidRDefault="0093208C" w:rsidP="0093208C">
            <w:pPr>
              <w:pStyle w:val="naisc"/>
              <w:spacing w:before="0" w:after="0"/>
              <w:jc w:val="both"/>
              <w:rPr>
                <w:b/>
              </w:rPr>
            </w:pPr>
            <w:proofErr w:type="spellStart"/>
            <w:r w:rsidRPr="00BA7891">
              <w:rPr>
                <w:b/>
              </w:rPr>
              <w:t>Nemts</w:t>
            </w:r>
            <w:proofErr w:type="spellEnd"/>
            <w:r w:rsidRPr="00BA7891">
              <w:rPr>
                <w:b/>
              </w:rPr>
              <w:t xml:space="preserve"> vērā</w:t>
            </w:r>
          </w:p>
          <w:p w14:paraId="11C92D8F" w14:textId="77777777" w:rsidR="0093208C" w:rsidRPr="00BA7891" w:rsidRDefault="0093208C" w:rsidP="0093208C">
            <w:pPr>
              <w:pStyle w:val="naisc"/>
              <w:spacing w:before="0" w:after="0"/>
              <w:jc w:val="both"/>
              <w:rPr>
                <w:b/>
              </w:rPr>
            </w:pPr>
            <w:r w:rsidRPr="00BA7891">
              <w:t xml:space="preserve">Vēršam uzmanību, ka 4.1.4. </w:t>
            </w:r>
            <w:proofErr w:type="spellStart"/>
            <w:r w:rsidRPr="00BA7891">
              <w:t>apakšsadaļa</w:t>
            </w:r>
            <w:proofErr w:type="spellEnd"/>
            <w:r w:rsidRPr="00BA7891">
              <w:t xml:space="preserve"> “Ietekme un peļņa” neattiecas uz mazkvalificēta darbaspēka pārkvalificēšanu, vai to darbinieku pārkvalificēšana, kuru potenciāls nebūs piemērots inovāciju, jaunu IKT produktu un pakalpojumu veidošanai u.tml. Iebildumā minētais skatīts 4.2.1. </w:t>
            </w:r>
            <w:proofErr w:type="spellStart"/>
            <w:r w:rsidRPr="00BA7891">
              <w:t>apakšsadaļā</w:t>
            </w:r>
            <w:proofErr w:type="spellEnd"/>
          </w:p>
        </w:tc>
        <w:tc>
          <w:tcPr>
            <w:tcW w:w="3497" w:type="dxa"/>
            <w:tcBorders>
              <w:top w:val="single" w:sz="4" w:space="0" w:color="auto"/>
              <w:left w:val="single" w:sz="4" w:space="0" w:color="auto"/>
              <w:bottom w:val="single" w:sz="4" w:space="0" w:color="auto"/>
            </w:tcBorders>
            <w:shd w:val="clear" w:color="auto" w:fill="auto"/>
          </w:tcPr>
          <w:p w14:paraId="6DE57853" w14:textId="77777777" w:rsidR="0093208C" w:rsidRPr="00BA7891" w:rsidRDefault="0093208C" w:rsidP="0093208C">
            <w:pPr>
              <w:pStyle w:val="paragraph"/>
              <w:spacing w:before="0" w:beforeAutospacing="0" w:after="0" w:afterAutospacing="0"/>
              <w:jc w:val="both"/>
              <w:textAlignment w:val="baseline"/>
              <w:rPr>
                <w:lang w:eastAsia="en-US"/>
              </w:rPr>
            </w:pPr>
            <w:r w:rsidRPr="00BA7891">
              <w:rPr>
                <w:lang w:eastAsia="en-US"/>
              </w:rPr>
              <w:t xml:space="preserve">Lūdzam skatīt </w:t>
            </w:r>
            <w:proofErr w:type="spellStart"/>
            <w:r w:rsidRPr="00BA7891">
              <w:rPr>
                <w:lang w:eastAsia="en-US"/>
              </w:rPr>
              <w:t>apakšsadaļu</w:t>
            </w:r>
            <w:proofErr w:type="spellEnd"/>
            <w:r w:rsidRPr="00BA7891">
              <w:rPr>
                <w:lang w:eastAsia="en-US"/>
              </w:rPr>
              <w:t xml:space="preserve"> 4.4.9.4. un </w:t>
            </w:r>
            <w:proofErr w:type="spellStart"/>
            <w:r w:rsidRPr="00BA7891">
              <w:rPr>
                <w:lang w:eastAsia="en-US"/>
              </w:rPr>
              <w:t>apakšsadaļu</w:t>
            </w:r>
            <w:proofErr w:type="spellEnd"/>
            <w:r w:rsidRPr="00BA7891">
              <w:rPr>
                <w:lang w:eastAsia="en-US"/>
              </w:rPr>
              <w:t xml:space="preserve"> 4.1.2 (nepieciešamā rīcība)</w:t>
            </w:r>
          </w:p>
          <w:p w14:paraId="1745FCE5" w14:textId="77777777" w:rsidR="0093208C" w:rsidRPr="00BA7891" w:rsidRDefault="0093208C" w:rsidP="0093208C">
            <w:pPr>
              <w:pStyle w:val="paragraph"/>
              <w:spacing w:before="0" w:beforeAutospacing="0" w:after="0" w:afterAutospacing="0"/>
              <w:jc w:val="both"/>
              <w:textAlignment w:val="baseline"/>
              <w:rPr>
                <w:lang w:eastAsia="en-US"/>
              </w:rPr>
            </w:pPr>
          </w:p>
        </w:tc>
      </w:tr>
      <w:tr w:rsidR="00A20859" w:rsidRPr="009841AB" w14:paraId="0C04624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AD1C1CA" w14:textId="77777777" w:rsidR="00A20859" w:rsidRPr="009841AB" w:rsidRDefault="00A20859" w:rsidP="00A20859">
            <w:pPr>
              <w:tabs>
                <w:tab w:val="center" w:pos="7046"/>
                <w:tab w:val="right" w:pos="14093"/>
              </w:tabs>
              <w:rPr>
                <w:b/>
              </w:rPr>
            </w:pPr>
            <w:r w:rsidRPr="009841AB">
              <w:rPr>
                <w:b/>
              </w:rPr>
              <w:lastRenderedPageBreak/>
              <w:tab/>
              <w:t>4.2. Attīstības virziens „Digitālā drošība un uzticamība”</w:t>
            </w:r>
            <w:r w:rsidRPr="009841AB">
              <w:rPr>
                <w:b/>
              </w:rPr>
              <w:tab/>
            </w:r>
          </w:p>
        </w:tc>
      </w:tr>
      <w:tr w:rsidR="00A20859" w:rsidRPr="009841AB" w14:paraId="44E1EAF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F3B66C2" w14:textId="77777777" w:rsidR="00A20859" w:rsidRPr="009841AB" w:rsidRDefault="00A20859" w:rsidP="00A20859">
            <w:pPr>
              <w:tabs>
                <w:tab w:val="center" w:pos="7046"/>
                <w:tab w:val="right" w:pos="14093"/>
              </w:tabs>
              <w:rPr>
                <w:b/>
              </w:rPr>
            </w:pPr>
            <w:r w:rsidRPr="009841AB">
              <w:rPr>
                <w:b/>
              </w:rPr>
              <w:t>Aizsardzības ministrijas 01.02.2021. atzinums:</w:t>
            </w:r>
          </w:p>
        </w:tc>
      </w:tr>
      <w:tr w:rsidR="00A20859" w:rsidRPr="009841AB" w14:paraId="42AB3BD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9FF819C" w14:textId="77777777" w:rsidR="00A20859" w:rsidRPr="009841AB" w:rsidRDefault="00A20859" w:rsidP="00A20859">
            <w:pPr>
              <w:pStyle w:val="naisc"/>
              <w:spacing w:before="0" w:after="0"/>
            </w:pPr>
            <w:r w:rsidRPr="009841AB">
              <w:t>1</w:t>
            </w:r>
            <w:r w:rsidR="00166F3D">
              <w:t>37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A1C17E3" w14:textId="77777777" w:rsidR="00A20859" w:rsidRPr="009841AB" w:rsidRDefault="00A20859" w:rsidP="00A20859">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2CD2D9E" w14:textId="77777777" w:rsidR="00A20859" w:rsidRPr="009841AB" w:rsidRDefault="00A20859" w:rsidP="00A20859">
            <w:pPr>
              <w:widowControl w:val="0"/>
              <w:jc w:val="both"/>
            </w:pPr>
            <w:r w:rsidRPr="009841AB">
              <w:t>1.</w:t>
            </w:r>
            <w:r w:rsidRPr="009841AB">
              <w:tab/>
              <w:t>46. lpp. nodaļa “4.2. Attīstības virziens „Digitālā drošība un uzticamība””. Vīziju izteikt šādā redakcijā: “Latvijas digitālajā telpā pieejamie pakalpojumi ir uzticami un tiek nodrošināta datu aizsardzība. Latvijas iedzīvotāji spēj identificēt neuzticamus pakalpojumus.”;</w:t>
            </w:r>
          </w:p>
          <w:p w14:paraId="045BCB30" w14:textId="77777777" w:rsidR="00A20859" w:rsidRPr="009841AB" w:rsidRDefault="00A20859" w:rsidP="00A20859">
            <w:pPr>
              <w:widowControl w:val="0"/>
              <w:jc w:val="both"/>
            </w:pP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08E9A2C" w14:textId="77777777" w:rsidR="00A20859" w:rsidRPr="009841AB" w:rsidRDefault="00A20859" w:rsidP="00A20859">
            <w:pPr>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09BD6A7F" w14:textId="77777777" w:rsidR="00A20859" w:rsidRPr="009841AB" w:rsidRDefault="00A20859" w:rsidP="00A20859">
            <w:r w:rsidRPr="009841AB">
              <w:t xml:space="preserve"> “Latvijas digitālajā telpā pieejamie pakalpojumi ir uzticami un tiek nodrošināta datu aizsardzība. Latvijas iedzīvotāji spēj identificēt neuzticamus pakalpojumus"</w:t>
            </w:r>
          </w:p>
        </w:tc>
      </w:tr>
      <w:tr w:rsidR="00A20859" w:rsidRPr="009841AB" w14:paraId="653A98D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E2284D0" w14:textId="77777777" w:rsidR="00A20859" w:rsidRPr="009841AB" w:rsidRDefault="00A20859" w:rsidP="00A20859">
            <w:pPr>
              <w:pStyle w:val="naisc"/>
              <w:spacing w:before="0" w:after="0"/>
            </w:pPr>
            <w:r w:rsidRPr="009841AB">
              <w:t>1</w:t>
            </w:r>
            <w:r w:rsidR="009140D8">
              <w:t>38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D4DE8C4" w14:textId="77777777" w:rsidR="00A20859" w:rsidRPr="009841AB" w:rsidRDefault="00A20859" w:rsidP="00A20859">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0E792CD" w14:textId="77777777" w:rsidR="00A20859" w:rsidRPr="009841AB" w:rsidRDefault="00A20859" w:rsidP="00A20859">
            <w:pPr>
              <w:widowControl w:val="0"/>
              <w:jc w:val="both"/>
            </w:pPr>
            <w:r w:rsidRPr="009841AB">
              <w:t>2.</w:t>
            </w:r>
            <w:r w:rsidRPr="009841AB">
              <w:tab/>
              <w:t>46. lpp. nodaļa “4.2. Attīstības virziens „Digitālā drošība un uzticamība”” RR4.2.-1-1. Nepieciešams precizēt, kas tiek saprasts ar terminu “nozīmīgas valsts informācijas sistēmas un platformas”;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EF79605" w14:textId="77777777" w:rsidR="00A20859" w:rsidRPr="009841AB" w:rsidRDefault="00A20859" w:rsidP="00A20859">
            <w:pPr>
              <w:pStyle w:val="naisc"/>
              <w:spacing w:before="0" w:after="0"/>
              <w:jc w:val="left"/>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4B430599" w14:textId="77777777" w:rsidR="00A20859" w:rsidRPr="009841AB" w:rsidRDefault="00662A21" w:rsidP="00A20859">
            <w:r w:rsidRPr="009841AB">
              <w:t>“</w:t>
            </w:r>
            <w:r w:rsidR="00A20859" w:rsidRPr="009841AB">
              <w:t>Valsts informācijas sistēmas un platformas, kas ir droši rezervētas un attālināti atjaunojamas (</w:t>
            </w:r>
            <w:proofErr w:type="spellStart"/>
            <w:r w:rsidR="00A20859" w:rsidRPr="009841AB">
              <w:t>atjaunojamība</w:t>
            </w:r>
            <w:proofErr w:type="spellEnd"/>
            <w:r w:rsidR="00A20859" w:rsidRPr="009841AB">
              <w:t xml:space="preserve"> testēta)"</w:t>
            </w:r>
          </w:p>
        </w:tc>
      </w:tr>
      <w:tr w:rsidR="00662A21" w:rsidRPr="009841AB" w14:paraId="2988FF8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4077822" w14:textId="77777777" w:rsidR="00662A21" w:rsidRPr="009841AB" w:rsidRDefault="00662A21" w:rsidP="00662A21">
            <w:pPr>
              <w:pStyle w:val="naisc"/>
              <w:spacing w:before="0" w:after="0"/>
            </w:pPr>
            <w:r w:rsidRPr="009841AB">
              <w:t>1</w:t>
            </w:r>
            <w:r w:rsidR="009140D8">
              <w:t>39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D987103"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C3476ED" w14:textId="77777777" w:rsidR="00662A21" w:rsidRPr="009841AB" w:rsidRDefault="00662A21" w:rsidP="00662A21">
            <w:pPr>
              <w:widowControl w:val="0"/>
              <w:jc w:val="both"/>
            </w:pPr>
            <w:r w:rsidRPr="009841AB">
              <w:t>3.</w:t>
            </w:r>
            <w:r w:rsidRPr="009841AB">
              <w:tab/>
              <w:t>46. lpp. nodaļa “4.2. Attīstības virziens „Digitālā drošība un uzticamība”” RR4.2.-1-1. Pieredze liecina, ka ne vienmēr ir iespējams nodrošināt sistēmu un platformu attālinātu atjaunošanu, taču uz to var tiekties. Ņemot to vērā, lūdzu svītrot RR4.2.-1-1 nosaukumā vārdu “attālināti”;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3C33F3B" w14:textId="77777777" w:rsidR="00662A21" w:rsidRPr="009841AB" w:rsidRDefault="00662A21" w:rsidP="00662A21">
            <w:pPr>
              <w:pStyle w:val="naisc"/>
              <w:spacing w:before="0" w:after="0"/>
              <w:jc w:val="left"/>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545DB22B" w14:textId="77777777" w:rsidR="00662A21" w:rsidRPr="009841AB" w:rsidRDefault="00662A21" w:rsidP="00662A21">
            <w:r w:rsidRPr="009841AB">
              <w:t>“Valsts informācijas sistēmas un platformas, kas ir droši rezervētas un attālināti atjaunojamas (</w:t>
            </w:r>
            <w:proofErr w:type="spellStart"/>
            <w:r w:rsidRPr="009841AB">
              <w:t>atjaunojamība</w:t>
            </w:r>
            <w:proofErr w:type="spellEnd"/>
            <w:r w:rsidRPr="009841AB">
              <w:t xml:space="preserve"> testēta)"</w:t>
            </w:r>
          </w:p>
        </w:tc>
      </w:tr>
      <w:tr w:rsidR="00662A21" w:rsidRPr="009841AB" w14:paraId="7CCD757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7BEB037" w14:textId="77777777" w:rsidR="00662A21" w:rsidRPr="009841AB" w:rsidRDefault="00662A21" w:rsidP="00662A21">
            <w:pPr>
              <w:pStyle w:val="naisc"/>
              <w:spacing w:before="0" w:after="0"/>
            </w:pPr>
            <w:r w:rsidRPr="009841AB">
              <w:t>1</w:t>
            </w:r>
            <w:r w:rsidR="009140D8">
              <w:t>40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97AD1DF"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7D23214" w14:textId="77777777" w:rsidR="00662A21" w:rsidRPr="009841AB" w:rsidRDefault="00662A21" w:rsidP="00662A21">
            <w:pPr>
              <w:widowControl w:val="0"/>
              <w:jc w:val="both"/>
            </w:pPr>
            <w:r w:rsidRPr="009841AB">
              <w:t>4.</w:t>
            </w:r>
            <w:r w:rsidRPr="009841AB">
              <w:tab/>
              <w:t>46. lpp. nodaļa “4.2. Attīstības virziens „Digitālā drošība un uzticamība’”” RR4.2.-1-1. Norādīto informācijas avotu lūdzu papildināt ar tekstu šādā redakcijā: “... tehnoloģisko resursu pārziņu apliecinājumi, ka ir veiksmīgi veikta sistēmu un platformu atjaunošanas pārbaude". Svarīgi ir gūt pārliecību, ka patiešām ir iespējams atjaunot sistēmu darbību, nevis apstiprinājumu, ka teorētiski to var izdarīt;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5D7E97B" w14:textId="77777777" w:rsidR="00662A21" w:rsidRPr="009841AB" w:rsidRDefault="00662A21" w:rsidP="00662A21">
            <w:pPr>
              <w:pStyle w:val="naisc"/>
              <w:spacing w:before="0" w:after="0"/>
              <w:jc w:val="left"/>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1724E0B6" w14:textId="77777777" w:rsidR="00662A21" w:rsidRPr="009841AB" w:rsidRDefault="00662A21" w:rsidP="00662A21">
            <w:r w:rsidRPr="009841AB">
              <w:t>“Valsts informācijas sistēmas un platformas, kas ir droši rezervētas un attālināti atjaunojamas (</w:t>
            </w:r>
            <w:proofErr w:type="spellStart"/>
            <w:r w:rsidRPr="009841AB">
              <w:t>atjaunojamība</w:t>
            </w:r>
            <w:proofErr w:type="spellEnd"/>
            <w:r w:rsidRPr="009841AB">
              <w:t xml:space="preserve"> testēta)"</w:t>
            </w:r>
          </w:p>
        </w:tc>
      </w:tr>
      <w:tr w:rsidR="00662A21" w:rsidRPr="009841AB" w14:paraId="39A2CA4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1203DC7" w14:textId="77777777" w:rsidR="00662A21" w:rsidRPr="009841AB" w:rsidRDefault="00662A21" w:rsidP="00662A21">
            <w:pPr>
              <w:pStyle w:val="naisc"/>
              <w:spacing w:before="0" w:after="0"/>
            </w:pPr>
            <w:r w:rsidRPr="009841AB">
              <w:t>1</w:t>
            </w:r>
            <w:r w:rsidR="009140D8">
              <w:t>41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CEEFCB1"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76106D0" w14:textId="77777777" w:rsidR="00662A21" w:rsidRPr="009841AB" w:rsidRDefault="00662A21" w:rsidP="00662A21">
            <w:pPr>
              <w:widowControl w:val="0"/>
              <w:jc w:val="both"/>
            </w:pPr>
            <w:r w:rsidRPr="009841AB">
              <w:t>5.</w:t>
            </w:r>
            <w:r w:rsidRPr="009841AB">
              <w:tab/>
              <w:t>47. lpp. nodaļa “4.2. Attīstības virziens „Digitālā drošība un uzticamība”” RR4.2.-2-1. Lūdzam izvērtēt šīs metrikas izmantošanu, jo augot sabiedrības informētībai, iespējams, aug izpratne par to, kas ir IT drošības incidents, līdz ar to, pieaugoša statistika varētu būt vērtējams arī kā pozitīvs rādītājs;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04F44C9" w14:textId="77777777" w:rsidR="00662A21" w:rsidRPr="009841AB" w:rsidRDefault="00662A21" w:rsidP="00662A21">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5C0EAA29" w14:textId="77777777" w:rsidR="00662A21" w:rsidRPr="009841AB" w:rsidRDefault="00315D7C" w:rsidP="00662A21">
            <w:r w:rsidRPr="009841AB">
              <w:t>Lūdzam skatīt r</w:t>
            </w:r>
            <w:r w:rsidR="00662A21" w:rsidRPr="009841AB">
              <w:t>ādītāj</w:t>
            </w:r>
            <w:r w:rsidRPr="009841AB">
              <w:t>u</w:t>
            </w:r>
            <w:r w:rsidR="00662A21" w:rsidRPr="009841AB">
              <w:t xml:space="preserve"> RR4.2.-2-1 </w:t>
            </w:r>
          </w:p>
        </w:tc>
      </w:tr>
      <w:tr w:rsidR="00662A21" w:rsidRPr="009841AB" w14:paraId="07D71A4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535CD8C" w14:textId="77777777" w:rsidR="00662A21" w:rsidRPr="009841AB" w:rsidRDefault="00662A21" w:rsidP="00662A21">
            <w:pPr>
              <w:pStyle w:val="naisc"/>
              <w:spacing w:before="0" w:after="0"/>
            </w:pPr>
            <w:r w:rsidRPr="009841AB">
              <w:lastRenderedPageBreak/>
              <w:t>1</w:t>
            </w:r>
            <w:r w:rsidR="009140D8">
              <w:t>42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C1B3498"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ABDA905" w14:textId="77777777" w:rsidR="00662A21" w:rsidRPr="009841AB" w:rsidRDefault="00662A21" w:rsidP="00662A21">
            <w:pPr>
              <w:widowControl w:val="0"/>
              <w:jc w:val="both"/>
              <w:rPr>
                <w:highlight w:val="cyan"/>
              </w:rPr>
            </w:pPr>
            <w:r w:rsidRPr="009841AB">
              <w:t>6.</w:t>
            </w:r>
            <w:r w:rsidRPr="009841AB">
              <w:tab/>
              <w:t>47. lpp. nodaļa “4.2. Attīstības virziens „Digitālā drošība un uzticamība”” RR4.2.-2-2. Līdzīgi kā attiecībā uz RR4.2.-2-1 vēršam uzmanību, ka, ja būs arvien vairāk izglītotu lietotāju, tad visticamāk, ka bažas nemazināsies;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64D9142" w14:textId="77777777" w:rsidR="00B40475" w:rsidRPr="00F56B1C" w:rsidRDefault="00B40475" w:rsidP="00B40475">
            <w:pPr>
              <w:pStyle w:val="naisc"/>
              <w:jc w:val="both"/>
              <w:rPr>
                <w:b/>
                <w:bCs/>
              </w:rPr>
            </w:pPr>
            <w:r>
              <w:rPr>
                <w:b/>
                <w:bCs/>
              </w:rPr>
              <w:t>Panākta vienošanās</w:t>
            </w:r>
          </w:p>
          <w:p w14:paraId="6518840A" w14:textId="77777777" w:rsidR="00662A21" w:rsidRPr="009841AB" w:rsidRDefault="00662A21" w:rsidP="00662A21">
            <w:pPr>
              <w:pStyle w:val="naisc"/>
              <w:spacing w:before="0" w:after="0"/>
              <w:jc w:val="both"/>
              <w:rPr>
                <w:bCs/>
              </w:rPr>
            </w:pPr>
            <w:r w:rsidRPr="009841AB">
              <w:rPr>
                <w:bCs/>
              </w:rPr>
              <w:t xml:space="preserve">Izprotot iebildumā paustās bažas, VARAM piedāvā saglabāt ar citām ES dalībvalstīm salīdzināmo EUROSTAT metriku, izsakot pieņēmumu, ka Latvijas sabiedrība jau ir izgājusi "neinformētās bezrūpības" fāzi attiecībā uz </w:t>
            </w:r>
            <w:proofErr w:type="spellStart"/>
            <w:r w:rsidRPr="009841AB">
              <w:rPr>
                <w:bCs/>
              </w:rPr>
              <w:t>kiberdrošības</w:t>
            </w:r>
            <w:proofErr w:type="spellEnd"/>
            <w:r w:rsidRPr="009841AB">
              <w:rPr>
                <w:bCs/>
              </w:rPr>
              <w:t xml:space="preserve"> draudiem un turpmāk var prognozēt šī rādītāja dinamiku atbilstoši digitāli attīstītāko ES dalībvalstu tendencēm.</w:t>
            </w:r>
          </w:p>
        </w:tc>
        <w:tc>
          <w:tcPr>
            <w:tcW w:w="3497" w:type="dxa"/>
            <w:tcBorders>
              <w:top w:val="single" w:sz="4" w:space="0" w:color="auto"/>
              <w:left w:val="single" w:sz="4" w:space="0" w:color="auto"/>
              <w:bottom w:val="single" w:sz="4" w:space="0" w:color="auto"/>
            </w:tcBorders>
            <w:shd w:val="clear" w:color="auto" w:fill="auto"/>
          </w:tcPr>
          <w:p w14:paraId="788E581C" w14:textId="77777777" w:rsidR="00662A21" w:rsidRPr="009841AB" w:rsidRDefault="00662A21" w:rsidP="00662A21"/>
        </w:tc>
      </w:tr>
      <w:tr w:rsidR="00662A21" w:rsidRPr="009841AB" w14:paraId="67B6CA6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217725A" w14:textId="77777777" w:rsidR="00662A21" w:rsidRPr="009841AB" w:rsidRDefault="00662A21" w:rsidP="00662A21">
            <w:pPr>
              <w:pStyle w:val="naisc"/>
              <w:spacing w:before="0" w:after="0"/>
            </w:pPr>
            <w:r w:rsidRPr="009841AB">
              <w:t>1</w:t>
            </w:r>
            <w:r w:rsidR="00EB37B4">
              <w:t>43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88AC3C2"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E84B3E1" w14:textId="77777777" w:rsidR="00662A21" w:rsidRPr="009841AB" w:rsidRDefault="00662A21" w:rsidP="00662A21">
            <w:pPr>
              <w:widowControl w:val="0"/>
              <w:jc w:val="both"/>
            </w:pPr>
            <w:r w:rsidRPr="009841AB">
              <w:t>7.</w:t>
            </w:r>
            <w:r w:rsidRPr="009841AB">
              <w:tab/>
              <w:t xml:space="preserve">48. lpp. nodaļa “4.2.1. Rīcības virziens: Digitālās drošības politika”. Vīzijas pirmo teikumu izteikt šādā redakcijā: “Valsts pārvaldes un pašvaldību iestādēm un privātajam sektoram ir attīstīta noturība pret </w:t>
            </w:r>
            <w:proofErr w:type="spellStart"/>
            <w:r w:rsidRPr="009841AB">
              <w:t>kibervides</w:t>
            </w:r>
            <w:proofErr w:type="spellEnd"/>
            <w:r w:rsidRPr="009841AB">
              <w:t xml:space="preserve"> draudiem un tā tiek pastāvīgi pilnveidota reaģējot uz jauniem apdraudējumiem un tehnoloģiskajām iespējām.”;</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3F5A6BE" w14:textId="77777777" w:rsidR="00662A21" w:rsidRPr="00E56075" w:rsidRDefault="00662A21" w:rsidP="00662A21">
            <w:pPr>
              <w:pStyle w:val="naisc"/>
              <w:spacing w:before="0" w:after="0"/>
              <w:jc w:val="both"/>
              <w:rPr>
                <w:b/>
                <w:bCs/>
              </w:rPr>
            </w:pPr>
            <w:r w:rsidRPr="00E56075">
              <w:rPr>
                <w:b/>
                <w:bCs/>
                <w:color w:val="000000"/>
              </w:rPr>
              <w:t xml:space="preserve">Ņemts vērā </w:t>
            </w:r>
          </w:p>
        </w:tc>
        <w:tc>
          <w:tcPr>
            <w:tcW w:w="3497" w:type="dxa"/>
            <w:tcBorders>
              <w:top w:val="single" w:sz="4" w:space="0" w:color="auto"/>
              <w:left w:val="nil"/>
              <w:bottom w:val="single" w:sz="4" w:space="0" w:color="auto"/>
              <w:right w:val="single" w:sz="4" w:space="0" w:color="auto"/>
            </w:tcBorders>
            <w:shd w:val="clear" w:color="auto" w:fill="auto"/>
          </w:tcPr>
          <w:p w14:paraId="020A7F00" w14:textId="77777777" w:rsidR="00662A21" w:rsidRPr="009841AB" w:rsidRDefault="00662A21" w:rsidP="00662A21">
            <w:r w:rsidRPr="009841AB">
              <w:rPr>
                <w:color w:val="000000"/>
              </w:rPr>
              <w:t xml:space="preserve">"Valsts pārvaldes iestādēm un privātajam sektoram ir attīstīta noturība pret </w:t>
            </w:r>
            <w:proofErr w:type="spellStart"/>
            <w:r w:rsidRPr="009841AB">
              <w:rPr>
                <w:color w:val="000000"/>
              </w:rPr>
              <w:t>kibervides</w:t>
            </w:r>
            <w:proofErr w:type="spellEnd"/>
            <w:r w:rsidRPr="009841AB">
              <w:rPr>
                <w:color w:val="000000"/>
              </w:rPr>
              <w:t xml:space="preserve"> draudiem un tā tiek pastāvīgi pilnveidota reaģējot uz jauniem apdraudējumiem un tehnoloģiskajām iespējām."</w:t>
            </w:r>
          </w:p>
        </w:tc>
      </w:tr>
      <w:tr w:rsidR="00662A21" w:rsidRPr="009841AB" w14:paraId="2CE5E713"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A800CD0" w14:textId="77777777" w:rsidR="00662A21" w:rsidRPr="009841AB" w:rsidRDefault="00662A21" w:rsidP="00662A21">
            <w:pPr>
              <w:pStyle w:val="naisc"/>
              <w:spacing w:before="0" w:after="0"/>
            </w:pPr>
            <w:r w:rsidRPr="009841AB">
              <w:t>1</w:t>
            </w:r>
            <w:r w:rsidR="00EB37B4">
              <w:t>44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D788345"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350C3A3" w14:textId="77777777" w:rsidR="00662A21" w:rsidRPr="009841AB" w:rsidRDefault="00662A21" w:rsidP="00662A21">
            <w:pPr>
              <w:widowControl w:val="0"/>
              <w:jc w:val="both"/>
            </w:pPr>
            <w:r w:rsidRPr="009841AB">
              <w:t>8.</w:t>
            </w:r>
            <w:r w:rsidRPr="009841AB">
              <w:tab/>
              <w:t xml:space="preserve">48. lpp. nodaļa “4.2.1. Rīcības virziens: Digitālās drošības politika”. Ņemot vērā, ka digitālās drošības jautājumi ir klātesoši visās jomās, šajā nodaļā ir nepieciešams katras nozares redzējums par drošības situāciju un tās attīstību līdz 2027. gadam. Šobrīd nodaļā ir aprakstīts kopējais ietvars, taču trūkst nozaru redzējums par digitālās drošības jautājumiem. </w:t>
            </w:r>
            <w:r w:rsidRPr="009841AB">
              <w:lastRenderedPageBreak/>
              <w:t>Iepriekšminētā rezultātā rīcības virziena vīzija netiek pilnvērtīgi attīstīta esošās situācijas aprakstā, sagaidāmajos rezultātos un uzdevumos;</w:t>
            </w:r>
          </w:p>
        </w:tc>
        <w:tc>
          <w:tcPr>
            <w:tcW w:w="2480" w:type="dxa"/>
            <w:tcBorders>
              <w:top w:val="nil"/>
              <w:left w:val="single" w:sz="4" w:space="0" w:color="auto"/>
              <w:bottom w:val="single" w:sz="4" w:space="0" w:color="auto"/>
              <w:right w:val="single" w:sz="4" w:space="0" w:color="auto"/>
            </w:tcBorders>
            <w:shd w:val="clear" w:color="auto" w:fill="auto"/>
          </w:tcPr>
          <w:p w14:paraId="6C6E0853" w14:textId="77777777" w:rsidR="007E36B3" w:rsidRPr="009841AB" w:rsidRDefault="00662A21" w:rsidP="00662A21">
            <w:pPr>
              <w:pStyle w:val="naisc"/>
              <w:spacing w:before="0" w:after="0"/>
              <w:jc w:val="both"/>
              <w:rPr>
                <w:b/>
                <w:bCs/>
                <w:color w:val="000000"/>
              </w:rPr>
            </w:pPr>
            <w:r w:rsidRPr="009841AB">
              <w:rPr>
                <w:b/>
                <w:bCs/>
                <w:color w:val="000000"/>
              </w:rPr>
              <w:lastRenderedPageBreak/>
              <w:t>Ņemts vērā</w:t>
            </w:r>
          </w:p>
          <w:p w14:paraId="54423643" w14:textId="77777777" w:rsidR="007E36B3" w:rsidRPr="009841AB" w:rsidRDefault="007E36B3" w:rsidP="00662A21">
            <w:pPr>
              <w:pStyle w:val="naisc"/>
              <w:spacing w:before="0" w:after="0"/>
              <w:jc w:val="both"/>
            </w:pPr>
            <w:r w:rsidRPr="009841AB">
              <w:rPr>
                <w:color w:val="000000"/>
              </w:rPr>
              <w:t xml:space="preserve">Visu nozaru iesaiste ir uzsvērta pārformulējot sadaļas 4.2.1. uzdevumu - tajā tieši norādot nepieciešamību pēc </w:t>
            </w:r>
            <w:r w:rsidRPr="009841AB">
              <w:rPr>
                <w:color w:val="000000"/>
              </w:rPr>
              <w:lastRenderedPageBreak/>
              <w:t>visu nozaru iesaistes digitālās drošības plānošanā.</w:t>
            </w:r>
          </w:p>
        </w:tc>
        <w:tc>
          <w:tcPr>
            <w:tcW w:w="3497" w:type="dxa"/>
            <w:tcBorders>
              <w:top w:val="nil"/>
              <w:left w:val="nil"/>
              <w:bottom w:val="single" w:sz="4" w:space="0" w:color="auto"/>
              <w:right w:val="single" w:sz="4" w:space="0" w:color="auto"/>
            </w:tcBorders>
            <w:shd w:val="clear" w:color="auto" w:fill="auto"/>
          </w:tcPr>
          <w:p w14:paraId="0B288794" w14:textId="77777777" w:rsidR="00662A21" w:rsidRPr="009841AB" w:rsidRDefault="007E36B3" w:rsidP="00662A21">
            <w:r w:rsidRPr="009841AB">
              <w:rPr>
                <w:color w:val="000000"/>
              </w:rPr>
              <w:lastRenderedPageBreak/>
              <w:t xml:space="preserve">Lūdzam skatīt </w:t>
            </w:r>
            <w:proofErr w:type="spellStart"/>
            <w:r w:rsidRPr="009841AB">
              <w:rPr>
                <w:color w:val="000000"/>
              </w:rPr>
              <w:t>apakšsadaļu</w:t>
            </w:r>
            <w:proofErr w:type="spellEnd"/>
            <w:r w:rsidR="00662A21" w:rsidRPr="009841AB">
              <w:rPr>
                <w:color w:val="000000"/>
              </w:rPr>
              <w:t xml:space="preserve"> 4.2.1. </w:t>
            </w:r>
          </w:p>
        </w:tc>
      </w:tr>
      <w:tr w:rsidR="00662A21" w:rsidRPr="009841AB" w14:paraId="4E7CF4A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ADE811F" w14:textId="77777777" w:rsidR="00662A21" w:rsidRPr="009841AB" w:rsidRDefault="00662A21" w:rsidP="00662A21">
            <w:pPr>
              <w:pStyle w:val="naisc"/>
              <w:spacing w:before="0" w:after="0"/>
            </w:pPr>
            <w:r w:rsidRPr="009841AB">
              <w:t>1</w:t>
            </w:r>
            <w:r w:rsidR="00EB37B4">
              <w:t>45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50C451A"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2C3AAD3" w14:textId="77777777" w:rsidR="00662A21" w:rsidRPr="009841AB" w:rsidRDefault="00662A21" w:rsidP="00662A21">
            <w:pPr>
              <w:widowControl w:val="0"/>
              <w:jc w:val="both"/>
            </w:pPr>
            <w:r w:rsidRPr="009841AB">
              <w:t>9.</w:t>
            </w:r>
            <w:r w:rsidRPr="009841AB">
              <w:tab/>
              <w:t>48. lpp. nodaļa “4.2.1. Rīcības virziens: Digitālās drošības politika”. Lūdzam skaidrāk definēt rīcības nolūka 2. punktu, proti, ka konkrētie risinājumi tiks ieviesti vai, ka tiks strādāts konkrētajā virzienā;</w:t>
            </w:r>
          </w:p>
        </w:tc>
        <w:tc>
          <w:tcPr>
            <w:tcW w:w="2480" w:type="dxa"/>
            <w:tcBorders>
              <w:top w:val="nil"/>
              <w:left w:val="single" w:sz="4" w:space="0" w:color="auto"/>
              <w:bottom w:val="single" w:sz="4" w:space="0" w:color="auto"/>
              <w:right w:val="single" w:sz="4" w:space="0" w:color="auto"/>
            </w:tcBorders>
            <w:shd w:val="clear" w:color="auto" w:fill="auto"/>
          </w:tcPr>
          <w:p w14:paraId="777D12DA" w14:textId="77777777" w:rsidR="00E44604" w:rsidRPr="00D264F6" w:rsidRDefault="00662A21" w:rsidP="00662A21">
            <w:pPr>
              <w:pStyle w:val="naisc"/>
              <w:spacing w:before="0" w:after="0"/>
              <w:jc w:val="both"/>
              <w:rPr>
                <w:b/>
                <w:bCs/>
                <w:color w:val="000000"/>
              </w:rPr>
            </w:pPr>
            <w:r w:rsidRPr="009841AB">
              <w:rPr>
                <w:b/>
                <w:bCs/>
                <w:color w:val="000000"/>
              </w:rPr>
              <w:t>Ņemts vērā</w:t>
            </w:r>
          </w:p>
          <w:p w14:paraId="144929DD" w14:textId="77777777" w:rsidR="00E44604" w:rsidRPr="009841AB" w:rsidRDefault="00E44604" w:rsidP="00662A21">
            <w:pPr>
              <w:pStyle w:val="naisc"/>
              <w:spacing w:before="0" w:after="0"/>
              <w:jc w:val="both"/>
            </w:pPr>
            <w:r w:rsidRPr="009841AB">
              <w:rPr>
                <w:color w:val="000000"/>
              </w:rPr>
              <w:t>Tieša norāde par to, ka pamatnostādnes tikai definē virzienus, kas tālāk tiks izvērsti nozaru plānošanas dokumentos un konkrēti arī "</w:t>
            </w:r>
            <w:proofErr w:type="spellStart"/>
            <w:r w:rsidRPr="009841AB">
              <w:rPr>
                <w:color w:val="000000"/>
              </w:rPr>
              <w:t>Kiberdrošības</w:t>
            </w:r>
            <w:proofErr w:type="spellEnd"/>
            <w:r w:rsidRPr="009841AB">
              <w:rPr>
                <w:color w:val="000000"/>
              </w:rPr>
              <w:t xml:space="preserve"> stratēģijā" tiek dota sadaļas 4.2.1. uzdevuma formulējumā</w:t>
            </w:r>
          </w:p>
        </w:tc>
        <w:tc>
          <w:tcPr>
            <w:tcW w:w="3497" w:type="dxa"/>
            <w:tcBorders>
              <w:top w:val="nil"/>
              <w:left w:val="nil"/>
              <w:bottom w:val="single" w:sz="4" w:space="0" w:color="auto"/>
              <w:right w:val="single" w:sz="4" w:space="0" w:color="auto"/>
            </w:tcBorders>
            <w:shd w:val="clear" w:color="auto" w:fill="auto"/>
          </w:tcPr>
          <w:p w14:paraId="55D7AFB7" w14:textId="77777777" w:rsidR="00662A21" w:rsidRPr="009841AB" w:rsidRDefault="00E44604" w:rsidP="00662A21">
            <w:r w:rsidRPr="009841AB">
              <w:rPr>
                <w:color w:val="000000"/>
              </w:rPr>
              <w:t>Lūdzam skatīt</w:t>
            </w:r>
            <w:r w:rsidR="00662A21" w:rsidRPr="009841AB">
              <w:rPr>
                <w:color w:val="000000"/>
              </w:rPr>
              <w:t xml:space="preserve"> </w:t>
            </w:r>
            <w:proofErr w:type="spellStart"/>
            <w:r w:rsidRPr="009841AB">
              <w:rPr>
                <w:color w:val="000000"/>
              </w:rPr>
              <w:t>apakšsadaļu</w:t>
            </w:r>
            <w:proofErr w:type="spellEnd"/>
            <w:r w:rsidRPr="009841AB">
              <w:rPr>
                <w:color w:val="000000"/>
              </w:rPr>
              <w:t xml:space="preserve"> </w:t>
            </w:r>
            <w:r w:rsidR="00662A21" w:rsidRPr="009841AB">
              <w:rPr>
                <w:color w:val="000000"/>
              </w:rPr>
              <w:t xml:space="preserve">4.2.1. </w:t>
            </w:r>
          </w:p>
        </w:tc>
      </w:tr>
      <w:tr w:rsidR="00662A21" w:rsidRPr="009841AB" w14:paraId="02C6D9A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AC32142" w14:textId="77777777" w:rsidR="00662A21" w:rsidRPr="009841AB" w:rsidRDefault="00662A21" w:rsidP="00662A21">
            <w:pPr>
              <w:pStyle w:val="naisc"/>
              <w:spacing w:before="0" w:after="0"/>
            </w:pPr>
            <w:r w:rsidRPr="009841AB">
              <w:t>1</w:t>
            </w:r>
            <w:r w:rsidR="00EB37B4">
              <w:t>46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ADFB25A"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2C9E437" w14:textId="77777777" w:rsidR="00662A21" w:rsidRPr="009841AB" w:rsidRDefault="00662A21" w:rsidP="00662A21">
            <w:pPr>
              <w:widowControl w:val="0"/>
              <w:jc w:val="both"/>
            </w:pPr>
            <w:r w:rsidRPr="009841AB">
              <w:t>10.</w:t>
            </w:r>
            <w:r w:rsidRPr="009841AB">
              <w:tab/>
              <w:t>48.-51. lpp. nodaļa “4.2.1. Rīcības virziens: Digitālās drošības politika”. Esošās situācijas aprakstā un nepieciešamās rīcības aprakstā, lūdzu precizēt izmantotās terminoloģijas “</w:t>
            </w:r>
            <w:proofErr w:type="spellStart"/>
            <w:r w:rsidRPr="009841AB">
              <w:t>ultra</w:t>
            </w:r>
            <w:proofErr w:type="spellEnd"/>
            <w:r w:rsidRPr="009841AB">
              <w:t>-drošai”, “</w:t>
            </w:r>
            <w:proofErr w:type="spellStart"/>
            <w:r w:rsidRPr="009841AB">
              <w:t>ultra</w:t>
            </w:r>
            <w:proofErr w:type="spellEnd"/>
            <w:r w:rsidRPr="009841AB">
              <w:t>-jaudīgai” lietojumu. AM ieskatā pietiekoši būtu lietot vārdus “drošai”, “jaudīgai”;</w:t>
            </w:r>
          </w:p>
        </w:tc>
        <w:tc>
          <w:tcPr>
            <w:tcW w:w="2480" w:type="dxa"/>
            <w:tcBorders>
              <w:top w:val="nil"/>
              <w:left w:val="single" w:sz="4" w:space="0" w:color="auto"/>
              <w:bottom w:val="single" w:sz="4" w:space="0" w:color="auto"/>
              <w:right w:val="single" w:sz="4" w:space="0" w:color="auto"/>
            </w:tcBorders>
            <w:shd w:val="clear" w:color="auto" w:fill="auto"/>
          </w:tcPr>
          <w:p w14:paraId="6644CA53" w14:textId="77777777" w:rsidR="00662A21" w:rsidRPr="009841AB" w:rsidRDefault="00662A21" w:rsidP="00662A21">
            <w:pPr>
              <w:pStyle w:val="naisc"/>
              <w:spacing w:before="0" w:after="0"/>
              <w:jc w:val="both"/>
              <w:rPr>
                <w:b/>
                <w:bCs/>
              </w:rPr>
            </w:pPr>
            <w:r w:rsidRPr="009841AB">
              <w:rPr>
                <w:b/>
                <w:bCs/>
                <w:color w:val="000000"/>
              </w:rPr>
              <w:t>Ņemts vērā</w:t>
            </w:r>
          </w:p>
        </w:tc>
        <w:tc>
          <w:tcPr>
            <w:tcW w:w="3497" w:type="dxa"/>
            <w:tcBorders>
              <w:top w:val="nil"/>
              <w:left w:val="nil"/>
              <w:bottom w:val="single" w:sz="4" w:space="0" w:color="auto"/>
              <w:right w:val="single" w:sz="4" w:space="0" w:color="auto"/>
            </w:tcBorders>
            <w:shd w:val="clear" w:color="auto" w:fill="auto"/>
          </w:tcPr>
          <w:p w14:paraId="7812C2C4" w14:textId="77777777" w:rsidR="00662A21" w:rsidRPr="009841AB" w:rsidRDefault="00665437"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w:t>
            </w:r>
            <w:r w:rsidR="00662A21" w:rsidRPr="009841AB">
              <w:rPr>
                <w:color w:val="000000"/>
              </w:rPr>
              <w:t xml:space="preserve">4.2.1. </w:t>
            </w:r>
          </w:p>
        </w:tc>
      </w:tr>
      <w:tr w:rsidR="00662A21" w:rsidRPr="009841AB" w14:paraId="1791E84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197DC38" w14:textId="77777777" w:rsidR="00662A21" w:rsidRPr="009841AB" w:rsidRDefault="00662A21" w:rsidP="00662A21">
            <w:pPr>
              <w:pStyle w:val="naisc"/>
              <w:spacing w:before="0" w:after="0"/>
            </w:pPr>
            <w:r w:rsidRPr="009841AB">
              <w:t>1</w:t>
            </w:r>
            <w:r w:rsidR="00EB37B4">
              <w:t>47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9E804F2"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5129606" w14:textId="77777777" w:rsidR="00662A21" w:rsidRPr="009841AB" w:rsidRDefault="00662A21" w:rsidP="00662A21">
            <w:pPr>
              <w:widowControl w:val="0"/>
              <w:jc w:val="both"/>
            </w:pPr>
            <w:r w:rsidRPr="009841AB">
              <w:t>11.</w:t>
            </w:r>
            <w:r w:rsidRPr="009841AB">
              <w:tab/>
              <w:t>51. lpp. nodaļa “4.2.1. Rīcības virziens: Digitālās drošības politika”. Nepieciešamās rīcības apraksta 7. punktā vārdus “Esi Drošs” izteikt šādā redakcijā “Esi drošs”;</w:t>
            </w:r>
          </w:p>
        </w:tc>
        <w:tc>
          <w:tcPr>
            <w:tcW w:w="2480" w:type="dxa"/>
            <w:tcBorders>
              <w:top w:val="nil"/>
              <w:left w:val="single" w:sz="4" w:space="0" w:color="auto"/>
              <w:bottom w:val="single" w:sz="4" w:space="0" w:color="auto"/>
              <w:right w:val="single" w:sz="4" w:space="0" w:color="auto"/>
            </w:tcBorders>
            <w:shd w:val="clear" w:color="auto" w:fill="auto"/>
          </w:tcPr>
          <w:p w14:paraId="2512436A" w14:textId="77777777" w:rsidR="006879B9" w:rsidRPr="009841AB" w:rsidRDefault="00662A21" w:rsidP="00662A21">
            <w:pPr>
              <w:pStyle w:val="naisc"/>
              <w:spacing w:before="0" w:after="0"/>
              <w:jc w:val="both"/>
              <w:rPr>
                <w:b/>
                <w:bCs/>
                <w:color w:val="000000"/>
              </w:rPr>
            </w:pPr>
            <w:r w:rsidRPr="009841AB">
              <w:rPr>
                <w:b/>
                <w:bCs/>
                <w:color w:val="000000"/>
              </w:rPr>
              <w:t>Ņemts vērā</w:t>
            </w:r>
          </w:p>
          <w:p w14:paraId="48B10E2D" w14:textId="77777777" w:rsidR="006879B9" w:rsidRPr="009841AB" w:rsidRDefault="006879B9" w:rsidP="00662A21">
            <w:pPr>
              <w:pStyle w:val="naisc"/>
              <w:spacing w:before="0" w:after="0"/>
              <w:jc w:val="both"/>
              <w:rPr>
                <w:b/>
                <w:bCs/>
              </w:rPr>
            </w:pPr>
            <w:r w:rsidRPr="009841AB">
              <w:t xml:space="preserve">4.2.1. teksts atbilstoši labots. </w:t>
            </w:r>
            <w:proofErr w:type="spellStart"/>
            <w:r w:rsidRPr="009841AB">
              <w:t>Kokrēti</w:t>
            </w:r>
            <w:proofErr w:type="spellEnd"/>
            <w:r w:rsidRPr="009841AB">
              <w:t>: (piemēram, CERT.LV organizētie Esi drošs semināri un konference “</w:t>
            </w:r>
            <w:proofErr w:type="spellStart"/>
            <w:r w:rsidRPr="009841AB">
              <w:t>Kiberšahs</w:t>
            </w:r>
            <w:proofErr w:type="spellEnd"/>
            <w:r w:rsidRPr="009841AB">
              <w:t>”)</w:t>
            </w:r>
          </w:p>
        </w:tc>
        <w:tc>
          <w:tcPr>
            <w:tcW w:w="3497" w:type="dxa"/>
            <w:tcBorders>
              <w:top w:val="nil"/>
              <w:left w:val="nil"/>
              <w:bottom w:val="single" w:sz="4" w:space="0" w:color="auto"/>
              <w:right w:val="single" w:sz="4" w:space="0" w:color="auto"/>
            </w:tcBorders>
            <w:shd w:val="clear" w:color="auto" w:fill="auto"/>
          </w:tcPr>
          <w:p w14:paraId="4B79B7ED" w14:textId="77777777" w:rsidR="00662A21" w:rsidRPr="009841AB" w:rsidRDefault="006879B9" w:rsidP="00662A21">
            <w:r w:rsidRPr="009841AB">
              <w:rPr>
                <w:color w:val="000000"/>
              </w:rPr>
              <w:t xml:space="preserve"> Lūdzam skatīt </w:t>
            </w:r>
            <w:proofErr w:type="spellStart"/>
            <w:r w:rsidRPr="009841AB">
              <w:rPr>
                <w:color w:val="000000"/>
              </w:rPr>
              <w:t>apakšsadaļu</w:t>
            </w:r>
            <w:proofErr w:type="spellEnd"/>
            <w:r w:rsidRPr="009841AB">
              <w:rPr>
                <w:color w:val="000000"/>
              </w:rPr>
              <w:t xml:space="preserve"> 4.2.1.</w:t>
            </w:r>
          </w:p>
        </w:tc>
      </w:tr>
      <w:tr w:rsidR="00662A21" w:rsidRPr="009841AB" w14:paraId="4E696233"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3898659" w14:textId="77777777" w:rsidR="00662A21" w:rsidRPr="009841AB" w:rsidRDefault="00662A21" w:rsidP="00662A21">
            <w:pPr>
              <w:pStyle w:val="naisc"/>
              <w:spacing w:before="0" w:after="0"/>
            </w:pPr>
            <w:r w:rsidRPr="009841AB">
              <w:t>1</w:t>
            </w:r>
            <w:r w:rsidR="00EB37B4">
              <w:t>48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DF3DCE5"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F6E31DA" w14:textId="77777777" w:rsidR="00662A21" w:rsidRPr="009841AB" w:rsidRDefault="00662A21" w:rsidP="00662A21">
            <w:pPr>
              <w:widowControl w:val="0"/>
              <w:jc w:val="both"/>
            </w:pPr>
            <w:r w:rsidRPr="009841AB">
              <w:t>12.</w:t>
            </w:r>
            <w:r w:rsidRPr="009841AB">
              <w:tab/>
              <w:t xml:space="preserve">51. lpp. nodaļa “4.2.1. Rīcības virziens: Digitālās drošības politika”. Sagaidāmo rezultātu trešajā punktā lūdzu precizēt, kas ir "valsts pārvaldes skaitļošanas infrastruktūras koplietošanas pakalpojumu sniedzēji", tos nosaucot vai ieliekot atsauci uz resursu, kur atrast iepriekšminēto </w:t>
            </w:r>
            <w:r w:rsidRPr="009841AB">
              <w:lastRenderedPageBreak/>
              <w:t>pakalpojumu sniedzēju sarakstu;</w:t>
            </w:r>
          </w:p>
        </w:tc>
        <w:tc>
          <w:tcPr>
            <w:tcW w:w="2480" w:type="dxa"/>
            <w:tcBorders>
              <w:top w:val="nil"/>
              <w:left w:val="single" w:sz="4" w:space="0" w:color="auto"/>
              <w:bottom w:val="single" w:sz="4" w:space="0" w:color="auto"/>
              <w:right w:val="single" w:sz="4" w:space="0" w:color="auto"/>
            </w:tcBorders>
            <w:shd w:val="clear" w:color="auto" w:fill="auto"/>
          </w:tcPr>
          <w:p w14:paraId="717B7147" w14:textId="77777777" w:rsidR="00B87F58" w:rsidRPr="00D264F6" w:rsidRDefault="00662A21" w:rsidP="00662A21">
            <w:pPr>
              <w:pStyle w:val="naisc"/>
              <w:spacing w:before="0" w:after="0"/>
              <w:jc w:val="both"/>
              <w:rPr>
                <w:b/>
                <w:bCs/>
                <w:color w:val="000000"/>
              </w:rPr>
            </w:pPr>
            <w:r w:rsidRPr="009841AB">
              <w:rPr>
                <w:b/>
                <w:bCs/>
                <w:color w:val="000000"/>
              </w:rPr>
              <w:lastRenderedPageBreak/>
              <w:t>Ņemts vērā</w:t>
            </w:r>
          </w:p>
          <w:p w14:paraId="27B59F04" w14:textId="77777777" w:rsidR="00B87F58" w:rsidRPr="009841AB" w:rsidRDefault="00B87F58" w:rsidP="00662A21">
            <w:pPr>
              <w:pStyle w:val="naisc"/>
              <w:spacing w:before="0" w:after="0"/>
              <w:jc w:val="both"/>
            </w:pPr>
            <w:r w:rsidRPr="009841AB">
              <w:rPr>
                <w:color w:val="000000"/>
              </w:rPr>
              <w:t xml:space="preserve">4.2.1. tekstā iekļauta saite uz VARAM tīmekļa vietnes lapu, kur dots koplietošanas </w:t>
            </w:r>
            <w:r w:rsidRPr="009841AB">
              <w:rPr>
                <w:color w:val="000000"/>
              </w:rPr>
              <w:lastRenderedPageBreak/>
              <w:t>sniedzēju un to pakalpojumu saraksts.</w:t>
            </w:r>
          </w:p>
        </w:tc>
        <w:tc>
          <w:tcPr>
            <w:tcW w:w="3497" w:type="dxa"/>
            <w:tcBorders>
              <w:top w:val="nil"/>
              <w:left w:val="nil"/>
              <w:bottom w:val="single" w:sz="4" w:space="0" w:color="auto"/>
              <w:right w:val="single" w:sz="4" w:space="0" w:color="auto"/>
            </w:tcBorders>
            <w:shd w:val="clear" w:color="auto" w:fill="auto"/>
          </w:tcPr>
          <w:p w14:paraId="7DA2176B" w14:textId="77777777" w:rsidR="00662A21" w:rsidRPr="009841AB" w:rsidRDefault="00B87F58" w:rsidP="00662A21">
            <w:r w:rsidRPr="009841AB">
              <w:rPr>
                <w:color w:val="000000"/>
              </w:rPr>
              <w:lastRenderedPageBreak/>
              <w:t xml:space="preserve">Lūdzam skatīt </w:t>
            </w:r>
            <w:proofErr w:type="spellStart"/>
            <w:r w:rsidRPr="009841AB">
              <w:rPr>
                <w:color w:val="000000"/>
              </w:rPr>
              <w:t>apakšsadaļu</w:t>
            </w:r>
            <w:proofErr w:type="spellEnd"/>
            <w:r w:rsidRPr="009841AB">
              <w:rPr>
                <w:color w:val="000000"/>
              </w:rPr>
              <w:t xml:space="preserve"> 4.2.1.</w:t>
            </w:r>
          </w:p>
        </w:tc>
      </w:tr>
      <w:tr w:rsidR="00662A21" w:rsidRPr="009841AB" w14:paraId="115869F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BE921F5" w14:textId="77777777" w:rsidR="00662A21" w:rsidRPr="009841AB" w:rsidRDefault="00662A21" w:rsidP="00662A21">
            <w:pPr>
              <w:pStyle w:val="naisc"/>
              <w:spacing w:before="0" w:after="0"/>
            </w:pPr>
            <w:r w:rsidRPr="009841AB">
              <w:t>1</w:t>
            </w:r>
            <w:r w:rsidR="004C089C">
              <w:t>49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9C88F43"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E2D06B0" w14:textId="77777777" w:rsidR="00662A21" w:rsidRPr="009841AB" w:rsidRDefault="00662A21" w:rsidP="00662A21">
            <w:pPr>
              <w:widowControl w:val="0"/>
              <w:jc w:val="both"/>
            </w:pPr>
            <w:r w:rsidRPr="009841AB">
              <w:t>13.</w:t>
            </w:r>
            <w:r w:rsidRPr="009841AB">
              <w:tab/>
              <w:t xml:space="preserve">51. lpp. nodaļa “4.2.1. Rīcības virziens: Digitālās drošības politika”. Svītrot uzdevumu U4.2.1.-1, jo Informācijas tehnoloģiju drošības likuma 11. panta pirmā daļa nosaka, ka nacionālā </w:t>
            </w:r>
            <w:proofErr w:type="spellStart"/>
            <w:r w:rsidRPr="009841AB">
              <w:t>kiberdrošības</w:t>
            </w:r>
            <w:proofErr w:type="spellEnd"/>
            <w:r w:rsidRPr="009841AB">
              <w:t xml:space="preserve"> stratēģija nosaka </w:t>
            </w:r>
            <w:proofErr w:type="spellStart"/>
            <w:r w:rsidRPr="009841AB">
              <w:t>kiberdrošības</w:t>
            </w:r>
            <w:proofErr w:type="spellEnd"/>
            <w:r w:rsidRPr="009841AB">
              <w:t xml:space="preserve"> politikas veidošanas pamatprincipus, mērķi un stratēģiskās prioritātes, tostarp elektronisko sakaru tīklu un informācijas sistēmu drošības mērķus, politikas un regulatīvos pasākumus, lai panāktu un saglabātu elektronisko sakaru tīklu un informācijas sistēmu augstu drošības līmeni, kas attiecas uz pamatpakalpojuma sniedzējiem, pamatpakalpojumiem, digitālā pakalpojuma sniedzējiem un digitālajiem pakalpojumiem. Savukārt iepriekšminētā panta otrā daļa nosaka, ka nacionālās </w:t>
            </w:r>
            <w:proofErr w:type="spellStart"/>
            <w:r w:rsidRPr="009841AB">
              <w:t>kiberdrošības</w:t>
            </w:r>
            <w:proofErr w:type="spellEnd"/>
            <w:r w:rsidRPr="009841AB">
              <w:t xml:space="preserve"> stratēģijas izstrādi reizi četros gados nodrošina Aizsardzības ministrija. Ņemot vērā iepriekš minēto, U4.2.1.-1 uzdevums dublē Informācijas tehnoloģiju drošības likumā noteikto;</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0663F77" w14:textId="77777777" w:rsidR="00662A21" w:rsidRPr="009841AB" w:rsidRDefault="00662A21" w:rsidP="00662A21">
            <w:pPr>
              <w:pStyle w:val="naisc"/>
              <w:spacing w:before="0" w:after="0"/>
              <w:jc w:val="both"/>
              <w:rPr>
                <w:b/>
                <w:bCs/>
              </w:rPr>
            </w:pPr>
            <w:r w:rsidRPr="009841AB">
              <w:rPr>
                <w:b/>
                <w:bCs/>
                <w:color w:val="000000"/>
              </w:rPr>
              <w:t>Ņemts vērā</w:t>
            </w:r>
          </w:p>
        </w:tc>
        <w:tc>
          <w:tcPr>
            <w:tcW w:w="3497" w:type="dxa"/>
            <w:tcBorders>
              <w:top w:val="single" w:sz="4" w:space="0" w:color="auto"/>
              <w:left w:val="nil"/>
              <w:bottom w:val="single" w:sz="4" w:space="0" w:color="auto"/>
              <w:right w:val="single" w:sz="4" w:space="0" w:color="auto"/>
            </w:tcBorders>
            <w:shd w:val="clear" w:color="auto" w:fill="auto"/>
          </w:tcPr>
          <w:p w14:paraId="2D9D948B" w14:textId="77777777" w:rsidR="00662A21" w:rsidRPr="009841AB" w:rsidRDefault="009D2228"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4.2.1.</w:t>
            </w:r>
          </w:p>
        </w:tc>
      </w:tr>
      <w:tr w:rsidR="00662A21" w:rsidRPr="009841AB" w14:paraId="50D263D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7E52D67" w14:textId="77777777" w:rsidR="00662A21" w:rsidRPr="009841AB" w:rsidRDefault="00662A21" w:rsidP="00662A21">
            <w:pPr>
              <w:pStyle w:val="naisc"/>
              <w:spacing w:before="0" w:after="0"/>
            </w:pPr>
            <w:r w:rsidRPr="009841AB">
              <w:t>1</w:t>
            </w:r>
            <w:r w:rsidR="004C089C">
              <w:t>50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E0B7CA4"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9B99093" w14:textId="77777777" w:rsidR="00662A21" w:rsidRPr="009841AB" w:rsidRDefault="00662A21" w:rsidP="00662A21">
            <w:pPr>
              <w:widowControl w:val="0"/>
              <w:jc w:val="both"/>
            </w:pPr>
            <w:r w:rsidRPr="009841AB">
              <w:t>14.</w:t>
            </w:r>
            <w:r w:rsidRPr="009841AB">
              <w:tab/>
              <w:t xml:space="preserve">52. lpp. nodaļa “4.2.1. Rīcības virziens: Digitālās drošības politika”. Svītrot uzdevumu U4.2.1.-2, jo, pirmkārt, tas ir pretrunā ar Latvijas </w:t>
            </w:r>
            <w:proofErr w:type="spellStart"/>
            <w:r w:rsidRPr="009841AB">
              <w:t>kiberdrošības</w:t>
            </w:r>
            <w:proofErr w:type="spellEnd"/>
            <w:r w:rsidRPr="009841AB">
              <w:t xml:space="preserve"> stratēģijā noteikto, kur katram tajā iekļautajam uzdevumam ir noteikta par izpildi atbildīgā(-</w:t>
            </w:r>
            <w:proofErr w:type="spellStart"/>
            <w:r w:rsidRPr="009841AB">
              <w:t>ās</w:t>
            </w:r>
            <w:proofErr w:type="spellEnd"/>
            <w:r w:rsidRPr="009841AB">
              <w:t>) un līdzatbildīgā(-</w:t>
            </w:r>
            <w:proofErr w:type="spellStart"/>
            <w:r w:rsidRPr="009841AB">
              <w:t>ās</w:t>
            </w:r>
            <w:proofErr w:type="spellEnd"/>
            <w:r w:rsidRPr="009841AB">
              <w:t xml:space="preserve">) institūcijas.  Saskaņā ar Ministru kabineta 2003. gada 29. aprīļa noteikumiem Nr.236 “Aizsardzības ministrijas nolikums”, Aizsardzības ministrija koordinē informācijas tehnoloģiju drošības politikas veidošanu un īstenošanu, taču ne visi Latvijas </w:t>
            </w:r>
            <w:proofErr w:type="spellStart"/>
            <w:r w:rsidRPr="009841AB">
              <w:t>kiberdrošības</w:t>
            </w:r>
            <w:proofErr w:type="spellEnd"/>
            <w:r w:rsidRPr="009841AB">
              <w:t xml:space="preserve"> stratēģijā iekļautie uzdevumi ir Aizsardzības ministrijas kompetences jautājumi. Otrkārt, uzdevums U4.2.1.-2 pēc savas būtības dublē Latvijas </w:t>
            </w:r>
            <w:proofErr w:type="spellStart"/>
            <w:r w:rsidRPr="009841AB">
              <w:lastRenderedPageBreak/>
              <w:t>kiberdrošības</w:t>
            </w:r>
            <w:proofErr w:type="spellEnd"/>
            <w:r w:rsidRPr="009841AB">
              <w:t xml:space="preserve"> stratēģiju, kas apgrūtinās politikas plānošanas dokumentos iekļauto uzdevumu izpildes kontroli;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EEC0794" w14:textId="77777777" w:rsidR="00E335F7" w:rsidRPr="00D264F6" w:rsidRDefault="00662A21" w:rsidP="00662A21">
            <w:pPr>
              <w:pStyle w:val="naisc"/>
              <w:spacing w:before="0" w:after="0"/>
              <w:jc w:val="both"/>
              <w:rPr>
                <w:b/>
                <w:bCs/>
              </w:rPr>
            </w:pPr>
            <w:r w:rsidRPr="009841AB">
              <w:rPr>
                <w:b/>
                <w:bCs/>
              </w:rPr>
              <w:lastRenderedPageBreak/>
              <w:t>Ņemts vērā</w:t>
            </w:r>
          </w:p>
          <w:p w14:paraId="3FEBB11A" w14:textId="77777777" w:rsidR="00E335F7" w:rsidRPr="009841AB" w:rsidRDefault="00E335F7" w:rsidP="00E335F7">
            <w:r w:rsidRPr="009841AB">
              <w:t>Iepriekšējais uzdevuma formulējums svītrots</w:t>
            </w:r>
          </w:p>
          <w:p w14:paraId="4FF6017E" w14:textId="77777777" w:rsidR="00E335F7" w:rsidRPr="009841AB" w:rsidRDefault="00E335F7" w:rsidP="00662A21">
            <w:pPr>
              <w:pStyle w:val="naisc"/>
              <w:spacing w:before="0" w:after="0"/>
              <w:jc w:val="both"/>
            </w:pPr>
          </w:p>
        </w:tc>
        <w:tc>
          <w:tcPr>
            <w:tcW w:w="3497" w:type="dxa"/>
            <w:tcBorders>
              <w:top w:val="single" w:sz="4" w:space="0" w:color="auto"/>
              <w:left w:val="single" w:sz="4" w:space="0" w:color="auto"/>
              <w:bottom w:val="single" w:sz="4" w:space="0" w:color="auto"/>
            </w:tcBorders>
            <w:shd w:val="clear" w:color="auto" w:fill="auto"/>
          </w:tcPr>
          <w:p w14:paraId="2BA430D1" w14:textId="77777777" w:rsidR="00662A21" w:rsidRPr="009841AB" w:rsidRDefault="00E335F7"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4.2.1.</w:t>
            </w:r>
          </w:p>
          <w:p w14:paraId="54F186EF" w14:textId="77777777" w:rsidR="00662A21" w:rsidRPr="009841AB" w:rsidRDefault="00662A21" w:rsidP="00662A21">
            <w:pPr>
              <w:ind w:firstLine="720"/>
            </w:pPr>
          </w:p>
        </w:tc>
      </w:tr>
      <w:tr w:rsidR="00662A21" w:rsidRPr="009841AB" w14:paraId="23CDA7F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24C9029" w14:textId="77777777" w:rsidR="00662A21" w:rsidRPr="009841AB" w:rsidRDefault="00662A21" w:rsidP="00662A21">
            <w:pPr>
              <w:pStyle w:val="naisc"/>
              <w:spacing w:before="0" w:after="0"/>
            </w:pPr>
            <w:r w:rsidRPr="009841AB">
              <w:t>1</w:t>
            </w:r>
            <w:r w:rsidR="004C089C">
              <w:t>51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E434E0F"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7167522" w14:textId="77777777" w:rsidR="00662A21" w:rsidRPr="009841AB" w:rsidRDefault="00662A21" w:rsidP="00662A21">
            <w:pPr>
              <w:widowControl w:val="0"/>
              <w:jc w:val="both"/>
            </w:pPr>
            <w:r w:rsidRPr="009841AB">
              <w:t>15.</w:t>
            </w:r>
            <w:r w:rsidRPr="009841AB">
              <w:tab/>
              <w:t>53. lpp. nodaļa “4.2.2. Rīcības virziens: Elektroniskā identitāte un uzticamības pakalpojumi”. Rīcības nolūka pirmā punkta pirmajā teikumā aiz vārdiem “elektroniskās identifikācijas” papildināt ar vārdu “līdzekļus”;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3987177" w14:textId="77777777" w:rsidR="00662A21" w:rsidRPr="009841AB" w:rsidRDefault="00662A21" w:rsidP="00662A21">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3A45D373" w14:textId="77777777" w:rsidR="00662A21" w:rsidRPr="009841AB" w:rsidRDefault="00E335F7"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07E1A90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3B06EC4" w14:textId="77777777" w:rsidR="00662A21" w:rsidRPr="009841AB" w:rsidRDefault="00662A21" w:rsidP="00662A21">
            <w:pPr>
              <w:pStyle w:val="naisc"/>
              <w:spacing w:before="0" w:after="0"/>
            </w:pPr>
            <w:r w:rsidRPr="009841AB">
              <w:t>1</w:t>
            </w:r>
            <w:r w:rsidR="004C089C">
              <w:t>52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296211B"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480E2BA" w14:textId="77777777" w:rsidR="00662A21" w:rsidRPr="009841AB" w:rsidRDefault="00662A21" w:rsidP="00662A21">
            <w:pPr>
              <w:widowControl w:val="0"/>
              <w:jc w:val="both"/>
            </w:pPr>
            <w:r w:rsidRPr="009841AB">
              <w:t>16.</w:t>
            </w:r>
            <w:r w:rsidRPr="009841AB">
              <w:tab/>
              <w:t>53. lpp. nodaļa “4.2.2. Rīcības virziens: Elektroniskā identitāte un uzticamības pakalpojumi”. Rīcības nolūka pirmā punkta otrajā teikumā vārdu “pakalpojumiem” aizstāt ar vārdu “e-pakalpojumiem”;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F86ABD9" w14:textId="77777777" w:rsidR="00662A21" w:rsidRPr="009841AB" w:rsidRDefault="00662A21" w:rsidP="00662A21">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5C7B7919" w14:textId="77777777" w:rsidR="00662A21" w:rsidRPr="009841AB" w:rsidRDefault="00E335F7"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7CB0164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71EF996" w14:textId="77777777" w:rsidR="00662A21" w:rsidRPr="009841AB" w:rsidRDefault="00662A21" w:rsidP="00662A21">
            <w:pPr>
              <w:pStyle w:val="naisc"/>
              <w:spacing w:before="0" w:after="0"/>
            </w:pPr>
            <w:r w:rsidRPr="009841AB">
              <w:t>1</w:t>
            </w:r>
            <w:r w:rsidR="004C089C">
              <w:t>53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A59F396"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7E2CAAF" w14:textId="77777777" w:rsidR="00662A21" w:rsidRPr="009841AB" w:rsidRDefault="00662A21" w:rsidP="00662A21">
            <w:pPr>
              <w:widowControl w:val="0"/>
              <w:jc w:val="both"/>
            </w:pPr>
            <w:r w:rsidRPr="009841AB">
              <w:t>17.</w:t>
            </w:r>
            <w:r w:rsidRPr="009841AB">
              <w:tab/>
              <w:t>53. lpp. nodaļa “4.2.2. Rīcības virziens: Elektroniskā identitāte un uzticamības pakalpojumi”. Rīcības nolūka otrajā punktā vārdus “uzticamai digitālai identifikācijai” aizstāt ar vārdiem “uzticamai elektroniskajai identifikācijai”;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2868BE5" w14:textId="77777777" w:rsidR="00662A21" w:rsidRPr="009841AB" w:rsidRDefault="00662A21" w:rsidP="00662A21">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7EB18E61" w14:textId="77777777" w:rsidR="00662A21" w:rsidRPr="009841AB" w:rsidRDefault="00E335F7"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05A66B16"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A546A82" w14:textId="77777777" w:rsidR="00662A21" w:rsidRPr="009841AB" w:rsidRDefault="00662A21" w:rsidP="00662A21">
            <w:pPr>
              <w:pStyle w:val="naisc"/>
              <w:spacing w:before="0" w:after="0"/>
            </w:pPr>
            <w:r w:rsidRPr="009841AB">
              <w:t>1</w:t>
            </w:r>
            <w:r w:rsidR="004C089C">
              <w:t>54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386AB4E"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066C460" w14:textId="77777777" w:rsidR="00662A21" w:rsidRPr="009841AB" w:rsidRDefault="00662A21" w:rsidP="00662A21">
            <w:pPr>
              <w:widowControl w:val="0"/>
              <w:jc w:val="both"/>
            </w:pPr>
            <w:r w:rsidRPr="009841AB">
              <w:t>18.</w:t>
            </w:r>
            <w:r w:rsidRPr="009841AB">
              <w:tab/>
              <w:t>53. lpp. nodaļa “4.2.2. Rīcības virziens: Elektroniskā identitāte un uzticamības pakalpojumi”. Lūdzu precizēt, kādā laika periodā (mēnesis, gads) esošās situācijas apraksta pirmās rindkopas pēdējā teikumā minētais 1.39 milj. elektronisko identifikāciju skaits tiek sasniegts;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1886613" w14:textId="77777777" w:rsidR="00662A21" w:rsidRPr="009841AB" w:rsidRDefault="00662A21" w:rsidP="00662A21">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28C0C085" w14:textId="77777777" w:rsidR="00662A21" w:rsidRPr="009841AB" w:rsidRDefault="00E335F7"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190B983A"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C66EA61" w14:textId="77777777" w:rsidR="00662A21" w:rsidRPr="009841AB" w:rsidRDefault="00662A21" w:rsidP="00662A21">
            <w:pPr>
              <w:pStyle w:val="naisc"/>
              <w:spacing w:before="0" w:after="0"/>
            </w:pPr>
            <w:r w:rsidRPr="009841AB">
              <w:t>1</w:t>
            </w:r>
            <w:r w:rsidR="004C089C">
              <w:t>55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33A7EB3"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61B95B6" w14:textId="77777777" w:rsidR="00662A21" w:rsidRPr="009841AB" w:rsidRDefault="00662A21" w:rsidP="00662A21">
            <w:pPr>
              <w:widowControl w:val="0"/>
              <w:jc w:val="both"/>
            </w:pPr>
            <w:r w:rsidRPr="009841AB">
              <w:t>19.</w:t>
            </w:r>
            <w:r w:rsidRPr="009841AB">
              <w:tab/>
              <w:t>53.-56 lpp. nodaļa “4.2.2. Rīcības virziens: Elektroniskā identitāte un uzticamības pakalpojumi”. AM aicina nodaļā izmantot vienotu terminoloģiju, lietojot vārdus “elektroniskā” un “elektroniskais” attiecīgajā locījumā, vai aizstājot tos ar “e-“ pirms konkrētā vārda, piemēram, “elektroniskais pakalpojums” vai “e-pakalpojums”, taču ne abas formas vienlaicīgi;</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0B4B2430" w14:textId="77777777" w:rsidR="00662A21" w:rsidRPr="009841AB" w:rsidRDefault="00662A21" w:rsidP="00662A21">
            <w:pPr>
              <w:pStyle w:val="naisc"/>
              <w:spacing w:before="0" w:after="0"/>
              <w:jc w:val="both"/>
              <w:rPr>
                <w:b/>
                <w:bCs/>
              </w:rPr>
            </w:pPr>
            <w:r w:rsidRPr="009841AB">
              <w:rPr>
                <w:b/>
                <w:bCs/>
                <w:color w:val="000000"/>
              </w:rPr>
              <w:t>Ņemts vērā</w:t>
            </w:r>
          </w:p>
        </w:tc>
        <w:tc>
          <w:tcPr>
            <w:tcW w:w="3497" w:type="dxa"/>
            <w:tcBorders>
              <w:top w:val="single" w:sz="4" w:space="0" w:color="auto"/>
              <w:left w:val="nil"/>
              <w:bottom w:val="single" w:sz="4" w:space="0" w:color="auto"/>
              <w:right w:val="single" w:sz="4" w:space="0" w:color="auto"/>
            </w:tcBorders>
            <w:shd w:val="clear" w:color="auto" w:fill="auto"/>
          </w:tcPr>
          <w:p w14:paraId="5CB7FA56" w14:textId="77777777" w:rsidR="00662A21" w:rsidRPr="009841AB" w:rsidRDefault="00E335F7"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3F4DF458"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CDB9A85" w14:textId="77777777" w:rsidR="00662A21" w:rsidRPr="009841AB" w:rsidRDefault="00662A21" w:rsidP="00662A21">
            <w:pPr>
              <w:pStyle w:val="naisc"/>
              <w:spacing w:before="0" w:after="0"/>
            </w:pPr>
            <w:r w:rsidRPr="009841AB">
              <w:t>1</w:t>
            </w:r>
            <w:r w:rsidR="004C089C">
              <w:t>56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FC3DC06"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7DCA7D2" w14:textId="77777777" w:rsidR="00662A21" w:rsidRPr="009841AB" w:rsidRDefault="00662A21" w:rsidP="00662A21">
            <w:pPr>
              <w:widowControl w:val="0"/>
              <w:jc w:val="both"/>
            </w:pPr>
            <w:r w:rsidRPr="009841AB">
              <w:t>20.</w:t>
            </w:r>
            <w:r w:rsidRPr="009841AB">
              <w:tab/>
              <w:t xml:space="preserve">54. lpp. nodaļa “4.2.2. Rīcības virziens: Elektroniskā identitāte un uzticamības pakalpojumi”. Esošās situācijas apraksta pirmā e-pakalpojumu uzlabošanas virziena trešajā punktā, lūdzu precizēt, </w:t>
            </w:r>
            <w:r w:rsidRPr="009841AB">
              <w:lastRenderedPageBreak/>
              <w:t>kas tiek saprasts ar “[...] saņemt nepieciešamo e-pakalpojumu apjomu darījuma ticību uzsākšanai vai attīstībai, [...]”;</w:t>
            </w:r>
          </w:p>
        </w:tc>
        <w:tc>
          <w:tcPr>
            <w:tcW w:w="2480" w:type="dxa"/>
            <w:tcBorders>
              <w:top w:val="nil"/>
              <w:left w:val="single" w:sz="4" w:space="0" w:color="auto"/>
              <w:bottom w:val="single" w:sz="4" w:space="0" w:color="auto"/>
              <w:right w:val="single" w:sz="4" w:space="0" w:color="auto"/>
            </w:tcBorders>
            <w:shd w:val="clear" w:color="auto" w:fill="auto"/>
          </w:tcPr>
          <w:p w14:paraId="471F14BB" w14:textId="77777777" w:rsidR="00662A21" w:rsidRPr="009841AB" w:rsidRDefault="00662A21" w:rsidP="00662A21">
            <w:pPr>
              <w:pStyle w:val="naisc"/>
              <w:spacing w:before="0" w:after="0"/>
              <w:jc w:val="both"/>
              <w:rPr>
                <w:b/>
                <w:bCs/>
              </w:rPr>
            </w:pPr>
            <w:r w:rsidRPr="009841AB">
              <w:rPr>
                <w:b/>
                <w:bCs/>
                <w:color w:val="000000"/>
              </w:rPr>
              <w:lastRenderedPageBreak/>
              <w:t>Ņemts vērā</w:t>
            </w:r>
          </w:p>
        </w:tc>
        <w:tc>
          <w:tcPr>
            <w:tcW w:w="3497" w:type="dxa"/>
            <w:tcBorders>
              <w:top w:val="nil"/>
              <w:left w:val="nil"/>
              <w:bottom w:val="single" w:sz="4" w:space="0" w:color="auto"/>
              <w:right w:val="single" w:sz="4" w:space="0" w:color="auto"/>
            </w:tcBorders>
            <w:shd w:val="clear" w:color="auto" w:fill="auto"/>
          </w:tcPr>
          <w:p w14:paraId="0E6B23ED" w14:textId="77777777" w:rsidR="00662A21" w:rsidRPr="009841AB" w:rsidRDefault="00E335F7"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47E3907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CA3A51E" w14:textId="77777777" w:rsidR="00662A21" w:rsidRPr="009841AB" w:rsidRDefault="00662A21" w:rsidP="00662A21">
            <w:pPr>
              <w:pStyle w:val="naisc"/>
              <w:spacing w:before="0" w:after="0"/>
            </w:pPr>
            <w:r w:rsidRPr="009841AB">
              <w:t>1</w:t>
            </w:r>
            <w:r w:rsidR="004C089C">
              <w:t>57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D023EE0"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A32DC15" w14:textId="77777777" w:rsidR="00662A21" w:rsidRPr="009841AB" w:rsidRDefault="00662A21" w:rsidP="00662A21">
            <w:pPr>
              <w:widowControl w:val="0"/>
              <w:jc w:val="both"/>
            </w:pPr>
            <w:r w:rsidRPr="009841AB">
              <w:t>21.</w:t>
            </w:r>
            <w:r w:rsidRPr="009841AB">
              <w:tab/>
              <w:t xml:space="preserve">55. lpp. nodaļa “4.2.2. Rīcības virziens: Elektroniskā identitāte un uzticamības pakalpojumi”. Esošās situācijas apraksta otrā e-pakalpojumu uzlabošanas virziena sestajā punktā, lūdzu precizēt teikumu: “Ja attiecībā uz valsts e-pakalpojumiem ir sagatavots normatīvais regulējums par līmeņa </w:t>
            </w:r>
            <w:proofErr w:type="spellStart"/>
            <w:r w:rsidRPr="009841AB">
              <w:t>LoA</w:t>
            </w:r>
            <w:proofErr w:type="spellEnd"/>
            <w:r w:rsidRPr="009841AB">
              <w:t xml:space="preserve"> (</w:t>
            </w:r>
            <w:proofErr w:type="spellStart"/>
            <w:r w:rsidRPr="009841AB">
              <w:t>level</w:t>
            </w:r>
            <w:proofErr w:type="spellEnd"/>
            <w:r w:rsidRPr="009841AB">
              <w:t xml:space="preserve"> </w:t>
            </w:r>
            <w:proofErr w:type="spellStart"/>
            <w:r w:rsidRPr="009841AB">
              <w:t>of</w:t>
            </w:r>
            <w:proofErr w:type="spellEnd"/>
            <w:r w:rsidRPr="009841AB">
              <w:t xml:space="preserve"> </w:t>
            </w:r>
            <w:proofErr w:type="spellStart"/>
            <w:r w:rsidRPr="009841AB">
              <w:t>assurance</w:t>
            </w:r>
            <w:proofErr w:type="spellEnd"/>
            <w:r w:rsidRPr="009841AB">
              <w:t xml:space="preserve">) noteikšanas nepieciešamību, tad attiecībā uz komersantu sniegtajiem e-pakalpojumiem tas nav attiecināms.”, jo termins </w:t>
            </w:r>
            <w:proofErr w:type="spellStart"/>
            <w:r w:rsidRPr="009841AB">
              <w:t>LoA</w:t>
            </w:r>
            <w:proofErr w:type="spellEnd"/>
            <w:r w:rsidRPr="009841AB">
              <w:t xml:space="preserve"> Eiropas Parlamenta un Padomes 2014. gada 23. jūlija regulas (ES) Nr. 910/2014 par elektronisko identifikāciju un uzticamības pakalpojumiem elektronisko darījumu veikšanai iekšējā tirgū un ar ko atceļ Direktīvu 1999/93/EK (</w:t>
            </w:r>
            <w:proofErr w:type="spellStart"/>
            <w:r w:rsidRPr="009841AB">
              <w:t>eIDAS</w:t>
            </w:r>
            <w:proofErr w:type="spellEnd"/>
            <w:r w:rsidRPr="009841AB">
              <w:t xml:space="preserve"> regula) kontekstā ir attiecināms uz elektroniskās identifikācijas līdzekļiem, kuri paziņoti konkrētā līmenī;</w:t>
            </w:r>
          </w:p>
        </w:tc>
        <w:tc>
          <w:tcPr>
            <w:tcW w:w="2480" w:type="dxa"/>
            <w:tcBorders>
              <w:top w:val="nil"/>
              <w:left w:val="single" w:sz="4" w:space="0" w:color="auto"/>
              <w:bottom w:val="single" w:sz="4" w:space="0" w:color="auto"/>
              <w:right w:val="single" w:sz="4" w:space="0" w:color="auto"/>
            </w:tcBorders>
            <w:shd w:val="clear" w:color="auto" w:fill="auto"/>
          </w:tcPr>
          <w:p w14:paraId="0C320120" w14:textId="77777777" w:rsidR="00662A21" w:rsidRPr="009841AB" w:rsidRDefault="00662A21" w:rsidP="00662A21">
            <w:pPr>
              <w:pStyle w:val="naisc"/>
              <w:spacing w:before="0" w:after="0"/>
              <w:jc w:val="both"/>
              <w:rPr>
                <w:b/>
                <w:bCs/>
              </w:rPr>
            </w:pPr>
            <w:r w:rsidRPr="009841AB">
              <w:rPr>
                <w:b/>
                <w:bCs/>
                <w:color w:val="000000"/>
              </w:rPr>
              <w:t>Ņemts vērā</w:t>
            </w:r>
          </w:p>
        </w:tc>
        <w:tc>
          <w:tcPr>
            <w:tcW w:w="3497" w:type="dxa"/>
            <w:tcBorders>
              <w:top w:val="nil"/>
              <w:left w:val="nil"/>
              <w:bottom w:val="single" w:sz="4" w:space="0" w:color="auto"/>
              <w:right w:val="single" w:sz="4" w:space="0" w:color="auto"/>
            </w:tcBorders>
            <w:shd w:val="clear" w:color="auto" w:fill="auto"/>
          </w:tcPr>
          <w:p w14:paraId="7561E6E3" w14:textId="77777777" w:rsidR="00662A21" w:rsidRPr="009841AB" w:rsidRDefault="000D17C6"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47C274A7"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02B1FB3" w14:textId="77777777" w:rsidR="00662A21" w:rsidRPr="009841AB" w:rsidRDefault="00662A21" w:rsidP="00662A21">
            <w:pPr>
              <w:pStyle w:val="naisc"/>
              <w:spacing w:before="0" w:after="0"/>
            </w:pPr>
            <w:r w:rsidRPr="009841AB">
              <w:t>1</w:t>
            </w:r>
            <w:r w:rsidR="004C089C">
              <w:t>58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16BB50D"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C0D6ED7" w14:textId="77777777" w:rsidR="00662A21" w:rsidRPr="009841AB" w:rsidRDefault="00662A21" w:rsidP="00662A21">
            <w:pPr>
              <w:widowControl w:val="0"/>
              <w:jc w:val="both"/>
            </w:pPr>
            <w:r w:rsidRPr="009841AB">
              <w:t>22.</w:t>
            </w:r>
            <w:r w:rsidRPr="009841AB">
              <w:tab/>
              <w:t xml:space="preserve">55. lpp. nodaļa “4.2.2. Rīcības virziens: Elektroniskā identitāte un uzticamības pakalpojumi”. Esošās situācijas apraksta otrā e-pakalpojumu uzlabošanas virziena septītā punkta otro teikumu izteikt šādā redakcijā: “Lai gan līdz ar Eiropas Parlamenta un Padomes 2014. gada 23. jūlija regulu (ES) Nr. 910/2014 par elektronisko identifikāciju un uzticamības pakalpojumiem elektronisko darījumu veikšanai iekšējā tirgū un ar ko atceļ Direktīvu 1999/93/EK (turpmāk - </w:t>
            </w:r>
            <w:proofErr w:type="spellStart"/>
            <w:r w:rsidRPr="009841AB">
              <w:t>eIDAS</w:t>
            </w:r>
            <w:proofErr w:type="spellEnd"/>
            <w:r w:rsidRPr="009841AB">
              <w:t xml:space="preserve"> regula) ir vienots ES formāts, un dokumenti var tikt radīti vismaz trīs līmeņos.” Vienlaikus, dokumenta labākai uztveramībai, nepieciešams identificēt, kas ir šie trīs līmeņi;</w:t>
            </w:r>
          </w:p>
        </w:tc>
        <w:tc>
          <w:tcPr>
            <w:tcW w:w="2480" w:type="dxa"/>
            <w:tcBorders>
              <w:top w:val="nil"/>
              <w:left w:val="single" w:sz="4" w:space="0" w:color="auto"/>
              <w:bottom w:val="single" w:sz="4" w:space="0" w:color="auto"/>
              <w:right w:val="single" w:sz="4" w:space="0" w:color="auto"/>
            </w:tcBorders>
            <w:shd w:val="clear" w:color="auto" w:fill="auto"/>
          </w:tcPr>
          <w:p w14:paraId="5A622260" w14:textId="77777777" w:rsidR="00662A21" w:rsidRPr="009841AB" w:rsidRDefault="00662A21" w:rsidP="00662A21">
            <w:pPr>
              <w:pStyle w:val="naisc"/>
              <w:spacing w:before="0" w:after="0"/>
              <w:jc w:val="both"/>
              <w:rPr>
                <w:b/>
                <w:bCs/>
              </w:rPr>
            </w:pPr>
            <w:r w:rsidRPr="009841AB">
              <w:rPr>
                <w:b/>
                <w:bCs/>
                <w:color w:val="000000"/>
              </w:rPr>
              <w:t>Ņemts vērā</w:t>
            </w:r>
          </w:p>
        </w:tc>
        <w:tc>
          <w:tcPr>
            <w:tcW w:w="3497" w:type="dxa"/>
            <w:tcBorders>
              <w:top w:val="nil"/>
              <w:left w:val="nil"/>
              <w:bottom w:val="single" w:sz="4" w:space="0" w:color="auto"/>
              <w:right w:val="single" w:sz="4" w:space="0" w:color="auto"/>
            </w:tcBorders>
            <w:shd w:val="clear" w:color="auto" w:fill="auto"/>
          </w:tcPr>
          <w:p w14:paraId="01CD9B10" w14:textId="77777777" w:rsidR="00662A21" w:rsidRPr="009841AB" w:rsidRDefault="002A0E42"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103F773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A01FB39" w14:textId="77777777" w:rsidR="00662A21" w:rsidRPr="009841AB" w:rsidRDefault="00662A21" w:rsidP="00662A21">
            <w:pPr>
              <w:pStyle w:val="naisc"/>
              <w:spacing w:before="0" w:after="0"/>
            </w:pPr>
            <w:r w:rsidRPr="009841AB">
              <w:t>1</w:t>
            </w:r>
            <w:r w:rsidR="004C089C">
              <w:t>59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90F67F1"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F133ECD" w14:textId="77777777" w:rsidR="00662A21" w:rsidRPr="009841AB" w:rsidRDefault="00662A21" w:rsidP="00662A21">
            <w:pPr>
              <w:widowControl w:val="0"/>
              <w:jc w:val="both"/>
            </w:pPr>
            <w:r w:rsidRPr="009841AB">
              <w:t>23.</w:t>
            </w:r>
            <w:r w:rsidRPr="009841AB">
              <w:tab/>
              <w:t xml:space="preserve">55. lpp. nodaļa “4.2.2. Rīcības virziens: Elektroniskā identitāte un uzticamības pakalpojumi”. </w:t>
            </w:r>
            <w:r w:rsidRPr="009841AB">
              <w:lastRenderedPageBreak/>
              <w:t>Esošās situācijas apraksta otrā e-pakalpojumu uzlabošanas virziena septītajā punktā vārdus “elektronisko parakstu” aizstāt ar vārdu “e-parakstu”;</w:t>
            </w:r>
          </w:p>
        </w:tc>
        <w:tc>
          <w:tcPr>
            <w:tcW w:w="2480" w:type="dxa"/>
            <w:tcBorders>
              <w:top w:val="nil"/>
              <w:left w:val="single" w:sz="4" w:space="0" w:color="auto"/>
              <w:bottom w:val="single" w:sz="4" w:space="0" w:color="auto"/>
              <w:right w:val="single" w:sz="4" w:space="0" w:color="auto"/>
            </w:tcBorders>
            <w:shd w:val="clear" w:color="auto" w:fill="auto"/>
          </w:tcPr>
          <w:p w14:paraId="105D056F" w14:textId="77777777" w:rsidR="00662A21" w:rsidRPr="009841AB" w:rsidRDefault="00662A21" w:rsidP="00662A21">
            <w:pPr>
              <w:pStyle w:val="naisc"/>
              <w:spacing w:before="0" w:after="0"/>
              <w:jc w:val="both"/>
              <w:rPr>
                <w:b/>
                <w:bCs/>
              </w:rPr>
            </w:pPr>
            <w:r w:rsidRPr="009841AB">
              <w:rPr>
                <w:b/>
                <w:bCs/>
                <w:color w:val="000000"/>
              </w:rPr>
              <w:lastRenderedPageBreak/>
              <w:t>Ņemts vērā</w:t>
            </w:r>
          </w:p>
        </w:tc>
        <w:tc>
          <w:tcPr>
            <w:tcW w:w="3497" w:type="dxa"/>
            <w:tcBorders>
              <w:top w:val="nil"/>
              <w:left w:val="nil"/>
              <w:bottom w:val="single" w:sz="4" w:space="0" w:color="auto"/>
              <w:right w:val="single" w:sz="4" w:space="0" w:color="auto"/>
            </w:tcBorders>
            <w:shd w:val="clear" w:color="auto" w:fill="auto"/>
          </w:tcPr>
          <w:p w14:paraId="5BA62753" w14:textId="77777777" w:rsidR="00662A21" w:rsidRPr="009841AB" w:rsidRDefault="002A0E42"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70CA69A0"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DCE4210" w14:textId="77777777" w:rsidR="00662A21" w:rsidRPr="009841AB" w:rsidRDefault="00662A21" w:rsidP="00662A21">
            <w:pPr>
              <w:pStyle w:val="naisc"/>
              <w:spacing w:before="0" w:after="0"/>
            </w:pPr>
            <w:r w:rsidRPr="009841AB">
              <w:t>1</w:t>
            </w:r>
            <w:r w:rsidR="005E434A">
              <w:t>60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CC95707"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31C5AB7" w14:textId="77777777" w:rsidR="00662A21" w:rsidRPr="009841AB" w:rsidRDefault="00662A21" w:rsidP="00662A21">
            <w:pPr>
              <w:widowControl w:val="0"/>
              <w:jc w:val="both"/>
            </w:pPr>
            <w:r w:rsidRPr="009841AB">
              <w:t>24.</w:t>
            </w:r>
            <w:r w:rsidRPr="009841AB">
              <w:tab/>
              <w:t>56. lpp. nodaļa “4.2.2. Rīcības virziens: Elektroniskā identitāte un uzticamības pakalpojumi”. Lūdzu precizēt, ko ietver sagaidāmo rezultātu pirmajā punktā lietotais vārds “</w:t>
            </w:r>
            <w:proofErr w:type="spellStart"/>
            <w:r w:rsidRPr="009841AB">
              <w:t>eID</w:t>
            </w:r>
            <w:proofErr w:type="spellEnd"/>
            <w:r w:rsidRPr="009841AB">
              <w:t xml:space="preserve">”, vai ar to tiek saprasta </w:t>
            </w:r>
            <w:proofErr w:type="spellStart"/>
            <w:r w:rsidRPr="009841AB">
              <w:t>eID</w:t>
            </w:r>
            <w:proofErr w:type="spellEnd"/>
            <w:r w:rsidRPr="009841AB">
              <w:t xml:space="preserve"> karte.</w:t>
            </w:r>
          </w:p>
        </w:tc>
        <w:tc>
          <w:tcPr>
            <w:tcW w:w="2480" w:type="dxa"/>
            <w:tcBorders>
              <w:top w:val="nil"/>
              <w:left w:val="single" w:sz="4" w:space="0" w:color="auto"/>
              <w:bottom w:val="single" w:sz="4" w:space="0" w:color="auto"/>
              <w:right w:val="single" w:sz="4" w:space="0" w:color="auto"/>
            </w:tcBorders>
            <w:shd w:val="clear" w:color="auto" w:fill="auto"/>
          </w:tcPr>
          <w:p w14:paraId="21D12102" w14:textId="77777777" w:rsidR="00662A21" w:rsidRPr="009841AB" w:rsidRDefault="00662A21" w:rsidP="00662A21">
            <w:pPr>
              <w:pStyle w:val="naisc"/>
              <w:spacing w:before="0" w:after="0"/>
              <w:jc w:val="both"/>
              <w:rPr>
                <w:b/>
                <w:bCs/>
              </w:rPr>
            </w:pPr>
            <w:r w:rsidRPr="009841AB">
              <w:rPr>
                <w:b/>
                <w:bCs/>
                <w:color w:val="000000"/>
              </w:rPr>
              <w:t>Ņemts vērā</w:t>
            </w:r>
          </w:p>
        </w:tc>
        <w:tc>
          <w:tcPr>
            <w:tcW w:w="3497" w:type="dxa"/>
            <w:tcBorders>
              <w:top w:val="nil"/>
              <w:left w:val="nil"/>
              <w:bottom w:val="single" w:sz="4" w:space="0" w:color="auto"/>
              <w:right w:val="single" w:sz="4" w:space="0" w:color="auto"/>
            </w:tcBorders>
            <w:shd w:val="clear" w:color="auto" w:fill="auto"/>
          </w:tcPr>
          <w:p w14:paraId="6EEC0D62" w14:textId="77777777" w:rsidR="00662A21" w:rsidRPr="009841AB" w:rsidRDefault="002A0E42"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07441" w:rsidRPr="009841AB" w14:paraId="48DF393B" w14:textId="77777777" w:rsidTr="15B1D617">
        <w:trPr>
          <w:gridAfter w:val="1"/>
          <w:wAfter w:w="7" w:type="dxa"/>
        </w:trPr>
        <w:tc>
          <w:tcPr>
            <w:tcW w:w="14444" w:type="dxa"/>
            <w:gridSpan w:val="5"/>
            <w:tcBorders>
              <w:left w:val="single" w:sz="6" w:space="0" w:color="000000" w:themeColor="text1"/>
              <w:bottom w:val="single" w:sz="4" w:space="0" w:color="auto"/>
              <w:right w:val="single" w:sz="4" w:space="0" w:color="auto"/>
            </w:tcBorders>
            <w:shd w:val="clear" w:color="auto" w:fill="auto"/>
          </w:tcPr>
          <w:p w14:paraId="2043173D" w14:textId="77777777" w:rsidR="00607441" w:rsidRPr="009841AB" w:rsidRDefault="00607441" w:rsidP="00662A21">
            <w:pPr>
              <w:rPr>
                <w:color w:val="000000"/>
              </w:rPr>
            </w:pPr>
            <w:r>
              <w:rPr>
                <w:b/>
                <w:bCs/>
                <w:lang w:eastAsia="en-US"/>
              </w:rPr>
              <w:t>Aizsardzības</w:t>
            </w:r>
            <w:r w:rsidRPr="009841AB">
              <w:rPr>
                <w:b/>
                <w:bCs/>
                <w:lang w:eastAsia="en-US"/>
              </w:rPr>
              <w:t xml:space="preserve"> ministrijas </w:t>
            </w:r>
            <w:r>
              <w:rPr>
                <w:b/>
                <w:bCs/>
                <w:lang w:eastAsia="en-US"/>
              </w:rPr>
              <w:t>30</w:t>
            </w:r>
            <w:r w:rsidRPr="009841AB">
              <w:rPr>
                <w:b/>
                <w:bCs/>
                <w:lang w:eastAsia="en-US"/>
              </w:rPr>
              <w:t>.0</w:t>
            </w:r>
            <w:r>
              <w:rPr>
                <w:b/>
                <w:bCs/>
                <w:lang w:eastAsia="en-US"/>
              </w:rPr>
              <w:t>4</w:t>
            </w:r>
            <w:r w:rsidRPr="009841AB">
              <w:rPr>
                <w:b/>
                <w:bCs/>
                <w:lang w:eastAsia="en-US"/>
              </w:rPr>
              <w:t>.2021. atzinums:</w:t>
            </w:r>
          </w:p>
        </w:tc>
      </w:tr>
      <w:tr w:rsidR="00607441" w:rsidRPr="009841AB" w14:paraId="3F75D95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6A35D82" w14:textId="77777777" w:rsidR="00607441" w:rsidRPr="009841AB" w:rsidRDefault="005E434A" w:rsidP="00662A21">
            <w:pPr>
              <w:pStyle w:val="naisc"/>
              <w:spacing w:before="0" w:after="0"/>
            </w:pPr>
            <w:r>
              <w:t>161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4470C3C" w14:textId="77777777" w:rsidR="00607441" w:rsidRPr="009841AB" w:rsidRDefault="0060744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4AD22A1" w14:textId="77777777" w:rsidR="009A771D" w:rsidRDefault="009A771D" w:rsidP="009A771D">
            <w:pPr>
              <w:widowControl w:val="0"/>
              <w:jc w:val="both"/>
            </w:pPr>
            <w:r>
              <w:t>1. Rīcības virziena “Digitālās drošības politika” (nodaļa 4.2.1.) papildus aprakstītajam kopējam ietvaram ir nepieciešams katras nozares redzējums par aktuālajiem digitālās drošības jautājumiem līdz 2027. gadam. Šobrīd rīcības virziens netiek pilnvērtīgi attīstīts un trūkst sasaistes ar pārējām Projekta nodaļām.</w:t>
            </w:r>
          </w:p>
          <w:p w14:paraId="2116433F" w14:textId="77777777" w:rsidR="00607441" w:rsidRPr="009841AB" w:rsidRDefault="009A771D" w:rsidP="009A771D">
            <w:pPr>
              <w:widowControl w:val="0"/>
              <w:jc w:val="both"/>
            </w:pPr>
            <w:r>
              <w:t>Jāatzīmē, ka OECD novērtējumā “</w:t>
            </w:r>
            <w:proofErr w:type="spellStart"/>
            <w:r>
              <w:t>Going</w:t>
            </w:r>
            <w:proofErr w:type="spellEnd"/>
            <w:r>
              <w:t xml:space="preserve"> </w:t>
            </w:r>
            <w:proofErr w:type="spellStart"/>
            <w:r>
              <w:t>Digital</w:t>
            </w:r>
            <w:proofErr w:type="spellEnd"/>
            <w:r>
              <w:t xml:space="preserve"> </w:t>
            </w:r>
            <w:proofErr w:type="spellStart"/>
            <w:r>
              <w:t>in</w:t>
            </w:r>
            <w:proofErr w:type="spellEnd"/>
            <w:r>
              <w:t xml:space="preserve"> Latvia” secina, ka “digitālās drošības politikas izstrāde un ieviešana Latvijā joprojām koncentrējas uz nacionālās drošības ietvaru” (avots: novērtējums “</w:t>
            </w:r>
            <w:proofErr w:type="spellStart"/>
            <w:r>
              <w:t>Going</w:t>
            </w:r>
            <w:proofErr w:type="spellEnd"/>
            <w:r>
              <w:t xml:space="preserve"> </w:t>
            </w:r>
            <w:proofErr w:type="spellStart"/>
            <w:r>
              <w:t>Digital</w:t>
            </w:r>
            <w:proofErr w:type="spellEnd"/>
            <w:r>
              <w:t xml:space="preserve"> </w:t>
            </w:r>
            <w:proofErr w:type="spellStart"/>
            <w:r>
              <w:t>in</w:t>
            </w:r>
            <w:proofErr w:type="spellEnd"/>
            <w:r>
              <w:t xml:space="preserve"> Latvia” 137.lpp.). OECD iesaka “pastiprināt visas valdības pieeju digitālajai drošībai, palielinot “horizontālo” (proti, par ekonomikas un reģionālo attīstību atbildīgo) ministriju iesaistīšanās līmeni digitālās drošības politikas veidošanā un iniciatīvās” (avots: novērtējums “</w:t>
            </w:r>
            <w:proofErr w:type="spellStart"/>
            <w:r>
              <w:t>Going</w:t>
            </w:r>
            <w:proofErr w:type="spellEnd"/>
            <w:r>
              <w:t xml:space="preserve"> </w:t>
            </w:r>
            <w:proofErr w:type="spellStart"/>
            <w:r>
              <w:t>Digital</w:t>
            </w:r>
            <w:proofErr w:type="spellEnd"/>
            <w:r>
              <w:t xml:space="preserve"> </w:t>
            </w:r>
            <w:proofErr w:type="spellStart"/>
            <w:r>
              <w:t>in</w:t>
            </w:r>
            <w:proofErr w:type="spellEnd"/>
            <w:r>
              <w:t xml:space="preserve"> Latvia” 137.lpp.).</w:t>
            </w:r>
          </w:p>
        </w:tc>
        <w:tc>
          <w:tcPr>
            <w:tcW w:w="2480" w:type="dxa"/>
            <w:tcBorders>
              <w:top w:val="nil"/>
              <w:left w:val="single" w:sz="4" w:space="0" w:color="auto"/>
              <w:bottom w:val="single" w:sz="4" w:space="0" w:color="auto"/>
              <w:right w:val="single" w:sz="4" w:space="0" w:color="auto"/>
            </w:tcBorders>
            <w:shd w:val="clear" w:color="auto" w:fill="auto"/>
          </w:tcPr>
          <w:p w14:paraId="6E1E89AC" w14:textId="77777777" w:rsidR="00607441" w:rsidRPr="009841AB" w:rsidRDefault="006F2140" w:rsidP="1262F294">
            <w:pPr>
              <w:pStyle w:val="naisc"/>
              <w:spacing w:before="0" w:after="0"/>
              <w:jc w:val="both"/>
              <w:rPr>
                <w:b/>
                <w:bCs/>
                <w:color w:val="000000" w:themeColor="text1"/>
              </w:rPr>
            </w:pPr>
            <w:r>
              <w:rPr>
                <w:b/>
                <w:bCs/>
                <w:color w:val="000000" w:themeColor="text1"/>
              </w:rPr>
              <w:t>Ņ</w:t>
            </w:r>
            <w:r w:rsidR="364E9677" w:rsidRPr="0DB625FF">
              <w:rPr>
                <w:b/>
                <w:bCs/>
                <w:color w:val="000000" w:themeColor="text1"/>
              </w:rPr>
              <w:t>emts vērā</w:t>
            </w:r>
          </w:p>
          <w:p w14:paraId="249477C2" w14:textId="77777777" w:rsidR="00607441" w:rsidRPr="009841AB" w:rsidRDefault="00607441" w:rsidP="1262F294">
            <w:pPr>
              <w:pStyle w:val="naisc"/>
              <w:spacing w:before="0" w:after="0"/>
              <w:jc w:val="both"/>
              <w:rPr>
                <w:b/>
                <w:bCs/>
                <w:color w:val="000000" w:themeColor="text1"/>
              </w:rPr>
            </w:pPr>
          </w:p>
          <w:p w14:paraId="6EC31315" w14:textId="77777777" w:rsidR="00607441" w:rsidRPr="008A0052" w:rsidRDefault="00607441" w:rsidP="00662A21">
            <w:pPr>
              <w:pStyle w:val="naisc"/>
              <w:spacing w:before="0" w:after="0"/>
              <w:jc w:val="both"/>
              <w:rPr>
                <w:color w:val="000000"/>
              </w:rPr>
            </w:pPr>
          </w:p>
        </w:tc>
        <w:tc>
          <w:tcPr>
            <w:tcW w:w="3497" w:type="dxa"/>
            <w:tcBorders>
              <w:top w:val="nil"/>
              <w:left w:val="nil"/>
              <w:bottom w:val="single" w:sz="4" w:space="0" w:color="auto"/>
              <w:right w:val="single" w:sz="4" w:space="0" w:color="auto"/>
            </w:tcBorders>
            <w:shd w:val="clear" w:color="auto" w:fill="auto"/>
          </w:tcPr>
          <w:p w14:paraId="4CC00304" w14:textId="77777777" w:rsidR="006F2140" w:rsidRDefault="007346C8" w:rsidP="00662A21">
            <w:pPr>
              <w:rPr>
                <w:color w:val="000000" w:themeColor="text1"/>
              </w:rPr>
            </w:pPr>
            <w:r>
              <w:rPr>
                <w:color w:val="000000" w:themeColor="text1"/>
              </w:rPr>
              <w:t>Lūdzam skatīt</w:t>
            </w:r>
            <w:r w:rsidR="006F2140">
              <w:rPr>
                <w:color w:val="000000" w:themeColor="text1"/>
              </w:rPr>
              <w:t xml:space="preserve"> sadaļu 4.2.1. </w:t>
            </w:r>
          </w:p>
          <w:p w14:paraId="7D4089FD" w14:textId="77777777" w:rsidR="006F2140" w:rsidRDefault="006F2140" w:rsidP="00662A21">
            <w:pPr>
              <w:rPr>
                <w:color w:val="000000" w:themeColor="text1"/>
              </w:rPr>
            </w:pPr>
          </w:p>
          <w:p w14:paraId="2FFAB170" w14:textId="77777777" w:rsidR="00607441" w:rsidRPr="009841AB" w:rsidRDefault="364E9677" w:rsidP="00662A21">
            <w:pPr>
              <w:rPr>
                <w:b/>
                <w:i/>
                <w:color w:val="D13438"/>
                <w:u w:val="single"/>
              </w:rPr>
            </w:pPr>
            <w:r w:rsidRPr="0DB625FF">
              <w:rPr>
                <w:color w:val="000000" w:themeColor="text1"/>
              </w:rPr>
              <w:t>Papildus uzdevum</w:t>
            </w:r>
            <w:r w:rsidR="006F2140">
              <w:rPr>
                <w:color w:val="000000" w:themeColor="text1"/>
              </w:rPr>
              <w:t>u</w:t>
            </w:r>
            <w:r w:rsidRPr="0DB625FF">
              <w:rPr>
                <w:color w:val="000000" w:themeColor="text1"/>
              </w:rPr>
              <w:t xml:space="preserve"> U.4.2.1.</w:t>
            </w:r>
            <w:r w:rsidR="006F2140">
              <w:rPr>
                <w:color w:val="000000" w:themeColor="text1"/>
              </w:rPr>
              <w:t>-1</w:t>
            </w:r>
            <w:r w:rsidRPr="0DB625FF">
              <w:rPr>
                <w:color w:val="000000" w:themeColor="text1"/>
              </w:rPr>
              <w:t xml:space="preserve"> </w:t>
            </w:r>
            <w:r w:rsidR="006F2140">
              <w:rPr>
                <w:color w:val="000000" w:themeColor="text1"/>
              </w:rPr>
              <w:t>un U.4.2.</w:t>
            </w:r>
            <w:r w:rsidR="007346C8">
              <w:rPr>
                <w:color w:val="000000" w:themeColor="text1"/>
              </w:rPr>
              <w:t xml:space="preserve">1-2 </w:t>
            </w:r>
            <w:r w:rsidRPr="0DB625FF">
              <w:rPr>
                <w:color w:val="000000" w:themeColor="text1"/>
              </w:rPr>
              <w:t>formulējum</w:t>
            </w:r>
            <w:r w:rsidR="007346C8">
              <w:rPr>
                <w:color w:val="000000" w:themeColor="text1"/>
              </w:rPr>
              <w:t xml:space="preserve">iem, sadaļas tekstā ir papildināti arī </w:t>
            </w:r>
            <w:r w:rsidR="0804DE5E" w:rsidRPr="0DB625FF">
              <w:rPr>
                <w:color w:val="000000" w:themeColor="text1"/>
              </w:rPr>
              <w:t xml:space="preserve"> ”</w:t>
            </w:r>
            <w:r w:rsidR="0804DE5E" w:rsidRPr="033BCC60">
              <w:rPr>
                <w:color w:val="000000" w:themeColor="text1"/>
              </w:rPr>
              <w:t>nepiecie</w:t>
            </w:r>
            <w:r w:rsidR="02F884FB" w:rsidRPr="033BCC60">
              <w:rPr>
                <w:color w:val="000000" w:themeColor="text1"/>
              </w:rPr>
              <w:t xml:space="preserve">šamās rīcības” </w:t>
            </w:r>
            <w:r w:rsidR="007346C8">
              <w:rPr>
                <w:color w:val="000000" w:themeColor="text1"/>
              </w:rPr>
              <w:t xml:space="preserve">un “sagaidāmo rezultātu” </w:t>
            </w:r>
            <w:r w:rsidR="02F884FB" w:rsidRPr="033BCC60">
              <w:rPr>
                <w:color w:val="000000" w:themeColor="text1"/>
              </w:rPr>
              <w:t>tekst</w:t>
            </w:r>
            <w:r w:rsidR="007346C8">
              <w:rPr>
                <w:color w:val="000000" w:themeColor="text1"/>
              </w:rPr>
              <w:t xml:space="preserve">i. </w:t>
            </w:r>
          </w:p>
        </w:tc>
      </w:tr>
      <w:tr w:rsidR="00607441" w:rsidRPr="009841AB" w14:paraId="4CD59C2B"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72005FF" w14:textId="77777777" w:rsidR="00607441" w:rsidRPr="009841AB" w:rsidRDefault="005E434A" w:rsidP="00662A21">
            <w:pPr>
              <w:pStyle w:val="naisc"/>
              <w:spacing w:before="0" w:after="0"/>
            </w:pPr>
            <w:r>
              <w:t>162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292D93D" w14:textId="77777777" w:rsidR="00607441" w:rsidRPr="009841AB" w:rsidRDefault="0060744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6A4A538" w14:textId="77777777" w:rsidR="00607441" w:rsidRPr="009841AB" w:rsidRDefault="009A771D" w:rsidP="00662A21">
            <w:pPr>
              <w:widowControl w:val="0"/>
              <w:jc w:val="both"/>
            </w:pPr>
            <w:r>
              <w:t xml:space="preserve">2. </w:t>
            </w:r>
            <w:r w:rsidRPr="009A771D">
              <w:t xml:space="preserve">Rīcības virziena “Digitālās drošības politika” (nodaļa 4.2.1.) nepieciešamās rīcības 8.punktu aizstāt ar tekstu šādā redakcijā: “Plānojot digitālās drošības politiku un pastāvīgi pilnveidojot normatīvajos aktos ietverto regulējumu digitālās drošības jomā, iekļaut rīcību jauno tehnoloģiju radīto drošības izaicinājumu pārvarēšanai, lai stiprinātu Latvijas digitālās vides </w:t>
            </w:r>
            <w:proofErr w:type="spellStart"/>
            <w:r w:rsidRPr="009A771D">
              <w:t>izturētspēju</w:t>
            </w:r>
            <w:proofErr w:type="spellEnd"/>
            <w:r w:rsidRPr="009A771D">
              <w:t xml:space="preserve"> un paaugstinātu tās uzticamību.”.</w:t>
            </w:r>
          </w:p>
        </w:tc>
        <w:tc>
          <w:tcPr>
            <w:tcW w:w="2480" w:type="dxa"/>
            <w:tcBorders>
              <w:top w:val="nil"/>
              <w:left w:val="single" w:sz="4" w:space="0" w:color="auto"/>
              <w:bottom w:val="single" w:sz="4" w:space="0" w:color="auto"/>
              <w:right w:val="single" w:sz="4" w:space="0" w:color="auto"/>
            </w:tcBorders>
            <w:shd w:val="clear" w:color="auto" w:fill="auto"/>
          </w:tcPr>
          <w:p w14:paraId="156327B1" w14:textId="77777777" w:rsidR="00607441" w:rsidRPr="009841AB" w:rsidRDefault="386CFD76" w:rsidP="00662A21">
            <w:pPr>
              <w:pStyle w:val="naisc"/>
              <w:spacing w:before="0" w:after="0"/>
              <w:jc w:val="both"/>
              <w:rPr>
                <w:b/>
                <w:bCs/>
                <w:color w:val="000000"/>
              </w:rPr>
            </w:pPr>
            <w:r w:rsidRPr="695A19FF">
              <w:rPr>
                <w:b/>
                <w:bCs/>
                <w:color w:val="000000" w:themeColor="text1"/>
              </w:rPr>
              <w:t>Ņemts vērā</w:t>
            </w:r>
          </w:p>
        </w:tc>
        <w:tc>
          <w:tcPr>
            <w:tcW w:w="3497" w:type="dxa"/>
            <w:tcBorders>
              <w:top w:val="nil"/>
              <w:left w:val="nil"/>
              <w:bottom w:val="single" w:sz="4" w:space="0" w:color="auto"/>
              <w:right w:val="single" w:sz="4" w:space="0" w:color="auto"/>
            </w:tcBorders>
            <w:shd w:val="clear" w:color="auto" w:fill="auto"/>
          </w:tcPr>
          <w:p w14:paraId="17F67CAE" w14:textId="77777777" w:rsidR="004320BE" w:rsidRDefault="004320BE" w:rsidP="004320BE">
            <w:pPr>
              <w:rPr>
                <w:color w:val="000000" w:themeColor="text1"/>
              </w:rPr>
            </w:pPr>
            <w:r w:rsidRPr="55FB6E43">
              <w:rPr>
                <w:color w:val="000000" w:themeColor="text1"/>
              </w:rPr>
              <w:t xml:space="preserve">Lūdzam skatīt sadaļu 4.2.1. </w:t>
            </w:r>
          </w:p>
          <w:p w14:paraId="6619EEB5" w14:textId="77777777" w:rsidR="004320BE" w:rsidRDefault="004320BE" w:rsidP="00662A21">
            <w:pPr>
              <w:rPr>
                <w:color w:val="000000" w:themeColor="text1"/>
              </w:rPr>
            </w:pPr>
          </w:p>
          <w:p w14:paraId="0BE78B3F" w14:textId="77777777" w:rsidR="00607441" w:rsidRPr="009841AB" w:rsidRDefault="4D2312DD" w:rsidP="00662A21">
            <w:pPr>
              <w:rPr>
                <w:color w:val="000000"/>
              </w:rPr>
            </w:pPr>
            <w:r w:rsidRPr="4DB6BCF9">
              <w:rPr>
                <w:color w:val="000000" w:themeColor="text1"/>
              </w:rPr>
              <w:t xml:space="preserve">Teksts aizstāts atbilstoši piedāvātajam. </w:t>
            </w:r>
          </w:p>
        </w:tc>
      </w:tr>
      <w:tr w:rsidR="00607441" w:rsidRPr="009841AB" w14:paraId="2C2CC9C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9D504DF" w14:textId="77777777" w:rsidR="00607441" w:rsidRPr="009841AB" w:rsidRDefault="00EA2113" w:rsidP="00662A21">
            <w:pPr>
              <w:pStyle w:val="naisc"/>
              <w:spacing w:before="0" w:after="0"/>
            </w:pPr>
            <w:r>
              <w:lastRenderedPageBreak/>
              <w:t>163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C28C464" w14:textId="77777777" w:rsidR="00607441" w:rsidRPr="009841AB" w:rsidRDefault="0060744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30300F4" w14:textId="77777777" w:rsidR="00607441" w:rsidRPr="009841AB" w:rsidRDefault="009A771D" w:rsidP="00662A21">
            <w:pPr>
              <w:widowControl w:val="0"/>
              <w:jc w:val="both"/>
            </w:pPr>
            <w:r>
              <w:t xml:space="preserve">3. </w:t>
            </w:r>
            <w:r w:rsidRPr="009A771D">
              <w:t>Rīcības virziena “Digitālās drošības politika” (nodaļa 4.2.1.) sagaidāmo rezultātu 3.punktā, atverot norādīto vietni, tikai pie viena no četriem pakalpojumu sniedzējiem ir norāde par rezerves kopēšanu. Aprakstos nav informācijas par atjaunošanas pakalpojumiem. Līdz ar to nekļūst skaidrs, vai visi vietnē pieminētie skaitļošanas infrastruktūras koplietošanas pakalpojumu sniedzēji šos pakalpojumus piedāvā. Ja sistēmu darbības atjaunošanas pakalpojums līdz šim nav bijis atsevišķi izdalīts, būtu nepieciešams norādīt, ka sarakstā iekļautajiem pakalpojumu sniedzējiem šādu pakalpojumu  jānodrošina attiecīgi papildinot arī rīcības virziena uzdevumu sarakstu.</w:t>
            </w:r>
          </w:p>
        </w:tc>
        <w:tc>
          <w:tcPr>
            <w:tcW w:w="2480" w:type="dxa"/>
            <w:tcBorders>
              <w:top w:val="nil"/>
              <w:left w:val="single" w:sz="4" w:space="0" w:color="auto"/>
              <w:bottom w:val="single" w:sz="4" w:space="0" w:color="auto"/>
              <w:right w:val="single" w:sz="4" w:space="0" w:color="auto"/>
            </w:tcBorders>
            <w:shd w:val="clear" w:color="auto" w:fill="auto"/>
          </w:tcPr>
          <w:p w14:paraId="25485534" w14:textId="77777777" w:rsidR="00607441" w:rsidRPr="009841AB" w:rsidRDefault="20FDDAB4" w:rsidP="4C15C294">
            <w:pPr>
              <w:pStyle w:val="naisc"/>
              <w:spacing w:before="0" w:after="0" w:line="259" w:lineRule="auto"/>
              <w:jc w:val="both"/>
              <w:rPr>
                <w:b/>
                <w:color w:val="000000" w:themeColor="text1"/>
              </w:rPr>
            </w:pPr>
            <w:r w:rsidRPr="4C15C294">
              <w:rPr>
                <w:b/>
                <w:bCs/>
                <w:color w:val="000000" w:themeColor="text1"/>
              </w:rPr>
              <w:t xml:space="preserve">Ņemts </w:t>
            </w:r>
            <w:r w:rsidRPr="7CE54D96">
              <w:rPr>
                <w:b/>
                <w:bCs/>
                <w:color w:val="000000" w:themeColor="text1"/>
              </w:rPr>
              <w:t>vērā</w:t>
            </w:r>
          </w:p>
        </w:tc>
        <w:tc>
          <w:tcPr>
            <w:tcW w:w="3497" w:type="dxa"/>
            <w:tcBorders>
              <w:top w:val="nil"/>
              <w:left w:val="nil"/>
              <w:bottom w:val="single" w:sz="4" w:space="0" w:color="auto"/>
              <w:right w:val="single" w:sz="4" w:space="0" w:color="auto"/>
            </w:tcBorders>
            <w:shd w:val="clear" w:color="auto" w:fill="auto"/>
          </w:tcPr>
          <w:p w14:paraId="62F96716" w14:textId="77777777" w:rsidR="006E08EC" w:rsidRDefault="006E08EC" w:rsidP="006E08EC">
            <w:pPr>
              <w:rPr>
                <w:color w:val="000000" w:themeColor="text1"/>
              </w:rPr>
            </w:pPr>
            <w:r>
              <w:rPr>
                <w:color w:val="000000" w:themeColor="text1"/>
              </w:rPr>
              <w:t xml:space="preserve">Lūdzam skatīt sadaļu 4.2.1. </w:t>
            </w:r>
          </w:p>
          <w:p w14:paraId="14F49481" w14:textId="77777777" w:rsidR="004320BE" w:rsidRDefault="004320BE" w:rsidP="00662A21">
            <w:pPr>
              <w:rPr>
                <w:color w:val="000000" w:themeColor="text1"/>
              </w:rPr>
            </w:pPr>
          </w:p>
          <w:p w14:paraId="05F1E6B8" w14:textId="77777777" w:rsidR="00607441" w:rsidRPr="009841AB" w:rsidRDefault="20FDDAB4" w:rsidP="00662A21">
            <w:pPr>
              <w:rPr>
                <w:color w:val="000000"/>
              </w:rPr>
            </w:pPr>
            <w:r w:rsidRPr="0A798D0F">
              <w:rPr>
                <w:color w:val="000000" w:themeColor="text1"/>
              </w:rPr>
              <w:t xml:space="preserve">Formulēts uzdevums </w:t>
            </w:r>
            <w:r w:rsidRPr="3D8EEF19">
              <w:rPr>
                <w:color w:val="000000" w:themeColor="text1"/>
              </w:rPr>
              <w:t>U4</w:t>
            </w:r>
            <w:r w:rsidRPr="0A798D0F">
              <w:rPr>
                <w:color w:val="000000" w:themeColor="text1"/>
              </w:rPr>
              <w:t>.2.1-</w:t>
            </w:r>
            <w:r w:rsidR="00AD5E18">
              <w:rPr>
                <w:color w:val="000000" w:themeColor="text1"/>
              </w:rPr>
              <w:t>3</w:t>
            </w:r>
            <w:r w:rsidRPr="0A798D0F">
              <w:rPr>
                <w:color w:val="000000" w:themeColor="text1"/>
              </w:rPr>
              <w:t xml:space="preserve"> atbilstoši piedāvātajam</w:t>
            </w:r>
          </w:p>
        </w:tc>
      </w:tr>
      <w:tr w:rsidR="00607441" w:rsidRPr="009841AB" w14:paraId="29E5582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D44D1B2" w14:textId="77777777" w:rsidR="00607441" w:rsidRPr="009841AB" w:rsidRDefault="00106565" w:rsidP="00662A21">
            <w:pPr>
              <w:pStyle w:val="naisc"/>
              <w:spacing w:before="0" w:after="0"/>
            </w:pPr>
            <w:r>
              <w:t>164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42D78AC" w14:textId="77777777" w:rsidR="00607441" w:rsidRPr="009841AB" w:rsidRDefault="0060744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F7B449D" w14:textId="77777777" w:rsidR="00607441" w:rsidRPr="009841AB" w:rsidRDefault="009A771D" w:rsidP="00662A21">
            <w:pPr>
              <w:widowControl w:val="0"/>
              <w:jc w:val="both"/>
            </w:pPr>
            <w:r>
              <w:t xml:space="preserve">4. </w:t>
            </w:r>
            <w:r w:rsidRPr="009A771D">
              <w:t>Rīcības virziena “Elektroniskā identitāte un uzticamības pakalpojumi” (nodaļa 4.2.2.) nepieciešamās rīcības otrais punkts. Ja ir plānots radīt jaunu e-identitātes līdzekli personām vecumā no 7 līdz 14 gadiem, tad šim līdzeklim, lai kļūtu par kvalificētu vai kvalificētu paaugstinātas drošības elektroniskās identifikācijas līdzekli būs jāveic kvalifikācija atbilstoši Fizisko personu elektroniskās identifikācijas likuma prasībām. Nav skaidrs, kāpēc šādam elektroniskās identifikācijas līdzeklim ir plānots noteikt būtisku drošības līmeni, nevis augstu.</w:t>
            </w:r>
          </w:p>
        </w:tc>
        <w:tc>
          <w:tcPr>
            <w:tcW w:w="2480" w:type="dxa"/>
            <w:tcBorders>
              <w:top w:val="nil"/>
              <w:left w:val="single" w:sz="4" w:space="0" w:color="auto"/>
              <w:bottom w:val="single" w:sz="4" w:space="0" w:color="auto"/>
              <w:right w:val="single" w:sz="4" w:space="0" w:color="auto"/>
            </w:tcBorders>
            <w:shd w:val="clear" w:color="auto" w:fill="auto"/>
          </w:tcPr>
          <w:p w14:paraId="7704049D" w14:textId="77777777" w:rsidR="00607441" w:rsidRPr="009841AB" w:rsidRDefault="00503EC6" w:rsidP="579777DD">
            <w:pPr>
              <w:pStyle w:val="naisc"/>
              <w:spacing w:before="0" w:after="0"/>
              <w:jc w:val="both"/>
              <w:rPr>
                <w:b/>
                <w:bCs/>
                <w:color w:val="000000" w:themeColor="text1"/>
              </w:rPr>
            </w:pPr>
            <w:r>
              <w:rPr>
                <w:b/>
                <w:bCs/>
                <w:color w:val="000000" w:themeColor="text1"/>
              </w:rPr>
              <w:t>Ņemts</w:t>
            </w:r>
            <w:r w:rsidR="61CC61D6" w:rsidRPr="688FBE21">
              <w:rPr>
                <w:b/>
                <w:bCs/>
                <w:color w:val="000000" w:themeColor="text1"/>
              </w:rPr>
              <w:t xml:space="preserve"> vērā</w:t>
            </w:r>
          </w:p>
          <w:p w14:paraId="7031E31C" w14:textId="77777777" w:rsidR="00607441" w:rsidRPr="009841AB" w:rsidRDefault="00607441" w:rsidP="579777DD">
            <w:pPr>
              <w:pStyle w:val="naisc"/>
              <w:spacing w:before="0" w:after="0"/>
              <w:jc w:val="both"/>
              <w:rPr>
                <w:b/>
                <w:bCs/>
                <w:color w:val="000000" w:themeColor="text1"/>
              </w:rPr>
            </w:pPr>
          </w:p>
          <w:p w14:paraId="44E28E8D" w14:textId="77777777" w:rsidR="00607441" w:rsidRPr="008A0052" w:rsidRDefault="00607441" w:rsidP="00662A21">
            <w:pPr>
              <w:pStyle w:val="naisc"/>
              <w:spacing w:before="0" w:after="0"/>
              <w:jc w:val="both"/>
              <w:rPr>
                <w:color w:val="000000"/>
              </w:rPr>
            </w:pPr>
          </w:p>
        </w:tc>
        <w:tc>
          <w:tcPr>
            <w:tcW w:w="3497" w:type="dxa"/>
            <w:tcBorders>
              <w:top w:val="nil"/>
              <w:left w:val="nil"/>
              <w:bottom w:val="single" w:sz="4" w:space="0" w:color="auto"/>
              <w:right w:val="single" w:sz="4" w:space="0" w:color="auto"/>
            </w:tcBorders>
            <w:shd w:val="clear" w:color="auto" w:fill="auto"/>
          </w:tcPr>
          <w:p w14:paraId="428387EC" w14:textId="77777777" w:rsidR="006E08EC" w:rsidRDefault="006E08EC" w:rsidP="006E08EC">
            <w:pPr>
              <w:rPr>
                <w:color w:val="000000" w:themeColor="text1"/>
              </w:rPr>
            </w:pPr>
            <w:r>
              <w:rPr>
                <w:color w:val="000000" w:themeColor="text1"/>
              </w:rPr>
              <w:t xml:space="preserve">Lūdzam skatīt sadaļu 4.2.1. </w:t>
            </w:r>
          </w:p>
          <w:p w14:paraId="4B023443" w14:textId="77777777" w:rsidR="006E08EC" w:rsidRDefault="006E08EC" w:rsidP="00662A21">
            <w:pPr>
              <w:rPr>
                <w:color w:val="000000" w:themeColor="text1"/>
              </w:rPr>
            </w:pPr>
          </w:p>
          <w:p w14:paraId="2E9BCBC7" w14:textId="77777777" w:rsidR="00607441" w:rsidRPr="009841AB" w:rsidRDefault="61CC61D6" w:rsidP="00662A21">
            <w:pPr>
              <w:rPr>
                <w:color w:val="000000"/>
              </w:rPr>
            </w:pPr>
            <w:r w:rsidRPr="0AB72DF0">
              <w:rPr>
                <w:color w:val="000000" w:themeColor="text1"/>
              </w:rPr>
              <w:t xml:space="preserve">Formulējums precizēts, </w:t>
            </w:r>
            <w:r w:rsidR="00A267AC">
              <w:rPr>
                <w:color w:val="000000" w:themeColor="text1"/>
              </w:rPr>
              <w:t>izmantojot Latvijas nacionālā tiesiskā regulējuma jēdzienu “kvalificēts”</w:t>
            </w:r>
            <w:r w:rsidRPr="0AB72DF0">
              <w:rPr>
                <w:color w:val="000000" w:themeColor="text1"/>
              </w:rPr>
              <w:t xml:space="preserve"> </w:t>
            </w:r>
            <w:r w:rsidR="004320BE">
              <w:rPr>
                <w:color w:val="000000" w:themeColor="text1"/>
              </w:rPr>
              <w:t>.</w:t>
            </w:r>
          </w:p>
        </w:tc>
      </w:tr>
      <w:tr w:rsidR="00607441" w:rsidRPr="009841AB" w14:paraId="7CDE8B3A"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E7489BE" w14:textId="77777777" w:rsidR="00607441" w:rsidRPr="009841AB" w:rsidRDefault="00106565" w:rsidP="00662A21">
            <w:pPr>
              <w:pStyle w:val="naisc"/>
              <w:spacing w:before="0" w:after="0"/>
            </w:pPr>
            <w:r>
              <w:t>165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7D51E3B" w14:textId="77777777" w:rsidR="00607441" w:rsidRPr="009841AB" w:rsidRDefault="0060744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5F59FF8" w14:textId="77777777" w:rsidR="00607441" w:rsidRPr="009841AB" w:rsidRDefault="009A771D" w:rsidP="00662A21">
            <w:pPr>
              <w:widowControl w:val="0"/>
              <w:jc w:val="both"/>
            </w:pPr>
            <w:r>
              <w:t xml:space="preserve">5. </w:t>
            </w:r>
            <w:r w:rsidRPr="009A771D">
              <w:t>Rīcības virziena “Elektroniskā identitāte un uzticamības pakalpojumi” (nodaļa 4.2.2.) sagaidāmo rezultātu 2.punktā vārdus “būtiski (daudzkārtīgi)” izteikt kvantitatīvi, lai varētu novērtēt kvalificēto elektronisko identifikāciju e-pakalpojumos skaita progresu.</w:t>
            </w:r>
          </w:p>
        </w:tc>
        <w:tc>
          <w:tcPr>
            <w:tcW w:w="2480" w:type="dxa"/>
            <w:tcBorders>
              <w:top w:val="nil"/>
              <w:left w:val="single" w:sz="4" w:space="0" w:color="auto"/>
              <w:bottom w:val="single" w:sz="4" w:space="0" w:color="auto"/>
              <w:right w:val="single" w:sz="4" w:space="0" w:color="auto"/>
            </w:tcBorders>
            <w:shd w:val="clear" w:color="auto" w:fill="auto"/>
          </w:tcPr>
          <w:p w14:paraId="3B069B1A" w14:textId="77777777" w:rsidR="00607441" w:rsidRPr="009841AB" w:rsidRDefault="00E628B1" w:rsidP="2237DE15">
            <w:pPr>
              <w:pStyle w:val="naisc"/>
              <w:spacing w:before="0" w:after="0"/>
              <w:jc w:val="both"/>
              <w:rPr>
                <w:b/>
                <w:bCs/>
                <w:color w:val="000000" w:themeColor="text1"/>
              </w:rPr>
            </w:pPr>
            <w:r>
              <w:rPr>
                <w:b/>
                <w:bCs/>
                <w:color w:val="000000" w:themeColor="text1"/>
              </w:rPr>
              <w:t>Ņemts</w:t>
            </w:r>
            <w:r w:rsidR="385B3E40" w:rsidRPr="2237DE15">
              <w:rPr>
                <w:b/>
                <w:bCs/>
                <w:color w:val="000000" w:themeColor="text1"/>
              </w:rPr>
              <w:t xml:space="preserve"> vērā</w:t>
            </w:r>
          </w:p>
          <w:p w14:paraId="0778FC28" w14:textId="77777777" w:rsidR="00607441" w:rsidRPr="009841AB" w:rsidRDefault="00607441" w:rsidP="2237DE15">
            <w:pPr>
              <w:pStyle w:val="naisc"/>
              <w:spacing w:before="0" w:after="0"/>
              <w:jc w:val="both"/>
              <w:rPr>
                <w:b/>
                <w:bCs/>
                <w:color w:val="000000" w:themeColor="text1"/>
              </w:rPr>
            </w:pPr>
          </w:p>
          <w:p w14:paraId="476E377D" w14:textId="77777777" w:rsidR="00607441" w:rsidRPr="008A0052" w:rsidRDefault="00607441" w:rsidP="00662A21">
            <w:pPr>
              <w:pStyle w:val="naisc"/>
              <w:spacing w:before="0" w:after="0"/>
              <w:jc w:val="both"/>
              <w:rPr>
                <w:color w:val="000000"/>
              </w:rPr>
            </w:pPr>
          </w:p>
        </w:tc>
        <w:tc>
          <w:tcPr>
            <w:tcW w:w="3497" w:type="dxa"/>
            <w:tcBorders>
              <w:top w:val="nil"/>
              <w:left w:val="nil"/>
              <w:bottom w:val="single" w:sz="4" w:space="0" w:color="auto"/>
              <w:right w:val="single" w:sz="4" w:space="0" w:color="auto"/>
            </w:tcBorders>
            <w:shd w:val="clear" w:color="auto" w:fill="auto"/>
          </w:tcPr>
          <w:p w14:paraId="6A538FA6" w14:textId="77777777" w:rsidR="00D20E95" w:rsidRDefault="00D20E95" w:rsidP="00D20E95">
            <w:pPr>
              <w:rPr>
                <w:color w:val="000000" w:themeColor="text1"/>
              </w:rPr>
            </w:pPr>
            <w:r>
              <w:rPr>
                <w:color w:val="000000" w:themeColor="text1"/>
              </w:rPr>
              <w:t xml:space="preserve">Lūdzam skatīt sadaļu 4.2.1. </w:t>
            </w:r>
          </w:p>
          <w:p w14:paraId="22BAB9F5" w14:textId="77777777" w:rsidR="00D20E95" w:rsidRDefault="00D20E95" w:rsidP="00D20E95">
            <w:pPr>
              <w:rPr>
                <w:color w:val="000000" w:themeColor="text1"/>
              </w:rPr>
            </w:pPr>
          </w:p>
          <w:p w14:paraId="707CBFFF" w14:textId="77777777" w:rsidR="00607441" w:rsidRPr="009841AB" w:rsidRDefault="00D20E95" w:rsidP="00662A21">
            <w:pPr>
              <w:rPr>
                <w:color w:val="000000"/>
              </w:rPr>
            </w:pPr>
            <w:r w:rsidRPr="0AB72DF0">
              <w:rPr>
                <w:color w:val="000000" w:themeColor="text1"/>
              </w:rPr>
              <w:t xml:space="preserve">Formulējums precizēts, </w:t>
            </w:r>
            <w:r>
              <w:rPr>
                <w:color w:val="000000" w:themeColor="text1"/>
              </w:rPr>
              <w:t>norādot, ka apjoms tiks vismaz trī</w:t>
            </w:r>
            <w:r w:rsidR="007C06D8">
              <w:rPr>
                <w:color w:val="000000" w:themeColor="text1"/>
              </w:rPr>
              <w:t>s</w:t>
            </w:r>
            <w:r>
              <w:rPr>
                <w:color w:val="000000" w:themeColor="text1"/>
              </w:rPr>
              <w:t>kāršots.</w:t>
            </w:r>
          </w:p>
        </w:tc>
      </w:tr>
      <w:tr w:rsidR="00607441" w:rsidRPr="009841AB" w14:paraId="6E861E7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0901800" w14:textId="77777777" w:rsidR="00607441" w:rsidRPr="009841AB" w:rsidRDefault="00106565" w:rsidP="00662A21">
            <w:pPr>
              <w:pStyle w:val="naisc"/>
              <w:spacing w:before="0" w:after="0"/>
            </w:pPr>
            <w:r>
              <w:t>166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2F56914" w14:textId="77777777" w:rsidR="00607441" w:rsidRPr="009841AB" w:rsidRDefault="0060744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BCCFD23" w14:textId="77777777" w:rsidR="00607441" w:rsidRPr="009841AB" w:rsidRDefault="009A771D" w:rsidP="00662A21">
            <w:pPr>
              <w:widowControl w:val="0"/>
              <w:jc w:val="both"/>
            </w:pPr>
            <w:r>
              <w:t xml:space="preserve">6. </w:t>
            </w:r>
            <w:r w:rsidRPr="009A771D">
              <w:t xml:space="preserve">Rīcības virziena “Elektroniskā identitāte un uzticamības pakalpojumi” (nodaļa 4.2.2.) svītrojams vārds “platforma” (attiecīgā locījumā), jo: 1) tiesību aktos tiek izmantots apzīmējums pakalpojuma </w:t>
            </w:r>
            <w:r w:rsidRPr="009A771D">
              <w:lastRenderedPageBreak/>
              <w:t>sniedzējs un tā sniegtie pakalpojumi, kvalificēti tiek pakalpojumi; 2) vienas sadaļas ietvaros tiek izmantoti dažādi apzīmējumi (platformas pakalpojums, pakalpojumu platforma), kas nerada priekšstatu par vienotu pieeju šim apzīmējumam.</w:t>
            </w:r>
          </w:p>
        </w:tc>
        <w:tc>
          <w:tcPr>
            <w:tcW w:w="2480" w:type="dxa"/>
            <w:tcBorders>
              <w:top w:val="nil"/>
              <w:left w:val="single" w:sz="4" w:space="0" w:color="auto"/>
              <w:bottom w:val="single" w:sz="4" w:space="0" w:color="auto"/>
              <w:right w:val="single" w:sz="4" w:space="0" w:color="auto"/>
            </w:tcBorders>
            <w:shd w:val="clear" w:color="auto" w:fill="auto"/>
          </w:tcPr>
          <w:p w14:paraId="56D3F32E" w14:textId="560A6499" w:rsidR="00427C9C" w:rsidRDefault="00427C9C" w:rsidP="00427C9C">
            <w:pPr>
              <w:pStyle w:val="naisc"/>
              <w:jc w:val="both"/>
              <w:rPr>
                <w:b/>
                <w:bCs/>
              </w:rPr>
            </w:pPr>
            <w:r>
              <w:rPr>
                <w:b/>
                <w:bCs/>
              </w:rPr>
              <w:lastRenderedPageBreak/>
              <w:t>Panākta vienošanās</w:t>
            </w:r>
          </w:p>
          <w:p w14:paraId="604CB5AB" w14:textId="1F8BCB01" w:rsidR="00607441" w:rsidRPr="00427C9C" w:rsidRDefault="00427C9C" w:rsidP="00427C9C">
            <w:pPr>
              <w:pStyle w:val="naisc"/>
              <w:jc w:val="both"/>
            </w:pPr>
            <w:r w:rsidRPr="00427C9C">
              <w:t xml:space="preserve">“Platformas" jēdziens ir ieviests un tiek </w:t>
            </w:r>
            <w:r w:rsidRPr="00427C9C">
              <w:lastRenderedPageBreak/>
              <w:t>izmantots struktūrfondu rezultāta rādītāju definēšanā – t.sk. jaunajā plānošanas periodā arī attiecībā uz valsts platformu atvēršanu komersantiem. Tas ar grozījumu projektu tiek ieviests arī Valsts informācijas sistēmu likumā.</w:t>
            </w:r>
            <w:r w:rsidR="00352855" w:rsidRPr="008A0052">
              <w:rPr>
                <w:color w:val="000000" w:themeColor="text1"/>
                <w:shd w:val="clear" w:color="auto" w:fill="E6E6E6"/>
              </w:rPr>
              <w:t xml:space="preserve"> </w:t>
            </w:r>
          </w:p>
        </w:tc>
        <w:tc>
          <w:tcPr>
            <w:tcW w:w="3497" w:type="dxa"/>
            <w:tcBorders>
              <w:top w:val="nil"/>
              <w:left w:val="nil"/>
              <w:bottom w:val="single" w:sz="4" w:space="0" w:color="auto"/>
              <w:right w:val="single" w:sz="4" w:space="0" w:color="auto"/>
            </w:tcBorders>
            <w:shd w:val="clear" w:color="auto" w:fill="auto"/>
          </w:tcPr>
          <w:p w14:paraId="79E25721" w14:textId="77777777" w:rsidR="008E6386" w:rsidRDefault="008E6386" w:rsidP="008E6386">
            <w:pPr>
              <w:rPr>
                <w:color w:val="000000" w:themeColor="text1"/>
              </w:rPr>
            </w:pPr>
            <w:r>
              <w:rPr>
                <w:color w:val="000000" w:themeColor="text1"/>
              </w:rPr>
              <w:lastRenderedPageBreak/>
              <w:t xml:space="preserve">Lūdzam skatīt sadaļu 4.2.1. </w:t>
            </w:r>
          </w:p>
          <w:p w14:paraId="7B359069" w14:textId="77777777" w:rsidR="008E6386" w:rsidRDefault="008E6386" w:rsidP="008E6386">
            <w:pPr>
              <w:rPr>
                <w:color w:val="000000" w:themeColor="text1"/>
              </w:rPr>
            </w:pPr>
          </w:p>
          <w:p w14:paraId="50F1FD10" w14:textId="77777777" w:rsidR="00607441" w:rsidRPr="009841AB" w:rsidRDefault="00EF0E25" w:rsidP="00662A21">
            <w:pPr>
              <w:rPr>
                <w:color w:val="000000"/>
              </w:rPr>
            </w:pPr>
            <w:r>
              <w:rPr>
                <w:color w:val="000000" w:themeColor="text1"/>
              </w:rPr>
              <w:t>Sadaļas tekstā pie atsauces uz “platformas” jēdzienu</w:t>
            </w:r>
            <w:r w:rsidR="00DE3AAD">
              <w:rPr>
                <w:color w:val="000000" w:themeColor="text1"/>
              </w:rPr>
              <w:t xml:space="preserve"> ietverta </w:t>
            </w:r>
            <w:r w:rsidR="00DE3AAD">
              <w:rPr>
                <w:color w:val="000000" w:themeColor="text1"/>
              </w:rPr>
              <w:lastRenderedPageBreak/>
              <w:t>norāde par “platformas” jēdziena ieviešanu Valsts informācijas sistēmu likumā.</w:t>
            </w:r>
          </w:p>
        </w:tc>
      </w:tr>
      <w:tr w:rsidR="00607441" w:rsidRPr="009841AB" w14:paraId="0295A943"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A4B71EE" w14:textId="77777777" w:rsidR="00607441" w:rsidRPr="009841AB" w:rsidRDefault="009B00FE" w:rsidP="00662A21">
            <w:pPr>
              <w:pStyle w:val="naisc"/>
              <w:spacing w:before="0" w:after="0"/>
            </w:pPr>
            <w:r>
              <w:lastRenderedPageBreak/>
              <w:t>167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B5E8204" w14:textId="77777777" w:rsidR="00607441" w:rsidRPr="009841AB" w:rsidRDefault="0060744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3AEA306" w14:textId="77777777" w:rsidR="00607441" w:rsidRPr="009841AB" w:rsidRDefault="009A771D" w:rsidP="00662A21">
            <w:pPr>
              <w:widowControl w:val="0"/>
              <w:jc w:val="both"/>
            </w:pPr>
            <w:r>
              <w:t xml:space="preserve">7. </w:t>
            </w:r>
            <w:r w:rsidRPr="009A771D">
              <w:t>Rīcības virziena “Elektroniskā identitāte un uzticamības pakalpojumi” (nodaļa 4.2.2.) jautājums par nacionālo elektroniskās identifikācijas līdzekli ir papildināms ar informāciju, ka prasības un uzdevumu izpildes pienākums stājas spēkā pēc attiecīgu grozījumu veikšanas Fizisko personu elektroniskās identifikācijas likumā.</w:t>
            </w:r>
          </w:p>
        </w:tc>
        <w:tc>
          <w:tcPr>
            <w:tcW w:w="2480" w:type="dxa"/>
            <w:tcBorders>
              <w:top w:val="nil"/>
              <w:left w:val="single" w:sz="4" w:space="0" w:color="auto"/>
              <w:bottom w:val="single" w:sz="4" w:space="0" w:color="auto"/>
              <w:right w:val="single" w:sz="4" w:space="0" w:color="auto"/>
            </w:tcBorders>
            <w:shd w:val="clear" w:color="auto" w:fill="auto"/>
          </w:tcPr>
          <w:p w14:paraId="3DB119A3" w14:textId="77777777" w:rsidR="00607441" w:rsidRPr="009841AB" w:rsidRDefault="00DE1FA2" w:rsidP="00662A21">
            <w:pPr>
              <w:pStyle w:val="naisc"/>
              <w:spacing w:before="0" w:after="0"/>
              <w:jc w:val="both"/>
              <w:rPr>
                <w:b/>
                <w:bCs/>
                <w:color w:val="000000"/>
              </w:rPr>
            </w:pPr>
            <w:r>
              <w:rPr>
                <w:b/>
                <w:bCs/>
                <w:color w:val="000000"/>
              </w:rPr>
              <w:t>Ņemts vērā</w:t>
            </w:r>
          </w:p>
        </w:tc>
        <w:tc>
          <w:tcPr>
            <w:tcW w:w="3497" w:type="dxa"/>
            <w:tcBorders>
              <w:top w:val="nil"/>
              <w:left w:val="nil"/>
              <w:bottom w:val="single" w:sz="4" w:space="0" w:color="auto"/>
              <w:right w:val="single" w:sz="4" w:space="0" w:color="auto"/>
            </w:tcBorders>
            <w:shd w:val="clear" w:color="auto" w:fill="auto"/>
          </w:tcPr>
          <w:p w14:paraId="4E3150BD" w14:textId="77777777" w:rsidR="00C05118" w:rsidRDefault="00DE1FA2" w:rsidP="00662A21">
            <w:pPr>
              <w:rPr>
                <w:color w:val="000000"/>
              </w:rPr>
            </w:pPr>
            <w:r>
              <w:rPr>
                <w:color w:val="000000"/>
              </w:rPr>
              <w:t>Sa</w:t>
            </w:r>
            <w:r w:rsidR="00C05118">
              <w:rPr>
                <w:color w:val="000000"/>
              </w:rPr>
              <w:t>d</w:t>
            </w:r>
            <w:r>
              <w:rPr>
                <w:color w:val="000000"/>
              </w:rPr>
              <w:t>aļas</w:t>
            </w:r>
            <w:r w:rsidR="00C05118">
              <w:rPr>
                <w:color w:val="000000"/>
              </w:rPr>
              <w:t xml:space="preserve"> 4.2.2. sagaidāmo rezultātu</w:t>
            </w:r>
            <w:r w:rsidR="0051075E">
              <w:rPr>
                <w:color w:val="000000"/>
              </w:rPr>
              <w:t xml:space="preserve"> (3. punkta)</w:t>
            </w:r>
            <w:r w:rsidR="00C05118">
              <w:rPr>
                <w:color w:val="000000"/>
              </w:rPr>
              <w:t xml:space="preserve"> teksts ir precizēts atbilstoši piedāvātajam:</w:t>
            </w:r>
          </w:p>
          <w:p w14:paraId="54F34A49" w14:textId="77777777" w:rsidR="00C05118" w:rsidRPr="00B47A4D" w:rsidRDefault="00B80C69" w:rsidP="008A0052">
            <w:pPr>
              <w:spacing w:before="120" w:after="120"/>
              <w:jc w:val="both"/>
              <w:rPr>
                <w:color w:val="000000" w:themeColor="text1"/>
                <w:lang w:eastAsia="en-US"/>
              </w:rPr>
            </w:pPr>
            <w:r w:rsidRPr="00B47A4D">
              <w:rPr>
                <w:lang w:eastAsia="en-US"/>
              </w:rPr>
              <w:t>“Pēc</w:t>
            </w:r>
            <w:r w:rsidR="00C05118" w:rsidRPr="00B47A4D">
              <w:rPr>
                <w:lang w:eastAsia="en-US"/>
              </w:rPr>
              <w:t xml:space="preserve"> attiecīgu grozījumu veikšanas Fizisko personu elektroniskās identifikācijas likumā nodrošināt, ka autentifikācijai visiem sabiedrībai nozīmīgiem pakalpojumiem digitālajā vidē ir izmantojami (tiek pieņemti) nacionālie kvalificētie paaugstinātas drošības e-identifikācijas rīki</w:t>
            </w:r>
            <w:r w:rsidR="0051075E" w:rsidRPr="00B47A4D">
              <w:rPr>
                <w:lang w:eastAsia="en-US"/>
              </w:rPr>
              <w:t>”</w:t>
            </w:r>
          </w:p>
          <w:p w14:paraId="1475B461" w14:textId="77777777" w:rsidR="00607441" w:rsidRPr="009841AB" w:rsidRDefault="00607441" w:rsidP="00662A21">
            <w:pPr>
              <w:rPr>
                <w:color w:val="000000"/>
              </w:rPr>
            </w:pPr>
          </w:p>
        </w:tc>
      </w:tr>
      <w:tr w:rsidR="00607441" w:rsidRPr="009841AB" w14:paraId="041F93DF"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28B0F69" w14:textId="77777777" w:rsidR="00607441" w:rsidRPr="009841AB" w:rsidRDefault="00607441" w:rsidP="00662A21">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BDAFF18" w14:textId="77777777" w:rsidR="00607441" w:rsidRPr="009841AB" w:rsidRDefault="00607441" w:rsidP="00662A2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B79254B" w14:textId="77777777" w:rsidR="00607441" w:rsidRPr="00607441" w:rsidRDefault="00607441" w:rsidP="00662A21">
            <w:pPr>
              <w:widowControl w:val="0"/>
              <w:jc w:val="both"/>
              <w:rPr>
                <w:b/>
                <w:bCs/>
              </w:rPr>
            </w:pPr>
            <w:r w:rsidRPr="00607441">
              <w:rPr>
                <w:b/>
                <w:bCs/>
              </w:rPr>
              <w:t>Priekšlikumi:</w:t>
            </w:r>
          </w:p>
        </w:tc>
        <w:tc>
          <w:tcPr>
            <w:tcW w:w="2480" w:type="dxa"/>
            <w:tcBorders>
              <w:top w:val="nil"/>
              <w:left w:val="single" w:sz="4" w:space="0" w:color="auto"/>
              <w:bottom w:val="single" w:sz="4" w:space="0" w:color="auto"/>
              <w:right w:val="single" w:sz="4" w:space="0" w:color="auto"/>
            </w:tcBorders>
            <w:shd w:val="clear" w:color="auto" w:fill="auto"/>
          </w:tcPr>
          <w:p w14:paraId="0198858B" w14:textId="77777777" w:rsidR="00607441" w:rsidRPr="009841AB" w:rsidRDefault="00607441" w:rsidP="00662A21">
            <w:pPr>
              <w:pStyle w:val="naisc"/>
              <w:spacing w:before="0" w:after="0"/>
              <w:jc w:val="both"/>
              <w:rPr>
                <w:b/>
                <w:bCs/>
                <w:color w:val="000000"/>
              </w:rPr>
            </w:pPr>
          </w:p>
        </w:tc>
        <w:tc>
          <w:tcPr>
            <w:tcW w:w="3497" w:type="dxa"/>
            <w:tcBorders>
              <w:top w:val="nil"/>
              <w:left w:val="nil"/>
              <w:bottom w:val="single" w:sz="4" w:space="0" w:color="auto"/>
              <w:right w:val="single" w:sz="4" w:space="0" w:color="auto"/>
            </w:tcBorders>
            <w:shd w:val="clear" w:color="auto" w:fill="auto"/>
          </w:tcPr>
          <w:p w14:paraId="5347CA0F" w14:textId="77777777" w:rsidR="00607441" w:rsidRPr="009841AB" w:rsidRDefault="00607441" w:rsidP="00662A21">
            <w:pPr>
              <w:rPr>
                <w:color w:val="000000"/>
              </w:rPr>
            </w:pPr>
          </w:p>
        </w:tc>
      </w:tr>
      <w:tr w:rsidR="00607441" w:rsidRPr="009841AB" w14:paraId="243861D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A787899" w14:textId="77777777" w:rsidR="00607441" w:rsidRPr="009841AB" w:rsidRDefault="009B00FE" w:rsidP="00662A21">
            <w:pPr>
              <w:pStyle w:val="naisc"/>
              <w:spacing w:before="0" w:after="0"/>
            </w:pPr>
            <w:r>
              <w:t>168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AB77454" w14:textId="77777777" w:rsidR="00607441" w:rsidRPr="009841AB" w:rsidRDefault="0060744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AF67FD3" w14:textId="6274174B" w:rsidR="00607441" w:rsidRPr="009841AB" w:rsidRDefault="00607441" w:rsidP="00662A21">
            <w:pPr>
              <w:widowControl w:val="0"/>
              <w:jc w:val="both"/>
            </w:pPr>
            <w:r>
              <w:t xml:space="preserve">1. </w:t>
            </w:r>
            <w:r w:rsidRPr="00607441">
              <w:t>Rīcības virziena “Elektroniskā identitāte un uzticamības pakalpojumi” (nodaļa 4.2.2.) nepieciešamās rīcības apraksta pirmās ri</w:t>
            </w:r>
            <w:r w:rsidR="000B5650">
              <w:t>n</w:t>
            </w:r>
            <w:r w:rsidRPr="00607441">
              <w:t>dkopas pēdējo teikumu pārfrāzēt, lai tas būtu vieglāk uztverams.</w:t>
            </w:r>
          </w:p>
        </w:tc>
        <w:tc>
          <w:tcPr>
            <w:tcW w:w="2480" w:type="dxa"/>
            <w:tcBorders>
              <w:top w:val="nil"/>
              <w:left w:val="single" w:sz="4" w:space="0" w:color="auto"/>
              <w:bottom w:val="single" w:sz="4" w:space="0" w:color="auto"/>
              <w:right w:val="single" w:sz="4" w:space="0" w:color="auto"/>
            </w:tcBorders>
            <w:shd w:val="clear" w:color="auto" w:fill="auto"/>
          </w:tcPr>
          <w:p w14:paraId="1D929C2B" w14:textId="77777777" w:rsidR="00607441" w:rsidRPr="009841AB" w:rsidRDefault="00DE28FE" w:rsidP="00662A21">
            <w:pPr>
              <w:pStyle w:val="naisc"/>
              <w:spacing w:before="0" w:after="0"/>
              <w:jc w:val="both"/>
              <w:rPr>
                <w:b/>
                <w:bCs/>
                <w:color w:val="000000"/>
              </w:rPr>
            </w:pPr>
            <w:r>
              <w:rPr>
                <w:b/>
                <w:bCs/>
                <w:color w:val="000000"/>
              </w:rPr>
              <w:t>Ņemts vērā</w:t>
            </w:r>
          </w:p>
        </w:tc>
        <w:tc>
          <w:tcPr>
            <w:tcW w:w="3497" w:type="dxa"/>
            <w:tcBorders>
              <w:top w:val="nil"/>
              <w:left w:val="nil"/>
              <w:bottom w:val="single" w:sz="4" w:space="0" w:color="auto"/>
              <w:right w:val="single" w:sz="4" w:space="0" w:color="auto"/>
            </w:tcBorders>
            <w:shd w:val="clear" w:color="auto" w:fill="auto"/>
          </w:tcPr>
          <w:p w14:paraId="747A3DB0" w14:textId="645C1C26" w:rsidR="008A0052" w:rsidRPr="008A0052" w:rsidRDefault="008A0052" w:rsidP="00662A21">
            <w:pPr>
              <w:rPr>
                <w:color w:val="000000" w:themeColor="text1"/>
              </w:rPr>
            </w:pPr>
            <w:r>
              <w:rPr>
                <w:color w:val="000000" w:themeColor="text1"/>
              </w:rPr>
              <w:t xml:space="preserve">Lūdzam skatīt sadaļu 4.2. </w:t>
            </w:r>
          </w:p>
          <w:p w14:paraId="1C7DE149" w14:textId="6E9F6889" w:rsidR="00607441" w:rsidRPr="009841AB" w:rsidRDefault="00A11D98" w:rsidP="00662A21">
            <w:pPr>
              <w:rPr>
                <w:color w:val="000000"/>
              </w:rPr>
            </w:pPr>
            <w:r>
              <w:rPr>
                <w:color w:val="000000"/>
              </w:rPr>
              <w:t xml:space="preserve">Norādītās rindkopas teikumi ir pārfrāzēti, lai </w:t>
            </w:r>
            <w:r w:rsidR="00C876FB">
              <w:rPr>
                <w:color w:val="000000"/>
              </w:rPr>
              <w:t>būtu vieglāk uztverami.</w:t>
            </w:r>
            <w:r>
              <w:rPr>
                <w:color w:val="000000"/>
              </w:rPr>
              <w:t xml:space="preserve"> </w:t>
            </w:r>
          </w:p>
        </w:tc>
      </w:tr>
      <w:tr w:rsidR="00607441" w:rsidRPr="009841AB" w14:paraId="54C95CB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20D86E3" w14:textId="77777777" w:rsidR="00607441" w:rsidRPr="009841AB" w:rsidRDefault="009B00FE" w:rsidP="00662A21">
            <w:pPr>
              <w:pStyle w:val="naisc"/>
              <w:spacing w:before="0" w:after="0"/>
            </w:pPr>
            <w:r>
              <w:t>169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BFC84E2" w14:textId="77777777" w:rsidR="00607441" w:rsidRPr="009841AB" w:rsidRDefault="0060744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182CAD0" w14:textId="77777777" w:rsidR="00607441" w:rsidRPr="009841AB" w:rsidRDefault="00607441" w:rsidP="00662A21">
            <w:pPr>
              <w:widowControl w:val="0"/>
              <w:jc w:val="both"/>
            </w:pPr>
            <w:r>
              <w:t xml:space="preserve">2. </w:t>
            </w:r>
            <w:r w:rsidRPr="00607441">
              <w:t xml:space="preserve">Rīcības virziena “Elektroniskā identitāte un uzticamības pakalpojumi” (nodaļa 4.2.2.) </w:t>
            </w:r>
            <w:r w:rsidRPr="00607441">
              <w:lastRenderedPageBreak/>
              <w:t>nepieciešamās rīcības apraksta otrajā rindkopā svītrot otro teikumu, jo tas atkārtojas.</w:t>
            </w:r>
          </w:p>
        </w:tc>
        <w:tc>
          <w:tcPr>
            <w:tcW w:w="2480" w:type="dxa"/>
            <w:tcBorders>
              <w:top w:val="nil"/>
              <w:left w:val="single" w:sz="4" w:space="0" w:color="auto"/>
              <w:bottom w:val="single" w:sz="4" w:space="0" w:color="auto"/>
              <w:right w:val="single" w:sz="4" w:space="0" w:color="auto"/>
            </w:tcBorders>
            <w:shd w:val="clear" w:color="auto" w:fill="auto"/>
          </w:tcPr>
          <w:p w14:paraId="31AB5904" w14:textId="77777777" w:rsidR="00607441" w:rsidRPr="009841AB" w:rsidRDefault="00C00C66" w:rsidP="00662A21">
            <w:pPr>
              <w:pStyle w:val="naisc"/>
              <w:spacing w:before="0" w:after="0"/>
              <w:jc w:val="both"/>
              <w:rPr>
                <w:b/>
                <w:bCs/>
                <w:color w:val="000000"/>
              </w:rPr>
            </w:pPr>
            <w:r>
              <w:rPr>
                <w:b/>
                <w:bCs/>
                <w:color w:val="000000"/>
              </w:rPr>
              <w:lastRenderedPageBreak/>
              <w:t>Ņemts vērā</w:t>
            </w:r>
          </w:p>
        </w:tc>
        <w:tc>
          <w:tcPr>
            <w:tcW w:w="3497" w:type="dxa"/>
            <w:tcBorders>
              <w:top w:val="nil"/>
              <w:left w:val="nil"/>
              <w:bottom w:val="single" w:sz="4" w:space="0" w:color="auto"/>
              <w:right w:val="single" w:sz="4" w:space="0" w:color="auto"/>
            </w:tcBorders>
            <w:shd w:val="clear" w:color="auto" w:fill="auto"/>
          </w:tcPr>
          <w:p w14:paraId="3EB3E7FB" w14:textId="5D1AF168" w:rsidR="008A0052" w:rsidRPr="008A0052" w:rsidRDefault="008A0052" w:rsidP="00662A21">
            <w:pPr>
              <w:rPr>
                <w:color w:val="000000" w:themeColor="text1"/>
              </w:rPr>
            </w:pPr>
            <w:r>
              <w:rPr>
                <w:color w:val="000000" w:themeColor="text1"/>
              </w:rPr>
              <w:t xml:space="preserve">Lūdzam skatīt sadaļu 4.2. </w:t>
            </w:r>
          </w:p>
          <w:p w14:paraId="1582C4EC" w14:textId="649B8E6D" w:rsidR="00607441" w:rsidRPr="009841AB" w:rsidRDefault="00C72850" w:rsidP="00662A21">
            <w:pPr>
              <w:rPr>
                <w:color w:val="000000"/>
              </w:rPr>
            </w:pPr>
            <w:r>
              <w:rPr>
                <w:color w:val="000000"/>
              </w:rPr>
              <w:t xml:space="preserve">Kļūdaini atkārtotais teksts dzēsts. </w:t>
            </w:r>
          </w:p>
        </w:tc>
      </w:tr>
      <w:tr w:rsidR="00662A21" w:rsidRPr="009841AB" w14:paraId="739CA3F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BF791AE" w14:textId="77777777" w:rsidR="00662A21" w:rsidRPr="009841AB" w:rsidRDefault="00662A21" w:rsidP="00662A21">
            <w:pPr>
              <w:tabs>
                <w:tab w:val="left" w:pos="720"/>
              </w:tabs>
              <w:contextualSpacing/>
              <w:jc w:val="both"/>
              <w:rPr>
                <w:b/>
                <w:bCs/>
                <w:lang w:eastAsia="en-US"/>
              </w:rPr>
            </w:pPr>
            <w:r w:rsidRPr="009841AB">
              <w:rPr>
                <w:b/>
                <w:bCs/>
                <w:lang w:eastAsia="en-US"/>
              </w:rPr>
              <w:lastRenderedPageBreak/>
              <w:t>Ekonomikas ministrijas 03.02.2021. atzinums:</w:t>
            </w:r>
          </w:p>
        </w:tc>
      </w:tr>
      <w:tr w:rsidR="00662A21" w:rsidRPr="009841AB" w14:paraId="09B48323"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B4A2552" w14:textId="77777777" w:rsidR="00662A21" w:rsidRPr="009841AB" w:rsidRDefault="00662A21" w:rsidP="00662A21">
            <w:pPr>
              <w:pStyle w:val="naisc"/>
              <w:spacing w:before="0" w:after="0"/>
            </w:pPr>
            <w:r w:rsidRPr="009841AB">
              <w:t>1</w:t>
            </w:r>
            <w:r w:rsidR="00DE3DC4">
              <w:t>70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686B3CC"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8AC805D" w14:textId="77777777" w:rsidR="00662A21" w:rsidRPr="009841AB" w:rsidRDefault="00662A21" w:rsidP="00662A21">
            <w:pPr>
              <w:widowControl w:val="0"/>
              <w:jc w:val="both"/>
            </w:pPr>
            <w:r w:rsidRPr="009841AB">
              <w:t xml:space="preserve">Pamatnostādņu projekts paredz, ka Ekonomikas ministrija un Patērētāju tiesību aizsardzības centrs (turpmāk – PTAC) līdz 2023. gadam izstrādā metodiku ar e-komerciju saistītu sūdzību pārvaldību un </w:t>
            </w:r>
            <w:proofErr w:type="spellStart"/>
            <w:r w:rsidRPr="009841AB">
              <w:t>prioritizēšanu</w:t>
            </w:r>
            <w:proofErr w:type="spellEnd"/>
            <w:r w:rsidRPr="009841AB">
              <w:t>. Saistībā ar minētā uzdevuma iekļaušanu Pamatnostādņu projektā (uzdevuma identifikators U4.2.3.-1) paskaidrojam, ka PTAC nav devis tam saskaņojumu, līdz ar to nepiekrītam šādai Pamatnostādņu projektā iekļautajai uzdevuma redakcijai. Uzdevumam, kurš saistīts ar patērētāju tiesību aizsardzību digitālajā vidē, būtu jābūt atbilstošam izstrādātajai un apstiprinātajai PTAC stratēģijai. Vienlaikus ierosinām uzdevuma redakciju saistīt ar jaunu e-komercijas uzraudzības rīku un metožu ieviešanu, ņemot vērā elektroniskās vides un tirgus attīstības tendences.</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CC52ECD" w14:textId="77777777" w:rsidR="007D63C0" w:rsidRPr="00D264F6" w:rsidRDefault="00662A21" w:rsidP="00662A21">
            <w:pPr>
              <w:pStyle w:val="naisc"/>
              <w:spacing w:before="0" w:after="0"/>
              <w:jc w:val="both"/>
              <w:rPr>
                <w:b/>
                <w:bCs/>
                <w:color w:val="000000"/>
              </w:rPr>
            </w:pPr>
            <w:r w:rsidRPr="009841AB">
              <w:rPr>
                <w:b/>
                <w:bCs/>
                <w:color w:val="000000"/>
              </w:rPr>
              <w:t>Ņemts vērā</w:t>
            </w:r>
          </w:p>
          <w:p w14:paraId="43A13F18" w14:textId="77777777" w:rsidR="007D63C0" w:rsidRPr="009841AB" w:rsidRDefault="007D63C0" w:rsidP="00662A21">
            <w:pPr>
              <w:pStyle w:val="naisc"/>
              <w:spacing w:before="0" w:after="0"/>
              <w:jc w:val="both"/>
              <w:rPr>
                <w:b/>
                <w:bCs/>
              </w:rPr>
            </w:pPr>
            <w:r w:rsidRPr="009841AB">
              <w:rPr>
                <w:color w:val="000000"/>
              </w:rPr>
              <w:t>Uzdevuma U4.2.3.-1 formulējums ir mainīts saskaņā ar ieteikto - "ieviest jaunus uzraudzības rīkus un metodes e-komercijas vides uzraudzībai patērētāju tiesību jomā", norādot ieviešanas termiņu līdz 2023. gadam.</w:t>
            </w:r>
          </w:p>
        </w:tc>
        <w:tc>
          <w:tcPr>
            <w:tcW w:w="3497" w:type="dxa"/>
            <w:tcBorders>
              <w:top w:val="single" w:sz="4" w:space="0" w:color="auto"/>
              <w:left w:val="nil"/>
              <w:bottom w:val="single" w:sz="4" w:space="0" w:color="auto"/>
              <w:right w:val="single" w:sz="4" w:space="0" w:color="auto"/>
            </w:tcBorders>
            <w:shd w:val="clear" w:color="auto" w:fill="auto"/>
          </w:tcPr>
          <w:p w14:paraId="1BFE66A5" w14:textId="77777777" w:rsidR="00662A21" w:rsidRPr="009841AB" w:rsidRDefault="007D63C0" w:rsidP="00662A21">
            <w:r w:rsidRPr="009841AB">
              <w:rPr>
                <w:color w:val="000000"/>
              </w:rPr>
              <w:t>Lūdzam skatīt u</w:t>
            </w:r>
            <w:r w:rsidR="00662A21" w:rsidRPr="009841AB">
              <w:rPr>
                <w:color w:val="000000"/>
              </w:rPr>
              <w:t>zdevum</w:t>
            </w:r>
            <w:r w:rsidRPr="009841AB">
              <w:rPr>
                <w:color w:val="000000"/>
              </w:rPr>
              <w:t>u</w:t>
            </w:r>
            <w:r w:rsidR="00662A21" w:rsidRPr="009841AB">
              <w:rPr>
                <w:color w:val="000000"/>
              </w:rPr>
              <w:t xml:space="preserve"> U4.2.3.-1</w:t>
            </w:r>
          </w:p>
        </w:tc>
      </w:tr>
      <w:tr w:rsidR="00662A21" w:rsidRPr="009841AB" w14:paraId="3DD10DA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D179C38" w14:textId="77777777" w:rsidR="00662A21" w:rsidRPr="009841AB" w:rsidRDefault="00662A21" w:rsidP="00662A21">
            <w:pPr>
              <w:tabs>
                <w:tab w:val="left" w:pos="720"/>
              </w:tabs>
              <w:contextualSpacing/>
              <w:jc w:val="both"/>
              <w:rPr>
                <w:b/>
                <w:bCs/>
                <w:lang w:eastAsia="en-US"/>
              </w:rPr>
            </w:pPr>
            <w:r w:rsidRPr="009841AB">
              <w:rPr>
                <w:b/>
                <w:bCs/>
                <w:lang w:eastAsia="en-US"/>
              </w:rPr>
              <w:t>Latvijas Finanšu nozares asociācijas 28.01.2021. atzinums:</w:t>
            </w:r>
          </w:p>
        </w:tc>
      </w:tr>
      <w:tr w:rsidR="00662A21" w:rsidRPr="009841AB" w14:paraId="361AB518"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8048194" w14:textId="77777777" w:rsidR="00662A21" w:rsidRPr="009841AB" w:rsidRDefault="00662A21" w:rsidP="00662A21">
            <w:pPr>
              <w:pStyle w:val="naisc"/>
              <w:spacing w:before="0" w:after="0"/>
            </w:pPr>
            <w:r w:rsidRPr="009841AB">
              <w:t>1</w:t>
            </w:r>
            <w:r w:rsidR="00DE3DC4">
              <w:t>7</w:t>
            </w:r>
            <w:r w:rsidRPr="009841AB">
              <w:t>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FEBC50E"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2F3B66E" w14:textId="77777777" w:rsidR="00662A21" w:rsidRPr="009841AB" w:rsidRDefault="00662A21" w:rsidP="00662A21">
            <w:pPr>
              <w:widowControl w:val="0"/>
              <w:jc w:val="both"/>
            </w:pPr>
            <w:r w:rsidRPr="009841AB">
              <w:t xml:space="preserve">Projekta 4.2.2. rīcības virziena vīzija ir veicināt kvalificētu elektroniskās identifikācijas līdzekļu un uzticamības pakalpojumu izmantošanu, padarot to par ierastu praksi Latvijas digitālajā telpā, nodrošināt drošu piekļuvi viegli lietojamai digitālās identitātes sistēmai, izmantojot modernās tehnoloģijas, efektīvi minimizējot ar identitātes viltošanu saistītos </w:t>
            </w:r>
            <w:proofErr w:type="spellStart"/>
            <w:r w:rsidRPr="009841AB">
              <w:t>kiberdrošības</w:t>
            </w:r>
            <w:proofErr w:type="spellEnd"/>
            <w:r w:rsidRPr="009841AB">
              <w:t xml:space="preserve"> riskus tajā. Asociācija vērš uzmanību, ka Latvijai ir saistošs kā nacionālais, tā Eiropas Savienības uzticamības pakalpojumu regulējums un tas nepieļauj autentifikāciju ierobežot tikai ar nacionālajiem kvalificētajiem paaugstinātas drošības elektroniskās identifikācijas rīkiem. Piedāvājot autentifikāciju sabiedrībai nozīmīgiem pakalpojumiem digitālajā vidē jānodrošina </w:t>
            </w:r>
            <w:r w:rsidRPr="009841AB">
              <w:lastRenderedPageBreak/>
              <w:t xml:space="preserve">iespējamība izmantot ne tikai nacionālos, bet arī Eiropas Savienības kvalificētos paaugstinātas drošības elektroniskās identifikācijas rīkus pēc pakalpojuma sniedzēja izvēles. Atbilstoši minētajam principam ietverama arī Projektā norādītā statistika, ņemot vērā ne tikai </w:t>
            </w:r>
            <w:proofErr w:type="spellStart"/>
            <w:r w:rsidRPr="009841AB">
              <w:t>eID</w:t>
            </w:r>
            <w:proofErr w:type="spellEnd"/>
            <w:r w:rsidRPr="009841AB">
              <w:t xml:space="preserve"> un </w:t>
            </w:r>
            <w:proofErr w:type="spellStart"/>
            <w:r w:rsidRPr="009841AB">
              <w:t>eParaksts</w:t>
            </w:r>
            <w:proofErr w:type="spellEnd"/>
            <w:r w:rsidRPr="009841AB">
              <w:t xml:space="preserve"> </w:t>
            </w:r>
            <w:proofErr w:type="spellStart"/>
            <w:r w:rsidRPr="009841AB">
              <w:t>mobile</w:t>
            </w:r>
            <w:proofErr w:type="spellEnd"/>
            <w:r w:rsidRPr="009841AB">
              <w:t xml:space="preserve"> unikālo lietotāju skaitu, bet arī citu kvalificēto paaugstinātas drošības elektroniskās identifikācijas rīku, kas atzīti Latvijā saskaņā ar regulējumu, lietotājus. Tāpat Eiropas Savienības principi attiecībā uz godīgu konkurenci un brīvo tirgu jāievēro arī nosakot sagaidāmos rezultātus. Atbilstoši minētajam lūdzam precizēt Projekta 4.2.2. rīcības virzienu.</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4BAF04E7" w14:textId="77777777" w:rsidR="00427C9C" w:rsidRDefault="00427C9C" w:rsidP="00427C9C">
            <w:pPr>
              <w:pStyle w:val="naisc"/>
              <w:jc w:val="both"/>
              <w:rPr>
                <w:b/>
                <w:bCs/>
              </w:rPr>
            </w:pPr>
            <w:r>
              <w:rPr>
                <w:b/>
                <w:bCs/>
              </w:rPr>
              <w:lastRenderedPageBreak/>
              <w:t>Panākta vienošanās</w:t>
            </w:r>
          </w:p>
          <w:p w14:paraId="63A5C522" w14:textId="77777777" w:rsidR="007C0DB0" w:rsidRPr="009841AB" w:rsidRDefault="007C0DB0" w:rsidP="00662A21">
            <w:pPr>
              <w:pStyle w:val="naisc"/>
              <w:spacing w:before="0" w:after="0"/>
              <w:jc w:val="both"/>
              <w:rPr>
                <w:b/>
                <w:bCs/>
              </w:rPr>
            </w:pPr>
            <w:r w:rsidRPr="009841AB">
              <w:rPr>
                <w:color w:val="000000"/>
              </w:rPr>
              <w:t xml:space="preserve">Vīzija un viens no sagaidāmiem rezultātiem (2 - koriģētajā redakcijā) tieši norāda uz to, ka mērķis ir visu kvalificēto identifikācijas pakalpojumu veicināšana. Tomēr, tā kā valsts pārvalde nevar tieši ietekmēt komerciālo </w:t>
            </w:r>
            <w:r w:rsidRPr="009841AB">
              <w:rPr>
                <w:color w:val="000000"/>
              </w:rPr>
              <w:lastRenderedPageBreak/>
              <w:t xml:space="preserve">pakalpojumu attīstību un arī korekti izmērīt to izmantošanas intensitāti, kvantitatīvi mērāmajos rādītājos uzdevumos un rādītājos ir saglabātas tieši uz nacionālās platformas pakalpojumiem attiecināmas vērtības.   </w:t>
            </w:r>
          </w:p>
        </w:tc>
        <w:tc>
          <w:tcPr>
            <w:tcW w:w="3497" w:type="dxa"/>
            <w:tcBorders>
              <w:top w:val="single" w:sz="4" w:space="0" w:color="auto"/>
              <w:left w:val="nil"/>
              <w:bottom w:val="single" w:sz="4" w:space="0" w:color="auto"/>
              <w:right w:val="single" w:sz="4" w:space="0" w:color="auto"/>
            </w:tcBorders>
            <w:shd w:val="clear" w:color="auto" w:fill="auto"/>
          </w:tcPr>
          <w:p w14:paraId="698889C8" w14:textId="77777777" w:rsidR="00662A21" w:rsidRPr="009841AB" w:rsidRDefault="007C0DB0" w:rsidP="00662A21">
            <w:r w:rsidRPr="009841AB">
              <w:rPr>
                <w:color w:val="000000"/>
              </w:rPr>
              <w:lastRenderedPageBreak/>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1BF4A567"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9A221BA" w14:textId="77777777" w:rsidR="00662A21" w:rsidRPr="009841AB" w:rsidRDefault="00662A21" w:rsidP="00662A21">
            <w:pPr>
              <w:tabs>
                <w:tab w:val="left" w:pos="720"/>
              </w:tabs>
              <w:contextualSpacing/>
              <w:jc w:val="both"/>
              <w:rPr>
                <w:b/>
                <w:bCs/>
                <w:lang w:eastAsia="en-US"/>
              </w:rPr>
            </w:pPr>
            <w:r w:rsidRPr="009841AB">
              <w:rPr>
                <w:b/>
                <w:bCs/>
                <w:lang w:eastAsia="en-US"/>
              </w:rPr>
              <w:t>Izglītības un zinātnes ministrijas 27.01.2021. atzinums:</w:t>
            </w:r>
          </w:p>
        </w:tc>
      </w:tr>
      <w:tr w:rsidR="00662A21" w:rsidRPr="009841AB" w14:paraId="1FE7357A"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137A292D" w14:textId="77777777" w:rsidR="00662A21" w:rsidRPr="009841AB" w:rsidRDefault="00662A21" w:rsidP="00662A21">
            <w:pPr>
              <w:pStyle w:val="naisc"/>
              <w:spacing w:before="0" w:after="0"/>
            </w:pPr>
            <w:r w:rsidRPr="009841AB">
              <w:t>1</w:t>
            </w:r>
            <w:r w:rsidR="00DE3DC4">
              <w:t>7</w:t>
            </w:r>
            <w:r w:rsidRPr="009841AB">
              <w:t>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08A6522"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856B59F" w14:textId="77777777" w:rsidR="00662A21" w:rsidRPr="009841AB" w:rsidRDefault="00662A21" w:rsidP="00662A21">
            <w:pPr>
              <w:jc w:val="both"/>
            </w:pPr>
            <w:r w:rsidRPr="009841AB">
              <w:t>1.</w:t>
            </w:r>
            <w:r w:rsidRPr="009841AB">
              <w:tab/>
              <w:t xml:space="preserve">Projekta 4.2.1. rīcības virzienā “Digitālās drošības politika” esošās situācijas apraksts ietver vairākus, ar konkrētiem risinājumiem saistītus izaicinājumus, kuri nav ietverti spēkā esošajā </w:t>
            </w:r>
            <w:proofErr w:type="spellStart"/>
            <w:r w:rsidRPr="009841AB">
              <w:t>Kiberdrošības</w:t>
            </w:r>
            <w:proofErr w:type="spellEnd"/>
            <w:r w:rsidRPr="009841AB">
              <w:t xml:space="preserve"> </w:t>
            </w:r>
            <w:proofErr w:type="spellStart"/>
            <w:r w:rsidRPr="009841AB">
              <w:t>stratēgijā</w:t>
            </w:r>
            <w:proofErr w:type="spellEnd"/>
            <w:r w:rsidRPr="009841AB">
              <w:t xml:space="preserve"> 2019.-2022.gadam. Ņemot vērā, ka nākamo versiju plānots izstrādāt tikai uz 2023.gadu, vai tas nozīmē, ka līdz tam nav plānota nekādu pasākumu veikšana rīcībās virzienā aprakstīto izaicinājumu mazināšanai un problēmu risināšanai? Lūdzam precizēt projektu, ņemot vērā </w:t>
            </w:r>
            <w:proofErr w:type="spellStart"/>
            <w:r w:rsidRPr="009841AB">
              <w:t>kiberdrošības</w:t>
            </w:r>
            <w:proofErr w:type="spellEnd"/>
            <w:r w:rsidRPr="009841AB">
              <w:t xml:space="preserve"> būtisko ietekmi uz kvalitatīvas digitālās transformācijas īstenošanu.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18280A8" w14:textId="77777777" w:rsidR="002F6853" w:rsidRPr="00D264F6" w:rsidRDefault="00662A21" w:rsidP="00662A21">
            <w:pPr>
              <w:pStyle w:val="naisc"/>
              <w:spacing w:before="0" w:after="0"/>
              <w:jc w:val="both"/>
              <w:rPr>
                <w:b/>
                <w:bCs/>
                <w:color w:val="000000"/>
              </w:rPr>
            </w:pPr>
            <w:r w:rsidRPr="009841AB">
              <w:rPr>
                <w:b/>
                <w:bCs/>
                <w:color w:val="000000"/>
              </w:rPr>
              <w:t>Ņemts vērā</w:t>
            </w:r>
          </w:p>
          <w:p w14:paraId="668E9C73" w14:textId="77777777" w:rsidR="002F6853" w:rsidRPr="009841AB" w:rsidRDefault="002F6853" w:rsidP="00662A21">
            <w:pPr>
              <w:pStyle w:val="naisc"/>
              <w:spacing w:before="0" w:after="0"/>
              <w:jc w:val="both"/>
            </w:pPr>
            <w:r w:rsidRPr="009841AB">
              <w:rPr>
                <w:color w:val="000000"/>
              </w:rPr>
              <w:t>4.2. sadaļas rezultāta rādītāju un veicamo uzdevumu formulējumi ir koriģēti, lai dotu tiešas norādes uz gan tuvākajā laikā, gan ilgākā perspektīvā veicamo.</w:t>
            </w:r>
          </w:p>
        </w:tc>
        <w:tc>
          <w:tcPr>
            <w:tcW w:w="3497" w:type="dxa"/>
            <w:tcBorders>
              <w:top w:val="single" w:sz="4" w:space="0" w:color="auto"/>
              <w:left w:val="nil"/>
              <w:bottom w:val="single" w:sz="4" w:space="0" w:color="auto"/>
              <w:right w:val="single" w:sz="4" w:space="0" w:color="auto"/>
            </w:tcBorders>
            <w:shd w:val="clear" w:color="auto" w:fill="auto"/>
          </w:tcPr>
          <w:p w14:paraId="0814C571" w14:textId="77777777" w:rsidR="00662A21" w:rsidRPr="009841AB" w:rsidRDefault="002F6853"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4.2.1.</w:t>
            </w:r>
          </w:p>
        </w:tc>
      </w:tr>
      <w:tr w:rsidR="00662A21" w:rsidRPr="009841AB" w14:paraId="7C83447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3FB505B" w14:textId="77777777" w:rsidR="00662A21" w:rsidRPr="009841AB" w:rsidRDefault="00662A21" w:rsidP="00662A21">
            <w:pPr>
              <w:pStyle w:val="naisc"/>
              <w:spacing w:before="0" w:after="0"/>
            </w:pPr>
            <w:r w:rsidRPr="009841AB">
              <w:t>1</w:t>
            </w:r>
            <w:r w:rsidR="00DE3DC4">
              <w:t>7</w:t>
            </w:r>
            <w:r w:rsidRPr="009841AB">
              <w:t>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B466E07"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7F7DA82" w14:textId="77777777" w:rsidR="00662A21" w:rsidRPr="009841AB" w:rsidRDefault="00662A21" w:rsidP="00662A21">
            <w:pPr>
              <w:jc w:val="both"/>
            </w:pPr>
            <w:r w:rsidRPr="009841AB">
              <w:t>2.</w:t>
            </w:r>
            <w:r w:rsidRPr="009841AB">
              <w:tab/>
              <w:t xml:space="preserve">Ievērojot 4.2.2. rīcības virziena “Elektroniskā identitāte un uzticamības pakalpojumi” esošās situācijas aprakstā minēto, ka par aktīviem e-pakalpojumu lietotājiem var uzskatīt tikai 112 380 personas, kā problēmas tiek izvirzītas tikai potenciālo lietotāju pasivitāte, bet netiek analizēti tās cēloņi, tai skaitā, digitālo tehnoloģiju lietošanas </w:t>
            </w:r>
            <w:proofErr w:type="spellStart"/>
            <w:r w:rsidRPr="009841AB">
              <w:t>pamatprasmju</w:t>
            </w:r>
            <w:proofErr w:type="spellEnd"/>
            <w:r w:rsidRPr="009841AB">
              <w:t xml:space="preserve"> trūkums un atbilstoši pretī netiek plānota rīcība šo trūkumu novēršanai, kā galveno risinājumu redzot </w:t>
            </w:r>
            <w:r w:rsidRPr="009841AB">
              <w:lastRenderedPageBreak/>
              <w:t xml:space="preserve">tikai lietotāju loka paplašināšanu bērnu un jauniešu auditorijā. Vienlaikus, nepieciešamība bērnus no 7 līdz 14 gadu vecumam apgādāt ar e-paraksta </w:t>
            </w:r>
            <w:r w:rsidR="4F26E840">
              <w:t>funkcionalitāti</w:t>
            </w:r>
            <w:r w:rsidRPr="009841AB">
              <w:t xml:space="preserve">, būtu vērtējama kopsakarībā ar Latvijas likumos noteiktajām bērna līdz 14 gadu vecumam tiesībām un pienākumiem. Lūdzam papildināt un precizēt projekta tekstu. </w:t>
            </w:r>
          </w:p>
        </w:tc>
        <w:tc>
          <w:tcPr>
            <w:tcW w:w="2480" w:type="dxa"/>
            <w:tcBorders>
              <w:top w:val="nil"/>
              <w:left w:val="single" w:sz="4" w:space="0" w:color="auto"/>
              <w:bottom w:val="single" w:sz="4" w:space="0" w:color="auto"/>
              <w:right w:val="single" w:sz="4" w:space="0" w:color="auto"/>
            </w:tcBorders>
            <w:shd w:val="clear" w:color="auto" w:fill="auto"/>
          </w:tcPr>
          <w:p w14:paraId="3A869082" w14:textId="77777777" w:rsidR="00662A21" w:rsidRPr="009841AB" w:rsidRDefault="00662A21" w:rsidP="00662A21">
            <w:pPr>
              <w:pStyle w:val="naisc"/>
              <w:spacing w:before="0" w:after="0"/>
              <w:jc w:val="both"/>
              <w:rPr>
                <w:b/>
                <w:bCs/>
              </w:rPr>
            </w:pPr>
            <w:r w:rsidRPr="009841AB">
              <w:rPr>
                <w:b/>
                <w:bCs/>
                <w:color w:val="000000"/>
              </w:rPr>
              <w:lastRenderedPageBreak/>
              <w:t>Ņemts vērā</w:t>
            </w:r>
          </w:p>
        </w:tc>
        <w:tc>
          <w:tcPr>
            <w:tcW w:w="3497" w:type="dxa"/>
            <w:tcBorders>
              <w:top w:val="nil"/>
              <w:left w:val="nil"/>
              <w:bottom w:val="single" w:sz="4" w:space="0" w:color="auto"/>
              <w:right w:val="single" w:sz="4" w:space="0" w:color="auto"/>
            </w:tcBorders>
            <w:shd w:val="clear" w:color="auto" w:fill="auto"/>
          </w:tcPr>
          <w:p w14:paraId="5762988D" w14:textId="77777777" w:rsidR="00662A21" w:rsidRPr="009841AB" w:rsidRDefault="00727695"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2A8D22E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2E5A07B" w14:textId="77777777" w:rsidR="00662A21" w:rsidRPr="009841AB" w:rsidRDefault="00662A21" w:rsidP="00662A21">
            <w:pPr>
              <w:pStyle w:val="naisc"/>
              <w:spacing w:before="0" w:after="0"/>
            </w:pPr>
            <w:r w:rsidRPr="009841AB">
              <w:t>1</w:t>
            </w:r>
            <w:r w:rsidR="00DE3DC4">
              <w:t>7</w:t>
            </w:r>
            <w:r w:rsidRPr="009841AB">
              <w:t>4</w:t>
            </w:r>
          </w:p>
          <w:p w14:paraId="4E4A6B38" w14:textId="77777777" w:rsidR="00662A21" w:rsidRPr="009841AB" w:rsidRDefault="00662A21" w:rsidP="00662A21"/>
          <w:p w14:paraId="180029B3" w14:textId="77777777" w:rsidR="00662A21" w:rsidRPr="009841AB" w:rsidRDefault="00662A21" w:rsidP="00662A21"/>
        </w:tc>
        <w:tc>
          <w:tcPr>
            <w:tcW w:w="2427" w:type="dxa"/>
            <w:tcBorders>
              <w:left w:val="single" w:sz="6" w:space="0" w:color="000000" w:themeColor="text1"/>
              <w:bottom w:val="single" w:sz="4" w:space="0" w:color="auto"/>
              <w:right w:val="single" w:sz="6" w:space="0" w:color="000000" w:themeColor="text1"/>
            </w:tcBorders>
            <w:shd w:val="clear" w:color="auto" w:fill="auto"/>
          </w:tcPr>
          <w:p w14:paraId="594C7026"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4773D84" w14:textId="77777777" w:rsidR="00662A21" w:rsidRPr="009841AB" w:rsidRDefault="00662A21" w:rsidP="00662A21">
            <w:pPr>
              <w:jc w:val="both"/>
            </w:pPr>
            <w:r w:rsidRPr="009841AB">
              <w:t>3.</w:t>
            </w:r>
            <w:r w:rsidRPr="009841AB">
              <w:tab/>
              <w:t>Lūdzam skaidrot kā 4.2.4. rīcības virziens “Interneta lietotāju aizsardzība pret kaitīgu saturu” paredzētie uzdevumi nodrošinās rīcības virzienam aprakstītās vīzijas īstenošanu pamatnostādņu darbības periodā, jo tie neskar citas interneta lietotāju grupas kā tikai bērnus un jauniešus, un kā tiks sasniegti sagaidāmie rezultāti.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D7FD761" w14:textId="77777777" w:rsidR="00662A21" w:rsidRPr="009841AB" w:rsidRDefault="00662A21" w:rsidP="00662A21">
            <w:pPr>
              <w:pStyle w:val="naisc"/>
              <w:spacing w:before="0" w:after="0"/>
              <w:jc w:val="both"/>
              <w:rPr>
                <w:b/>
                <w:bCs/>
              </w:rPr>
            </w:pPr>
            <w:r w:rsidRPr="009841AB">
              <w:rPr>
                <w:b/>
                <w:bCs/>
              </w:rPr>
              <w:t>Ņemts vērā</w:t>
            </w:r>
          </w:p>
        </w:tc>
        <w:tc>
          <w:tcPr>
            <w:tcW w:w="3497" w:type="dxa"/>
            <w:tcBorders>
              <w:top w:val="single" w:sz="4" w:space="0" w:color="auto"/>
              <w:left w:val="single" w:sz="4" w:space="0" w:color="auto"/>
              <w:bottom w:val="single" w:sz="4" w:space="0" w:color="auto"/>
            </w:tcBorders>
            <w:shd w:val="clear" w:color="auto" w:fill="auto"/>
          </w:tcPr>
          <w:p w14:paraId="3C7689B1" w14:textId="77777777" w:rsidR="00662A21" w:rsidRPr="009841AB" w:rsidRDefault="00727695"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4.2.4.</w:t>
            </w:r>
          </w:p>
        </w:tc>
      </w:tr>
      <w:tr w:rsidR="00662A21" w:rsidRPr="009841AB" w14:paraId="6D9B380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03806BA2" w14:textId="77777777" w:rsidR="00662A21" w:rsidRPr="009841AB" w:rsidRDefault="00662A21" w:rsidP="00662A21">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0ADE16B" w14:textId="77777777" w:rsidR="00662A21" w:rsidRPr="009841AB" w:rsidRDefault="00662A21" w:rsidP="00662A2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9ADAF38" w14:textId="77777777" w:rsidR="00662A21" w:rsidRPr="009841AB" w:rsidRDefault="00662A21" w:rsidP="00662A21">
            <w:pPr>
              <w:jc w:val="both"/>
              <w:rPr>
                <w:b/>
                <w:bCs/>
              </w:rPr>
            </w:pPr>
            <w:r w:rsidRPr="009841AB">
              <w:rPr>
                <w:b/>
                <w:bC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727E02A" w14:textId="77777777" w:rsidR="00662A21" w:rsidRPr="009841AB" w:rsidRDefault="00662A21" w:rsidP="00662A21">
            <w:pPr>
              <w:pStyle w:val="naisc"/>
              <w:spacing w:before="0" w:after="0"/>
              <w:jc w:val="both"/>
            </w:pPr>
          </w:p>
        </w:tc>
        <w:tc>
          <w:tcPr>
            <w:tcW w:w="3497" w:type="dxa"/>
            <w:tcBorders>
              <w:top w:val="single" w:sz="4" w:space="0" w:color="auto"/>
              <w:left w:val="single" w:sz="4" w:space="0" w:color="auto"/>
              <w:bottom w:val="single" w:sz="4" w:space="0" w:color="auto"/>
            </w:tcBorders>
            <w:shd w:val="clear" w:color="auto" w:fill="auto"/>
          </w:tcPr>
          <w:p w14:paraId="4FCFAFE1" w14:textId="77777777" w:rsidR="00662A21" w:rsidRPr="009841AB" w:rsidRDefault="00662A21" w:rsidP="00662A21"/>
        </w:tc>
      </w:tr>
      <w:tr w:rsidR="00662A21" w:rsidRPr="009841AB" w14:paraId="703701CC"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6C271CF" w14:textId="77777777" w:rsidR="00662A21" w:rsidRPr="009841AB" w:rsidRDefault="00662A21" w:rsidP="00662A21">
            <w:pPr>
              <w:pStyle w:val="naisc"/>
              <w:spacing w:before="0" w:after="0"/>
            </w:pPr>
            <w:r w:rsidRPr="009841AB">
              <w:t>1</w:t>
            </w:r>
            <w:r w:rsidR="00DE3DC4">
              <w:t>7</w:t>
            </w:r>
            <w:r w:rsidRPr="009841AB">
              <w:t>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C9514CD"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E4BC707" w14:textId="77777777" w:rsidR="00662A21" w:rsidRPr="009841AB" w:rsidRDefault="00662A21" w:rsidP="00662A21">
            <w:pPr>
              <w:jc w:val="both"/>
            </w:pPr>
            <w:r w:rsidRPr="009841AB">
              <w:t>Ņemot vērā, ka saskaņā ar Jaunatnes likumu jaunieši ir personas vecumā no 13 līdz 25 gadiem, iesakām precizēt rīcības virziena “4.2.2. Elektroniskā identitāte un uzticamības pakalpojumi” aprakstu un uzdevumus, izmantojot attiecībā uz personām vecumā no 7 līdz 14 gadiem apzīmējumus “bērni” vai “skolēni”.</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C1F271E" w14:textId="77777777" w:rsidR="00662A21" w:rsidRPr="009841AB" w:rsidRDefault="00662A21" w:rsidP="00662A21">
            <w:pPr>
              <w:pStyle w:val="naisc"/>
              <w:spacing w:before="0" w:after="0"/>
              <w:jc w:val="both"/>
              <w:rPr>
                <w:b/>
                <w:bCs/>
              </w:rPr>
            </w:pPr>
            <w:r w:rsidRPr="009841AB">
              <w:rPr>
                <w:b/>
                <w:bCs/>
                <w:color w:val="000000"/>
              </w:rPr>
              <w:t>Ņemts vērā</w:t>
            </w:r>
          </w:p>
        </w:tc>
        <w:tc>
          <w:tcPr>
            <w:tcW w:w="3497" w:type="dxa"/>
            <w:tcBorders>
              <w:top w:val="single" w:sz="4" w:space="0" w:color="auto"/>
              <w:left w:val="nil"/>
              <w:bottom w:val="single" w:sz="4" w:space="0" w:color="auto"/>
              <w:right w:val="single" w:sz="4" w:space="0" w:color="auto"/>
            </w:tcBorders>
            <w:shd w:val="clear" w:color="auto" w:fill="auto"/>
          </w:tcPr>
          <w:p w14:paraId="322C7FFE" w14:textId="77777777" w:rsidR="00662A21" w:rsidRPr="009841AB" w:rsidRDefault="00727695"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63D6CC3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94CD6BD" w14:textId="77777777" w:rsidR="00662A21" w:rsidRPr="009841AB" w:rsidRDefault="00662A21" w:rsidP="00662A21">
            <w:pPr>
              <w:tabs>
                <w:tab w:val="left" w:pos="720"/>
              </w:tabs>
              <w:contextualSpacing/>
              <w:jc w:val="both"/>
              <w:rPr>
                <w:b/>
                <w:bCs/>
                <w:lang w:eastAsia="en-US"/>
              </w:rPr>
            </w:pPr>
            <w:r w:rsidRPr="009841AB">
              <w:rPr>
                <w:b/>
                <w:bCs/>
                <w:lang w:eastAsia="en-US"/>
              </w:rPr>
              <w:t>Latvijas Darba devēju konfederācijas 29.01.2021. atzinums:</w:t>
            </w:r>
          </w:p>
        </w:tc>
      </w:tr>
      <w:tr w:rsidR="00662A21" w:rsidRPr="009841AB" w14:paraId="2218B05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4265B66B" w14:textId="77777777" w:rsidR="00662A21" w:rsidRPr="009841AB" w:rsidRDefault="00662A21" w:rsidP="00662A21">
            <w:pPr>
              <w:pStyle w:val="naisc"/>
              <w:spacing w:before="0" w:after="0"/>
            </w:pPr>
            <w:r w:rsidRPr="009841AB">
              <w:t>1</w:t>
            </w:r>
            <w:r w:rsidR="00DE3DC4">
              <w:t>7</w:t>
            </w:r>
            <w:r w:rsidRPr="009841AB">
              <w:t>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3140F8C"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3A53E2F" w14:textId="77777777" w:rsidR="00662A21" w:rsidRPr="009841AB" w:rsidRDefault="00662A21" w:rsidP="00662A21">
            <w:pPr>
              <w:widowControl w:val="0"/>
              <w:jc w:val="both"/>
            </w:pPr>
            <w:r w:rsidRPr="009841AB">
              <w:t>LDDK ierosina  rīcības virzienā Interneta lietotāju aizsardzība pret kaitīgu saturu (4.2.4.) kā uzdevumu īstenošanā kā līdzatbildīgo noteikt arī IZM, jo plānam un komunikācijas programmai bērniem, pusaudžiem un vecākiem par drošu un atbildīgu interneta piekļuves tehnoloģiju lietošanu un pārvaldību ir jābūt saistībā arī ar izglītības procesu.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54F6020" w14:textId="77777777" w:rsidR="00662A21" w:rsidRPr="009841AB" w:rsidRDefault="00662A21" w:rsidP="00662A21">
            <w:pPr>
              <w:pStyle w:val="naisc"/>
              <w:tabs>
                <w:tab w:val="left" w:pos="1095"/>
              </w:tabs>
              <w:spacing w:before="0" w:after="0"/>
              <w:jc w:val="left"/>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4127774E" w14:textId="77777777" w:rsidR="00662A21" w:rsidRPr="009841AB" w:rsidRDefault="00727695"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4.2.4.</w:t>
            </w:r>
          </w:p>
        </w:tc>
      </w:tr>
      <w:tr w:rsidR="00662A21" w:rsidRPr="009841AB" w14:paraId="21F5989B"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83204F9" w14:textId="77777777" w:rsidR="00662A21" w:rsidRPr="009841AB" w:rsidRDefault="00662A21" w:rsidP="00662A21">
            <w:pPr>
              <w:jc w:val="both"/>
              <w:rPr>
                <w:b/>
                <w:bCs/>
              </w:rPr>
            </w:pPr>
            <w:r w:rsidRPr="009841AB">
              <w:rPr>
                <w:b/>
                <w:bCs/>
              </w:rPr>
              <w:t>Latvijas Informācijas un komunikācijas tehnoloģijas asociācijas 29.01.2021. atzinums:</w:t>
            </w:r>
          </w:p>
        </w:tc>
      </w:tr>
      <w:tr w:rsidR="00662A21" w:rsidRPr="009841AB" w14:paraId="6CADE305"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5EC251C" w14:textId="77777777" w:rsidR="00662A21" w:rsidRPr="009841AB" w:rsidRDefault="00662A21" w:rsidP="00662A21">
            <w:pPr>
              <w:pStyle w:val="naisc"/>
              <w:spacing w:before="0" w:after="0"/>
              <w:rPr>
                <w:highlight w:val="yellow"/>
              </w:rPr>
            </w:pPr>
            <w:r w:rsidRPr="009841AB">
              <w:t>1</w:t>
            </w:r>
            <w:r w:rsidR="00DE3DC4">
              <w:t>7</w:t>
            </w:r>
            <w:r w:rsidRPr="009841AB">
              <w:t>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F5882DB"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1A0E3AC" w14:textId="77777777" w:rsidR="00662A21" w:rsidRPr="009841AB" w:rsidRDefault="00662A21" w:rsidP="00662A21">
            <w:pPr>
              <w:widowControl w:val="0"/>
              <w:jc w:val="both"/>
            </w:pPr>
            <w:r w:rsidRPr="009841AB">
              <w:t>1. Aicinām izteikt zemāk minēto tabulu tādā redakcijā, kur tiek ņemts vērā, ka Latvijas Republikā kā uzticamības pakalpojumu sniedzējs darbojas arī SK ID Solutions AS, kurš nodrošina kvalificētu elektronisko parakstu:</w:t>
            </w:r>
          </w:p>
          <w:p w14:paraId="444B2EB3" w14:textId="77777777" w:rsidR="00662A21" w:rsidRPr="009841AB" w:rsidRDefault="00662A21" w:rsidP="00662A21">
            <w:pPr>
              <w:jc w:val="both"/>
              <w:outlineLvl w:val="4"/>
              <w:rPr>
                <w:b/>
              </w:rPr>
            </w:pPr>
            <w:r w:rsidRPr="009841AB">
              <w:rPr>
                <w:b/>
              </w:rPr>
              <w:lastRenderedPageBreak/>
              <w:t>Politikas rezultāti (PR) un rezultatīvie rādītāji (RR)</w:t>
            </w:r>
          </w:p>
          <w:p w14:paraId="134B748D" w14:textId="77777777" w:rsidR="00662A21" w:rsidRPr="009841AB" w:rsidRDefault="00662A21" w:rsidP="00662A21">
            <w:pPr>
              <w:jc w:val="both"/>
              <w:outlineLvl w:val="5"/>
              <w:rPr>
                <w:bCs/>
                <w:color w:val="000000" w:themeColor="text1"/>
              </w:rPr>
            </w:pPr>
            <w:r w:rsidRPr="009841AB">
              <w:rPr>
                <w:b/>
                <w:bCs/>
                <w:color w:val="000000" w:themeColor="text1"/>
              </w:rPr>
              <w:t>PR4.2.-1:</w:t>
            </w:r>
            <w:r w:rsidRPr="009841AB">
              <w:rPr>
                <w:bCs/>
                <w:color w:val="000000" w:themeColor="text1"/>
              </w:rPr>
              <w:t xml:space="preserve"> Valsts digitālā infrastruktūra ir uzticama un droši pieejama.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D5CFBBD" w14:textId="77777777" w:rsidR="00427C9C" w:rsidRDefault="00427C9C" w:rsidP="00427C9C">
            <w:pPr>
              <w:pStyle w:val="naisc"/>
              <w:jc w:val="both"/>
              <w:rPr>
                <w:b/>
                <w:bCs/>
              </w:rPr>
            </w:pPr>
            <w:r>
              <w:rPr>
                <w:b/>
                <w:bCs/>
              </w:rPr>
              <w:lastRenderedPageBreak/>
              <w:t>Panākta vienošanās</w:t>
            </w:r>
          </w:p>
          <w:p w14:paraId="668EB15F" w14:textId="77777777" w:rsidR="004D67C9" w:rsidRPr="009841AB" w:rsidRDefault="004D67C9" w:rsidP="00662A21">
            <w:pPr>
              <w:pStyle w:val="naisc"/>
              <w:spacing w:before="0" w:after="0"/>
              <w:jc w:val="both"/>
              <w:rPr>
                <w:bCs/>
              </w:rPr>
            </w:pPr>
            <w:r w:rsidRPr="009841AB">
              <w:rPr>
                <w:bCs/>
              </w:rPr>
              <w:t xml:space="preserve">Vīzija un viens no sagaidāmiem rezultātiem (2. </w:t>
            </w:r>
            <w:r w:rsidRPr="009841AB">
              <w:rPr>
                <w:bCs/>
              </w:rPr>
              <w:lastRenderedPageBreak/>
              <w:t>koriģētajā redakcijā) tieši norāda uz to, ka mērķis ir visu kvalificēto identifikācijas pakalpojumu veicināšana. Tomēr, tā kā valsts pārvalde nevar tieši ietekmēt komerciālo pakalpojumu attīstību un arī korekti izmērīt to izmantošanas intensitāti, kvantitatīvi mērāmajos rādītājos uzdevumos un rādītājos ir saglabātas tieši uz nacionālās platformas pakalpojumiem attiecināmas vērtības.</w:t>
            </w:r>
          </w:p>
        </w:tc>
        <w:tc>
          <w:tcPr>
            <w:tcW w:w="3497" w:type="dxa"/>
            <w:tcBorders>
              <w:top w:val="single" w:sz="4" w:space="0" w:color="auto"/>
              <w:left w:val="single" w:sz="4" w:space="0" w:color="auto"/>
              <w:bottom w:val="single" w:sz="4" w:space="0" w:color="auto"/>
            </w:tcBorders>
            <w:shd w:val="clear" w:color="auto" w:fill="auto"/>
          </w:tcPr>
          <w:p w14:paraId="0B3789CB" w14:textId="77777777" w:rsidR="00662A21" w:rsidRPr="009841AB" w:rsidRDefault="00662A21" w:rsidP="00662A21"/>
        </w:tc>
      </w:tr>
      <w:tr w:rsidR="00662A21" w:rsidRPr="009841AB" w14:paraId="5A81107E"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65EB3272" w14:textId="77777777" w:rsidR="00662A21" w:rsidRPr="009841AB" w:rsidRDefault="00662A21" w:rsidP="00662A21">
            <w:pPr>
              <w:pStyle w:val="naisc"/>
              <w:spacing w:before="0" w:after="0"/>
              <w:rPr>
                <w:highlight w:val="yellow"/>
              </w:rPr>
            </w:pPr>
            <w:r w:rsidRPr="009841AB">
              <w:t>1</w:t>
            </w:r>
            <w:r w:rsidR="00DE3DC4">
              <w:t>7</w:t>
            </w:r>
            <w:r w:rsidRPr="009841AB">
              <w:t>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AFB3488"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21AF535" w14:textId="77777777" w:rsidR="00662A21" w:rsidRPr="009841AB" w:rsidRDefault="00662A21" w:rsidP="00662A21">
            <w:pPr>
              <w:rPr>
                <w:rFonts w:eastAsia="Calibri"/>
                <w:lang w:eastAsia="en-US"/>
              </w:rPr>
            </w:pPr>
            <w:r w:rsidRPr="009841AB">
              <w:rPr>
                <w:bCs/>
                <w:color w:val="000000" w:themeColor="text1"/>
              </w:rPr>
              <w:t xml:space="preserve">2. </w:t>
            </w:r>
            <w:r w:rsidRPr="009841AB">
              <w:rPr>
                <w:rFonts w:eastAsia="Calibri"/>
                <w:iCs/>
                <w:lang w:eastAsia="en-US"/>
              </w:rPr>
              <w:t xml:space="preserve">Aicinām izteikt “4.2.2. Sagaidāmie rezultāti” tādā redakcijā, lai tiktu ievērota  godīga konkurence un Eiropas Savienības principi: </w:t>
            </w:r>
          </w:p>
          <w:p w14:paraId="3F3DEE1C" w14:textId="77777777" w:rsidR="00662A21" w:rsidRPr="009841AB" w:rsidRDefault="00662A21" w:rsidP="00662A21">
            <w:pPr>
              <w:jc w:val="both"/>
              <w:outlineLvl w:val="4"/>
              <w:rPr>
                <w:b/>
                <w:lang w:eastAsia="en-US"/>
              </w:rPr>
            </w:pPr>
            <w:r w:rsidRPr="009841AB">
              <w:rPr>
                <w:b/>
                <w:lang w:eastAsia="en-US"/>
              </w:rPr>
              <w:t>4.2.2. Sagaidāmie rezultāti</w:t>
            </w:r>
          </w:p>
          <w:p w14:paraId="45E48BAD" w14:textId="77777777" w:rsidR="00662A21" w:rsidRPr="009841AB" w:rsidRDefault="00662A21" w:rsidP="000C28AE">
            <w:pPr>
              <w:numPr>
                <w:ilvl w:val="0"/>
                <w:numId w:val="11"/>
              </w:numPr>
              <w:jc w:val="both"/>
              <w:rPr>
                <w:lang w:eastAsia="en-US"/>
              </w:rPr>
            </w:pPr>
            <w:r w:rsidRPr="009841AB">
              <w:rPr>
                <w:lang w:eastAsia="en-US"/>
              </w:rPr>
              <w:t xml:space="preserve">Palielināt aktīvo </w:t>
            </w:r>
            <w:proofErr w:type="spellStart"/>
            <w:r w:rsidRPr="009841AB">
              <w:rPr>
                <w:lang w:eastAsia="en-US"/>
              </w:rPr>
              <w:t>eID</w:t>
            </w:r>
            <w:proofErr w:type="spellEnd"/>
            <w:r w:rsidRPr="009841AB">
              <w:rPr>
                <w:lang w:eastAsia="en-US"/>
              </w:rPr>
              <w:t xml:space="preserve"> un uzticamības pakalpojumu lietotāju skaitu līdz 500 tūkstošiem;</w:t>
            </w:r>
          </w:p>
          <w:p w14:paraId="6BCF4E14" w14:textId="77777777" w:rsidR="00662A21" w:rsidRPr="009841AB" w:rsidRDefault="00662A21" w:rsidP="000C28AE">
            <w:pPr>
              <w:numPr>
                <w:ilvl w:val="0"/>
                <w:numId w:val="11"/>
              </w:numPr>
              <w:ind w:left="714" w:hanging="357"/>
              <w:jc w:val="both"/>
              <w:rPr>
                <w:lang w:eastAsia="en-US"/>
              </w:rPr>
            </w:pPr>
            <w:r w:rsidRPr="009841AB">
              <w:rPr>
                <w:lang w:eastAsia="en-US"/>
              </w:rPr>
              <w:t>Elektronisko identifikāciju skaitu e-pakalpojumos vismaz līdz 12 milj. gadā;</w:t>
            </w:r>
          </w:p>
          <w:p w14:paraId="0AF33421" w14:textId="77777777" w:rsidR="00662A21" w:rsidRPr="009841AB" w:rsidRDefault="00662A21" w:rsidP="00662A21">
            <w:pPr>
              <w:widowControl w:val="0"/>
              <w:jc w:val="both"/>
            </w:pPr>
            <w:r w:rsidRPr="009841AB">
              <w:rPr>
                <w:lang w:eastAsia="en-US"/>
              </w:rPr>
              <w:t>Autentifikācijai visiem sabiedrībai nozīmīgiem pakalpojumiem digitālajā vidē ir izmantojami (tiek pieņemti) jebkuri nacionālie vai Eiropas Savienības kvalificētie paaugstinātas drošības elektroniskās identifikācijas rīki pēc pakalpojuma sniedzēja izvēles.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F2387F8" w14:textId="77777777" w:rsidR="00662A21" w:rsidRPr="009841AB" w:rsidRDefault="00662A21" w:rsidP="00662A21">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0123EE7E" w14:textId="77777777" w:rsidR="00662A21" w:rsidRPr="009841AB" w:rsidRDefault="003004CA"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885A66" w:rsidRPr="009841AB" w14:paraId="7675A1EE" w14:textId="77777777" w:rsidTr="15B1D617">
        <w:tc>
          <w:tcPr>
            <w:tcW w:w="14451" w:type="dxa"/>
            <w:gridSpan w:val="6"/>
            <w:tcBorders>
              <w:left w:val="single" w:sz="6" w:space="0" w:color="000000" w:themeColor="text1"/>
              <w:bottom w:val="single" w:sz="4" w:space="0" w:color="auto"/>
            </w:tcBorders>
            <w:shd w:val="clear" w:color="auto" w:fill="auto"/>
          </w:tcPr>
          <w:p w14:paraId="24629EDF" w14:textId="77777777" w:rsidR="00885A66" w:rsidRPr="009841AB" w:rsidRDefault="00885A66" w:rsidP="00662A21">
            <w:pPr>
              <w:rPr>
                <w:color w:val="000000"/>
              </w:rPr>
            </w:pPr>
            <w:r w:rsidRPr="009841AB">
              <w:rPr>
                <w:b/>
                <w:bCs/>
              </w:rPr>
              <w:t xml:space="preserve">Latvijas Informācijas un komunikācijas tehnoloģijas asociācijas </w:t>
            </w:r>
            <w:r>
              <w:rPr>
                <w:b/>
                <w:bCs/>
              </w:rPr>
              <w:t>08</w:t>
            </w:r>
            <w:r w:rsidRPr="009841AB">
              <w:rPr>
                <w:b/>
                <w:bCs/>
              </w:rPr>
              <w:t>.0</w:t>
            </w:r>
            <w:r>
              <w:rPr>
                <w:b/>
                <w:bCs/>
              </w:rPr>
              <w:t>5</w:t>
            </w:r>
            <w:r w:rsidRPr="009841AB">
              <w:rPr>
                <w:b/>
                <w:bCs/>
              </w:rPr>
              <w:t>.2021. atzinums:</w:t>
            </w:r>
          </w:p>
        </w:tc>
      </w:tr>
      <w:tr w:rsidR="00885A66" w:rsidRPr="009841AB" w14:paraId="235F5C86"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19D22E42" w14:textId="77777777" w:rsidR="00885A66" w:rsidRPr="009841AB" w:rsidRDefault="00885A66" w:rsidP="00662A21">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F456B20" w14:textId="77777777" w:rsidR="00885A66" w:rsidRPr="009841AB" w:rsidRDefault="00885A66" w:rsidP="00662A21">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52B799A" w14:textId="77777777" w:rsidR="00885A66" w:rsidRPr="00885A66" w:rsidRDefault="00885A66" w:rsidP="00662A21">
            <w:pPr>
              <w:rPr>
                <w:b/>
                <w:color w:val="000000" w:themeColor="text1"/>
              </w:rPr>
            </w:pPr>
            <w:r w:rsidRPr="00885A66">
              <w:rPr>
                <w:b/>
                <w:color w:val="000000" w:themeColor="text1"/>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FE4CDA8" w14:textId="77777777" w:rsidR="00885A66" w:rsidRPr="009841AB" w:rsidRDefault="00885A66" w:rsidP="00662A21">
            <w:pPr>
              <w:pStyle w:val="naisc"/>
              <w:spacing w:before="0" w:after="0"/>
              <w:jc w:val="both"/>
              <w:rPr>
                <w:b/>
              </w:rPr>
            </w:pPr>
          </w:p>
        </w:tc>
        <w:tc>
          <w:tcPr>
            <w:tcW w:w="3504" w:type="dxa"/>
            <w:gridSpan w:val="2"/>
            <w:tcBorders>
              <w:top w:val="single" w:sz="4" w:space="0" w:color="auto"/>
              <w:left w:val="single" w:sz="4" w:space="0" w:color="auto"/>
              <w:bottom w:val="single" w:sz="4" w:space="0" w:color="auto"/>
            </w:tcBorders>
            <w:shd w:val="clear" w:color="auto" w:fill="auto"/>
          </w:tcPr>
          <w:p w14:paraId="47B26F29" w14:textId="77777777" w:rsidR="00885A66" w:rsidRPr="009841AB" w:rsidRDefault="00885A66" w:rsidP="00662A21">
            <w:pPr>
              <w:rPr>
                <w:color w:val="000000"/>
              </w:rPr>
            </w:pPr>
          </w:p>
        </w:tc>
      </w:tr>
      <w:tr w:rsidR="00885A66" w:rsidRPr="009841AB" w14:paraId="7C910E8B"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1C6D5859" w14:textId="77777777" w:rsidR="00885A66" w:rsidRPr="009841AB" w:rsidRDefault="00050461" w:rsidP="00662A21">
            <w:pPr>
              <w:pStyle w:val="naisc"/>
              <w:spacing w:before="0" w:after="0"/>
            </w:pPr>
            <w:r>
              <w:t>179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9E315BE" w14:textId="77777777" w:rsidR="00885A66" w:rsidRPr="009841AB" w:rsidRDefault="000274DA"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7C5D179" w14:textId="77777777" w:rsidR="000274DA" w:rsidRPr="000274DA" w:rsidRDefault="000274DA" w:rsidP="000274DA">
            <w:pPr>
              <w:rPr>
                <w:bCs/>
                <w:color w:val="000000" w:themeColor="text1"/>
              </w:rPr>
            </w:pPr>
            <w:r w:rsidRPr="000274DA">
              <w:rPr>
                <w:bCs/>
                <w:color w:val="000000" w:themeColor="text1"/>
              </w:rPr>
              <w:t>LIKTA ekspertu priekšlikums ir, ka Pamatnostādnēs tiek izslēgts 4.2.2. Sagaidāmie rezultāti 3. punkts.</w:t>
            </w:r>
          </w:p>
          <w:p w14:paraId="4B01D251" w14:textId="77777777" w:rsidR="00885A66" w:rsidRPr="009841AB" w:rsidRDefault="000274DA" w:rsidP="00662A21">
            <w:pPr>
              <w:rPr>
                <w:bCs/>
                <w:color w:val="000000" w:themeColor="text1"/>
              </w:rPr>
            </w:pPr>
            <w:r w:rsidRPr="000274DA">
              <w:rPr>
                <w:bCs/>
                <w:color w:val="000000" w:themeColor="text1"/>
              </w:rPr>
              <w:t>Pamatojums: šis punkts nav vērsts uz attīstību un tiek jau regulēts ar spēkā esošiem normatīvajiem aktiem, līdz ar to nav aktuāls.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FEE5295" w14:textId="77777777" w:rsidR="00885A66" w:rsidRDefault="00607A8A" w:rsidP="00662A21">
            <w:pPr>
              <w:pStyle w:val="naisc"/>
              <w:spacing w:before="0" w:after="0"/>
              <w:jc w:val="both"/>
              <w:rPr>
                <w:b/>
              </w:rPr>
            </w:pPr>
            <w:r>
              <w:rPr>
                <w:b/>
              </w:rPr>
              <w:t>Ņemts vērā</w:t>
            </w:r>
          </w:p>
          <w:p w14:paraId="14E2D9DA" w14:textId="77777777" w:rsidR="00885A66" w:rsidRPr="00E05550" w:rsidRDefault="00E05550" w:rsidP="00662A21">
            <w:pPr>
              <w:pStyle w:val="naisc"/>
              <w:spacing w:before="0" w:after="0"/>
              <w:jc w:val="both"/>
            </w:pPr>
            <w:r w:rsidRPr="00E05550">
              <w:rPr>
                <w:bCs/>
              </w:rPr>
              <w:t>Precizēts, atbilstoši virzībā esošajam regulējumam,</w:t>
            </w:r>
            <w:r>
              <w:rPr>
                <w:bCs/>
              </w:rPr>
              <w:t xml:space="preserve"> </w:t>
            </w:r>
            <w:r w:rsidR="00F54878">
              <w:rPr>
                <w:bCs/>
              </w:rPr>
              <w:t>neierobežojot plašu identifikācijas pakalpojum sniedzēju ekosistēmas attīstību</w:t>
            </w:r>
          </w:p>
        </w:tc>
        <w:tc>
          <w:tcPr>
            <w:tcW w:w="3504" w:type="dxa"/>
            <w:gridSpan w:val="2"/>
            <w:tcBorders>
              <w:top w:val="single" w:sz="4" w:space="0" w:color="auto"/>
              <w:left w:val="single" w:sz="4" w:space="0" w:color="auto"/>
              <w:bottom w:val="single" w:sz="4" w:space="0" w:color="auto"/>
            </w:tcBorders>
            <w:shd w:val="clear" w:color="auto" w:fill="auto"/>
          </w:tcPr>
          <w:p w14:paraId="5DCC2AC1" w14:textId="77777777" w:rsidR="00885A66" w:rsidRPr="009841AB" w:rsidRDefault="00D555CE" w:rsidP="00662A21">
            <w:pPr>
              <w:rPr>
                <w:color w:val="000000"/>
              </w:rPr>
            </w:pPr>
            <w:r w:rsidRPr="00D555CE">
              <w:rPr>
                <w:color w:val="000000"/>
              </w:rPr>
              <w:t>3.</w:t>
            </w:r>
            <w:r w:rsidRPr="00D555CE">
              <w:rPr>
                <w:color w:val="000000"/>
              </w:rPr>
              <w:tab/>
              <w:t>Pēc attiecīgu grozījumu veikšanas Fizisko personu elektroniskās identifikācijas likumā nodrošināt, ka autentifikācijai visiem sabiedrībai nozīmīgiem pakalpojumiem digitālajā vidē ir tiek pieņemti vismaz nacionālie kvalificētie paaugstinātas drošības e-identifikācijas rīki.</w:t>
            </w:r>
          </w:p>
        </w:tc>
      </w:tr>
      <w:tr w:rsidR="00662A21" w:rsidRPr="009841AB" w14:paraId="51D355FB"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3E7E1EE" w14:textId="77777777" w:rsidR="00662A21" w:rsidRPr="009841AB" w:rsidRDefault="00662A21" w:rsidP="00662A21">
            <w:pPr>
              <w:tabs>
                <w:tab w:val="left" w:pos="720"/>
              </w:tabs>
              <w:contextualSpacing/>
              <w:jc w:val="both"/>
              <w:rPr>
                <w:b/>
                <w:bCs/>
                <w:lang w:eastAsia="en-US"/>
              </w:rPr>
            </w:pPr>
            <w:r w:rsidRPr="009841AB">
              <w:rPr>
                <w:b/>
                <w:bCs/>
                <w:lang w:eastAsia="en-US"/>
              </w:rPr>
              <w:t>Labklājības ministrijas 01.02.2021. atzinums:</w:t>
            </w:r>
          </w:p>
        </w:tc>
      </w:tr>
      <w:tr w:rsidR="00662A21" w:rsidRPr="009841AB" w14:paraId="49E6034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339654F4" w14:textId="77777777" w:rsidR="00662A21" w:rsidRPr="009841AB" w:rsidRDefault="00662A21" w:rsidP="00662A21">
            <w:pPr>
              <w:pStyle w:val="naisc"/>
              <w:spacing w:before="0" w:after="0"/>
            </w:pPr>
            <w:r w:rsidRPr="009841AB">
              <w:t>1</w:t>
            </w:r>
            <w:r w:rsidR="00050461">
              <w:t>80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945D528"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70F2211" w14:textId="77777777" w:rsidR="00662A21" w:rsidRPr="009841AB" w:rsidRDefault="00662A21" w:rsidP="00662A21">
            <w:pPr>
              <w:widowControl w:val="0"/>
              <w:jc w:val="both"/>
            </w:pPr>
            <w:r w:rsidRPr="009841AB">
              <w:t>Lūdzam Pamatnostādņu projekta 4.2.4.sadaļas uzdevumos U4.2.4.-1 un U4.2.4.-2 kā līdzatbildīgo norādīt Latvijas Interneta asociāciju (LIA).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A9ACB68" w14:textId="77777777" w:rsidR="00662A21" w:rsidRPr="00E56075" w:rsidRDefault="00662A21" w:rsidP="00662A21">
            <w:pPr>
              <w:pStyle w:val="naisc"/>
              <w:spacing w:before="0" w:after="0"/>
              <w:jc w:val="both"/>
              <w:rPr>
                <w:b/>
              </w:rPr>
            </w:pPr>
            <w:r w:rsidRPr="00E56075">
              <w:rPr>
                <w:b/>
              </w:rPr>
              <w:t>Ņemts vērā</w:t>
            </w:r>
          </w:p>
        </w:tc>
        <w:tc>
          <w:tcPr>
            <w:tcW w:w="3497" w:type="dxa"/>
            <w:tcBorders>
              <w:top w:val="single" w:sz="4" w:space="0" w:color="auto"/>
              <w:left w:val="single" w:sz="4" w:space="0" w:color="auto"/>
              <w:bottom w:val="single" w:sz="4" w:space="0" w:color="auto"/>
            </w:tcBorders>
            <w:shd w:val="clear" w:color="auto" w:fill="auto"/>
          </w:tcPr>
          <w:p w14:paraId="3F7A178B" w14:textId="77777777" w:rsidR="00662A21" w:rsidRPr="009841AB" w:rsidRDefault="00F31631"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4.2.4.</w:t>
            </w:r>
          </w:p>
        </w:tc>
      </w:tr>
      <w:tr w:rsidR="00662A21" w:rsidRPr="009841AB" w14:paraId="7138DE4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8182464" w14:textId="77777777" w:rsidR="00662A21" w:rsidRPr="009754FF" w:rsidRDefault="00662A21" w:rsidP="00662A21">
            <w:pPr>
              <w:widowControl w:val="0"/>
              <w:jc w:val="both"/>
              <w:rPr>
                <w:rFonts w:cstheme="minorHAnsi"/>
                <w:b/>
              </w:rPr>
            </w:pPr>
            <w:r w:rsidRPr="00507245">
              <w:rPr>
                <w:rFonts w:cstheme="minorHAnsi"/>
                <w:b/>
              </w:rPr>
              <w:t>Latvijas Tirdzniecības un rūpniecības kameras 01.02.2021. atzinums:</w:t>
            </w:r>
          </w:p>
        </w:tc>
      </w:tr>
      <w:tr w:rsidR="00662A21" w:rsidRPr="009841AB" w14:paraId="0FEF7218"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DB339DB" w14:textId="77777777" w:rsidR="00662A21" w:rsidRPr="009841AB" w:rsidRDefault="00662A21" w:rsidP="00662A21">
            <w:pPr>
              <w:pStyle w:val="naisc"/>
              <w:spacing w:before="0" w:after="0"/>
            </w:pPr>
            <w:r w:rsidRPr="009841AB">
              <w:t>1</w:t>
            </w:r>
            <w:r w:rsidR="00050461">
              <w:t>81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FBF6318"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C497611" w14:textId="77777777" w:rsidR="00662A21" w:rsidRPr="009841AB" w:rsidRDefault="00662A21" w:rsidP="00662A21">
            <w:pPr>
              <w:widowControl w:val="0"/>
              <w:jc w:val="both"/>
              <w:rPr>
                <w:b/>
                <w:bCs/>
              </w:rPr>
            </w:pPr>
            <w:bookmarkStart w:id="0" w:name="_Hlk69994596"/>
            <w:r w:rsidRPr="009841AB">
              <w:rPr>
                <w:b/>
                <w:bCs/>
              </w:rPr>
              <w:t>Fizisko personu datu aizsardzība.</w:t>
            </w:r>
          </w:p>
          <w:p w14:paraId="29436F06" w14:textId="77777777" w:rsidR="00662A21" w:rsidRPr="009841AB" w:rsidRDefault="00662A21" w:rsidP="00662A21">
            <w:pPr>
              <w:widowControl w:val="0"/>
              <w:jc w:val="both"/>
            </w:pPr>
            <w:r w:rsidRPr="009841AB">
              <w:t xml:space="preserve">Šis jautājums būtu jābalansē un jāvērtē gan no </w:t>
            </w:r>
            <w:proofErr w:type="spellStart"/>
            <w:r w:rsidRPr="009841AB">
              <w:t>atkalizmantošanas</w:t>
            </w:r>
            <w:proofErr w:type="spellEnd"/>
            <w:r w:rsidRPr="009841AB">
              <w:t xml:space="preserve">, gan datu atvēršanas aspekta. Tā piemēram, jāvērtē, vai ir pamatots noteikt privātā sektorā veidojot pakalpojumu, kura ietvaros tiek izmantoti atvērtie dati vai </w:t>
            </w:r>
            <w:proofErr w:type="spellStart"/>
            <w:r w:rsidRPr="009841AB">
              <w:t>atkalizmantojamās</w:t>
            </w:r>
            <w:proofErr w:type="spellEnd"/>
            <w:r w:rsidRPr="009841AB">
              <w:t xml:space="preserve"> datu kopas, noteikt apstrādes ierobežojumus, vienlaikus pastāvot situācijai, ka publiskā sektora IT risinājums nodrošina trešajām personām piekļuvi </w:t>
            </w:r>
            <w:proofErr w:type="spellStart"/>
            <w:r w:rsidRPr="009841AB">
              <w:t>persondatiem</w:t>
            </w:r>
            <w:proofErr w:type="spellEnd"/>
            <w:r w:rsidRPr="009841AB">
              <w:t xml:space="preserve"> bez autentifikācijas, līdz ar to datu subjekts, pat šajā gadījumā nevar atbilstoši Regulai izmantot savas tiesības un uzzināt, kas par to ir interesējies. Šobrīd uzraugošā iestāde šo atšķirīgo pieeju datu publiskošanā pamato ar to, skatot, vai pārzinim ir / nav likumā noteikts konkrēts deleģējums šādai datu apstrādei. Saprotams, ka šāda pieeja nesekmēs privāta sektora risinājumu un datu ekonomikas attīstību. </w:t>
            </w:r>
          </w:p>
          <w:p w14:paraId="1B0714F8" w14:textId="77777777" w:rsidR="00662A21" w:rsidRPr="009841AB" w:rsidRDefault="00662A21" w:rsidP="00662A21">
            <w:pPr>
              <w:widowControl w:val="0"/>
              <w:jc w:val="both"/>
            </w:pPr>
            <w:bookmarkStart w:id="1" w:name="_Hlk69994566"/>
            <w:r w:rsidRPr="009841AB">
              <w:t xml:space="preserve">Vienlaikus nav saprotams dokumentā 4.4.2.2.p. ieliktais apgalvojums" lietotājiem zaudējot spēju </w:t>
            </w:r>
            <w:r w:rsidRPr="009841AB">
              <w:lastRenderedPageBreak/>
              <w:t>īstenot kontroli pār savu datu apstrādi, tiek zaudēta arī lietotāju uzticība." LTRK lūdz precizēt, vai šajā gadījumā domāti personas dati, kurus publicē valsts pārvalde savās tiešsaistes vietnēs?</w:t>
            </w:r>
            <w:bookmarkEnd w:id="0"/>
            <w:bookmarkEnd w:id="1"/>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81EEEF7" w14:textId="77777777" w:rsidR="00427C9C" w:rsidRDefault="00427C9C" w:rsidP="00427C9C">
            <w:pPr>
              <w:pStyle w:val="naisc"/>
              <w:jc w:val="both"/>
              <w:rPr>
                <w:b/>
                <w:bCs/>
              </w:rPr>
            </w:pPr>
            <w:r>
              <w:rPr>
                <w:b/>
                <w:bCs/>
              </w:rPr>
              <w:lastRenderedPageBreak/>
              <w:t>Panākta vienošanās</w:t>
            </w:r>
          </w:p>
          <w:p w14:paraId="444EEDF5" w14:textId="77777777" w:rsidR="00662A21" w:rsidRPr="009841AB" w:rsidRDefault="7872D255" w:rsidP="00662A21">
            <w:pPr>
              <w:pStyle w:val="naisc"/>
              <w:spacing w:before="0" w:after="0"/>
              <w:jc w:val="both"/>
              <w:rPr>
                <w:rFonts w:eastAsia="Arial Narrow"/>
                <w:color w:val="000000" w:themeColor="text1"/>
              </w:rPr>
            </w:pPr>
            <w:r w:rsidRPr="009841AB">
              <w:rPr>
                <w:rFonts w:eastAsia="Arial Narrow"/>
                <w:color w:val="000000" w:themeColor="text1"/>
              </w:rPr>
              <w:t xml:space="preserve">Personas datu apstrāde var notikt tikai normatīvajos aktos noteiktā kārtībā un ņemot vēra šo apsvērumu arī privātais sektors var vai nevar izmantot personas datus savā darbībā. Saskaņā ar personas datu apstrādes normatīvo regulējumu fiziskai personai ir tiesības veikt savu personas datu pārvaldību tiktāl cik to pieļauj attiecīgās valsts </w:t>
            </w:r>
            <w:r w:rsidRPr="009841AB">
              <w:rPr>
                <w:rFonts w:eastAsia="Arial Narrow"/>
                <w:color w:val="000000" w:themeColor="text1"/>
              </w:rPr>
              <w:lastRenderedPageBreak/>
              <w:t>normatīvais regulējums katrā konkrētā nozarē vai jomā. Līdz ar to personas datu apritē ir būtiski ņemt vērā visu tiesiskā regulējuma kopumu, tajā skaitā valsts pārvaldē noteiktās iestāžu tiesības un pienākumus savstarpējā datu apritē savu funkciju, uzdevumu vai pakalpojumu nodrošināšanai.</w:t>
            </w:r>
          </w:p>
          <w:p w14:paraId="230BA80C" w14:textId="77777777" w:rsidR="0088129E" w:rsidRPr="009841AB" w:rsidRDefault="0088129E" w:rsidP="00662A21">
            <w:pPr>
              <w:pStyle w:val="naisc"/>
              <w:spacing w:before="0" w:after="0"/>
              <w:jc w:val="both"/>
              <w:rPr>
                <w:rFonts w:eastAsia="Arial Narrow"/>
                <w:b/>
                <w:color w:val="000000" w:themeColor="text1"/>
              </w:rPr>
            </w:pPr>
          </w:p>
        </w:tc>
        <w:tc>
          <w:tcPr>
            <w:tcW w:w="3497" w:type="dxa"/>
            <w:tcBorders>
              <w:top w:val="single" w:sz="4" w:space="0" w:color="auto"/>
              <w:left w:val="single" w:sz="4" w:space="0" w:color="auto"/>
              <w:bottom w:val="single" w:sz="4" w:space="0" w:color="auto"/>
            </w:tcBorders>
            <w:shd w:val="clear" w:color="auto" w:fill="auto"/>
          </w:tcPr>
          <w:p w14:paraId="113A983F" w14:textId="77777777" w:rsidR="00662A21" w:rsidRPr="009841AB" w:rsidRDefault="005F0F35" w:rsidP="00662A21">
            <w:r w:rsidRPr="009841AB">
              <w:rPr>
                <w:color w:val="000000"/>
              </w:rPr>
              <w:lastRenderedPageBreak/>
              <w:t xml:space="preserve">Lūdzam skatīt </w:t>
            </w:r>
            <w:proofErr w:type="spellStart"/>
            <w:r w:rsidRPr="009841AB">
              <w:rPr>
                <w:color w:val="000000"/>
              </w:rPr>
              <w:t>apakšsadaļu</w:t>
            </w:r>
            <w:proofErr w:type="spellEnd"/>
            <w:r w:rsidRPr="009841AB">
              <w:rPr>
                <w:color w:val="000000"/>
              </w:rPr>
              <w:t xml:space="preserve"> 4.2.</w:t>
            </w:r>
          </w:p>
        </w:tc>
      </w:tr>
      <w:tr w:rsidR="00662A21" w:rsidRPr="009841AB" w14:paraId="361BAF3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FF8C7F3" w14:textId="77777777" w:rsidR="00662A21" w:rsidRPr="009754FF" w:rsidRDefault="00662A21" w:rsidP="00662A21">
            <w:pPr>
              <w:widowControl w:val="0"/>
              <w:jc w:val="both"/>
              <w:rPr>
                <w:rFonts w:cstheme="minorHAnsi"/>
                <w:b/>
              </w:rPr>
            </w:pPr>
            <w:r>
              <w:rPr>
                <w:rFonts w:cstheme="minorHAnsi"/>
                <w:b/>
              </w:rPr>
              <w:t>Satiksmes ministrijas</w:t>
            </w:r>
            <w:r w:rsidRPr="00507245">
              <w:rPr>
                <w:rFonts w:cstheme="minorHAnsi"/>
                <w:b/>
              </w:rPr>
              <w:t xml:space="preserve"> 01.02.2021. atzinums:</w:t>
            </w:r>
          </w:p>
        </w:tc>
      </w:tr>
      <w:tr w:rsidR="00662A21" w:rsidRPr="009841AB" w14:paraId="2A79E731"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F1C8C4B" w14:textId="77777777" w:rsidR="00662A21" w:rsidRPr="009841AB" w:rsidRDefault="00662A21" w:rsidP="00662A21">
            <w:pPr>
              <w:pStyle w:val="naisc"/>
              <w:spacing w:before="0" w:after="0"/>
            </w:pPr>
            <w:r w:rsidRPr="009841AB">
              <w:t>1</w:t>
            </w:r>
            <w:r w:rsidR="00874D0A">
              <w:t>82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53EFA80"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C1CF7DD" w14:textId="77777777" w:rsidR="00662A21" w:rsidRPr="009841AB" w:rsidRDefault="00662A21" w:rsidP="00662A21">
            <w:pPr>
              <w:widowControl w:val="0"/>
              <w:jc w:val="both"/>
            </w:pPr>
            <w:r w:rsidRPr="009841AB">
              <w:t xml:space="preserve">Par pamatnostādņu projekta 4.2.2. rīcības virziena “Elektroniskā identitāte un uzticamības pakalpojumi” uzdevuma U4.2.2.-3 “Nacionālās </w:t>
            </w:r>
            <w:proofErr w:type="spellStart"/>
            <w:r w:rsidRPr="009841AB">
              <w:t>eID</w:t>
            </w:r>
            <w:proofErr w:type="spellEnd"/>
            <w:r w:rsidRPr="009841AB">
              <w:t xml:space="preserve"> un uzticamības pakalpojumu platformas papildināšana ar jauniem pakalpojumiem (t.sk. e-identifikāciju jauniešiem, nerezidentiem u.c.)” atbildīgo iestādi ir norādīta arī Satiksmes ministrija. Vēršam uzmanību, ka uzdevums būtu dalāms, ievērojot, ka Latvijā jebkuram </w:t>
            </w:r>
            <w:proofErr w:type="spellStart"/>
            <w:r w:rsidRPr="009841AB">
              <w:t>eID</w:t>
            </w:r>
            <w:proofErr w:type="spellEnd"/>
            <w:r w:rsidRPr="009841AB">
              <w:t xml:space="preserve"> kartes lietotājam bez maksas tiek nodrošināti </w:t>
            </w:r>
            <w:proofErr w:type="spellStart"/>
            <w:r w:rsidRPr="009841AB">
              <w:t>eID</w:t>
            </w:r>
            <w:proofErr w:type="spellEnd"/>
            <w:r w:rsidRPr="009841AB">
              <w:t xml:space="preserve"> kartēs iekļautie uzticamības pakalpojumi. Līdz ar to arī jauniešiem paredzētie uzticamības pakalpojumi būtu nodrošināmi bez maksas, to izmaksas sedzot no valsts budžeta. Ņemot vērā minēto, lūdzam izdalīt šo uzdevumu un kā atbildīgo uzdevuma izpildē noteikt </w:t>
            </w:r>
            <w:proofErr w:type="spellStart"/>
            <w:r w:rsidRPr="009841AB">
              <w:t>Iekšlietu</w:t>
            </w:r>
            <w:proofErr w:type="spellEnd"/>
            <w:r w:rsidRPr="009841AB">
              <w:t xml:space="preserve"> ministriju (PMLP).</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E5D9A53" w14:textId="77777777" w:rsidR="00662A21" w:rsidRPr="009841AB" w:rsidRDefault="00662A21" w:rsidP="00662A21">
            <w:pPr>
              <w:pStyle w:val="naisc"/>
              <w:spacing w:before="0" w:after="0"/>
              <w:jc w:val="both"/>
              <w:rPr>
                <w:b/>
              </w:rPr>
            </w:pPr>
            <w:r w:rsidRPr="009841AB">
              <w:rPr>
                <w:b/>
              </w:rPr>
              <w:t>Ņemts vērā</w:t>
            </w:r>
          </w:p>
        </w:tc>
        <w:tc>
          <w:tcPr>
            <w:tcW w:w="3497" w:type="dxa"/>
            <w:tcBorders>
              <w:top w:val="single" w:sz="4" w:space="0" w:color="auto"/>
              <w:left w:val="single" w:sz="4" w:space="0" w:color="auto"/>
              <w:bottom w:val="single" w:sz="4" w:space="0" w:color="auto"/>
            </w:tcBorders>
            <w:shd w:val="clear" w:color="auto" w:fill="auto"/>
          </w:tcPr>
          <w:p w14:paraId="27F62F1B" w14:textId="77777777" w:rsidR="00662A21" w:rsidRPr="009841AB" w:rsidRDefault="0088129E"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1FEEF4B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1A7081D" w14:textId="77777777" w:rsidR="00662A21" w:rsidRPr="009841AB" w:rsidRDefault="00662A21" w:rsidP="00662A21">
            <w:pPr>
              <w:tabs>
                <w:tab w:val="left" w:pos="720"/>
              </w:tabs>
              <w:contextualSpacing/>
              <w:jc w:val="both"/>
              <w:rPr>
                <w:b/>
                <w:bCs/>
                <w:lang w:eastAsia="en-US"/>
              </w:rPr>
            </w:pPr>
            <w:r w:rsidRPr="009841AB">
              <w:rPr>
                <w:b/>
                <w:bCs/>
                <w:lang w:eastAsia="en-US"/>
              </w:rPr>
              <w:t>Veselības ministrijas 07.02.2021. atzinums:</w:t>
            </w:r>
          </w:p>
        </w:tc>
      </w:tr>
      <w:tr w:rsidR="00662A21" w:rsidRPr="009841AB" w14:paraId="6DB50DE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D2DC799" w14:textId="77777777" w:rsidR="00662A21" w:rsidRPr="009841AB" w:rsidRDefault="00662A21" w:rsidP="00662A21">
            <w:pPr>
              <w:pStyle w:val="naisc"/>
              <w:spacing w:before="0" w:after="0"/>
              <w:jc w:val="left"/>
            </w:pPr>
            <w:r w:rsidRPr="009841AB">
              <w:t>1</w:t>
            </w:r>
            <w:r w:rsidR="00874D0A">
              <w:t>83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04F133F"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4A2297D" w14:textId="77777777" w:rsidR="00662A21" w:rsidRPr="009841AB" w:rsidRDefault="00662A21" w:rsidP="00662A21">
            <w:pPr>
              <w:widowControl w:val="0"/>
              <w:jc w:val="both"/>
            </w:pPr>
            <w:r w:rsidRPr="009841AB">
              <w:t>1.</w:t>
            </w:r>
            <w:r w:rsidRPr="009841AB">
              <w:tab/>
              <w:t xml:space="preserve">4.2. Attīstības virziena „Digitālā drošība un uzticamība” politikas mērķis ir panākt, ka Latvijas </w:t>
            </w:r>
            <w:r w:rsidRPr="009841AB">
              <w:lastRenderedPageBreak/>
              <w:t>iedzīvotāji un komersanti digitālajā telpā jūtas tikpat droši un aizsargāti kā fiziskajā vidē.  Lūdzam papildināt ar datiem, kas apliecina, ka fiziskajā vidē Latvijas iedzīvotāji un komersanti jūtas droši un drošāk nekā digitālajā.</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5C1E4C77" w14:textId="77777777" w:rsidR="00662A21" w:rsidRPr="009841AB" w:rsidRDefault="00662A21" w:rsidP="00662A21">
            <w:pPr>
              <w:pStyle w:val="naisc"/>
              <w:spacing w:before="0" w:after="0"/>
              <w:jc w:val="both"/>
              <w:rPr>
                <w:b/>
                <w:bCs/>
                <w:highlight w:val="yellow"/>
              </w:rPr>
            </w:pPr>
            <w:r w:rsidRPr="009841AB">
              <w:rPr>
                <w:b/>
                <w:bCs/>
                <w:color w:val="000000"/>
              </w:rPr>
              <w:lastRenderedPageBreak/>
              <w:t>Ņemts vērā</w:t>
            </w:r>
          </w:p>
        </w:tc>
        <w:tc>
          <w:tcPr>
            <w:tcW w:w="3497" w:type="dxa"/>
            <w:tcBorders>
              <w:top w:val="single" w:sz="4" w:space="0" w:color="auto"/>
              <w:left w:val="nil"/>
              <w:bottom w:val="single" w:sz="4" w:space="0" w:color="auto"/>
              <w:right w:val="single" w:sz="4" w:space="0" w:color="auto"/>
            </w:tcBorders>
            <w:shd w:val="clear" w:color="auto" w:fill="auto"/>
          </w:tcPr>
          <w:p w14:paraId="116869F1" w14:textId="77777777" w:rsidR="00662A21" w:rsidRPr="009841AB" w:rsidRDefault="00295B00" w:rsidP="00662A21">
            <w:r w:rsidRPr="009841AB">
              <w:rPr>
                <w:color w:val="000000"/>
              </w:rPr>
              <w:t>“L</w:t>
            </w:r>
            <w:r w:rsidR="00662A21" w:rsidRPr="009841AB">
              <w:rPr>
                <w:color w:val="000000"/>
              </w:rPr>
              <w:t xml:space="preserve">atvijas iedzīvotāji un komersanti digitālajā telpā jūtas </w:t>
            </w:r>
            <w:r w:rsidR="00662A21" w:rsidRPr="009841AB">
              <w:rPr>
                <w:color w:val="000000"/>
              </w:rPr>
              <w:lastRenderedPageBreak/>
              <w:t>droši un aizsargāti, tāpēc bažas par drošības apdraudējumiem nekavē digitālo pakalpojumu attīstību un izmantošanu.</w:t>
            </w:r>
            <w:r w:rsidRPr="009841AB">
              <w:rPr>
                <w:color w:val="000000"/>
              </w:rPr>
              <w:t>”</w:t>
            </w:r>
          </w:p>
        </w:tc>
      </w:tr>
      <w:tr w:rsidR="00662A21" w:rsidRPr="009841AB" w14:paraId="3584079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5E432F5" w14:textId="77777777" w:rsidR="00662A21" w:rsidRPr="009841AB" w:rsidRDefault="00662A21" w:rsidP="00662A21">
            <w:pPr>
              <w:pStyle w:val="naisc"/>
              <w:spacing w:before="0" w:after="0"/>
              <w:jc w:val="left"/>
            </w:pPr>
            <w:r w:rsidRPr="009841AB">
              <w:lastRenderedPageBreak/>
              <w:t>1</w:t>
            </w:r>
            <w:r w:rsidR="00874D0A">
              <w:t>84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E83D691" w14:textId="77777777" w:rsidR="00662A21" w:rsidRPr="009841AB" w:rsidRDefault="00662A21" w:rsidP="00662A21">
            <w:pPr>
              <w:pStyle w:val="naisc"/>
              <w:spacing w:before="0" w:after="0"/>
              <w:jc w:val="left"/>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2CB524B" w14:textId="77777777" w:rsidR="00662A21" w:rsidRPr="009841AB" w:rsidRDefault="00662A21" w:rsidP="00662A21">
            <w:pPr>
              <w:widowControl w:val="0"/>
              <w:jc w:val="both"/>
            </w:pPr>
            <w:r w:rsidRPr="009841AB">
              <w:t>2.</w:t>
            </w:r>
            <w:r w:rsidRPr="009841AB">
              <w:tab/>
              <w:t xml:space="preserve">4.2.2. Rīcības virziena “Elektroniskā identitāte un uzticamības pakalpojumi” esošās situācijas aprakstā “E-identitātes un e-paraksta produktu attīstība. E-pakalpojumu attīstība” 6.punktā teikts: “(..)Tāpēc nepieciešamas vadlīnijas, rekomendācijas privāto e-pakalpojumu sniedzējiem, kuriem obligāti jāievēro </w:t>
            </w:r>
            <w:proofErr w:type="spellStart"/>
            <w:r w:rsidRPr="009841AB">
              <w:t>LoA</w:t>
            </w:r>
            <w:proofErr w:type="spellEnd"/>
            <w:r w:rsidRPr="009841AB">
              <w:t xml:space="preserve"> prasības (piemēram, medicīnas vai veselības dati)”. Lūdzam precizēt projektu, jo ar vadlīnijām un rekomendācijām nevar kaut ko noteikt kā obligātu, tām ir tikai rekomendējošs raksturs.</w:t>
            </w:r>
          </w:p>
        </w:tc>
        <w:tc>
          <w:tcPr>
            <w:tcW w:w="2480" w:type="dxa"/>
            <w:tcBorders>
              <w:top w:val="nil"/>
              <w:left w:val="single" w:sz="4" w:space="0" w:color="auto"/>
              <w:bottom w:val="single" w:sz="4" w:space="0" w:color="auto"/>
              <w:right w:val="single" w:sz="4" w:space="0" w:color="auto"/>
            </w:tcBorders>
            <w:shd w:val="clear" w:color="auto" w:fill="auto"/>
          </w:tcPr>
          <w:p w14:paraId="1D20C404" w14:textId="77777777" w:rsidR="00662A21" w:rsidRPr="00576407" w:rsidRDefault="00662A21" w:rsidP="00662A21">
            <w:pPr>
              <w:pStyle w:val="naisc"/>
              <w:spacing w:before="0" w:after="0"/>
              <w:jc w:val="both"/>
              <w:rPr>
                <w:b/>
                <w:bCs/>
                <w:highlight w:val="yellow"/>
              </w:rPr>
            </w:pPr>
            <w:r w:rsidRPr="00576407">
              <w:rPr>
                <w:b/>
                <w:bCs/>
                <w:color w:val="000000"/>
              </w:rPr>
              <w:t>Ņemts vērā</w:t>
            </w:r>
          </w:p>
        </w:tc>
        <w:tc>
          <w:tcPr>
            <w:tcW w:w="3497" w:type="dxa"/>
            <w:tcBorders>
              <w:top w:val="nil"/>
              <w:left w:val="nil"/>
              <w:bottom w:val="single" w:sz="4" w:space="0" w:color="auto"/>
              <w:right w:val="single" w:sz="4" w:space="0" w:color="auto"/>
            </w:tcBorders>
            <w:shd w:val="clear" w:color="auto" w:fill="auto"/>
          </w:tcPr>
          <w:p w14:paraId="0D0C8CD9" w14:textId="77777777" w:rsidR="00662A21" w:rsidRPr="009841AB" w:rsidRDefault="00E5375A"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54B5807D"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523425C" w14:textId="77777777" w:rsidR="00662A21" w:rsidRPr="009841AB" w:rsidRDefault="00662A21" w:rsidP="00662A21">
            <w:pPr>
              <w:tabs>
                <w:tab w:val="left" w:pos="720"/>
              </w:tabs>
              <w:contextualSpacing/>
              <w:jc w:val="both"/>
              <w:rPr>
                <w:b/>
                <w:bCs/>
                <w:lang w:eastAsia="en-US"/>
              </w:rPr>
            </w:pPr>
            <w:r w:rsidRPr="009841AB">
              <w:rPr>
                <w:b/>
                <w:bCs/>
                <w:lang w:eastAsia="en-US"/>
              </w:rPr>
              <w:t>Tieslietu ministrijas 05.02.2021. atzinums:</w:t>
            </w:r>
          </w:p>
        </w:tc>
      </w:tr>
      <w:tr w:rsidR="00662A21" w:rsidRPr="009841AB" w14:paraId="0B7534ED"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520F16AC" w14:textId="77777777" w:rsidR="00662A21" w:rsidRPr="009841AB" w:rsidRDefault="00662A21" w:rsidP="00662A21">
            <w:pPr>
              <w:pStyle w:val="naisc"/>
              <w:spacing w:before="0" w:after="0"/>
            </w:pPr>
            <w:r w:rsidRPr="009841AB">
              <w:t>1</w:t>
            </w:r>
            <w:r w:rsidR="00874D0A">
              <w:t>85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7E5A777"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056580C" w14:textId="77777777" w:rsidR="00662A21" w:rsidRPr="009841AB" w:rsidRDefault="00662A21" w:rsidP="00662A21">
            <w:pPr>
              <w:spacing w:line="276" w:lineRule="auto"/>
              <w:jc w:val="both"/>
              <w:rPr>
                <w:color w:val="FF0000"/>
              </w:rPr>
            </w:pPr>
            <w:r w:rsidRPr="009841AB">
              <w:t xml:space="preserve">1. Pamatnostādņu projekta izstrādes un publiskās apspriešanas procesā Tieslietu ministrija elektroniskās identitātes sakarā ir vērsusi uzmanību tam, ka 4.2.2. Rīcības virziens “Kvalificēta paaugstinātas drošības e-identitātes un kvalificēta elektroniskā paraksta izsniegšana un personu loks” ir papildināma ar divām grupām – ieslodzītie un personas ar funkcionālajiem ierobežojumiem. Ieslodzīto identificēšanu nepieciešams nodrošināt, lai ieslodzītie varētu identificēt sevi informācijas sistēmās, kuras tiek izmantotas ieslodzījuma vietās ikdienas procesu nodrošināšanai. Risinājumu </w:t>
            </w:r>
            <w:proofErr w:type="spellStart"/>
            <w:r w:rsidRPr="009841AB">
              <w:t>eID</w:t>
            </w:r>
            <w:proofErr w:type="spellEnd"/>
            <w:r w:rsidRPr="009841AB">
              <w:t xml:space="preserve"> karte nevar izmantot ieslodzījuma režīma īpatnību dēļ, jo tā nedrīkst atrasties pie ieslodzītā. Elektroniskais </w:t>
            </w:r>
            <w:proofErr w:type="spellStart"/>
            <w:r w:rsidRPr="009841AB">
              <w:t>eID</w:t>
            </w:r>
            <w:proofErr w:type="spellEnd"/>
            <w:r w:rsidRPr="009841AB">
              <w:t xml:space="preserve"> arī nav izmantojams, jo pastāv augsts risks, ka identifikācijas līdzekļi piespiedu kārtā vai ar viltu var tikt </w:t>
            </w:r>
            <w:r w:rsidRPr="009841AB">
              <w:lastRenderedPageBreak/>
              <w:t xml:space="preserve">nodoti/izmantoti citas personas labad. Šī iemesla dēļ nepieciešams risinājums, kur kā otro autentifikācijas faktoru izmanto kādu no ieslodzītā </w:t>
            </w:r>
            <w:proofErr w:type="spellStart"/>
            <w:r w:rsidRPr="009841AB">
              <w:t>biometriskajiem</w:t>
            </w:r>
            <w:proofErr w:type="spellEnd"/>
            <w:r w:rsidRPr="009841AB">
              <w:t xml:space="preserve"> datiem. Tas ļautu būtiski </w:t>
            </w:r>
            <w:proofErr w:type="spellStart"/>
            <w:r w:rsidRPr="009841AB">
              <w:t>efektivizēt</w:t>
            </w:r>
            <w:proofErr w:type="spellEnd"/>
            <w:r w:rsidRPr="009841AB">
              <w:t xml:space="preserve"> ieslodzīto tiesību realizēšanas ātrumu, vienkāršot procesus un samazināt to apmierināšanai nepieciešamos ieslodzījuma vietu darbinieku resursus, novirzot tos </w:t>
            </w:r>
            <w:proofErr w:type="spellStart"/>
            <w:r w:rsidRPr="009841AB">
              <w:t>resocializācijas</w:t>
            </w:r>
            <w:proofErr w:type="spellEnd"/>
            <w:r w:rsidRPr="009841AB">
              <w:t xml:space="preserve"> darbam</w:t>
            </w:r>
            <w:r w:rsidRPr="009841AB">
              <w:rPr>
                <w:color w:val="FF0000"/>
              </w:rPr>
              <w:t xml:space="preserve">.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D98ED74" w14:textId="06DE8B2C" w:rsidR="00427C9C" w:rsidRDefault="00427C9C" w:rsidP="00427C9C">
            <w:pPr>
              <w:pStyle w:val="naisc"/>
              <w:jc w:val="both"/>
              <w:rPr>
                <w:b/>
                <w:bCs/>
              </w:rPr>
            </w:pPr>
            <w:r>
              <w:rPr>
                <w:b/>
                <w:bCs/>
              </w:rPr>
              <w:lastRenderedPageBreak/>
              <w:t>Panākta vienošanās</w:t>
            </w:r>
          </w:p>
          <w:p w14:paraId="762163F5" w14:textId="2EDA46E5" w:rsidR="00662A21" w:rsidRPr="009841AB" w:rsidRDefault="00662A21" w:rsidP="00662A21">
            <w:pPr>
              <w:pStyle w:val="naisc"/>
              <w:jc w:val="both"/>
            </w:pPr>
            <w:r w:rsidRPr="009841AB">
              <w:t xml:space="preserve">Neapstrīdot īpaša veida identifikācijas risinājuma vajadzību ieslodzītajām personām, VARAM uzskata, ka to ir lietderīgāk attīstīt kā īpašu risinājumu izmantošanai noslēgtā sistēmā, ne plaša pielietojuma risinājumu, kas būtu izmantojams tajā skaitā arī ieslodzījuma vietās. Arī konkrētais piedāvātais risinājums - </w:t>
            </w:r>
            <w:proofErr w:type="spellStart"/>
            <w:r w:rsidRPr="009841AB">
              <w:t>biometrisko</w:t>
            </w:r>
            <w:proofErr w:type="spellEnd"/>
            <w:r w:rsidRPr="009841AB">
              <w:t xml:space="preserve"> parametru </w:t>
            </w:r>
            <w:r w:rsidRPr="009841AB">
              <w:lastRenderedPageBreak/>
              <w:t xml:space="preserve">uzkrāšana un apstrāde - ir galēji nevēlams plaša pielietojuma identifikācijas risinājumiem, pretstatā lokāliem - specifiskiem risinājumiem, kur tā izmantošana stingri noslēgtas sistēmas ietvaros stingri ierobežotam lietotāju lokam var būt pamatota.  </w:t>
            </w:r>
          </w:p>
          <w:p w14:paraId="7A0498A0" w14:textId="77777777" w:rsidR="00662A21" w:rsidRPr="009841AB" w:rsidRDefault="00662A21" w:rsidP="00662A21">
            <w:pPr>
              <w:pStyle w:val="naisc"/>
              <w:spacing w:before="0" w:after="0"/>
              <w:jc w:val="both"/>
            </w:pPr>
            <w:r w:rsidRPr="009841AB">
              <w:t>Vēršam uzmanību arī uz to, ka TM citā iebildumā ir stingra norāde par to, ka biometrijas datus elektroniskās identifikācijas risinājumos var izmantot tikai kā galējo - izņēmuma līdzekli.</w:t>
            </w:r>
          </w:p>
        </w:tc>
        <w:tc>
          <w:tcPr>
            <w:tcW w:w="3497" w:type="dxa"/>
            <w:tcBorders>
              <w:top w:val="single" w:sz="4" w:space="0" w:color="auto"/>
              <w:left w:val="single" w:sz="4" w:space="0" w:color="auto"/>
              <w:bottom w:val="single" w:sz="4" w:space="0" w:color="auto"/>
            </w:tcBorders>
            <w:shd w:val="clear" w:color="auto" w:fill="auto"/>
          </w:tcPr>
          <w:p w14:paraId="1D601E40" w14:textId="77777777" w:rsidR="00662A21" w:rsidRPr="009841AB" w:rsidRDefault="00662A21" w:rsidP="00662A21"/>
        </w:tc>
      </w:tr>
      <w:tr w:rsidR="00662A21" w:rsidRPr="009841AB" w14:paraId="070A261A"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A7C1A00" w14:textId="77777777" w:rsidR="00662A21" w:rsidRPr="009841AB" w:rsidRDefault="00662A21" w:rsidP="00662A21">
            <w:pPr>
              <w:pStyle w:val="naisc"/>
              <w:spacing w:before="0" w:after="0"/>
            </w:pPr>
            <w:r w:rsidRPr="009841AB">
              <w:t>1</w:t>
            </w:r>
            <w:r w:rsidR="00874D0A">
              <w:t>86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5FE4AC9"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7880A97" w14:textId="77777777" w:rsidR="00662A21" w:rsidRPr="00576407" w:rsidRDefault="00662A21" w:rsidP="00662A21">
            <w:pPr>
              <w:spacing w:line="276" w:lineRule="auto"/>
              <w:jc w:val="both"/>
            </w:pPr>
            <w:r w:rsidRPr="009841AB">
              <w:t>2. Pamatnostādņu projekta 4.2.2. Rīcības virziena “Elektroniskā identitāte un uzticamības pakalpojumi” sadaļā "E-identitātes un e-paraksta produktu attīstība. E-pakalpojumu attīstība" 5.punktā (54.lp.) norādīts: "</w:t>
            </w:r>
            <w:r w:rsidRPr="009841AB">
              <w:rPr>
                <w:i/>
              </w:rPr>
              <w:t xml:space="preserve">E-identitātes un e-paraksta nelikumīgas nodošanas vai zādzību risku mazināšana, ar attālinātiem sejas atpazīšanas paņēmieniem. Šobrīd pēc e-identitātes izsniegšanas persona to turpina izmantot vairākus gadus. Lai mazinātu iespējamus e-identitātes nodošanas vai zādzību riskus, nepieciešams izstrādāt </w:t>
            </w:r>
            <w:r w:rsidRPr="009841AB">
              <w:rPr>
                <w:i/>
              </w:rPr>
              <w:lastRenderedPageBreak/>
              <w:t>mehānismu, kas personu pēc noteiktiem kritērijiem ar sejas atpazīšanas rīkiem salīdzina ar tiem datiem, kas ir biometrijas datu bāzē.</w:t>
            </w:r>
            <w:r w:rsidRPr="009841AB">
              <w:t xml:space="preserve">" Attiecībā uz 5.punktā minēto, norādām uz nepieciešamību īpaši vērst </w:t>
            </w:r>
            <w:r w:rsidRPr="00576407">
              <w:t xml:space="preserve">uzmanību uz to, ka sejas atpazīšana ir </w:t>
            </w:r>
            <w:r w:rsidRPr="00576407">
              <w:rPr>
                <w:u w:val="single"/>
              </w:rPr>
              <w:t>jāizmanto tikai kā galējais līdzeklis, nevis vispārīgi pielietots līdzeklis</w:t>
            </w:r>
            <w:r w:rsidRPr="00576407">
              <w:t xml:space="preserve">. Ņemot vērā to, ka sejas atpazīšanas tehnoloģiju pielietošana ir saistāma ar </w:t>
            </w:r>
            <w:r w:rsidRPr="00576407">
              <w:rPr>
                <w:u w:val="single"/>
              </w:rPr>
              <w:t xml:space="preserve">īpaši augstu risku personas </w:t>
            </w:r>
            <w:proofErr w:type="spellStart"/>
            <w:r w:rsidRPr="00576407">
              <w:rPr>
                <w:u w:val="single"/>
              </w:rPr>
              <w:t>pamattiesībām</w:t>
            </w:r>
            <w:proofErr w:type="spellEnd"/>
            <w:r w:rsidRPr="00576407">
              <w:rPr>
                <w:u w:val="single"/>
              </w:rPr>
              <w:t xml:space="preserve"> un pamatbrīvībām</w:t>
            </w:r>
            <w:r w:rsidRPr="00576407">
              <w:t xml:space="preserve">, ir nepieciešams izvērtēt, vai e-identitātes un e-paraksta nelikumīgas nodošanas vai zādzības risku mazināšana nav sasniedzama ar tādiem līdzekļiem, kas mazāk iejaucas personas tiesībās uz tās personas datu aizsardzību. </w:t>
            </w:r>
          </w:p>
          <w:p w14:paraId="790B0936" w14:textId="77777777" w:rsidR="00662A21" w:rsidRPr="009841AB" w:rsidRDefault="00662A21" w:rsidP="00662A21">
            <w:pPr>
              <w:spacing w:line="276" w:lineRule="auto"/>
              <w:ind w:firstLine="709"/>
              <w:jc w:val="both"/>
            </w:pPr>
            <w:r w:rsidRPr="009841AB">
              <w:t xml:space="preserve">Vēršam uzmanību, ka saskaņā ar Eiropas Parlamenta un Padomes 2016. gada 27. aprīļa Regulas (ES) 2016/679 par fizisku personu datu aizsardzību attiecībā uz personas datu apstrādi un šādu datu brīvu apriti un ar ko atceļ Direktīvu 95/46/EK (Vispārīgā datu aizsardzības regula) (turpmāk – Datu regula) 9. panta 1. punktu </w:t>
            </w:r>
            <w:proofErr w:type="spellStart"/>
            <w:r w:rsidRPr="009841AB">
              <w:t>biometriskie</w:t>
            </w:r>
            <w:proofErr w:type="spellEnd"/>
            <w:r w:rsidRPr="009841AB">
              <w:t xml:space="preserve"> dati ir īpašu kategoriju personas dati, kuri rada augstu risku fiziskās personas tiesībām un brīvībām, un kuru apstrādei ir piemērojams kāds no Datu regulas 9. panta 2. punktā ietvertajiem tiesiskajiem pamatiem.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76D4BF6" w14:textId="77777777" w:rsidR="00662A21" w:rsidRPr="009841AB" w:rsidRDefault="00662A21" w:rsidP="00662A21">
            <w:pPr>
              <w:pStyle w:val="naisc"/>
              <w:spacing w:before="0" w:after="0"/>
              <w:jc w:val="both"/>
              <w:rPr>
                <w:b/>
                <w:bCs/>
              </w:rPr>
            </w:pPr>
            <w:r w:rsidRPr="009841AB">
              <w:rPr>
                <w:b/>
                <w:bCs/>
              </w:rPr>
              <w:lastRenderedPageBreak/>
              <w:t>Ņemts vērā</w:t>
            </w:r>
          </w:p>
        </w:tc>
        <w:tc>
          <w:tcPr>
            <w:tcW w:w="3497" w:type="dxa"/>
            <w:tcBorders>
              <w:top w:val="single" w:sz="4" w:space="0" w:color="auto"/>
              <w:left w:val="single" w:sz="4" w:space="0" w:color="auto"/>
              <w:bottom w:val="single" w:sz="4" w:space="0" w:color="auto"/>
            </w:tcBorders>
            <w:shd w:val="clear" w:color="auto" w:fill="auto"/>
          </w:tcPr>
          <w:p w14:paraId="7707F335" w14:textId="77777777" w:rsidR="00662A21" w:rsidRPr="009841AB" w:rsidRDefault="00E5375A"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4.2.2.</w:t>
            </w:r>
          </w:p>
        </w:tc>
      </w:tr>
      <w:tr w:rsidR="00662A21" w:rsidRPr="009841AB" w14:paraId="006B3BB9"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B647203" w14:textId="77777777" w:rsidR="00662A21" w:rsidRPr="009841AB" w:rsidRDefault="00662A21" w:rsidP="00662A21">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776AA44" w14:textId="77777777" w:rsidR="00662A21" w:rsidRPr="009841AB" w:rsidRDefault="00662A21" w:rsidP="00662A21">
            <w:pPr>
              <w:pStyle w:val="naisc"/>
              <w:spacing w:before="0" w:after="0"/>
              <w:jc w:val="left"/>
              <w:rPr>
                <w:color w:val="BFBFBF" w:themeColor="background1" w:themeShade="BF"/>
              </w:rPr>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E6ECFFE" w14:textId="77777777" w:rsidR="00662A21" w:rsidRPr="009841AB" w:rsidRDefault="00662A21" w:rsidP="00662A21">
            <w:pPr>
              <w:spacing w:line="276" w:lineRule="auto"/>
              <w:jc w:val="both"/>
              <w:rPr>
                <w:b/>
                <w:bCs/>
              </w:rPr>
            </w:pPr>
            <w:r w:rsidRPr="009841AB">
              <w:rPr>
                <w:b/>
                <w:bC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C2DFC37" w14:textId="77777777" w:rsidR="00662A21" w:rsidRPr="009841AB" w:rsidRDefault="00662A21" w:rsidP="00662A21">
            <w:pPr>
              <w:pStyle w:val="naisc"/>
              <w:spacing w:before="0" w:after="0"/>
              <w:jc w:val="both"/>
            </w:pPr>
          </w:p>
        </w:tc>
        <w:tc>
          <w:tcPr>
            <w:tcW w:w="3497" w:type="dxa"/>
            <w:tcBorders>
              <w:top w:val="single" w:sz="4" w:space="0" w:color="auto"/>
              <w:left w:val="single" w:sz="4" w:space="0" w:color="auto"/>
              <w:bottom w:val="single" w:sz="4" w:space="0" w:color="auto"/>
            </w:tcBorders>
            <w:shd w:val="clear" w:color="auto" w:fill="auto"/>
          </w:tcPr>
          <w:p w14:paraId="3B31CBFB" w14:textId="77777777" w:rsidR="00662A21" w:rsidRPr="009841AB" w:rsidRDefault="00662A21" w:rsidP="00662A21"/>
        </w:tc>
      </w:tr>
      <w:tr w:rsidR="00662A21" w:rsidRPr="009841AB" w14:paraId="26DC86A4"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2CDECC06" w14:textId="77777777" w:rsidR="00662A21" w:rsidRPr="009841AB" w:rsidRDefault="00662A21" w:rsidP="00662A21">
            <w:pPr>
              <w:pStyle w:val="naisc"/>
              <w:spacing w:before="0" w:after="0"/>
            </w:pPr>
            <w:r w:rsidRPr="009841AB">
              <w:t>1</w:t>
            </w:r>
            <w:r w:rsidR="00047653">
              <w:t>87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A45D546"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413D4A1" w14:textId="77777777" w:rsidR="00662A21" w:rsidRPr="009841AB" w:rsidRDefault="00662A21" w:rsidP="00662A21">
            <w:pPr>
              <w:spacing w:line="276" w:lineRule="auto"/>
              <w:jc w:val="both"/>
            </w:pPr>
            <w:r w:rsidRPr="009841AB">
              <w:t xml:space="preserve">1. Pamatnostādņu projekta 4.2.3. Rīcības virziena “Patērētāju tiesību aizsardzība digitālajā vidē" sadaļā "Esošās situācijas apraksts" (60.lpp) otrajā rindkopā norādīts, ka "Tāpat arī arvien lielāku popularitāti iegūst iepirkšanās dažādās tiešsaistes platformās. Ne vienmēr </w:t>
            </w:r>
            <w:r w:rsidRPr="009841AB">
              <w:lastRenderedPageBreak/>
              <w:t>patērētāji saprot, kurš ir pārdevējs un kāda ir platformas atbildība. Vienlaikus attīstās arī individualizētie piedāvājumi patērētājiem tiešsaistes vidē, kuri tiek izveidoti, izmantojot noteiktus algoritmus." Ņemot vērā minētajā rindkopā norādīto, izsakām ierosinājumu minētās rindkopas saturu papildināt ar norādi par sīkdatņu (angļu val. "</w:t>
            </w:r>
            <w:proofErr w:type="spellStart"/>
            <w:r w:rsidRPr="009841AB">
              <w:t>cookie</w:t>
            </w:r>
            <w:proofErr w:type="spellEnd"/>
            <w:r w:rsidRPr="009841AB">
              <w:t xml:space="preserve">") jeb nelielu teksta datņu, kas tiek saglabātas patērētāju datorā vai portatīvajā ierīcē, kad apmeklē tīmekļa vietni, vākšanu neatbilstoši Datu regulā 13.pantā noteiktajām personas datu aizsardzības prasībām. Bieži vien, iepērkoties digitālajā vidē, patērētāji neapzināti piekrīt personas datu profilēšanai, turpmāk saņemot reklāmas, kuras nemaz nav vēlējušies saņemt. </w:t>
            </w:r>
          </w:p>
        </w:tc>
        <w:tc>
          <w:tcPr>
            <w:tcW w:w="2480" w:type="dxa"/>
            <w:tcBorders>
              <w:top w:val="single" w:sz="4" w:space="0" w:color="auto"/>
              <w:left w:val="single" w:sz="4" w:space="0" w:color="auto"/>
              <w:bottom w:val="single" w:sz="4" w:space="0" w:color="auto"/>
              <w:right w:val="single" w:sz="4" w:space="0" w:color="auto"/>
            </w:tcBorders>
            <w:shd w:val="clear" w:color="auto" w:fill="auto"/>
          </w:tcPr>
          <w:p w14:paraId="67D0FFD3" w14:textId="77777777" w:rsidR="00662A21" w:rsidRPr="009841AB" w:rsidRDefault="00662A21" w:rsidP="00662A21">
            <w:pPr>
              <w:pStyle w:val="naisc"/>
              <w:spacing w:before="0" w:after="0"/>
              <w:jc w:val="both"/>
              <w:rPr>
                <w:b/>
                <w:bCs/>
              </w:rPr>
            </w:pPr>
            <w:r w:rsidRPr="009841AB">
              <w:rPr>
                <w:b/>
                <w:bCs/>
                <w:color w:val="000000"/>
              </w:rPr>
              <w:lastRenderedPageBreak/>
              <w:t>Ņemts vērā</w:t>
            </w:r>
          </w:p>
        </w:tc>
        <w:tc>
          <w:tcPr>
            <w:tcW w:w="3497" w:type="dxa"/>
            <w:tcBorders>
              <w:top w:val="single" w:sz="4" w:space="0" w:color="auto"/>
              <w:left w:val="nil"/>
              <w:bottom w:val="single" w:sz="4" w:space="0" w:color="auto"/>
              <w:right w:val="single" w:sz="4" w:space="0" w:color="auto"/>
            </w:tcBorders>
            <w:shd w:val="clear" w:color="auto" w:fill="auto"/>
          </w:tcPr>
          <w:p w14:paraId="57F32B9A" w14:textId="77777777" w:rsidR="00662A21" w:rsidRPr="009841AB" w:rsidRDefault="0080421F"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4.2.3.</w:t>
            </w:r>
          </w:p>
        </w:tc>
      </w:tr>
      <w:tr w:rsidR="00662A21" w:rsidRPr="009841AB" w14:paraId="2A953492" w14:textId="77777777" w:rsidTr="00DC72A3">
        <w:trPr>
          <w:gridAfter w:val="1"/>
          <w:wAfter w:w="7" w:type="dxa"/>
        </w:trPr>
        <w:tc>
          <w:tcPr>
            <w:tcW w:w="613" w:type="dxa"/>
            <w:tcBorders>
              <w:left w:val="single" w:sz="6" w:space="0" w:color="000000" w:themeColor="text1"/>
              <w:bottom w:val="single" w:sz="4" w:space="0" w:color="auto"/>
              <w:right w:val="single" w:sz="6" w:space="0" w:color="000000" w:themeColor="text1"/>
            </w:tcBorders>
            <w:shd w:val="clear" w:color="auto" w:fill="auto"/>
          </w:tcPr>
          <w:p w14:paraId="7526174B" w14:textId="77777777" w:rsidR="00662A21" w:rsidRPr="009841AB" w:rsidRDefault="00662A21" w:rsidP="00662A21">
            <w:pPr>
              <w:pStyle w:val="naisc"/>
              <w:spacing w:before="0" w:after="0"/>
            </w:pPr>
            <w:r w:rsidRPr="009841AB">
              <w:t>1</w:t>
            </w:r>
            <w:r w:rsidR="00047653">
              <w:t>88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15890A8" w14:textId="77777777" w:rsidR="00662A21" w:rsidRPr="009841AB" w:rsidRDefault="00662A21" w:rsidP="00662A21">
            <w:pPr>
              <w:pStyle w:val="naisc"/>
              <w:spacing w:before="0" w:after="0"/>
              <w:jc w:val="left"/>
              <w:rPr>
                <w:color w:val="BFBFBF" w:themeColor="background1" w:themeShade="BF"/>
              </w:rPr>
            </w:pPr>
            <w:r w:rsidRPr="009841AB">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DB252F9" w14:textId="77777777" w:rsidR="00662A21" w:rsidRPr="009841AB" w:rsidRDefault="00662A21" w:rsidP="00662A21">
            <w:pPr>
              <w:widowControl w:val="0"/>
              <w:jc w:val="both"/>
            </w:pPr>
            <w:r w:rsidRPr="009841AB">
              <w:t xml:space="preserve">2. Pamatnostādņu projekta 4.2.4. Rīcības virziena “Interneta lietotāju aizsardzība pret kaitīgu saturu" sadaļā  "Esošās situācijas apraksts" (63.lp.) ceturtajā rindkopā noteikts: "Fizisko personu datu aizsardzība arī ir digitālās transformācijas rīcības virziens, kas ir saistīts ar drošību un uzticamību digitālajā vidē, jo apskata gan fizisko personu datu aizsardzības uzraudzības uzlabojumu aspektus, gan iespēju  un gatavību personām (fiziskām) lemt par savu personas datu apzinātu nodošanu apstrādei (t.sk. privātajam sektoram un ārpus valsts robežām), kā arī iegūt pilnvērtīgu informāciju par savu personas datu izmantošanu. Tā kā šīs virziens aptver arī citas jomas, tas tiks izvērtēts 4.4.2.2.apakšnodaļā."   Norādām, ka nav saprotams, kāpēc šobrīd  tas saturs ir iekļauts tieši minētajā sadaļā. Vēršam uzmanību uz to, ka  "kaitīga satura" kontekstā personas datu aizsardzība ir būtiska tajā, ka, profilējot lietotāju, un piedāvājot viņam tikai tādu saturu, kas ir atbilstošs profilēšanas rezultātam, </w:t>
            </w:r>
            <w:r w:rsidRPr="009841AB">
              <w:lastRenderedPageBreak/>
              <w:t xml:space="preserve">personai tiek liegta iespēja uz daudzveidīgu informāciju (atrašanās “informatīvajā burbulī”). Kā rezultātā, ja lietotājs ir izrādījis interesi par kaitīgu saturu, tad viņam šis saturs tiks rādīts pastiprināti. Līdz ar to izsakām priekšlikumu minētās sadaļas rindkopu iekļaut pamatnostādņu projekta 4.4.2.2. Rīcības </w:t>
            </w:r>
            <w:proofErr w:type="spellStart"/>
            <w:r w:rsidRPr="009841AB">
              <w:t>apakšvirzienā</w:t>
            </w:r>
            <w:proofErr w:type="spellEnd"/>
            <w:r w:rsidRPr="009841AB">
              <w:t xml:space="preserve"> “Fizisko personu datu aizsardzība".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D260168" w14:textId="77777777" w:rsidR="00C06E22" w:rsidRPr="00D264F6" w:rsidRDefault="00662A21" w:rsidP="00662A21">
            <w:pPr>
              <w:pStyle w:val="naisc"/>
              <w:spacing w:before="0" w:after="0"/>
              <w:jc w:val="both"/>
              <w:rPr>
                <w:b/>
                <w:bCs/>
              </w:rPr>
            </w:pPr>
            <w:r w:rsidRPr="009841AB">
              <w:rPr>
                <w:b/>
                <w:bCs/>
              </w:rPr>
              <w:lastRenderedPageBreak/>
              <w:t>Ņemts vērā</w:t>
            </w:r>
          </w:p>
          <w:p w14:paraId="4610E2A6" w14:textId="77777777" w:rsidR="00C06E22" w:rsidRPr="009841AB" w:rsidRDefault="00C06E22" w:rsidP="00662A21">
            <w:pPr>
              <w:pStyle w:val="naisc"/>
              <w:spacing w:before="0" w:after="0"/>
              <w:jc w:val="both"/>
            </w:pPr>
            <w:r w:rsidRPr="009841AB">
              <w:t>Lai novērstu iespējamus pārpratumus, diskutablā rindkopa ir izslēgta no 4.2.4 teksta.</w:t>
            </w:r>
          </w:p>
        </w:tc>
        <w:tc>
          <w:tcPr>
            <w:tcW w:w="3497" w:type="dxa"/>
            <w:tcBorders>
              <w:top w:val="single" w:sz="4" w:space="0" w:color="auto"/>
              <w:left w:val="single" w:sz="4" w:space="0" w:color="auto"/>
              <w:bottom w:val="single" w:sz="4" w:space="0" w:color="auto"/>
            </w:tcBorders>
            <w:shd w:val="clear" w:color="auto" w:fill="auto"/>
          </w:tcPr>
          <w:p w14:paraId="10D3DB6A" w14:textId="77777777" w:rsidR="00662A21" w:rsidRPr="009841AB" w:rsidRDefault="00C06E22" w:rsidP="00662A21">
            <w:r w:rsidRPr="009841AB">
              <w:rPr>
                <w:color w:val="000000"/>
              </w:rPr>
              <w:t xml:space="preserve">Lūdzam skatīt </w:t>
            </w:r>
            <w:proofErr w:type="spellStart"/>
            <w:r w:rsidRPr="009841AB">
              <w:rPr>
                <w:color w:val="000000"/>
              </w:rPr>
              <w:t>apakšsadaļu</w:t>
            </w:r>
            <w:proofErr w:type="spellEnd"/>
            <w:r w:rsidRPr="009841AB">
              <w:rPr>
                <w:color w:val="000000"/>
              </w:rPr>
              <w:t xml:space="preserve"> 4.2.4.</w:t>
            </w:r>
          </w:p>
        </w:tc>
      </w:tr>
      <w:tr w:rsidR="00662A21" w:rsidRPr="009841AB" w14:paraId="7E76ABFD"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90E8E52" w14:textId="77777777" w:rsidR="00662A21" w:rsidRPr="009841AB" w:rsidRDefault="00662A21" w:rsidP="00662A21">
            <w:pPr>
              <w:tabs>
                <w:tab w:val="center" w:pos="7046"/>
                <w:tab w:val="right" w:pos="14093"/>
              </w:tabs>
              <w:jc w:val="center"/>
              <w:rPr>
                <w:b/>
              </w:rPr>
            </w:pPr>
            <w:r w:rsidRPr="009841AB">
              <w:rPr>
                <w:b/>
              </w:rPr>
              <w:t>4.3. Attīstības virziens „Telekomunikāciju pakalpojumu pieejamība”</w:t>
            </w:r>
          </w:p>
        </w:tc>
      </w:tr>
      <w:tr w:rsidR="00662A21" w:rsidRPr="009841AB" w14:paraId="0627E13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9B0FEB3" w14:textId="77777777" w:rsidR="00662A21" w:rsidRPr="009841AB" w:rsidRDefault="00662A21" w:rsidP="00662A21">
            <w:pPr>
              <w:tabs>
                <w:tab w:val="left" w:pos="720"/>
              </w:tabs>
              <w:contextualSpacing/>
              <w:jc w:val="both"/>
              <w:rPr>
                <w:b/>
                <w:bCs/>
                <w:lang w:eastAsia="en-US"/>
              </w:rPr>
            </w:pPr>
            <w:r w:rsidRPr="009841AB">
              <w:rPr>
                <w:b/>
                <w:bCs/>
                <w:lang w:eastAsia="en-US"/>
              </w:rPr>
              <w:t>Aizsardzības ministrijas 01.02.2021. atzinums:</w:t>
            </w:r>
          </w:p>
        </w:tc>
      </w:tr>
      <w:tr w:rsidR="00662A21" w:rsidRPr="009841AB" w14:paraId="79B631C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2F69ED7" w14:textId="77777777" w:rsidR="00662A21" w:rsidRPr="009841AB" w:rsidRDefault="00662A21" w:rsidP="00662A21">
            <w:pPr>
              <w:pStyle w:val="naisc"/>
              <w:spacing w:before="0" w:after="0"/>
            </w:pPr>
            <w:r w:rsidRPr="009841AB">
              <w:t>1</w:t>
            </w:r>
            <w:r w:rsidR="00047653">
              <w:t>89</w:t>
            </w:r>
          </w:p>
        </w:tc>
        <w:tc>
          <w:tcPr>
            <w:tcW w:w="2427" w:type="dxa"/>
            <w:tcBorders>
              <w:left w:val="single" w:sz="6" w:space="0" w:color="000000" w:themeColor="text1"/>
              <w:bottom w:val="single" w:sz="4" w:space="0" w:color="auto"/>
            </w:tcBorders>
            <w:shd w:val="clear" w:color="auto" w:fill="auto"/>
          </w:tcPr>
          <w:p w14:paraId="0A3884FC"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35527A16" w14:textId="77777777" w:rsidR="00662A21" w:rsidRPr="009841AB" w:rsidRDefault="00662A21" w:rsidP="00662A21">
            <w:pPr>
              <w:pStyle w:val="naisc"/>
              <w:jc w:val="both"/>
            </w:pPr>
            <w:r w:rsidRPr="009841AB">
              <w:t>1.</w:t>
            </w:r>
            <w:r w:rsidRPr="009841AB">
              <w:tab/>
              <w:t>65. lpp. nodaļa “4.3. Attīstības virziens „Telekomunikāciju pakalpojumu pieejamība””. Attiecībā uz periodu līdz 2027.gadam ir nepieciešams uzsvērt ne tikai piektās paaudzes mobilo sakaru tīklu attīstību, bet gan iezīmēt redzējumu kopējās 5G ekosistēmas attīstībai Latvijā, kas sev līdzi nesīs arī dažādus drošības izaicinājumus;</w:t>
            </w:r>
          </w:p>
        </w:tc>
        <w:tc>
          <w:tcPr>
            <w:tcW w:w="2480" w:type="dxa"/>
            <w:tcBorders>
              <w:left w:val="single" w:sz="6" w:space="0" w:color="000000" w:themeColor="text1"/>
              <w:bottom w:val="single" w:sz="4" w:space="0" w:color="auto"/>
            </w:tcBorders>
            <w:shd w:val="clear" w:color="auto" w:fill="auto"/>
          </w:tcPr>
          <w:p w14:paraId="7F86833E" w14:textId="77777777" w:rsidR="00427C9C" w:rsidRDefault="00427C9C" w:rsidP="00427C9C">
            <w:pPr>
              <w:pStyle w:val="naisc"/>
              <w:jc w:val="both"/>
              <w:rPr>
                <w:b/>
                <w:bCs/>
              </w:rPr>
            </w:pPr>
            <w:r>
              <w:rPr>
                <w:b/>
                <w:bCs/>
              </w:rPr>
              <w:t>Panākta vienošanās</w:t>
            </w:r>
          </w:p>
          <w:p w14:paraId="1951269C" w14:textId="77777777" w:rsidR="00662A21" w:rsidRPr="009841AB" w:rsidRDefault="006455D8" w:rsidP="006455D8">
            <w:pPr>
              <w:pStyle w:val="naisc"/>
              <w:spacing w:before="0" w:after="0"/>
              <w:jc w:val="left"/>
            </w:pPr>
            <w:r w:rsidRPr="009841AB">
              <w:t xml:space="preserve">VARAM ieskatā nepieciešamā rīcībā attiecībā uz 5G drošības nodrošināšanu būtu iekļaujama </w:t>
            </w:r>
            <w:proofErr w:type="spellStart"/>
            <w:r w:rsidRPr="009841AB">
              <w:t>Kiberdrošības</w:t>
            </w:r>
            <w:proofErr w:type="spellEnd"/>
            <w:r w:rsidRPr="009841AB">
              <w:t xml:space="preserve"> stratēģijā. Informācija uz potenciālajiem 5G riskiem ir norādīta 4.2.1. Rīcības virziena: Digitālās drošības politika veicot atsauci uz Eiropas Komisija 2020. gada 29. janvārī publicēja rīkkopu 5G drošībai.</w:t>
            </w:r>
          </w:p>
        </w:tc>
        <w:tc>
          <w:tcPr>
            <w:tcW w:w="3497" w:type="dxa"/>
            <w:tcBorders>
              <w:left w:val="single" w:sz="6" w:space="0" w:color="000000" w:themeColor="text1"/>
              <w:bottom w:val="single" w:sz="4" w:space="0" w:color="auto"/>
            </w:tcBorders>
            <w:shd w:val="clear" w:color="auto" w:fill="auto"/>
          </w:tcPr>
          <w:p w14:paraId="5942FB79" w14:textId="77777777" w:rsidR="00662A21" w:rsidRPr="009841AB" w:rsidRDefault="006455D8" w:rsidP="006455D8">
            <w:pPr>
              <w:pStyle w:val="naisc"/>
              <w:spacing w:before="0" w:after="0"/>
              <w:jc w:val="left"/>
            </w:pPr>
            <w:r w:rsidRPr="009841AB">
              <w:t xml:space="preserve">Lūdzam skatīt </w:t>
            </w:r>
            <w:proofErr w:type="spellStart"/>
            <w:r w:rsidRPr="009841AB">
              <w:t>apakšsadaļu</w:t>
            </w:r>
            <w:proofErr w:type="spellEnd"/>
            <w:r w:rsidRPr="009841AB">
              <w:t xml:space="preserve"> 4.2.1.</w:t>
            </w:r>
          </w:p>
        </w:tc>
      </w:tr>
      <w:tr w:rsidR="00662A21" w:rsidRPr="009841AB" w14:paraId="17780A1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D9FF9C1" w14:textId="77777777" w:rsidR="00662A21" w:rsidRPr="009841AB" w:rsidRDefault="00662A21" w:rsidP="00662A21">
            <w:pPr>
              <w:pStyle w:val="naisc"/>
              <w:spacing w:before="0" w:after="0"/>
            </w:pPr>
            <w:r w:rsidRPr="009841AB">
              <w:t>1</w:t>
            </w:r>
            <w:r w:rsidR="009C5FCB">
              <w:t>90</w:t>
            </w:r>
          </w:p>
        </w:tc>
        <w:tc>
          <w:tcPr>
            <w:tcW w:w="2427" w:type="dxa"/>
            <w:tcBorders>
              <w:left w:val="single" w:sz="6" w:space="0" w:color="000000" w:themeColor="text1"/>
              <w:bottom w:val="single" w:sz="4" w:space="0" w:color="auto"/>
            </w:tcBorders>
            <w:shd w:val="clear" w:color="auto" w:fill="auto"/>
          </w:tcPr>
          <w:p w14:paraId="5D3D3AF3"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110B7451" w14:textId="77777777" w:rsidR="00662A21" w:rsidRPr="009841AB" w:rsidRDefault="00662A21" w:rsidP="00662A21">
            <w:pPr>
              <w:pStyle w:val="naisc"/>
              <w:jc w:val="both"/>
            </w:pPr>
            <w:r w:rsidRPr="009841AB">
              <w:t>2.</w:t>
            </w:r>
            <w:r w:rsidRPr="009841AB">
              <w:tab/>
              <w:t xml:space="preserve">78. lpp. nodaļa “4.3.2. Rīcības virziens: IPv6 ieviešanas veicināšana”. Vīziju izteikt šādā redakcijā: “Valsts pārvalde pakāpeniski pāriet uz IPv6 adresāciju, tādējādi motivējot arī privāto sektoru sekot šim paraugam. Plānojot IPv6 adresācijas ieviešanu un to ieviešot ņemot vērā labo praksi, rezultātā tiek pilnveidota </w:t>
            </w:r>
            <w:proofErr w:type="spellStart"/>
            <w:r w:rsidRPr="009841AB">
              <w:t>IoT</w:t>
            </w:r>
            <w:proofErr w:type="spellEnd"/>
            <w:r w:rsidRPr="009841AB">
              <w:t xml:space="preserve"> komponenšu identificēšana un pārvaldība, uzlabota elektronisko sakaru tīklu drošība, </w:t>
            </w:r>
            <w:r w:rsidRPr="009841AB">
              <w:lastRenderedPageBreak/>
              <w:t xml:space="preserve">kā arī tiek veicināta M2M un </w:t>
            </w:r>
            <w:proofErr w:type="spellStart"/>
            <w:r w:rsidRPr="009841AB">
              <w:t>IoT</w:t>
            </w:r>
            <w:proofErr w:type="spellEnd"/>
            <w:r w:rsidRPr="009841AB">
              <w:t xml:space="preserve"> risinājumu ieviešana.”. Vienlaikus vēršam uzmanību, ka var notikt tieši pretēji, jo apdraudējumi pastāv kā izmantojot IPv4 protokolu, tā IPv6 protokolu;</w:t>
            </w:r>
          </w:p>
        </w:tc>
        <w:tc>
          <w:tcPr>
            <w:tcW w:w="2480" w:type="dxa"/>
            <w:tcBorders>
              <w:left w:val="single" w:sz="6" w:space="0" w:color="000000" w:themeColor="text1"/>
              <w:bottom w:val="single" w:sz="4" w:space="0" w:color="auto"/>
            </w:tcBorders>
            <w:shd w:val="clear" w:color="auto" w:fill="auto"/>
          </w:tcPr>
          <w:p w14:paraId="7F79FA73" w14:textId="77777777" w:rsidR="00097C0A" w:rsidRPr="009841AB" w:rsidRDefault="00097C0A" w:rsidP="00662A21">
            <w:pPr>
              <w:pStyle w:val="naisc"/>
              <w:spacing w:before="0" w:after="0"/>
              <w:jc w:val="both"/>
              <w:rPr>
                <w:b/>
                <w:bCs/>
              </w:rPr>
            </w:pPr>
            <w:r w:rsidRPr="009841AB">
              <w:rPr>
                <w:b/>
                <w:bCs/>
              </w:rPr>
              <w:lastRenderedPageBreak/>
              <w:t>Ņemts vērā</w:t>
            </w:r>
          </w:p>
          <w:p w14:paraId="058A025F" w14:textId="77777777" w:rsidR="00097C0A" w:rsidRPr="009841AB" w:rsidRDefault="00097C0A" w:rsidP="00662A21">
            <w:pPr>
              <w:pStyle w:val="naisc"/>
              <w:spacing w:before="0" w:after="0"/>
              <w:jc w:val="both"/>
            </w:pPr>
          </w:p>
          <w:p w14:paraId="1A899BE7" w14:textId="77777777" w:rsidR="00662A21" w:rsidRPr="009841AB" w:rsidRDefault="00662A21" w:rsidP="00662A21">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2C2EB8E6" w14:textId="77777777" w:rsidR="00662A21" w:rsidRPr="009841AB" w:rsidRDefault="00944961" w:rsidP="00097C0A">
            <w:pPr>
              <w:pStyle w:val="naisc"/>
              <w:spacing w:before="0" w:after="0"/>
              <w:jc w:val="left"/>
            </w:pPr>
            <w:r w:rsidRPr="009841AB">
              <w:t xml:space="preserve">“Valsts pārvalde pakāpeniski pāriet uz IPv6 adresāciju, tādējādi motivējot arī privāto sektoru sekot šim paraugam. Plānojot IPv6 adresācijas ieviešanu un ieviešot to, ņemot vērā labo praksi, rezultātā tiek pilnveidota </w:t>
            </w:r>
            <w:proofErr w:type="spellStart"/>
            <w:r w:rsidRPr="009841AB">
              <w:t>IoT</w:t>
            </w:r>
            <w:proofErr w:type="spellEnd"/>
            <w:r w:rsidRPr="009841AB">
              <w:t xml:space="preserve"> komponenšu identificēšana </w:t>
            </w:r>
            <w:r w:rsidRPr="009841AB">
              <w:lastRenderedPageBreak/>
              <w:t xml:space="preserve">un pārvaldība, uzlabota elektronisko sakaru tīklu drošība, kā arī tiek veicināta M2M un </w:t>
            </w:r>
            <w:proofErr w:type="spellStart"/>
            <w:r w:rsidRPr="009841AB">
              <w:t>IoT</w:t>
            </w:r>
            <w:proofErr w:type="spellEnd"/>
            <w:r w:rsidRPr="009841AB">
              <w:t xml:space="preserve"> risinājumu ieviešana.”</w:t>
            </w:r>
          </w:p>
        </w:tc>
      </w:tr>
      <w:tr w:rsidR="00662A21" w:rsidRPr="009841AB" w14:paraId="2114B2C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3274F6B" w14:textId="77777777" w:rsidR="00662A21" w:rsidRPr="009841AB" w:rsidRDefault="00662A21" w:rsidP="00662A21">
            <w:pPr>
              <w:pStyle w:val="naisc"/>
              <w:spacing w:before="0" w:after="0"/>
            </w:pPr>
            <w:r w:rsidRPr="009841AB">
              <w:lastRenderedPageBreak/>
              <w:t>1</w:t>
            </w:r>
            <w:r w:rsidR="006B6D91">
              <w:t>91</w:t>
            </w:r>
          </w:p>
        </w:tc>
        <w:tc>
          <w:tcPr>
            <w:tcW w:w="2427" w:type="dxa"/>
            <w:tcBorders>
              <w:left w:val="single" w:sz="6" w:space="0" w:color="000000" w:themeColor="text1"/>
              <w:bottom w:val="single" w:sz="4" w:space="0" w:color="auto"/>
            </w:tcBorders>
            <w:shd w:val="clear" w:color="auto" w:fill="auto"/>
          </w:tcPr>
          <w:p w14:paraId="461EB7E1"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2380FDE5" w14:textId="77777777" w:rsidR="00662A21" w:rsidRPr="009841AB" w:rsidRDefault="00662A21" w:rsidP="00662A21">
            <w:pPr>
              <w:pStyle w:val="naisc"/>
              <w:jc w:val="both"/>
            </w:pPr>
            <w:r w:rsidRPr="009841AB">
              <w:t>3.</w:t>
            </w:r>
            <w:r w:rsidRPr="009841AB">
              <w:tab/>
              <w:t xml:space="preserve">78. lpp. nodaļa “4.3.2. Rīcības virziens: IPv6 ieviešanas veicināšana”. Esošās situācijas apraksta pirmās rindkopas pirmo un otro teikumu izteikt šādā redakcijā: “Jaunas IPv4 adreses organizācijas vairs nevar iegūt no reģionālā Internet resursu reģistra RIPE NCC, tas apgrūtina jaunu lietotāju un pakalpojumu pieslēgšanu. Apejot IPv4 adrešu izsīkumu, šobrīd Latvijā viena IPv4 adrese tiek izmantota līdz pat 100 lietotājiem, kas rada dažāda rakstura problēmas. Viena no tām ir saistīta ar lietotāju identificēšanu, jo </w:t>
            </w:r>
            <w:proofErr w:type="spellStart"/>
            <w:r w:rsidRPr="009841AB">
              <w:t>tiesībsargājošās</w:t>
            </w:r>
            <w:proofErr w:type="spellEnd"/>
            <w:r w:rsidRPr="009841AB">
              <w:t xml:space="preserve"> iestādes no saglabājamiem datiem ar grūtībām spēj identificēt galalietotāju, kurš ir veicis pretlikumīgas darbības.”;</w:t>
            </w:r>
          </w:p>
        </w:tc>
        <w:tc>
          <w:tcPr>
            <w:tcW w:w="2480" w:type="dxa"/>
            <w:tcBorders>
              <w:left w:val="single" w:sz="6" w:space="0" w:color="000000" w:themeColor="text1"/>
              <w:bottom w:val="single" w:sz="4" w:space="0" w:color="auto"/>
            </w:tcBorders>
            <w:shd w:val="clear" w:color="auto" w:fill="auto"/>
          </w:tcPr>
          <w:p w14:paraId="2698F4CA" w14:textId="77777777" w:rsidR="00662A21" w:rsidRPr="009841AB" w:rsidRDefault="00944961" w:rsidP="00662A21">
            <w:pPr>
              <w:pStyle w:val="naisc"/>
              <w:spacing w:before="0" w:after="0"/>
              <w:jc w:val="both"/>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54F39E82" w14:textId="77777777" w:rsidR="00662A21" w:rsidRPr="009841AB" w:rsidRDefault="007E7544" w:rsidP="00944961">
            <w:pPr>
              <w:pStyle w:val="naisc"/>
              <w:spacing w:before="0" w:after="0"/>
              <w:jc w:val="left"/>
            </w:pPr>
            <w:r w:rsidRPr="009841AB">
              <w:t>“</w:t>
            </w:r>
            <w:r w:rsidR="00944961" w:rsidRPr="009841AB">
              <w:t xml:space="preserve">Jaunas IPv4 adreses organizācijas vairs nevar iegūt no reģionālā Internet resursu reģistra RIPE NCC, tas apgrūtina jaunu lietotāju un pakalpojumu pieslēgšanu. Apejot IPv4 adrešu izsīkumu, šobrīd Latvijā viena IPv4 adrese tiek izmantota līdz pat 100 lietotājiem, kas rada dažāda rakstura problēmas. Viena no tām ir saistīta ar lietotāju identificēšanu, jo </w:t>
            </w:r>
            <w:proofErr w:type="spellStart"/>
            <w:r w:rsidR="00944961" w:rsidRPr="009841AB">
              <w:t>tiesībsargājošās</w:t>
            </w:r>
            <w:proofErr w:type="spellEnd"/>
            <w:r w:rsidR="00944961" w:rsidRPr="009841AB">
              <w:t xml:space="preserve"> iestādes no saglabājamiem datiem ar grūtībām spēj identificēt galalietotāju, kurš ir veicis pretlikumīgas darbības.</w:t>
            </w:r>
            <w:r w:rsidRPr="009841AB">
              <w:t>”</w:t>
            </w:r>
          </w:p>
        </w:tc>
      </w:tr>
      <w:tr w:rsidR="00662A21" w:rsidRPr="009841AB" w14:paraId="1CACCBC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21A3B34" w14:textId="77777777" w:rsidR="00662A21" w:rsidRPr="009841AB" w:rsidRDefault="00662A21" w:rsidP="00662A21">
            <w:pPr>
              <w:pStyle w:val="naisc"/>
              <w:spacing w:before="0" w:after="0"/>
            </w:pPr>
            <w:r w:rsidRPr="009841AB">
              <w:t>1</w:t>
            </w:r>
            <w:r w:rsidR="000828BD">
              <w:t>92</w:t>
            </w:r>
          </w:p>
        </w:tc>
        <w:tc>
          <w:tcPr>
            <w:tcW w:w="2427" w:type="dxa"/>
            <w:tcBorders>
              <w:left w:val="single" w:sz="6" w:space="0" w:color="000000" w:themeColor="text1"/>
              <w:bottom w:val="single" w:sz="4" w:space="0" w:color="auto"/>
            </w:tcBorders>
            <w:shd w:val="clear" w:color="auto" w:fill="auto"/>
          </w:tcPr>
          <w:p w14:paraId="335E105C"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3AA6646D" w14:textId="77777777" w:rsidR="00662A21" w:rsidRPr="009841AB" w:rsidRDefault="00662A21" w:rsidP="00662A21">
            <w:pPr>
              <w:pStyle w:val="naisc"/>
              <w:jc w:val="both"/>
            </w:pPr>
            <w:r w:rsidRPr="009841AB">
              <w:t>4.</w:t>
            </w:r>
            <w:r w:rsidRPr="009841AB">
              <w:tab/>
              <w:t xml:space="preserve">78. lpp. nodaļa “4.3.2. Rīcības virziens: IPv6 ieviešanas veicināšana”. Esošās situācijas apraksta pirmajā rindkopā ir minēts, ka: “Ar IPv6 ieviešanu tiek uzlabota maršrutēšana, jo ņemot vērā, ka IPv6 adresēm nav resursu ierobežojumu, katrs lietotājs var saņemt individuālu adresi, un lietotājs ir bez grūtībām identificējams, kas sekmē drošības internetā problēmu risināšanu.”. Vēršam uzmanību, ka apgalvojums, ka tiek uzlabota maršrutēšana nav korekts. IPv6 gadījumā maršrutēšana var tikt ieviesta vairāk hierarhiski, piem., valsts līmenī. Tāpat vēršam uzmanību, ka nav korekts apgalvojums, ka lietotājs ir bez grūtībām identificējams. Grūtības var rasties, jo tāpat ir jābūt žurnālfailiem, jo IPv6 adreses lielākoties netiek </w:t>
            </w:r>
            <w:r w:rsidRPr="009841AB">
              <w:lastRenderedPageBreak/>
              <w:t>piešķirtas statiski; lietotāja izmantotā operētājsistēma, izmantojot privātuma paplašinājumus (</w:t>
            </w:r>
            <w:proofErr w:type="spellStart"/>
            <w:r w:rsidRPr="009841AB">
              <w:t>Privacy</w:t>
            </w:r>
            <w:proofErr w:type="spellEnd"/>
            <w:r w:rsidRPr="009841AB">
              <w:t xml:space="preserve"> </w:t>
            </w:r>
            <w:proofErr w:type="spellStart"/>
            <w:r w:rsidRPr="009841AB">
              <w:t>Extensions</w:t>
            </w:r>
            <w:proofErr w:type="spellEnd"/>
            <w:r w:rsidRPr="009841AB">
              <w:t>), ļaus nomainīties izmantotajai IPv6 adresei;</w:t>
            </w:r>
          </w:p>
        </w:tc>
        <w:tc>
          <w:tcPr>
            <w:tcW w:w="2480" w:type="dxa"/>
            <w:tcBorders>
              <w:left w:val="single" w:sz="6" w:space="0" w:color="000000" w:themeColor="text1"/>
              <w:bottom w:val="single" w:sz="4" w:space="0" w:color="auto"/>
            </w:tcBorders>
            <w:shd w:val="clear" w:color="auto" w:fill="auto"/>
          </w:tcPr>
          <w:p w14:paraId="1C677C9F" w14:textId="77777777" w:rsidR="00662A21" w:rsidRPr="009841AB" w:rsidRDefault="007E7544" w:rsidP="00662A21">
            <w:pPr>
              <w:pStyle w:val="naisc"/>
              <w:spacing w:before="0" w:after="0"/>
              <w:jc w:val="both"/>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49249D21" w14:textId="77777777" w:rsidR="00662A21" w:rsidRPr="009841AB" w:rsidRDefault="007E7544" w:rsidP="007E7544">
            <w:pPr>
              <w:pStyle w:val="naisc"/>
              <w:spacing w:before="0" w:after="0"/>
              <w:jc w:val="left"/>
            </w:pPr>
            <w:r w:rsidRPr="009841AB">
              <w:t>“Ar IPv6 (interneta protokola versija seši) ieviešanu tiek uzlabota iespēja identificēt lietotāju, jo ņemot vērā, ka IPv6 adresēm nav resursu ierobežojumu, katrs lietotājs var saņemt individuālu adresi,  kas savukārt sekmē drošības internetā problēmu risināšanu.”</w:t>
            </w:r>
          </w:p>
        </w:tc>
      </w:tr>
      <w:tr w:rsidR="00662A21" w:rsidRPr="009841AB" w14:paraId="3AF53E4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C11CA56" w14:textId="77777777" w:rsidR="00662A21" w:rsidRPr="009841AB" w:rsidRDefault="00662A21" w:rsidP="00662A21">
            <w:pPr>
              <w:pStyle w:val="naisc"/>
              <w:spacing w:before="0" w:after="0"/>
            </w:pPr>
            <w:r w:rsidRPr="009841AB">
              <w:t>1</w:t>
            </w:r>
            <w:r w:rsidR="000828BD">
              <w:t>93</w:t>
            </w:r>
          </w:p>
        </w:tc>
        <w:tc>
          <w:tcPr>
            <w:tcW w:w="2427" w:type="dxa"/>
            <w:tcBorders>
              <w:left w:val="single" w:sz="6" w:space="0" w:color="000000" w:themeColor="text1"/>
              <w:bottom w:val="single" w:sz="4" w:space="0" w:color="auto"/>
            </w:tcBorders>
            <w:shd w:val="clear" w:color="auto" w:fill="auto"/>
          </w:tcPr>
          <w:p w14:paraId="418C1E8F"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377D1B35" w14:textId="77777777" w:rsidR="00662A21" w:rsidRPr="009841AB" w:rsidRDefault="00662A21" w:rsidP="00662A21">
            <w:pPr>
              <w:tabs>
                <w:tab w:val="left" w:pos="720"/>
              </w:tabs>
              <w:contextualSpacing/>
              <w:jc w:val="both"/>
              <w:rPr>
                <w:b/>
                <w:bCs/>
                <w:lang w:eastAsia="en-US"/>
              </w:rPr>
            </w:pPr>
            <w:r w:rsidRPr="009841AB">
              <w:t>5.</w:t>
            </w:r>
            <w:r w:rsidRPr="009841AB">
              <w:tab/>
              <w:t>78. lpp. nodaļa “4.3.2. Rīcības virziens: IPv6 ieviešanas veicināšana”. Esošās situācijas apraksta trešo rindkopu izteikt šādā redakcijā: “Vienlaikus IPv6 adresācijas izmantošana ir būtiska M2M (</w:t>
            </w:r>
            <w:proofErr w:type="spellStart"/>
            <w:r w:rsidRPr="009841AB">
              <w:t>Machine</w:t>
            </w:r>
            <w:proofErr w:type="spellEnd"/>
            <w:r w:rsidRPr="009841AB">
              <w:t>-to-</w:t>
            </w:r>
            <w:proofErr w:type="spellStart"/>
            <w:r w:rsidRPr="009841AB">
              <w:t>Machine</w:t>
            </w:r>
            <w:proofErr w:type="spellEnd"/>
            <w:r w:rsidRPr="009841AB">
              <w:t xml:space="preserve"> – Mašīnas-mašīnas) un </w:t>
            </w:r>
            <w:proofErr w:type="spellStart"/>
            <w:r w:rsidRPr="009841AB">
              <w:t>IoT</w:t>
            </w:r>
            <w:proofErr w:type="spellEnd"/>
            <w:r w:rsidRPr="009841AB">
              <w:t xml:space="preserve"> (Internet </w:t>
            </w:r>
            <w:proofErr w:type="spellStart"/>
            <w:r w:rsidRPr="009841AB">
              <w:t>of</w:t>
            </w:r>
            <w:proofErr w:type="spellEnd"/>
            <w:r w:rsidRPr="009841AB">
              <w:t xml:space="preserve"> </w:t>
            </w:r>
            <w:proofErr w:type="spellStart"/>
            <w:r w:rsidRPr="009841AB">
              <w:t>Things</w:t>
            </w:r>
            <w:proofErr w:type="spellEnd"/>
            <w:r w:rsidRPr="009841AB">
              <w:t xml:space="preserve"> – lietu internets) sakariem, kas arvien vairāk tiek orientēti uz Interneta Protokola tehnoloģiskajiem risinājumiem, attīstībai ilgtermiņā. Ņemot vērā ES valstu pieredzi, kā arī potenciālos ieguvumus saistībā ar plašāku IPv6 adrešu lietošanu, ir nepieciešams koncentrēties uz IPv6 ieviešanu sākotnēji valsts pārvaldē. Ieviešot IPv6 lietošanu valsts pārvaldē, arī privātajā sektorā IPv6 ieviešana notiks plašāk un aktīvāk. Vienlaikus IPv6 adresācijas izmantošana un IPv6 adresācijas plāna izstrāde valsts pārvaldei nodrošinās iespēju izmantot no elektronisko sakaru tīkla operatoriem neatkarīgu IP adresāciju (tiks samazināti šķēršļi iepirkumos mainīt esošo interneta </w:t>
            </w:r>
            <w:proofErr w:type="spellStart"/>
            <w:r w:rsidRPr="009841AB">
              <w:t>pieslēguma</w:t>
            </w:r>
            <w:proofErr w:type="spellEnd"/>
            <w:r w:rsidRPr="009841AB">
              <w:t xml:space="preserve"> nodrošinātāju), kā arī hierarhisku datu maršrutēšanu un vienotu tīklu pārvaldību.”.</w:t>
            </w:r>
          </w:p>
        </w:tc>
        <w:tc>
          <w:tcPr>
            <w:tcW w:w="2480" w:type="dxa"/>
            <w:tcBorders>
              <w:left w:val="single" w:sz="6" w:space="0" w:color="000000" w:themeColor="text1"/>
              <w:bottom w:val="single" w:sz="4" w:space="0" w:color="auto"/>
            </w:tcBorders>
            <w:shd w:val="clear" w:color="auto" w:fill="auto"/>
          </w:tcPr>
          <w:p w14:paraId="55899020" w14:textId="77777777" w:rsidR="00662A21" w:rsidRPr="009841AB" w:rsidRDefault="007E7544" w:rsidP="00662A21">
            <w:pPr>
              <w:pStyle w:val="naisc"/>
              <w:spacing w:before="0" w:after="0"/>
              <w:jc w:val="both"/>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196B0D98" w14:textId="77777777" w:rsidR="00662A21" w:rsidRPr="009841AB" w:rsidRDefault="007E7544" w:rsidP="007E7544">
            <w:pPr>
              <w:pStyle w:val="naisc"/>
              <w:spacing w:before="0" w:after="0"/>
              <w:jc w:val="left"/>
            </w:pPr>
            <w:r w:rsidRPr="009841AB">
              <w:t>“Vienlaikus IPv6 adresācijas izmantošana ir būtiska M2M (</w:t>
            </w:r>
            <w:proofErr w:type="spellStart"/>
            <w:r w:rsidRPr="009841AB">
              <w:t>Machine</w:t>
            </w:r>
            <w:proofErr w:type="spellEnd"/>
            <w:r w:rsidRPr="009841AB">
              <w:t>-to-</w:t>
            </w:r>
            <w:proofErr w:type="spellStart"/>
            <w:r w:rsidRPr="009841AB">
              <w:t>Machine</w:t>
            </w:r>
            <w:proofErr w:type="spellEnd"/>
            <w:r w:rsidRPr="009841AB">
              <w:t xml:space="preserve"> – Mašīnas-mašīnas) un </w:t>
            </w:r>
            <w:proofErr w:type="spellStart"/>
            <w:r w:rsidRPr="009841AB">
              <w:t>IoT</w:t>
            </w:r>
            <w:proofErr w:type="spellEnd"/>
            <w:r w:rsidRPr="009841AB">
              <w:t xml:space="preserve"> (Internet </w:t>
            </w:r>
            <w:proofErr w:type="spellStart"/>
            <w:r w:rsidRPr="009841AB">
              <w:t>of</w:t>
            </w:r>
            <w:proofErr w:type="spellEnd"/>
            <w:r w:rsidRPr="009841AB">
              <w:t xml:space="preserve"> </w:t>
            </w:r>
            <w:proofErr w:type="spellStart"/>
            <w:r w:rsidRPr="009841AB">
              <w:t>Things</w:t>
            </w:r>
            <w:proofErr w:type="spellEnd"/>
            <w:r w:rsidRPr="009841AB">
              <w:t xml:space="preserve"> – lietu internets) sakariem, kas arvien vairāk tiek orientēti uz Interneta Protokola tehnoloģiskajiem risinājumiem, attīstībai ilgtermiņā. Ņemot vērā ES valstu pieredzi, kā arī potenciālos ieguvumus saistībā ar plašāku IPv6 adrešu lietošanu, ir nepieciešams koncentrēties uz IPv6 ieviešanu sākotnēji valsts pārvaldē. Ieviešot IPv6 lietošanu valsts pārvaldē, arī privātajā sektorā IPv6 izvēršana notiks plašāk un aktīvāk. Vienlaikus IPv6 adresācijas izmantošana un IPv6 adresācijas plāna izstrāde valsts pārvaldei nodrošinās iespēju izmantot no elektronisko sakaru tīkla operatoriem neatkarīgu IP adresāciju (tiks samazināti šķēršļi iepirkumos mainīt esošo interneta </w:t>
            </w:r>
            <w:proofErr w:type="spellStart"/>
            <w:r w:rsidRPr="009841AB">
              <w:t>pieslēguma</w:t>
            </w:r>
            <w:proofErr w:type="spellEnd"/>
            <w:r w:rsidRPr="009841AB">
              <w:t xml:space="preserve"> nodrošinātāju), kā arī  kā arī hierarhisku datu maršrutēšanu un vienotu tīklu pārvaldību.”</w:t>
            </w:r>
          </w:p>
        </w:tc>
      </w:tr>
      <w:tr w:rsidR="00662A21" w:rsidRPr="009841AB" w14:paraId="701AE036"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D625319" w14:textId="77777777" w:rsidR="00662A21" w:rsidRPr="009841AB" w:rsidRDefault="00662A21" w:rsidP="00662A21">
            <w:pPr>
              <w:tabs>
                <w:tab w:val="left" w:pos="720"/>
              </w:tabs>
              <w:contextualSpacing/>
              <w:jc w:val="both"/>
              <w:rPr>
                <w:b/>
                <w:bCs/>
                <w:lang w:eastAsia="en-US"/>
              </w:rPr>
            </w:pPr>
            <w:r w:rsidRPr="009841AB">
              <w:rPr>
                <w:b/>
                <w:bCs/>
                <w:lang w:eastAsia="en-US"/>
              </w:rPr>
              <w:t>Izglītības un zinātnes ministrijas 27.01.2021. atzinums:</w:t>
            </w:r>
          </w:p>
        </w:tc>
      </w:tr>
      <w:tr w:rsidR="00662A21" w:rsidRPr="009841AB" w14:paraId="2D4FA4D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2187AD1" w14:textId="77777777" w:rsidR="00662A21" w:rsidRPr="009841AB" w:rsidRDefault="00662A21" w:rsidP="00662A21">
            <w:pPr>
              <w:pStyle w:val="naisc"/>
              <w:spacing w:before="0" w:after="0"/>
            </w:pPr>
            <w:r w:rsidRPr="009841AB">
              <w:lastRenderedPageBreak/>
              <w:t>1</w:t>
            </w:r>
            <w:r w:rsidR="000828BD">
              <w:t>94</w:t>
            </w:r>
          </w:p>
        </w:tc>
        <w:tc>
          <w:tcPr>
            <w:tcW w:w="2427" w:type="dxa"/>
            <w:tcBorders>
              <w:left w:val="single" w:sz="6" w:space="0" w:color="000000" w:themeColor="text1"/>
              <w:bottom w:val="single" w:sz="4" w:space="0" w:color="auto"/>
            </w:tcBorders>
            <w:shd w:val="clear" w:color="auto" w:fill="auto"/>
          </w:tcPr>
          <w:p w14:paraId="102C7FDE"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16321642" w14:textId="77777777" w:rsidR="00662A21" w:rsidRPr="009841AB" w:rsidRDefault="00662A21" w:rsidP="00662A21">
            <w:pPr>
              <w:ind w:right="12"/>
              <w:jc w:val="both"/>
            </w:pPr>
            <w:r w:rsidRPr="009841AB">
              <w:t>1.</w:t>
            </w:r>
            <w:r w:rsidRPr="009841AB">
              <w:tab/>
              <w:t xml:space="preserve">4.3.attīstības virziena „Telekomunikāciju pakalpojumu pieejamība” 4.3.1.1. Rīcības </w:t>
            </w:r>
            <w:proofErr w:type="spellStart"/>
            <w:r w:rsidRPr="009841AB">
              <w:t>apakšvirzienā</w:t>
            </w:r>
            <w:proofErr w:type="spellEnd"/>
            <w:r w:rsidRPr="009841AB">
              <w:t xml:space="preserve"> “Vidējās un pēdējās jūdzes elektronisko sakaru tīklu infrastruktūras attīstīšana” kā viens no plānotajiem rīcības nolūkiem būtu jānosaka arī izglītības iestāžu nodrošinājums ar mācību procesa kvalitatīvai īstenošanai nepieciešamo interneta ātrumu. Saskaņā ar IZM 2020.gadā veiktās aptaujas datiem tikai apmēram 25% vispārējās izglītības iestāžu Latvijā interneta lejupielādes ātrums pārsniedz 100 </w:t>
            </w:r>
            <w:proofErr w:type="spellStart"/>
            <w:r w:rsidRPr="009841AB">
              <w:t>Mb</w:t>
            </w:r>
            <w:proofErr w:type="spellEnd"/>
            <w:r w:rsidRPr="009841AB">
              <w:t>/s lejupielādes ātrumu. IZM ieskatā, arī sagaidāmais rezultāts attiecībā uz izglītības iestāžu nodrošinājumu ar labas kvalitātes interneta jaudu ir jāiekļauj projektā un ir jāplāno atbilstoši uzdevumi un pasākumi tā sasniegšanai. Turklāt, projektā nav aprakstīts vēl viens ar kvalitatīvas izglītības nodrošināšanu saistīts aspekts – no publiskiem resursiem nodrošināta datortehnika, kas tie izmantota mācību procesam. Projektā ir paredzēts, ka tiks ieguldīti resursi jaunas lietotnes izveidei, kas nodrošinās bērnu identitātes apliecināšanu, bet būtiskai daļai bērnu obligātās izglītības vecumā pašlaik nav pieejams dators, lai šādu lietotni varētu izmantot. Lūdzam papildināt projektu.</w:t>
            </w:r>
          </w:p>
        </w:tc>
        <w:tc>
          <w:tcPr>
            <w:tcW w:w="2480" w:type="dxa"/>
            <w:tcBorders>
              <w:left w:val="single" w:sz="6" w:space="0" w:color="000000" w:themeColor="text1"/>
              <w:bottom w:val="single" w:sz="4" w:space="0" w:color="auto"/>
            </w:tcBorders>
            <w:shd w:val="clear" w:color="auto" w:fill="auto"/>
          </w:tcPr>
          <w:p w14:paraId="23155D32" w14:textId="77777777" w:rsidR="00427C9C" w:rsidRDefault="00427C9C" w:rsidP="00427C9C">
            <w:pPr>
              <w:pStyle w:val="naisc"/>
              <w:jc w:val="both"/>
              <w:rPr>
                <w:b/>
                <w:bCs/>
              </w:rPr>
            </w:pPr>
            <w:r>
              <w:rPr>
                <w:b/>
                <w:bCs/>
              </w:rPr>
              <w:t>Panākta vienošanās</w:t>
            </w:r>
          </w:p>
          <w:p w14:paraId="1E31961C" w14:textId="77777777" w:rsidR="00662A21" w:rsidRPr="009841AB" w:rsidRDefault="000C5D81" w:rsidP="000C5D81">
            <w:pPr>
              <w:pStyle w:val="naisc"/>
              <w:spacing w:before="0" w:after="0"/>
              <w:jc w:val="both"/>
            </w:pPr>
            <w:r w:rsidRPr="009841AB">
              <w:t xml:space="preserve">Pamatnostādnēs nav paredzētas konkrētu projektu </w:t>
            </w:r>
            <w:r w:rsidR="00E5326F" w:rsidRPr="009841AB">
              <w:t>iekļaušanai</w:t>
            </w:r>
            <w:r w:rsidRPr="009841AB">
              <w:t xml:space="preserve"> (piemēram, interneta nodrošināšana skolām). Pamatnostādņu sadaļa  Telekomunikāciju pakalpojumu pieejamība paredz vispārēju platjoslas tīklu attīstību nosakot konkrētus sasniedzamos rezultatīvos rādītājus (RR4.3.-1.1). VARAM vērš uzmanību, ka pamatnostādnēs ir noteikt, ka vidējās un pēdējās jūdzes attīstības pasākumi, tostarp valsts atbalsts, tiks izvērtēti un iekļauti platjoslas attīstības plānā laika posmam no 2021. līdz 2027.gadam. Platjoslas plāns ietvers investīciju nepietiekamības novērtējumu, pamatojoties uz esošās privātās un publiskās infrastruktūras un pakalpojumu kvalitātes </w:t>
            </w:r>
            <w:r w:rsidRPr="009841AB">
              <w:lastRenderedPageBreak/>
              <w:t>kartēšanu, kā arī plānotās valsts intervences pamatojumu, balstītu uz ilgtspējīgiem ieguldījumu modeļiem.</w:t>
            </w:r>
          </w:p>
        </w:tc>
        <w:tc>
          <w:tcPr>
            <w:tcW w:w="3497" w:type="dxa"/>
            <w:tcBorders>
              <w:left w:val="single" w:sz="6" w:space="0" w:color="000000" w:themeColor="text1"/>
              <w:bottom w:val="single" w:sz="4" w:space="0" w:color="auto"/>
            </w:tcBorders>
            <w:shd w:val="clear" w:color="auto" w:fill="auto"/>
          </w:tcPr>
          <w:p w14:paraId="6F58660B" w14:textId="77777777" w:rsidR="00662A21" w:rsidRPr="009841AB" w:rsidRDefault="00FE7E17" w:rsidP="00FE7E17">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4.2.1.</w:t>
            </w:r>
          </w:p>
        </w:tc>
      </w:tr>
      <w:tr w:rsidR="00662A21" w:rsidRPr="009841AB" w14:paraId="4931B9A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37394DC" w14:textId="77777777" w:rsidR="00662A21" w:rsidRPr="009841AB" w:rsidRDefault="00662A21" w:rsidP="00662A21">
            <w:pPr>
              <w:pStyle w:val="naisc"/>
              <w:spacing w:before="0" w:after="0"/>
            </w:pPr>
            <w:r w:rsidRPr="009841AB">
              <w:lastRenderedPageBreak/>
              <w:t>1</w:t>
            </w:r>
            <w:r w:rsidR="000828BD">
              <w:t>95</w:t>
            </w:r>
          </w:p>
        </w:tc>
        <w:tc>
          <w:tcPr>
            <w:tcW w:w="2427" w:type="dxa"/>
            <w:tcBorders>
              <w:left w:val="single" w:sz="6" w:space="0" w:color="000000" w:themeColor="text1"/>
              <w:bottom w:val="single" w:sz="4" w:space="0" w:color="auto"/>
            </w:tcBorders>
            <w:shd w:val="clear" w:color="auto" w:fill="auto"/>
          </w:tcPr>
          <w:p w14:paraId="6422A412"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1FFD32D0" w14:textId="77777777" w:rsidR="00662A21" w:rsidRPr="009841AB" w:rsidRDefault="00662A21" w:rsidP="00662A21">
            <w:pPr>
              <w:tabs>
                <w:tab w:val="left" w:pos="720"/>
              </w:tabs>
              <w:contextualSpacing/>
              <w:jc w:val="both"/>
              <w:rPr>
                <w:b/>
                <w:bCs/>
                <w:lang w:eastAsia="en-US"/>
              </w:rPr>
            </w:pPr>
            <w:r w:rsidRPr="009841AB">
              <w:t>2.</w:t>
            </w:r>
            <w:r w:rsidRPr="009841AB">
              <w:tab/>
              <w:t xml:space="preserve">Lūdzam izvērtēt 4.3.1.2. rīcības </w:t>
            </w:r>
            <w:proofErr w:type="spellStart"/>
            <w:r w:rsidRPr="009841AB">
              <w:t>apakšvirziena</w:t>
            </w:r>
            <w:proofErr w:type="spellEnd"/>
            <w:r w:rsidRPr="009841AB">
              <w:t xml:space="preserve"> “Infrastruktūras koplietošanas veicināšana un atbalsta infrastruktūras pieejamība” un 4.3.1.3.rīcības </w:t>
            </w:r>
            <w:proofErr w:type="spellStart"/>
            <w:r w:rsidRPr="009841AB">
              <w:t>apakšvirziena</w:t>
            </w:r>
            <w:proofErr w:type="spellEnd"/>
            <w:r w:rsidRPr="009841AB">
              <w:t xml:space="preserve"> “Piekļuves elektronisko sakaru pakalpojumiem un infrastruktūras kartēšana” apvienošanu vienā </w:t>
            </w:r>
            <w:proofErr w:type="spellStart"/>
            <w:r w:rsidRPr="009841AB">
              <w:t>apakšvirzienā</w:t>
            </w:r>
            <w:proofErr w:type="spellEnd"/>
            <w:r w:rsidRPr="009841AB">
              <w:t xml:space="preserve"> (virzienā), ņemot vērā to līdzīgo saturu un nelielo uzdevumu skaitu katrā no tiem.</w:t>
            </w:r>
          </w:p>
        </w:tc>
        <w:tc>
          <w:tcPr>
            <w:tcW w:w="2480" w:type="dxa"/>
            <w:tcBorders>
              <w:left w:val="single" w:sz="6" w:space="0" w:color="000000" w:themeColor="text1"/>
              <w:bottom w:val="single" w:sz="4" w:space="0" w:color="auto"/>
            </w:tcBorders>
            <w:shd w:val="clear" w:color="auto" w:fill="auto"/>
          </w:tcPr>
          <w:p w14:paraId="54FB8C26" w14:textId="77777777" w:rsidR="00427C9C" w:rsidRDefault="00427C9C" w:rsidP="00427C9C">
            <w:pPr>
              <w:pStyle w:val="naisc"/>
              <w:jc w:val="both"/>
              <w:rPr>
                <w:b/>
                <w:bCs/>
              </w:rPr>
            </w:pPr>
            <w:r>
              <w:rPr>
                <w:b/>
                <w:bCs/>
              </w:rPr>
              <w:t>Panākta vienošanās</w:t>
            </w:r>
          </w:p>
          <w:p w14:paraId="59835723" w14:textId="77777777" w:rsidR="00662A21" w:rsidRPr="00D264F6" w:rsidRDefault="00FE7E17" w:rsidP="00D264F6">
            <w:pPr>
              <w:pStyle w:val="naisc"/>
              <w:spacing w:after="0"/>
              <w:jc w:val="both"/>
              <w:rPr>
                <w:b/>
                <w:bCs/>
              </w:rPr>
            </w:pPr>
            <w:r w:rsidRPr="009841AB">
              <w:t xml:space="preserve">Precizēta 4.3.1.3. rīcības </w:t>
            </w:r>
            <w:proofErr w:type="spellStart"/>
            <w:r w:rsidRPr="009841AB">
              <w:t>apakšvirziena</w:t>
            </w:r>
            <w:proofErr w:type="spellEnd"/>
            <w:r w:rsidRPr="009841AB">
              <w:t xml:space="preserve"> vīzija. VARAM vērš uzmanību, ka daudz lielāku skaitu uzdevumu minētajiem virzieniem ir plānots iekļaut  Elektronisko sakaru nozares attīstības plānā 2021.–2027.gadam. Līdz ar to piedāvājam esošo dalījumu pa </w:t>
            </w:r>
            <w:proofErr w:type="spellStart"/>
            <w:r w:rsidRPr="009841AB">
              <w:t>apakšvirzieniem</w:t>
            </w:r>
            <w:proofErr w:type="spellEnd"/>
            <w:r w:rsidRPr="009841AB">
              <w:t xml:space="preserve"> saglabāt.</w:t>
            </w:r>
          </w:p>
        </w:tc>
        <w:tc>
          <w:tcPr>
            <w:tcW w:w="3497" w:type="dxa"/>
            <w:tcBorders>
              <w:left w:val="single" w:sz="6" w:space="0" w:color="000000" w:themeColor="text1"/>
              <w:bottom w:val="single" w:sz="4" w:space="0" w:color="auto"/>
            </w:tcBorders>
            <w:shd w:val="clear" w:color="auto" w:fill="auto"/>
          </w:tcPr>
          <w:p w14:paraId="1EB2B761" w14:textId="77777777" w:rsidR="00662A21" w:rsidRPr="009841AB" w:rsidRDefault="00662A21" w:rsidP="00662A21">
            <w:pPr>
              <w:pStyle w:val="naisc"/>
              <w:spacing w:before="0" w:after="0"/>
            </w:pPr>
          </w:p>
        </w:tc>
      </w:tr>
      <w:tr w:rsidR="00662A21" w:rsidRPr="009841AB" w14:paraId="5A2FA7B7"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3AC75CB" w14:textId="77777777" w:rsidR="00662A21" w:rsidRPr="009841AB" w:rsidRDefault="00662A21" w:rsidP="00662A21">
            <w:pPr>
              <w:jc w:val="both"/>
              <w:rPr>
                <w:b/>
                <w:bCs/>
              </w:rPr>
            </w:pPr>
            <w:r w:rsidRPr="009841AB">
              <w:rPr>
                <w:b/>
                <w:bCs/>
              </w:rPr>
              <w:t>Latvijas Informācijas un komunikācijas tehnoloģijas asociācijas 29.01.2021. atzinums:</w:t>
            </w:r>
          </w:p>
        </w:tc>
      </w:tr>
      <w:tr w:rsidR="00662A21" w:rsidRPr="009841AB" w14:paraId="65F238B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141EF72" w14:textId="77777777" w:rsidR="00662A21" w:rsidRPr="009841AB" w:rsidRDefault="00662A21" w:rsidP="00662A21">
            <w:pPr>
              <w:pStyle w:val="naisc"/>
              <w:spacing w:before="0" w:after="0"/>
            </w:pPr>
            <w:r w:rsidRPr="009841AB">
              <w:t>1</w:t>
            </w:r>
            <w:r w:rsidR="000828BD">
              <w:t>96</w:t>
            </w:r>
          </w:p>
        </w:tc>
        <w:tc>
          <w:tcPr>
            <w:tcW w:w="2427" w:type="dxa"/>
            <w:tcBorders>
              <w:left w:val="single" w:sz="6" w:space="0" w:color="000000" w:themeColor="text1"/>
              <w:bottom w:val="single" w:sz="4" w:space="0" w:color="auto"/>
            </w:tcBorders>
            <w:shd w:val="clear" w:color="auto" w:fill="auto"/>
          </w:tcPr>
          <w:p w14:paraId="098BCBB3"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53123910" w14:textId="77777777" w:rsidR="00662A21" w:rsidRPr="009841AB" w:rsidRDefault="00662A21" w:rsidP="00662A21">
            <w:pPr>
              <w:jc w:val="both"/>
              <w:rPr>
                <w:i/>
                <w:lang w:eastAsia="en-US"/>
              </w:rPr>
            </w:pPr>
            <w:r w:rsidRPr="009841AB">
              <w:rPr>
                <w:i/>
                <w:lang w:eastAsia="en-US"/>
              </w:rPr>
              <w:t xml:space="preserve">“4.3.1.1. Rīcības </w:t>
            </w:r>
            <w:proofErr w:type="spellStart"/>
            <w:r w:rsidRPr="009841AB">
              <w:rPr>
                <w:i/>
                <w:lang w:eastAsia="en-US"/>
              </w:rPr>
              <w:t>apakšvirziens</w:t>
            </w:r>
            <w:proofErr w:type="spellEnd"/>
            <w:r w:rsidRPr="009841AB">
              <w:rPr>
                <w:i/>
                <w:lang w:eastAsia="en-US"/>
              </w:rPr>
              <w:t xml:space="preserve">: Vidējās  un pēdējās jūdzes  elektronisko sakaru tīklu infrastruktūras attīstīšana.” </w:t>
            </w:r>
          </w:p>
          <w:p w14:paraId="7D240D00" w14:textId="77777777" w:rsidR="00662A21" w:rsidRPr="009841AB" w:rsidRDefault="00662A21" w:rsidP="00662A21">
            <w:pPr>
              <w:jc w:val="both"/>
              <w:rPr>
                <w:lang w:eastAsia="en-US"/>
              </w:rPr>
            </w:pPr>
            <w:r w:rsidRPr="009841AB">
              <w:rPr>
                <w:lang w:eastAsia="en-US"/>
              </w:rPr>
              <w:t xml:space="preserve">Ierosinām papildināt sadaļu “Uzdevumi (U)” ar </w:t>
            </w:r>
            <w:r w:rsidRPr="009841AB">
              <w:rPr>
                <w:b/>
                <w:lang w:eastAsia="en-US"/>
              </w:rPr>
              <w:t>šādu formulējumu</w:t>
            </w:r>
            <w:r w:rsidRPr="009841AB">
              <w:rPr>
                <w:lang w:eastAsia="en-US"/>
              </w:rPr>
              <w:t>:</w:t>
            </w:r>
          </w:p>
          <w:p w14:paraId="6B13B24E" w14:textId="77777777" w:rsidR="00662A21" w:rsidRPr="009841AB" w:rsidRDefault="00662A21" w:rsidP="00662A21">
            <w:pPr>
              <w:jc w:val="both"/>
              <w:rPr>
                <w:lang w:eastAsia="en-US"/>
              </w:rPr>
            </w:pPr>
            <w:r w:rsidRPr="009841AB">
              <w:rPr>
                <w:lang w:eastAsia="en-US"/>
              </w:rPr>
              <w:t xml:space="preserve"> “Samērīgu maksu piemērošana par īpašuma apgrūtinājumu platjoslas tīkla izvēršanai un risinājumi tīkla izvēršanai  </w:t>
            </w:r>
            <w:proofErr w:type="spellStart"/>
            <w:r w:rsidRPr="009841AB">
              <w:rPr>
                <w:lang w:eastAsia="en-US"/>
              </w:rPr>
              <w:t>problēmsituāciju</w:t>
            </w:r>
            <w:proofErr w:type="spellEnd"/>
            <w:r w:rsidRPr="009841AB">
              <w:rPr>
                <w:lang w:eastAsia="en-US"/>
              </w:rPr>
              <w:t xml:space="preserve"> gadījumos, kad īpašuma īpašnieks atsakās saskaņot tīkla infrastruktūras izbūvi īpašumā.”</w:t>
            </w:r>
          </w:p>
        </w:tc>
        <w:tc>
          <w:tcPr>
            <w:tcW w:w="2480" w:type="dxa"/>
            <w:tcBorders>
              <w:left w:val="single" w:sz="6" w:space="0" w:color="000000" w:themeColor="text1"/>
              <w:bottom w:val="single" w:sz="4" w:space="0" w:color="auto"/>
            </w:tcBorders>
            <w:shd w:val="clear" w:color="auto" w:fill="auto"/>
          </w:tcPr>
          <w:p w14:paraId="31ABB3E4" w14:textId="77777777" w:rsidR="00427C9C" w:rsidRDefault="00427C9C" w:rsidP="00427C9C">
            <w:pPr>
              <w:pStyle w:val="naisc"/>
              <w:jc w:val="both"/>
              <w:rPr>
                <w:b/>
                <w:bCs/>
              </w:rPr>
            </w:pPr>
            <w:r>
              <w:rPr>
                <w:b/>
                <w:bCs/>
              </w:rPr>
              <w:t>Panākta vienošanās</w:t>
            </w:r>
          </w:p>
          <w:p w14:paraId="088D2CB6" w14:textId="77777777" w:rsidR="00A70F00" w:rsidRPr="009841AB" w:rsidRDefault="00A70F00" w:rsidP="00A70F00">
            <w:pPr>
              <w:pStyle w:val="naisc"/>
              <w:jc w:val="left"/>
            </w:pPr>
            <w:r w:rsidRPr="009841AB">
              <w:t xml:space="preserve">Nepiekrītam pasākuma iekļaušanai šādā redakcijā, jo uzskatām, ka priekšlikumā minētos </w:t>
            </w:r>
            <w:proofErr w:type="spellStart"/>
            <w:r w:rsidRPr="009841AB">
              <w:t>problēmsituāciju</w:t>
            </w:r>
            <w:proofErr w:type="spellEnd"/>
            <w:r w:rsidRPr="009841AB">
              <w:t xml:space="preserve"> gadījumus pēc būtības nevar risināt ar samērīgas maksas noteikšanu, proti, </w:t>
            </w:r>
            <w:r w:rsidRPr="009841AB">
              <w:lastRenderedPageBreak/>
              <w:t>nevar atteikuma gadījumā par maksu nopirkt saskaņošanu.</w:t>
            </w:r>
          </w:p>
          <w:p w14:paraId="2AF8F0CD" w14:textId="77777777" w:rsidR="00A70F00" w:rsidRPr="009841AB" w:rsidRDefault="00A70F00" w:rsidP="00A70F00">
            <w:pPr>
              <w:pStyle w:val="naisc"/>
              <w:jc w:val="left"/>
            </w:pPr>
            <w:r w:rsidRPr="009841AB">
              <w:t xml:space="preserve">Vēršam uzmanību, ka atlīdzības aprēķināšana un izmaksāšanas kārtība par zemes īpašuma apgrūtinājumu platjoslas tīkla izvēršanai jau  ir noteikta Ministru kabineta  2017.gada 16.maija  noteikumos Nr. 261  "Kārtība, kādā nosaka atlīdzību par elektronisko sakaru tīkla ierīkošanai un būvniecībai nepieciešamā zemes īpašuma lietošanas tiesību aprobežojumu". </w:t>
            </w:r>
          </w:p>
          <w:p w14:paraId="2B3AA22B" w14:textId="77777777" w:rsidR="00A70F00" w:rsidRPr="009841AB" w:rsidRDefault="00A70F00" w:rsidP="00A70F00">
            <w:pPr>
              <w:pStyle w:val="naisc"/>
              <w:jc w:val="left"/>
            </w:pPr>
            <w:r w:rsidRPr="009841AB">
              <w:t xml:space="preserve">Savukārt, risinājumi tīkla izvēršanai  </w:t>
            </w:r>
            <w:proofErr w:type="spellStart"/>
            <w:r w:rsidRPr="009841AB">
              <w:t>problēmsituāciju</w:t>
            </w:r>
            <w:proofErr w:type="spellEnd"/>
            <w:r w:rsidRPr="009841AB">
              <w:t xml:space="preserve"> gadījumos, kad īpašuma īpašnieks atsakās saskaņot tīkla infrastruktūras izbūvi īpašumā, būtu izvērtējami tikai attiecībā uz publisku personu īpašumu, ņemot vērā, ka jautājums ir ļoti </w:t>
            </w:r>
            <w:r w:rsidRPr="009841AB">
              <w:lastRenderedPageBreak/>
              <w:t xml:space="preserve">komplicēts un ir pakārtots ne tikai būvniecības regulējumam, bet arī noteiktajām īpašuma tiesībām Civillikumā un Latvijas Republikas Satversmē. Satiksmes ministrijas ieskatā līdz ar to jautājumam ir plašāks konteksts, kas pārsniedz elektronisko sakaru nozares kompetenci un jautājums risināms, iesaistot visas attiecīgās institūcijas, tostarp Tieslietu ministriju. </w:t>
            </w:r>
          </w:p>
          <w:p w14:paraId="036C2038" w14:textId="77777777" w:rsidR="00A70F00" w:rsidRPr="009841AB" w:rsidRDefault="00A70F00" w:rsidP="00A70F00">
            <w:pPr>
              <w:pStyle w:val="naisc"/>
              <w:jc w:val="left"/>
            </w:pPr>
            <w:r w:rsidRPr="009841AB">
              <w:t xml:space="preserve">Daļēji nozares izvirzīto jautājumu risina arī Elektronisko sakaru likuma jaunā redakcija, kas šobrīd ir saskaņošanas procesā un kur paredzēti atviegloti nosacījumi tuvas darbības bezvadu piekļuves punktu izvietošanai. </w:t>
            </w:r>
          </w:p>
          <w:p w14:paraId="661CBA97" w14:textId="77777777" w:rsidR="00662A21" w:rsidRPr="009841AB" w:rsidRDefault="00A70F00" w:rsidP="00A70F00">
            <w:pPr>
              <w:pStyle w:val="naisc"/>
              <w:spacing w:before="0" w:after="0"/>
              <w:jc w:val="left"/>
            </w:pPr>
            <w:r w:rsidRPr="009841AB">
              <w:t xml:space="preserve">Papildus vēršam uzmanību, ka 2020.gadā ir uzsākta Eiropas Parlamenta un </w:t>
            </w:r>
            <w:r w:rsidRPr="009841AB">
              <w:lastRenderedPageBreak/>
              <w:t>Padomes 2014.gada 15.maija direktīvas Nr.2014/61/ES par pasākumiem ātrdarbīgu elektronisko sakaru tīklu izvēršanas izmaksu samazināšanai pārskatīšana (indikatīvi līdz 2021.gada beigām plānots sagatavot priekšlikuma dokumentu), līdz ar to pēc direktīvas grozījumu apstiprināšanas, būs iespējama jaunu pasākumu izvērtēšana un iekļaušana nacionālajā regulējumā.</w:t>
            </w:r>
          </w:p>
        </w:tc>
        <w:tc>
          <w:tcPr>
            <w:tcW w:w="3497" w:type="dxa"/>
            <w:tcBorders>
              <w:left w:val="single" w:sz="6" w:space="0" w:color="000000" w:themeColor="text1"/>
              <w:bottom w:val="single" w:sz="4" w:space="0" w:color="auto"/>
            </w:tcBorders>
            <w:shd w:val="clear" w:color="auto" w:fill="auto"/>
          </w:tcPr>
          <w:p w14:paraId="772F202C" w14:textId="77777777" w:rsidR="00662A21" w:rsidRPr="009841AB" w:rsidRDefault="00662A21" w:rsidP="00662A21">
            <w:pPr>
              <w:pStyle w:val="naisc"/>
              <w:spacing w:before="0" w:after="0"/>
              <w:jc w:val="both"/>
            </w:pPr>
          </w:p>
        </w:tc>
      </w:tr>
      <w:tr w:rsidR="00662A21" w:rsidRPr="009841AB" w14:paraId="1440BF8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8767A5B" w14:textId="77777777" w:rsidR="00662A21" w:rsidRPr="009841AB" w:rsidRDefault="00662A21" w:rsidP="00662A21">
            <w:pPr>
              <w:jc w:val="both"/>
              <w:rPr>
                <w:b/>
                <w:bCs/>
              </w:rPr>
            </w:pPr>
            <w:r w:rsidRPr="009841AB">
              <w:rPr>
                <w:b/>
                <w:bCs/>
              </w:rPr>
              <w:lastRenderedPageBreak/>
              <w:t>Latvijas Lielo pilsētu asociācijas 29.01.2021. atzinums:</w:t>
            </w:r>
          </w:p>
        </w:tc>
      </w:tr>
      <w:tr w:rsidR="00662A21" w:rsidRPr="009841AB" w14:paraId="04223D0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300D9BE" w14:textId="77777777" w:rsidR="00662A21" w:rsidRPr="009841AB" w:rsidRDefault="00662A21" w:rsidP="00662A21">
            <w:pPr>
              <w:pStyle w:val="naisc"/>
              <w:spacing w:before="0" w:after="0"/>
            </w:pPr>
            <w:r w:rsidRPr="009841AB">
              <w:t>1</w:t>
            </w:r>
            <w:r w:rsidR="004C7719">
              <w:t>97</w:t>
            </w:r>
          </w:p>
        </w:tc>
        <w:tc>
          <w:tcPr>
            <w:tcW w:w="2427" w:type="dxa"/>
            <w:tcBorders>
              <w:left w:val="single" w:sz="6" w:space="0" w:color="000000" w:themeColor="text1"/>
              <w:bottom w:val="single" w:sz="4" w:space="0" w:color="auto"/>
            </w:tcBorders>
            <w:shd w:val="clear" w:color="auto" w:fill="auto"/>
          </w:tcPr>
          <w:p w14:paraId="22AE01E0"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088ABC87" w14:textId="77777777" w:rsidR="00662A21" w:rsidRPr="009841AB" w:rsidRDefault="00662A21" w:rsidP="00662A21">
            <w:pPr>
              <w:pStyle w:val="naisc"/>
              <w:spacing w:before="0" w:after="0"/>
              <w:jc w:val="both"/>
              <w:rPr>
                <w:color w:val="000000"/>
              </w:rPr>
            </w:pPr>
            <w:r w:rsidRPr="009841AB">
              <w:t xml:space="preserve">1. 73. lapa. </w:t>
            </w:r>
            <w:r w:rsidRPr="009841AB">
              <w:rPr>
                <w:color w:val="000000"/>
              </w:rPr>
              <w:t>Lūdzam precizēt, par kuru plānošanas dokumentu ir runa – pēc precizētās redakcijas tā var būt gan attīstības programma (jo tās struktūra ietver prioritātes, rīcību virzienus, uzdevumus, darbības, investīciju plāna projektus), tomēr vienlaikus arī pašvaldības ilgtspējīgas attīstības stratēģijā var tikt noteiktas vidēja termiņa prioritātes un stratēģiskie mērķi saistībā ar pašvaldības specializāciju uzņēmējdarbībā.</w:t>
            </w:r>
          </w:p>
        </w:tc>
        <w:tc>
          <w:tcPr>
            <w:tcW w:w="2480" w:type="dxa"/>
            <w:tcBorders>
              <w:left w:val="single" w:sz="6" w:space="0" w:color="000000" w:themeColor="text1"/>
              <w:bottom w:val="single" w:sz="4" w:space="0" w:color="auto"/>
            </w:tcBorders>
            <w:shd w:val="clear" w:color="auto" w:fill="auto"/>
          </w:tcPr>
          <w:p w14:paraId="4D6F4BD4" w14:textId="77777777" w:rsidR="00662A21" w:rsidRPr="009841AB" w:rsidRDefault="72DEB362" w:rsidP="005C380E">
            <w:pPr>
              <w:pStyle w:val="naisc"/>
              <w:spacing w:before="0" w:after="0"/>
              <w:jc w:val="both"/>
              <w:rPr>
                <w:b/>
              </w:rPr>
            </w:pPr>
            <w:r w:rsidRPr="7EEE8CFC">
              <w:rPr>
                <w:b/>
                <w:bCs/>
              </w:rPr>
              <w:t>Ņemts</w:t>
            </w:r>
            <w:r w:rsidR="005C380E" w:rsidRPr="009841AB">
              <w:rPr>
                <w:b/>
                <w:bCs/>
              </w:rPr>
              <w:t xml:space="preserve"> vērā</w:t>
            </w:r>
          </w:p>
        </w:tc>
        <w:tc>
          <w:tcPr>
            <w:tcW w:w="3497" w:type="dxa"/>
            <w:tcBorders>
              <w:left w:val="single" w:sz="6" w:space="0" w:color="000000" w:themeColor="text1"/>
              <w:bottom w:val="single" w:sz="4" w:space="0" w:color="auto"/>
            </w:tcBorders>
            <w:shd w:val="clear" w:color="auto" w:fill="auto"/>
          </w:tcPr>
          <w:p w14:paraId="41BCD41D" w14:textId="77777777" w:rsidR="00662A21" w:rsidRPr="009841AB" w:rsidRDefault="00662A21" w:rsidP="00662A21">
            <w:pPr>
              <w:pStyle w:val="naisc"/>
              <w:spacing w:before="0" w:after="0"/>
              <w:jc w:val="both"/>
              <w:rPr>
                <w:color w:val="000000" w:themeColor="text1"/>
              </w:rPr>
            </w:pPr>
            <w:r>
              <w:t xml:space="preserve"> </w:t>
            </w:r>
            <w:r w:rsidR="5D037E94" w:rsidRPr="249D765F">
              <w:rPr>
                <w:color w:val="000000" w:themeColor="text1"/>
              </w:rPr>
              <w:t xml:space="preserve">Lai nodrošinātu Savienojamības paziņojuma mērķiem atbilstošu elektronisko sakaru pakalpojumu pieejamības veicināšanu visā Latvijas teritorijā, atbilstoši Satiksmes ministrijas izstrādātajai politikai, pašvaldībām būtu nepieciešams sniegt atbalstu un iekļaut savās </w:t>
            </w:r>
            <w:r w:rsidR="5D037E94" w:rsidRPr="249D765F">
              <w:rPr>
                <w:color w:val="414142"/>
              </w:rPr>
              <w:t xml:space="preserve">ilgtspējīgas attīstības stratēģijās un attīstības programmās, atbilstoši </w:t>
            </w:r>
            <w:r w:rsidR="5D037E94" w:rsidRPr="249D765F">
              <w:rPr>
                <w:color w:val="000000" w:themeColor="text1"/>
              </w:rPr>
              <w:t>Elektronisko sakaru likuma 18.</w:t>
            </w:r>
            <w:r w:rsidR="5D037E94" w:rsidRPr="249D765F">
              <w:rPr>
                <w:color w:val="000000" w:themeColor="text1"/>
                <w:vertAlign w:val="superscript"/>
              </w:rPr>
              <w:t>1</w:t>
            </w:r>
            <w:r w:rsidR="5D037E94" w:rsidRPr="249D765F">
              <w:rPr>
                <w:color w:val="000000" w:themeColor="text1"/>
              </w:rPr>
              <w:t xml:space="preserve"> panta 1.</w:t>
            </w:r>
            <w:r w:rsidR="5D037E94" w:rsidRPr="249D765F">
              <w:rPr>
                <w:color w:val="000000" w:themeColor="text1"/>
                <w:vertAlign w:val="superscript"/>
              </w:rPr>
              <w:t xml:space="preserve">1 </w:t>
            </w:r>
            <w:r w:rsidR="5D037E94" w:rsidRPr="249D765F">
              <w:rPr>
                <w:color w:val="000000" w:themeColor="text1"/>
              </w:rPr>
              <w:t xml:space="preserve">daļā noteiktajam, (turpmāk - pašvaldību attīstības </w:t>
            </w:r>
            <w:r w:rsidR="5D037E94" w:rsidRPr="249D765F">
              <w:rPr>
                <w:color w:val="000000" w:themeColor="text1"/>
              </w:rPr>
              <w:lastRenderedPageBreak/>
              <w:t>plānošanas dokumenti) savu redzējumu platjoslas infrastruktūras attīstībai. Satiksmes ministrija izvērtējot un sniedzot atzinumus par pašvaldību attīstības plānošanas dokumentiem, tostarp teritorijas plānojumiem, ir izteikusi aicinājumu pašvaldībām sadarboties ar elektronisko sakaru komersantiem un pieprasījuma gadījumā rast risinājumu vietas nodrošināšanā elektronisko sakaru infrastruktūras izvietošanai pašvaldības teritorijā (piemēram, kabeļu izvietošanai kanalizācijā, mobilo sakaru piektās paaudzes 5G “mazo šūnu” iekārtu izvietošanai, piemēram, pie apgaismojuma stabiem utt.).</w:t>
            </w:r>
          </w:p>
        </w:tc>
      </w:tr>
      <w:tr w:rsidR="00662A21" w:rsidRPr="009841AB" w14:paraId="696F255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08CA70A" w14:textId="77777777" w:rsidR="00662A21" w:rsidRPr="009841AB" w:rsidRDefault="00662A21" w:rsidP="00662A21">
            <w:pPr>
              <w:pStyle w:val="naisc"/>
              <w:spacing w:before="0" w:after="0"/>
            </w:pPr>
            <w:r w:rsidRPr="009841AB">
              <w:t>1</w:t>
            </w:r>
            <w:r w:rsidR="004C7719">
              <w:t>98</w:t>
            </w:r>
          </w:p>
        </w:tc>
        <w:tc>
          <w:tcPr>
            <w:tcW w:w="2427" w:type="dxa"/>
            <w:tcBorders>
              <w:left w:val="single" w:sz="6" w:space="0" w:color="000000" w:themeColor="text1"/>
              <w:bottom w:val="single" w:sz="4" w:space="0" w:color="auto"/>
            </w:tcBorders>
            <w:shd w:val="clear" w:color="auto" w:fill="auto"/>
          </w:tcPr>
          <w:p w14:paraId="1EF0EE85"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1BFB2D86" w14:textId="77777777" w:rsidR="00662A21" w:rsidRPr="009841AB" w:rsidRDefault="00662A21" w:rsidP="00662A21">
            <w:pPr>
              <w:pStyle w:val="naisc"/>
              <w:spacing w:before="0" w:after="0"/>
              <w:jc w:val="both"/>
              <w:rPr>
                <w:bCs/>
                <w:color w:val="000000"/>
                <w:shd w:val="clear" w:color="auto" w:fill="FFFFFF"/>
              </w:rPr>
            </w:pPr>
            <w:r w:rsidRPr="009841AB">
              <w:rPr>
                <w:color w:val="000000"/>
              </w:rPr>
              <w:t xml:space="preserve">2. 73. lapa. </w:t>
            </w:r>
            <w:r w:rsidRPr="009841AB">
              <w:rPr>
                <w:color w:val="000000"/>
                <w:shd w:val="clear" w:color="auto" w:fill="FFFFFF"/>
              </w:rPr>
              <w:t xml:space="preserve">No rakstītā izriet, ka mobilā pārklājuma un interneta </w:t>
            </w:r>
            <w:proofErr w:type="spellStart"/>
            <w:r w:rsidRPr="009841AB">
              <w:rPr>
                <w:color w:val="000000"/>
                <w:shd w:val="clear" w:color="auto" w:fill="FFFFFF"/>
              </w:rPr>
              <w:t>pieslēguma</w:t>
            </w:r>
            <w:proofErr w:type="spellEnd"/>
            <w:r w:rsidRPr="009841AB">
              <w:rPr>
                <w:color w:val="000000"/>
                <w:shd w:val="clear" w:color="auto" w:fill="FFFFFF"/>
              </w:rPr>
              <w:t xml:space="preserve"> pieejamības nodrošināšana primāri jāveic pašvaldībām, lai gan to sekmēšana nav pašvaldības autonomā funkcija. Šīs jomas ieguldījumi jāveic komersantiem, plānošana Satiksmes ministrijai un pašvaldības var tikt piesaistītas kā sadarbības partneris. Lūdzam precizēt šo rindkopu tādā redakcijā, kas raksturo šīs jomas ieguldījumus atbilstoši spēkā esošajiem normatīvajiem aktiem.</w:t>
            </w:r>
          </w:p>
        </w:tc>
        <w:tc>
          <w:tcPr>
            <w:tcW w:w="2480" w:type="dxa"/>
            <w:tcBorders>
              <w:left w:val="single" w:sz="6" w:space="0" w:color="000000" w:themeColor="text1"/>
              <w:bottom w:val="single" w:sz="4" w:space="0" w:color="auto"/>
            </w:tcBorders>
            <w:shd w:val="clear" w:color="auto" w:fill="auto"/>
          </w:tcPr>
          <w:p w14:paraId="0E0E32EB" w14:textId="77777777" w:rsidR="00662A21" w:rsidRPr="009841AB" w:rsidRDefault="005C380E" w:rsidP="00662A21">
            <w:pPr>
              <w:pStyle w:val="naisc"/>
              <w:spacing w:before="0" w:after="0"/>
              <w:jc w:val="both"/>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51C40E8D" w14:textId="77777777" w:rsidR="00662A21" w:rsidRPr="009841AB" w:rsidRDefault="005C380E" w:rsidP="005C380E">
            <w:pPr>
              <w:pStyle w:val="naisc"/>
              <w:spacing w:before="0" w:after="0"/>
              <w:jc w:val="left"/>
            </w:pPr>
            <w:r w:rsidRPr="009841AB">
              <w:t xml:space="preserve">“Lai nodrošinātu Savienojamības paziņojuma mērķiem atbilstošu elektronisko sakaru pakalpojumu pieejamības veicināšanu visā Latvijas teritorijā, atbilstoši Satiksmes ministrijas izstrādātajai politikai, pašvaldībām būtu nepieciešams sniegt atbalstu un iekļaut savās ilgtspējīgas attīstības stratēģijās un attīstības programmās, atbilstoši Elektronisko sakaru likuma 18.1 panta 1.1 daļā noteiktajam, (turpmāk - pašvaldību attīstības plānošanas dokumenti) savu </w:t>
            </w:r>
            <w:r w:rsidRPr="009841AB">
              <w:lastRenderedPageBreak/>
              <w:t>redzējumu platjoslas infrastruktūras attīstībai.”</w:t>
            </w:r>
          </w:p>
        </w:tc>
      </w:tr>
      <w:tr w:rsidR="00662A21" w:rsidRPr="009841AB" w14:paraId="307565A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7F9616F" w14:textId="77777777" w:rsidR="00662A21" w:rsidRPr="009841AB" w:rsidRDefault="00662A21" w:rsidP="00662A21">
            <w:pPr>
              <w:pStyle w:val="naisc"/>
              <w:spacing w:before="0" w:after="0"/>
            </w:pPr>
            <w:r w:rsidRPr="009841AB">
              <w:lastRenderedPageBreak/>
              <w:t>1</w:t>
            </w:r>
            <w:r w:rsidR="004C7719">
              <w:t>99</w:t>
            </w:r>
          </w:p>
        </w:tc>
        <w:tc>
          <w:tcPr>
            <w:tcW w:w="2427" w:type="dxa"/>
            <w:tcBorders>
              <w:left w:val="single" w:sz="6" w:space="0" w:color="000000" w:themeColor="text1"/>
              <w:bottom w:val="single" w:sz="4" w:space="0" w:color="auto"/>
            </w:tcBorders>
            <w:shd w:val="clear" w:color="auto" w:fill="auto"/>
          </w:tcPr>
          <w:p w14:paraId="651BDACE"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78A5F7DC" w14:textId="77777777" w:rsidR="00662A21" w:rsidRPr="009841AB" w:rsidRDefault="00662A21" w:rsidP="00662A21">
            <w:pPr>
              <w:pStyle w:val="naisc"/>
              <w:spacing w:before="0" w:after="0"/>
              <w:jc w:val="both"/>
              <w:rPr>
                <w:color w:val="000000"/>
                <w:shd w:val="clear" w:color="auto" w:fill="FFFFFF"/>
              </w:rPr>
            </w:pPr>
            <w:r w:rsidRPr="009841AB">
              <w:rPr>
                <w:color w:val="000000"/>
                <w:shd w:val="clear" w:color="auto" w:fill="FFFFFF"/>
              </w:rPr>
              <w:t>3. 74. lapa. Lūdzam skaidrot, kas ar to domāts – vai 5G un elektronisko sakaru ieviešanas jomā risinājumi būs jāskaņo ar Satiksmes ministriju? Pašvaldības savos plānošanas dokumentos ietvertos elektronisko sakaru risinājumus skaņo ar komunikāciju īpašniekiem un turētājiem. Nav bijusi prakse skaņot tos ar Satiksmes ministriju.</w:t>
            </w:r>
          </w:p>
        </w:tc>
        <w:tc>
          <w:tcPr>
            <w:tcW w:w="2480" w:type="dxa"/>
            <w:tcBorders>
              <w:left w:val="single" w:sz="6" w:space="0" w:color="000000" w:themeColor="text1"/>
              <w:bottom w:val="single" w:sz="4" w:space="0" w:color="auto"/>
            </w:tcBorders>
            <w:shd w:val="clear" w:color="auto" w:fill="auto"/>
          </w:tcPr>
          <w:p w14:paraId="1222A9C3" w14:textId="77777777" w:rsidR="005C380E" w:rsidRPr="009841AB" w:rsidRDefault="005C380E" w:rsidP="005C380E">
            <w:pPr>
              <w:pStyle w:val="naisc"/>
              <w:jc w:val="both"/>
              <w:rPr>
                <w:b/>
                <w:bCs/>
              </w:rPr>
            </w:pPr>
            <w:r w:rsidRPr="009841AB">
              <w:rPr>
                <w:b/>
                <w:bCs/>
              </w:rPr>
              <w:t>Ņemts vērā</w:t>
            </w:r>
          </w:p>
          <w:p w14:paraId="56D7549D" w14:textId="77777777" w:rsidR="00662A21" w:rsidRPr="009841AB" w:rsidRDefault="005C380E" w:rsidP="005C380E">
            <w:pPr>
              <w:pStyle w:val="naisc"/>
              <w:spacing w:before="0" w:after="0"/>
              <w:jc w:val="both"/>
            </w:pPr>
            <w:r w:rsidRPr="009841AB">
              <w:t>Ar Satiksmes ministriju noteiktajā kārtībā jau tiek skaņoti pašvaldību teritoriju attīstības plāni. Sniedzot atzinumu, Satiksmes ministrija aicina pašvaldības sadarboties ar elektronisko sakaru komersantiem tīklu izvēršanā pašvaldību teritorijā. Papildu skaņošanas ar SM infrastruktūras izvēršanai nav plānotas.</w:t>
            </w:r>
          </w:p>
        </w:tc>
        <w:tc>
          <w:tcPr>
            <w:tcW w:w="3497" w:type="dxa"/>
            <w:tcBorders>
              <w:left w:val="single" w:sz="6" w:space="0" w:color="000000" w:themeColor="text1"/>
              <w:bottom w:val="single" w:sz="4" w:space="0" w:color="auto"/>
            </w:tcBorders>
            <w:shd w:val="clear" w:color="auto" w:fill="auto"/>
          </w:tcPr>
          <w:p w14:paraId="1DD5DC69" w14:textId="77777777" w:rsidR="00662A21" w:rsidRPr="009841AB" w:rsidRDefault="00662A21" w:rsidP="00662A21">
            <w:pPr>
              <w:pStyle w:val="naisc"/>
              <w:spacing w:before="0" w:after="0"/>
              <w:jc w:val="both"/>
            </w:pPr>
          </w:p>
        </w:tc>
      </w:tr>
      <w:tr w:rsidR="00662A21" w:rsidRPr="009841AB" w14:paraId="4911B44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2C9E31B" w14:textId="77777777" w:rsidR="00662A21" w:rsidRPr="009841AB" w:rsidRDefault="0026135A" w:rsidP="00662A21">
            <w:pPr>
              <w:pStyle w:val="naisc"/>
              <w:spacing w:before="0" w:after="0"/>
            </w:pPr>
            <w:r>
              <w:t>200</w:t>
            </w:r>
          </w:p>
        </w:tc>
        <w:tc>
          <w:tcPr>
            <w:tcW w:w="2427" w:type="dxa"/>
            <w:tcBorders>
              <w:left w:val="single" w:sz="6" w:space="0" w:color="000000" w:themeColor="text1"/>
              <w:bottom w:val="single" w:sz="4" w:space="0" w:color="auto"/>
            </w:tcBorders>
            <w:shd w:val="clear" w:color="auto" w:fill="auto"/>
          </w:tcPr>
          <w:p w14:paraId="361A4D10"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2A0B38E1" w14:textId="77777777" w:rsidR="00662A21" w:rsidRPr="009841AB" w:rsidRDefault="00662A21" w:rsidP="00662A21">
            <w:pPr>
              <w:pStyle w:val="naisc"/>
              <w:spacing w:before="0" w:after="0"/>
              <w:jc w:val="both"/>
              <w:rPr>
                <w:i/>
                <w:color w:val="000000"/>
              </w:rPr>
            </w:pPr>
            <w:r w:rsidRPr="009841AB">
              <w:rPr>
                <w:color w:val="000000"/>
                <w:shd w:val="clear" w:color="auto" w:fill="FFFFFF"/>
              </w:rPr>
              <w:t xml:space="preserve">4. 78. lapa. </w:t>
            </w:r>
            <w:r w:rsidRPr="009841AB">
              <w:rPr>
                <w:i/>
                <w:color w:val="000000"/>
                <w:shd w:val="clear" w:color="auto" w:fill="FFFFFF"/>
              </w:rPr>
              <w:t>“</w:t>
            </w:r>
            <w:r w:rsidRPr="009841AB">
              <w:rPr>
                <w:i/>
                <w:color w:val="000000"/>
              </w:rPr>
              <w:t xml:space="preserve">Nepieciešams </w:t>
            </w:r>
            <w:proofErr w:type="spellStart"/>
            <w:r w:rsidRPr="009841AB">
              <w:rPr>
                <w:i/>
                <w:color w:val="000000"/>
              </w:rPr>
              <w:t>izvērtējums</w:t>
            </w:r>
            <w:proofErr w:type="spellEnd"/>
            <w:r w:rsidRPr="009841AB">
              <w:rPr>
                <w:i/>
                <w:color w:val="000000"/>
              </w:rPr>
              <w:t xml:space="preserve"> par iespēju valsts pārvaldes vajadzībām izveidot nacionālu interneta reģistru (LIR – </w:t>
            </w:r>
            <w:proofErr w:type="spellStart"/>
            <w:r w:rsidRPr="009841AB">
              <w:rPr>
                <w:i/>
                <w:color w:val="000000"/>
              </w:rPr>
              <w:t>Local</w:t>
            </w:r>
            <w:proofErr w:type="spellEnd"/>
            <w:r w:rsidRPr="009841AB">
              <w:rPr>
                <w:i/>
                <w:color w:val="000000"/>
              </w:rPr>
              <w:t xml:space="preserve"> Internet </w:t>
            </w:r>
            <w:proofErr w:type="spellStart"/>
            <w:r w:rsidRPr="009841AB">
              <w:rPr>
                <w:i/>
                <w:color w:val="000000"/>
              </w:rPr>
              <w:t>registry</w:t>
            </w:r>
            <w:proofErr w:type="spellEnd"/>
            <w:r w:rsidRPr="009841AB">
              <w:rPr>
                <w:i/>
                <w:color w:val="000000"/>
              </w:rPr>
              <w:t>), izveidot valsts pārvaldei centralizētu IPv6 (un iespējams arī IPv4) adresācijas pārvaldības un izmantošanas politiku.”</w:t>
            </w:r>
          </w:p>
          <w:p w14:paraId="0B91CFF5" w14:textId="77777777" w:rsidR="00662A21" w:rsidRPr="009841AB" w:rsidRDefault="00662A21" w:rsidP="00662A21">
            <w:pPr>
              <w:pStyle w:val="naisc"/>
              <w:spacing w:before="0" w:after="0"/>
              <w:jc w:val="both"/>
            </w:pPr>
            <w:r w:rsidRPr="009841AB">
              <w:rPr>
                <w:color w:val="000000"/>
                <w:shd w:val="clear" w:color="auto" w:fill="FFFFFF"/>
              </w:rPr>
              <w:t>Šeit ir būtiski saprast, vai valsts pārvaldes jēdziens ietver arī pašvaldības.</w:t>
            </w:r>
          </w:p>
        </w:tc>
        <w:tc>
          <w:tcPr>
            <w:tcW w:w="2480" w:type="dxa"/>
            <w:tcBorders>
              <w:left w:val="single" w:sz="6" w:space="0" w:color="000000" w:themeColor="text1"/>
              <w:bottom w:val="single" w:sz="4" w:space="0" w:color="auto"/>
            </w:tcBorders>
            <w:shd w:val="clear" w:color="auto" w:fill="auto"/>
          </w:tcPr>
          <w:p w14:paraId="73E390AA" w14:textId="77777777" w:rsidR="004F2BC6" w:rsidRPr="009841AB" w:rsidRDefault="004F2BC6" w:rsidP="004F2BC6">
            <w:pPr>
              <w:pStyle w:val="naisc"/>
              <w:jc w:val="both"/>
              <w:rPr>
                <w:b/>
                <w:bCs/>
              </w:rPr>
            </w:pPr>
            <w:r w:rsidRPr="009841AB">
              <w:rPr>
                <w:b/>
                <w:bCs/>
              </w:rPr>
              <w:t>Ņemts vērā</w:t>
            </w:r>
          </w:p>
          <w:p w14:paraId="7C31BF78" w14:textId="77777777" w:rsidR="00662A21" w:rsidRPr="009841AB" w:rsidRDefault="004F2BC6" w:rsidP="004F2BC6">
            <w:pPr>
              <w:pStyle w:val="naisc"/>
              <w:spacing w:before="0" w:after="0"/>
              <w:jc w:val="both"/>
            </w:pPr>
            <w:r w:rsidRPr="009841AB">
              <w:t xml:space="preserve">Aktivitātes šobrīd tiek plānotas gan uz valsts pārvaldes iestādēm gan iespēju robežās pašvaldībām, taču pirms tam ir plānots veikt detālu </w:t>
            </w:r>
            <w:proofErr w:type="spellStart"/>
            <w:r w:rsidRPr="009841AB">
              <w:t>izvērtējumu</w:t>
            </w:r>
            <w:proofErr w:type="spellEnd"/>
            <w:r w:rsidRPr="009841AB">
              <w:t>.</w:t>
            </w:r>
          </w:p>
        </w:tc>
        <w:tc>
          <w:tcPr>
            <w:tcW w:w="3497" w:type="dxa"/>
            <w:tcBorders>
              <w:left w:val="single" w:sz="6" w:space="0" w:color="000000" w:themeColor="text1"/>
              <w:bottom w:val="single" w:sz="4" w:space="0" w:color="auto"/>
            </w:tcBorders>
            <w:shd w:val="clear" w:color="auto" w:fill="auto"/>
          </w:tcPr>
          <w:p w14:paraId="1B8B4639" w14:textId="77777777" w:rsidR="00662A21" w:rsidRPr="009841AB" w:rsidRDefault="00662A21" w:rsidP="00662A21">
            <w:pPr>
              <w:pStyle w:val="naisc"/>
              <w:spacing w:before="0" w:after="0"/>
              <w:jc w:val="both"/>
            </w:pPr>
          </w:p>
        </w:tc>
      </w:tr>
      <w:tr w:rsidR="00DD4F11" w:rsidRPr="009841AB" w14:paraId="28991CF8"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73DCAC7" w14:textId="77777777" w:rsidR="00DD4F11" w:rsidRPr="009841AB" w:rsidRDefault="00DD4F11" w:rsidP="00662A21">
            <w:pPr>
              <w:pStyle w:val="naisc"/>
              <w:spacing w:before="0" w:after="0"/>
              <w:jc w:val="both"/>
            </w:pPr>
            <w:r w:rsidRPr="009841AB">
              <w:rPr>
                <w:b/>
                <w:bCs/>
              </w:rPr>
              <w:t xml:space="preserve">Latvijas Lielo pilsētu asociācijas </w:t>
            </w:r>
            <w:r>
              <w:rPr>
                <w:b/>
                <w:bCs/>
              </w:rPr>
              <w:t>30</w:t>
            </w:r>
            <w:r w:rsidRPr="009841AB">
              <w:rPr>
                <w:b/>
                <w:bCs/>
              </w:rPr>
              <w:t>.0</w:t>
            </w:r>
            <w:r>
              <w:rPr>
                <w:b/>
                <w:bCs/>
              </w:rPr>
              <w:t>4</w:t>
            </w:r>
            <w:r w:rsidRPr="009841AB">
              <w:rPr>
                <w:b/>
                <w:bCs/>
              </w:rPr>
              <w:t>.2021. atzinums:</w:t>
            </w:r>
          </w:p>
        </w:tc>
      </w:tr>
      <w:tr w:rsidR="00DD4F11" w:rsidRPr="009841AB" w14:paraId="38300B2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4F9266B" w14:textId="77777777" w:rsidR="00DD4F11" w:rsidRPr="009841AB" w:rsidRDefault="0026135A" w:rsidP="00662A21">
            <w:pPr>
              <w:pStyle w:val="naisc"/>
              <w:spacing w:before="0" w:after="0"/>
            </w:pPr>
            <w:r>
              <w:t>201</w:t>
            </w:r>
          </w:p>
        </w:tc>
        <w:tc>
          <w:tcPr>
            <w:tcW w:w="2427" w:type="dxa"/>
            <w:tcBorders>
              <w:left w:val="single" w:sz="6" w:space="0" w:color="000000" w:themeColor="text1"/>
              <w:bottom w:val="single" w:sz="4" w:space="0" w:color="auto"/>
            </w:tcBorders>
            <w:shd w:val="clear" w:color="auto" w:fill="auto"/>
          </w:tcPr>
          <w:p w14:paraId="3543A5EC" w14:textId="77777777" w:rsidR="00DD4F11" w:rsidRPr="009841AB" w:rsidRDefault="00DD4F1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7F411A69" w14:textId="77777777" w:rsidR="05C20F21" w:rsidRDefault="6AF6F806" w:rsidP="0DB625FF">
            <w:pPr>
              <w:pStyle w:val="naisc"/>
              <w:spacing w:before="0" w:after="0"/>
              <w:jc w:val="both"/>
              <w:rPr>
                <w:color w:val="000000" w:themeColor="text1"/>
              </w:rPr>
            </w:pPr>
            <w:r w:rsidRPr="45462C1D">
              <w:rPr>
                <w:b/>
                <w:bCs/>
                <w:color w:val="000000" w:themeColor="text1"/>
              </w:rPr>
              <w:t>Priekšlikumi:</w:t>
            </w:r>
          </w:p>
          <w:p w14:paraId="4CBE00A9" w14:textId="1CC9B142" w:rsidR="008A0052" w:rsidRDefault="008A0052" w:rsidP="00662A21">
            <w:pPr>
              <w:pStyle w:val="naisc"/>
              <w:spacing w:before="0" w:after="0"/>
              <w:jc w:val="both"/>
              <w:rPr>
                <w:color w:val="000000"/>
                <w:shd w:val="clear" w:color="auto" w:fill="FFFFFF"/>
              </w:rPr>
            </w:pPr>
            <w:r>
              <w:rPr>
                <w:color w:val="000000"/>
                <w:shd w:val="clear" w:color="auto" w:fill="FFFFFF"/>
              </w:rPr>
              <w:t>1.</w:t>
            </w:r>
          </w:p>
          <w:tbl>
            <w:tblPr>
              <w:tblW w:w="4221" w:type="pct"/>
              <w:shd w:val="clear" w:color="auto" w:fill="E2EFD9"/>
              <w:tblLayout w:type="fixed"/>
              <w:tblLook w:val="04A0" w:firstRow="1" w:lastRow="0" w:firstColumn="1" w:lastColumn="0" w:noHBand="0" w:noVBand="1"/>
            </w:tblPr>
            <w:tblGrid>
              <w:gridCol w:w="1494"/>
              <w:gridCol w:w="2905"/>
            </w:tblGrid>
            <w:tr w:rsidR="00DD4F11" w:rsidRPr="00F77A5D" w14:paraId="6943DCBA" w14:textId="77777777" w:rsidTr="00082E37">
              <w:trPr>
                <w:cantSplit/>
                <w:trHeight w:val="352"/>
              </w:trPr>
              <w:tc>
                <w:tcPr>
                  <w:tcW w:w="1698" w:type="pct"/>
                  <w:shd w:val="clear" w:color="auto" w:fill="E2EFD9"/>
                  <w:vAlign w:val="center"/>
                </w:tcPr>
                <w:p w14:paraId="15A2C209" w14:textId="77777777" w:rsidR="00DD4F11" w:rsidRPr="00EA0ED8" w:rsidRDefault="00DD4F11" w:rsidP="00DD4F11">
                  <w:pPr>
                    <w:jc w:val="both"/>
                    <w:rPr>
                      <w:color w:val="000000"/>
                      <w:sz w:val="20"/>
                    </w:rPr>
                  </w:pPr>
                  <w:r w:rsidRPr="00EA0ED8">
                    <w:rPr>
                      <w:b/>
                      <w:color w:val="000000"/>
                      <w:sz w:val="20"/>
                    </w:rPr>
                    <w:t>RR4.3.-1-1:</w:t>
                  </w:r>
                </w:p>
              </w:tc>
              <w:tc>
                <w:tcPr>
                  <w:tcW w:w="3302" w:type="pct"/>
                  <w:shd w:val="clear" w:color="auto" w:fill="E2EFD9"/>
                  <w:vAlign w:val="center"/>
                </w:tcPr>
                <w:p w14:paraId="1FFA8819" w14:textId="77777777" w:rsidR="00DD4F11" w:rsidRPr="00EA0ED8" w:rsidRDefault="00DD4F11" w:rsidP="00DD4F11">
                  <w:pPr>
                    <w:jc w:val="both"/>
                    <w:rPr>
                      <w:bCs/>
                      <w:sz w:val="20"/>
                    </w:rPr>
                  </w:pPr>
                  <w:r w:rsidRPr="00EA0ED8">
                    <w:rPr>
                      <w:sz w:val="20"/>
                    </w:rPr>
                    <w:t xml:space="preserve">Vismaz 100 </w:t>
                  </w:r>
                  <w:proofErr w:type="spellStart"/>
                  <w:r w:rsidRPr="00EA0ED8">
                    <w:rPr>
                      <w:sz w:val="20"/>
                    </w:rPr>
                    <w:t>Mb</w:t>
                  </w:r>
                  <w:proofErr w:type="spellEnd"/>
                  <w:r w:rsidRPr="00EA0ED8">
                    <w:rPr>
                      <w:sz w:val="20"/>
                    </w:rPr>
                    <w:t>/s  platjoslas tīklu izmantošana</w:t>
                  </w:r>
                </w:p>
              </w:tc>
            </w:tr>
            <w:tr w:rsidR="00DD4F11" w:rsidRPr="00F77A5D" w14:paraId="1EC24E6D" w14:textId="77777777" w:rsidTr="00082E37">
              <w:trPr>
                <w:cantSplit/>
                <w:trHeight w:val="332"/>
              </w:trPr>
              <w:tc>
                <w:tcPr>
                  <w:tcW w:w="1698" w:type="pct"/>
                  <w:shd w:val="clear" w:color="auto" w:fill="E2EFD9"/>
                  <w:vAlign w:val="center"/>
                </w:tcPr>
                <w:p w14:paraId="6B77CDDE" w14:textId="77777777" w:rsidR="00DD4F11" w:rsidRPr="00EA0ED8" w:rsidRDefault="00DD4F11" w:rsidP="00DD4F11">
                  <w:pPr>
                    <w:jc w:val="both"/>
                    <w:rPr>
                      <w:color w:val="000000"/>
                      <w:sz w:val="20"/>
                    </w:rPr>
                  </w:pPr>
                  <w:r w:rsidRPr="00EA0ED8">
                    <w:rPr>
                      <w:color w:val="000000"/>
                      <w:sz w:val="20"/>
                    </w:rPr>
                    <w:t>Vērtības:</w:t>
                  </w:r>
                </w:p>
              </w:tc>
              <w:tc>
                <w:tcPr>
                  <w:tcW w:w="3302" w:type="pct"/>
                  <w:shd w:val="clear" w:color="auto" w:fill="E2EFD9"/>
                  <w:vAlign w:val="center"/>
                </w:tcPr>
                <w:p w14:paraId="6E21B8FA" w14:textId="77777777" w:rsidR="00DD4F11" w:rsidRPr="00EA0ED8" w:rsidRDefault="00DD4F11" w:rsidP="00DD4F11">
                  <w:pPr>
                    <w:jc w:val="both"/>
                    <w:rPr>
                      <w:color w:val="000000"/>
                      <w:sz w:val="20"/>
                    </w:rPr>
                  </w:pPr>
                  <w:r w:rsidRPr="00EA0ED8">
                    <w:rPr>
                      <w:color w:val="000000"/>
                      <w:sz w:val="20"/>
                    </w:rPr>
                    <w:t>2019 – 38%</w:t>
                  </w:r>
                </w:p>
              </w:tc>
            </w:tr>
            <w:tr w:rsidR="00DD4F11" w:rsidRPr="00F77A5D" w14:paraId="7B8B5EFC" w14:textId="77777777" w:rsidTr="00082E37">
              <w:trPr>
                <w:cantSplit/>
                <w:trHeight w:val="332"/>
              </w:trPr>
              <w:tc>
                <w:tcPr>
                  <w:tcW w:w="1698" w:type="pct"/>
                  <w:shd w:val="clear" w:color="auto" w:fill="E2EFD9"/>
                  <w:vAlign w:val="center"/>
                </w:tcPr>
                <w:p w14:paraId="1F476BF7" w14:textId="77777777" w:rsidR="00DD4F11" w:rsidRPr="00EA0ED8" w:rsidRDefault="00DD4F11" w:rsidP="00DD4F11">
                  <w:pPr>
                    <w:jc w:val="both"/>
                    <w:rPr>
                      <w:color w:val="000000"/>
                      <w:sz w:val="20"/>
                    </w:rPr>
                  </w:pPr>
                </w:p>
              </w:tc>
              <w:tc>
                <w:tcPr>
                  <w:tcW w:w="3302" w:type="pct"/>
                  <w:shd w:val="clear" w:color="auto" w:fill="E2EFD9"/>
                  <w:vAlign w:val="center"/>
                </w:tcPr>
                <w:p w14:paraId="12059755" w14:textId="77777777" w:rsidR="00DD4F11" w:rsidRPr="00EA0ED8" w:rsidRDefault="00DD4F11" w:rsidP="00DD4F11">
                  <w:pPr>
                    <w:jc w:val="both"/>
                    <w:rPr>
                      <w:color w:val="000000"/>
                      <w:sz w:val="20"/>
                    </w:rPr>
                  </w:pPr>
                  <w:r w:rsidRPr="00EA0ED8">
                    <w:rPr>
                      <w:color w:val="000000"/>
                      <w:sz w:val="20"/>
                    </w:rPr>
                    <w:t>2024 – 50%</w:t>
                  </w:r>
                </w:p>
              </w:tc>
            </w:tr>
            <w:tr w:rsidR="00DD4F11" w:rsidRPr="00F77A5D" w14:paraId="52DFE180" w14:textId="77777777" w:rsidTr="00082E37">
              <w:trPr>
                <w:cantSplit/>
                <w:trHeight w:val="352"/>
              </w:trPr>
              <w:tc>
                <w:tcPr>
                  <w:tcW w:w="1698" w:type="pct"/>
                  <w:shd w:val="clear" w:color="auto" w:fill="E2EFD9"/>
                  <w:vAlign w:val="center"/>
                </w:tcPr>
                <w:p w14:paraId="2CC7D1D9" w14:textId="77777777" w:rsidR="00DD4F11" w:rsidRPr="00EA0ED8" w:rsidRDefault="00DD4F11" w:rsidP="00DD4F11">
                  <w:pPr>
                    <w:jc w:val="both"/>
                    <w:rPr>
                      <w:color w:val="000000"/>
                      <w:sz w:val="20"/>
                    </w:rPr>
                  </w:pPr>
                </w:p>
              </w:tc>
              <w:tc>
                <w:tcPr>
                  <w:tcW w:w="3302" w:type="pct"/>
                  <w:shd w:val="clear" w:color="auto" w:fill="E2EFD9"/>
                  <w:vAlign w:val="center"/>
                </w:tcPr>
                <w:p w14:paraId="08CA45AE" w14:textId="77777777" w:rsidR="00DD4F11" w:rsidRPr="00EA0ED8" w:rsidRDefault="00DD4F11" w:rsidP="00DD4F11">
                  <w:pPr>
                    <w:jc w:val="both"/>
                    <w:rPr>
                      <w:color w:val="000000"/>
                      <w:sz w:val="20"/>
                    </w:rPr>
                  </w:pPr>
                  <w:r w:rsidRPr="00EA0ED8">
                    <w:rPr>
                      <w:color w:val="000000"/>
                      <w:sz w:val="20"/>
                    </w:rPr>
                    <w:t>2027 – 75%</w:t>
                  </w:r>
                </w:p>
              </w:tc>
            </w:tr>
            <w:tr w:rsidR="00DD4F11" w:rsidRPr="00F77A5D" w14:paraId="0B2AFC9B" w14:textId="77777777" w:rsidTr="00082E37">
              <w:trPr>
                <w:cantSplit/>
                <w:trHeight w:val="332"/>
              </w:trPr>
              <w:tc>
                <w:tcPr>
                  <w:tcW w:w="1698" w:type="pct"/>
                  <w:shd w:val="clear" w:color="auto" w:fill="E2EFD9"/>
                  <w:vAlign w:val="center"/>
                </w:tcPr>
                <w:p w14:paraId="71DADBAA" w14:textId="77777777" w:rsidR="00DD4F11" w:rsidRPr="00EA0ED8" w:rsidRDefault="00DD4F11" w:rsidP="00DD4F11">
                  <w:pPr>
                    <w:jc w:val="both"/>
                    <w:rPr>
                      <w:color w:val="000000"/>
                      <w:sz w:val="20"/>
                    </w:rPr>
                  </w:pPr>
                  <w:r w:rsidRPr="00EA0ED8">
                    <w:rPr>
                      <w:color w:val="000000"/>
                      <w:sz w:val="20"/>
                    </w:rPr>
                    <w:t>Metodika:</w:t>
                  </w:r>
                </w:p>
              </w:tc>
              <w:tc>
                <w:tcPr>
                  <w:tcW w:w="3302" w:type="pct"/>
                  <w:shd w:val="clear" w:color="auto" w:fill="E2EFD9"/>
                  <w:vAlign w:val="center"/>
                </w:tcPr>
                <w:p w14:paraId="742A05BC" w14:textId="77777777" w:rsidR="00DD4F11" w:rsidRPr="00EA0ED8" w:rsidRDefault="00DD4F11" w:rsidP="00DD4F11">
                  <w:pPr>
                    <w:jc w:val="both"/>
                    <w:rPr>
                      <w:color w:val="000000"/>
                      <w:sz w:val="20"/>
                    </w:rPr>
                  </w:pPr>
                  <w:r w:rsidRPr="00EA0ED8">
                    <w:rPr>
                      <w:sz w:val="20"/>
                    </w:rPr>
                    <w:t xml:space="preserve">% no mājsaimniecībām ar vismaz 100 </w:t>
                  </w:r>
                  <w:proofErr w:type="spellStart"/>
                  <w:r w:rsidRPr="00EA0ED8">
                    <w:rPr>
                      <w:sz w:val="20"/>
                    </w:rPr>
                    <w:t>Mb</w:t>
                  </w:r>
                  <w:proofErr w:type="spellEnd"/>
                  <w:r w:rsidRPr="00EA0ED8">
                    <w:rPr>
                      <w:sz w:val="20"/>
                    </w:rPr>
                    <w:t xml:space="preserve">/s </w:t>
                  </w:r>
                  <w:proofErr w:type="spellStart"/>
                  <w:r w:rsidRPr="00EA0ED8">
                    <w:rPr>
                      <w:sz w:val="20"/>
                    </w:rPr>
                    <w:t>pieslēgumu</w:t>
                  </w:r>
                  <w:proofErr w:type="spellEnd"/>
                </w:p>
              </w:tc>
            </w:tr>
            <w:tr w:rsidR="00DD4F11" w:rsidRPr="00F77A5D" w14:paraId="5B42D68E" w14:textId="77777777" w:rsidTr="00082E37">
              <w:trPr>
                <w:cantSplit/>
                <w:trHeight w:val="685"/>
              </w:trPr>
              <w:tc>
                <w:tcPr>
                  <w:tcW w:w="1698" w:type="pct"/>
                  <w:shd w:val="clear" w:color="auto" w:fill="E2EFD9"/>
                  <w:vAlign w:val="center"/>
                </w:tcPr>
                <w:p w14:paraId="0B296ACD" w14:textId="77777777" w:rsidR="00DD4F11" w:rsidRPr="00EA0ED8" w:rsidRDefault="00DD4F11" w:rsidP="00DD4F11">
                  <w:pPr>
                    <w:jc w:val="both"/>
                    <w:rPr>
                      <w:color w:val="000000"/>
                      <w:sz w:val="20"/>
                    </w:rPr>
                  </w:pPr>
                  <w:r w:rsidRPr="00EA0ED8">
                    <w:rPr>
                      <w:color w:val="000000"/>
                      <w:sz w:val="20"/>
                    </w:rPr>
                    <w:t>Informācijas avots:</w:t>
                  </w:r>
                </w:p>
              </w:tc>
              <w:tc>
                <w:tcPr>
                  <w:tcW w:w="3302" w:type="pct"/>
                  <w:shd w:val="clear" w:color="auto" w:fill="E2EFD9"/>
                  <w:vAlign w:val="center"/>
                </w:tcPr>
                <w:p w14:paraId="4EF2FF8E" w14:textId="77777777" w:rsidR="00DD4F11" w:rsidRPr="00EA0ED8" w:rsidRDefault="00DD4F11" w:rsidP="00DD4F11">
                  <w:pPr>
                    <w:jc w:val="both"/>
                    <w:rPr>
                      <w:color w:val="000000"/>
                      <w:sz w:val="20"/>
                    </w:rPr>
                  </w:pPr>
                  <w:r w:rsidRPr="00EA0ED8">
                    <w:rPr>
                      <w:sz w:val="20"/>
                    </w:rPr>
                    <w:t>DESI</w:t>
                  </w:r>
                </w:p>
              </w:tc>
            </w:tr>
          </w:tbl>
          <w:p w14:paraId="2E2DFBF9" w14:textId="77777777" w:rsidR="00DD4F11" w:rsidRPr="00DD4F11" w:rsidRDefault="00DD4F11" w:rsidP="00DD4F11">
            <w:pPr>
              <w:spacing w:after="160"/>
              <w:contextualSpacing/>
              <w:jc w:val="both"/>
              <w:rPr>
                <w:rFonts w:eastAsia="Calibri"/>
                <w:color w:val="000000"/>
                <w:lang w:eastAsia="en-US"/>
              </w:rPr>
            </w:pPr>
            <w:r w:rsidRPr="00DD4F11">
              <w:rPr>
                <w:rFonts w:eastAsia="Calibri"/>
                <w:color w:val="000000"/>
                <w:lang w:eastAsia="en-US"/>
              </w:rPr>
              <w:t>Norādītie sasniedzamie rādītāji faktiski nav sasniedzami ar Pamatnostādņu projektā iekļautajām aktivitātēm.</w:t>
            </w:r>
          </w:p>
          <w:p w14:paraId="352858FF" w14:textId="77777777" w:rsidR="00DD4F11" w:rsidRPr="009841AB" w:rsidRDefault="00DD4F11" w:rsidP="00DD4F11">
            <w:pPr>
              <w:pStyle w:val="naisc"/>
              <w:spacing w:before="0" w:after="0"/>
              <w:jc w:val="both"/>
              <w:rPr>
                <w:color w:val="000000"/>
                <w:shd w:val="clear" w:color="auto" w:fill="FFFFFF"/>
              </w:rPr>
            </w:pPr>
            <w:r w:rsidRPr="005B5DEB">
              <w:rPr>
                <w:color w:val="000000"/>
                <w:lang w:eastAsia="en-US"/>
              </w:rPr>
              <w:t xml:space="preserve">Uzskatām, ka pat, ja lauku reģionos aktīvi tiktu izmantota LVRTC platjosla, tik un tā procentuāli šī ir maza daļa no kopējo mājsaimniecību skaita. Pilsētu teritorijās, kas nav LVRTC platjoslas </w:t>
            </w:r>
            <w:proofErr w:type="spellStart"/>
            <w:r w:rsidRPr="005B5DEB">
              <w:rPr>
                <w:color w:val="000000"/>
                <w:lang w:eastAsia="en-US"/>
              </w:rPr>
              <w:t>pieslēgumu</w:t>
            </w:r>
            <w:proofErr w:type="spellEnd"/>
            <w:r w:rsidRPr="005B5DEB">
              <w:rPr>
                <w:color w:val="000000"/>
                <w:lang w:eastAsia="en-US"/>
              </w:rPr>
              <w:t xml:space="preserve"> mērķauditorija, lielākajā daļa mājsaimniecību ir pieejamas tikai novecojušās DSL līnijas (tehnoloģisks ierobežojums ~30Mb/s) un 4G tīkls, kas pie esošās tīkla un iekārtu kapacitātes, bāzes torņu un klientu skaita nenodrošinās noteikto minimumu 100Mb/s. Kamēr netiks paredzētas konkrētas aktivitātes komersantu tīkla attīstībā, tikmēr pašvaldības un mājsaimniecības aizvien saņems komersantu atbildes, ka izmaksas ir pārāk lielas, lai nodrošinātu platjoslas pieejamību”. </w:t>
            </w:r>
            <w:r w:rsidRPr="005B5DEB">
              <w:rPr>
                <w:b/>
                <w:color w:val="000000"/>
                <w:u w:val="single"/>
                <w:lang w:eastAsia="en-US"/>
              </w:rPr>
              <w:t>Aicinām izvērtēt iespēju un papildināt Pamatnostādņu projektu ar jaunu aktivitāti vai papildināt kādu esošo, nosakot par obligātu nosacījumu ielu, zaļo zonu un iekšējo komunikāciju</w:t>
            </w:r>
            <w:r w:rsidRPr="005B5DEB">
              <w:rPr>
                <w:color w:val="000000"/>
                <w:lang w:eastAsia="en-US"/>
              </w:rPr>
              <w:t xml:space="preserve"> (siltumtrase, lietus un pilsētas kanalizācijas u.c.) </w:t>
            </w:r>
            <w:r w:rsidRPr="005B5DEB">
              <w:rPr>
                <w:b/>
                <w:color w:val="000000"/>
                <w:u w:val="single"/>
                <w:lang w:eastAsia="en-US"/>
              </w:rPr>
              <w:t>remontu vai būvniecības laikā veikt inženiertehnisko</w:t>
            </w:r>
            <w:r w:rsidRPr="005B5DEB">
              <w:rPr>
                <w:color w:val="000000"/>
                <w:lang w:eastAsia="en-US"/>
              </w:rPr>
              <w:t xml:space="preserve"> (komunikācijas) </w:t>
            </w:r>
            <w:r w:rsidRPr="005B5DEB">
              <w:rPr>
                <w:b/>
                <w:color w:val="000000"/>
                <w:u w:val="single"/>
                <w:lang w:eastAsia="en-US"/>
              </w:rPr>
              <w:t>tīklu pārbaudi un paredzēt platjoslas izbūvi sadarbojoties ar komersantiem, kas  varētu samazināt platjoslas izbūves izmaksas.</w:t>
            </w:r>
            <w:r w:rsidRPr="005B5DEB">
              <w:rPr>
                <w:color w:val="000000"/>
                <w:lang w:eastAsia="en-US"/>
              </w:rPr>
              <w:t xml:space="preserve"> Ņemot vērā pašvaldību finansiālo resursu pieejamību, </w:t>
            </w:r>
            <w:r w:rsidRPr="005B5DEB">
              <w:rPr>
                <w:b/>
                <w:color w:val="000000"/>
                <w:u w:val="single"/>
                <w:lang w:eastAsia="en-US"/>
              </w:rPr>
              <w:t xml:space="preserve">šādas aktivitātes varētu tikt īstenotas, galvenokārt, ar komersantu, valsts </w:t>
            </w:r>
            <w:r w:rsidRPr="005B5DEB">
              <w:rPr>
                <w:b/>
                <w:color w:val="000000"/>
                <w:u w:val="single"/>
                <w:lang w:eastAsia="en-US"/>
              </w:rPr>
              <w:lastRenderedPageBreak/>
              <w:t>budžeta un/vai Eiropas Savienības finanšu instrumentiem</w:t>
            </w:r>
            <w:r w:rsidRPr="005B5DEB">
              <w:rPr>
                <w:color w:val="000000"/>
                <w:lang w:eastAsia="en-US"/>
              </w:rPr>
              <w:t>.</w:t>
            </w:r>
          </w:p>
        </w:tc>
        <w:tc>
          <w:tcPr>
            <w:tcW w:w="2480" w:type="dxa"/>
            <w:tcBorders>
              <w:left w:val="single" w:sz="6" w:space="0" w:color="000000" w:themeColor="text1"/>
              <w:bottom w:val="single" w:sz="4" w:space="0" w:color="auto"/>
            </w:tcBorders>
            <w:shd w:val="clear" w:color="auto" w:fill="auto"/>
          </w:tcPr>
          <w:p w14:paraId="15CD4B58" w14:textId="77777777" w:rsidR="00427C9C" w:rsidRDefault="00427C9C" w:rsidP="00427C9C">
            <w:pPr>
              <w:pStyle w:val="naisc"/>
              <w:jc w:val="both"/>
              <w:rPr>
                <w:b/>
                <w:bCs/>
              </w:rPr>
            </w:pPr>
            <w:r>
              <w:rPr>
                <w:b/>
                <w:bCs/>
              </w:rPr>
              <w:lastRenderedPageBreak/>
              <w:t>Panākta vienošanās</w:t>
            </w:r>
          </w:p>
          <w:p w14:paraId="3F0A1DFC" w14:textId="77777777" w:rsidR="00DD4F11" w:rsidRPr="00CC5FAD" w:rsidRDefault="00CC5FAD" w:rsidP="004F2BC6">
            <w:pPr>
              <w:pStyle w:val="naisc"/>
              <w:jc w:val="both"/>
            </w:pPr>
            <w:r w:rsidRPr="00CC5FAD">
              <w:rPr>
                <w:bCs/>
              </w:rPr>
              <w:t xml:space="preserve">VARAM vērš uzmanību, ka pamatnostādnēs ir </w:t>
            </w:r>
            <w:r w:rsidRPr="00CC5FAD">
              <w:rPr>
                <w:bCs/>
              </w:rPr>
              <w:lastRenderedPageBreak/>
              <w:t>noteikts, ka vidējās un pēdējās jūdzes attīstības pasākumi, tostarp valsts atbalsts, tiks izvērtēti un iekļauti platjoslas attīstības plānā laika p</w:t>
            </w:r>
            <w:r>
              <w:rPr>
                <w:bCs/>
              </w:rPr>
              <w:t>osmam no 2021. līdz 2027.gadam</w:t>
            </w:r>
            <w:r w:rsidRPr="00CC5FAD">
              <w:rPr>
                <w:bCs/>
              </w:rPr>
              <w:t>. “Pēdējās jūdzes” valsts atbalsta īstenošanas modelī plānota Satiksmes ministrijas cieša sadarbība ar plānošanas reģioniem, kas, savukārt, konsultējoties ar pašvaldībām noteiks prioritātes.</w:t>
            </w:r>
          </w:p>
        </w:tc>
        <w:tc>
          <w:tcPr>
            <w:tcW w:w="3497" w:type="dxa"/>
            <w:tcBorders>
              <w:left w:val="single" w:sz="6" w:space="0" w:color="000000" w:themeColor="text1"/>
              <w:bottom w:val="single" w:sz="4" w:space="0" w:color="auto"/>
            </w:tcBorders>
            <w:shd w:val="clear" w:color="auto" w:fill="auto"/>
          </w:tcPr>
          <w:p w14:paraId="022D1947" w14:textId="77777777" w:rsidR="00CC5FAD" w:rsidRDefault="00CC5FAD" w:rsidP="00662A21">
            <w:pPr>
              <w:pStyle w:val="naisc"/>
              <w:spacing w:before="0" w:after="0"/>
              <w:jc w:val="both"/>
            </w:pPr>
            <w:r>
              <w:lastRenderedPageBreak/>
              <w:t>4.3.1.1. sadaļas Nepieciešamā rīcība:</w:t>
            </w:r>
          </w:p>
          <w:p w14:paraId="172F6C46" w14:textId="77777777" w:rsidR="00CC5FAD" w:rsidRPr="00CC5FAD" w:rsidRDefault="00CC5FAD" w:rsidP="00CC5FAD">
            <w:pPr>
              <w:spacing w:before="120" w:after="120" w:line="259" w:lineRule="auto"/>
              <w:ind w:left="360"/>
              <w:jc w:val="both"/>
              <w:rPr>
                <w:lang w:val="lv"/>
              </w:rPr>
            </w:pPr>
            <w:r>
              <w:rPr>
                <w:lang w:val="lv"/>
              </w:rPr>
              <w:t xml:space="preserve">2. </w:t>
            </w:r>
            <w:r w:rsidRPr="00CC5FAD">
              <w:rPr>
                <w:lang w:val="lv"/>
              </w:rPr>
              <w:t xml:space="preserve">Vidējās un pēdējās jūdzes attīstības pasākumi, tostarp </w:t>
            </w:r>
            <w:r w:rsidRPr="00CC5FAD">
              <w:rPr>
                <w:lang w:val="lv"/>
              </w:rPr>
              <w:lastRenderedPageBreak/>
              <w:t>valsts atbalsts, tiks izvērtēti un iekļauti platjoslas attīstības plānā laika posmam no 2021. līdz 2027. gadam. Platjoslas plāns ietvers investīciju nepietiekamības novērtējumu, pamatojoties uz esošās privātās un publiskās infrastruktūras un pakalpojumu kvalitātes kartēšanu, kā arī plānotās valsts intervences pamatojumu, balstītu uz ilgtspējīgiem ieguldījumu modeļiem. Pēdējās jūdzes valsts atbalsta īstenošanas modelī plānota SM cieša sadarbība ar plānošanas reģioniem, kas, savukārt, konsultējoties ar pašvaldībām noteiks prioritātes.</w:t>
            </w:r>
          </w:p>
          <w:p w14:paraId="115964BE" w14:textId="77777777" w:rsidR="00210112" w:rsidRDefault="00210112" w:rsidP="00210112">
            <w:pPr>
              <w:pStyle w:val="naisc"/>
              <w:spacing w:before="0" w:after="0"/>
              <w:jc w:val="both"/>
            </w:pPr>
            <w:r>
              <w:t>Papildināts ar diviem sagaidāmajiem rezultātiem:</w:t>
            </w:r>
          </w:p>
          <w:p w14:paraId="2D7A970E" w14:textId="77777777" w:rsidR="00210112" w:rsidRDefault="00210112" w:rsidP="00210112">
            <w:pPr>
              <w:pStyle w:val="naisc"/>
              <w:jc w:val="both"/>
            </w:pPr>
            <w:r>
              <w:t xml:space="preserve">6. Visām publiskām pārvaldes iestādēm, sociāli ekonomiskiem virzītājspēkiem (prioritāri skolās, ārstniecības iestādēs un aptiekās) ir izveidots ļoti augstas veiktspējas platjoslas </w:t>
            </w:r>
            <w:proofErr w:type="spellStart"/>
            <w:r>
              <w:t>pieslēgums</w:t>
            </w:r>
            <w:proofErr w:type="spellEnd"/>
            <w:r>
              <w:t>, atbilstoši ekonomiski izdevīgākajam risinājumam.</w:t>
            </w:r>
          </w:p>
          <w:p w14:paraId="5301B93E" w14:textId="77777777" w:rsidR="00210112" w:rsidRDefault="00210112" w:rsidP="00210112">
            <w:pPr>
              <w:pStyle w:val="naisc"/>
              <w:jc w:val="both"/>
            </w:pPr>
          </w:p>
          <w:p w14:paraId="042C7278" w14:textId="77777777" w:rsidR="00DD4F11" w:rsidRPr="00537BA1" w:rsidRDefault="00210112" w:rsidP="00537BA1">
            <w:pPr>
              <w:spacing w:before="120" w:after="120" w:line="259" w:lineRule="auto"/>
              <w:jc w:val="both"/>
              <w:rPr>
                <w:lang w:val="lv"/>
              </w:rPr>
            </w:pPr>
            <w:r>
              <w:lastRenderedPageBreak/>
              <w:t>7. SM sadarbībā ar plānošanas reģioniem panākta vienošanās par pēdējās jūdzes īstenošanas modeli.</w:t>
            </w:r>
          </w:p>
        </w:tc>
      </w:tr>
      <w:tr w:rsidR="00DD4F11" w:rsidRPr="009841AB" w14:paraId="0B34C25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627F144" w14:textId="77777777" w:rsidR="00DD4F11" w:rsidRPr="009841AB" w:rsidRDefault="00403BD4" w:rsidP="00662A21">
            <w:pPr>
              <w:pStyle w:val="naisc"/>
              <w:spacing w:before="0" w:after="0"/>
            </w:pPr>
            <w:r>
              <w:lastRenderedPageBreak/>
              <w:t>202</w:t>
            </w:r>
          </w:p>
        </w:tc>
        <w:tc>
          <w:tcPr>
            <w:tcW w:w="2427" w:type="dxa"/>
            <w:tcBorders>
              <w:left w:val="single" w:sz="6" w:space="0" w:color="000000" w:themeColor="text1"/>
              <w:bottom w:val="single" w:sz="4" w:space="0" w:color="auto"/>
            </w:tcBorders>
            <w:shd w:val="clear" w:color="auto" w:fill="auto"/>
          </w:tcPr>
          <w:p w14:paraId="655F9657" w14:textId="77777777" w:rsidR="00DD4F11" w:rsidRPr="009841AB" w:rsidRDefault="00DD4F1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1F17833D" w14:textId="77777777" w:rsidR="00DD4F11" w:rsidRDefault="00DD4F11" w:rsidP="00662A21">
            <w:pPr>
              <w:pStyle w:val="naisc"/>
              <w:spacing w:before="0" w:after="0"/>
              <w:jc w:val="both"/>
              <w:rPr>
                <w:i/>
                <w:iCs/>
              </w:rPr>
            </w:pPr>
            <w:r w:rsidRPr="0085403B">
              <w:rPr>
                <w:i/>
              </w:rPr>
              <w:t>2. “</w:t>
            </w:r>
            <w:r w:rsidRPr="00DD4F11">
              <w:rPr>
                <w:i/>
                <w:iCs/>
              </w:rPr>
              <w:t xml:space="preserve">Nepieciešams </w:t>
            </w:r>
            <w:r w:rsidRPr="0085403B">
              <w:rPr>
                <w:i/>
                <w:iCs/>
              </w:rPr>
              <w:t>norādīt</w:t>
            </w:r>
            <w:r w:rsidRPr="00DD4F11">
              <w:rPr>
                <w:i/>
                <w:iCs/>
              </w:rPr>
              <w:t xml:space="preserve">, ka vidējās un pēdējās jūdzes attīstībai nepieciešami 60 miljoni </w:t>
            </w:r>
            <w:proofErr w:type="spellStart"/>
            <w:r w:rsidRPr="00DD4F11">
              <w:rPr>
                <w:i/>
                <w:iCs/>
              </w:rPr>
              <w:t>euro</w:t>
            </w:r>
            <w:proofErr w:type="spellEnd"/>
            <w:r w:rsidRPr="00DD4F11">
              <w:rPr>
                <w:i/>
                <w:iCs/>
              </w:rPr>
              <w:t xml:space="preserve"> katrai, tomēr Nacionālajā attīstības plāns  paredz mazāku finansējumu. Tāpat kā riska faktors </w:t>
            </w:r>
            <w:r w:rsidRPr="00DD4F11">
              <w:rPr>
                <w:i/>
                <w:iCs/>
                <w:u w:val="single"/>
              </w:rPr>
              <w:t xml:space="preserve">jāmin nepietiekams pieprasījums pēc platjoslas pakalpojumiem, </w:t>
            </w:r>
            <w:r w:rsidRPr="00DD4F11">
              <w:rPr>
                <w:i/>
                <w:iCs/>
              </w:rPr>
              <w:t>kas cita starpā ir sekas nepieciešamo digitālo prasmju trūkumam gan biznesa realizācijā, gan mājsaimniecību ikdienas</w:t>
            </w:r>
            <w:r w:rsidRPr="00DD4F11" w:rsidDel="00151EB6">
              <w:rPr>
                <w:i/>
                <w:iCs/>
              </w:rPr>
              <w:t xml:space="preserve"> </w:t>
            </w:r>
            <w:r w:rsidRPr="00DD4F11">
              <w:rPr>
                <w:i/>
                <w:iCs/>
              </w:rPr>
              <w:t>jautājumu kārtošanā.”</w:t>
            </w:r>
          </w:p>
          <w:p w14:paraId="641289C2" w14:textId="77777777" w:rsidR="00DD4F11" w:rsidRPr="00DD4F11" w:rsidRDefault="00DD4F11" w:rsidP="0085403B">
            <w:pPr>
              <w:spacing w:before="120" w:after="120"/>
              <w:jc w:val="both"/>
              <w:rPr>
                <w:color w:val="000000"/>
                <w:shd w:val="clear" w:color="auto" w:fill="FFFFFF"/>
              </w:rPr>
            </w:pPr>
            <w:r w:rsidRPr="0085403B">
              <w:rPr>
                <w:rFonts w:eastAsia="MS Mincho"/>
                <w:color w:val="000000"/>
              </w:rPr>
              <w:t>Minētais apgalvojums ir neprecīzs un nekorekts. Pieprasījums ir, bet pašreizējā pakalpojuma cena ir neadekvāti augsta, kā arī nereti LVRTC pakalpojuma pieslēgšana tiek atteikta. Ja pašvaldībām tiktu ļauta piekļuve šiem platjoslas kabeļiem, tā nodrošinot starppilsētu/pagastu centru/pašvaldības un izglītības iestāžu tiešo savienojumu līnijas bez komersantu klātbūtnes un iesaistes, tad arī pieprasījums pēc platjoslām būtu stingri augstāks.</w:t>
            </w:r>
          </w:p>
        </w:tc>
        <w:tc>
          <w:tcPr>
            <w:tcW w:w="2480" w:type="dxa"/>
            <w:tcBorders>
              <w:left w:val="single" w:sz="6" w:space="0" w:color="000000" w:themeColor="text1"/>
              <w:bottom w:val="single" w:sz="4" w:space="0" w:color="auto"/>
            </w:tcBorders>
            <w:shd w:val="clear" w:color="auto" w:fill="auto"/>
          </w:tcPr>
          <w:p w14:paraId="363BC612" w14:textId="77777777" w:rsidR="00CC5FAD" w:rsidRDefault="00CC5FAD" w:rsidP="004F2BC6">
            <w:pPr>
              <w:pStyle w:val="naisc"/>
              <w:jc w:val="both"/>
              <w:rPr>
                <w:b/>
                <w:bCs/>
              </w:rPr>
            </w:pPr>
            <w:r>
              <w:rPr>
                <w:b/>
                <w:bCs/>
              </w:rPr>
              <w:t>Ņemts vērā</w:t>
            </w:r>
          </w:p>
          <w:p w14:paraId="2E2A7E47" w14:textId="77777777" w:rsidR="00DD4F11" w:rsidRPr="00CC5FAD" w:rsidRDefault="00CC5FAD" w:rsidP="004F2BC6">
            <w:pPr>
              <w:pStyle w:val="naisc"/>
              <w:jc w:val="both"/>
            </w:pPr>
            <w:r w:rsidRPr="00CC5FAD">
              <w:rPr>
                <w:bCs/>
              </w:rPr>
              <w:t>Apgalvojums svītrots</w:t>
            </w:r>
          </w:p>
        </w:tc>
        <w:tc>
          <w:tcPr>
            <w:tcW w:w="3497" w:type="dxa"/>
            <w:tcBorders>
              <w:left w:val="single" w:sz="6" w:space="0" w:color="000000" w:themeColor="text1"/>
              <w:bottom w:val="single" w:sz="4" w:space="0" w:color="auto"/>
            </w:tcBorders>
            <w:shd w:val="clear" w:color="auto" w:fill="auto"/>
          </w:tcPr>
          <w:p w14:paraId="2F3B2630" w14:textId="32CFB6B8" w:rsidR="00DD4F11" w:rsidRPr="009841AB" w:rsidRDefault="008A0052" w:rsidP="00662A21">
            <w:pPr>
              <w:pStyle w:val="naisc"/>
              <w:spacing w:before="0" w:after="0"/>
              <w:jc w:val="both"/>
            </w:pPr>
            <w:r w:rsidRPr="009841AB">
              <w:t>Lūdzam skatīt sadaļu 4.</w:t>
            </w:r>
            <w:r>
              <w:t>3.</w:t>
            </w:r>
          </w:p>
        </w:tc>
      </w:tr>
      <w:tr w:rsidR="00DD4F11" w:rsidRPr="009841AB" w14:paraId="2138D98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210B20B" w14:textId="77777777" w:rsidR="00DD4F11" w:rsidRPr="009841AB" w:rsidRDefault="00403BD4" w:rsidP="00662A21">
            <w:pPr>
              <w:pStyle w:val="naisc"/>
              <w:spacing w:before="0" w:after="0"/>
            </w:pPr>
            <w:r>
              <w:t>203</w:t>
            </w:r>
          </w:p>
        </w:tc>
        <w:tc>
          <w:tcPr>
            <w:tcW w:w="2427" w:type="dxa"/>
            <w:tcBorders>
              <w:left w:val="single" w:sz="6" w:space="0" w:color="000000" w:themeColor="text1"/>
              <w:bottom w:val="single" w:sz="4" w:space="0" w:color="auto"/>
            </w:tcBorders>
            <w:shd w:val="clear" w:color="auto" w:fill="auto"/>
          </w:tcPr>
          <w:p w14:paraId="558AFE13" w14:textId="77777777" w:rsidR="00DD4F11" w:rsidRPr="009841AB" w:rsidRDefault="00DD4F1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504213F1" w14:textId="77777777" w:rsidR="00DD4F11" w:rsidRDefault="00DD4F11" w:rsidP="00662A21">
            <w:pPr>
              <w:pStyle w:val="naisc"/>
              <w:spacing w:before="0" w:after="0"/>
              <w:jc w:val="both"/>
              <w:rPr>
                <w:rFonts w:eastAsia="Arial Narrow"/>
                <w:i/>
                <w:iCs/>
                <w:u w:val="single"/>
              </w:rPr>
            </w:pPr>
            <w:r w:rsidRPr="0085403B">
              <w:rPr>
                <w:i/>
              </w:rPr>
              <w:t>3. “</w:t>
            </w:r>
            <w:r w:rsidRPr="00DD4F11">
              <w:rPr>
                <w:rFonts w:eastAsia="Arial Narrow"/>
                <w:i/>
                <w:iCs/>
              </w:rPr>
              <w:t xml:space="preserve">Ņemot vērā, ka elektronisko sakaru tīklu izvēršana ir nozīmīgs finansiālais slogs elektronisko sakaru komersantam, ir būtiski, ka Satiksmes ministrija, </w:t>
            </w:r>
            <w:r w:rsidRPr="00DD4F11">
              <w:rPr>
                <w:rFonts w:eastAsia="Arial Narrow"/>
                <w:i/>
                <w:iCs/>
                <w:u w:val="single"/>
              </w:rPr>
              <w:t>pašvaldības un to nevalstiskās organizācijas īsteno savstarpēju dialogu ar elektronisko sakaru komersantiem, kā arī pašvaldības teritorijā strādājošiem komersantiem,</w:t>
            </w:r>
            <w:r w:rsidRPr="00DD4F11">
              <w:rPr>
                <w:rFonts w:eastAsia="Arial Narrow"/>
                <w:i/>
                <w:iCs/>
              </w:rPr>
              <w:t xml:space="preserve"> kas būtu potenciālie 5G tīklā nodrošināto pakalpojumu lietotāji, lai detalizētākā līmenī apzinātu 5G mobilo sakaru tīkla nepieciešamību pašvaldību teritorijā un racionāli plānotu elektronisko sakaru tīklu infrastruktūras </w:t>
            </w:r>
            <w:r w:rsidRPr="00DD4F11">
              <w:rPr>
                <w:rFonts w:eastAsia="Arial Narrow"/>
                <w:i/>
                <w:iCs/>
              </w:rPr>
              <w:lastRenderedPageBreak/>
              <w:t xml:space="preserve">izvēršanu. </w:t>
            </w:r>
            <w:r w:rsidRPr="00DD4F11">
              <w:rPr>
                <w:rFonts w:eastAsia="Arial Narrow"/>
                <w:i/>
                <w:iCs/>
                <w:u w:val="single"/>
              </w:rPr>
              <w:t>Minēto varētu veikt, piemēram, izstrādājot pašvaldību teritorijas plānojumus.”</w:t>
            </w:r>
          </w:p>
          <w:p w14:paraId="1203EAC2" w14:textId="77777777" w:rsidR="00DD4F11" w:rsidRPr="00DD4F11" w:rsidRDefault="00DD4F11" w:rsidP="00DD4F11">
            <w:pPr>
              <w:spacing w:before="120" w:after="120"/>
              <w:jc w:val="both"/>
              <w:rPr>
                <w:rFonts w:eastAsia="MS Mincho"/>
                <w:color w:val="000000"/>
              </w:rPr>
            </w:pPr>
            <w:r>
              <w:rPr>
                <w:rFonts w:eastAsia="MS Mincho"/>
                <w:color w:val="000000"/>
              </w:rPr>
              <w:t>I</w:t>
            </w:r>
            <w:r w:rsidRPr="00F77A5D">
              <w:rPr>
                <w:rFonts w:eastAsia="MS Mincho"/>
                <w:color w:val="000000"/>
              </w:rPr>
              <w:t xml:space="preserve">espējams, valstiskā līmenī ir jāslēdz sadarbības līgumi ar komersantiem un </w:t>
            </w:r>
            <w:r>
              <w:rPr>
                <w:rFonts w:eastAsia="MS Mincho"/>
                <w:color w:val="000000"/>
              </w:rPr>
              <w:t>jāatbrīvojas un u</w:t>
            </w:r>
            <w:r w:rsidRPr="00F77A5D">
              <w:rPr>
                <w:rFonts w:eastAsia="MS Mincho"/>
                <w:color w:val="000000"/>
              </w:rPr>
              <w:t>zskati</w:t>
            </w:r>
            <w:r>
              <w:rPr>
                <w:rFonts w:eastAsia="MS Mincho"/>
                <w:color w:val="000000"/>
              </w:rPr>
              <w:t>em</w:t>
            </w:r>
            <w:r w:rsidRPr="00F77A5D">
              <w:rPr>
                <w:rFonts w:eastAsia="MS Mincho"/>
                <w:color w:val="000000"/>
              </w:rPr>
              <w:t>, ka platjoslas infrastruktūra nav pašvaldību pamata komunikāciju tīkla sastāvdaļa, jo pašvaldībām ir pienākums nodrošināt pakalpojumus un to pieejamību tās iedzīvotājiem.</w:t>
            </w:r>
          </w:p>
        </w:tc>
        <w:tc>
          <w:tcPr>
            <w:tcW w:w="2480" w:type="dxa"/>
            <w:tcBorders>
              <w:left w:val="single" w:sz="6" w:space="0" w:color="000000" w:themeColor="text1"/>
              <w:bottom w:val="single" w:sz="4" w:space="0" w:color="auto"/>
            </w:tcBorders>
            <w:shd w:val="clear" w:color="auto" w:fill="auto"/>
          </w:tcPr>
          <w:p w14:paraId="568E7480" w14:textId="77777777" w:rsidR="00427C9C" w:rsidRDefault="00427C9C" w:rsidP="00427C9C">
            <w:pPr>
              <w:pStyle w:val="naisc"/>
              <w:jc w:val="both"/>
              <w:rPr>
                <w:b/>
                <w:bCs/>
              </w:rPr>
            </w:pPr>
            <w:r>
              <w:rPr>
                <w:b/>
                <w:bCs/>
              </w:rPr>
              <w:lastRenderedPageBreak/>
              <w:t>Panākta vienošanās</w:t>
            </w:r>
          </w:p>
          <w:p w14:paraId="4A0C3D59" w14:textId="77777777" w:rsidR="00DD4F11" w:rsidRPr="009841AB" w:rsidRDefault="00CC5FAD" w:rsidP="004F2BC6">
            <w:pPr>
              <w:pStyle w:val="naisc"/>
              <w:jc w:val="both"/>
              <w:rPr>
                <w:b/>
                <w:bCs/>
              </w:rPr>
            </w:pPr>
            <w:r w:rsidRPr="00CC5FAD">
              <w:rPr>
                <w:bCs/>
              </w:rPr>
              <w:t>VARAM vērš uzmanību, ka pamatnostādnēs ir noteikts, ka vidējās un pēdējās jūdzes attīstības pasākumi, tostarp valsts atbalsts, tiks izvērtēti un iekļauti platjoslas attīstības plānā laika p</w:t>
            </w:r>
            <w:r>
              <w:rPr>
                <w:bCs/>
              </w:rPr>
              <w:t xml:space="preserve">osmam no </w:t>
            </w:r>
            <w:r>
              <w:rPr>
                <w:bCs/>
              </w:rPr>
              <w:lastRenderedPageBreak/>
              <w:t>2021. līdz 2027.gadam</w:t>
            </w:r>
            <w:r w:rsidRPr="00CC5FAD">
              <w:rPr>
                <w:bCs/>
              </w:rPr>
              <w:t>. “Pēdējās jūdzes” valsts atbalsta īstenošanas modelī plānota Satiksmes ministrijas cieša sadarbība ar plānošanas reģioniem, kas, savukārt, konsultējoties ar pašvaldībām noteiks prioritātes.</w:t>
            </w:r>
          </w:p>
        </w:tc>
        <w:tc>
          <w:tcPr>
            <w:tcW w:w="3497" w:type="dxa"/>
            <w:tcBorders>
              <w:left w:val="single" w:sz="6" w:space="0" w:color="000000" w:themeColor="text1"/>
              <w:bottom w:val="single" w:sz="4" w:space="0" w:color="auto"/>
            </w:tcBorders>
            <w:shd w:val="clear" w:color="auto" w:fill="auto"/>
          </w:tcPr>
          <w:p w14:paraId="529A6502" w14:textId="77777777" w:rsidR="00CC5FAD" w:rsidRDefault="00CC5FAD" w:rsidP="00CC5FAD">
            <w:pPr>
              <w:pStyle w:val="naisc"/>
              <w:spacing w:before="0" w:after="0"/>
              <w:jc w:val="both"/>
            </w:pPr>
            <w:r>
              <w:lastRenderedPageBreak/>
              <w:t>4.3.1.1. sadaļas Nepieciešamā rīcība:</w:t>
            </w:r>
          </w:p>
          <w:p w14:paraId="0821EA3A" w14:textId="77777777" w:rsidR="00CC5FAD" w:rsidRPr="00CC5FAD" w:rsidRDefault="00CC5FAD" w:rsidP="00CC5FAD">
            <w:pPr>
              <w:spacing w:before="120" w:after="120" w:line="259" w:lineRule="auto"/>
              <w:ind w:left="360"/>
              <w:jc w:val="both"/>
              <w:rPr>
                <w:lang w:val="lv"/>
              </w:rPr>
            </w:pPr>
            <w:r>
              <w:rPr>
                <w:lang w:val="lv"/>
              </w:rPr>
              <w:t xml:space="preserve">2. </w:t>
            </w:r>
            <w:r w:rsidRPr="00CC5FAD">
              <w:rPr>
                <w:lang w:val="lv"/>
              </w:rPr>
              <w:t xml:space="preserve">Vidējās un pēdējās jūdzes attīstības pasākumi, tostarp valsts atbalsts, tiks izvērtēti un iekļauti platjoslas attīstības plānā laika posmam no 2021. līdz 2027. gadam. Platjoslas plāns ietvers investīciju nepietiekamības novērtējumu, pamatojoties uz esošās </w:t>
            </w:r>
            <w:r w:rsidRPr="00CC5FAD">
              <w:rPr>
                <w:lang w:val="lv"/>
              </w:rPr>
              <w:lastRenderedPageBreak/>
              <w:t>privātās un publiskās infrastruktūras un pakalpojumu kvalitātes kartēšanu, kā arī plānotās valsts intervences pamatojumu, balstītu uz ilgtspējīgiem ieguldījumu modeļiem. Pēdējās jūdzes valsts atbalsta īstenošanas modelī plānota SM cieša sadarbība ar plānošanas reģioniem, kas, savukārt, konsultējoties ar pašvaldībām noteiks prioritātes.</w:t>
            </w:r>
          </w:p>
          <w:p w14:paraId="18236726" w14:textId="77777777" w:rsidR="00DD4F11" w:rsidRPr="009841AB" w:rsidRDefault="00DD4F11" w:rsidP="00662A21">
            <w:pPr>
              <w:pStyle w:val="naisc"/>
              <w:spacing w:before="0" w:after="0"/>
              <w:jc w:val="both"/>
            </w:pPr>
          </w:p>
        </w:tc>
      </w:tr>
      <w:tr w:rsidR="00662A21" w:rsidRPr="009841AB" w14:paraId="26C21DF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CFCBBEC" w14:textId="77777777" w:rsidR="00662A21" w:rsidRPr="009841AB" w:rsidRDefault="00662A21" w:rsidP="00662A21">
            <w:pPr>
              <w:pStyle w:val="naisc"/>
              <w:spacing w:before="0" w:after="0"/>
              <w:jc w:val="both"/>
            </w:pPr>
            <w:r w:rsidRPr="00507245">
              <w:rPr>
                <w:rFonts w:cstheme="minorHAnsi"/>
                <w:b/>
              </w:rPr>
              <w:t>Latvijas Tirdzniecības un rūpniecības kameras 01.02.2021. atzinums:</w:t>
            </w:r>
          </w:p>
        </w:tc>
      </w:tr>
      <w:tr w:rsidR="00662A21" w:rsidRPr="009841AB" w14:paraId="1DC0509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00415F3" w14:textId="77777777" w:rsidR="00662A21" w:rsidRPr="009841AB" w:rsidRDefault="00403BD4" w:rsidP="00662A21">
            <w:pPr>
              <w:pStyle w:val="naisc"/>
              <w:spacing w:before="0" w:after="0"/>
            </w:pPr>
            <w:r>
              <w:t>204</w:t>
            </w:r>
          </w:p>
        </w:tc>
        <w:tc>
          <w:tcPr>
            <w:tcW w:w="2427" w:type="dxa"/>
            <w:tcBorders>
              <w:left w:val="single" w:sz="6" w:space="0" w:color="000000" w:themeColor="text1"/>
              <w:bottom w:val="single" w:sz="4" w:space="0" w:color="auto"/>
            </w:tcBorders>
            <w:shd w:val="clear" w:color="auto" w:fill="auto"/>
          </w:tcPr>
          <w:p w14:paraId="37CACBDE"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79FBCD27" w14:textId="77777777" w:rsidR="00662A21" w:rsidRPr="009841AB" w:rsidRDefault="00662A21" w:rsidP="00662A21">
            <w:pPr>
              <w:pStyle w:val="naisc"/>
              <w:jc w:val="both"/>
            </w:pPr>
            <w:r w:rsidRPr="009841AB">
              <w:t xml:space="preserve">4.3.1.1. Rīcības </w:t>
            </w:r>
            <w:proofErr w:type="spellStart"/>
            <w:r w:rsidRPr="009841AB">
              <w:t>apakšvirziens</w:t>
            </w:r>
            <w:proofErr w:type="spellEnd"/>
            <w:r w:rsidRPr="009841AB">
              <w:t xml:space="preserve">: Vidējās  un pēdējās jūdzes  elektronisko sakaru tīklu infrastruktūras attīstīšana.” </w:t>
            </w:r>
          </w:p>
          <w:p w14:paraId="4BFA4023" w14:textId="77777777" w:rsidR="00662A21" w:rsidRPr="009841AB" w:rsidRDefault="00662A21" w:rsidP="00662A21">
            <w:pPr>
              <w:pStyle w:val="naisc"/>
              <w:spacing w:before="0" w:after="0"/>
              <w:jc w:val="both"/>
              <w:rPr>
                <w:color w:val="000000"/>
                <w:shd w:val="clear" w:color="auto" w:fill="FFFFFF"/>
              </w:rPr>
            </w:pPr>
            <w:r w:rsidRPr="009841AB">
              <w:t xml:space="preserve">LTRK ieskatā nepieciešams papildināt sadaļu “Uzdevumi (U)” ar šādu formulējumu: “Samērīgu maksu piemērošana par īpašuma apgrūtinājumu platjoslas tīkla izvēršanai un risinājumi tīkla izvēršanai  </w:t>
            </w:r>
            <w:proofErr w:type="spellStart"/>
            <w:r w:rsidRPr="009841AB">
              <w:t>problēmsituāciju</w:t>
            </w:r>
            <w:proofErr w:type="spellEnd"/>
            <w:r w:rsidRPr="009841AB">
              <w:t xml:space="preserve"> gadījumos, kad īpašuma īpašnieks atsakās saskaņot tīkla infrastruktūras izbūvi īpašumā.”</w:t>
            </w:r>
          </w:p>
        </w:tc>
        <w:tc>
          <w:tcPr>
            <w:tcW w:w="2480" w:type="dxa"/>
            <w:tcBorders>
              <w:left w:val="single" w:sz="6" w:space="0" w:color="000000" w:themeColor="text1"/>
              <w:bottom w:val="single" w:sz="4" w:space="0" w:color="auto"/>
            </w:tcBorders>
            <w:shd w:val="clear" w:color="auto" w:fill="auto"/>
          </w:tcPr>
          <w:p w14:paraId="609E9F19" w14:textId="77777777" w:rsidR="00427C9C" w:rsidRDefault="00427C9C" w:rsidP="00427C9C">
            <w:pPr>
              <w:pStyle w:val="naisc"/>
              <w:jc w:val="both"/>
              <w:rPr>
                <w:b/>
                <w:bCs/>
              </w:rPr>
            </w:pPr>
            <w:r>
              <w:rPr>
                <w:b/>
                <w:bCs/>
              </w:rPr>
              <w:t>Panākta vienošanās</w:t>
            </w:r>
          </w:p>
          <w:p w14:paraId="4912507B" w14:textId="77777777" w:rsidR="006E237B" w:rsidRPr="009841AB" w:rsidRDefault="006E237B" w:rsidP="006E237B">
            <w:pPr>
              <w:pStyle w:val="naisc"/>
              <w:jc w:val="left"/>
            </w:pPr>
            <w:r w:rsidRPr="009841AB">
              <w:t xml:space="preserve">Nepiekrītam pasākuma iekļaušanai šādā redakcijā, jo uzskatām, ka priekšlikumā minētos </w:t>
            </w:r>
            <w:proofErr w:type="spellStart"/>
            <w:r w:rsidRPr="009841AB">
              <w:t>problēmsituāciju</w:t>
            </w:r>
            <w:proofErr w:type="spellEnd"/>
            <w:r w:rsidRPr="009841AB">
              <w:t xml:space="preserve"> gadījumus pēc būtības nevar risināt ar samērīgas maksas noteikšanu, proti, nevar atteikuma gadījumā par maksu nopirkt saskaņošanu.</w:t>
            </w:r>
          </w:p>
          <w:p w14:paraId="5EA665B5" w14:textId="77777777" w:rsidR="006E237B" w:rsidRPr="009841AB" w:rsidRDefault="006E237B" w:rsidP="006E237B">
            <w:pPr>
              <w:pStyle w:val="naisc"/>
              <w:jc w:val="left"/>
            </w:pPr>
            <w:r w:rsidRPr="009841AB">
              <w:t xml:space="preserve">Vēršam uzmanību, ka atlīdzības aprēķināšana </w:t>
            </w:r>
            <w:r w:rsidRPr="009841AB">
              <w:lastRenderedPageBreak/>
              <w:t xml:space="preserve">un izmaksāšanas kārtība par zemes īpašuma apgrūtinājumu platjoslas tīkla izvēršanai jau  ir noteikta Ministru kabineta  2017.gada 16.maija  noteikumos Nr. 261  "Kārtība, kādā nosaka atlīdzību par elektronisko sakaru tīkla ierīkošanai un būvniecībai nepieciešamā zemes īpašuma lietošanas tiesību aprobežojumu". </w:t>
            </w:r>
          </w:p>
          <w:p w14:paraId="3098C797" w14:textId="77777777" w:rsidR="006E237B" w:rsidRPr="009841AB" w:rsidRDefault="006E237B" w:rsidP="006E237B">
            <w:pPr>
              <w:pStyle w:val="naisc"/>
              <w:jc w:val="left"/>
            </w:pPr>
            <w:r w:rsidRPr="009841AB">
              <w:t xml:space="preserve">Savukārt, risinājumi tīkla izvēršanai  </w:t>
            </w:r>
            <w:proofErr w:type="spellStart"/>
            <w:r w:rsidRPr="009841AB">
              <w:t>problēmsituāciju</w:t>
            </w:r>
            <w:proofErr w:type="spellEnd"/>
            <w:r w:rsidRPr="009841AB">
              <w:t xml:space="preserve"> gadījumos, kad īpašuma īpašnieks atsakās saskaņot tīkla infrastruktūras izbūvi īpašumā, būtu izvērtējami tikai attiecībā uz publisku personu īpašumu, ņemot vērā, ka jautājums ir ļoti komplicēts un ir pakārtots ne tikai būvniecības regulējumam, bet arī noteiktajām īpašuma tiesībām Civillikumā </w:t>
            </w:r>
            <w:r w:rsidRPr="009841AB">
              <w:lastRenderedPageBreak/>
              <w:t xml:space="preserve">un Latvijas Republikas Satversmē. Satiksmes ministrijas ieskatā līdz ar to jautājumam ir plašāks konteksts, kas pārsniedz elektronisko sakaru nozares kompetenci un jautājums risināms, iesaistot visas attiecīgās institūcijas, tostarp Tieslietu ministriju. </w:t>
            </w:r>
          </w:p>
          <w:p w14:paraId="702DC8D7" w14:textId="77777777" w:rsidR="006E237B" w:rsidRPr="009841AB" w:rsidRDefault="006E237B" w:rsidP="006E237B">
            <w:pPr>
              <w:pStyle w:val="naisc"/>
              <w:jc w:val="left"/>
            </w:pPr>
            <w:r w:rsidRPr="009841AB">
              <w:t xml:space="preserve">Daļēji nozares izvirzīto jautājumu risina arī Elektronisko sakaru likuma jaunā redakcija, kas šobrīd ir saskaņošanas procesā un kur paredzēti atviegloti nosacījumi tuvas darbības bezvadu piekļuves punktu izvietošanai. </w:t>
            </w:r>
          </w:p>
          <w:p w14:paraId="277EC9E8" w14:textId="77777777" w:rsidR="00662A21" w:rsidRPr="009841AB" w:rsidRDefault="006E237B" w:rsidP="006F7CA7">
            <w:pPr>
              <w:pStyle w:val="naisc"/>
              <w:spacing w:before="0" w:after="0"/>
              <w:jc w:val="both"/>
            </w:pPr>
            <w:r w:rsidRPr="009841AB">
              <w:t xml:space="preserve">Papildus vēršam uzmanību, ka 2020.gadā ir uzsākta Eiropas Parlamenta un Padomes 2014.gada 15.maija direktīvas Nr.2014/61/ES par pasākumiem ātrdarbīgu elektronisko sakaru tīklu izvēršanas </w:t>
            </w:r>
            <w:r w:rsidRPr="009841AB">
              <w:lastRenderedPageBreak/>
              <w:t>izmaksu samazināšanai pārskatīšana (indikatīvi līdz 2021.gada beigām plānots sagatavot priekšlikuma dokumentu), līdz ar to pēc direktīvas grozījumu apstiprināšanas, būs iespējama jaunu pasākumu izvērtēšana un iekļaušana nacionālajā regulējumā.</w:t>
            </w:r>
          </w:p>
        </w:tc>
        <w:tc>
          <w:tcPr>
            <w:tcW w:w="3497" w:type="dxa"/>
            <w:tcBorders>
              <w:left w:val="single" w:sz="6" w:space="0" w:color="000000" w:themeColor="text1"/>
              <w:bottom w:val="single" w:sz="4" w:space="0" w:color="auto"/>
            </w:tcBorders>
            <w:shd w:val="clear" w:color="auto" w:fill="auto"/>
          </w:tcPr>
          <w:p w14:paraId="46148F0A" w14:textId="77777777" w:rsidR="00662A21" w:rsidRPr="009841AB" w:rsidRDefault="00662A21" w:rsidP="00662A21">
            <w:pPr>
              <w:pStyle w:val="naisc"/>
              <w:spacing w:before="0" w:after="0"/>
              <w:jc w:val="both"/>
            </w:pPr>
          </w:p>
        </w:tc>
      </w:tr>
      <w:tr w:rsidR="00662A21" w:rsidRPr="009841AB" w14:paraId="46ADACDD"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75E0A883" w14:textId="77777777" w:rsidR="00662A21" w:rsidRPr="009841AB" w:rsidRDefault="00662A21" w:rsidP="00662A21">
            <w:pPr>
              <w:pStyle w:val="naisc"/>
              <w:spacing w:before="0" w:after="0"/>
              <w:jc w:val="both"/>
            </w:pPr>
            <w:r w:rsidRPr="00ED3FBC">
              <w:rPr>
                <w:rFonts w:cstheme="minorHAnsi"/>
                <w:b/>
              </w:rPr>
              <w:lastRenderedPageBreak/>
              <w:t>Satiksmes ministrijas 01.02.2021. atzinums:</w:t>
            </w:r>
          </w:p>
        </w:tc>
      </w:tr>
      <w:tr w:rsidR="00662A21" w:rsidRPr="009841AB" w14:paraId="2B9771E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FCD7D1E" w14:textId="77777777" w:rsidR="00662A21" w:rsidRPr="009841AB" w:rsidRDefault="00F56256" w:rsidP="00662A21">
            <w:pPr>
              <w:pStyle w:val="naisc"/>
              <w:spacing w:before="0" w:after="0"/>
            </w:pPr>
            <w:r>
              <w:t>205</w:t>
            </w:r>
          </w:p>
        </w:tc>
        <w:tc>
          <w:tcPr>
            <w:tcW w:w="2427" w:type="dxa"/>
            <w:tcBorders>
              <w:left w:val="single" w:sz="6" w:space="0" w:color="000000" w:themeColor="text1"/>
              <w:bottom w:val="single" w:sz="4" w:space="0" w:color="auto"/>
            </w:tcBorders>
            <w:shd w:val="clear" w:color="auto" w:fill="auto"/>
          </w:tcPr>
          <w:p w14:paraId="5945B1C7"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61C1FCE0" w14:textId="77777777" w:rsidR="00662A21" w:rsidRPr="009841AB" w:rsidRDefault="00662A21" w:rsidP="00662A21">
            <w:pPr>
              <w:pStyle w:val="naisc"/>
              <w:jc w:val="both"/>
            </w:pPr>
            <w:r w:rsidRPr="009841AB">
              <w:t xml:space="preserve">1. Pamatnostādņu projekta 4.3. attīstības virziena “Telekomunikāciju pakalpojumu pieejamība” Ievadā ir norādīts, ka, lai nodrošinātu vienlīdzīgus un kvalitatīvus elektronisko sakaru pakalpojumus visā Latvijas teritorijā visiem iedzīvotājiem, valsts un pašvaldību iestādēm, komersantiem un sociālekonomiskajiem virzītājspēkiem, ir nepieciešams veicināt elektronisko sakaru tīklu infrastruktūras attīstību teritorijās, kurās ekonomisku apsvērumu dēļ elektronisko sakaru komersanti nav ieinteresēti izvērst elektronisko sakaru tīklu infrastruktūru vai to dara nepietiekamā apjomā. Kā rezultatīvie rādītāji noteikti % no mājsaimniecībām, kas izmanto 100 Mbit/s </w:t>
            </w:r>
            <w:proofErr w:type="spellStart"/>
            <w:r w:rsidRPr="009841AB">
              <w:t>pieslēgumus</w:t>
            </w:r>
            <w:proofErr w:type="spellEnd"/>
            <w:r w:rsidRPr="009841AB">
              <w:t xml:space="preserve">, norādot 2024.gadā 50% no mājsaimniecībām, bet 2027.gadā 99% no mājsaimniecībām. </w:t>
            </w:r>
          </w:p>
          <w:p w14:paraId="6A0F188E" w14:textId="77777777" w:rsidR="00662A21" w:rsidRPr="009841AB" w:rsidRDefault="00662A21" w:rsidP="00662A21">
            <w:pPr>
              <w:pStyle w:val="naisc"/>
              <w:jc w:val="both"/>
            </w:pPr>
            <w:r w:rsidRPr="009841AB">
              <w:t xml:space="preserve">Vēršam uzmanību, ka rezultatīvie rādītāji ir saistāmi ar aktivitātei pieejamo finansējumu, kas vēl ir sarunu procesā, tomēr indikatīvi jau plānots mazākā apjomā </w:t>
            </w:r>
            <w:r w:rsidRPr="009841AB">
              <w:lastRenderedPageBreak/>
              <w:t xml:space="preserve">kā sākotnēji pieprasīts. Līdz ar to lūdzam pārskatīt rezultatīvā rādītāja RR4.3.-1-1 vērtības, attiecīgi samazinot tās 2027.gadā līdz 75%. Ja norādītais rezultatīvais rādītājs 99% ir visas elektronisko sakaru nozares kumulatīvais rādītājs, lūdzam papildināt pamatnostādņu projektu ar pamatojošo informāciju, kas veidos minētos 99%. Vienlaikus lūdzam precizēt rādītāja RR4.3.-1-1 “Vismaz 100 </w:t>
            </w:r>
            <w:proofErr w:type="spellStart"/>
            <w:r w:rsidRPr="009841AB">
              <w:t>Mb</w:t>
            </w:r>
            <w:proofErr w:type="spellEnd"/>
            <w:r w:rsidRPr="009841AB">
              <w:t xml:space="preserve">/s fiksēto platjoslas tīklu izmantošana” nosaukumu, svītrojot vārdu “fiksēto”, jo Savienojamības paziņojumā  noteiktā atbilstošā mērķa sasniegšanai nav paredzēts izmantot tikai fiksēto elektronisko sakaru tīklu tehnoloģiju. </w:t>
            </w:r>
          </w:p>
        </w:tc>
        <w:tc>
          <w:tcPr>
            <w:tcW w:w="2480" w:type="dxa"/>
            <w:tcBorders>
              <w:left w:val="single" w:sz="6" w:space="0" w:color="000000" w:themeColor="text1"/>
              <w:bottom w:val="single" w:sz="4" w:space="0" w:color="auto"/>
            </w:tcBorders>
            <w:shd w:val="clear" w:color="auto" w:fill="auto"/>
          </w:tcPr>
          <w:p w14:paraId="602DF11A" w14:textId="77777777" w:rsidR="00662A21" w:rsidRPr="000D513C" w:rsidRDefault="1B4AC6E0" w:rsidP="000D513C">
            <w:pPr>
              <w:pStyle w:val="naisc"/>
              <w:jc w:val="both"/>
              <w:rPr>
                <w:b/>
              </w:rPr>
            </w:pPr>
            <w:r w:rsidRPr="249D765F">
              <w:rPr>
                <w:b/>
                <w:bCs/>
              </w:rPr>
              <w:lastRenderedPageBreak/>
              <w:t>Ņ</w:t>
            </w:r>
            <w:r w:rsidR="00070952" w:rsidRPr="249D765F">
              <w:rPr>
                <w:b/>
                <w:bCs/>
              </w:rPr>
              <w:t>emts vērā</w:t>
            </w:r>
          </w:p>
        </w:tc>
        <w:tc>
          <w:tcPr>
            <w:tcW w:w="3497" w:type="dxa"/>
            <w:tcBorders>
              <w:left w:val="single" w:sz="6" w:space="0" w:color="000000" w:themeColor="text1"/>
              <w:bottom w:val="single" w:sz="4" w:space="0" w:color="auto"/>
            </w:tcBorders>
            <w:shd w:val="clear" w:color="auto" w:fill="auto"/>
          </w:tcPr>
          <w:p w14:paraId="5D875367" w14:textId="179D0066" w:rsidR="00662A21" w:rsidRPr="009841AB" w:rsidRDefault="008A0052" w:rsidP="00662A21">
            <w:pPr>
              <w:pStyle w:val="naisc"/>
              <w:spacing w:before="0" w:after="0"/>
              <w:jc w:val="both"/>
            </w:pPr>
            <w:r w:rsidRPr="009841AB">
              <w:t>Lūdzam skatīt sadaļu 4.</w:t>
            </w:r>
            <w:r>
              <w:t>3.</w:t>
            </w:r>
          </w:p>
        </w:tc>
      </w:tr>
      <w:tr w:rsidR="00662A21" w:rsidRPr="009841AB" w14:paraId="7A31724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BF9A2CD" w14:textId="77777777" w:rsidR="00662A21" w:rsidRPr="009841AB" w:rsidRDefault="00F56256" w:rsidP="00662A21">
            <w:pPr>
              <w:pStyle w:val="naisc"/>
              <w:spacing w:before="0" w:after="0"/>
            </w:pPr>
            <w:r>
              <w:t>206</w:t>
            </w:r>
          </w:p>
        </w:tc>
        <w:tc>
          <w:tcPr>
            <w:tcW w:w="2427" w:type="dxa"/>
            <w:tcBorders>
              <w:left w:val="single" w:sz="6" w:space="0" w:color="000000" w:themeColor="text1"/>
              <w:bottom w:val="single" w:sz="4" w:space="0" w:color="auto"/>
            </w:tcBorders>
            <w:shd w:val="clear" w:color="auto" w:fill="auto"/>
          </w:tcPr>
          <w:p w14:paraId="62E78449"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66CAE16C" w14:textId="77777777" w:rsidR="00662A21" w:rsidRPr="009841AB" w:rsidRDefault="00662A21" w:rsidP="00662A21">
            <w:pPr>
              <w:pStyle w:val="naisc"/>
              <w:jc w:val="both"/>
            </w:pPr>
            <w:r w:rsidRPr="009841AB">
              <w:t>2.</w:t>
            </w:r>
            <w:r w:rsidRPr="009841AB">
              <w:tab/>
              <w:t>Lūdzam svītrot rezultatīvo rādītāju RR4.3.-1-3 “Nepārtraukts 4G pārklājuma uz valsts autoceļiem un pašvaldību ceļiem”, jo Satiksmes ministrijai nav plānotas darbības, kas nodrošinātu šāda rādītāja izpildi. Vēršam uzmanību, ka, analizējot DESI indeksa savienojamības dimensijas sastāvdaļas, secināms, ka Latvijas galvenās stiprās puses ir attīstītais ātrdarbīgās platjoslas pārklājums (nākamās paaudzes piekļuve (NGA)) (93 % pretstatā ES vidējam rādītājam, kas ir 86 %) un teju pilnīgs vidējais 4G pārklājums (99 %; ES vidējais rādītājs — 96 %) .</w:t>
            </w:r>
          </w:p>
        </w:tc>
        <w:tc>
          <w:tcPr>
            <w:tcW w:w="2480" w:type="dxa"/>
            <w:tcBorders>
              <w:left w:val="single" w:sz="6" w:space="0" w:color="000000" w:themeColor="text1"/>
              <w:bottom w:val="single" w:sz="4" w:space="0" w:color="auto"/>
            </w:tcBorders>
            <w:shd w:val="clear" w:color="auto" w:fill="auto"/>
          </w:tcPr>
          <w:p w14:paraId="1036E493" w14:textId="77777777" w:rsidR="00662A21" w:rsidRPr="009841AB" w:rsidRDefault="00583EED" w:rsidP="00662A21">
            <w:pPr>
              <w:pStyle w:val="naisc"/>
              <w:spacing w:before="0" w:after="0"/>
              <w:jc w:val="both"/>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24EB83F1" w14:textId="77777777" w:rsidR="00662A21" w:rsidRPr="009841AB" w:rsidRDefault="00583EED" w:rsidP="00662A21">
            <w:pPr>
              <w:pStyle w:val="naisc"/>
              <w:spacing w:before="0" w:after="0"/>
              <w:jc w:val="both"/>
            </w:pPr>
            <w:r w:rsidRPr="009841AB">
              <w:t xml:space="preserve">Lūdzam skatīt </w:t>
            </w:r>
            <w:proofErr w:type="spellStart"/>
            <w:r w:rsidRPr="009841AB">
              <w:t>apakšsadaļu</w:t>
            </w:r>
            <w:proofErr w:type="spellEnd"/>
            <w:r w:rsidRPr="009841AB">
              <w:t xml:space="preserve"> 4.3.</w:t>
            </w:r>
          </w:p>
        </w:tc>
      </w:tr>
      <w:tr w:rsidR="00662A21" w:rsidRPr="009841AB" w14:paraId="7F1DEA4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5FA747F" w14:textId="77777777" w:rsidR="00662A21" w:rsidRPr="009841AB" w:rsidRDefault="00F56256" w:rsidP="00662A21">
            <w:pPr>
              <w:pStyle w:val="naisc"/>
              <w:spacing w:before="0" w:after="0"/>
            </w:pPr>
            <w:r>
              <w:t>207</w:t>
            </w:r>
          </w:p>
        </w:tc>
        <w:tc>
          <w:tcPr>
            <w:tcW w:w="2427" w:type="dxa"/>
            <w:tcBorders>
              <w:left w:val="single" w:sz="6" w:space="0" w:color="000000" w:themeColor="text1"/>
              <w:bottom w:val="single" w:sz="4" w:space="0" w:color="auto"/>
            </w:tcBorders>
            <w:shd w:val="clear" w:color="auto" w:fill="auto"/>
          </w:tcPr>
          <w:p w14:paraId="04541078"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28088763" w14:textId="77777777" w:rsidR="00662A21" w:rsidRPr="009841AB" w:rsidRDefault="00662A21" w:rsidP="00662A21">
            <w:pPr>
              <w:pStyle w:val="naisc"/>
              <w:jc w:val="both"/>
            </w:pPr>
            <w:r w:rsidRPr="009841AB">
              <w:t xml:space="preserve">3. Interneta protokola (IP) sestās versijas ieviešanai valsts pārvaldes iestādēs tika izstrādāts un ar Ministru kabineta 2020.gada 10.novembra sēdes </w:t>
            </w:r>
            <w:proofErr w:type="spellStart"/>
            <w:r w:rsidRPr="009841AB">
              <w:t>protokollēmumu</w:t>
            </w:r>
            <w:proofErr w:type="spellEnd"/>
            <w:r w:rsidRPr="009841AB">
              <w:t xml:space="preserve"> (prot.Nr.70, 33.§) pieņemts zināšanai Satiksmes ministrijas sagatavotais informatīvais ziņojums “Par Interneta protokola ceturtās un sestās versijas lietošanu valsts pārvaldē”, kura 2.punktā ir dots uzdevums Satiksmes ministrijai izveidot starpinstitūciju darba grupu interneta protokola (IP) sestās versijas ieviešanai valsts pārvaldē, savukārt </w:t>
            </w:r>
            <w:proofErr w:type="spellStart"/>
            <w:r w:rsidRPr="009841AB">
              <w:lastRenderedPageBreak/>
              <w:t>protokollēmuma</w:t>
            </w:r>
            <w:proofErr w:type="spellEnd"/>
            <w:r w:rsidRPr="009841AB">
              <w:t xml:space="preserve"> 3.punkts paredz satiksmes ministram līdz 2023.gada 1.decembrim noteiktā kārtībā iesniegt Ministru kabinetā normatīvo regulējumu interneta protokola (IP) sestās versijas ieviešanai valsts pārvaldē. Ievērojot noteiktos termiņus, secināms, ka normatīvais regulējums stāsies spēkā ne ātrāk kā 2024.gadā un interneta protokola (IP) sestās versijas ieviešana var tikt uzsākta ar 2024.gadu. </w:t>
            </w:r>
          </w:p>
          <w:p w14:paraId="6A3EB8DA" w14:textId="77777777" w:rsidR="00662A21" w:rsidRPr="009841AB" w:rsidRDefault="00662A21" w:rsidP="00662A21">
            <w:pPr>
              <w:pStyle w:val="naisc"/>
              <w:spacing w:before="0" w:after="0"/>
              <w:jc w:val="both"/>
            </w:pPr>
            <w:r w:rsidRPr="009841AB">
              <w:t>Līdz ar to lūdzam precizēt rezultatīvo rādītāju (RR4.3.-2-1), nosakot to 2024.gadā 10% no visām valsts pārvaldes iestādēm, kā arī samazināt 2027.gada rādītāju, samazinot līdz 80%, jo jārēķinās, ka visas valsts iestādes var nebūt tiesīgas  līdz 2027.gadam ieviest interneta protokola (IP) sesto versiju, piemēram, nodrošinot tādu sistēmu uzturēšanu, kas izveidotas, izmantojot Eiropas Savienības finansējumu.</w:t>
            </w:r>
          </w:p>
        </w:tc>
        <w:tc>
          <w:tcPr>
            <w:tcW w:w="2480" w:type="dxa"/>
            <w:tcBorders>
              <w:left w:val="single" w:sz="6" w:space="0" w:color="000000" w:themeColor="text1"/>
              <w:bottom w:val="single" w:sz="4" w:space="0" w:color="auto"/>
            </w:tcBorders>
            <w:shd w:val="clear" w:color="auto" w:fill="auto"/>
          </w:tcPr>
          <w:p w14:paraId="034685E0" w14:textId="77777777" w:rsidR="00477DEC" w:rsidRPr="00D264F6" w:rsidRDefault="00477DEC" w:rsidP="00477DEC">
            <w:pPr>
              <w:pStyle w:val="naisc"/>
              <w:jc w:val="both"/>
              <w:rPr>
                <w:b/>
                <w:bCs/>
              </w:rPr>
            </w:pPr>
            <w:r w:rsidRPr="009841AB">
              <w:rPr>
                <w:b/>
                <w:bCs/>
              </w:rPr>
              <w:lastRenderedPageBreak/>
              <w:t>Ņemts vērā</w:t>
            </w:r>
          </w:p>
          <w:p w14:paraId="438A8D75" w14:textId="77777777" w:rsidR="00662A21" w:rsidRPr="009841AB" w:rsidRDefault="00662A21" w:rsidP="00477DEC">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3561AC5B" w14:textId="7D2510C2" w:rsidR="00662A21" w:rsidRPr="009841AB" w:rsidRDefault="008A0052" w:rsidP="00662A21">
            <w:pPr>
              <w:pStyle w:val="naisc"/>
              <w:spacing w:before="0" w:after="0"/>
              <w:jc w:val="both"/>
            </w:pPr>
            <w:r w:rsidRPr="009841AB">
              <w:t>Lūdzam skatīt sadaļu 4.</w:t>
            </w:r>
            <w:r>
              <w:t>3.</w:t>
            </w:r>
          </w:p>
        </w:tc>
      </w:tr>
      <w:tr w:rsidR="00662A21" w:rsidRPr="009841AB" w14:paraId="68BE0BC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9B1DA72" w14:textId="77777777" w:rsidR="00662A21" w:rsidRPr="009841AB" w:rsidRDefault="00F56256" w:rsidP="00662A21">
            <w:pPr>
              <w:pStyle w:val="naisc"/>
              <w:spacing w:before="0" w:after="0"/>
            </w:pPr>
            <w:r>
              <w:t>208</w:t>
            </w:r>
          </w:p>
        </w:tc>
        <w:tc>
          <w:tcPr>
            <w:tcW w:w="2427" w:type="dxa"/>
            <w:tcBorders>
              <w:left w:val="single" w:sz="6" w:space="0" w:color="000000" w:themeColor="text1"/>
              <w:bottom w:val="single" w:sz="4" w:space="0" w:color="auto"/>
            </w:tcBorders>
            <w:shd w:val="clear" w:color="auto" w:fill="auto"/>
          </w:tcPr>
          <w:p w14:paraId="77161EDA"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26AA906D" w14:textId="77777777" w:rsidR="00662A21" w:rsidRPr="009841AB" w:rsidRDefault="00662A21" w:rsidP="00662A21">
            <w:pPr>
              <w:pStyle w:val="naisc"/>
              <w:jc w:val="both"/>
            </w:pPr>
            <w:r w:rsidRPr="009841AB">
              <w:t>4.</w:t>
            </w:r>
            <w:r w:rsidRPr="009841AB">
              <w:tab/>
              <w:t xml:space="preserve">2020.gada 8.decembrī stājās spēkā grozījumi Ministru kabineta 2015.gada 30.jūnija noteikumos Nr.367 “Nacionālais numerācijas plāns” , kas paredz izdalīt atsevišķu numerāciju </w:t>
            </w:r>
            <w:proofErr w:type="spellStart"/>
            <w:r w:rsidRPr="009841AB">
              <w:t>starpierīču</w:t>
            </w:r>
            <w:proofErr w:type="spellEnd"/>
            <w:r w:rsidRPr="009841AB">
              <w:t xml:space="preserve"> sakaru (</w:t>
            </w:r>
            <w:proofErr w:type="spellStart"/>
            <w:r w:rsidRPr="009841AB">
              <w:t>IoT</w:t>
            </w:r>
            <w:proofErr w:type="spellEnd"/>
            <w:r w:rsidRPr="009841AB">
              <w:t xml:space="preserve">/M2M) pakalpojumiem. Līdz šim sniegtajiem </w:t>
            </w:r>
            <w:proofErr w:type="spellStart"/>
            <w:r w:rsidRPr="009841AB">
              <w:t>starpierīču</w:t>
            </w:r>
            <w:proofErr w:type="spellEnd"/>
            <w:r w:rsidRPr="009841AB">
              <w:t xml:space="preserve"> sakaru pakalpojumiem piemēroti astoņu zīmju nacionālie numuri atbilstoši tīkla tehnoloģijai, kurā tie tiek sniegti. Līdz ar to, sākot tikai ar 2021.gadu, minētajiem pakalpojumiem tiks piemēroti atsevišķi numerācijas diapazoni, kas šim mērķim noteikti Nacionālajā numerācijas plānā. Savukārt Ministru kabineta 2020.gada 17.decembra noteikumu Nr.828 “Noteikumi par numerācijas lietošanas tiesību ikgadējo valsts nodevu” anotācijas pielikumā 2023.gadā plānoti 20 000 numuri ar astoņām zīmēm, bet 300 000 numuri ar 12 zīmēm, kas piešķirti </w:t>
            </w:r>
            <w:proofErr w:type="spellStart"/>
            <w:r w:rsidRPr="009841AB">
              <w:t>starpierīču</w:t>
            </w:r>
            <w:proofErr w:type="spellEnd"/>
            <w:r w:rsidRPr="009841AB">
              <w:t xml:space="preserve"> sakaru (</w:t>
            </w:r>
            <w:proofErr w:type="spellStart"/>
            <w:r w:rsidRPr="009841AB">
              <w:t>IoT</w:t>
            </w:r>
            <w:proofErr w:type="spellEnd"/>
            <w:r w:rsidRPr="009841AB">
              <w:t xml:space="preserve">/M2M) pakalpojumiem. </w:t>
            </w:r>
          </w:p>
          <w:p w14:paraId="7873698E" w14:textId="77777777" w:rsidR="00662A21" w:rsidRPr="009841AB" w:rsidRDefault="00662A21" w:rsidP="00662A21">
            <w:pPr>
              <w:pStyle w:val="naisc"/>
              <w:jc w:val="both"/>
            </w:pPr>
            <w:r w:rsidRPr="009841AB">
              <w:lastRenderedPageBreak/>
              <w:t xml:space="preserve">Ievērojot, ka minētajiem pakalpojumiem saskaņā ar grozījumiem Nacionālajā numerācijas plānā pieejami daudzi miljoni numuri, lūdzam precizēt rezultatīvo rādītāju RR4.3.-2-1, 2020.gadā nosakot 0%, 2024.gadā nosakot to 7% no kumulatīvā numuru skaita (astoņu zīmju numuri nacionālai lietošanai un 12 zīmju numuri gan nacionālai, gan eksteritoriālai lietošanai), bet 2027.gadā - 20%. Vēršam uzmanību, ka numerācijas resurss, kas piešķirts </w:t>
            </w:r>
            <w:proofErr w:type="spellStart"/>
            <w:r w:rsidRPr="009841AB">
              <w:t>starpierīču</w:t>
            </w:r>
            <w:proofErr w:type="spellEnd"/>
            <w:r w:rsidRPr="009841AB">
              <w:t xml:space="preserve"> sakaru (</w:t>
            </w:r>
            <w:proofErr w:type="spellStart"/>
            <w:r w:rsidRPr="009841AB">
              <w:t>IoT</w:t>
            </w:r>
            <w:proofErr w:type="spellEnd"/>
            <w:r w:rsidRPr="009841AB">
              <w:t xml:space="preserve">/M2M) pakalpojumiem, ir plānots ilgtermiņā, daudzu miljonu apmērā un norādītie rezultatīvie rādītāji ir pārāk optimistiski. Turklāt numerācijas piešķiršana nevar tikt definēta kā pašmērķis, svarīgi ir procesi, kas tiek nodrošināti, izmantojot </w:t>
            </w:r>
            <w:proofErr w:type="spellStart"/>
            <w:r w:rsidRPr="009841AB">
              <w:t>starpierīču</w:t>
            </w:r>
            <w:proofErr w:type="spellEnd"/>
            <w:r w:rsidRPr="009841AB">
              <w:t xml:space="preserve"> sakaru (</w:t>
            </w:r>
            <w:proofErr w:type="spellStart"/>
            <w:r w:rsidRPr="009841AB">
              <w:t>IoT</w:t>
            </w:r>
            <w:proofErr w:type="spellEnd"/>
            <w:r w:rsidRPr="009841AB">
              <w:t xml:space="preserve">/M2M) pakalpojumus. </w:t>
            </w:r>
          </w:p>
          <w:p w14:paraId="7EA5631E" w14:textId="77777777" w:rsidR="00662A21" w:rsidRPr="009841AB" w:rsidRDefault="00662A21" w:rsidP="00662A21">
            <w:pPr>
              <w:pStyle w:val="naisc"/>
              <w:spacing w:before="0" w:after="0"/>
              <w:jc w:val="both"/>
            </w:pPr>
            <w:r w:rsidRPr="009841AB">
              <w:t>Ievērojot minēto, lūdzam atkārtoti izvērtēt un nepieciešamības gadījumā svītrot pamatnostādņu projekta rezultatīvo rādītāju RR4.3.-2-1.</w:t>
            </w:r>
          </w:p>
        </w:tc>
        <w:tc>
          <w:tcPr>
            <w:tcW w:w="2480" w:type="dxa"/>
            <w:tcBorders>
              <w:left w:val="single" w:sz="6" w:space="0" w:color="000000" w:themeColor="text1"/>
              <w:bottom w:val="single" w:sz="4" w:space="0" w:color="auto"/>
            </w:tcBorders>
            <w:shd w:val="clear" w:color="auto" w:fill="auto"/>
          </w:tcPr>
          <w:p w14:paraId="23089E66" w14:textId="77777777" w:rsidR="00427C9C" w:rsidRDefault="00427C9C" w:rsidP="00427C9C">
            <w:pPr>
              <w:pStyle w:val="naisc"/>
              <w:jc w:val="both"/>
              <w:rPr>
                <w:b/>
                <w:bCs/>
              </w:rPr>
            </w:pPr>
            <w:r>
              <w:rPr>
                <w:b/>
                <w:bCs/>
              </w:rPr>
              <w:lastRenderedPageBreak/>
              <w:t>Panākta vienošanās</w:t>
            </w:r>
          </w:p>
          <w:p w14:paraId="72487D65" w14:textId="77777777" w:rsidR="00477DEC" w:rsidRPr="009841AB" w:rsidRDefault="00477DEC" w:rsidP="00477DEC">
            <w:pPr>
              <w:pStyle w:val="naisc"/>
              <w:jc w:val="both"/>
            </w:pPr>
          </w:p>
          <w:p w14:paraId="61FF750A" w14:textId="77777777" w:rsidR="00662A21" w:rsidRPr="009841AB" w:rsidRDefault="00662A21" w:rsidP="00477DEC">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2039E976" w14:textId="77777777" w:rsidR="00662A21" w:rsidRPr="009841AB" w:rsidRDefault="00477DEC" w:rsidP="00662A21">
            <w:pPr>
              <w:pStyle w:val="naisc"/>
              <w:spacing w:before="0" w:after="0"/>
              <w:jc w:val="both"/>
            </w:pPr>
            <w:r w:rsidRPr="009841AB">
              <w:t>Lūdzam skatīt rezultatīvo rādītāju RR4.3.-2-1</w:t>
            </w:r>
          </w:p>
        </w:tc>
      </w:tr>
      <w:tr w:rsidR="00662A21" w:rsidRPr="009841AB" w14:paraId="24B32E0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DD62502" w14:textId="77777777" w:rsidR="00662A21" w:rsidRPr="009841AB" w:rsidRDefault="00F56256" w:rsidP="00662A21">
            <w:pPr>
              <w:pStyle w:val="naisc"/>
              <w:spacing w:before="0" w:after="0"/>
            </w:pPr>
            <w:r>
              <w:t>209</w:t>
            </w:r>
          </w:p>
        </w:tc>
        <w:tc>
          <w:tcPr>
            <w:tcW w:w="2427" w:type="dxa"/>
            <w:tcBorders>
              <w:left w:val="single" w:sz="6" w:space="0" w:color="000000" w:themeColor="text1"/>
              <w:bottom w:val="single" w:sz="4" w:space="0" w:color="auto"/>
            </w:tcBorders>
            <w:shd w:val="clear" w:color="auto" w:fill="auto"/>
          </w:tcPr>
          <w:p w14:paraId="7B56B083" w14:textId="77777777" w:rsidR="00662A21" w:rsidRPr="009841AB" w:rsidRDefault="00662A21" w:rsidP="00662A2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47BE9C48" w14:textId="77777777" w:rsidR="00662A21" w:rsidRPr="009841AB" w:rsidRDefault="00662A21" w:rsidP="00662A21">
            <w:pPr>
              <w:pStyle w:val="naisc"/>
              <w:jc w:val="both"/>
            </w:pPr>
            <w:r w:rsidRPr="009841AB">
              <w:t>5.</w:t>
            </w:r>
            <w:r w:rsidRPr="009841AB">
              <w:tab/>
              <w:t xml:space="preserve">Pamatnostādņu projekta rīcības 4.3.1.2. </w:t>
            </w:r>
            <w:proofErr w:type="spellStart"/>
            <w:r w:rsidRPr="009841AB">
              <w:t>apakšvirziena</w:t>
            </w:r>
            <w:proofErr w:type="spellEnd"/>
            <w:r w:rsidRPr="009841AB">
              <w:t xml:space="preserve"> “Infrastruktūras koplietošanas veicināšana un atbalsta infrastruktūras pieejamība” sadaļā norādīts, ka ir svarīgi, lai elektronisko sakaru tīklu infrastruktūras izvēršanā tiktu piemēroti pasākumi atbilstoši Eiropas Parlamenta un Padomes 2014.gada 15.maija direktīvai Nr.2014/61/ES (turpmāk – direktīva) par pasākumiem ātrdarbīgu elektronisko sakaru tīklu izvēršanas izmaksu samazināšanai, kas ir pārņemta ar Ātrdarbīga elektronisko sakaru tīkla likumu, īpaši attiecībā uz infrastruktūras koplietošanu (tajā skaitā aktīvās infrastruktūras), kā arī tiktu veicināta pasīvās infrastruktūras pieejamība. </w:t>
            </w:r>
          </w:p>
          <w:p w14:paraId="767E5862" w14:textId="77777777" w:rsidR="00662A21" w:rsidRPr="009841AB" w:rsidRDefault="00662A21" w:rsidP="00662A21">
            <w:pPr>
              <w:pStyle w:val="naisc"/>
              <w:jc w:val="both"/>
            </w:pPr>
            <w:r w:rsidRPr="009841AB">
              <w:t>Ievērojot direktīvas tvērumu, lūdzam svītrot vārdus iekavās “(tajā skaitā aktīvās infrastruktūras)”.</w:t>
            </w:r>
          </w:p>
        </w:tc>
        <w:tc>
          <w:tcPr>
            <w:tcW w:w="2480" w:type="dxa"/>
            <w:tcBorders>
              <w:left w:val="single" w:sz="6" w:space="0" w:color="000000" w:themeColor="text1"/>
              <w:bottom w:val="single" w:sz="4" w:space="0" w:color="auto"/>
            </w:tcBorders>
            <w:shd w:val="clear" w:color="auto" w:fill="auto"/>
          </w:tcPr>
          <w:p w14:paraId="6811ACD2" w14:textId="77777777" w:rsidR="00662A21" w:rsidRPr="009841AB" w:rsidRDefault="00A81E21" w:rsidP="00662A21">
            <w:pPr>
              <w:pStyle w:val="naisc"/>
              <w:spacing w:before="0" w:after="0"/>
              <w:jc w:val="both"/>
              <w:rPr>
                <w:b/>
                <w:bCs/>
              </w:rPr>
            </w:pPr>
            <w:r w:rsidRPr="009841AB">
              <w:rPr>
                <w:b/>
                <w:bCs/>
              </w:rPr>
              <w:t>Ņemts vērā</w:t>
            </w:r>
          </w:p>
          <w:p w14:paraId="091FF2FF" w14:textId="77777777" w:rsidR="00A81E21" w:rsidRPr="009841AB" w:rsidRDefault="00A81E21" w:rsidP="00662A21">
            <w:pPr>
              <w:pStyle w:val="naisc"/>
              <w:spacing w:before="0" w:after="0"/>
              <w:jc w:val="both"/>
            </w:pPr>
          </w:p>
          <w:p w14:paraId="29B9DA09" w14:textId="77777777" w:rsidR="00A81E21" w:rsidRPr="009841AB" w:rsidRDefault="00A81E21" w:rsidP="00662A21">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59EE43FD" w14:textId="77777777" w:rsidR="00662A21" w:rsidRPr="009841AB" w:rsidRDefault="00A81E21" w:rsidP="00662A21">
            <w:pPr>
              <w:pStyle w:val="naisc"/>
              <w:spacing w:before="0" w:after="0"/>
              <w:jc w:val="both"/>
            </w:pPr>
            <w:r w:rsidRPr="009841AB">
              <w:t xml:space="preserve">Lūdzam skatīt </w:t>
            </w:r>
            <w:proofErr w:type="spellStart"/>
            <w:r w:rsidRPr="009841AB">
              <w:t>apakšsadaļu</w:t>
            </w:r>
            <w:proofErr w:type="spellEnd"/>
            <w:r w:rsidRPr="009841AB">
              <w:t xml:space="preserve"> 4.3.1.2.</w:t>
            </w:r>
          </w:p>
        </w:tc>
      </w:tr>
      <w:tr w:rsidR="001D7B9E" w:rsidRPr="009841AB" w14:paraId="234908F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8F8C830" w14:textId="77777777" w:rsidR="001D7B9E" w:rsidRPr="009841AB" w:rsidRDefault="00BC58BA" w:rsidP="001D7B9E">
            <w:pPr>
              <w:pStyle w:val="naisc"/>
              <w:spacing w:before="0" w:after="0"/>
            </w:pPr>
            <w:r>
              <w:lastRenderedPageBreak/>
              <w:t>210</w:t>
            </w:r>
          </w:p>
        </w:tc>
        <w:tc>
          <w:tcPr>
            <w:tcW w:w="2427" w:type="dxa"/>
            <w:tcBorders>
              <w:left w:val="single" w:sz="6" w:space="0" w:color="000000" w:themeColor="text1"/>
              <w:bottom w:val="single" w:sz="4" w:space="0" w:color="auto"/>
            </w:tcBorders>
            <w:shd w:val="clear" w:color="auto" w:fill="auto"/>
          </w:tcPr>
          <w:p w14:paraId="4B249B86" w14:textId="77777777" w:rsidR="001D7B9E" w:rsidRPr="009841AB" w:rsidRDefault="001D7B9E" w:rsidP="001D7B9E">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566F4576" w14:textId="77777777" w:rsidR="001D7B9E" w:rsidRPr="009841AB" w:rsidRDefault="001D7B9E" w:rsidP="001D7B9E">
            <w:pPr>
              <w:pStyle w:val="naisc"/>
              <w:jc w:val="both"/>
            </w:pPr>
            <w:r w:rsidRPr="009841AB">
              <w:t>6.</w:t>
            </w:r>
            <w:r w:rsidRPr="009841AB">
              <w:tab/>
              <w:t xml:space="preserve">Pamatnostādņu projekta 4.3.1.2. rīcības </w:t>
            </w:r>
            <w:proofErr w:type="spellStart"/>
            <w:r w:rsidRPr="009841AB">
              <w:t>apakšvirziena</w:t>
            </w:r>
            <w:proofErr w:type="spellEnd"/>
            <w:r w:rsidRPr="009841AB">
              <w:t xml:space="preserve"> “Infrastruktūras koplietošanas veicināšana un atbalsta infrastruktūras pieejamība” sadaļā norādīts, ka, lai nodrošinātu Savienojamības paziņojuma mērķiem atbilstošu elektronisko sakaru pakalpojumu pieejamības veicināšanu visā Latvijas teritorijā, pašvaldībām būtu nepieciešams sniegt atbalstu un iekļaut savos attīstības plānošanas dokumentos nosacījumus platjoslas infrastruktūras attīstībai, lai nodrošinātu Elektronisko sakaru likuma 18.1 panta 1.1 daļas nosacījumu – ja elektronisko sakaru nozares politikas plānošanas dokumentā vai vietējās pašvaldības ilgtspējīgas attīstības stratēģijā un attīstības programmā noteiktos mērķus, uzdevumus un rezultātus var sasniegt, ierīkojot vai izbūvējot ātrdarbīgu elektronisko sakaru tīklu, un tas vienlaikus kalpos vispārējām sabiedrības interesēm, publiska persona atlīdzību par zemes īpašuma lietošanas tiesību aprobežojumu neprasa, īstenošanu. </w:t>
            </w:r>
          </w:p>
          <w:p w14:paraId="05C89B49" w14:textId="77777777" w:rsidR="001D7B9E" w:rsidRPr="009841AB" w:rsidRDefault="001D7B9E" w:rsidP="001D7B9E">
            <w:pPr>
              <w:pStyle w:val="naisc"/>
              <w:jc w:val="both"/>
            </w:pPr>
            <w:r w:rsidRPr="009841AB">
              <w:t xml:space="preserve">Ievērojot minēto, lūdzam precizēt pamatnostādņu projekta 4.3.1.2. rīcības </w:t>
            </w:r>
            <w:proofErr w:type="spellStart"/>
            <w:r w:rsidRPr="009841AB">
              <w:t>apakšvirziena</w:t>
            </w:r>
            <w:proofErr w:type="spellEnd"/>
            <w:r w:rsidRPr="009841AB">
              <w:t xml:space="preserve"> uzdevumu U4.3.1.2.-1, izsakot to šādā redakcijā: “Pašvaldībām iekļaut savos attīstības plānošanas dokumentos platjoslas infrastruktūras attīstību veicinošus nosacījumus, skaidri definējot kritērijus, kad pašvaldība piemēro Elektronisko sakaru likuma 18.1 panta 1.1 daļas nosacījumus”, kā arī noteikt atbildīgo iestādi Vides aizsardzības un reģionālās attīstības ministriju (pašvaldības).</w:t>
            </w:r>
          </w:p>
        </w:tc>
        <w:tc>
          <w:tcPr>
            <w:tcW w:w="2480" w:type="dxa"/>
            <w:tcBorders>
              <w:left w:val="single" w:sz="6" w:space="0" w:color="000000" w:themeColor="text1"/>
              <w:bottom w:val="single" w:sz="4" w:space="0" w:color="auto"/>
            </w:tcBorders>
            <w:shd w:val="clear" w:color="auto" w:fill="auto"/>
          </w:tcPr>
          <w:p w14:paraId="27792A11" w14:textId="77777777" w:rsidR="00427C9C" w:rsidRDefault="00427C9C" w:rsidP="00427C9C">
            <w:pPr>
              <w:pStyle w:val="naisc"/>
              <w:jc w:val="both"/>
              <w:rPr>
                <w:b/>
                <w:bCs/>
              </w:rPr>
            </w:pPr>
            <w:r>
              <w:rPr>
                <w:b/>
                <w:bCs/>
              </w:rPr>
              <w:t>Panākta vienošanās</w:t>
            </w:r>
          </w:p>
          <w:p w14:paraId="3CA18CB1" w14:textId="77777777" w:rsidR="001D7B9E" w:rsidRPr="009841AB" w:rsidRDefault="001D7B9E" w:rsidP="001D7B9E">
            <w:pPr>
              <w:pStyle w:val="naisc"/>
              <w:spacing w:before="0" w:after="0"/>
              <w:jc w:val="both"/>
            </w:pPr>
            <w:r w:rsidRPr="009841AB">
              <w:t xml:space="preserve">Pamatnostādņu projekta 4.3.1.2. rīcības </w:t>
            </w:r>
            <w:proofErr w:type="spellStart"/>
            <w:r w:rsidRPr="009841AB">
              <w:t>apakšvirziens</w:t>
            </w:r>
            <w:proofErr w:type="spellEnd"/>
            <w:r w:rsidRPr="009841AB">
              <w:t xml:space="preserve"> papildināts ar uzdevumu U4.3.1.2.-2. Vēršam uzmanību, ka VARAM nav kompetences, lai izvērtētu pašvaldību iekļauto informāciju to </w:t>
            </w:r>
            <w:proofErr w:type="spellStart"/>
            <w:r w:rsidRPr="009841AB">
              <w:t>attītības</w:t>
            </w:r>
            <w:proofErr w:type="spellEnd"/>
            <w:r w:rsidRPr="009841AB">
              <w:t xml:space="preserve"> plānošanas dokumentos attiecībā uz Elektronisko sakaru likumā noteikto prasību.</w:t>
            </w:r>
          </w:p>
        </w:tc>
        <w:tc>
          <w:tcPr>
            <w:tcW w:w="3497" w:type="dxa"/>
            <w:tcBorders>
              <w:left w:val="single" w:sz="6" w:space="0" w:color="000000" w:themeColor="text1"/>
              <w:bottom w:val="single" w:sz="4" w:space="0" w:color="auto"/>
            </w:tcBorders>
            <w:shd w:val="clear" w:color="auto" w:fill="auto"/>
          </w:tcPr>
          <w:p w14:paraId="1C9F388C" w14:textId="77777777" w:rsidR="001D7B9E" w:rsidRPr="009841AB" w:rsidRDefault="001D7B9E" w:rsidP="001D7B9E">
            <w:pPr>
              <w:pStyle w:val="naisc"/>
              <w:spacing w:before="0" w:after="0"/>
              <w:jc w:val="both"/>
            </w:pPr>
            <w:r w:rsidRPr="009841AB">
              <w:t xml:space="preserve">Lūdzam skatīt </w:t>
            </w:r>
            <w:proofErr w:type="spellStart"/>
            <w:r w:rsidRPr="009841AB">
              <w:t>apakšsadaļu</w:t>
            </w:r>
            <w:proofErr w:type="spellEnd"/>
            <w:r w:rsidRPr="009841AB">
              <w:t xml:space="preserve"> 4.3.1.2.</w:t>
            </w:r>
          </w:p>
        </w:tc>
      </w:tr>
      <w:tr w:rsidR="00534E51" w:rsidRPr="009841AB" w14:paraId="358A92C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3E97E63" w14:textId="77777777" w:rsidR="00534E51" w:rsidRPr="009841AB" w:rsidRDefault="00BC58BA" w:rsidP="00534E51">
            <w:pPr>
              <w:pStyle w:val="naisc"/>
              <w:spacing w:before="0" w:after="0"/>
            </w:pPr>
            <w:r>
              <w:t>211</w:t>
            </w:r>
          </w:p>
        </w:tc>
        <w:tc>
          <w:tcPr>
            <w:tcW w:w="2427" w:type="dxa"/>
            <w:tcBorders>
              <w:left w:val="single" w:sz="6" w:space="0" w:color="000000" w:themeColor="text1"/>
              <w:bottom w:val="single" w:sz="4" w:space="0" w:color="auto"/>
            </w:tcBorders>
            <w:shd w:val="clear" w:color="auto" w:fill="auto"/>
          </w:tcPr>
          <w:p w14:paraId="6FA27E91" w14:textId="77777777" w:rsidR="00534E51" w:rsidRPr="009841AB" w:rsidRDefault="00534E51" w:rsidP="00534E5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47DE8260" w14:textId="77777777" w:rsidR="00534E51" w:rsidRPr="009841AB" w:rsidRDefault="00534E51" w:rsidP="00534E51">
            <w:pPr>
              <w:pStyle w:val="naisc"/>
              <w:spacing w:before="0" w:after="0"/>
              <w:jc w:val="both"/>
            </w:pPr>
            <w:r w:rsidRPr="009841AB">
              <w:t xml:space="preserve">7. Lūdzam precizēt pamatnostādņu projekta 4.3.2. rīcības virziena “IPv6 ieviešanas veicināšana” uzdevumu U4.3.2.-1, izsakot to šādā redakcijā: “Normatīvo aktu interneta protokola (IP) sestās versijas ieviešanai valsts pārvaldē izstrāde”, kā arī </w:t>
            </w:r>
            <w:r w:rsidRPr="009841AB">
              <w:lastRenderedPageBreak/>
              <w:t>precizēt uzdevumu U4.3.2.-2, nosakot, ka interneta protokola (IP) sestās versijas ieviešana tiek īstenota atbilstoši regulējumam, vienlaikus papildinot līdzatbildīgās institūcijas ar valsts akciju sabiedrību “Latvijas Valsts radio un televīzijas centrs”.</w:t>
            </w:r>
          </w:p>
        </w:tc>
        <w:tc>
          <w:tcPr>
            <w:tcW w:w="2480" w:type="dxa"/>
            <w:tcBorders>
              <w:left w:val="single" w:sz="6" w:space="0" w:color="000000" w:themeColor="text1"/>
              <w:bottom w:val="single" w:sz="4" w:space="0" w:color="auto"/>
            </w:tcBorders>
            <w:shd w:val="clear" w:color="auto" w:fill="auto"/>
          </w:tcPr>
          <w:p w14:paraId="3E3C86E6" w14:textId="77777777" w:rsidR="00534E51" w:rsidRPr="009841AB" w:rsidRDefault="00534E51" w:rsidP="00534E51">
            <w:pPr>
              <w:pStyle w:val="naisc"/>
              <w:spacing w:before="0" w:after="0"/>
              <w:jc w:val="both"/>
              <w:rPr>
                <w:b/>
                <w:bCs/>
              </w:rPr>
            </w:pPr>
            <w:r w:rsidRPr="009841AB">
              <w:rPr>
                <w:b/>
                <w:bCs/>
              </w:rPr>
              <w:lastRenderedPageBreak/>
              <w:t>Ņemts vērā</w:t>
            </w:r>
          </w:p>
          <w:p w14:paraId="33100038" w14:textId="77777777" w:rsidR="00534E51" w:rsidRPr="009841AB" w:rsidRDefault="00534E51" w:rsidP="00534E51">
            <w:pPr>
              <w:pStyle w:val="naisc"/>
              <w:spacing w:before="0" w:after="0"/>
              <w:jc w:val="both"/>
            </w:pPr>
          </w:p>
          <w:p w14:paraId="07E535F2" w14:textId="77777777" w:rsidR="00534E51" w:rsidRPr="009841AB" w:rsidRDefault="00534E51" w:rsidP="00534E51">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7F5330F8" w14:textId="77777777" w:rsidR="00534E51" w:rsidRPr="009841AB" w:rsidRDefault="00534E51" w:rsidP="00534E51">
            <w:pPr>
              <w:pStyle w:val="naisc"/>
              <w:spacing w:before="0" w:after="0"/>
              <w:jc w:val="both"/>
            </w:pPr>
            <w:r w:rsidRPr="009841AB">
              <w:t xml:space="preserve">Lūdzam skatīt </w:t>
            </w:r>
            <w:proofErr w:type="spellStart"/>
            <w:r w:rsidRPr="009841AB">
              <w:t>apakšsadaļu</w:t>
            </w:r>
            <w:proofErr w:type="spellEnd"/>
            <w:r w:rsidRPr="009841AB">
              <w:t xml:space="preserve"> 4.3.2</w:t>
            </w:r>
          </w:p>
        </w:tc>
      </w:tr>
      <w:tr w:rsidR="00534E51" w:rsidRPr="009841AB" w14:paraId="2B97D77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02EB44A" w14:textId="77777777" w:rsidR="00534E51" w:rsidRPr="009841AB" w:rsidRDefault="00BC58BA" w:rsidP="00534E51">
            <w:pPr>
              <w:pStyle w:val="naisc"/>
              <w:spacing w:before="0" w:after="0"/>
            </w:pPr>
            <w:r>
              <w:t>212</w:t>
            </w:r>
          </w:p>
        </w:tc>
        <w:tc>
          <w:tcPr>
            <w:tcW w:w="2427" w:type="dxa"/>
            <w:tcBorders>
              <w:left w:val="single" w:sz="6" w:space="0" w:color="000000" w:themeColor="text1"/>
              <w:bottom w:val="single" w:sz="4" w:space="0" w:color="auto"/>
            </w:tcBorders>
            <w:shd w:val="clear" w:color="auto" w:fill="auto"/>
          </w:tcPr>
          <w:p w14:paraId="3AC7515A" w14:textId="77777777" w:rsidR="00534E51" w:rsidRPr="009841AB" w:rsidRDefault="00534E51" w:rsidP="00534E51">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0B88B4B4" w14:textId="77777777" w:rsidR="00534E51" w:rsidRPr="009841AB" w:rsidRDefault="00534E51" w:rsidP="00534E51">
            <w:pPr>
              <w:pStyle w:val="naisc"/>
              <w:jc w:val="both"/>
            </w:pPr>
            <w:r w:rsidRPr="009841AB">
              <w:t xml:space="preserve">8. Informējam, ka 2021.-2027.gada plānošanas periodā ir iezīmēts finansējums tikai VIA </w:t>
            </w:r>
            <w:proofErr w:type="spellStart"/>
            <w:r w:rsidRPr="009841AB">
              <w:t>Baltica</w:t>
            </w:r>
            <w:proofErr w:type="spellEnd"/>
            <w:r w:rsidRPr="009841AB">
              <w:t xml:space="preserve"> un Rail </w:t>
            </w:r>
            <w:proofErr w:type="spellStart"/>
            <w:r w:rsidRPr="009841AB">
              <w:t>Baltica</w:t>
            </w:r>
            <w:proofErr w:type="spellEnd"/>
            <w:r w:rsidRPr="009841AB">
              <w:t xml:space="preserve"> maģistrāļu aprīkošanai ar 5G atbalstošo infrastruktūru. Ņemot vērā minēto, lūdzam izteikt pamatnostādņu projekta 4.3.attīstības virziena „Telekomunikāciju pakalpojumu pieejamība” rezultatīvo rādītāju RR 4.3.-1-2 un pamatnostādņu projekta 1.pielikumā rezultatīvo rādītāju 4.3.-1-2 šādā redakcijā: “Gar VIA </w:t>
            </w:r>
            <w:proofErr w:type="spellStart"/>
            <w:r w:rsidRPr="009841AB">
              <w:t>Baltica</w:t>
            </w:r>
            <w:proofErr w:type="spellEnd"/>
            <w:r w:rsidRPr="009841AB">
              <w:t xml:space="preserve"> un Rail </w:t>
            </w:r>
            <w:proofErr w:type="spellStart"/>
            <w:r w:rsidRPr="009841AB">
              <w:t>Baltica</w:t>
            </w:r>
            <w:proofErr w:type="spellEnd"/>
            <w:r w:rsidRPr="009841AB">
              <w:t xml:space="preserve"> transporta koridoriem nodrošināts nepārtraukts 5G pārklājums.”</w:t>
            </w:r>
          </w:p>
        </w:tc>
        <w:tc>
          <w:tcPr>
            <w:tcW w:w="2480" w:type="dxa"/>
            <w:tcBorders>
              <w:left w:val="single" w:sz="6" w:space="0" w:color="000000" w:themeColor="text1"/>
              <w:bottom w:val="single" w:sz="4" w:space="0" w:color="auto"/>
            </w:tcBorders>
            <w:shd w:val="clear" w:color="auto" w:fill="auto"/>
          </w:tcPr>
          <w:p w14:paraId="16890A0D" w14:textId="77777777" w:rsidR="00534E51" w:rsidRPr="009841AB" w:rsidRDefault="00534E51" w:rsidP="00534E51">
            <w:pPr>
              <w:pStyle w:val="naisc"/>
              <w:spacing w:before="0" w:after="0"/>
              <w:jc w:val="both"/>
              <w:rPr>
                <w:b/>
                <w:bCs/>
              </w:rPr>
            </w:pPr>
            <w:r w:rsidRPr="009841AB">
              <w:rPr>
                <w:b/>
                <w:bCs/>
              </w:rPr>
              <w:t>Ņemts vērā</w:t>
            </w:r>
          </w:p>
          <w:p w14:paraId="22535217" w14:textId="77777777" w:rsidR="00534E51" w:rsidRPr="009841AB" w:rsidRDefault="00534E51" w:rsidP="00534E51">
            <w:pPr>
              <w:pStyle w:val="naisc"/>
              <w:spacing w:before="0" w:after="0"/>
              <w:jc w:val="both"/>
            </w:pPr>
          </w:p>
          <w:p w14:paraId="71810D20" w14:textId="77777777" w:rsidR="00534E51" w:rsidRPr="009841AB" w:rsidRDefault="00534E51" w:rsidP="00534E51">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7EE17D7B" w14:textId="77777777" w:rsidR="00534E51" w:rsidRPr="009841AB" w:rsidRDefault="00534E51" w:rsidP="00534E51">
            <w:pPr>
              <w:pStyle w:val="naisc"/>
              <w:spacing w:before="0" w:after="0"/>
              <w:jc w:val="both"/>
            </w:pPr>
            <w:r w:rsidRPr="009841AB">
              <w:t xml:space="preserve">Lūdzam skatīt </w:t>
            </w:r>
            <w:proofErr w:type="spellStart"/>
            <w:r w:rsidRPr="009841AB">
              <w:t>apakšsadaļu</w:t>
            </w:r>
            <w:proofErr w:type="spellEnd"/>
            <w:r w:rsidRPr="009841AB">
              <w:t xml:space="preserve"> 4.3.</w:t>
            </w:r>
          </w:p>
        </w:tc>
      </w:tr>
      <w:tr w:rsidR="004D1856" w:rsidRPr="009841AB" w14:paraId="3A7E5C5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B30B1FC" w14:textId="77777777" w:rsidR="004D1856" w:rsidRPr="009841AB" w:rsidRDefault="007D5C60" w:rsidP="004D1856">
            <w:pPr>
              <w:pStyle w:val="naisc"/>
              <w:spacing w:before="0" w:after="0"/>
            </w:pPr>
            <w:r>
              <w:t>213</w:t>
            </w:r>
          </w:p>
        </w:tc>
        <w:tc>
          <w:tcPr>
            <w:tcW w:w="2427" w:type="dxa"/>
            <w:tcBorders>
              <w:left w:val="single" w:sz="6" w:space="0" w:color="000000" w:themeColor="text1"/>
              <w:bottom w:val="single" w:sz="4" w:space="0" w:color="auto"/>
            </w:tcBorders>
            <w:shd w:val="clear" w:color="auto" w:fill="auto"/>
          </w:tcPr>
          <w:p w14:paraId="162909A2" w14:textId="77777777" w:rsidR="004D1856" w:rsidRPr="009841AB" w:rsidRDefault="004D1856" w:rsidP="004D1856">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3F6353B5" w14:textId="77777777" w:rsidR="004D1856" w:rsidRPr="009841AB" w:rsidRDefault="004D1856" w:rsidP="004D1856">
            <w:pPr>
              <w:pStyle w:val="naisc"/>
              <w:jc w:val="both"/>
            </w:pPr>
            <w:r w:rsidRPr="009841AB">
              <w:t>9. Lūdzam precizēt pamatnostādņu projekta 4.3.attīstības virzienā „Telekomunikāciju pakalpojumu pieejamība” un pamatnostādņu projekta 3.pielikumā indikatīvo finansējuma apmēru atbilstoši informācijai par TAP2027 plānotajiem finansējuma apmēriem (skatīt pielikumu).</w:t>
            </w:r>
          </w:p>
        </w:tc>
        <w:tc>
          <w:tcPr>
            <w:tcW w:w="2480" w:type="dxa"/>
            <w:tcBorders>
              <w:left w:val="single" w:sz="6" w:space="0" w:color="000000" w:themeColor="text1"/>
              <w:bottom w:val="single" w:sz="4" w:space="0" w:color="auto"/>
            </w:tcBorders>
            <w:shd w:val="clear" w:color="auto" w:fill="auto"/>
          </w:tcPr>
          <w:p w14:paraId="608F2802" w14:textId="77777777" w:rsidR="004D1856" w:rsidRPr="009841AB" w:rsidRDefault="004D1856" w:rsidP="004D1856">
            <w:pPr>
              <w:pStyle w:val="naisc"/>
              <w:spacing w:before="0" w:after="0"/>
              <w:jc w:val="both"/>
              <w:rPr>
                <w:b/>
                <w:bCs/>
              </w:rPr>
            </w:pPr>
            <w:r w:rsidRPr="009841AB">
              <w:rPr>
                <w:b/>
                <w:bCs/>
              </w:rPr>
              <w:t>Ņemts vērā</w:t>
            </w:r>
          </w:p>
          <w:p w14:paraId="6EFECC16" w14:textId="77777777" w:rsidR="004D1856" w:rsidRPr="009841AB" w:rsidRDefault="004D1856" w:rsidP="004D1856">
            <w:pPr>
              <w:pStyle w:val="naisc"/>
              <w:spacing w:before="0" w:after="0"/>
              <w:jc w:val="both"/>
            </w:pPr>
          </w:p>
          <w:p w14:paraId="3FE84F65" w14:textId="77777777" w:rsidR="004D1856" w:rsidRPr="009841AB" w:rsidRDefault="004D1856" w:rsidP="004D1856">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4E3AA2A4" w14:textId="77777777" w:rsidR="004D1856" w:rsidRPr="009841AB" w:rsidRDefault="004D1856" w:rsidP="004D1856">
            <w:pPr>
              <w:pStyle w:val="naisc"/>
              <w:spacing w:before="0" w:after="0"/>
              <w:jc w:val="left"/>
            </w:pPr>
            <w:r w:rsidRPr="009841AB">
              <w:t xml:space="preserve">Lūdzam skatīt </w:t>
            </w:r>
            <w:proofErr w:type="spellStart"/>
            <w:r w:rsidRPr="009841AB">
              <w:t>apakšsadaļu</w:t>
            </w:r>
            <w:proofErr w:type="spellEnd"/>
            <w:r w:rsidRPr="009841AB">
              <w:t xml:space="preserve"> 4.3.</w:t>
            </w:r>
          </w:p>
        </w:tc>
      </w:tr>
      <w:tr w:rsidR="00945F45" w:rsidRPr="009841AB" w14:paraId="1A29686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CA8A177" w14:textId="77777777" w:rsidR="00945F45" w:rsidRPr="009841AB" w:rsidRDefault="007D5C60" w:rsidP="00945F45">
            <w:pPr>
              <w:pStyle w:val="naisc"/>
              <w:spacing w:before="0" w:after="0"/>
            </w:pPr>
            <w:r>
              <w:t>214</w:t>
            </w:r>
          </w:p>
        </w:tc>
        <w:tc>
          <w:tcPr>
            <w:tcW w:w="2427" w:type="dxa"/>
            <w:tcBorders>
              <w:left w:val="single" w:sz="6" w:space="0" w:color="000000" w:themeColor="text1"/>
              <w:bottom w:val="single" w:sz="4" w:space="0" w:color="auto"/>
            </w:tcBorders>
            <w:shd w:val="clear" w:color="auto" w:fill="auto"/>
          </w:tcPr>
          <w:p w14:paraId="0C470662" w14:textId="77777777" w:rsidR="00945F45" w:rsidRPr="009841AB" w:rsidRDefault="00945F45" w:rsidP="00945F45">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1BCCA144" w14:textId="77777777" w:rsidR="00945F45" w:rsidRPr="009841AB" w:rsidRDefault="00945F45" w:rsidP="00945F45">
            <w:pPr>
              <w:pStyle w:val="naisc"/>
              <w:jc w:val="both"/>
            </w:pPr>
            <w:r w:rsidRPr="009841AB">
              <w:t xml:space="preserve">10. Lūdzam precizēt pamatnostādņu projekta 4.3.1.1. rīcības </w:t>
            </w:r>
            <w:proofErr w:type="spellStart"/>
            <w:r w:rsidRPr="009841AB">
              <w:t>apakšvirziena</w:t>
            </w:r>
            <w:proofErr w:type="spellEnd"/>
            <w:r w:rsidRPr="009841AB">
              <w:t xml:space="preserve"> “Vidējās  un pēdējās jūdzes elektronisko sakaru tīklu infrastruktūras attīstīšana” sadaļas “Rīcības nolūks” otro rīcības nolūku, aizstājot vārdus “visām sauszemes transporta maģistrālēm” ar vārdiem “ gar VIA </w:t>
            </w:r>
            <w:proofErr w:type="spellStart"/>
            <w:r w:rsidRPr="009841AB">
              <w:t>Baltica</w:t>
            </w:r>
            <w:proofErr w:type="spellEnd"/>
            <w:r w:rsidRPr="009841AB">
              <w:t xml:space="preserve"> un Rail </w:t>
            </w:r>
            <w:proofErr w:type="spellStart"/>
            <w:r w:rsidRPr="009841AB">
              <w:t>Baltica</w:t>
            </w:r>
            <w:proofErr w:type="spellEnd"/>
            <w:r w:rsidRPr="009841AB">
              <w:t xml:space="preserve"> transporta koridoriem”.</w:t>
            </w:r>
          </w:p>
        </w:tc>
        <w:tc>
          <w:tcPr>
            <w:tcW w:w="2480" w:type="dxa"/>
            <w:tcBorders>
              <w:left w:val="single" w:sz="6" w:space="0" w:color="000000" w:themeColor="text1"/>
              <w:bottom w:val="single" w:sz="4" w:space="0" w:color="auto"/>
            </w:tcBorders>
            <w:shd w:val="clear" w:color="auto" w:fill="auto"/>
          </w:tcPr>
          <w:p w14:paraId="14536202" w14:textId="77777777" w:rsidR="00945F45" w:rsidRPr="009841AB" w:rsidRDefault="00945F45" w:rsidP="00945F45">
            <w:pPr>
              <w:pStyle w:val="naisc"/>
              <w:spacing w:before="0" w:after="0"/>
              <w:jc w:val="both"/>
              <w:rPr>
                <w:b/>
                <w:bCs/>
              </w:rPr>
            </w:pPr>
            <w:r w:rsidRPr="009841AB">
              <w:rPr>
                <w:b/>
                <w:bCs/>
              </w:rPr>
              <w:t>Ņemts vērā</w:t>
            </w:r>
          </w:p>
          <w:p w14:paraId="5DE391F5" w14:textId="77777777" w:rsidR="00945F45" w:rsidRPr="009841AB" w:rsidRDefault="00945F45" w:rsidP="00945F45">
            <w:pPr>
              <w:pStyle w:val="naisc"/>
              <w:spacing w:before="0" w:after="0"/>
              <w:jc w:val="both"/>
            </w:pPr>
          </w:p>
          <w:p w14:paraId="7E635CC9" w14:textId="77777777" w:rsidR="00945F45" w:rsidRPr="009841AB" w:rsidRDefault="00945F45" w:rsidP="00945F45">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44EB83BB" w14:textId="77777777" w:rsidR="00945F45" w:rsidRPr="009841AB" w:rsidRDefault="00945F45" w:rsidP="00945F45">
            <w:pPr>
              <w:pStyle w:val="naisc"/>
              <w:spacing w:before="0" w:after="0"/>
              <w:jc w:val="left"/>
            </w:pPr>
            <w:r w:rsidRPr="009841AB">
              <w:t xml:space="preserve">Lūdzam skatīt </w:t>
            </w:r>
            <w:proofErr w:type="spellStart"/>
            <w:r w:rsidRPr="009841AB">
              <w:t>apakšsadaļu</w:t>
            </w:r>
            <w:proofErr w:type="spellEnd"/>
            <w:r w:rsidRPr="009841AB">
              <w:t xml:space="preserve"> 4.3.1.1.</w:t>
            </w:r>
          </w:p>
        </w:tc>
      </w:tr>
      <w:tr w:rsidR="00945F45" w:rsidRPr="009841AB" w14:paraId="5AD7563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196746F" w14:textId="77777777" w:rsidR="00945F45" w:rsidRPr="009841AB" w:rsidRDefault="007D5C60" w:rsidP="00945F45">
            <w:pPr>
              <w:pStyle w:val="naisc"/>
              <w:spacing w:before="0" w:after="0"/>
            </w:pPr>
            <w:r>
              <w:t>215</w:t>
            </w:r>
          </w:p>
        </w:tc>
        <w:tc>
          <w:tcPr>
            <w:tcW w:w="2427" w:type="dxa"/>
            <w:tcBorders>
              <w:left w:val="single" w:sz="6" w:space="0" w:color="000000" w:themeColor="text1"/>
              <w:bottom w:val="single" w:sz="4" w:space="0" w:color="auto"/>
            </w:tcBorders>
            <w:shd w:val="clear" w:color="auto" w:fill="auto"/>
          </w:tcPr>
          <w:p w14:paraId="43FD9154" w14:textId="77777777" w:rsidR="00945F45" w:rsidRPr="009841AB" w:rsidRDefault="00945F45" w:rsidP="00945F45">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71BD1689" w14:textId="77777777" w:rsidR="00945F45" w:rsidRPr="009841AB" w:rsidRDefault="00945F45" w:rsidP="00945F45">
            <w:pPr>
              <w:pStyle w:val="naisc"/>
              <w:jc w:val="both"/>
            </w:pPr>
            <w:r w:rsidRPr="009841AB">
              <w:t xml:space="preserve">11. Lūdzam pamatnostādņu projekta 4.3.1.1. rīcības </w:t>
            </w:r>
            <w:proofErr w:type="spellStart"/>
            <w:r w:rsidRPr="009841AB">
              <w:t>apakšvirziena</w:t>
            </w:r>
            <w:proofErr w:type="spellEnd"/>
            <w:r w:rsidRPr="009841AB">
              <w:t xml:space="preserve"> “Vidējās un pēdējās jūdzes  elektronisko sakaru tīklu infrastruktūras attīstīšana” sadaļā “Uzdevumi” un pamatnostādņu projekta 2.pielikumā: </w:t>
            </w:r>
          </w:p>
          <w:p w14:paraId="7E16697F" w14:textId="77777777" w:rsidR="00945F45" w:rsidRPr="009841AB" w:rsidRDefault="00945F45" w:rsidP="00945F45">
            <w:pPr>
              <w:pStyle w:val="naisc"/>
              <w:jc w:val="both"/>
            </w:pPr>
            <w:r w:rsidRPr="009841AB">
              <w:lastRenderedPageBreak/>
              <w:t>•</w:t>
            </w:r>
            <w:r w:rsidRPr="009841AB">
              <w:tab/>
              <w:t xml:space="preserve">izteikt uzdevumu U4.3.1.1.-1 šādā redakcijā: “Nodrošināts 5G mobilo sakaru pārklājums gar VIA </w:t>
            </w:r>
            <w:proofErr w:type="spellStart"/>
            <w:r w:rsidRPr="009841AB">
              <w:t>Baltica</w:t>
            </w:r>
            <w:proofErr w:type="spellEnd"/>
            <w:r w:rsidRPr="009841AB">
              <w:t xml:space="preserve"> transporta koridoru” un kā līdzatbildīgo uzdevuma izpildē noteikt VAS “Latvijas Valsts radio un televīzijas centrs”;</w:t>
            </w:r>
          </w:p>
          <w:p w14:paraId="3CDA2459" w14:textId="77777777" w:rsidR="00945F45" w:rsidRPr="009841AB" w:rsidRDefault="00945F45" w:rsidP="00945F45">
            <w:pPr>
              <w:pStyle w:val="naisc"/>
              <w:jc w:val="both"/>
            </w:pPr>
            <w:r w:rsidRPr="009841AB">
              <w:t>•</w:t>
            </w:r>
            <w:r w:rsidRPr="009841AB">
              <w:tab/>
              <w:t xml:space="preserve">izteikt uzdevumu U4.3.1.1.-2 šādā redakcijā: “Nodrošināta pasīvā infrastruktūra 5G mobilo sakaru tīkla izvēršanai Rail </w:t>
            </w:r>
            <w:proofErr w:type="spellStart"/>
            <w:r w:rsidRPr="009841AB">
              <w:t>Baltica</w:t>
            </w:r>
            <w:proofErr w:type="spellEnd"/>
            <w:r w:rsidRPr="009841AB">
              <w:t xml:space="preserve"> dzelzceļa līnijas trasē” un kā līdzatbildīgos uzdevuma izpildē noteikt VAS “Latvijas Valsts radio un televīzijas centrs” un AS “RB Rail”;</w:t>
            </w:r>
          </w:p>
          <w:p w14:paraId="17B143E0" w14:textId="77777777" w:rsidR="00945F45" w:rsidRPr="009841AB" w:rsidRDefault="00945F45" w:rsidP="00945F45">
            <w:pPr>
              <w:pStyle w:val="naisc"/>
              <w:spacing w:before="0" w:after="0"/>
              <w:jc w:val="both"/>
            </w:pPr>
            <w:r w:rsidRPr="009841AB">
              <w:t>•</w:t>
            </w:r>
            <w:r w:rsidRPr="009841AB">
              <w:tab/>
              <w:t>uzdevuma U4.3.1.1.-5 izpildē kā atbildīgo uzdevuma izpildē noteikt VAS “Latvijas dzelzceļš”, kā līdzatbildīgo – Satiksmes ministriju.</w:t>
            </w:r>
          </w:p>
        </w:tc>
        <w:tc>
          <w:tcPr>
            <w:tcW w:w="2480" w:type="dxa"/>
            <w:tcBorders>
              <w:left w:val="single" w:sz="6" w:space="0" w:color="000000" w:themeColor="text1"/>
              <w:bottom w:val="single" w:sz="4" w:space="0" w:color="auto"/>
            </w:tcBorders>
            <w:shd w:val="clear" w:color="auto" w:fill="auto"/>
          </w:tcPr>
          <w:p w14:paraId="06859E2D" w14:textId="77777777" w:rsidR="00945F45" w:rsidRPr="009841AB" w:rsidRDefault="00945F45" w:rsidP="00945F45">
            <w:pPr>
              <w:pStyle w:val="naisc"/>
              <w:spacing w:before="0" w:after="0"/>
              <w:jc w:val="both"/>
              <w:rPr>
                <w:b/>
                <w:bCs/>
              </w:rPr>
            </w:pPr>
            <w:r w:rsidRPr="009841AB">
              <w:rPr>
                <w:b/>
                <w:bCs/>
              </w:rPr>
              <w:lastRenderedPageBreak/>
              <w:t>Ņemts vērā</w:t>
            </w:r>
          </w:p>
          <w:p w14:paraId="4F11E7DC" w14:textId="77777777" w:rsidR="00945F45" w:rsidRPr="009841AB" w:rsidRDefault="00945F45" w:rsidP="00945F45">
            <w:pPr>
              <w:pStyle w:val="naisc"/>
              <w:spacing w:before="0" w:after="0"/>
              <w:jc w:val="both"/>
            </w:pPr>
          </w:p>
          <w:p w14:paraId="7CF8AFA5" w14:textId="77777777" w:rsidR="00945F45" w:rsidRPr="009841AB" w:rsidRDefault="00945F45" w:rsidP="00945F45">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6B774D24" w14:textId="77777777" w:rsidR="00945F45" w:rsidRPr="009841AB" w:rsidRDefault="00945F45" w:rsidP="00945F45">
            <w:pPr>
              <w:pStyle w:val="naisc"/>
              <w:spacing w:before="0" w:after="0"/>
              <w:jc w:val="both"/>
            </w:pPr>
            <w:r w:rsidRPr="009841AB">
              <w:t xml:space="preserve">Lūdzam skatīt </w:t>
            </w:r>
            <w:proofErr w:type="spellStart"/>
            <w:r w:rsidRPr="009841AB">
              <w:t>apakšsadaļu</w:t>
            </w:r>
            <w:proofErr w:type="spellEnd"/>
            <w:r w:rsidRPr="009841AB">
              <w:t xml:space="preserve"> 4.3.1.1.</w:t>
            </w:r>
          </w:p>
        </w:tc>
      </w:tr>
      <w:tr w:rsidR="001D7B9E" w:rsidRPr="009841AB" w14:paraId="3E82EF8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2124FE0" w14:textId="77777777" w:rsidR="001D7B9E" w:rsidRPr="009841AB" w:rsidRDefault="001D7B9E" w:rsidP="001D7B9E">
            <w:pPr>
              <w:pStyle w:val="naisc"/>
              <w:spacing w:before="0" w:after="0"/>
            </w:pPr>
          </w:p>
        </w:tc>
        <w:tc>
          <w:tcPr>
            <w:tcW w:w="2427" w:type="dxa"/>
            <w:tcBorders>
              <w:left w:val="single" w:sz="6" w:space="0" w:color="000000" w:themeColor="text1"/>
              <w:bottom w:val="single" w:sz="4" w:space="0" w:color="auto"/>
            </w:tcBorders>
            <w:shd w:val="clear" w:color="auto" w:fill="auto"/>
          </w:tcPr>
          <w:p w14:paraId="638EEF15" w14:textId="77777777" w:rsidR="001D7B9E" w:rsidRPr="009841AB" w:rsidRDefault="001D7B9E" w:rsidP="001D7B9E">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7D76E6FF" w14:textId="77777777" w:rsidR="001D7B9E" w:rsidRPr="009841AB" w:rsidRDefault="001D7B9E" w:rsidP="001D7B9E">
            <w:pPr>
              <w:tabs>
                <w:tab w:val="left" w:pos="720"/>
              </w:tabs>
              <w:contextualSpacing/>
              <w:jc w:val="both"/>
              <w:rPr>
                <w:b/>
                <w:bCs/>
                <w:lang w:eastAsia="en-US"/>
              </w:rPr>
            </w:pPr>
            <w:r w:rsidRPr="009841AB">
              <w:rPr>
                <w:b/>
                <w:bCs/>
                <w:lang w:eastAsia="en-US"/>
              </w:rPr>
              <w:t>Priekšlikumi:</w:t>
            </w:r>
          </w:p>
        </w:tc>
        <w:tc>
          <w:tcPr>
            <w:tcW w:w="2480" w:type="dxa"/>
            <w:tcBorders>
              <w:left w:val="single" w:sz="6" w:space="0" w:color="000000" w:themeColor="text1"/>
              <w:bottom w:val="single" w:sz="4" w:space="0" w:color="auto"/>
            </w:tcBorders>
            <w:shd w:val="clear" w:color="auto" w:fill="auto"/>
          </w:tcPr>
          <w:p w14:paraId="5588B3D4" w14:textId="77777777" w:rsidR="001D7B9E" w:rsidRPr="009841AB" w:rsidRDefault="001D7B9E" w:rsidP="001D7B9E">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7867BB22" w14:textId="77777777" w:rsidR="001D7B9E" w:rsidRPr="009841AB" w:rsidRDefault="001D7B9E" w:rsidP="001D7B9E">
            <w:pPr>
              <w:pStyle w:val="naisc"/>
              <w:spacing w:before="0" w:after="0"/>
              <w:jc w:val="both"/>
            </w:pPr>
          </w:p>
        </w:tc>
      </w:tr>
      <w:tr w:rsidR="00DE1732" w:rsidRPr="009841AB" w14:paraId="28D9493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02AEDEC" w14:textId="77777777" w:rsidR="00DE1732" w:rsidRPr="009841AB" w:rsidRDefault="007D5C60" w:rsidP="00DE1732">
            <w:pPr>
              <w:pStyle w:val="naisc"/>
              <w:spacing w:before="0" w:after="0"/>
            </w:pPr>
            <w:r>
              <w:t>216</w:t>
            </w:r>
          </w:p>
        </w:tc>
        <w:tc>
          <w:tcPr>
            <w:tcW w:w="2427" w:type="dxa"/>
            <w:tcBorders>
              <w:left w:val="single" w:sz="6" w:space="0" w:color="000000" w:themeColor="text1"/>
              <w:bottom w:val="single" w:sz="4" w:space="0" w:color="auto"/>
            </w:tcBorders>
            <w:shd w:val="clear" w:color="auto" w:fill="auto"/>
          </w:tcPr>
          <w:p w14:paraId="49F64A34" w14:textId="77777777" w:rsidR="00DE1732" w:rsidRPr="009841AB" w:rsidRDefault="00DE1732" w:rsidP="00DE1732">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08899412" w14:textId="77777777" w:rsidR="00DE1732" w:rsidRPr="009841AB" w:rsidRDefault="00DE1732" w:rsidP="00DE1732">
            <w:pPr>
              <w:pStyle w:val="naisc"/>
              <w:spacing w:before="0" w:after="0"/>
              <w:jc w:val="both"/>
            </w:pPr>
            <w:r w:rsidRPr="009841AB">
              <w:t>1.</w:t>
            </w:r>
            <w:r w:rsidRPr="009841AB">
              <w:tab/>
              <w:t xml:space="preserve">Lūdzam precizēt pamatnostādņu projekta 4.3.1.1. rīcības </w:t>
            </w:r>
            <w:proofErr w:type="spellStart"/>
            <w:r w:rsidRPr="009841AB">
              <w:t>apakšvirziena</w:t>
            </w:r>
            <w:proofErr w:type="spellEnd"/>
            <w:r w:rsidRPr="009841AB">
              <w:t xml:space="preserve"> “Vidējās un pēdējās jūdzes elektronisko sakaru tīklu infrastruktūras attīstīšana” sadaļas “Rīcības nolūks” otro rīcības nolūku, svītrojot vārdus “un visām sauszemes transporta maģistrālēm”.</w:t>
            </w:r>
          </w:p>
        </w:tc>
        <w:tc>
          <w:tcPr>
            <w:tcW w:w="2480" w:type="dxa"/>
            <w:tcBorders>
              <w:left w:val="single" w:sz="6" w:space="0" w:color="000000" w:themeColor="text1"/>
              <w:bottom w:val="single" w:sz="4" w:space="0" w:color="auto"/>
            </w:tcBorders>
            <w:shd w:val="clear" w:color="auto" w:fill="auto"/>
          </w:tcPr>
          <w:p w14:paraId="21022E96" w14:textId="77777777" w:rsidR="00DE1732" w:rsidRPr="009841AB" w:rsidRDefault="00DE1732" w:rsidP="00DE1732">
            <w:pPr>
              <w:pStyle w:val="naisc"/>
              <w:spacing w:before="0" w:after="0"/>
              <w:jc w:val="both"/>
              <w:rPr>
                <w:b/>
                <w:bCs/>
              </w:rPr>
            </w:pPr>
            <w:r w:rsidRPr="009841AB">
              <w:rPr>
                <w:b/>
                <w:bCs/>
              </w:rPr>
              <w:t>Ņemts vērā</w:t>
            </w:r>
          </w:p>
          <w:p w14:paraId="6BC2053C" w14:textId="77777777" w:rsidR="00DE1732" w:rsidRPr="009841AB" w:rsidRDefault="00DE1732" w:rsidP="00DE1732">
            <w:pPr>
              <w:pStyle w:val="naisc"/>
              <w:spacing w:before="0" w:after="0"/>
              <w:jc w:val="both"/>
            </w:pPr>
          </w:p>
          <w:p w14:paraId="0D4FB959" w14:textId="77777777" w:rsidR="00DE1732" w:rsidRPr="009841AB" w:rsidRDefault="00DE1732" w:rsidP="00DE1732">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46864A32" w14:textId="77777777" w:rsidR="00DE1732" w:rsidRPr="009841AB" w:rsidRDefault="00DE1732" w:rsidP="00DE1732">
            <w:pPr>
              <w:pStyle w:val="naisc"/>
              <w:spacing w:before="0" w:after="0"/>
              <w:jc w:val="both"/>
            </w:pPr>
            <w:r w:rsidRPr="009841AB">
              <w:t xml:space="preserve">Lūdzam skatīt </w:t>
            </w:r>
            <w:proofErr w:type="spellStart"/>
            <w:r w:rsidRPr="009841AB">
              <w:t>apakšsadaļu</w:t>
            </w:r>
            <w:proofErr w:type="spellEnd"/>
            <w:r w:rsidRPr="009841AB">
              <w:t xml:space="preserve"> 4.3.1.1.</w:t>
            </w:r>
          </w:p>
        </w:tc>
      </w:tr>
      <w:tr w:rsidR="00DE1732" w:rsidRPr="009841AB" w14:paraId="70E2B9E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2DA8FC8" w14:textId="77777777" w:rsidR="00DE1732" w:rsidRPr="009841AB" w:rsidRDefault="007D5C60" w:rsidP="00DE1732">
            <w:pPr>
              <w:pStyle w:val="naisc"/>
              <w:spacing w:before="0" w:after="0"/>
            </w:pPr>
            <w:r>
              <w:t>217</w:t>
            </w:r>
          </w:p>
        </w:tc>
        <w:tc>
          <w:tcPr>
            <w:tcW w:w="2427" w:type="dxa"/>
            <w:tcBorders>
              <w:left w:val="single" w:sz="6" w:space="0" w:color="000000" w:themeColor="text1"/>
              <w:bottom w:val="single" w:sz="4" w:space="0" w:color="auto"/>
            </w:tcBorders>
            <w:shd w:val="clear" w:color="auto" w:fill="auto"/>
          </w:tcPr>
          <w:p w14:paraId="05CACC78" w14:textId="77777777" w:rsidR="00DE1732" w:rsidRPr="009841AB" w:rsidRDefault="00DE1732" w:rsidP="00DE1732">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5012BEC8" w14:textId="77777777" w:rsidR="00DE1732" w:rsidRPr="009841AB" w:rsidRDefault="00DE1732" w:rsidP="00DE1732">
            <w:pPr>
              <w:pStyle w:val="naisc"/>
              <w:spacing w:before="0" w:after="0"/>
              <w:jc w:val="both"/>
            </w:pPr>
            <w:r w:rsidRPr="009841AB">
              <w:t>2.</w:t>
            </w:r>
            <w:r w:rsidRPr="009841AB">
              <w:tab/>
              <w:t xml:space="preserve">Lūdzam svītrot pamatnostādņu projekta 4.3.1.1. rīcības </w:t>
            </w:r>
            <w:proofErr w:type="spellStart"/>
            <w:r w:rsidRPr="009841AB">
              <w:t>apakšvirziena</w:t>
            </w:r>
            <w:proofErr w:type="spellEnd"/>
            <w:r w:rsidRPr="009841AB">
              <w:t xml:space="preserve"> “Vidējās un pēdējās jūdzes elektronisko sakaru tīklu infrastruktūras attīstīšana” sadaļas “Rīcības nolūks” ceturto rīcības nolūku “Izstrādāts tiesiskais regulējums attālināti vadāmu transportlīdzekļu ekspluatācijai uz koplietošanas ceļiem un autonomi vadāmu transportlīdzekļu testēšanai.” Šāds nolūks ir pretrunā Vīnes 1968.gada 8.novembra Konvencijas par ceļu satiksmi 8.pantā pirmajā daļā noteiktajam, ka katru braucoša transportlīdzekļa vai transportlīdzekļu sastāvu vada vadītājs.</w:t>
            </w:r>
          </w:p>
        </w:tc>
        <w:tc>
          <w:tcPr>
            <w:tcW w:w="2480" w:type="dxa"/>
            <w:tcBorders>
              <w:left w:val="single" w:sz="6" w:space="0" w:color="000000" w:themeColor="text1"/>
              <w:bottom w:val="single" w:sz="4" w:space="0" w:color="auto"/>
            </w:tcBorders>
            <w:shd w:val="clear" w:color="auto" w:fill="auto"/>
          </w:tcPr>
          <w:p w14:paraId="7A2DD86B" w14:textId="77777777" w:rsidR="00DE1732" w:rsidRPr="009841AB" w:rsidRDefault="00DE1732" w:rsidP="00DE1732">
            <w:pPr>
              <w:pStyle w:val="naisc"/>
              <w:spacing w:before="0" w:after="0"/>
              <w:jc w:val="both"/>
              <w:rPr>
                <w:b/>
                <w:bCs/>
              </w:rPr>
            </w:pPr>
            <w:r w:rsidRPr="009841AB">
              <w:rPr>
                <w:b/>
                <w:bCs/>
              </w:rPr>
              <w:t>Ņemts vērā</w:t>
            </w:r>
          </w:p>
          <w:p w14:paraId="4BD471F0" w14:textId="77777777" w:rsidR="00DE1732" w:rsidRPr="009841AB" w:rsidRDefault="00DE1732" w:rsidP="00DE1732">
            <w:pPr>
              <w:pStyle w:val="naisc"/>
              <w:spacing w:before="0" w:after="0"/>
              <w:jc w:val="both"/>
            </w:pPr>
          </w:p>
          <w:p w14:paraId="3023E1C6" w14:textId="77777777" w:rsidR="00DE1732" w:rsidRPr="009841AB" w:rsidRDefault="00DE1732" w:rsidP="00DE1732">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6B993DBF" w14:textId="77777777" w:rsidR="00DE1732" w:rsidRPr="009841AB" w:rsidRDefault="00DE1732" w:rsidP="00DE1732">
            <w:pPr>
              <w:pStyle w:val="naisc"/>
              <w:spacing w:before="0" w:after="0"/>
              <w:jc w:val="left"/>
            </w:pPr>
            <w:r w:rsidRPr="009841AB">
              <w:t xml:space="preserve">Lūdzam skatīt </w:t>
            </w:r>
            <w:proofErr w:type="spellStart"/>
            <w:r w:rsidRPr="009841AB">
              <w:t>apakšsadaļu</w:t>
            </w:r>
            <w:proofErr w:type="spellEnd"/>
            <w:r w:rsidRPr="009841AB">
              <w:t xml:space="preserve"> 4.3.1.1.</w:t>
            </w:r>
          </w:p>
        </w:tc>
      </w:tr>
      <w:tr w:rsidR="00C6176D" w:rsidRPr="009841AB" w14:paraId="13BE53D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502B3F3" w14:textId="77777777" w:rsidR="00C6176D" w:rsidRPr="009841AB" w:rsidRDefault="00C6176D" w:rsidP="00DE1732">
            <w:pPr>
              <w:pStyle w:val="naisc"/>
              <w:spacing w:before="0" w:after="0"/>
              <w:jc w:val="left"/>
            </w:pPr>
            <w:r w:rsidRPr="00ED3FBC">
              <w:rPr>
                <w:rFonts w:cstheme="minorHAnsi"/>
                <w:b/>
              </w:rPr>
              <w:t xml:space="preserve">Satiksmes ministrijas </w:t>
            </w:r>
            <w:r>
              <w:rPr>
                <w:rFonts w:cstheme="minorHAnsi"/>
                <w:b/>
              </w:rPr>
              <w:t>30</w:t>
            </w:r>
            <w:r w:rsidRPr="00ED3FBC">
              <w:rPr>
                <w:rFonts w:cstheme="minorHAnsi"/>
                <w:b/>
              </w:rPr>
              <w:t>.0</w:t>
            </w:r>
            <w:r>
              <w:rPr>
                <w:rFonts w:cstheme="minorHAnsi"/>
                <w:b/>
              </w:rPr>
              <w:t>4</w:t>
            </w:r>
            <w:r w:rsidRPr="00ED3FBC">
              <w:rPr>
                <w:rFonts w:cstheme="minorHAnsi"/>
                <w:b/>
              </w:rPr>
              <w:t>.2021. atzinums:</w:t>
            </w:r>
          </w:p>
        </w:tc>
      </w:tr>
      <w:tr w:rsidR="00C6176D" w:rsidRPr="009841AB" w14:paraId="6A6DD01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7A20092" w14:textId="77777777" w:rsidR="00C6176D" w:rsidRPr="009841AB" w:rsidRDefault="00C6176D" w:rsidP="00DE1732">
            <w:pPr>
              <w:pStyle w:val="naisc"/>
              <w:spacing w:before="0" w:after="0"/>
            </w:pPr>
          </w:p>
        </w:tc>
        <w:tc>
          <w:tcPr>
            <w:tcW w:w="2427" w:type="dxa"/>
            <w:tcBorders>
              <w:left w:val="single" w:sz="6" w:space="0" w:color="000000" w:themeColor="text1"/>
              <w:bottom w:val="single" w:sz="4" w:space="0" w:color="auto"/>
            </w:tcBorders>
            <w:shd w:val="clear" w:color="auto" w:fill="auto"/>
          </w:tcPr>
          <w:p w14:paraId="6CFCA8BE" w14:textId="77777777" w:rsidR="00C6176D" w:rsidRPr="009841AB" w:rsidRDefault="00C6176D" w:rsidP="00DE1732">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33E27AB5" w14:textId="77777777" w:rsidR="00C6176D" w:rsidRPr="00C6176D" w:rsidRDefault="00C6176D" w:rsidP="00DE1732">
            <w:pPr>
              <w:pStyle w:val="naisc"/>
              <w:spacing w:before="0" w:after="0"/>
              <w:jc w:val="both"/>
              <w:rPr>
                <w:b/>
                <w:bCs/>
              </w:rPr>
            </w:pPr>
            <w:r w:rsidRPr="00C6176D">
              <w:rPr>
                <w:b/>
                <w:bCs/>
              </w:rPr>
              <w:t>Priekšlikumi:</w:t>
            </w:r>
          </w:p>
        </w:tc>
        <w:tc>
          <w:tcPr>
            <w:tcW w:w="2480" w:type="dxa"/>
            <w:tcBorders>
              <w:left w:val="single" w:sz="6" w:space="0" w:color="000000" w:themeColor="text1"/>
              <w:bottom w:val="single" w:sz="4" w:space="0" w:color="auto"/>
            </w:tcBorders>
            <w:shd w:val="clear" w:color="auto" w:fill="auto"/>
          </w:tcPr>
          <w:p w14:paraId="128A4AFF" w14:textId="77777777" w:rsidR="00C6176D" w:rsidRPr="009841AB" w:rsidRDefault="00C6176D" w:rsidP="00DE1732">
            <w:pPr>
              <w:pStyle w:val="naisc"/>
              <w:spacing w:before="0" w:after="0"/>
              <w:jc w:val="both"/>
              <w:rPr>
                <w:b/>
                <w:bCs/>
              </w:rPr>
            </w:pPr>
          </w:p>
        </w:tc>
        <w:tc>
          <w:tcPr>
            <w:tcW w:w="3497" w:type="dxa"/>
            <w:tcBorders>
              <w:left w:val="single" w:sz="6" w:space="0" w:color="000000" w:themeColor="text1"/>
              <w:bottom w:val="single" w:sz="4" w:space="0" w:color="auto"/>
            </w:tcBorders>
            <w:shd w:val="clear" w:color="auto" w:fill="auto"/>
          </w:tcPr>
          <w:p w14:paraId="5E6BD8EC" w14:textId="77777777" w:rsidR="00C6176D" w:rsidRPr="009841AB" w:rsidRDefault="00C6176D" w:rsidP="00DE1732">
            <w:pPr>
              <w:pStyle w:val="naisc"/>
              <w:spacing w:before="0" w:after="0"/>
              <w:jc w:val="left"/>
            </w:pPr>
          </w:p>
        </w:tc>
      </w:tr>
      <w:tr w:rsidR="00C6176D" w:rsidRPr="009841AB" w14:paraId="03311A1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1D4F3F3" w14:textId="77777777" w:rsidR="00C6176D" w:rsidRPr="009841AB" w:rsidRDefault="007D5C60" w:rsidP="00DE1732">
            <w:pPr>
              <w:pStyle w:val="naisc"/>
              <w:spacing w:before="0" w:after="0"/>
            </w:pPr>
            <w:r>
              <w:t>218</w:t>
            </w:r>
          </w:p>
        </w:tc>
        <w:tc>
          <w:tcPr>
            <w:tcW w:w="2427" w:type="dxa"/>
            <w:tcBorders>
              <w:left w:val="single" w:sz="6" w:space="0" w:color="000000" w:themeColor="text1"/>
              <w:bottom w:val="single" w:sz="4" w:space="0" w:color="auto"/>
            </w:tcBorders>
            <w:shd w:val="clear" w:color="auto" w:fill="auto"/>
          </w:tcPr>
          <w:p w14:paraId="319F72D7" w14:textId="77777777" w:rsidR="00C6176D" w:rsidRPr="009841AB" w:rsidRDefault="00C6176D" w:rsidP="00DE1732">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4D057979" w14:textId="77777777" w:rsidR="00C6176D" w:rsidRPr="009841AB" w:rsidRDefault="00C6176D" w:rsidP="00DE1732">
            <w:pPr>
              <w:pStyle w:val="naisc"/>
              <w:spacing w:before="0" w:after="0"/>
              <w:jc w:val="both"/>
            </w:pPr>
            <w:r w:rsidRPr="00C6176D">
              <w:t>Lūdzam precizēt pamatnostādņu projekta 4.3.attīstības virzienā „Telekomunikāciju pakalpojumu pieejamība” un pamatnostādņu projekta 3.pielikumā indikatīvo finansējuma apmēru atbilstoši pēdējai aktuālajai informācijai, kas iekļauta Transporta attīstības pamatnostādnēs 2021.-2027.gadam projektā (skatīt pielikumu).</w:t>
            </w:r>
          </w:p>
        </w:tc>
        <w:tc>
          <w:tcPr>
            <w:tcW w:w="2480" w:type="dxa"/>
            <w:tcBorders>
              <w:left w:val="single" w:sz="6" w:space="0" w:color="000000" w:themeColor="text1"/>
              <w:bottom w:val="single" w:sz="4" w:space="0" w:color="auto"/>
            </w:tcBorders>
            <w:shd w:val="clear" w:color="auto" w:fill="auto"/>
          </w:tcPr>
          <w:p w14:paraId="6611E8DA" w14:textId="77777777" w:rsidR="00C6176D" w:rsidRDefault="00B3768E" w:rsidP="00DE1732">
            <w:pPr>
              <w:pStyle w:val="naisc"/>
              <w:spacing w:before="0" w:after="0"/>
              <w:jc w:val="both"/>
              <w:rPr>
                <w:b/>
                <w:bCs/>
              </w:rPr>
            </w:pPr>
            <w:r>
              <w:rPr>
                <w:b/>
                <w:bCs/>
              </w:rPr>
              <w:t>Ņemts vērā</w:t>
            </w:r>
          </w:p>
          <w:p w14:paraId="581EE17D" w14:textId="77777777" w:rsidR="00C6176D" w:rsidRPr="009841AB" w:rsidRDefault="00C6176D" w:rsidP="00DE1732">
            <w:pPr>
              <w:pStyle w:val="naisc"/>
              <w:spacing w:before="0" w:after="0"/>
              <w:jc w:val="both"/>
              <w:rPr>
                <w:b/>
                <w:bCs/>
              </w:rPr>
            </w:pPr>
          </w:p>
        </w:tc>
        <w:tc>
          <w:tcPr>
            <w:tcW w:w="3497" w:type="dxa"/>
            <w:tcBorders>
              <w:left w:val="single" w:sz="6" w:space="0" w:color="000000" w:themeColor="text1"/>
              <w:bottom w:val="single" w:sz="4" w:space="0" w:color="auto"/>
            </w:tcBorders>
            <w:shd w:val="clear" w:color="auto" w:fill="auto"/>
          </w:tcPr>
          <w:p w14:paraId="33BD60A3" w14:textId="77777777" w:rsidR="00C6176D" w:rsidRPr="009841AB" w:rsidRDefault="006A6B44" w:rsidP="00DE1732">
            <w:pPr>
              <w:pStyle w:val="naisc"/>
              <w:spacing w:before="0" w:after="0"/>
              <w:jc w:val="left"/>
            </w:pPr>
            <w:r>
              <w:t>Lūdzam skatīt 3. pielikumu.</w:t>
            </w:r>
          </w:p>
        </w:tc>
      </w:tr>
      <w:tr w:rsidR="001D7B9E" w:rsidRPr="009841AB" w14:paraId="051DFDC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DC2CC22" w14:textId="77777777" w:rsidR="001D7B9E" w:rsidRPr="009841AB" w:rsidRDefault="001D7B9E" w:rsidP="001D7B9E">
            <w:pPr>
              <w:tabs>
                <w:tab w:val="left" w:pos="720"/>
              </w:tabs>
              <w:contextualSpacing/>
              <w:jc w:val="both"/>
              <w:rPr>
                <w:b/>
                <w:bCs/>
                <w:lang w:eastAsia="en-US"/>
              </w:rPr>
            </w:pPr>
            <w:r w:rsidRPr="009841AB">
              <w:rPr>
                <w:b/>
                <w:bCs/>
                <w:lang w:eastAsia="en-US"/>
              </w:rPr>
              <w:t>Tieslietu ministrijas 05.02.2021. atzinums:</w:t>
            </w:r>
          </w:p>
        </w:tc>
      </w:tr>
      <w:tr w:rsidR="00B232FF" w:rsidRPr="009841AB" w14:paraId="0C47D2E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A9DD2CC" w14:textId="77777777" w:rsidR="00B232FF" w:rsidRPr="009841AB" w:rsidRDefault="00D00883" w:rsidP="00B232FF">
            <w:pPr>
              <w:pStyle w:val="naisc"/>
              <w:spacing w:before="0" w:after="0"/>
            </w:pPr>
            <w:r>
              <w:t>219</w:t>
            </w:r>
          </w:p>
        </w:tc>
        <w:tc>
          <w:tcPr>
            <w:tcW w:w="2427" w:type="dxa"/>
            <w:tcBorders>
              <w:left w:val="single" w:sz="6" w:space="0" w:color="000000" w:themeColor="text1"/>
              <w:bottom w:val="single" w:sz="4" w:space="0" w:color="auto"/>
            </w:tcBorders>
            <w:shd w:val="clear" w:color="auto" w:fill="auto"/>
          </w:tcPr>
          <w:p w14:paraId="43ACC097" w14:textId="77777777" w:rsidR="00B232FF" w:rsidRPr="009841AB" w:rsidRDefault="00B232FF" w:rsidP="00B232FF">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55652A95" w14:textId="77777777" w:rsidR="00B232FF" w:rsidRPr="009841AB" w:rsidRDefault="00B232FF" w:rsidP="00B232FF">
            <w:pPr>
              <w:spacing w:line="276" w:lineRule="auto"/>
              <w:ind w:firstLine="709"/>
              <w:jc w:val="both"/>
            </w:pPr>
            <w:r w:rsidRPr="009841AB">
              <w:t>Pamatnostādņu projekta 74.lp. norādīts, ka par attīstību ierobežojošu faktoru uzskatāms arī spēkā esošais īpašumtiesību regulējums. Lai varētu secināt, ka spēkā esošais īpašumtiesību regulējums ir uzskatāms par ierobežojošu faktoru, ir nepieciešams pamatojums, no kura ir izdarīti šādi secinājumi. Tomēr pamatnostādņu projekts nesatur pamatojumu secinājumam par spēkā esošo īpašumtiesību regulējumu kā ierobežojošu faktoru. Ņemot vērā minēto, lai iekļautu pamatnostādņu  projektā šādu secinājumu, to ir nepieciešams papildināt ar pamatojumu šāda secinājuma izdarīšanai.</w:t>
            </w:r>
          </w:p>
        </w:tc>
        <w:tc>
          <w:tcPr>
            <w:tcW w:w="2480" w:type="dxa"/>
            <w:tcBorders>
              <w:left w:val="single" w:sz="6" w:space="0" w:color="000000" w:themeColor="text1"/>
              <w:bottom w:val="single" w:sz="4" w:space="0" w:color="auto"/>
            </w:tcBorders>
            <w:shd w:val="clear" w:color="auto" w:fill="auto"/>
          </w:tcPr>
          <w:p w14:paraId="251F8C25" w14:textId="77777777" w:rsidR="00B232FF" w:rsidRPr="009841AB" w:rsidRDefault="00B232FF" w:rsidP="00B232FF">
            <w:pPr>
              <w:pStyle w:val="naisc"/>
              <w:spacing w:before="0" w:after="0"/>
              <w:jc w:val="both"/>
              <w:rPr>
                <w:b/>
                <w:bCs/>
              </w:rPr>
            </w:pPr>
            <w:r w:rsidRPr="009841AB">
              <w:rPr>
                <w:b/>
                <w:bCs/>
              </w:rPr>
              <w:t>Ņemts vērā</w:t>
            </w:r>
          </w:p>
          <w:p w14:paraId="46501E24" w14:textId="77777777" w:rsidR="00B232FF" w:rsidRPr="009841AB" w:rsidRDefault="00B232FF" w:rsidP="00B232FF">
            <w:pPr>
              <w:pStyle w:val="naisc"/>
              <w:spacing w:before="0" w:after="0"/>
              <w:jc w:val="both"/>
            </w:pPr>
          </w:p>
          <w:p w14:paraId="0AA1157C" w14:textId="77777777" w:rsidR="00B232FF" w:rsidRPr="009841AB" w:rsidRDefault="00B232FF" w:rsidP="00B232FF">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60C1F7AF" w14:textId="77777777" w:rsidR="00B232FF" w:rsidRPr="009841AB" w:rsidRDefault="00B232FF" w:rsidP="00334BD9">
            <w:pPr>
              <w:pStyle w:val="naisc"/>
              <w:spacing w:before="0" w:after="0"/>
              <w:jc w:val="left"/>
            </w:pPr>
            <w:r w:rsidRPr="009841AB">
              <w:t xml:space="preserve">Lūdzam skatīt </w:t>
            </w:r>
            <w:proofErr w:type="spellStart"/>
            <w:r w:rsidRPr="009841AB">
              <w:t>apakšsadaļu</w:t>
            </w:r>
            <w:proofErr w:type="spellEnd"/>
            <w:r w:rsidRPr="009841AB">
              <w:t xml:space="preserve"> 4.3.</w:t>
            </w:r>
          </w:p>
        </w:tc>
      </w:tr>
      <w:tr w:rsidR="00765AC9" w:rsidRPr="009841AB" w14:paraId="6930B18A" w14:textId="77777777" w:rsidTr="15B1D617">
        <w:tc>
          <w:tcPr>
            <w:tcW w:w="14451" w:type="dxa"/>
            <w:gridSpan w:val="6"/>
            <w:tcBorders>
              <w:left w:val="single" w:sz="6" w:space="0" w:color="000000" w:themeColor="text1"/>
              <w:bottom w:val="single" w:sz="4" w:space="0" w:color="auto"/>
            </w:tcBorders>
            <w:shd w:val="clear" w:color="auto" w:fill="auto"/>
          </w:tcPr>
          <w:p w14:paraId="3A73026C" w14:textId="77777777" w:rsidR="00765AC9" w:rsidRPr="009841AB" w:rsidRDefault="00765AC9" w:rsidP="00334BD9">
            <w:pPr>
              <w:pStyle w:val="naisc"/>
              <w:spacing w:before="0" w:after="0"/>
              <w:jc w:val="left"/>
            </w:pPr>
            <w:r w:rsidRPr="009841AB">
              <w:rPr>
                <w:b/>
                <w:bCs/>
                <w:lang w:eastAsia="en-US"/>
              </w:rPr>
              <w:t>Tieslietu ministrijas 0</w:t>
            </w:r>
            <w:r>
              <w:rPr>
                <w:b/>
                <w:bCs/>
                <w:lang w:eastAsia="en-US"/>
              </w:rPr>
              <w:t>7</w:t>
            </w:r>
            <w:r w:rsidRPr="009841AB">
              <w:rPr>
                <w:b/>
                <w:bCs/>
                <w:lang w:eastAsia="en-US"/>
              </w:rPr>
              <w:t>.0</w:t>
            </w:r>
            <w:r>
              <w:rPr>
                <w:b/>
                <w:bCs/>
                <w:lang w:eastAsia="en-US"/>
              </w:rPr>
              <w:t>5</w:t>
            </w:r>
            <w:r w:rsidRPr="009841AB">
              <w:rPr>
                <w:b/>
                <w:bCs/>
                <w:lang w:eastAsia="en-US"/>
              </w:rPr>
              <w:t>.2021. atzinums:</w:t>
            </w:r>
          </w:p>
        </w:tc>
      </w:tr>
      <w:tr w:rsidR="00D00883" w:rsidRPr="009841AB" w14:paraId="0BFCE0F6" w14:textId="77777777" w:rsidTr="00DC72A3">
        <w:tc>
          <w:tcPr>
            <w:tcW w:w="613" w:type="dxa"/>
            <w:tcBorders>
              <w:left w:val="single" w:sz="6" w:space="0" w:color="000000" w:themeColor="text1"/>
              <w:bottom w:val="single" w:sz="4" w:space="0" w:color="auto"/>
            </w:tcBorders>
            <w:shd w:val="clear" w:color="auto" w:fill="auto"/>
          </w:tcPr>
          <w:p w14:paraId="0C17DFD7" w14:textId="77777777" w:rsidR="00D00883" w:rsidRDefault="00D00883" w:rsidP="00B232FF">
            <w:pPr>
              <w:pStyle w:val="naisc"/>
              <w:spacing w:before="0" w:after="0"/>
            </w:pPr>
            <w:r>
              <w:t>220</w:t>
            </w:r>
          </w:p>
        </w:tc>
        <w:tc>
          <w:tcPr>
            <w:tcW w:w="2427" w:type="dxa"/>
            <w:tcBorders>
              <w:left w:val="single" w:sz="6" w:space="0" w:color="000000" w:themeColor="text1"/>
              <w:bottom w:val="single" w:sz="4" w:space="0" w:color="auto"/>
            </w:tcBorders>
            <w:shd w:val="clear" w:color="auto" w:fill="auto"/>
          </w:tcPr>
          <w:p w14:paraId="0AF2F361" w14:textId="77777777" w:rsidR="00D00883" w:rsidRPr="009841AB" w:rsidRDefault="00D00883" w:rsidP="00B232FF">
            <w:pPr>
              <w:pStyle w:val="naisc"/>
              <w:spacing w:before="0" w:after="0"/>
              <w:jc w:val="left"/>
            </w:pPr>
            <w:r>
              <w:t>4.3. sadaļa</w:t>
            </w:r>
          </w:p>
        </w:tc>
        <w:tc>
          <w:tcPr>
            <w:tcW w:w="5427" w:type="dxa"/>
            <w:tcBorders>
              <w:left w:val="single" w:sz="6" w:space="0" w:color="000000" w:themeColor="text1"/>
              <w:bottom w:val="single" w:sz="4" w:space="0" w:color="auto"/>
            </w:tcBorders>
            <w:shd w:val="clear" w:color="auto" w:fill="auto"/>
          </w:tcPr>
          <w:p w14:paraId="256F9387" w14:textId="77777777" w:rsidR="00D00883" w:rsidRPr="009841AB" w:rsidRDefault="00765AC9" w:rsidP="00B232FF">
            <w:pPr>
              <w:spacing w:line="276" w:lineRule="auto"/>
              <w:ind w:firstLine="709"/>
              <w:jc w:val="both"/>
            </w:pPr>
            <w:r w:rsidRPr="00446C1C">
              <w:t xml:space="preserve">Pamatnostādņu projekta 45. lpp. norādīts: “Lai nodrošinātu patiesu digitālo transformāciju, būtiski platjoslas elektronisko sakaru tīklu izvēršanu un pārklājuma nodrošināšanu neatstāt vienīgi kā elektronisko sakaru komersantu problēmu, bet nodrošināt plašu iesaistīto pušu (īpaši valsts, pašvaldību, publisko personu un to kapitālsabiedrību) sadarbību sakaru tīklu izvēršanā un pārklājuma nodrošināšanā, it īpaši, nodrošinot piekļuvi </w:t>
            </w:r>
            <w:r w:rsidRPr="00446C1C">
              <w:lastRenderedPageBreak/>
              <w:t xml:space="preserve">nepieciešamajām vietām, nosakot samērīgu maksu par īpašuma apgrūtinājumu un rodot risinājumu </w:t>
            </w:r>
            <w:proofErr w:type="spellStart"/>
            <w:r w:rsidRPr="00446C1C">
              <w:t>problēmsituāciju</w:t>
            </w:r>
            <w:proofErr w:type="spellEnd"/>
            <w:r w:rsidRPr="00446C1C">
              <w:t xml:space="preserve"> gadījumos.” Vēršam uzmanību, ka, piemēram, Aizsargjoslu likumā saistībā ar īpašuma apgrūtinājumiem ir izmantots termins “atlīdzība”, bet, piemēram, Enerģētikas likumā noteikts, ka energoapgādes komersants atlīdzina nekustamā īpašuma īpašniekam zaudējumus, kas tieši saistīti ar jaunu energoapgādes komersanta objektu ierīkošanu vai esošo objektu ekspluatācijas un remonta nodrošināšanu. (24.panta pirmā daļa). Bet minētā panta viens </w:t>
            </w:r>
            <w:proofErr w:type="spellStart"/>
            <w:r w:rsidRPr="00446C1C">
              <w:t>prim</w:t>
            </w:r>
            <w:proofErr w:type="spellEnd"/>
            <w:r w:rsidRPr="00446C1C">
              <w:t xml:space="preserve"> daļā noteikts, ka energoapgādes komersants atlīdzina nekustamā īpašuma īpašniekam par zemes lietošanas tiesību ierobežošanu, ja tiek konstatēti minētajā pantā noteikti nosacījumi. Līdz ar to Tieslietu ministrijas ieskatā pamatnostādņu projektā būtu precizējami izmantoti termini saistībā ar nepieciešamību noteikt atlīdzību par īpašuma tiesību apgrūtinājumiem</w:t>
            </w:r>
          </w:p>
        </w:tc>
        <w:tc>
          <w:tcPr>
            <w:tcW w:w="2480" w:type="dxa"/>
            <w:tcBorders>
              <w:left w:val="single" w:sz="6" w:space="0" w:color="000000" w:themeColor="text1"/>
              <w:bottom w:val="single" w:sz="4" w:space="0" w:color="auto"/>
            </w:tcBorders>
            <w:shd w:val="clear" w:color="auto" w:fill="auto"/>
          </w:tcPr>
          <w:p w14:paraId="447B59DD" w14:textId="77777777" w:rsidR="00D00883" w:rsidRPr="009841AB" w:rsidRDefault="00D00883" w:rsidP="00B232FF">
            <w:pPr>
              <w:pStyle w:val="naisc"/>
              <w:spacing w:before="0" w:after="0"/>
              <w:jc w:val="both"/>
              <w:rPr>
                <w:b/>
                <w:bCs/>
              </w:rPr>
            </w:pPr>
            <w:r>
              <w:rPr>
                <w:b/>
                <w:bCs/>
              </w:rPr>
              <w:lastRenderedPageBreak/>
              <w:t>Ņemts vērā</w:t>
            </w:r>
          </w:p>
        </w:tc>
        <w:tc>
          <w:tcPr>
            <w:tcW w:w="3504" w:type="dxa"/>
            <w:gridSpan w:val="2"/>
            <w:tcBorders>
              <w:left w:val="single" w:sz="6" w:space="0" w:color="000000" w:themeColor="text1"/>
              <w:bottom w:val="single" w:sz="4" w:space="0" w:color="auto"/>
            </w:tcBorders>
            <w:shd w:val="clear" w:color="auto" w:fill="auto"/>
          </w:tcPr>
          <w:p w14:paraId="4B33597D" w14:textId="77777777" w:rsidR="00D00883" w:rsidRPr="009841AB" w:rsidRDefault="00CD3F81" w:rsidP="00334BD9">
            <w:pPr>
              <w:pStyle w:val="naisc"/>
              <w:spacing w:before="0" w:after="0"/>
              <w:jc w:val="left"/>
            </w:pPr>
            <w:r>
              <w:t xml:space="preserve">Lūdzam skatīt </w:t>
            </w:r>
            <w:proofErr w:type="spellStart"/>
            <w:r>
              <w:t>apakšsadaļu</w:t>
            </w:r>
            <w:proofErr w:type="spellEnd"/>
            <w:r>
              <w:t xml:space="preserve"> 4.3.</w:t>
            </w:r>
          </w:p>
        </w:tc>
      </w:tr>
      <w:tr w:rsidR="001D7B9E" w:rsidRPr="009841AB" w14:paraId="13FE6EAF"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7F4EFAF4" w14:textId="77777777" w:rsidR="001D7B9E" w:rsidRPr="009841AB" w:rsidRDefault="001D7B9E" w:rsidP="001D7B9E">
            <w:pPr>
              <w:pStyle w:val="naisc"/>
              <w:spacing w:before="0" w:after="0"/>
              <w:jc w:val="left"/>
            </w:pPr>
            <w:r w:rsidRPr="009841AB">
              <w:rPr>
                <w:b/>
                <w:bCs/>
                <w:lang w:eastAsia="en-US"/>
              </w:rPr>
              <w:t>Latvijas Pašvaldību savienības 28.01.2021. atzinums:</w:t>
            </w:r>
          </w:p>
        </w:tc>
      </w:tr>
      <w:tr w:rsidR="001D7B9E" w:rsidRPr="009841AB" w14:paraId="651D408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2E8F5C9" w14:textId="77777777" w:rsidR="001D7B9E" w:rsidRPr="009841AB" w:rsidRDefault="00D52333" w:rsidP="001D7B9E">
            <w:pPr>
              <w:pStyle w:val="naisc"/>
              <w:spacing w:before="0" w:after="0"/>
            </w:pPr>
            <w:r>
              <w:t>221</w:t>
            </w:r>
          </w:p>
        </w:tc>
        <w:tc>
          <w:tcPr>
            <w:tcW w:w="2427" w:type="dxa"/>
            <w:tcBorders>
              <w:left w:val="single" w:sz="6" w:space="0" w:color="000000" w:themeColor="text1"/>
              <w:bottom w:val="single" w:sz="4" w:space="0" w:color="auto"/>
            </w:tcBorders>
            <w:shd w:val="clear" w:color="auto" w:fill="auto"/>
          </w:tcPr>
          <w:p w14:paraId="5E29DB10" w14:textId="77777777" w:rsidR="001D7B9E" w:rsidRPr="009841AB" w:rsidRDefault="001D7B9E" w:rsidP="001D7B9E">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06C5D3C0" w14:textId="77777777" w:rsidR="001D7B9E" w:rsidRPr="009841AB" w:rsidRDefault="001D7B9E" w:rsidP="001D7B9E">
            <w:pPr>
              <w:spacing w:after="200" w:line="276" w:lineRule="auto"/>
              <w:contextualSpacing/>
              <w:jc w:val="both"/>
            </w:pPr>
            <w:r w:rsidRPr="009841AB">
              <w:t>1.</w:t>
            </w:r>
            <w:r w:rsidRPr="009841AB">
              <w:rPr>
                <w:b/>
                <w:bCs/>
              </w:rPr>
              <w:t xml:space="preserve"> 4.3.3.1</w:t>
            </w:r>
            <w:r w:rsidRPr="009841AB">
              <w:t xml:space="preserve"> </w:t>
            </w:r>
            <w:r w:rsidRPr="009841AB">
              <w:rPr>
                <w:b/>
                <w:bCs/>
              </w:rPr>
              <w:t>Esošās situācijas apraksts</w:t>
            </w:r>
          </w:p>
          <w:p w14:paraId="6E59258B" w14:textId="77777777" w:rsidR="001D7B9E" w:rsidRPr="009841AB" w:rsidRDefault="001D7B9E" w:rsidP="001D7B9E">
            <w:pPr>
              <w:jc w:val="both"/>
            </w:pPr>
            <w:r w:rsidRPr="009841AB">
              <w:t xml:space="preserve">Valsts atbalsta programmas Nr.SA.33324 (2011/N) “Nākamās paaudzes tīkli lauku teritorijās” projekta ietvaros izbūvētā infrastruktūra netiek pilnībā izmantota, jo pēdējās jūdzes ierīkošana nav ekonomiski izdevīga pat republikas nozīmes komersantiem, savukārt jaunu, vietējo komersantu piesaiste nav iespējama, jo nepieciešamie ieguldījumi ir pārlieku lieli pret atdevi no dažiem abonentiem, kas galvenokārt būtu sabiedriskie objekti. </w:t>
            </w:r>
          </w:p>
          <w:p w14:paraId="6D02398F" w14:textId="77777777" w:rsidR="001D7B9E" w:rsidRPr="009841AB" w:rsidRDefault="001D7B9E" w:rsidP="001D7B9E">
            <w:pPr>
              <w:jc w:val="both"/>
              <w:rPr>
                <w:b/>
                <w:bCs/>
              </w:rPr>
            </w:pPr>
            <w:r w:rsidRPr="009841AB">
              <w:rPr>
                <w:b/>
                <w:bCs/>
              </w:rPr>
              <w:t>Nepieciešamā rīcība</w:t>
            </w:r>
          </w:p>
          <w:p w14:paraId="09670ABB" w14:textId="77777777" w:rsidR="001D7B9E" w:rsidRPr="009841AB" w:rsidRDefault="001D7B9E" w:rsidP="001D7B9E">
            <w:pPr>
              <w:jc w:val="both"/>
            </w:pPr>
            <w:r w:rsidRPr="009841AB">
              <w:lastRenderedPageBreak/>
              <w:t xml:space="preserve">Nepieciešams izstrādāt valsts atbalsta politiku pēdējās jūdzes ierīkošanai un pakalpojumu nodrošināšanai primāri sabiedriskā labuma iestādēm, skolām, medicīnas pakalpojumu iestādēm, pašvaldību administrācijām, bibliotēkām, kultūras centriem. Primāri nodrošināt skolu optiskā platjoslas tīkla </w:t>
            </w:r>
            <w:proofErr w:type="spellStart"/>
            <w:r w:rsidRPr="009841AB">
              <w:t>pieslēgumu</w:t>
            </w:r>
            <w:proofErr w:type="spellEnd"/>
            <w:r w:rsidRPr="009841AB">
              <w:t xml:space="preserve"> izveidi un ierīkošanu.</w:t>
            </w:r>
          </w:p>
          <w:p w14:paraId="51134B13" w14:textId="77777777" w:rsidR="001D7B9E" w:rsidRPr="009841AB" w:rsidRDefault="001D7B9E" w:rsidP="001D7B9E">
            <w:pPr>
              <w:jc w:val="both"/>
            </w:pPr>
            <w:r w:rsidRPr="009841AB">
              <w:t xml:space="preserve">Izvērtēt </w:t>
            </w:r>
            <w:proofErr w:type="spellStart"/>
            <w:r w:rsidRPr="009841AB">
              <w:t>Īlona</w:t>
            </w:r>
            <w:proofErr w:type="spellEnd"/>
            <w:r w:rsidRPr="009841AB">
              <w:t xml:space="preserve"> Maska (</w:t>
            </w:r>
            <w:proofErr w:type="spellStart"/>
            <w:r w:rsidRPr="009841AB">
              <w:t>Elon</w:t>
            </w:r>
            <w:proofErr w:type="spellEnd"/>
            <w:r w:rsidRPr="009841AB">
              <w:t xml:space="preserve"> </w:t>
            </w:r>
            <w:proofErr w:type="spellStart"/>
            <w:r w:rsidRPr="009841AB">
              <w:t>Musk</w:t>
            </w:r>
            <w:proofErr w:type="spellEnd"/>
            <w:r w:rsidRPr="009841AB">
              <w:t>) satelītu interneta projekta “</w:t>
            </w:r>
            <w:proofErr w:type="spellStart"/>
            <w:r w:rsidRPr="009841AB">
              <w:t>Starlink</w:t>
            </w:r>
            <w:proofErr w:type="spellEnd"/>
            <w:r w:rsidRPr="009841AB">
              <w:t>” iespējas un licencēšanas nosacījumus.</w:t>
            </w:r>
          </w:p>
          <w:p w14:paraId="6C33F902" w14:textId="77777777" w:rsidR="001D7B9E" w:rsidRPr="009841AB" w:rsidRDefault="001D7B9E" w:rsidP="001D7B9E">
            <w:pPr>
              <w:jc w:val="both"/>
            </w:pPr>
            <w:r w:rsidRPr="009841AB">
              <w:t xml:space="preserve">Būtu nepieciešams iekļaut arī pilsētas teritoriju privātmāju ciematus, jo privātmāju ciematos pilsētu teritorijās  internets ir vai nu ļoti lēns vai nav pieejams vispār. Ir lauku teritorijas, kurās interneta </w:t>
            </w:r>
            <w:proofErr w:type="spellStart"/>
            <w:r w:rsidRPr="009841AB">
              <w:t>pieslēgums</w:t>
            </w:r>
            <w:proofErr w:type="spellEnd"/>
            <w:r w:rsidRPr="009841AB">
              <w:t xml:space="preserve"> ir vairākas reizes ātrāks kā privātmāju ciematos pilsētu teritorijās.</w:t>
            </w:r>
          </w:p>
          <w:p w14:paraId="20E4AB27" w14:textId="77777777" w:rsidR="001D7B9E" w:rsidRPr="009841AB" w:rsidRDefault="001D7B9E" w:rsidP="001D7B9E">
            <w:pPr>
              <w:jc w:val="both"/>
              <w:rPr>
                <w:b/>
                <w:bCs/>
              </w:rPr>
            </w:pPr>
            <w:r w:rsidRPr="009841AB">
              <w:rPr>
                <w:b/>
                <w:bCs/>
              </w:rPr>
              <w:t>Sagaidāmie rezultāti</w:t>
            </w:r>
          </w:p>
          <w:p w14:paraId="7F86C085" w14:textId="77777777" w:rsidR="001D7B9E" w:rsidRPr="009841AB" w:rsidRDefault="001D7B9E" w:rsidP="001D7B9E">
            <w:pPr>
              <w:jc w:val="both"/>
            </w:pPr>
            <w:r w:rsidRPr="009841AB">
              <w:rPr>
                <w:b/>
                <w:bCs/>
              </w:rPr>
              <w:t>Papildināt</w:t>
            </w:r>
            <w:r w:rsidRPr="009841AB">
              <w:t>:</w:t>
            </w:r>
          </w:p>
          <w:p w14:paraId="6F94A7D9" w14:textId="77777777" w:rsidR="001D7B9E" w:rsidRPr="009841AB" w:rsidRDefault="001D7B9E" w:rsidP="000C28AE">
            <w:pPr>
              <w:pStyle w:val="ListParagraph"/>
              <w:numPr>
                <w:ilvl w:val="0"/>
                <w:numId w:val="9"/>
              </w:numPr>
              <w:spacing w:after="0" w:line="240" w:lineRule="auto"/>
              <w:contextualSpacing w:val="0"/>
              <w:jc w:val="both"/>
              <w:rPr>
                <w:rFonts w:ascii="Times New Roman" w:hAnsi="Times New Roman"/>
                <w:sz w:val="24"/>
                <w:szCs w:val="24"/>
              </w:rPr>
            </w:pPr>
            <w:r w:rsidRPr="009841AB">
              <w:rPr>
                <w:rFonts w:ascii="Times New Roman" w:hAnsi="Times New Roman"/>
                <w:sz w:val="24"/>
                <w:szCs w:val="24"/>
              </w:rPr>
              <w:t xml:space="preserve">Visām publiskām pārvaldes iestādēm, sociāli ekonomiskiem virzītājspēkiem (prioritāri skolās, medicīnas pakalpojumu iestādes) ir izveidots ātrgaitas platjoslas </w:t>
            </w:r>
            <w:proofErr w:type="spellStart"/>
            <w:r w:rsidRPr="009841AB">
              <w:rPr>
                <w:rFonts w:ascii="Times New Roman" w:hAnsi="Times New Roman"/>
                <w:sz w:val="24"/>
                <w:szCs w:val="24"/>
              </w:rPr>
              <w:t>pieslēgums</w:t>
            </w:r>
            <w:proofErr w:type="spellEnd"/>
            <w:r w:rsidRPr="009841AB">
              <w:rPr>
                <w:rFonts w:ascii="Times New Roman" w:hAnsi="Times New Roman"/>
                <w:sz w:val="24"/>
                <w:szCs w:val="24"/>
              </w:rPr>
              <w:t xml:space="preserve">, atbilstoši ekonomiski izdevīgākajam risinājumam (optiskā tīkla </w:t>
            </w:r>
            <w:proofErr w:type="spellStart"/>
            <w:r w:rsidRPr="009841AB">
              <w:rPr>
                <w:rFonts w:ascii="Times New Roman" w:hAnsi="Times New Roman"/>
                <w:sz w:val="24"/>
                <w:szCs w:val="24"/>
              </w:rPr>
              <w:t>pieslēgums</w:t>
            </w:r>
            <w:proofErr w:type="spellEnd"/>
            <w:r w:rsidRPr="009841AB">
              <w:rPr>
                <w:rFonts w:ascii="Times New Roman" w:hAnsi="Times New Roman"/>
                <w:sz w:val="24"/>
                <w:szCs w:val="24"/>
              </w:rPr>
              <w:t xml:space="preserve"> LVRTC infrastruktūrā, vai cita komersanta tīklā, vai 4G vai 5G mobilais interneta </w:t>
            </w:r>
            <w:proofErr w:type="spellStart"/>
            <w:r w:rsidRPr="009841AB">
              <w:rPr>
                <w:rFonts w:ascii="Times New Roman" w:hAnsi="Times New Roman"/>
                <w:sz w:val="24"/>
                <w:szCs w:val="24"/>
              </w:rPr>
              <w:t>pieslēgums</w:t>
            </w:r>
            <w:proofErr w:type="spellEnd"/>
            <w:r w:rsidRPr="009841AB">
              <w:rPr>
                <w:rFonts w:ascii="Times New Roman" w:hAnsi="Times New Roman"/>
                <w:sz w:val="24"/>
                <w:szCs w:val="24"/>
              </w:rPr>
              <w:t>).</w:t>
            </w:r>
          </w:p>
          <w:p w14:paraId="34F821A6" w14:textId="77777777" w:rsidR="001D7B9E" w:rsidRPr="009841AB" w:rsidRDefault="001D7B9E" w:rsidP="000C28AE">
            <w:pPr>
              <w:pStyle w:val="ListParagraph"/>
              <w:numPr>
                <w:ilvl w:val="0"/>
                <w:numId w:val="9"/>
              </w:numPr>
              <w:spacing w:after="0" w:line="240" w:lineRule="auto"/>
              <w:contextualSpacing w:val="0"/>
              <w:jc w:val="both"/>
              <w:rPr>
                <w:rFonts w:ascii="Times New Roman" w:hAnsi="Times New Roman"/>
                <w:sz w:val="24"/>
                <w:szCs w:val="24"/>
              </w:rPr>
            </w:pPr>
            <w:r w:rsidRPr="009841AB">
              <w:rPr>
                <w:rFonts w:ascii="Times New Roman" w:hAnsi="Times New Roman"/>
                <w:sz w:val="24"/>
                <w:szCs w:val="24"/>
              </w:rPr>
              <w:t>Atrisināts jautājums par pēdējās jūdzes operatoru piesaisti un pakalpojumu nodrošināšanu.</w:t>
            </w:r>
          </w:p>
          <w:p w14:paraId="2E2FB3D9" w14:textId="77777777" w:rsidR="001D7B9E" w:rsidRPr="009841AB" w:rsidRDefault="001D7B9E" w:rsidP="000C28AE">
            <w:pPr>
              <w:pStyle w:val="ListParagraph"/>
              <w:numPr>
                <w:ilvl w:val="0"/>
                <w:numId w:val="9"/>
              </w:numPr>
              <w:spacing w:after="0" w:line="240" w:lineRule="auto"/>
              <w:contextualSpacing w:val="0"/>
              <w:jc w:val="both"/>
              <w:rPr>
                <w:rFonts w:ascii="Times New Roman" w:hAnsi="Times New Roman"/>
                <w:sz w:val="24"/>
                <w:szCs w:val="24"/>
              </w:rPr>
            </w:pPr>
            <w:r w:rsidRPr="009841AB">
              <w:rPr>
                <w:rFonts w:ascii="Times New Roman" w:hAnsi="Times New Roman"/>
                <w:sz w:val="24"/>
                <w:szCs w:val="24"/>
              </w:rPr>
              <w:t>Izslēgt teikumu - Pašvaldībām būtu nepieciešams nodrošināt aktīvu iesaisti finanšu instrumentu izmantošanā un finansējuma piesaistē,</w:t>
            </w:r>
            <w:r w:rsidRPr="009841AB" w:rsidDel="00151EB6">
              <w:rPr>
                <w:rFonts w:ascii="Times New Roman" w:hAnsi="Times New Roman"/>
                <w:sz w:val="24"/>
                <w:szCs w:val="24"/>
              </w:rPr>
              <w:t xml:space="preserve"> </w:t>
            </w:r>
            <w:r w:rsidRPr="009841AB">
              <w:rPr>
                <w:rFonts w:ascii="Times New Roman" w:hAnsi="Times New Roman"/>
                <w:sz w:val="24"/>
                <w:szCs w:val="24"/>
              </w:rPr>
              <w:t xml:space="preserve">piemēram, WiFi4EU programmā. – jo šī programma ir </w:t>
            </w:r>
            <w:r w:rsidRPr="009841AB">
              <w:rPr>
                <w:rFonts w:ascii="Times New Roman" w:hAnsi="Times New Roman"/>
                <w:sz w:val="24"/>
                <w:szCs w:val="24"/>
              </w:rPr>
              <w:lastRenderedPageBreak/>
              <w:t>beigusies un tā pārtaps par citu, par 5G tīklu izveides un atbalsta programmu CEF 2 ietvaros.</w:t>
            </w:r>
          </w:p>
        </w:tc>
        <w:tc>
          <w:tcPr>
            <w:tcW w:w="2480" w:type="dxa"/>
            <w:tcBorders>
              <w:left w:val="single" w:sz="6" w:space="0" w:color="000000" w:themeColor="text1"/>
              <w:bottom w:val="single" w:sz="4" w:space="0" w:color="auto"/>
            </w:tcBorders>
            <w:shd w:val="clear" w:color="auto" w:fill="auto"/>
          </w:tcPr>
          <w:p w14:paraId="3E7AB474" w14:textId="77777777" w:rsidR="00A002C2" w:rsidRDefault="00A002C2" w:rsidP="00A002C2">
            <w:pPr>
              <w:pStyle w:val="naisc"/>
              <w:jc w:val="both"/>
              <w:rPr>
                <w:b/>
                <w:bCs/>
              </w:rPr>
            </w:pPr>
            <w:r>
              <w:rPr>
                <w:b/>
                <w:bCs/>
              </w:rPr>
              <w:lastRenderedPageBreak/>
              <w:t>Panākta vienošanās</w:t>
            </w:r>
          </w:p>
          <w:p w14:paraId="3D0276BC" w14:textId="77777777" w:rsidR="00334BD9" w:rsidRPr="009841AB" w:rsidRDefault="00334BD9" w:rsidP="00334BD9">
            <w:pPr>
              <w:pStyle w:val="naisc"/>
              <w:jc w:val="both"/>
            </w:pPr>
            <w:r w:rsidRPr="009841AB">
              <w:t xml:space="preserve">Sadaļā Nepieciešamā rīcība ir pateikts, ka Vidējās un pēdējās jūdzes attīstības pasākumi, tostarp valsts atbalsts, tiks izvērtēti un iekļauti platjoslas attīstības plānā laika posmam no 2021. līdz 2027.gadam. </w:t>
            </w:r>
            <w:r w:rsidRPr="009841AB">
              <w:lastRenderedPageBreak/>
              <w:t xml:space="preserve">Platjoslas plāns ietvers investīciju nepietiekamības novērtējumu, pamatojoties uz esošās privātās un publiskās infrastruktūras un pakalpojumu kvalitātes kartēšanu, kā arī plānotās valsts intervences pamatojumu, balstītu uz ilgtspējīgiem ieguldījumu modeļiem. </w:t>
            </w:r>
          </w:p>
          <w:p w14:paraId="2291EE7A" w14:textId="77777777" w:rsidR="001D7B9E" w:rsidRPr="009841AB" w:rsidRDefault="00334BD9" w:rsidP="00334BD9">
            <w:pPr>
              <w:pStyle w:val="naisc"/>
              <w:spacing w:before="0" w:after="0"/>
              <w:jc w:val="both"/>
            </w:pPr>
            <w:r w:rsidRPr="009841AB">
              <w:t xml:space="preserve">Satiksmes ministrija ir uzsākusi darbu pie detalizētu pētījumu par pieejamo platjoslas infrastruktūru un pakalpojumiem veikšanas, kas vienlaikus tiks izmantoti arī pamatojumam ES finansējuma piesaistes kritēriju izpildē. To mērķis būs noteikt tirgus nepilnības un sniegt priekšlikumus optimāliem pēdējās jūdzes infrastruktūras izvēršanas modeļiem (piemēram, kuponiem, neitrālu tīkla operatoru infrastruktūru (t.sk. </w:t>
            </w:r>
            <w:r w:rsidRPr="009841AB">
              <w:lastRenderedPageBreak/>
              <w:t>elektroapgādes sadales operatoru) utt.).</w:t>
            </w:r>
          </w:p>
          <w:p w14:paraId="5376928A" w14:textId="77777777" w:rsidR="00334BD9" w:rsidRPr="009841AB" w:rsidRDefault="00334BD9" w:rsidP="00334BD9">
            <w:pPr>
              <w:pStyle w:val="naisc"/>
              <w:spacing w:before="0" w:after="0"/>
              <w:jc w:val="left"/>
            </w:pPr>
            <w:r w:rsidRPr="009841AB">
              <w:t xml:space="preserve">Norādām, ka pamatnostādnes paredz rīcības nolūku visām mājsaimniecībām nodrošināt interneta </w:t>
            </w:r>
            <w:proofErr w:type="spellStart"/>
            <w:r w:rsidRPr="009841AB">
              <w:t>pieslēguma</w:t>
            </w:r>
            <w:proofErr w:type="spellEnd"/>
            <w:r w:rsidRPr="009841AB">
              <w:t xml:space="preserve"> pieejamību ar vismaz 100 </w:t>
            </w:r>
            <w:proofErr w:type="spellStart"/>
            <w:r w:rsidRPr="009841AB">
              <w:t>Mb</w:t>
            </w:r>
            <w:proofErr w:type="spellEnd"/>
            <w:r w:rsidRPr="009841AB">
              <w:t>/s lejupielādes ātrumu, ko var uzlabot līdz gigabita ātrumam. Līdz ar to tiek iekļauti arī privātmāju ciemati.</w:t>
            </w:r>
          </w:p>
          <w:p w14:paraId="06E09845" w14:textId="77777777" w:rsidR="00334BD9" w:rsidRPr="009841AB" w:rsidRDefault="00334BD9" w:rsidP="00334BD9">
            <w:pPr>
              <w:pStyle w:val="naisc"/>
              <w:spacing w:before="0" w:after="0"/>
              <w:jc w:val="left"/>
            </w:pPr>
            <w:r w:rsidRPr="009841AB">
              <w:t xml:space="preserve">Papildināta 4.3.1.1. rīcības </w:t>
            </w:r>
            <w:proofErr w:type="spellStart"/>
            <w:r w:rsidRPr="009841AB">
              <w:t>apakšvirziena</w:t>
            </w:r>
            <w:proofErr w:type="spellEnd"/>
            <w:r w:rsidRPr="009841AB">
              <w:t xml:space="preserve"> Sagaidāmo rezultātu sadaļa.</w:t>
            </w:r>
          </w:p>
        </w:tc>
        <w:tc>
          <w:tcPr>
            <w:tcW w:w="3497" w:type="dxa"/>
            <w:tcBorders>
              <w:left w:val="single" w:sz="6" w:space="0" w:color="000000" w:themeColor="text1"/>
              <w:bottom w:val="single" w:sz="4" w:space="0" w:color="auto"/>
            </w:tcBorders>
            <w:shd w:val="clear" w:color="auto" w:fill="auto"/>
          </w:tcPr>
          <w:p w14:paraId="713E4443" w14:textId="77777777" w:rsidR="001D7B9E" w:rsidRDefault="008B21EF" w:rsidP="00F95D8B">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4.3.1.1.</w:t>
            </w:r>
          </w:p>
          <w:p w14:paraId="7CCDBD31" w14:textId="77777777" w:rsidR="008D4183" w:rsidRDefault="008D4183" w:rsidP="00F95D8B">
            <w:pPr>
              <w:pStyle w:val="naisc"/>
              <w:spacing w:before="0" w:after="0"/>
              <w:jc w:val="left"/>
            </w:pPr>
            <w:r>
              <w:t>Papildināts ar diviem sagaidāmajiem rezultātiem:</w:t>
            </w:r>
          </w:p>
          <w:p w14:paraId="7BDFEE91" w14:textId="77777777" w:rsidR="008D4183" w:rsidRDefault="008D4183" w:rsidP="008D4183">
            <w:pPr>
              <w:pStyle w:val="naisc"/>
              <w:jc w:val="both"/>
            </w:pPr>
            <w:r>
              <w:t xml:space="preserve">6. Visām publiskām pārvaldes iestādēm, sociāli ekonomiskiem virzītājspēkiem (prioritāri skolās, ārstniecības iestādēs un aptiekās) ir izveidots ļoti augstas veiktspējas platjoslas </w:t>
            </w:r>
            <w:proofErr w:type="spellStart"/>
            <w:r>
              <w:t>pieslēgums</w:t>
            </w:r>
            <w:proofErr w:type="spellEnd"/>
            <w:r>
              <w:t xml:space="preserve">, </w:t>
            </w:r>
            <w:r>
              <w:lastRenderedPageBreak/>
              <w:t>atbilstoši ekonomiski izdevīgākajam risinājumam.</w:t>
            </w:r>
          </w:p>
          <w:p w14:paraId="58D034EC" w14:textId="77777777" w:rsidR="008D4183" w:rsidRDefault="008D4183" w:rsidP="008D4183">
            <w:pPr>
              <w:pStyle w:val="naisc"/>
              <w:jc w:val="both"/>
            </w:pPr>
          </w:p>
          <w:p w14:paraId="468B3280" w14:textId="77777777" w:rsidR="001D7B9E" w:rsidRPr="009841AB" w:rsidRDefault="008D4183" w:rsidP="008D4183">
            <w:pPr>
              <w:pStyle w:val="naisc"/>
              <w:spacing w:before="0" w:after="0"/>
              <w:jc w:val="both"/>
            </w:pPr>
            <w:r>
              <w:t>7. SM sadarbībā ar plānošanas re</w:t>
            </w:r>
            <w:r w:rsidR="00210112">
              <w:t>ģioniem panākta vienošanās par pēdējās jūdzes</w:t>
            </w:r>
            <w:r>
              <w:t xml:space="preserve"> īstenošanas modeli.</w:t>
            </w:r>
          </w:p>
        </w:tc>
      </w:tr>
      <w:tr w:rsidR="001D7B9E" w:rsidRPr="009841AB" w14:paraId="6EECC9E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E404CD6" w14:textId="77777777" w:rsidR="001D7B9E" w:rsidRPr="009841AB" w:rsidRDefault="006B2952" w:rsidP="001D7B9E">
            <w:pPr>
              <w:pStyle w:val="naisc"/>
              <w:spacing w:before="0" w:after="0"/>
            </w:pPr>
            <w:r>
              <w:lastRenderedPageBreak/>
              <w:t>222</w:t>
            </w:r>
          </w:p>
        </w:tc>
        <w:tc>
          <w:tcPr>
            <w:tcW w:w="2427" w:type="dxa"/>
            <w:tcBorders>
              <w:left w:val="single" w:sz="6" w:space="0" w:color="000000" w:themeColor="text1"/>
              <w:bottom w:val="single" w:sz="4" w:space="0" w:color="auto"/>
            </w:tcBorders>
            <w:shd w:val="clear" w:color="auto" w:fill="auto"/>
          </w:tcPr>
          <w:p w14:paraId="73D07B84" w14:textId="77777777" w:rsidR="001D7B9E" w:rsidRPr="009841AB" w:rsidRDefault="001D7B9E" w:rsidP="001D7B9E">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201F65A0" w14:textId="77777777" w:rsidR="001D7B9E" w:rsidRPr="0061680A" w:rsidRDefault="001D7B9E" w:rsidP="001D7B9E">
            <w:pPr>
              <w:jc w:val="both"/>
            </w:pPr>
            <w:r w:rsidRPr="009841AB">
              <w:t>2.</w:t>
            </w:r>
            <w:r w:rsidRPr="009841AB">
              <w:rPr>
                <w:b/>
                <w:bCs/>
              </w:rPr>
              <w:t xml:space="preserve"> </w:t>
            </w:r>
            <w:r w:rsidRPr="008A2A01">
              <w:t>4.</w:t>
            </w:r>
            <w:r w:rsidRPr="0061680A">
              <w:t xml:space="preserve">3.1.2 Rīcības </w:t>
            </w:r>
            <w:proofErr w:type="spellStart"/>
            <w:r w:rsidRPr="0061680A">
              <w:t>apakšvirziens</w:t>
            </w:r>
            <w:proofErr w:type="spellEnd"/>
            <w:r w:rsidRPr="0061680A">
              <w:t>: Infrastruktūras koplietošanas veicināšana un atbalsta infrastruktūras pieejamība.</w:t>
            </w:r>
          </w:p>
          <w:p w14:paraId="6F8A698A" w14:textId="77777777" w:rsidR="001D7B9E" w:rsidRPr="009841AB" w:rsidRDefault="001D7B9E" w:rsidP="001D7B9E">
            <w:pPr>
              <w:jc w:val="both"/>
            </w:pPr>
            <w:r w:rsidRPr="009841AB">
              <w:t xml:space="preserve">Visā sadaļu nepieciešams papildināt ar aprakstiem, vīzijām un uzdevumiem saistībā ar koplietošanas infrastruktūras izmantošanu inovatīviem risinājumiem, piemēram, </w:t>
            </w:r>
            <w:proofErr w:type="spellStart"/>
            <w:r w:rsidRPr="009841AB">
              <w:t>droniem</w:t>
            </w:r>
            <w:proofErr w:type="spellEnd"/>
            <w:r w:rsidRPr="009841AB">
              <w:t xml:space="preserve">. Nepieciešami noteikumi to izmantošanā, trases kartējums ne tikai automātiskām piegādēm, bet arī ikdienas </w:t>
            </w:r>
            <w:proofErr w:type="spellStart"/>
            <w:r w:rsidRPr="009841AB">
              <w:t>apsekojumiem</w:t>
            </w:r>
            <w:proofErr w:type="spellEnd"/>
            <w:r w:rsidRPr="009841AB">
              <w:t xml:space="preserve"> un uzraudzībai (lauksaimniecība, mežsaimniecība, satiksmes un sabiedriskā labuma infrastruktūras drošība u.t.t.).</w:t>
            </w:r>
          </w:p>
          <w:p w14:paraId="2BFFB8BD" w14:textId="77777777" w:rsidR="001D7B9E" w:rsidRPr="009841AB" w:rsidRDefault="001D7B9E" w:rsidP="001D7B9E">
            <w:pPr>
              <w:jc w:val="both"/>
            </w:pPr>
            <w:r w:rsidRPr="009841AB">
              <w:t xml:space="preserve">Nepieciešama koordinācija un atbalsts pašvaldībām koplietošanas IKT infrastruktūras izmantošanai, atvieglotus risinājumus uzdevumu un mērķu sasniegšanai, koordinētai sadarbībai operatoru, tīklu </w:t>
            </w:r>
            <w:r w:rsidRPr="009841AB">
              <w:lastRenderedPageBreak/>
              <w:t>infrastruktūru turētāju, un Satiksmes ministrijas starpā, gan projektu sagatavošanā, gan iespēju apzināšanā.</w:t>
            </w:r>
          </w:p>
        </w:tc>
        <w:tc>
          <w:tcPr>
            <w:tcW w:w="2480" w:type="dxa"/>
            <w:tcBorders>
              <w:left w:val="single" w:sz="6" w:space="0" w:color="000000" w:themeColor="text1"/>
              <w:bottom w:val="single" w:sz="4" w:space="0" w:color="auto"/>
            </w:tcBorders>
            <w:shd w:val="clear" w:color="auto" w:fill="auto"/>
          </w:tcPr>
          <w:p w14:paraId="6A2B0B30" w14:textId="77777777" w:rsidR="008A2A01" w:rsidRDefault="008A2A01" w:rsidP="008A2A01">
            <w:pPr>
              <w:pStyle w:val="naisc"/>
              <w:jc w:val="both"/>
              <w:rPr>
                <w:b/>
                <w:bCs/>
              </w:rPr>
            </w:pPr>
            <w:r>
              <w:rPr>
                <w:b/>
                <w:bCs/>
              </w:rPr>
              <w:lastRenderedPageBreak/>
              <w:t>Panākta vienošanās</w:t>
            </w:r>
          </w:p>
          <w:p w14:paraId="303D2237" w14:textId="77777777" w:rsidR="001D7B9E" w:rsidRPr="009841AB" w:rsidRDefault="00F95D8B" w:rsidP="00F95D8B">
            <w:pPr>
              <w:pStyle w:val="naisc"/>
              <w:spacing w:before="0" w:after="0"/>
              <w:jc w:val="both"/>
            </w:pPr>
            <w:r w:rsidRPr="009841AB">
              <w:t xml:space="preserve">Pamatnostādnes jau paredz izstrādāt tiesisko regulējumu autonomo </w:t>
            </w:r>
            <w:proofErr w:type="spellStart"/>
            <w:r w:rsidRPr="009841AB">
              <w:t>dronu</w:t>
            </w:r>
            <w:proofErr w:type="spellEnd"/>
            <w:r w:rsidRPr="009841AB">
              <w:t xml:space="preserve"> satiksmes regulēšanai un kontrolēšanai. Minētā problemātika ir iekļauta 4.5.2. Rīcības virzienā: Viedās pilsētas, viedā mobilitāte, autonomie transporta līdzekļi, izmēģinājuma poligoni un regulējuma smilškastes.</w:t>
            </w:r>
          </w:p>
        </w:tc>
        <w:tc>
          <w:tcPr>
            <w:tcW w:w="3497" w:type="dxa"/>
            <w:tcBorders>
              <w:left w:val="single" w:sz="6" w:space="0" w:color="000000" w:themeColor="text1"/>
              <w:bottom w:val="single" w:sz="4" w:space="0" w:color="auto"/>
            </w:tcBorders>
            <w:shd w:val="clear" w:color="auto" w:fill="auto"/>
          </w:tcPr>
          <w:p w14:paraId="3456544C" w14:textId="77777777" w:rsidR="001D7B9E" w:rsidRPr="009841AB" w:rsidRDefault="00F95D8B" w:rsidP="00AA391D">
            <w:pPr>
              <w:pStyle w:val="naisc"/>
              <w:spacing w:before="0" w:after="0"/>
              <w:jc w:val="left"/>
            </w:pPr>
            <w:r w:rsidRPr="009841AB">
              <w:t xml:space="preserve">Lūdzam skatīt </w:t>
            </w:r>
            <w:proofErr w:type="spellStart"/>
            <w:r w:rsidRPr="009841AB">
              <w:t>apakšsadaļu</w:t>
            </w:r>
            <w:proofErr w:type="spellEnd"/>
            <w:r w:rsidRPr="009841AB">
              <w:t xml:space="preserve"> 4.3.1.2.</w:t>
            </w:r>
          </w:p>
        </w:tc>
      </w:tr>
      <w:tr w:rsidR="001D7B9E" w:rsidRPr="009841AB" w14:paraId="4809279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D0AFBD7" w14:textId="77777777" w:rsidR="001D7B9E" w:rsidRPr="009841AB" w:rsidRDefault="006B2952" w:rsidP="001D7B9E">
            <w:pPr>
              <w:pStyle w:val="naisc"/>
              <w:spacing w:before="0" w:after="0"/>
            </w:pPr>
            <w:r>
              <w:t>223</w:t>
            </w:r>
          </w:p>
        </w:tc>
        <w:tc>
          <w:tcPr>
            <w:tcW w:w="2427" w:type="dxa"/>
            <w:tcBorders>
              <w:left w:val="single" w:sz="6" w:space="0" w:color="000000" w:themeColor="text1"/>
              <w:bottom w:val="single" w:sz="4" w:space="0" w:color="auto"/>
            </w:tcBorders>
            <w:shd w:val="clear" w:color="auto" w:fill="auto"/>
          </w:tcPr>
          <w:p w14:paraId="796C14E2" w14:textId="77777777" w:rsidR="001D7B9E" w:rsidRPr="009841AB" w:rsidRDefault="001D7B9E" w:rsidP="001D7B9E">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426A21A1" w14:textId="77777777" w:rsidR="001D7B9E" w:rsidRPr="009841AB" w:rsidRDefault="001D7B9E" w:rsidP="001D7B9E">
            <w:pPr>
              <w:jc w:val="both"/>
            </w:pPr>
            <w:r w:rsidRPr="009841AB">
              <w:t xml:space="preserve">3. Kā prioritāte visu pārējo rīcību īstenošanā un nosprausto mērķu sasniegšanā būtu jāizvirza 4.3.1.1. Rīcības </w:t>
            </w:r>
            <w:proofErr w:type="spellStart"/>
            <w:r w:rsidRPr="009841AB">
              <w:t>apakšvirziens</w:t>
            </w:r>
            <w:proofErr w:type="spellEnd"/>
            <w:r w:rsidRPr="009841AB">
              <w:t>: Vidējās un pēdējās jūdzes  elektronisko sakaru tīklu infrastruktūras attīstīšana, vislielāko uzsvaru liekot tieši uz atbalstu “pēdējās jūdzes” attīstībā, jo lauku reģionu mājsaimniecībām nav pieejami resursi tieši šīs pēdējās jūdzes nodrošināšanai.</w:t>
            </w:r>
          </w:p>
        </w:tc>
        <w:tc>
          <w:tcPr>
            <w:tcW w:w="2480" w:type="dxa"/>
            <w:tcBorders>
              <w:left w:val="single" w:sz="6" w:space="0" w:color="000000" w:themeColor="text1"/>
              <w:bottom w:val="single" w:sz="4" w:space="0" w:color="auto"/>
            </w:tcBorders>
            <w:shd w:val="clear" w:color="auto" w:fill="auto"/>
          </w:tcPr>
          <w:p w14:paraId="0F8312E2" w14:textId="77777777" w:rsidR="008A2A01" w:rsidRDefault="008A2A01" w:rsidP="008A2A01">
            <w:pPr>
              <w:pStyle w:val="naisc"/>
              <w:jc w:val="both"/>
              <w:rPr>
                <w:b/>
                <w:bCs/>
              </w:rPr>
            </w:pPr>
            <w:r>
              <w:rPr>
                <w:b/>
                <w:bCs/>
              </w:rPr>
              <w:t>Panākta vienošanās</w:t>
            </w:r>
          </w:p>
          <w:p w14:paraId="143B18D8" w14:textId="77777777" w:rsidR="00AA391D" w:rsidRPr="009841AB" w:rsidRDefault="00AA391D" w:rsidP="00AA391D">
            <w:pPr>
              <w:jc w:val="both"/>
            </w:pPr>
            <w:r w:rsidRPr="009841AB">
              <w:t xml:space="preserve">Sadaļā Nepieciešamā rīcība ir pateikts, ka Vidējās un pēdējās jūdzes attīstības pasākumi, tostarp valsts atbalsts, tiks izvērtēti un iekļauti platjoslas attīstības plānā laika posmam no 2021. līdz 2027.gadam. Platjoslas plāns ietvers investīciju nepietiekamības novērtējumu, pamatojoties uz esošās privātās un publiskās infrastruktūras un pakalpojumu kvalitātes kartēšanu, kā arī plānotās valsts intervences pamatojumu, balstītu uz ilgtspējīgiem ieguldījumu modeļiem. </w:t>
            </w:r>
          </w:p>
          <w:p w14:paraId="3A34D93B" w14:textId="77777777" w:rsidR="00AA391D" w:rsidRPr="009841AB" w:rsidRDefault="00AA391D" w:rsidP="00AA391D">
            <w:pPr>
              <w:ind w:firstLine="720"/>
              <w:jc w:val="both"/>
            </w:pPr>
            <w:r w:rsidRPr="009841AB">
              <w:t xml:space="preserve">Satiksmes ministrija ir uzsākusi darbu pie detalizētu pētījumu par pieejamo platjoslas infrastruktūru un pakalpojumiem </w:t>
            </w:r>
            <w:r w:rsidRPr="009841AB">
              <w:lastRenderedPageBreak/>
              <w:t>veikšanas, kas vienlaikus tiks izmantoti arī pamatojumam ES finansējuma piesaistes kritēriju izpildē. To mērķis būs noteikt tirgus nepilnības un sniegt priekšlikumus optimāliem pēdējās jūdzes infrastruktūras izvēršanas modeļiem (piemēram, kuponiem, neitrālu tīkla operatoru infrastruktūru (t.sk. elektroapgādes sadales operatoru) utt.).</w:t>
            </w:r>
          </w:p>
        </w:tc>
        <w:tc>
          <w:tcPr>
            <w:tcW w:w="3497" w:type="dxa"/>
            <w:tcBorders>
              <w:left w:val="single" w:sz="6" w:space="0" w:color="000000" w:themeColor="text1"/>
              <w:bottom w:val="single" w:sz="4" w:space="0" w:color="auto"/>
            </w:tcBorders>
            <w:shd w:val="clear" w:color="auto" w:fill="auto"/>
          </w:tcPr>
          <w:p w14:paraId="187E8035" w14:textId="77777777" w:rsidR="001D7B9E" w:rsidRPr="009841AB" w:rsidRDefault="00AA391D" w:rsidP="00AA391D">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4.3.1.1.</w:t>
            </w:r>
          </w:p>
        </w:tc>
      </w:tr>
      <w:tr w:rsidR="001D7B9E" w:rsidRPr="009841AB" w14:paraId="09D990E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24026B1" w14:textId="77777777" w:rsidR="001D7B9E" w:rsidRPr="009841AB" w:rsidRDefault="006B2952" w:rsidP="001D7B9E">
            <w:pPr>
              <w:pStyle w:val="naisc"/>
              <w:spacing w:before="0" w:after="0"/>
            </w:pPr>
            <w:r>
              <w:lastRenderedPageBreak/>
              <w:t>224</w:t>
            </w:r>
          </w:p>
        </w:tc>
        <w:tc>
          <w:tcPr>
            <w:tcW w:w="2427" w:type="dxa"/>
            <w:tcBorders>
              <w:left w:val="single" w:sz="6" w:space="0" w:color="000000" w:themeColor="text1"/>
              <w:bottom w:val="single" w:sz="4" w:space="0" w:color="auto"/>
            </w:tcBorders>
            <w:shd w:val="clear" w:color="auto" w:fill="auto"/>
          </w:tcPr>
          <w:p w14:paraId="12192A8C" w14:textId="77777777" w:rsidR="001D7B9E" w:rsidRPr="009841AB" w:rsidRDefault="001D7B9E" w:rsidP="001D7B9E">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6A81F2F5" w14:textId="77777777" w:rsidR="001D7B9E" w:rsidRPr="009841AB" w:rsidRDefault="001D7B9E" w:rsidP="001D7B9E">
            <w:pPr>
              <w:jc w:val="both"/>
            </w:pPr>
            <w:r w:rsidRPr="009841AB">
              <w:t>4. WiFi4EU projekts pamatnostādnēs tiek minēts kā viens no potenciālajiem papildus finansējuma avotiem. Kandavas novads ir aktīvi iesaistījies finanšu piesaistīšanā programmas WiFi4EU ietvaros, bet arī šī projekta īstenošana ir iespējama tikai pilsētas teritorijā, kur ir iespējams sasniegt projekta noteiktos rezultatīvos rādītājus. WiFi4EU projekta ietvaros netiek atbalstīta infrastruktūras izbūve, līdz ar to šī projekta finansējumu nav iespējams piesaistīt lauku reģioniem, kuros nav izbūvēta atbilstoša infrastruktūra, lai sasniegtu projektā noteiktos rezultatīvos rādītājus.</w:t>
            </w:r>
          </w:p>
        </w:tc>
        <w:tc>
          <w:tcPr>
            <w:tcW w:w="2480" w:type="dxa"/>
            <w:tcBorders>
              <w:left w:val="single" w:sz="6" w:space="0" w:color="000000" w:themeColor="text1"/>
              <w:bottom w:val="single" w:sz="4" w:space="0" w:color="auto"/>
            </w:tcBorders>
            <w:shd w:val="clear" w:color="auto" w:fill="auto"/>
          </w:tcPr>
          <w:p w14:paraId="16528064" w14:textId="77777777" w:rsidR="00ED2A55" w:rsidRPr="009841AB" w:rsidRDefault="00ED2A55" w:rsidP="001D7B9E">
            <w:pPr>
              <w:pStyle w:val="naisc"/>
              <w:spacing w:before="0" w:after="0"/>
              <w:jc w:val="both"/>
              <w:rPr>
                <w:b/>
                <w:bCs/>
              </w:rPr>
            </w:pPr>
            <w:r w:rsidRPr="009841AB">
              <w:rPr>
                <w:b/>
                <w:bCs/>
              </w:rPr>
              <w:t>Ņemts vērā</w:t>
            </w:r>
          </w:p>
          <w:p w14:paraId="76143891" w14:textId="77777777" w:rsidR="00ED2A55" w:rsidRPr="009841AB" w:rsidRDefault="00ED2A55" w:rsidP="001D7B9E">
            <w:pPr>
              <w:pStyle w:val="naisc"/>
              <w:spacing w:before="0" w:after="0"/>
              <w:jc w:val="both"/>
            </w:pPr>
            <w:r w:rsidRPr="009841AB">
              <w:t>Atsauce uz WiFi4EU svītrota.</w:t>
            </w:r>
          </w:p>
        </w:tc>
        <w:tc>
          <w:tcPr>
            <w:tcW w:w="3497" w:type="dxa"/>
            <w:tcBorders>
              <w:left w:val="single" w:sz="6" w:space="0" w:color="000000" w:themeColor="text1"/>
              <w:bottom w:val="single" w:sz="4" w:space="0" w:color="auto"/>
            </w:tcBorders>
            <w:shd w:val="clear" w:color="auto" w:fill="auto"/>
          </w:tcPr>
          <w:p w14:paraId="00CB1461" w14:textId="77777777" w:rsidR="001D7B9E" w:rsidRPr="009841AB" w:rsidRDefault="00ED2A55" w:rsidP="00ED2A55">
            <w:pPr>
              <w:pStyle w:val="naisc"/>
              <w:spacing w:before="0" w:after="0"/>
              <w:jc w:val="left"/>
            </w:pPr>
            <w:r w:rsidRPr="009841AB">
              <w:t xml:space="preserve">Lūdzam skatīt </w:t>
            </w:r>
            <w:proofErr w:type="spellStart"/>
            <w:r w:rsidRPr="009841AB">
              <w:t>apakšsadaļu</w:t>
            </w:r>
            <w:proofErr w:type="spellEnd"/>
            <w:r w:rsidRPr="009841AB">
              <w:t xml:space="preserve"> 4.3.</w:t>
            </w:r>
          </w:p>
        </w:tc>
      </w:tr>
      <w:tr w:rsidR="001D7B9E" w:rsidRPr="009841AB" w14:paraId="434109C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A98A237" w14:textId="77777777" w:rsidR="001D7B9E" w:rsidRPr="009841AB" w:rsidRDefault="002133CA" w:rsidP="001D7B9E">
            <w:pPr>
              <w:pStyle w:val="naisc"/>
              <w:spacing w:before="0" w:after="0"/>
            </w:pPr>
            <w:r>
              <w:t>225</w:t>
            </w:r>
          </w:p>
        </w:tc>
        <w:tc>
          <w:tcPr>
            <w:tcW w:w="2427" w:type="dxa"/>
            <w:tcBorders>
              <w:left w:val="single" w:sz="6" w:space="0" w:color="000000" w:themeColor="text1"/>
              <w:bottom w:val="single" w:sz="4" w:space="0" w:color="auto"/>
            </w:tcBorders>
            <w:shd w:val="clear" w:color="auto" w:fill="auto"/>
          </w:tcPr>
          <w:p w14:paraId="4C941B71" w14:textId="77777777" w:rsidR="001D7B9E" w:rsidRPr="009841AB" w:rsidRDefault="001D7B9E" w:rsidP="001D7B9E">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68ED9F3B" w14:textId="77777777" w:rsidR="001D7B9E" w:rsidRPr="009841AB" w:rsidRDefault="001D7B9E" w:rsidP="001D7B9E">
            <w:pPr>
              <w:jc w:val="both"/>
            </w:pPr>
            <w:r w:rsidRPr="009841AB">
              <w:t xml:space="preserve">5. Lai īstenotu plānoto digitālo transformāciju Latvijas mērogā vispirms ir jāveic liela apjoma ieguldījumi digitālās infrastruktūras attīstībai lauku reģionos, šajā infrastruktūrā ietverot visus </w:t>
            </w:r>
            <w:proofErr w:type="spellStart"/>
            <w:r w:rsidRPr="009841AB">
              <w:t>pieslēguma</w:t>
            </w:r>
            <w:proofErr w:type="spellEnd"/>
            <w:r w:rsidRPr="009841AB">
              <w:t xml:space="preserve"> posmus līdz pat patērētājam.</w:t>
            </w:r>
          </w:p>
        </w:tc>
        <w:tc>
          <w:tcPr>
            <w:tcW w:w="2480" w:type="dxa"/>
            <w:tcBorders>
              <w:left w:val="single" w:sz="6" w:space="0" w:color="000000" w:themeColor="text1"/>
              <w:bottom w:val="single" w:sz="4" w:space="0" w:color="auto"/>
            </w:tcBorders>
            <w:shd w:val="clear" w:color="auto" w:fill="auto"/>
          </w:tcPr>
          <w:p w14:paraId="39AEF947" w14:textId="77777777" w:rsidR="008A2A01" w:rsidRDefault="008A2A01" w:rsidP="008A2A01">
            <w:pPr>
              <w:pStyle w:val="naisc"/>
              <w:jc w:val="both"/>
              <w:rPr>
                <w:b/>
                <w:bCs/>
              </w:rPr>
            </w:pPr>
            <w:r>
              <w:rPr>
                <w:b/>
                <w:bCs/>
              </w:rPr>
              <w:t>Panākta vienošanās</w:t>
            </w:r>
          </w:p>
          <w:p w14:paraId="1F94AC2D" w14:textId="77777777" w:rsidR="00F4535B" w:rsidRPr="009841AB" w:rsidRDefault="00F4535B" w:rsidP="00F4535B">
            <w:pPr>
              <w:pStyle w:val="naisc"/>
              <w:jc w:val="both"/>
            </w:pPr>
            <w:r w:rsidRPr="009841AB">
              <w:t xml:space="preserve">Sadaļā Nepieciešamā rīcība ir pateikts, ka Vidējās un pēdējās jūdzes attīstības </w:t>
            </w:r>
            <w:r w:rsidRPr="009841AB">
              <w:lastRenderedPageBreak/>
              <w:t xml:space="preserve">pasākumi, tostarp valsts atbalsts, tiks izvērtēti un iekļauti platjoslas attīstības plānā laika posmam no 2021. līdz 2027.gadam. Platjoslas plāns ietvers investīciju nepietiekamības novērtējumu, pamatojoties uz esošās privātās un publiskās infrastruktūras un pakalpojumu kvalitātes </w:t>
            </w:r>
            <w:proofErr w:type="spellStart"/>
            <w:r w:rsidRPr="009841AB">
              <w:t>kartēšanau</w:t>
            </w:r>
            <w:proofErr w:type="spellEnd"/>
            <w:r w:rsidRPr="009841AB">
              <w:t xml:space="preserve">, kā arī plānotās valsts intervences pamatojumu, balstītu uz ilgtspējīgiem ieguldījumu modeļiem. </w:t>
            </w:r>
          </w:p>
          <w:p w14:paraId="259E0700" w14:textId="77777777" w:rsidR="001D7B9E" w:rsidRPr="009841AB" w:rsidRDefault="00F4535B" w:rsidP="00F4535B">
            <w:pPr>
              <w:pStyle w:val="naisc"/>
              <w:spacing w:before="0" w:after="0"/>
              <w:jc w:val="both"/>
            </w:pPr>
            <w:r w:rsidRPr="009841AB">
              <w:t xml:space="preserve">Satiksmes ministrija ir uzsākusi darbu pie detalizētu pētījumu par pieejamo platjoslas infrastruktūru un pakalpojumiem veikšanas, kas vienlaikus tiks izmantoti arī pamatojumam ES finansējuma piesaistes kritēriju izpildē. To mērķis būs noteikt tirgus nepilnības un sniegt priekšlikumus </w:t>
            </w:r>
            <w:r w:rsidRPr="009841AB">
              <w:lastRenderedPageBreak/>
              <w:t>optimāliem pēdējās jūdzes infrastruktūras izvēršanas modeļiem (piemēram, kuponiem, neitrālu tīkla operatoru infrastruktūru (t.sk. elektroapgādes sadales operatoru) utt.).</w:t>
            </w:r>
          </w:p>
        </w:tc>
        <w:tc>
          <w:tcPr>
            <w:tcW w:w="3497" w:type="dxa"/>
            <w:tcBorders>
              <w:left w:val="single" w:sz="6" w:space="0" w:color="000000" w:themeColor="text1"/>
              <w:bottom w:val="single" w:sz="4" w:space="0" w:color="auto"/>
            </w:tcBorders>
            <w:shd w:val="clear" w:color="auto" w:fill="auto"/>
          </w:tcPr>
          <w:p w14:paraId="3A7F5DDF" w14:textId="77777777" w:rsidR="001D7B9E" w:rsidRPr="009841AB" w:rsidRDefault="001D7B9E" w:rsidP="001D7B9E">
            <w:pPr>
              <w:pStyle w:val="naisc"/>
              <w:spacing w:before="0" w:after="0"/>
              <w:jc w:val="both"/>
            </w:pPr>
          </w:p>
        </w:tc>
      </w:tr>
      <w:tr w:rsidR="00082E37" w:rsidRPr="009841AB" w14:paraId="7FEE08F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121FCDA" w14:textId="77777777" w:rsidR="00082E37" w:rsidRPr="009841AB" w:rsidRDefault="00082E37" w:rsidP="001D7B9E">
            <w:pPr>
              <w:pStyle w:val="naisc"/>
              <w:spacing w:before="0" w:after="0"/>
              <w:jc w:val="both"/>
            </w:pPr>
            <w:r w:rsidRPr="009841AB">
              <w:rPr>
                <w:b/>
                <w:bCs/>
                <w:lang w:eastAsia="en-US"/>
              </w:rPr>
              <w:lastRenderedPageBreak/>
              <w:t xml:space="preserve">Latvijas Pašvaldību savienības </w:t>
            </w:r>
            <w:r>
              <w:rPr>
                <w:b/>
                <w:bCs/>
                <w:lang w:eastAsia="en-US"/>
              </w:rPr>
              <w:t>01</w:t>
            </w:r>
            <w:r w:rsidRPr="009841AB">
              <w:rPr>
                <w:b/>
                <w:bCs/>
                <w:lang w:eastAsia="en-US"/>
              </w:rPr>
              <w:t>.0</w:t>
            </w:r>
            <w:r>
              <w:rPr>
                <w:b/>
                <w:bCs/>
                <w:lang w:eastAsia="en-US"/>
              </w:rPr>
              <w:t>5</w:t>
            </w:r>
            <w:r w:rsidRPr="009841AB">
              <w:rPr>
                <w:b/>
                <w:bCs/>
                <w:lang w:eastAsia="en-US"/>
              </w:rPr>
              <w:t>.2021. atzinums:</w:t>
            </w:r>
          </w:p>
        </w:tc>
      </w:tr>
      <w:tr w:rsidR="00082E37" w:rsidRPr="009841AB" w14:paraId="1B9D133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9D9E5E8" w14:textId="77777777" w:rsidR="00082E37" w:rsidRPr="009841AB" w:rsidRDefault="002133CA" w:rsidP="001D7B9E">
            <w:pPr>
              <w:pStyle w:val="naisc"/>
              <w:spacing w:before="0" w:after="0"/>
            </w:pPr>
            <w:r>
              <w:t>226</w:t>
            </w:r>
          </w:p>
        </w:tc>
        <w:tc>
          <w:tcPr>
            <w:tcW w:w="2427" w:type="dxa"/>
            <w:tcBorders>
              <w:left w:val="single" w:sz="6" w:space="0" w:color="000000" w:themeColor="text1"/>
              <w:bottom w:val="single" w:sz="4" w:space="0" w:color="auto"/>
            </w:tcBorders>
            <w:shd w:val="clear" w:color="auto" w:fill="auto"/>
          </w:tcPr>
          <w:p w14:paraId="6755E5E5" w14:textId="77777777" w:rsidR="00082E37" w:rsidRPr="009841AB" w:rsidRDefault="00082E37" w:rsidP="001D7B9E">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6561829E" w14:textId="77777777" w:rsidR="00082E37" w:rsidRPr="00082E37" w:rsidRDefault="00082E37" w:rsidP="00082E37">
            <w:pPr>
              <w:spacing w:after="160" w:line="259" w:lineRule="auto"/>
              <w:jc w:val="both"/>
              <w:rPr>
                <w:rFonts w:eastAsia="Calibri"/>
                <w:color w:val="000000"/>
              </w:rPr>
            </w:pPr>
            <w:r>
              <w:rPr>
                <w:rFonts w:eastAsia="Calibri"/>
                <w:color w:val="000000"/>
              </w:rPr>
              <w:t xml:space="preserve">1. </w:t>
            </w:r>
            <w:r w:rsidRPr="00082E37">
              <w:rPr>
                <w:rFonts w:eastAsia="Calibri"/>
                <w:color w:val="000000"/>
              </w:rPr>
              <w:t>Attiecībā uz RR 4.3.1.1., kuram Latvijas Pašvaldību Savienība jau iepriekš ir sniegusi priekšlikumus precizējumiem, vēlamies norādīt, ka norādītie sasniedzamie rādītāji (projekta 41., 45.lpp. faktiski nav sasniedzami ar Pamatnostādņu projektā iekļautajām aktivitātēm.</w:t>
            </w:r>
          </w:p>
          <w:p w14:paraId="68DCCDF9" w14:textId="77777777" w:rsidR="00082E37" w:rsidRPr="009841AB" w:rsidRDefault="00082E37" w:rsidP="00082E37">
            <w:pPr>
              <w:jc w:val="both"/>
            </w:pPr>
            <w:r w:rsidRPr="00082E37">
              <w:rPr>
                <w:color w:val="000000"/>
                <w:lang w:eastAsia="en-US"/>
              </w:rPr>
              <w:t xml:space="preserve">Uzskatām, ka pat, ja lauku reģionos aktīvi tiktu izmantota LVRTC platjosla, tik un tā procentuāli šī ir maza daļa no kopējo mājsaimniecību skaita. Pilsētu teritorijās, kas nav LVRTC platjoslas </w:t>
            </w:r>
            <w:proofErr w:type="spellStart"/>
            <w:r w:rsidRPr="00082E37">
              <w:rPr>
                <w:color w:val="000000"/>
                <w:lang w:eastAsia="en-US"/>
              </w:rPr>
              <w:t>pieslēgumu</w:t>
            </w:r>
            <w:proofErr w:type="spellEnd"/>
            <w:r w:rsidRPr="00082E37">
              <w:rPr>
                <w:color w:val="000000"/>
                <w:lang w:eastAsia="en-US"/>
              </w:rPr>
              <w:t xml:space="preserve"> mērķauditorija, lielākajā daļa mājsaimniecību ir pieejamas tikai novecojušās DSL līnijas (tehnoloģisks ierobežojums ~30Mb/s) un 4G tīkls (piemēram, vidējais rādītājs Valmierā ~20Mb/s), kas pie esošās tīkla un iekārtu kapacitātes, bāzes torņu un klientu skaita nenodrošinās noteikto minimumu 100Mb/s. Kamēr netiks paredzētas konkrētas aktivitātes komersantu tīkla attīstībā, tikmēr pašvaldības un mājsaimniecības aizvien saņems komersantu atbildes, ka izmaksas ir pārāk lielas, lai nodrošinātu platjoslas pieejamību”. </w:t>
            </w:r>
            <w:r w:rsidRPr="00082E37">
              <w:rPr>
                <w:color w:val="000000"/>
                <w:u w:val="single"/>
                <w:lang w:eastAsia="en-US"/>
              </w:rPr>
              <w:t>Aicinām izvērtēt papildināt Pamatnostādņu projektu ar jaunu aktivitāti</w:t>
            </w:r>
            <w:r w:rsidRPr="00082E37">
              <w:rPr>
                <w:color w:val="000000"/>
                <w:lang w:eastAsia="en-US"/>
              </w:rPr>
              <w:t xml:space="preserve"> vai papildināt kādu esošo nosakot par obligātu nosacījumu ielu, zaļo zonu un iekšējo komunikāciju (siltumtrase, lietus un pilsētas kanalizācijas u.c.) remontu vai </w:t>
            </w:r>
            <w:r w:rsidRPr="00082E37">
              <w:rPr>
                <w:color w:val="000000"/>
                <w:lang w:eastAsia="en-US"/>
              </w:rPr>
              <w:lastRenderedPageBreak/>
              <w:t>būvniecības laikā veikt inženiertehnisko (komunikācijas) tīklu pārbaudi un paredzēt platjoslas izbūvi, kas  varētu samazināt platjoslas izbūves izmaksas. Ņemot vērā pašvaldību finansiālo resursu pieejamību, tad šādas aktivitātes varētu tikt īstenotas, galvenokārt, ar komersantu, valsts budžeta un/vai Eiropas Savienības finanšu instrumentiem.</w:t>
            </w:r>
          </w:p>
        </w:tc>
        <w:tc>
          <w:tcPr>
            <w:tcW w:w="2480" w:type="dxa"/>
            <w:tcBorders>
              <w:left w:val="single" w:sz="6" w:space="0" w:color="000000" w:themeColor="text1"/>
              <w:bottom w:val="single" w:sz="4" w:space="0" w:color="auto"/>
            </w:tcBorders>
            <w:shd w:val="clear" w:color="auto" w:fill="auto"/>
          </w:tcPr>
          <w:p w14:paraId="4DDFD906" w14:textId="77777777" w:rsidR="008A2A01" w:rsidRDefault="008A2A01" w:rsidP="008A2A01">
            <w:pPr>
              <w:pStyle w:val="naisc"/>
              <w:jc w:val="both"/>
              <w:rPr>
                <w:b/>
                <w:bCs/>
              </w:rPr>
            </w:pPr>
            <w:r>
              <w:rPr>
                <w:b/>
                <w:bCs/>
              </w:rPr>
              <w:lastRenderedPageBreak/>
              <w:t>Panākta vienošanās</w:t>
            </w:r>
          </w:p>
          <w:p w14:paraId="3E17A02E" w14:textId="77777777" w:rsidR="00082E37" w:rsidRPr="009841AB" w:rsidRDefault="00C857FC" w:rsidP="00F4535B">
            <w:pPr>
              <w:pStyle w:val="naisc"/>
              <w:jc w:val="both"/>
              <w:rPr>
                <w:b/>
                <w:bCs/>
              </w:rPr>
            </w:pPr>
            <w:r w:rsidRPr="00CC5FAD">
              <w:rPr>
                <w:bCs/>
              </w:rPr>
              <w:t>VARAM vērš uzmanību, ka pamatnostādnēs ir noteikts, ka vidējās un pēdējās jūdzes attīstības pasākumi, tostarp valsts atbalsts, tiks izvērtēti un iekļauti platjoslas attīstības plānā laika p</w:t>
            </w:r>
            <w:r>
              <w:rPr>
                <w:bCs/>
              </w:rPr>
              <w:t>osmam no 2021. līdz 2027.gadam</w:t>
            </w:r>
            <w:r w:rsidRPr="00CC5FAD">
              <w:rPr>
                <w:bCs/>
              </w:rPr>
              <w:t>. “Pēdējās jūdzes” valsts atbalsta īstenošanas modelī plānota Satiksmes ministrijas cieša sadarbība ar plānošanas reģioniem, kas, savukārt, konsultējoties ar pašvaldībām noteiks prioritātes.</w:t>
            </w:r>
          </w:p>
        </w:tc>
        <w:tc>
          <w:tcPr>
            <w:tcW w:w="3497" w:type="dxa"/>
            <w:tcBorders>
              <w:left w:val="single" w:sz="6" w:space="0" w:color="000000" w:themeColor="text1"/>
              <w:bottom w:val="single" w:sz="4" w:space="0" w:color="auto"/>
            </w:tcBorders>
            <w:shd w:val="clear" w:color="auto" w:fill="auto"/>
          </w:tcPr>
          <w:p w14:paraId="2B68EC57" w14:textId="77777777" w:rsidR="00C857FC" w:rsidRDefault="00C857FC" w:rsidP="00C857FC">
            <w:pPr>
              <w:pStyle w:val="naisc"/>
              <w:spacing w:before="0" w:after="0"/>
              <w:jc w:val="both"/>
            </w:pPr>
            <w:r>
              <w:t>4.3.1.1. sadaļas Nepieciešamā rīcība:</w:t>
            </w:r>
          </w:p>
          <w:p w14:paraId="733F8119" w14:textId="77777777" w:rsidR="00C857FC" w:rsidRPr="00CC5FAD" w:rsidRDefault="00C857FC" w:rsidP="00C857FC">
            <w:pPr>
              <w:spacing w:before="120" w:after="120" w:line="259" w:lineRule="auto"/>
              <w:ind w:left="360"/>
              <w:jc w:val="both"/>
              <w:rPr>
                <w:lang w:val="lv"/>
              </w:rPr>
            </w:pPr>
            <w:r>
              <w:rPr>
                <w:lang w:val="lv"/>
              </w:rPr>
              <w:t xml:space="preserve">2. </w:t>
            </w:r>
            <w:r w:rsidRPr="00CC5FAD">
              <w:rPr>
                <w:lang w:val="lv"/>
              </w:rPr>
              <w:t xml:space="preserve">Vidējās un pēdējās jūdzes attīstības pasākumi, tostarp valsts atbalsts, tiks izvērtēti un iekļauti platjoslas attīstības plānā laika posmam no 2021. līdz 2027. gadam. Platjoslas plāns ietvers investīciju nepietiekamības novērtējumu, pamatojoties uz esošās privātās un publiskās infrastruktūras un pakalpojumu kvalitātes kartēšanu, kā arī plānotās valsts intervences pamatojumu, balstītu uz ilgtspējīgiem ieguldījumu modeļiem. Pēdējās jūdzes valsts atbalsta īstenošanas modelī plānota SM cieša sadarbība ar plānošanas reģioniem, kas, savukārt, </w:t>
            </w:r>
            <w:r w:rsidRPr="00CC5FAD">
              <w:rPr>
                <w:lang w:val="lv"/>
              </w:rPr>
              <w:lastRenderedPageBreak/>
              <w:t>konsultējoties ar pašvaldībām noteiks prioritātes.</w:t>
            </w:r>
          </w:p>
          <w:p w14:paraId="66487E76" w14:textId="77777777" w:rsidR="00210112" w:rsidRDefault="00210112" w:rsidP="00210112">
            <w:pPr>
              <w:pStyle w:val="naisc"/>
              <w:spacing w:before="0" w:after="0"/>
              <w:jc w:val="both"/>
            </w:pPr>
            <w:r>
              <w:t>Papildināts ar diviem sagaidāmajiem rezultātiem:</w:t>
            </w:r>
          </w:p>
          <w:p w14:paraId="062861BE" w14:textId="77777777" w:rsidR="00210112" w:rsidRDefault="00210112" w:rsidP="00210112">
            <w:pPr>
              <w:pStyle w:val="naisc"/>
              <w:jc w:val="both"/>
            </w:pPr>
            <w:r>
              <w:t xml:space="preserve">6. Visām publiskām pārvaldes iestādēm, sociāli ekonomiskiem virzītājspēkiem (prioritāri skolās, ārstniecības iestādēs un aptiekās) ir izveidots ļoti augstas veiktspējas platjoslas </w:t>
            </w:r>
            <w:proofErr w:type="spellStart"/>
            <w:r>
              <w:t>pieslēgums</w:t>
            </w:r>
            <w:proofErr w:type="spellEnd"/>
            <w:r>
              <w:t>, atbilstoši ekonomiski izdevīgākajam risinājumam.</w:t>
            </w:r>
          </w:p>
          <w:p w14:paraId="563A6693" w14:textId="77777777" w:rsidR="00210112" w:rsidRDefault="00210112" w:rsidP="00210112">
            <w:pPr>
              <w:pStyle w:val="naisc"/>
              <w:jc w:val="both"/>
            </w:pPr>
          </w:p>
          <w:p w14:paraId="197E0A38" w14:textId="77777777" w:rsidR="00210112" w:rsidRPr="00CC5FAD" w:rsidRDefault="00210112" w:rsidP="00210112">
            <w:pPr>
              <w:spacing w:before="120" w:after="120" w:line="259" w:lineRule="auto"/>
              <w:jc w:val="both"/>
              <w:rPr>
                <w:lang w:val="lv"/>
              </w:rPr>
            </w:pPr>
            <w:r>
              <w:t>7. SM sadarbībā ar plānošanas reģioniem panākta vienošanās par pēdējās jūdzes īstenošanas modeli.</w:t>
            </w:r>
          </w:p>
          <w:p w14:paraId="135AC0A4" w14:textId="77777777" w:rsidR="00082E37" w:rsidRPr="009841AB" w:rsidRDefault="00082E37" w:rsidP="001D7B9E">
            <w:pPr>
              <w:pStyle w:val="naisc"/>
              <w:spacing w:before="0" w:after="0"/>
              <w:jc w:val="both"/>
            </w:pPr>
          </w:p>
        </w:tc>
      </w:tr>
      <w:tr w:rsidR="00082E37" w:rsidRPr="009841AB" w14:paraId="5E8B587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3F620CE" w14:textId="77777777" w:rsidR="00082E37" w:rsidRPr="009841AB" w:rsidRDefault="002133CA" w:rsidP="001D7B9E">
            <w:pPr>
              <w:pStyle w:val="naisc"/>
              <w:spacing w:before="0" w:after="0"/>
            </w:pPr>
            <w:r>
              <w:lastRenderedPageBreak/>
              <w:t>227</w:t>
            </w:r>
          </w:p>
        </w:tc>
        <w:tc>
          <w:tcPr>
            <w:tcW w:w="2427" w:type="dxa"/>
            <w:tcBorders>
              <w:left w:val="single" w:sz="6" w:space="0" w:color="000000" w:themeColor="text1"/>
              <w:bottom w:val="single" w:sz="4" w:space="0" w:color="auto"/>
            </w:tcBorders>
            <w:shd w:val="clear" w:color="auto" w:fill="auto"/>
          </w:tcPr>
          <w:p w14:paraId="44556F27" w14:textId="77777777" w:rsidR="00082E37" w:rsidRPr="009841AB" w:rsidRDefault="00C02ED5" w:rsidP="001D7B9E">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1C960FCD" w14:textId="77777777" w:rsidR="00082E37" w:rsidRPr="00082E37" w:rsidRDefault="00C02ED5" w:rsidP="001D7B9E">
            <w:pPr>
              <w:jc w:val="both"/>
            </w:pPr>
            <w:r>
              <w:rPr>
                <w:color w:val="000000"/>
                <w:lang w:eastAsia="en-US"/>
              </w:rPr>
              <w:t xml:space="preserve">2. </w:t>
            </w:r>
            <w:r w:rsidR="00082E37" w:rsidRPr="00082E37">
              <w:rPr>
                <w:color w:val="000000"/>
                <w:lang w:eastAsia="en-US"/>
              </w:rPr>
              <w:t>Uzskatām, ka 44.lpp minētais apgalvojums</w:t>
            </w:r>
            <w:r w:rsidR="00082E37">
              <w:rPr>
                <w:color w:val="000000"/>
                <w:lang w:eastAsia="en-US"/>
              </w:rPr>
              <w:t xml:space="preserve"> </w:t>
            </w:r>
            <w:r w:rsidR="00082E37" w:rsidRPr="00C02ED5">
              <w:rPr>
                <w:i/>
                <w:iCs/>
                <w:color w:val="000000"/>
                <w:lang w:eastAsia="en-US"/>
              </w:rPr>
              <w:t xml:space="preserve">“Nepieciešams norādīt, ka vidējās un pēdējās jūdzes attīstībai nepieciešami 60 miljoni </w:t>
            </w:r>
            <w:proofErr w:type="spellStart"/>
            <w:r w:rsidR="00082E37" w:rsidRPr="00C02ED5">
              <w:rPr>
                <w:i/>
                <w:iCs/>
                <w:color w:val="000000"/>
                <w:lang w:eastAsia="en-US"/>
              </w:rPr>
              <w:t>euro</w:t>
            </w:r>
            <w:proofErr w:type="spellEnd"/>
            <w:r w:rsidR="00082E37" w:rsidRPr="00C02ED5">
              <w:rPr>
                <w:i/>
                <w:iCs/>
                <w:color w:val="000000"/>
                <w:lang w:eastAsia="en-US"/>
              </w:rPr>
              <w:t xml:space="preserve"> katrai, tomēr Nacionālajā attīstības plāns  paredz mazāku finansējumu. Tāpat kā riska faktors jāmin nepietiekams pieprasījums pēc platjoslas pakalpojumiem, kas cita starpā ir sekas nepieciešamo digitālo prasmju trūkumam gan biznesa realizācijā, gan mājsaimniecību ikdienas jautājumu kārtošanā</w:t>
            </w:r>
            <w:r w:rsidRPr="00C02ED5">
              <w:rPr>
                <w:i/>
                <w:iCs/>
                <w:color w:val="000000"/>
                <w:lang w:eastAsia="en-US"/>
              </w:rPr>
              <w:t>”</w:t>
            </w:r>
            <w:r w:rsidR="00082E37" w:rsidRPr="00082E37">
              <w:rPr>
                <w:color w:val="000000"/>
                <w:lang w:eastAsia="en-US"/>
              </w:rPr>
              <w:t xml:space="preserve"> ir neprecīzs un nekorekts. Pieprasījums ir, bet patreizējā pakalpojuma cena ir neadekvāti augsta, kā arī nereti LVRTC pakalpojuma pieslēgšana tiek atteikta (pieredzes stāsts no divām mājsaimniecībām Viļakas novadā, kam platjoslas kabelis ierakts blakus pašai mājsaimniecībai, bet saņemts atteikums). Uzskatām, </w:t>
            </w:r>
            <w:r w:rsidR="00082E37" w:rsidRPr="00082E37">
              <w:rPr>
                <w:color w:val="000000"/>
                <w:lang w:eastAsia="en-US"/>
              </w:rPr>
              <w:lastRenderedPageBreak/>
              <w:t>ka, ja pašvaldībām tiktu ļauta piekļuve šiem platjoslas kabeļiem, tā nodrošinot starppilsētu/pagastu centru/pašvaldības un izglītības iestāžu tiešo savienojumu līnijas bez komersantu klātbūtnes un iesaistes, tad arī pieprasījums pēc platjoslām būtu stingri augstāks.</w:t>
            </w:r>
          </w:p>
        </w:tc>
        <w:tc>
          <w:tcPr>
            <w:tcW w:w="2480" w:type="dxa"/>
            <w:tcBorders>
              <w:left w:val="single" w:sz="6" w:space="0" w:color="000000" w:themeColor="text1"/>
              <w:bottom w:val="single" w:sz="4" w:space="0" w:color="auto"/>
            </w:tcBorders>
            <w:shd w:val="clear" w:color="auto" w:fill="auto"/>
          </w:tcPr>
          <w:p w14:paraId="43E8DCC7" w14:textId="77777777" w:rsidR="00C857FC" w:rsidRDefault="00C857FC" w:rsidP="00C857FC">
            <w:pPr>
              <w:pStyle w:val="naisc"/>
              <w:jc w:val="both"/>
              <w:rPr>
                <w:b/>
                <w:bCs/>
              </w:rPr>
            </w:pPr>
            <w:r>
              <w:rPr>
                <w:b/>
                <w:bCs/>
              </w:rPr>
              <w:lastRenderedPageBreak/>
              <w:t>Ņemts vērā</w:t>
            </w:r>
          </w:p>
          <w:p w14:paraId="576A85B3" w14:textId="77777777" w:rsidR="00082E37" w:rsidRPr="009841AB" w:rsidRDefault="00C857FC" w:rsidP="00F4535B">
            <w:pPr>
              <w:pStyle w:val="naisc"/>
              <w:jc w:val="both"/>
              <w:rPr>
                <w:b/>
                <w:bCs/>
              </w:rPr>
            </w:pPr>
            <w:r w:rsidRPr="00CC5FAD">
              <w:rPr>
                <w:bCs/>
              </w:rPr>
              <w:t>Apgalvojums svītrots</w:t>
            </w:r>
          </w:p>
        </w:tc>
        <w:tc>
          <w:tcPr>
            <w:tcW w:w="3497" w:type="dxa"/>
            <w:tcBorders>
              <w:left w:val="single" w:sz="6" w:space="0" w:color="000000" w:themeColor="text1"/>
              <w:bottom w:val="single" w:sz="4" w:space="0" w:color="auto"/>
            </w:tcBorders>
            <w:shd w:val="clear" w:color="auto" w:fill="auto"/>
          </w:tcPr>
          <w:p w14:paraId="2C9801D7" w14:textId="1200DC2A" w:rsidR="00082E37" w:rsidRPr="009841AB" w:rsidRDefault="008A0052" w:rsidP="001D7B9E">
            <w:pPr>
              <w:pStyle w:val="naisc"/>
              <w:spacing w:before="0" w:after="0"/>
              <w:jc w:val="both"/>
            </w:pPr>
            <w:r w:rsidRPr="009841AB">
              <w:t>Lūdzam skatīt sadaļu 4.</w:t>
            </w:r>
            <w:r>
              <w:t>3.</w:t>
            </w:r>
          </w:p>
        </w:tc>
      </w:tr>
      <w:tr w:rsidR="00082E37" w:rsidRPr="009841AB" w14:paraId="6BA7344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2CDB263" w14:textId="77777777" w:rsidR="00082E37" w:rsidRPr="009841AB" w:rsidRDefault="00587E93" w:rsidP="001D7B9E">
            <w:pPr>
              <w:pStyle w:val="naisc"/>
              <w:spacing w:before="0" w:after="0"/>
            </w:pPr>
            <w:r>
              <w:t>228</w:t>
            </w:r>
          </w:p>
        </w:tc>
        <w:tc>
          <w:tcPr>
            <w:tcW w:w="2427" w:type="dxa"/>
            <w:tcBorders>
              <w:left w:val="single" w:sz="6" w:space="0" w:color="000000" w:themeColor="text1"/>
              <w:bottom w:val="single" w:sz="4" w:space="0" w:color="auto"/>
            </w:tcBorders>
            <w:shd w:val="clear" w:color="auto" w:fill="auto"/>
          </w:tcPr>
          <w:p w14:paraId="48413BAF" w14:textId="77777777" w:rsidR="00082E37" w:rsidRPr="009841AB" w:rsidRDefault="00C02ED5" w:rsidP="001D7B9E">
            <w:pPr>
              <w:pStyle w:val="naisc"/>
              <w:spacing w:before="0" w:after="0"/>
              <w:jc w:val="left"/>
            </w:pPr>
            <w:r w:rsidRPr="009841AB">
              <w:t>4.3. sadaļa</w:t>
            </w:r>
          </w:p>
        </w:tc>
        <w:tc>
          <w:tcPr>
            <w:tcW w:w="5427" w:type="dxa"/>
            <w:tcBorders>
              <w:left w:val="single" w:sz="6" w:space="0" w:color="000000" w:themeColor="text1"/>
              <w:bottom w:val="single" w:sz="4" w:space="0" w:color="auto"/>
            </w:tcBorders>
            <w:shd w:val="clear" w:color="auto" w:fill="auto"/>
          </w:tcPr>
          <w:p w14:paraId="099B7980" w14:textId="77777777" w:rsidR="00082E37" w:rsidRDefault="00587E93" w:rsidP="001D7B9E">
            <w:pPr>
              <w:jc w:val="both"/>
              <w:rPr>
                <w:rFonts w:eastAsia="Arial Narrow"/>
                <w:i/>
                <w:iCs/>
                <w:u w:val="single"/>
                <w:lang w:eastAsia="en-US"/>
              </w:rPr>
            </w:pPr>
            <w:r>
              <w:rPr>
                <w:rFonts w:eastAsia="Arial Narrow"/>
                <w:lang w:eastAsia="en-US"/>
              </w:rPr>
              <w:t>3</w:t>
            </w:r>
            <w:r w:rsidR="00C02ED5">
              <w:rPr>
                <w:rFonts w:eastAsia="Arial Narrow"/>
                <w:lang w:eastAsia="en-US"/>
              </w:rPr>
              <w:t xml:space="preserve">. </w:t>
            </w:r>
            <w:r w:rsidR="00C02ED5">
              <w:rPr>
                <w:rFonts w:eastAsia="Arial Narrow"/>
                <w:i/>
                <w:iCs/>
                <w:lang w:eastAsia="en-US"/>
              </w:rPr>
              <w:t>“</w:t>
            </w:r>
            <w:r w:rsidR="00C02ED5" w:rsidRPr="00C02ED5">
              <w:rPr>
                <w:rFonts w:eastAsia="Arial Narrow"/>
                <w:i/>
                <w:iCs/>
                <w:lang w:eastAsia="en-US"/>
              </w:rPr>
              <w:t xml:space="preserve">Ņemot vērā, ka elektronisko sakaru tīklu izvēršana ir nozīmīgs finansiālais slogs elektronisko sakaru komersantam, ir būtiski, ka Satiksmes ministrija, </w:t>
            </w:r>
            <w:r w:rsidR="00C02ED5" w:rsidRPr="00C02ED5">
              <w:rPr>
                <w:rFonts w:eastAsia="Arial Narrow"/>
                <w:i/>
                <w:iCs/>
                <w:u w:val="single"/>
                <w:lang w:eastAsia="en-US"/>
              </w:rPr>
              <w:t>pašvaldības un to nevalstiskās organizācijas īsteno savstarpēju dialogu ar elektronisko sakaru komersantiem, kā arī pašvaldības teritorijā strādājošiem komersantiem,</w:t>
            </w:r>
            <w:r w:rsidR="00C02ED5" w:rsidRPr="00C02ED5">
              <w:rPr>
                <w:rFonts w:eastAsia="Arial Narrow"/>
                <w:i/>
                <w:iCs/>
                <w:lang w:eastAsia="en-US"/>
              </w:rPr>
              <w:t xml:space="preserve"> kas būtu potenciālie 5G tīklā nodrošināto pakalpojumu lietotāji, lai detalizētākā līmenī apzinātu 5G mobilo sakaru tīkla nepieciešamību pašvaldību teritorijā un racionāli plānotu elektronisko sakaru tīklu infrastruktūras izvēršanu. </w:t>
            </w:r>
            <w:r w:rsidR="00C02ED5" w:rsidRPr="00C02ED5">
              <w:rPr>
                <w:rFonts w:eastAsia="Arial Narrow"/>
                <w:i/>
                <w:iCs/>
                <w:u w:val="single"/>
                <w:lang w:eastAsia="en-US"/>
              </w:rPr>
              <w:t>Minēto varētu veikt, piemēram, izstrādājot pašvaldību teritorijas plānojumus.</w:t>
            </w:r>
            <w:r w:rsidR="00C02ED5">
              <w:rPr>
                <w:rFonts w:eastAsia="Arial Narrow"/>
                <w:i/>
                <w:iCs/>
                <w:u w:val="single"/>
                <w:lang w:eastAsia="en-US"/>
              </w:rPr>
              <w:t>”</w:t>
            </w:r>
          </w:p>
          <w:p w14:paraId="2C90DD92" w14:textId="77777777" w:rsidR="00C02ED5" w:rsidRDefault="00C02ED5" w:rsidP="001D7B9E">
            <w:pPr>
              <w:jc w:val="both"/>
            </w:pPr>
          </w:p>
          <w:p w14:paraId="4C90FB1C" w14:textId="77777777" w:rsidR="00C02ED5" w:rsidRPr="00C02ED5" w:rsidRDefault="00C02ED5" w:rsidP="001D7B9E">
            <w:pPr>
              <w:jc w:val="both"/>
            </w:pPr>
            <w:r w:rsidRPr="00C02ED5">
              <w:t>Uzskatam, ka, iespējams, valstiskā līmenī ir jāslēdz sadarbības līgumi ar komersantiem. Nedrīkst tā domāt, ka platjoslas infrastruktūra nav pašvaldību pamata komunikāciju tīkla sastāvdaļa, jo pašvaldībām ir pienākums nodrošināt pakalpojumus un to pieejamību tās iedzīvotājiem.</w:t>
            </w:r>
          </w:p>
        </w:tc>
        <w:tc>
          <w:tcPr>
            <w:tcW w:w="2480" w:type="dxa"/>
            <w:tcBorders>
              <w:left w:val="single" w:sz="6" w:space="0" w:color="000000" w:themeColor="text1"/>
              <w:bottom w:val="single" w:sz="4" w:space="0" w:color="auto"/>
            </w:tcBorders>
            <w:shd w:val="clear" w:color="auto" w:fill="auto"/>
          </w:tcPr>
          <w:p w14:paraId="4ADC369B" w14:textId="77777777" w:rsidR="008A2A01" w:rsidRDefault="008A2A01" w:rsidP="008A2A01">
            <w:pPr>
              <w:pStyle w:val="naisc"/>
              <w:jc w:val="both"/>
              <w:rPr>
                <w:b/>
                <w:bCs/>
              </w:rPr>
            </w:pPr>
            <w:r>
              <w:rPr>
                <w:b/>
                <w:bCs/>
              </w:rPr>
              <w:t>Panākta vienošanās</w:t>
            </w:r>
          </w:p>
          <w:p w14:paraId="673E5053" w14:textId="77777777" w:rsidR="00082E37" w:rsidRPr="009841AB" w:rsidRDefault="00C857FC" w:rsidP="00F4535B">
            <w:pPr>
              <w:pStyle w:val="naisc"/>
              <w:jc w:val="both"/>
              <w:rPr>
                <w:b/>
                <w:bCs/>
              </w:rPr>
            </w:pPr>
            <w:r w:rsidRPr="00CC5FAD">
              <w:rPr>
                <w:bCs/>
              </w:rPr>
              <w:t>VARAM vērš uzmanību, ka pamatnostādnēs ir noteikts, ka vidējās un pēdējās jūdzes attīstības pasākumi, tostarp valsts atbalsts, tiks izvērtēti un iekļauti platjoslas attīstības plānā laika p</w:t>
            </w:r>
            <w:r>
              <w:rPr>
                <w:bCs/>
              </w:rPr>
              <w:t>osmam no 2021. līdz 2027.gadam</w:t>
            </w:r>
            <w:r w:rsidRPr="00CC5FAD">
              <w:rPr>
                <w:bCs/>
              </w:rPr>
              <w:t>. “Pēdējās jūdzes” valsts atbalsta īstenošanas modelī plānota Satiksmes ministrijas cieša sadarbība ar plānošanas reģioniem, kas, savukārt, konsultējoties ar pašvaldībām noteiks prioritātes.</w:t>
            </w:r>
          </w:p>
        </w:tc>
        <w:tc>
          <w:tcPr>
            <w:tcW w:w="3497" w:type="dxa"/>
            <w:tcBorders>
              <w:left w:val="single" w:sz="6" w:space="0" w:color="000000" w:themeColor="text1"/>
              <w:bottom w:val="single" w:sz="4" w:space="0" w:color="auto"/>
            </w:tcBorders>
            <w:shd w:val="clear" w:color="auto" w:fill="auto"/>
          </w:tcPr>
          <w:p w14:paraId="5C9C6F45" w14:textId="77777777" w:rsidR="00C857FC" w:rsidRDefault="00C857FC" w:rsidP="00C857FC">
            <w:pPr>
              <w:pStyle w:val="naisc"/>
              <w:spacing w:before="0" w:after="0"/>
              <w:jc w:val="both"/>
            </w:pPr>
            <w:r>
              <w:t>4.3.1.1. sadaļas Nepieciešamā rīcība:</w:t>
            </w:r>
          </w:p>
          <w:p w14:paraId="78659237" w14:textId="77777777" w:rsidR="00082E37" w:rsidRPr="00587E93" w:rsidRDefault="00C857FC" w:rsidP="00587E93">
            <w:pPr>
              <w:spacing w:before="120" w:after="120" w:line="259" w:lineRule="auto"/>
              <w:ind w:left="360"/>
              <w:jc w:val="both"/>
              <w:rPr>
                <w:lang w:val="lv"/>
              </w:rPr>
            </w:pPr>
            <w:r>
              <w:rPr>
                <w:lang w:val="lv"/>
              </w:rPr>
              <w:t xml:space="preserve">2. </w:t>
            </w:r>
            <w:r w:rsidRPr="00CC5FAD">
              <w:rPr>
                <w:lang w:val="lv"/>
              </w:rPr>
              <w:t>Vidējās un pēdējās jūdzes attīstības pasākumi, tostarp valsts atbalsts, tiks izvērtēti un iekļauti platjoslas attīstības plānā laika posmam no 2021. līdz 2027. gadam. Platjoslas plāns ietvers investīciju nepietiekamības novērtējumu, pamatojoties uz esošās privātās un publiskās infrastruktūras un pakalpojumu kvalitātes kartēšanu, kā arī plānotās valsts intervences pamatojumu, balstītu uz ilgtspējīgiem ieguldījumu modeļiem. Pēdējās jūdzes valsts atbalsta īstenošanas modelī plānota SM cieša sadarbība ar plānošanas reģioniem, kas, savukārt, konsultējoties ar pašvaldībām noteiks prioritātes.</w:t>
            </w:r>
          </w:p>
        </w:tc>
      </w:tr>
      <w:tr w:rsidR="00C857FC" w:rsidRPr="009841AB" w14:paraId="0D60C5CF"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88C673A" w14:textId="77777777" w:rsidR="00C857FC" w:rsidRPr="00CA5AF4" w:rsidRDefault="00C857FC" w:rsidP="00C857FC">
            <w:pPr>
              <w:pStyle w:val="naisc"/>
              <w:spacing w:before="0" w:after="0"/>
              <w:jc w:val="both"/>
              <w:rPr>
                <w:b/>
                <w:bCs/>
              </w:rPr>
            </w:pPr>
            <w:r>
              <w:rPr>
                <w:b/>
                <w:bCs/>
              </w:rPr>
              <w:t>Veselības ministrijas 05.05.2021. atzinums:</w:t>
            </w:r>
          </w:p>
        </w:tc>
      </w:tr>
      <w:tr w:rsidR="00C857FC" w:rsidRPr="009841AB" w14:paraId="061B78D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4915058" w14:textId="77777777" w:rsidR="00C857FC" w:rsidRPr="009841AB" w:rsidRDefault="00587E93" w:rsidP="00C857FC">
            <w:pPr>
              <w:pStyle w:val="naisc"/>
              <w:spacing w:before="0" w:after="0"/>
            </w:pPr>
            <w:r>
              <w:lastRenderedPageBreak/>
              <w:t>229</w:t>
            </w:r>
          </w:p>
        </w:tc>
        <w:tc>
          <w:tcPr>
            <w:tcW w:w="2427" w:type="dxa"/>
            <w:tcBorders>
              <w:left w:val="single" w:sz="6" w:space="0" w:color="000000" w:themeColor="text1"/>
              <w:bottom w:val="single" w:sz="4" w:space="0" w:color="auto"/>
            </w:tcBorders>
            <w:shd w:val="clear" w:color="auto" w:fill="auto"/>
          </w:tcPr>
          <w:p w14:paraId="65C41802" w14:textId="77777777" w:rsidR="00C857FC" w:rsidRPr="009841AB" w:rsidRDefault="00C857FC" w:rsidP="00C857FC">
            <w:pPr>
              <w:pStyle w:val="naisc"/>
              <w:spacing w:before="0" w:after="0"/>
              <w:jc w:val="left"/>
            </w:pPr>
            <w:r w:rsidRPr="009841AB">
              <w:t>4.</w:t>
            </w:r>
            <w:r>
              <w:t>3</w:t>
            </w:r>
            <w:r w:rsidRPr="009841AB">
              <w:t>. sadaļa</w:t>
            </w:r>
          </w:p>
        </w:tc>
        <w:tc>
          <w:tcPr>
            <w:tcW w:w="5427" w:type="dxa"/>
            <w:tcBorders>
              <w:left w:val="single" w:sz="6" w:space="0" w:color="000000" w:themeColor="text1"/>
              <w:bottom w:val="single" w:sz="4" w:space="0" w:color="auto"/>
            </w:tcBorders>
            <w:shd w:val="clear" w:color="auto" w:fill="auto"/>
          </w:tcPr>
          <w:p w14:paraId="2ED9EEFA" w14:textId="77777777" w:rsidR="00C857FC" w:rsidRDefault="00C857FC" w:rsidP="00C857FC">
            <w:pPr>
              <w:jc w:val="both"/>
              <w:rPr>
                <w:rFonts w:eastAsia="Arial Narrow"/>
                <w:lang w:eastAsia="en-US"/>
              </w:rPr>
            </w:pPr>
            <w:r w:rsidRPr="00E95BB4">
              <w:rPr>
                <w:rFonts w:eastAsia="Arial Narrow"/>
                <w:lang w:eastAsia="en-US"/>
              </w:rPr>
              <w:t xml:space="preserve">4.3.1.1. rīcības </w:t>
            </w:r>
            <w:proofErr w:type="spellStart"/>
            <w:r w:rsidRPr="00E95BB4">
              <w:rPr>
                <w:rFonts w:eastAsia="Arial Narrow"/>
                <w:lang w:eastAsia="en-US"/>
              </w:rPr>
              <w:t>apakšvirziena</w:t>
            </w:r>
            <w:proofErr w:type="spellEnd"/>
            <w:r w:rsidRPr="00E95BB4">
              <w:rPr>
                <w:rFonts w:eastAsia="Arial Narrow"/>
                <w:lang w:eastAsia="en-US"/>
              </w:rPr>
              <w:t xml:space="preserve"> sagaidāmo rezultātu pirmajā punktā lūdzam vārdus “medicīnas pakalpojumu iestādes” aizstāt ar “ārstniecības iestādēs un aptiekās”.</w:t>
            </w:r>
          </w:p>
        </w:tc>
        <w:tc>
          <w:tcPr>
            <w:tcW w:w="2480" w:type="dxa"/>
            <w:tcBorders>
              <w:left w:val="single" w:sz="6" w:space="0" w:color="000000" w:themeColor="text1"/>
              <w:bottom w:val="single" w:sz="4" w:space="0" w:color="auto"/>
            </w:tcBorders>
            <w:shd w:val="clear" w:color="auto" w:fill="auto"/>
          </w:tcPr>
          <w:p w14:paraId="79B1B606" w14:textId="77777777" w:rsidR="00C857FC" w:rsidRPr="009841AB" w:rsidRDefault="00C857FC" w:rsidP="00C857FC">
            <w:pPr>
              <w:pStyle w:val="naisc"/>
              <w:jc w:val="both"/>
              <w:rPr>
                <w:b/>
                <w:bCs/>
              </w:rPr>
            </w:pPr>
            <w:r w:rsidRPr="35DE6E9E">
              <w:rPr>
                <w:b/>
                <w:bCs/>
              </w:rPr>
              <w:t>Ņemts vērā</w:t>
            </w:r>
          </w:p>
        </w:tc>
        <w:tc>
          <w:tcPr>
            <w:tcW w:w="3497" w:type="dxa"/>
            <w:tcBorders>
              <w:left w:val="single" w:sz="6" w:space="0" w:color="000000" w:themeColor="text1"/>
              <w:bottom w:val="single" w:sz="4" w:space="0" w:color="auto"/>
            </w:tcBorders>
            <w:shd w:val="clear" w:color="auto" w:fill="auto"/>
          </w:tcPr>
          <w:p w14:paraId="31A0EFC7" w14:textId="77777777" w:rsidR="00C857FC" w:rsidRPr="009841AB" w:rsidRDefault="009E1965" w:rsidP="00C857FC">
            <w:pPr>
              <w:pStyle w:val="naisc"/>
              <w:spacing w:before="0" w:after="0"/>
              <w:jc w:val="both"/>
            </w:pPr>
            <w:r>
              <w:t xml:space="preserve">Lūdzam skatīt </w:t>
            </w:r>
            <w:proofErr w:type="spellStart"/>
            <w:r>
              <w:t>apakšsadaļu</w:t>
            </w:r>
            <w:proofErr w:type="spellEnd"/>
            <w:r>
              <w:t xml:space="preserve"> 4.3.1.</w:t>
            </w:r>
          </w:p>
        </w:tc>
      </w:tr>
      <w:tr w:rsidR="001D7B9E" w:rsidRPr="009841AB" w14:paraId="438AB9C1"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6F797E2" w14:textId="77777777" w:rsidR="001D7B9E" w:rsidRPr="009841AB" w:rsidRDefault="001D7B9E" w:rsidP="008B4017">
            <w:pPr>
              <w:tabs>
                <w:tab w:val="center" w:pos="7046"/>
                <w:tab w:val="right" w:pos="14093"/>
              </w:tabs>
              <w:jc w:val="center"/>
              <w:rPr>
                <w:b/>
              </w:rPr>
            </w:pPr>
            <w:r w:rsidRPr="009841AB">
              <w:rPr>
                <w:b/>
              </w:rPr>
              <w:t>4.4. Attīstības virziens „Tautsaimniecības (t.sk valsts pārvaldes) digitālā transformācija”</w:t>
            </w:r>
          </w:p>
        </w:tc>
      </w:tr>
      <w:tr w:rsidR="001D7B9E" w:rsidRPr="009841AB" w14:paraId="25671C76"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C04F63B" w14:textId="77777777" w:rsidR="001D7B9E" w:rsidRPr="009841AB" w:rsidRDefault="001D7B9E" w:rsidP="001D7B9E">
            <w:pPr>
              <w:tabs>
                <w:tab w:val="center" w:pos="7046"/>
                <w:tab w:val="right" w:pos="14093"/>
              </w:tabs>
              <w:rPr>
                <w:b/>
              </w:rPr>
            </w:pPr>
            <w:r w:rsidRPr="009841AB">
              <w:rPr>
                <w:b/>
              </w:rPr>
              <w:t>Biofarmaceitisko zāļu ražotāju asociācijas Latvijā 26.01.2021. atzinums:</w:t>
            </w:r>
          </w:p>
        </w:tc>
      </w:tr>
      <w:tr w:rsidR="001D7B9E" w:rsidRPr="009841AB" w14:paraId="3382C1F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FBBAB56" w14:textId="77777777" w:rsidR="001D7B9E" w:rsidRPr="009841AB" w:rsidRDefault="00DF6075" w:rsidP="001D7B9E">
            <w:pPr>
              <w:pStyle w:val="naisc"/>
              <w:spacing w:before="0" w:after="0"/>
            </w:pPr>
            <w:r>
              <w:t>230</w:t>
            </w:r>
          </w:p>
        </w:tc>
        <w:tc>
          <w:tcPr>
            <w:tcW w:w="2427" w:type="dxa"/>
            <w:tcBorders>
              <w:left w:val="single" w:sz="6" w:space="0" w:color="000000" w:themeColor="text1"/>
              <w:bottom w:val="single" w:sz="4" w:space="0" w:color="auto"/>
            </w:tcBorders>
            <w:shd w:val="clear" w:color="auto" w:fill="auto"/>
          </w:tcPr>
          <w:p w14:paraId="5DA90597"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8485BBB" w14:textId="77777777" w:rsidR="001D7B9E" w:rsidRPr="009841AB" w:rsidRDefault="001D7B9E" w:rsidP="001D7B9E">
            <w:pPr>
              <w:ind w:right="12"/>
              <w:jc w:val="both"/>
            </w:pPr>
            <w:r w:rsidRPr="009841AB">
              <w:t>1.</w:t>
            </w:r>
            <w:r w:rsidRPr="009841AB">
              <w:tab/>
              <w:t xml:space="preserve">Aicinām precizēt sadaļas “Nepieciešamā rīcība” un “Uzdevumi” atbilstošos punktus ar nepieciešamību pilnveidot esošos un veidot jaunus pacientu datu reģistrus, jo tas nav viennozīmīgi skaidrs no esošajiem </w:t>
            </w:r>
            <w:proofErr w:type="spellStart"/>
            <w:r w:rsidRPr="009841AB">
              <w:t>formulējiem</w:t>
            </w:r>
            <w:proofErr w:type="spellEnd"/>
            <w:r w:rsidRPr="009841AB">
              <w:t>.</w:t>
            </w:r>
          </w:p>
        </w:tc>
        <w:tc>
          <w:tcPr>
            <w:tcW w:w="2480" w:type="dxa"/>
            <w:tcBorders>
              <w:left w:val="single" w:sz="6" w:space="0" w:color="000000" w:themeColor="text1"/>
              <w:bottom w:val="single" w:sz="4" w:space="0" w:color="auto"/>
            </w:tcBorders>
            <w:shd w:val="clear" w:color="auto" w:fill="auto"/>
          </w:tcPr>
          <w:p w14:paraId="4AF3E1A9" w14:textId="77777777" w:rsidR="00E52A23" w:rsidRDefault="001D7B9E" w:rsidP="001D7B9E">
            <w:pPr>
              <w:pStyle w:val="naisc"/>
              <w:spacing w:before="0" w:after="0"/>
              <w:jc w:val="left"/>
              <w:rPr>
                <w:b/>
              </w:rPr>
            </w:pPr>
            <w:r w:rsidRPr="009841AB">
              <w:rPr>
                <w:b/>
              </w:rPr>
              <w:t>Ņemts vērā</w:t>
            </w:r>
          </w:p>
          <w:p w14:paraId="0924EA3D" w14:textId="77777777" w:rsidR="00E52A23" w:rsidRPr="009841AB" w:rsidRDefault="00E52A23" w:rsidP="001D7B9E">
            <w:pPr>
              <w:pStyle w:val="naisc"/>
              <w:spacing w:before="0" w:after="0"/>
              <w:jc w:val="left"/>
              <w:rPr>
                <w:b/>
              </w:rPr>
            </w:pPr>
            <w:r w:rsidRPr="009841AB">
              <w:t>Sadaļas 4.4.6. sagaidāmo rezultātu teksts precizēts, t.sk. norādot arī: “Līdz 2026. gadam nodrošināt pilnvērtīgu pacientu elektroniskās veselības kartes darbību un nodrošināt pacientu reģistru atbilstošu kvalitāti pilnvērtīgai ārstniecības procesa nodrošināšanai un veselības politikas īstenošanai.”</w:t>
            </w:r>
          </w:p>
        </w:tc>
        <w:tc>
          <w:tcPr>
            <w:tcW w:w="3497" w:type="dxa"/>
            <w:tcBorders>
              <w:left w:val="single" w:sz="6" w:space="0" w:color="000000" w:themeColor="text1"/>
              <w:bottom w:val="single" w:sz="4" w:space="0" w:color="auto"/>
            </w:tcBorders>
            <w:shd w:val="clear" w:color="auto" w:fill="auto"/>
          </w:tcPr>
          <w:p w14:paraId="683AD177" w14:textId="77777777" w:rsidR="001D7B9E" w:rsidRPr="009841AB" w:rsidRDefault="00E52A23" w:rsidP="00F4535B">
            <w:pPr>
              <w:pStyle w:val="naisc"/>
              <w:spacing w:before="0" w:after="0"/>
              <w:jc w:val="left"/>
            </w:pPr>
            <w:r>
              <w:t xml:space="preserve">Lūdzam skatīt </w:t>
            </w:r>
            <w:proofErr w:type="spellStart"/>
            <w:r>
              <w:t>apakšsadaļu</w:t>
            </w:r>
            <w:proofErr w:type="spellEnd"/>
            <w:r>
              <w:t xml:space="preserve"> </w:t>
            </w:r>
            <w:r w:rsidR="001D7B9E" w:rsidRPr="009841AB">
              <w:t xml:space="preserve">4.4.6. </w:t>
            </w:r>
          </w:p>
        </w:tc>
      </w:tr>
      <w:tr w:rsidR="001D7B9E" w:rsidRPr="009841AB" w14:paraId="634D87F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A58AEC6" w14:textId="77777777" w:rsidR="001D7B9E" w:rsidRPr="009841AB" w:rsidRDefault="00FF07C8" w:rsidP="001D7B9E">
            <w:pPr>
              <w:pStyle w:val="naisc"/>
              <w:spacing w:before="0" w:after="0"/>
            </w:pPr>
            <w:r>
              <w:t>231</w:t>
            </w:r>
          </w:p>
        </w:tc>
        <w:tc>
          <w:tcPr>
            <w:tcW w:w="2427" w:type="dxa"/>
            <w:tcBorders>
              <w:left w:val="single" w:sz="6" w:space="0" w:color="000000" w:themeColor="text1"/>
              <w:bottom w:val="single" w:sz="4" w:space="0" w:color="auto"/>
            </w:tcBorders>
            <w:shd w:val="clear" w:color="auto" w:fill="auto"/>
          </w:tcPr>
          <w:p w14:paraId="7735ADAE"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154DE8D" w14:textId="77777777" w:rsidR="001D7B9E" w:rsidRPr="009841AB" w:rsidRDefault="001D7B9E" w:rsidP="001D7B9E">
            <w:pPr>
              <w:ind w:right="12"/>
              <w:jc w:val="both"/>
            </w:pPr>
            <w:r w:rsidRPr="009841AB">
              <w:t>2.</w:t>
            </w:r>
            <w:r w:rsidRPr="009841AB">
              <w:tab/>
              <w:t>Sadaļas “Nepieciešamā rīcība” 4. punkts par e-veselības starptautisko integrāciju: aicinām papildināt ar konkrētu uzdevuma formulējumu rīcības ieviešanai sadaļā “Uzdevumi”, norādot termiņu, atbildīgos un attiecīgi – indikatīvo finansējumu 3. pielikuma projektā.</w:t>
            </w:r>
          </w:p>
        </w:tc>
        <w:tc>
          <w:tcPr>
            <w:tcW w:w="2480" w:type="dxa"/>
            <w:tcBorders>
              <w:left w:val="single" w:sz="6" w:space="0" w:color="000000" w:themeColor="text1"/>
              <w:bottom w:val="single" w:sz="4" w:space="0" w:color="auto"/>
            </w:tcBorders>
            <w:shd w:val="clear" w:color="auto" w:fill="auto"/>
          </w:tcPr>
          <w:p w14:paraId="0FEAA842" w14:textId="77777777" w:rsidR="001D7B9E" w:rsidRPr="009841AB" w:rsidRDefault="001D7B9E" w:rsidP="001D7B9E">
            <w:pPr>
              <w:pStyle w:val="naisc"/>
              <w:spacing w:before="0" w:after="0"/>
              <w:jc w:val="left"/>
              <w:rPr>
                <w:b/>
              </w:rPr>
            </w:pPr>
            <w:r w:rsidRPr="009841AB">
              <w:rPr>
                <w:b/>
              </w:rPr>
              <w:t>Ņemts vērā</w:t>
            </w:r>
          </w:p>
        </w:tc>
        <w:tc>
          <w:tcPr>
            <w:tcW w:w="3497" w:type="dxa"/>
            <w:tcBorders>
              <w:left w:val="single" w:sz="6" w:space="0" w:color="000000" w:themeColor="text1"/>
              <w:bottom w:val="single" w:sz="4" w:space="0" w:color="auto"/>
            </w:tcBorders>
            <w:shd w:val="clear" w:color="auto" w:fill="auto"/>
          </w:tcPr>
          <w:p w14:paraId="3845A812" w14:textId="77777777" w:rsidR="001D7B9E" w:rsidRPr="009841AB" w:rsidRDefault="00F4535B" w:rsidP="001D7B9E">
            <w:pPr>
              <w:pStyle w:val="naisc"/>
              <w:spacing w:before="0" w:after="0"/>
              <w:jc w:val="both"/>
            </w:pPr>
            <w:r w:rsidRPr="009841AB">
              <w:t>Lūdzam skatīt uzdevumu</w:t>
            </w:r>
            <w:r w:rsidR="001D7B9E" w:rsidRPr="009841AB">
              <w:t xml:space="preserve"> U4.4.6.-4</w:t>
            </w:r>
          </w:p>
        </w:tc>
      </w:tr>
      <w:tr w:rsidR="001D7B9E" w:rsidRPr="009841AB" w14:paraId="5F82EB2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064F461" w14:textId="77777777" w:rsidR="001D7B9E" w:rsidRPr="009841AB" w:rsidRDefault="00FF07C8" w:rsidP="001D7B9E">
            <w:pPr>
              <w:pStyle w:val="naisc"/>
              <w:spacing w:before="0" w:after="0"/>
            </w:pPr>
            <w:r>
              <w:t>232</w:t>
            </w:r>
          </w:p>
        </w:tc>
        <w:tc>
          <w:tcPr>
            <w:tcW w:w="2427" w:type="dxa"/>
            <w:tcBorders>
              <w:left w:val="single" w:sz="6" w:space="0" w:color="000000" w:themeColor="text1"/>
              <w:bottom w:val="single" w:sz="4" w:space="0" w:color="auto"/>
            </w:tcBorders>
            <w:shd w:val="clear" w:color="auto" w:fill="auto"/>
          </w:tcPr>
          <w:p w14:paraId="2C00002F"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713E7D7" w14:textId="77777777" w:rsidR="001D7B9E" w:rsidRPr="009841AB" w:rsidRDefault="001D7B9E" w:rsidP="001D7B9E">
            <w:pPr>
              <w:ind w:right="12"/>
              <w:jc w:val="both"/>
            </w:pPr>
            <w:r w:rsidRPr="009841AB">
              <w:t>3.</w:t>
            </w:r>
            <w:r w:rsidRPr="009841AB">
              <w:tab/>
              <w:t xml:space="preserve">Sadaļas “Nepieciešamā rīcība” 5. punkts par tiesisko regulējumu: aicinām definēt rīcības rezultātu sadaļā “Sagaidāmie rezultāti” un konkrētu uzdevuma formulējumu rīcības ieviešanai sadaļā “Uzdevumi”, norādot termiņu, atbildīgos un informāciju, vai un kāds </w:t>
            </w:r>
            <w:r w:rsidRPr="009841AB">
              <w:lastRenderedPageBreak/>
              <w:t xml:space="preserve">finansējums nepieciešams normatīvo aktu izstrādei, t.sk. 3. pielikuma projektā. </w:t>
            </w:r>
          </w:p>
        </w:tc>
        <w:tc>
          <w:tcPr>
            <w:tcW w:w="2480" w:type="dxa"/>
            <w:tcBorders>
              <w:left w:val="single" w:sz="6" w:space="0" w:color="000000" w:themeColor="text1"/>
              <w:bottom w:val="single" w:sz="4" w:space="0" w:color="auto"/>
            </w:tcBorders>
            <w:shd w:val="clear" w:color="auto" w:fill="auto"/>
          </w:tcPr>
          <w:p w14:paraId="6BC3A4CA" w14:textId="77777777" w:rsidR="008A2A01" w:rsidRDefault="008A2A01" w:rsidP="008A2A01">
            <w:pPr>
              <w:pStyle w:val="naisc"/>
              <w:jc w:val="both"/>
              <w:rPr>
                <w:b/>
                <w:bCs/>
              </w:rPr>
            </w:pPr>
            <w:r>
              <w:rPr>
                <w:b/>
                <w:bCs/>
              </w:rPr>
              <w:lastRenderedPageBreak/>
              <w:t>Panākta vienošanās</w:t>
            </w:r>
          </w:p>
          <w:p w14:paraId="4DC42C56" w14:textId="77777777" w:rsidR="00617860" w:rsidRPr="009841AB" w:rsidRDefault="00617860" w:rsidP="00617860">
            <w:pPr>
              <w:pStyle w:val="naisc"/>
              <w:spacing w:before="0" w:after="0"/>
              <w:jc w:val="both"/>
            </w:pPr>
            <w:r w:rsidRPr="009841AB">
              <w:t xml:space="preserve">Būtiski precizēts formulējums par tiesiskā regulējuma pilnveidi sadaļā </w:t>
            </w:r>
            <w:r w:rsidRPr="009841AB">
              <w:lastRenderedPageBreak/>
              <w:t xml:space="preserve">“Nepieciešamā rīcība” (1. punkts) </w:t>
            </w:r>
          </w:p>
          <w:p w14:paraId="79E5BC13" w14:textId="77777777" w:rsidR="00617860" w:rsidRPr="009841AB" w:rsidRDefault="00617860" w:rsidP="001D7B9E">
            <w:pPr>
              <w:pStyle w:val="naisc"/>
              <w:spacing w:before="0" w:after="0"/>
              <w:jc w:val="left"/>
            </w:pPr>
          </w:p>
        </w:tc>
        <w:tc>
          <w:tcPr>
            <w:tcW w:w="3497" w:type="dxa"/>
            <w:tcBorders>
              <w:left w:val="single" w:sz="6" w:space="0" w:color="000000" w:themeColor="text1"/>
              <w:bottom w:val="single" w:sz="4" w:space="0" w:color="auto"/>
            </w:tcBorders>
            <w:shd w:val="clear" w:color="auto" w:fill="auto"/>
          </w:tcPr>
          <w:p w14:paraId="7D6D2720" w14:textId="77777777" w:rsidR="001D7B9E" w:rsidRPr="009841AB" w:rsidRDefault="00617860" w:rsidP="00617860">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w:t>
            </w:r>
          </w:p>
        </w:tc>
      </w:tr>
      <w:tr w:rsidR="001D7B9E" w:rsidRPr="009841AB" w14:paraId="3561391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C8388F0" w14:textId="77777777" w:rsidR="001D7B9E" w:rsidRPr="009841AB" w:rsidRDefault="00FF07C8" w:rsidP="001D7B9E">
            <w:pPr>
              <w:pStyle w:val="naisc"/>
              <w:spacing w:before="0" w:after="0"/>
            </w:pPr>
            <w:r>
              <w:t>233</w:t>
            </w:r>
          </w:p>
        </w:tc>
        <w:tc>
          <w:tcPr>
            <w:tcW w:w="2427" w:type="dxa"/>
            <w:tcBorders>
              <w:left w:val="single" w:sz="6" w:space="0" w:color="000000" w:themeColor="text1"/>
              <w:bottom w:val="single" w:sz="4" w:space="0" w:color="auto"/>
            </w:tcBorders>
            <w:shd w:val="clear" w:color="auto" w:fill="auto"/>
          </w:tcPr>
          <w:p w14:paraId="1D293642"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1133800" w14:textId="77777777" w:rsidR="001D7B9E" w:rsidRPr="009841AB" w:rsidRDefault="001D7B9E" w:rsidP="001D7B9E">
            <w:pPr>
              <w:ind w:right="12"/>
              <w:jc w:val="both"/>
            </w:pPr>
            <w:r w:rsidRPr="009841AB">
              <w:t>4.</w:t>
            </w:r>
            <w:r w:rsidRPr="009841AB">
              <w:tab/>
              <w:t xml:space="preserve">Sadaļas “Nepieciešamā rīcība” 6. punkts par </w:t>
            </w:r>
            <w:proofErr w:type="spellStart"/>
            <w:r w:rsidRPr="009841AB">
              <w:t>telemedicīnas</w:t>
            </w:r>
            <w:proofErr w:type="spellEnd"/>
            <w:r w:rsidRPr="009841AB">
              <w:t xml:space="preserve"> risinājumu ieviešanu: aicinām definēt rīcības rezultātu sadaļā “Sagaidāmie rezultāti” un konkrētu uzdevuma formulējumu rīcības ieviešanai sadaļā “Uzdevumi”, norādot termiņu, atbildīgos un attiecīgi – indikatīvo finansējumu 3. pielikuma projektā. </w:t>
            </w:r>
          </w:p>
        </w:tc>
        <w:tc>
          <w:tcPr>
            <w:tcW w:w="2480" w:type="dxa"/>
            <w:tcBorders>
              <w:left w:val="single" w:sz="6" w:space="0" w:color="000000" w:themeColor="text1"/>
              <w:bottom w:val="single" w:sz="4" w:space="0" w:color="auto"/>
            </w:tcBorders>
            <w:shd w:val="clear" w:color="auto" w:fill="auto"/>
          </w:tcPr>
          <w:p w14:paraId="3122D7B2" w14:textId="77777777" w:rsidR="008A2A01" w:rsidRDefault="008A2A01" w:rsidP="008A2A01">
            <w:pPr>
              <w:pStyle w:val="naisc"/>
              <w:jc w:val="both"/>
              <w:rPr>
                <w:b/>
                <w:bCs/>
              </w:rPr>
            </w:pPr>
            <w:r>
              <w:rPr>
                <w:b/>
                <w:bCs/>
              </w:rPr>
              <w:t>Panākta vienošanās</w:t>
            </w:r>
          </w:p>
          <w:p w14:paraId="7746393B" w14:textId="77777777" w:rsidR="001D7B9E" w:rsidRPr="009841AB" w:rsidRDefault="00D03281" w:rsidP="001D7B9E">
            <w:pPr>
              <w:pStyle w:val="naisc"/>
              <w:spacing w:before="0" w:after="0"/>
              <w:jc w:val="left"/>
              <w:rPr>
                <w:bCs/>
              </w:rPr>
            </w:pPr>
            <w:r w:rsidRPr="009841AB">
              <w:rPr>
                <w:bCs/>
              </w:rPr>
              <w:t xml:space="preserve">Digitālās transformācijas pamatnostādnes iezīmē stratēģiskos attīstības virzienus Veselības nozares </w:t>
            </w:r>
            <w:proofErr w:type="spellStart"/>
            <w:r w:rsidRPr="009841AB">
              <w:rPr>
                <w:bCs/>
              </w:rPr>
              <w:t>digitalizācijā</w:t>
            </w:r>
            <w:proofErr w:type="spellEnd"/>
            <w:r w:rsidRPr="009841AB">
              <w:rPr>
                <w:bCs/>
              </w:rPr>
              <w:t>, tomēr ņemot vērā, ka veselības nozarei atsevišķi ir pamatnostādnes (“Sabiedrības veselības pamatnostādnes 2021.-2027.gadam” (VSS-134)), attiecīgo jautājumu detalizācija ir skatāma nozaru pamatnostādņu ietvaros. Turklāt konkrētu pasākumu uzdevumi būtu paredzami Sabiedrības veselības pamatnostādnēs plānotajā "Veselības nozares digitālajā stratēģijā".</w:t>
            </w:r>
          </w:p>
        </w:tc>
        <w:tc>
          <w:tcPr>
            <w:tcW w:w="3497" w:type="dxa"/>
            <w:tcBorders>
              <w:left w:val="single" w:sz="6" w:space="0" w:color="000000" w:themeColor="text1"/>
              <w:bottom w:val="single" w:sz="4" w:space="0" w:color="auto"/>
            </w:tcBorders>
            <w:shd w:val="clear" w:color="auto" w:fill="auto"/>
          </w:tcPr>
          <w:p w14:paraId="5C0E8DC2" w14:textId="77777777" w:rsidR="001D7B9E" w:rsidRPr="009841AB" w:rsidRDefault="00D03281" w:rsidP="00D03281">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D7B9E" w:rsidRPr="009841AB" w14:paraId="45B7671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DD843F4" w14:textId="77777777" w:rsidR="001D7B9E" w:rsidRPr="009841AB" w:rsidRDefault="00FF07C8" w:rsidP="001D7B9E">
            <w:pPr>
              <w:pStyle w:val="naisc"/>
              <w:spacing w:before="0" w:after="0"/>
            </w:pPr>
            <w:r>
              <w:t>234</w:t>
            </w:r>
          </w:p>
        </w:tc>
        <w:tc>
          <w:tcPr>
            <w:tcW w:w="2427" w:type="dxa"/>
            <w:tcBorders>
              <w:left w:val="single" w:sz="6" w:space="0" w:color="000000" w:themeColor="text1"/>
              <w:bottom w:val="single" w:sz="4" w:space="0" w:color="auto"/>
            </w:tcBorders>
            <w:shd w:val="clear" w:color="auto" w:fill="auto"/>
          </w:tcPr>
          <w:p w14:paraId="1CB3D99C"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AAFF3CA" w14:textId="77777777" w:rsidR="001D7B9E" w:rsidRPr="009841AB" w:rsidRDefault="001D7B9E" w:rsidP="001D7B9E">
            <w:pPr>
              <w:ind w:right="12"/>
              <w:jc w:val="both"/>
            </w:pPr>
            <w:r w:rsidRPr="009841AB">
              <w:t>5.</w:t>
            </w:r>
            <w:r w:rsidRPr="009841AB">
              <w:tab/>
              <w:t xml:space="preserve">Sadaļas “Nepieciešamā rīcība” 10. punkts par mākslīgā intelekta izmantošanu: aicinām definēt rīcības rezultātu sadaļā “Sagaidāmie rezultāti” un konkrētu uzdevuma formulējumu rīcības ieviešanai </w:t>
            </w:r>
            <w:r w:rsidRPr="009841AB">
              <w:lastRenderedPageBreak/>
              <w:t>sadaļā “Uzdevumi”, norādot termiņu, atbildīgos un attiecīgi – indikatīvo finansējumu 3. pielikuma projektā.</w:t>
            </w:r>
          </w:p>
        </w:tc>
        <w:tc>
          <w:tcPr>
            <w:tcW w:w="2480" w:type="dxa"/>
            <w:tcBorders>
              <w:left w:val="single" w:sz="6" w:space="0" w:color="000000" w:themeColor="text1"/>
              <w:bottom w:val="single" w:sz="4" w:space="0" w:color="auto"/>
            </w:tcBorders>
            <w:shd w:val="clear" w:color="auto" w:fill="auto"/>
          </w:tcPr>
          <w:p w14:paraId="55354210" w14:textId="77777777" w:rsidR="008A2A01" w:rsidRDefault="008A2A01" w:rsidP="008A2A01">
            <w:pPr>
              <w:pStyle w:val="naisc"/>
              <w:jc w:val="both"/>
              <w:rPr>
                <w:b/>
                <w:bCs/>
              </w:rPr>
            </w:pPr>
            <w:r>
              <w:rPr>
                <w:b/>
                <w:bCs/>
              </w:rPr>
              <w:lastRenderedPageBreak/>
              <w:t>Panākta vienošanās</w:t>
            </w:r>
          </w:p>
          <w:p w14:paraId="257C6630" w14:textId="77777777" w:rsidR="001D7B9E" w:rsidRPr="009841AB" w:rsidRDefault="00D03281" w:rsidP="001D7B9E">
            <w:pPr>
              <w:pStyle w:val="naisc"/>
              <w:spacing w:before="0" w:after="0"/>
              <w:jc w:val="left"/>
              <w:rPr>
                <w:bCs/>
              </w:rPr>
            </w:pPr>
            <w:r w:rsidRPr="009841AB">
              <w:rPr>
                <w:bCs/>
              </w:rPr>
              <w:t xml:space="preserve">Digitālās transformācijas pamatnostādnes iezīmē </w:t>
            </w:r>
            <w:r w:rsidRPr="009841AB">
              <w:rPr>
                <w:bCs/>
              </w:rPr>
              <w:lastRenderedPageBreak/>
              <w:t xml:space="preserve">stratēģiskos attīstības virzienus Veselības nozares </w:t>
            </w:r>
            <w:proofErr w:type="spellStart"/>
            <w:r w:rsidRPr="009841AB">
              <w:rPr>
                <w:bCs/>
              </w:rPr>
              <w:t>digitalizācijā</w:t>
            </w:r>
            <w:proofErr w:type="spellEnd"/>
            <w:r w:rsidRPr="009841AB">
              <w:rPr>
                <w:bCs/>
              </w:rPr>
              <w:t>, tomēr ņemot vērā, ka veselības nozarei atsevišķi ir pamatnostādnes (“Sabiedrības veselības pamatnostādnes 2021.-2027.gadam” (VSS-134)), attiecīgo jautājumu detalizācija ir skatāma nozaru pamatnostādņu ietvaros. Turklāt konkrētu pasākumu uzdevumi būtu paredzami Sabiedrības veselības pamatnostādnēs plānotajā "Veselības nozares digitālajā stratēģijā".</w:t>
            </w:r>
          </w:p>
        </w:tc>
        <w:tc>
          <w:tcPr>
            <w:tcW w:w="3497" w:type="dxa"/>
            <w:tcBorders>
              <w:left w:val="single" w:sz="6" w:space="0" w:color="000000" w:themeColor="text1"/>
              <w:bottom w:val="single" w:sz="4" w:space="0" w:color="auto"/>
            </w:tcBorders>
            <w:shd w:val="clear" w:color="auto" w:fill="auto"/>
          </w:tcPr>
          <w:p w14:paraId="3068F623" w14:textId="77777777" w:rsidR="001D7B9E" w:rsidRPr="009841AB" w:rsidRDefault="00D03281" w:rsidP="001D7B9E">
            <w:pPr>
              <w:pStyle w:val="naisc"/>
              <w:spacing w:before="0" w:after="0"/>
              <w:jc w:val="both"/>
            </w:pPr>
            <w:r w:rsidRPr="009841AB">
              <w:lastRenderedPageBreak/>
              <w:t xml:space="preserve">Lūdzam skatīt </w:t>
            </w:r>
            <w:proofErr w:type="spellStart"/>
            <w:r w:rsidRPr="009841AB">
              <w:t>apakšsadaļu</w:t>
            </w:r>
            <w:proofErr w:type="spellEnd"/>
            <w:r w:rsidRPr="009841AB">
              <w:t xml:space="preserve"> 4.4.</w:t>
            </w:r>
          </w:p>
        </w:tc>
      </w:tr>
      <w:tr w:rsidR="00D03281" w:rsidRPr="009841AB" w14:paraId="0C696F3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7FBD1E7" w14:textId="77777777" w:rsidR="00D03281" w:rsidRPr="009841AB" w:rsidRDefault="00FF07C8" w:rsidP="00D03281">
            <w:pPr>
              <w:pStyle w:val="naisc"/>
              <w:spacing w:before="0" w:after="0"/>
            </w:pPr>
            <w:r>
              <w:t>235</w:t>
            </w:r>
          </w:p>
        </w:tc>
        <w:tc>
          <w:tcPr>
            <w:tcW w:w="2427" w:type="dxa"/>
            <w:tcBorders>
              <w:left w:val="single" w:sz="6" w:space="0" w:color="000000" w:themeColor="text1"/>
              <w:bottom w:val="single" w:sz="4" w:space="0" w:color="auto"/>
            </w:tcBorders>
            <w:shd w:val="clear" w:color="auto" w:fill="auto"/>
          </w:tcPr>
          <w:p w14:paraId="02B042E5" w14:textId="77777777" w:rsidR="00D03281" w:rsidRPr="009841AB" w:rsidRDefault="00D03281" w:rsidP="00D03281">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F02F29B" w14:textId="77777777" w:rsidR="00D03281" w:rsidRPr="009841AB" w:rsidRDefault="00D03281" w:rsidP="00D03281">
            <w:pPr>
              <w:ind w:right="12"/>
              <w:jc w:val="both"/>
            </w:pPr>
            <w:r w:rsidRPr="009841AB">
              <w:t>6.</w:t>
            </w:r>
            <w:r w:rsidRPr="009841AB">
              <w:tab/>
              <w:t>Sadaļas “Nepieciešamā rīcība” 15. punkts par sabiedrības izglītošanu par datu otrreizējo izmantošanu un genoma sekvencēšanu: aicinām definēt rīcības rezultātu sadaļā “Sagaidāmie rezultāti” un konkrētu uzdevuma formulējumu rīcības ieviešanai sadaļā “Uzdevumi”, norādot termiņu, atbildīgos un attiecīgi – indikatīvo finansējumu 3. pielikuma projektā.</w:t>
            </w:r>
          </w:p>
        </w:tc>
        <w:tc>
          <w:tcPr>
            <w:tcW w:w="2480" w:type="dxa"/>
            <w:tcBorders>
              <w:left w:val="single" w:sz="6" w:space="0" w:color="000000" w:themeColor="text1"/>
              <w:bottom w:val="single" w:sz="4" w:space="0" w:color="auto"/>
            </w:tcBorders>
            <w:shd w:val="clear" w:color="auto" w:fill="auto"/>
          </w:tcPr>
          <w:p w14:paraId="3CED188F" w14:textId="77777777" w:rsidR="008A2A01" w:rsidRDefault="008A2A01" w:rsidP="008A2A01">
            <w:pPr>
              <w:pStyle w:val="naisc"/>
              <w:jc w:val="both"/>
              <w:rPr>
                <w:b/>
                <w:bCs/>
              </w:rPr>
            </w:pPr>
            <w:r>
              <w:rPr>
                <w:b/>
                <w:bCs/>
              </w:rPr>
              <w:t>Panākta vienošanās</w:t>
            </w:r>
          </w:p>
          <w:p w14:paraId="037F3EBF" w14:textId="77777777" w:rsidR="00D03281" w:rsidRPr="009841AB" w:rsidRDefault="00D03281" w:rsidP="00D03281">
            <w:pPr>
              <w:pStyle w:val="naisc"/>
              <w:spacing w:before="0" w:after="0"/>
              <w:jc w:val="left"/>
              <w:rPr>
                <w:bCs/>
              </w:rPr>
            </w:pPr>
            <w:r w:rsidRPr="009841AB">
              <w:rPr>
                <w:bCs/>
              </w:rPr>
              <w:t xml:space="preserve">Digitālās transformācijas pamatnostādnes iezīmē stratēģiskos attīstības virzienus Veselības nozares </w:t>
            </w:r>
            <w:proofErr w:type="spellStart"/>
            <w:r w:rsidRPr="009841AB">
              <w:rPr>
                <w:bCs/>
              </w:rPr>
              <w:t>digitalizācijā</w:t>
            </w:r>
            <w:proofErr w:type="spellEnd"/>
            <w:r w:rsidRPr="009841AB">
              <w:rPr>
                <w:bCs/>
              </w:rPr>
              <w:t xml:space="preserve">, tomēr ņemot vērā, ka veselības nozarei atsevišķi ir pamatnostādnes </w:t>
            </w:r>
            <w:r w:rsidRPr="009841AB">
              <w:rPr>
                <w:bCs/>
              </w:rPr>
              <w:lastRenderedPageBreak/>
              <w:t>(“Sabiedrības veselības pamatnostādnes 2021.-2027.gadam” (VSS-134)), attiecīgo jautājumu detalizācija ir skatāma nozaru pamatnostādņu ietvaros. Turklāt konkrētu pasākumu uzdevumi būtu paredzami Sabiedrības veselības pamatnostādnēs plānotajā "Veselības nozares digitālajā stratēģijā".</w:t>
            </w:r>
          </w:p>
        </w:tc>
        <w:tc>
          <w:tcPr>
            <w:tcW w:w="3497" w:type="dxa"/>
            <w:tcBorders>
              <w:left w:val="single" w:sz="6" w:space="0" w:color="000000" w:themeColor="text1"/>
              <w:bottom w:val="single" w:sz="4" w:space="0" w:color="auto"/>
            </w:tcBorders>
            <w:shd w:val="clear" w:color="auto" w:fill="auto"/>
          </w:tcPr>
          <w:p w14:paraId="4396D4AB" w14:textId="77777777" w:rsidR="00D03281" w:rsidRPr="009841AB" w:rsidRDefault="00D03281" w:rsidP="00D03281">
            <w:pPr>
              <w:pStyle w:val="naisc"/>
              <w:spacing w:before="0" w:after="0"/>
              <w:jc w:val="both"/>
            </w:pPr>
            <w:r w:rsidRPr="009841AB">
              <w:lastRenderedPageBreak/>
              <w:t xml:space="preserve">Lūdzam skatīt </w:t>
            </w:r>
            <w:proofErr w:type="spellStart"/>
            <w:r w:rsidRPr="009841AB">
              <w:t>apakšsadaļu</w:t>
            </w:r>
            <w:proofErr w:type="spellEnd"/>
            <w:r w:rsidRPr="009841AB">
              <w:t xml:space="preserve"> 4.4.</w:t>
            </w:r>
          </w:p>
        </w:tc>
      </w:tr>
      <w:tr w:rsidR="004A3599" w:rsidRPr="009841AB" w14:paraId="0A665AB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3DBD184" w14:textId="77777777" w:rsidR="004A3599" w:rsidRPr="009841AB" w:rsidRDefault="00FF07C8" w:rsidP="004A3599">
            <w:pPr>
              <w:pStyle w:val="naisc"/>
              <w:spacing w:before="0" w:after="0"/>
            </w:pPr>
            <w:r>
              <w:t>236</w:t>
            </w:r>
          </w:p>
        </w:tc>
        <w:tc>
          <w:tcPr>
            <w:tcW w:w="2427" w:type="dxa"/>
            <w:tcBorders>
              <w:left w:val="single" w:sz="6" w:space="0" w:color="000000" w:themeColor="text1"/>
              <w:bottom w:val="single" w:sz="4" w:space="0" w:color="auto"/>
            </w:tcBorders>
            <w:shd w:val="clear" w:color="auto" w:fill="auto"/>
          </w:tcPr>
          <w:p w14:paraId="6301948F" w14:textId="77777777" w:rsidR="004A3599" w:rsidRPr="009841AB" w:rsidRDefault="004A3599" w:rsidP="004A359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EAD2976" w14:textId="77777777" w:rsidR="004A3599" w:rsidRPr="009841AB" w:rsidRDefault="004A3599" w:rsidP="004A3599">
            <w:pPr>
              <w:ind w:right="12"/>
              <w:jc w:val="both"/>
            </w:pPr>
            <w:r w:rsidRPr="009841AB">
              <w:t>7.</w:t>
            </w:r>
            <w:r w:rsidRPr="009841AB">
              <w:tab/>
              <w:t xml:space="preserve">Sadaļas “Nepieciešamā rīcība” 17. punkts par </w:t>
            </w:r>
            <w:proofErr w:type="spellStart"/>
            <w:r w:rsidRPr="009841AB">
              <w:t>MedTech</w:t>
            </w:r>
            <w:proofErr w:type="spellEnd"/>
            <w:r w:rsidRPr="009841AB">
              <w:t xml:space="preserve"> attīstības veicināšanu: aicinām definēt rīcības rezultātu sadaļā “Sagaidāmie rezultāti” un konkrētu uzdevuma formulējumu rīcības ieviešanai sadaļā “Uzdevumi”, norādot termiņu, atbildīgos un attiecīgi – indikatīvo finansējumu 3. pielikuma projektā.</w:t>
            </w:r>
          </w:p>
        </w:tc>
        <w:tc>
          <w:tcPr>
            <w:tcW w:w="2480" w:type="dxa"/>
            <w:tcBorders>
              <w:left w:val="single" w:sz="6" w:space="0" w:color="000000" w:themeColor="text1"/>
              <w:bottom w:val="single" w:sz="4" w:space="0" w:color="auto"/>
            </w:tcBorders>
            <w:shd w:val="clear" w:color="auto" w:fill="auto"/>
          </w:tcPr>
          <w:p w14:paraId="479B05BF" w14:textId="77777777" w:rsidR="008A2A01" w:rsidRDefault="008A2A01" w:rsidP="008A2A01">
            <w:pPr>
              <w:pStyle w:val="naisc"/>
              <w:jc w:val="both"/>
              <w:rPr>
                <w:b/>
                <w:bCs/>
              </w:rPr>
            </w:pPr>
            <w:r>
              <w:rPr>
                <w:b/>
                <w:bCs/>
              </w:rPr>
              <w:t>Panākta vienošanās</w:t>
            </w:r>
          </w:p>
          <w:p w14:paraId="3008BD2E" w14:textId="77777777" w:rsidR="004A3599" w:rsidRPr="009841AB" w:rsidRDefault="004A3599" w:rsidP="004A3599">
            <w:pPr>
              <w:pStyle w:val="naisc"/>
              <w:spacing w:before="0" w:after="0"/>
              <w:jc w:val="left"/>
              <w:rPr>
                <w:bCs/>
              </w:rPr>
            </w:pPr>
            <w:r w:rsidRPr="009841AB">
              <w:rPr>
                <w:bCs/>
              </w:rPr>
              <w:t xml:space="preserve">Digitālās transformācijas pamatnostādnes iezīmē stratēģiskos attīstības virzienus Veselības nozares </w:t>
            </w:r>
            <w:proofErr w:type="spellStart"/>
            <w:r w:rsidRPr="009841AB">
              <w:rPr>
                <w:bCs/>
              </w:rPr>
              <w:t>digitalizācijā</w:t>
            </w:r>
            <w:proofErr w:type="spellEnd"/>
            <w:r w:rsidRPr="009841AB">
              <w:rPr>
                <w:bCs/>
              </w:rPr>
              <w:t xml:space="preserve">, tomēr ņemot vērā, ka veselības nozarei atsevišķi ir pamatnostādnes (“Sabiedrības veselības pamatnostādnes 2021.-2027.gadam” (VSS-134)), attiecīgo jautājumu detalizācija ir skatāma nozaru pamatnostādņu </w:t>
            </w:r>
            <w:r w:rsidRPr="009841AB">
              <w:rPr>
                <w:bCs/>
              </w:rPr>
              <w:lastRenderedPageBreak/>
              <w:t>ietvaros. Turklāt konkrētu pasākumu uzdevumi būtu paredzami Sabiedrības veselības pamatnostādnēs plānotajā "Veselības nozares digitālajā stratēģijā".</w:t>
            </w:r>
          </w:p>
        </w:tc>
        <w:tc>
          <w:tcPr>
            <w:tcW w:w="3497" w:type="dxa"/>
            <w:tcBorders>
              <w:left w:val="single" w:sz="6" w:space="0" w:color="000000" w:themeColor="text1"/>
              <w:bottom w:val="single" w:sz="4" w:space="0" w:color="auto"/>
            </w:tcBorders>
            <w:shd w:val="clear" w:color="auto" w:fill="auto"/>
          </w:tcPr>
          <w:p w14:paraId="5A4E56D7" w14:textId="77777777" w:rsidR="004A3599" w:rsidRPr="009841AB" w:rsidRDefault="004A3599" w:rsidP="009318CD">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w:t>
            </w:r>
          </w:p>
        </w:tc>
      </w:tr>
      <w:tr w:rsidR="001D7B9E" w:rsidRPr="009841AB" w14:paraId="3AD1AF2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3B3B5F7" w14:textId="77777777" w:rsidR="001D7B9E" w:rsidRPr="009841AB" w:rsidRDefault="00FF07C8" w:rsidP="001D7B9E">
            <w:pPr>
              <w:pStyle w:val="naisc"/>
              <w:spacing w:before="0" w:after="0"/>
            </w:pPr>
            <w:r>
              <w:t>237</w:t>
            </w:r>
          </w:p>
        </w:tc>
        <w:tc>
          <w:tcPr>
            <w:tcW w:w="2427" w:type="dxa"/>
            <w:tcBorders>
              <w:left w:val="single" w:sz="6" w:space="0" w:color="000000" w:themeColor="text1"/>
              <w:bottom w:val="single" w:sz="4" w:space="0" w:color="auto"/>
            </w:tcBorders>
            <w:shd w:val="clear" w:color="auto" w:fill="auto"/>
          </w:tcPr>
          <w:p w14:paraId="70588C22"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004F887" w14:textId="77777777" w:rsidR="001D7B9E" w:rsidRPr="009841AB" w:rsidRDefault="001D7B9E" w:rsidP="001D7B9E">
            <w:pPr>
              <w:ind w:right="12"/>
              <w:jc w:val="both"/>
            </w:pPr>
            <w:r w:rsidRPr="009841AB">
              <w:t>8.</w:t>
            </w:r>
            <w:r w:rsidRPr="009841AB">
              <w:tab/>
              <w:t xml:space="preserve">Lūdzu skaidrot, kādā veidā (darba plāns, informatīvais ziņojums, operatīvā darba grupa </w:t>
            </w:r>
            <w:proofErr w:type="spellStart"/>
            <w:r w:rsidRPr="009841AB">
              <w:t>v.tml</w:t>
            </w:r>
            <w:proofErr w:type="spellEnd"/>
            <w:r w:rsidRPr="009841AB">
              <w:t xml:space="preserve">.) tiks tālākā detalizācijā izvērsts projektā identificēto uzdevumu ieviešanas process – konkrēti </w:t>
            </w:r>
            <w:proofErr w:type="spellStart"/>
            <w:r w:rsidRPr="009841AB">
              <w:t>apakšuzdevumi</w:t>
            </w:r>
            <w:proofErr w:type="spellEnd"/>
            <w:r w:rsidRPr="009841AB">
              <w:t>, sasniedzamie starprezultāti, to laika grafiks, līdzatbildīgās institūcijas / valsts kapitālsabiedrības / privātais sektors u.c. – lai nodrošinātu veiksmīgu projektu ieviešanu.</w:t>
            </w:r>
          </w:p>
        </w:tc>
        <w:tc>
          <w:tcPr>
            <w:tcW w:w="2480" w:type="dxa"/>
            <w:tcBorders>
              <w:left w:val="single" w:sz="6" w:space="0" w:color="000000" w:themeColor="text1"/>
              <w:bottom w:val="single" w:sz="4" w:space="0" w:color="auto"/>
            </w:tcBorders>
            <w:shd w:val="clear" w:color="auto" w:fill="auto"/>
          </w:tcPr>
          <w:p w14:paraId="29BF1668" w14:textId="77777777" w:rsidR="009318CD" w:rsidRPr="00D264F6" w:rsidRDefault="009318CD" w:rsidP="001D7B9E">
            <w:pPr>
              <w:pStyle w:val="naisc"/>
              <w:spacing w:before="0" w:after="0"/>
              <w:jc w:val="left"/>
              <w:rPr>
                <w:b/>
                <w:bCs/>
              </w:rPr>
            </w:pPr>
            <w:r w:rsidRPr="009841AB">
              <w:rPr>
                <w:b/>
                <w:bCs/>
              </w:rPr>
              <w:t>Ņemts vērā</w:t>
            </w:r>
          </w:p>
          <w:p w14:paraId="22CB5293" w14:textId="77777777" w:rsidR="009318CD" w:rsidRPr="009841AB" w:rsidRDefault="009318CD" w:rsidP="001D7B9E">
            <w:pPr>
              <w:pStyle w:val="naisc"/>
              <w:spacing w:before="0" w:after="0"/>
              <w:jc w:val="left"/>
              <w:rPr>
                <w:bCs/>
              </w:rPr>
            </w:pPr>
            <w:r w:rsidRPr="009841AB">
              <w:rPr>
                <w:bCs/>
              </w:rPr>
              <w:t xml:space="preserve">Atbilstoši Attīstības plānošanas dokumentu izstrādes un ietekmes izvērtēšanas noteikumiem pamatnostādņu ieviešanai tiek gatavots plāns/ plāni. Ņemot vērā pamatnostādņu horizontālo raksturu, paredzams, ka pamatnostādņu realizācija tiks īstenota ar vairākiem plāniem, t.sk. nozaru </w:t>
            </w:r>
            <w:proofErr w:type="spellStart"/>
            <w:r w:rsidRPr="009841AB">
              <w:rPr>
                <w:bCs/>
              </w:rPr>
              <w:t>grezumā</w:t>
            </w:r>
            <w:proofErr w:type="spellEnd"/>
            <w:r w:rsidRPr="009841AB">
              <w:rPr>
                <w:bCs/>
              </w:rPr>
              <w:t xml:space="preserve"> (piem. sakaru, veselības, u.tml.).</w:t>
            </w:r>
          </w:p>
        </w:tc>
        <w:tc>
          <w:tcPr>
            <w:tcW w:w="3497" w:type="dxa"/>
            <w:tcBorders>
              <w:left w:val="single" w:sz="6" w:space="0" w:color="000000" w:themeColor="text1"/>
              <w:bottom w:val="single" w:sz="4" w:space="0" w:color="auto"/>
            </w:tcBorders>
            <w:shd w:val="clear" w:color="auto" w:fill="auto"/>
          </w:tcPr>
          <w:p w14:paraId="6D2B8D1E" w14:textId="77777777" w:rsidR="001D7B9E" w:rsidRPr="009841AB" w:rsidRDefault="009318CD" w:rsidP="001D7B9E">
            <w:pPr>
              <w:pStyle w:val="naisc"/>
              <w:spacing w:before="0" w:after="0"/>
              <w:jc w:val="both"/>
            </w:pPr>
            <w:r w:rsidRPr="009841AB">
              <w:t xml:space="preserve">Lūdzam skatīt </w:t>
            </w:r>
            <w:proofErr w:type="spellStart"/>
            <w:r w:rsidRPr="009841AB">
              <w:t>apakšsadaļu</w:t>
            </w:r>
            <w:proofErr w:type="spellEnd"/>
            <w:r w:rsidRPr="009841AB">
              <w:t xml:space="preserve"> 4.4.</w:t>
            </w:r>
          </w:p>
        </w:tc>
      </w:tr>
      <w:tr w:rsidR="0087106A" w:rsidRPr="009841AB" w14:paraId="7414124C"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93A7E82" w14:textId="77777777" w:rsidR="0087106A" w:rsidRPr="009841AB" w:rsidRDefault="0087106A" w:rsidP="001D7B9E">
            <w:pPr>
              <w:pStyle w:val="naisc"/>
              <w:spacing w:before="0" w:after="0"/>
              <w:jc w:val="both"/>
            </w:pPr>
            <w:r w:rsidRPr="009841AB">
              <w:rPr>
                <w:b/>
              </w:rPr>
              <w:t xml:space="preserve">Biofarmaceitisko zāļu ražotāju asociācijas Latvijā </w:t>
            </w:r>
            <w:r>
              <w:rPr>
                <w:b/>
              </w:rPr>
              <w:t>30</w:t>
            </w:r>
            <w:r w:rsidRPr="009841AB">
              <w:rPr>
                <w:b/>
              </w:rPr>
              <w:t>.0</w:t>
            </w:r>
            <w:r>
              <w:rPr>
                <w:b/>
              </w:rPr>
              <w:t>4</w:t>
            </w:r>
            <w:r w:rsidRPr="009841AB">
              <w:rPr>
                <w:b/>
              </w:rPr>
              <w:t>.2021. atzinums:</w:t>
            </w:r>
          </w:p>
        </w:tc>
      </w:tr>
      <w:tr w:rsidR="0087106A" w:rsidRPr="009841AB" w14:paraId="360EDBE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10EDBFB" w14:textId="77777777" w:rsidR="0087106A" w:rsidRPr="009841AB" w:rsidRDefault="00FF07C8" w:rsidP="001D7B9E">
            <w:pPr>
              <w:pStyle w:val="naisc"/>
              <w:spacing w:before="0" w:after="0"/>
            </w:pPr>
            <w:r>
              <w:t>238</w:t>
            </w:r>
          </w:p>
        </w:tc>
        <w:tc>
          <w:tcPr>
            <w:tcW w:w="2427" w:type="dxa"/>
            <w:tcBorders>
              <w:left w:val="single" w:sz="6" w:space="0" w:color="000000" w:themeColor="text1"/>
              <w:bottom w:val="single" w:sz="4" w:space="0" w:color="auto"/>
            </w:tcBorders>
            <w:shd w:val="clear" w:color="auto" w:fill="auto"/>
          </w:tcPr>
          <w:p w14:paraId="7219F516" w14:textId="77777777" w:rsidR="0087106A" w:rsidRPr="009841AB" w:rsidRDefault="0087106A"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8DC4314" w14:textId="77777777" w:rsidR="0087106A" w:rsidRPr="0087106A" w:rsidRDefault="0087106A" w:rsidP="0087106A">
            <w:pPr>
              <w:jc w:val="both"/>
            </w:pPr>
            <w:r>
              <w:t xml:space="preserve">1. </w:t>
            </w:r>
            <w:r w:rsidRPr="0087106A">
              <w:t xml:space="preserve">Uzdevums Nr. 4.4.6.-1: </w:t>
            </w:r>
          </w:p>
          <w:p w14:paraId="65063A4B" w14:textId="77777777" w:rsidR="0087106A" w:rsidRPr="009841AB" w:rsidRDefault="0087106A" w:rsidP="0087106A">
            <w:pPr>
              <w:ind w:right="12"/>
              <w:jc w:val="both"/>
            </w:pPr>
            <w:r w:rsidRPr="0087106A">
              <w:t xml:space="preserve">Ņemot vērā šobrīd jau sabiedriskajā apspriešanā izsludināto </w:t>
            </w:r>
            <w:proofErr w:type="spellStart"/>
            <w:r w:rsidRPr="0087106A">
              <w:t>Biobanku</w:t>
            </w:r>
            <w:proofErr w:type="spellEnd"/>
            <w:r w:rsidRPr="0087106A">
              <w:t xml:space="preserve"> likumprojektu un Saeimā izveidoto darba grupu Veselības un sociālo datu otrreizējas izmantošanas likumdošanas izveidei, </w:t>
            </w:r>
            <w:r w:rsidRPr="0087106A">
              <w:rPr>
                <w:b/>
              </w:rPr>
              <w:t>aicinām samazināt uzdevuma izpildes termiņu uz 2022. gadu;</w:t>
            </w:r>
          </w:p>
        </w:tc>
        <w:tc>
          <w:tcPr>
            <w:tcW w:w="2480" w:type="dxa"/>
            <w:tcBorders>
              <w:left w:val="single" w:sz="6" w:space="0" w:color="000000" w:themeColor="text1"/>
              <w:bottom w:val="single" w:sz="4" w:space="0" w:color="auto"/>
            </w:tcBorders>
            <w:shd w:val="clear" w:color="auto" w:fill="auto"/>
          </w:tcPr>
          <w:p w14:paraId="008A1739" w14:textId="77777777" w:rsidR="008A2A01" w:rsidRDefault="008A2A01" w:rsidP="008A2A01">
            <w:pPr>
              <w:pStyle w:val="naisc"/>
              <w:jc w:val="both"/>
              <w:rPr>
                <w:b/>
                <w:bCs/>
              </w:rPr>
            </w:pPr>
            <w:r>
              <w:rPr>
                <w:b/>
                <w:bCs/>
              </w:rPr>
              <w:t>Panākta vienošanās</w:t>
            </w:r>
          </w:p>
          <w:p w14:paraId="39C18234" w14:textId="77777777" w:rsidR="0087106A" w:rsidRPr="00966C5E" w:rsidRDefault="00C857FC" w:rsidP="001D7B9E">
            <w:pPr>
              <w:pStyle w:val="naisc"/>
              <w:spacing w:before="0" w:after="0"/>
              <w:jc w:val="left"/>
            </w:pPr>
            <w:r w:rsidRPr="00966C5E">
              <w:t xml:space="preserve">Ņemot vērā, ka </w:t>
            </w:r>
            <w:r>
              <w:t>uzdevums</w:t>
            </w:r>
            <w:r w:rsidRPr="00966C5E">
              <w:t xml:space="preserve"> ir plašāks kā otrreizējās izmantošanas likums</w:t>
            </w:r>
            <w:r>
              <w:t xml:space="preserve">, ietverot arī standartu </w:t>
            </w:r>
            <w:r>
              <w:lastRenderedPageBreak/>
              <w:t xml:space="preserve">noteikšanu, termiņš paredzēts garāks. Tas, protams, neizslēdz nepieciešamības gadījumā vienu vai otru jautājumu risināt atbilstoši vajadzībai/ prioritātei, vai konkretizēt plāna līmenī. </w:t>
            </w:r>
          </w:p>
        </w:tc>
        <w:tc>
          <w:tcPr>
            <w:tcW w:w="3497" w:type="dxa"/>
            <w:tcBorders>
              <w:left w:val="single" w:sz="6" w:space="0" w:color="000000" w:themeColor="text1"/>
              <w:bottom w:val="single" w:sz="4" w:space="0" w:color="auto"/>
            </w:tcBorders>
            <w:shd w:val="clear" w:color="auto" w:fill="auto"/>
          </w:tcPr>
          <w:p w14:paraId="4FACDFB4" w14:textId="3FC4575C" w:rsidR="0087106A" w:rsidRPr="009841AB" w:rsidRDefault="008A0052" w:rsidP="001D7B9E">
            <w:pPr>
              <w:pStyle w:val="naisc"/>
              <w:spacing w:before="0" w:after="0"/>
              <w:jc w:val="both"/>
            </w:pPr>
            <w:r w:rsidRPr="009841AB">
              <w:lastRenderedPageBreak/>
              <w:t>Lūdzam skatīt sadaļu 4.</w:t>
            </w:r>
            <w:r>
              <w:t>4.</w:t>
            </w:r>
          </w:p>
        </w:tc>
      </w:tr>
      <w:tr w:rsidR="0087106A" w:rsidRPr="009841AB" w14:paraId="405872F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317DD46" w14:textId="77777777" w:rsidR="0087106A" w:rsidRPr="009841AB" w:rsidRDefault="00FF07C8" w:rsidP="001D7B9E">
            <w:pPr>
              <w:pStyle w:val="naisc"/>
              <w:spacing w:before="0" w:after="0"/>
            </w:pPr>
            <w:r>
              <w:t>239</w:t>
            </w:r>
          </w:p>
        </w:tc>
        <w:tc>
          <w:tcPr>
            <w:tcW w:w="2427" w:type="dxa"/>
            <w:tcBorders>
              <w:left w:val="single" w:sz="6" w:space="0" w:color="000000" w:themeColor="text1"/>
              <w:bottom w:val="single" w:sz="4" w:space="0" w:color="auto"/>
            </w:tcBorders>
            <w:shd w:val="clear" w:color="auto" w:fill="auto"/>
          </w:tcPr>
          <w:p w14:paraId="7590BFE3" w14:textId="77777777" w:rsidR="0087106A" w:rsidRPr="009841AB" w:rsidRDefault="0087106A"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D1E523D" w14:textId="77777777" w:rsidR="0087106A" w:rsidRDefault="0087106A" w:rsidP="0087106A">
            <w:pPr>
              <w:jc w:val="both"/>
            </w:pPr>
            <w:r>
              <w:t xml:space="preserve">2. Uzdevums Nr. 4.4.6.-2: </w:t>
            </w:r>
          </w:p>
          <w:p w14:paraId="1F45C1DB" w14:textId="77777777" w:rsidR="0087106A" w:rsidRDefault="0087106A" w:rsidP="0087106A">
            <w:pPr>
              <w:jc w:val="both"/>
            </w:pPr>
            <w:r>
              <w:t>Uzdevuma aktivitātei pilnvērtīgas pacientu elektroniskās veselības kartes darbībai pamatnostādņu projekta daļā “Sagaidāmie rezultāti” (81. lpp.) kā termiņš norādīts 2026. gads, tā tas norādīts arī pielikuma Nr. 2. projektā. Lūdzam koriģēt tehnisku kļūdu, jo pamatnostādņu projekta daļā “Uzdevumi” (82. lpp.) norādīts 2027. gads.</w:t>
            </w:r>
          </w:p>
        </w:tc>
        <w:tc>
          <w:tcPr>
            <w:tcW w:w="2480" w:type="dxa"/>
            <w:tcBorders>
              <w:left w:val="single" w:sz="6" w:space="0" w:color="000000" w:themeColor="text1"/>
              <w:bottom w:val="single" w:sz="4" w:space="0" w:color="auto"/>
            </w:tcBorders>
            <w:shd w:val="clear" w:color="auto" w:fill="auto"/>
          </w:tcPr>
          <w:p w14:paraId="522AC447" w14:textId="77777777" w:rsidR="0087106A" w:rsidRPr="009841AB" w:rsidRDefault="00C857FC" w:rsidP="001D7B9E">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4DB8A9D7" w14:textId="77777777" w:rsidR="0087106A" w:rsidRPr="009841AB" w:rsidRDefault="00C857FC" w:rsidP="001D7B9E">
            <w:pPr>
              <w:pStyle w:val="naisc"/>
              <w:spacing w:before="0" w:after="0"/>
              <w:jc w:val="both"/>
            </w:pPr>
            <w:r w:rsidRPr="009841AB">
              <w:t xml:space="preserve">Lūdzam skatīt </w:t>
            </w:r>
            <w:proofErr w:type="spellStart"/>
            <w:r w:rsidRPr="009841AB">
              <w:t>apakšsadaļu</w:t>
            </w:r>
            <w:proofErr w:type="spellEnd"/>
            <w:r w:rsidRPr="009841AB">
              <w:t xml:space="preserve"> </w:t>
            </w:r>
            <w:r>
              <w:t>4.4.6. Uzdevumi</w:t>
            </w:r>
          </w:p>
        </w:tc>
      </w:tr>
      <w:tr w:rsidR="001D7B9E" w:rsidRPr="009841AB" w14:paraId="4F14AEAD"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C3F9A71" w14:textId="77777777" w:rsidR="001D7B9E" w:rsidRPr="009841AB" w:rsidRDefault="001D7B9E" w:rsidP="001D7B9E">
            <w:pPr>
              <w:tabs>
                <w:tab w:val="left" w:pos="720"/>
              </w:tabs>
              <w:contextualSpacing/>
              <w:jc w:val="both"/>
              <w:rPr>
                <w:b/>
                <w:bCs/>
                <w:lang w:eastAsia="en-US"/>
              </w:rPr>
            </w:pPr>
            <w:r w:rsidRPr="009841AB">
              <w:rPr>
                <w:b/>
                <w:bCs/>
                <w:lang w:eastAsia="en-US"/>
              </w:rPr>
              <w:t>Ekonomikas ministrijas 03.02.2021. atzinums:</w:t>
            </w:r>
          </w:p>
        </w:tc>
      </w:tr>
      <w:tr w:rsidR="001D7B9E" w:rsidRPr="009841AB" w14:paraId="2828C6A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77E0394" w14:textId="77777777" w:rsidR="001D7B9E" w:rsidRPr="009841AB" w:rsidRDefault="00AD491B" w:rsidP="001D7B9E">
            <w:pPr>
              <w:pStyle w:val="naisc"/>
              <w:spacing w:before="0" w:after="0"/>
            </w:pPr>
            <w:r>
              <w:t>240</w:t>
            </w:r>
          </w:p>
        </w:tc>
        <w:tc>
          <w:tcPr>
            <w:tcW w:w="2427" w:type="dxa"/>
            <w:tcBorders>
              <w:left w:val="single" w:sz="6" w:space="0" w:color="000000" w:themeColor="text1"/>
              <w:bottom w:val="single" w:sz="4" w:space="0" w:color="auto"/>
            </w:tcBorders>
            <w:shd w:val="clear" w:color="auto" w:fill="auto"/>
          </w:tcPr>
          <w:p w14:paraId="685C31B6"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3EBF101" w14:textId="77777777" w:rsidR="001D7B9E" w:rsidRPr="009841AB" w:rsidRDefault="001D7B9E" w:rsidP="001D7B9E">
            <w:pPr>
              <w:ind w:right="12"/>
              <w:jc w:val="both"/>
            </w:pPr>
            <w:r w:rsidRPr="009841AB">
              <w:t xml:space="preserve">1. Lai sasniegtu Nacionālā un enerģētikas plāna 2030. gadam mērķus un ilgtermiņa vīziju par </w:t>
            </w:r>
            <w:proofErr w:type="spellStart"/>
            <w:r w:rsidRPr="009841AB">
              <w:t>klimatneitralitāti</w:t>
            </w:r>
            <w:proofErr w:type="spellEnd"/>
            <w:r w:rsidRPr="009841AB">
              <w:t xml:space="preserve"> 2050. gadā, enerģētiskas sektorā būs jānotiek fundamentālām ražošanas, pārvades un patēriņa izmaiņām. Energosistēmās arvien vairāk ražošana pārvirzīsies no centralizētas uz augsti decentralizētu ražošanu, tai skaitā no mainīgiem energoresursiem, kuru ražošanas jaudas būs atkarīgas no laikapstākļiem. Patēriņa pusē ir sagaidāma līdzvērtīgi nevienmērīga slodze, kuru ietekmēs ne tikai laikapstākļu rezultātā mainīgās </w:t>
            </w:r>
            <w:proofErr w:type="spellStart"/>
            <w:r w:rsidRPr="009841AB">
              <w:t>pašražošanas</w:t>
            </w:r>
            <w:proofErr w:type="spellEnd"/>
            <w:r w:rsidRPr="009841AB">
              <w:t xml:space="preserve"> izstrādes, bet arī lokālā akumulācija, kura darbosies pēc enerģijas tirgus cenu signāliem. Energoapgādes infrastruktūrai šajā mainīgajā nākotnes situācijā būs ļoti svarīga loma un šīs lomas īstenošanai būs nepieciešams vienotā sistēmā integrēt datus par </w:t>
            </w:r>
            <w:r w:rsidRPr="009841AB">
              <w:lastRenderedPageBreak/>
              <w:t xml:space="preserve">vairākiem miljoniem dažādu objektu. Jau pabeidzot viedo skaitītāju ieviešanu 2023. gadā elektroenerģijas sistēmā būs ap 1 miljonu datu devēju un līdz ar papildus viedo objektu uzstādīšanu ir sagaidāma arvien apjomīgākas datu plūsmas. Ne </w:t>
            </w:r>
            <w:proofErr w:type="spellStart"/>
            <w:r w:rsidRPr="009841AB">
              <w:t>klimatneitralitāti</w:t>
            </w:r>
            <w:proofErr w:type="spellEnd"/>
            <w:r w:rsidRPr="009841AB">
              <w:t xml:space="preserve">, ne dekarbonizāciju veicinoši pasākumi vairs nav iedomājami bez saistītiem informācijas tehnoloģiju un </w:t>
            </w:r>
            <w:proofErr w:type="spellStart"/>
            <w:r w:rsidRPr="009841AB">
              <w:t>digitalizācijas</w:t>
            </w:r>
            <w:proofErr w:type="spellEnd"/>
            <w:r w:rsidRPr="009841AB">
              <w:t xml:space="preserve"> risinājumiem energoapgādes sistēmā tuvākajā nākotnē, tāpēc </w:t>
            </w:r>
            <w:r w:rsidRPr="009841AB">
              <w:rPr>
                <w:u w:val="single"/>
              </w:rPr>
              <w:t>būtiski šos priekšnoteikumus atspoguļot arī Digitālās transformācijas pamatnostādnēs 2021.-2027. gadam</w:t>
            </w:r>
            <w:r w:rsidRPr="009841AB">
              <w:t>.</w:t>
            </w:r>
          </w:p>
          <w:p w14:paraId="7D897DB0" w14:textId="77777777" w:rsidR="001D7B9E" w:rsidRPr="009841AB" w:rsidRDefault="001D7B9E" w:rsidP="001D7B9E">
            <w:pPr>
              <w:ind w:right="12"/>
              <w:jc w:val="both"/>
            </w:pPr>
            <w:r w:rsidRPr="009841AB">
              <w:t xml:space="preserve">Ekonomikas ministrija atzinīgi vērtē esošajā Pamatnostādņu projektā atspoguļoto energoapgādes </w:t>
            </w:r>
            <w:proofErr w:type="spellStart"/>
            <w:r w:rsidRPr="009841AB">
              <w:t>digitalizācijas</w:t>
            </w:r>
            <w:proofErr w:type="spellEnd"/>
            <w:r w:rsidRPr="009841AB">
              <w:t xml:space="preserve"> izaicinājumu, vienlaikus </w:t>
            </w:r>
            <w:r w:rsidRPr="009841AB">
              <w:rPr>
                <w:u w:val="single"/>
              </w:rPr>
              <w:t xml:space="preserve">lūdzot iekļaut Pamatnostādņu projektā papildinājumus, kas pievienoti </w:t>
            </w:r>
            <w:proofErr w:type="spellStart"/>
            <w:r w:rsidRPr="009841AB">
              <w:rPr>
                <w:u w:val="single"/>
              </w:rPr>
              <w:t>track</w:t>
            </w:r>
            <w:proofErr w:type="spellEnd"/>
            <w:r w:rsidRPr="009841AB">
              <w:rPr>
                <w:u w:val="single"/>
              </w:rPr>
              <w:t xml:space="preserve"> </w:t>
            </w:r>
            <w:proofErr w:type="spellStart"/>
            <w:r w:rsidRPr="009841AB">
              <w:rPr>
                <w:u w:val="single"/>
              </w:rPr>
              <w:t>changes</w:t>
            </w:r>
            <w:proofErr w:type="spellEnd"/>
            <w:r w:rsidRPr="009841AB">
              <w:rPr>
                <w:u w:val="single"/>
              </w:rPr>
              <w:t xml:space="preserve"> režīmā Pamatnostādņu projekta 116.-122.lpp. atzinuma pielikumā.</w:t>
            </w:r>
          </w:p>
        </w:tc>
        <w:tc>
          <w:tcPr>
            <w:tcW w:w="2480" w:type="dxa"/>
            <w:tcBorders>
              <w:left w:val="single" w:sz="6" w:space="0" w:color="000000" w:themeColor="text1"/>
              <w:bottom w:val="single" w:sz="4" w:space="0" w:color="auto"/>
            </w:tcBorders>
            <w:shd w:val="clear" w:color="auto" w:fill="auto"/>
          </w:tcPr>
          <w:p w14:paraId="250F1830" w14:textId="77777777" w:rsidR="008A2A01" w:rsidRDefault="008A2A01" w:rsidP="008A2A01">
            <w:pPr>
              <w:pStyle w:val="naisc"/>
              <w:jc w:val="both"/>
              <w:rPr>
                <w:b/>
                <w:bCs/>
              </w:rPr>
            </w:pPr>
            <w:r>
              <w:rPr>
                <w:b/>
                <w:bCs/>
              </w:rPr>
              <w:lastRenderedPageBreak/>
              <w:t>Panākta vienošanās</w:t>
            </w:r>
          </w:p>
          <w:p w14:paraId="26F02F69" w14:textId="77777777" w:rsidR="008F351E" w:rsidRPr="009841AB" w:rsidRDefault="008F351E" w:rsidP="001D7B9E">
            <w:pPr>
              <w:pStyle w:val="naisc"/>
              <w:spacing w:before="0" w:after="0"/>
              <w:jc w:val="left"/>
            </w:pPr>
            <w:r w:rsidRPr="009841AB">
              <w:t>Piedāvātie precizējumi nav attiecināmi uz ģeotelpisko datu pārvaldības sadaļu. Specifisku projektu detalizācija pamatnostādņu dokumenta  līmenim nav atbilstoša.</w:t>
            </w:r>
          </w:p>
        </w:tc>
        <w:tc>
          <w:tcPr>
            <w:tcW w:w="3497" w:type="dxa"/>
            <w:tcBorders>
              <w:left w:val="single" w:sz="6" w:space="0" w:color="000000" w:themeColor="text1"/>
              <w:bottom w:val="single" w:sz="4" w:space="0" w:color="auto"/>
            </w:tcBorders>
            <w:shd w:val="clear" w:color="auto" w:fill="auto"/>
          </w:tcPr>
          <w:p w14:paraId="6757A383" w14:textId="77777777" w:rsidR="001D7B9E" w:rsidRPr="009841AB" w:rsidRDefault="008F351E" w:rsidP="001D7B9E">
            <w:pPr>
              <w:pStyle w:val="naisc"/>
              <w:spacing w:before="0" w:after="0"/>
              <w:jc w:val="both"/>
            </w:pPr>
            <w:r w:rsidRPr="009841AB">
              <w:t xml:space="preserve">Lūdzam skatīt </w:t>
            </w:r>
            <w:proofErr w:type="spellStart"/>
            <w:r w:rsidRPr="009841AB">
              <w:t>apakšsadaļu</w:t>
            </w:r>
            <w:proofErr w:type="spellEnd"/>
            <w:r w:rsidRPr="009841AB">
              <w:t xml:space="preserve"> 4.5.2.</w:t>
            </w:r>
          </w:p>
        </w:tc>
      </w:tr>
      <w:tr w:rsidR="001D7B9E" w:rsidRPr="009841AB" w14:paraId="400D5C7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F5A14B7" w14:textId="77777777" w:rsidR="001D7B9E" w:rsidRPr="009841AB" w:rsidRDefault="00AD491B" w:rsidP="001D7B9E">
            <w:pPr>
              <w:pStyle w:val="naisc"/>
              <w:spacing w:before="0" w:after="0"/>
            </w:pPr>
            <w:r>
              <w:t>241</w:t>
            </w:r>
          </w:p>
        </w:tc>
        <w:tc>
          <w:tcPr>
            <w:tcW w:w="2427" w:type="dxa"/>
            <w:tcBorders>
              <w:left w:val="single" w:sz="6" w:space="0" w:color="000000" w:themeColor="text1"/>
              <w:bottom w:val="single" w:sz="4" w:space="0" w:color="auto"/>
            </w:tcBorders>
            <w:shd w:val="clear" w:color="auto" w:fill="auto"/>
          </w:tcPr>
          <w:p w14:paraId="7DD989B7"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D853E7F" w14:textId="77777777" w:rsidR="001D7B9E" w:rsidRPr="009841AB" w:rsidRDefault="001D7B9E" w:rsidP="001D7B9E">
            <w:pPr>
              <w:ind w:right="12"/>
              <w:jc w:val="both"/>
            </w:pPr>
            <w:r w:rsidRPr="009841AB">
              <w:t xml:space="preserve">2. Pamatnostādņu projekta 4.4.1. sadaļā ir aprakstīta situācija attiecībā uz Valsts pārvaldes Pakalpojumu platformām, vienlaikus iekļauts uzdevums Ekonomikas ministrijai izveidot atbalsta mehānismu komersantiem prioritāro pakalpojumu platformu izmantošanai (U4.4.1.-3). </w:t>
            </w:r>
          </w:p>
          <w:p w14:paraId="1BBB6249" w14:textId="77777777" w:rsidR="001D7B9E" w:rsidRPr="009841AB" w:rsidRDefault="001D7B9E" w:rsidP="001D7B9E">
            <w:pPr>
              <w:ind w:right="12"/>
              <w:jc w:val="both"/>
            </w:pPr>
            <w:r w:rsidRPr="009841AB">
              <w:t xml:space="preserve">Lūdzam precizēt, </w:t>
            </w:r>
            <w:r w:rsidRPr="009841AB">
              <w:rPr>
                <w:u w:val="single"/>
              </w:rPr>
              <w:t>kas būtu saprotams ar prioritārām pakalpojumu platformām. Vienlaikus norādām, ka atbildīgajam par atbalsta mehānisma izveidi ir jābūt VARAM</w:t>
            </w:r>
            <w:r w:rsidRPr="009841AB">
              <w:t>, kas saskaņā ar Valsts informācijas sistēmu likumu realizē vienotu valsts politiku valsts informācijas sistēmu attīstības un uzturēšanas jomā.</w:t>
            </w:r>
          </w:p>
        </w:tc>
        <w:tc>
          <w:tcPr>
            <w:tcW w:w="2480" w:type="dxa"/>
            <w:tcBorders>
              <w:left w:val="single" w:sz="6" w:space="0" w:color="000000" w:themeColor="text1"/>
              <w:bottom w:val="single" w:sz="4" w:space="0" w:color="auto"/>
            </w:tcBorders>
            <w:shd w:val="clear" w:color="auto" w:fill="auto"/>
          </w:tcPr>
          <w:p w14:paraId="7EB63D51" w14:textId="77777777" w:rsidR="00816A94" w:rsidRPr="009841AB" w:rsidRDefault="00F632CB" w:rsidP="001D7B9E">
            <w:pPr>
              <w:pStyle w:val="naisc"/>
              <w:spacing w:before="0" w:after="0"/>
              <w:jc w:val="left"/>
              <w:rPr>
                <w:b/>
                <w:bCs/>
              </w:rPr>
            </w:pPr>
            <w:r w:rsidRPr="009841AB">
              <w:rPr>
                <w:b/>
                <w:bCs/>
              </w:rPr>
              <w:t>Ņemts vērā</w:t>
            </w:r>
          </w:p>
          <w:p w14:paraId="305B5279" w14:textId="77777777" w:rsidR="00F632CB" w:rsidRPr="009841AB" w:rsidRDefault="00816A94" w:rsidP="001D7B9E">
            <w:pPr>
              <w:pStyle w:val="naisc"/>
              <w:spacing w:before="0" w:after="0"/>
              <w:jc w:val="left"/>
            </w:pPr>
            <w:r w:rsidRPr="009841AB">
              <w:t xml:space="preserve">Precizēta atbalsta formas - </w:t>
            </w:r>
            <w:proofErr w:type="spellStart"/>
            <w:r w:rsidRPr="009841AB">
              <w:t>pilotpieslēgumu</w:t>
            </w:r>
            <w:proofErr w:type="spellEnd"/>
            <w:r w:rsidRPr="009841AB">
              <w:t xml:space="preserve"> atbalsts komersantiem paredzams platformu attīstības projektu ietvaros. Vienlaikus paredzams, ka komersanti varēs pieteikties </w:t>
            </w:r>
            <w:proofErr w:type="spellStart"/>
            <w:r w:rsidRPr="009841AB">
              <w:t>līdzifinansējumam</w:t>
            </w:r>
            <w:proofErr w:type="spellEnd"/>
            <w:r w:rsidRPr="009841AB">
              <w:t xml:space="preserve"> arī EM pārziņā esošajās uzņēmējdarbības </w:t>
            </w:r>
            <w:proofErr w:type="spellStart"/>
            <w:r w:rsidRPr="009841AB">
              <w:t>digitalizācijas</w:t>
            </w:r>
            <w:proofErr w:type="spellEnd"/>
            <w:r w:rsidRPr="009841AB">
              <w:t xml:space="preserve"> programmās (</w:t>
            </w:r>
            <w:proofErr w:type="spellStart"/>
            <w:r w:rsidRPr="009841AB">
              <w:t>grantu</w:t>
            </w:r>
            <w:proofErr w:type="spellEnd"/>
            <w:r w:rsidRPr="009841AB">
              <w:t xml:space="preserve"> shēmās).</w:t>
            </w:r>
          </w:p>
          <w:p w14:paraId="3A77C426" w14:textId="77777777" w:rsidR="00F632CB" w:rsidRPr="009841AB" w:rsidRDefault="00F632CB" w:rsidP="001D7B9E">
            <w:pPr>
              <w:pStyle w:val="naisc"/>
              <w:spacing w:before="0" w:after="0"/>
              <w:jc w:val="left"/>
              <w:rPr>
                <w:b/>
                <w:bCs/>
                <w:highlight w:val="cyan"/>
              </w:rPr>
            </w:pPr>
          </w:p>
        </w:tc>
        <w:tc>
          <w:tcPr>
            <w:tcW w:w="3497" w:type="dxa"/>
            <w:tcBorders>
              <w:left w:val="single" w:sz="6" w:space="0" w:color="000000" w:themeColor="text1"/>
              <w:bottom w:val="single" w:sz="4" w:space="0" w:color="auto"/>
            </w:tcBorders>
            <w:shd w:val="clear" w:color="auto" w:fill="auto"/>
          </w:tcPr>
          <w:p w14:paraId="1FACB7A1" w14:textId="77777777" w:rsidR="001D7B9E" w:rsidRPr="009841AB" w:rsidRDefault="00F632CB" w:rsidP="00F632CB">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4.4.1.</w:t>
            </w:r>
          </w:p>
        </w:tc>
      </w:tr>
      <w:tr w:rsidR="001D7B9E" w:rsidRPr="009841AB" w14:paraId="7634C09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BA0941F" w14:textId="77777777" w:rsidR="001D7B9E" w:rsidRPr="009841AB" w:rsidRDefault="00AD491B" w:rsidP="001D7B9E">
            <w:pPr>
              <w:pStyle w:val="naisc"/>
              <w:spacing w:before="0" w:after="0"/>
            </w:pPr>
            <w:r>
              <w:t>242</w:t>
            </w:r>
          </w:p>
        </w:tc>
        <w:tc>
          <w:tcPr>
            <w:tcW w:w="2427" w:type="dxa"/>
            <w:tcBorders>
              <w:left w:val="single" w:sz="6" w:space="0" w:color="000000" w:themeColor="text1"/>
              <w:bottom w:val="single" w:sz="4" w:space="0" w:color="auto"/>
            </w:tcBorders>
            <w:shd w:val="clear" w:color="auto" w:fill="auto"/>
          </w:tcPr>
          <w:p w14:paraId="3A5F5C21"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75E22EB" w14:textId="77777777" w:rsidR="001D7B9E" w:rsidRPr="009841AB" w:rsidRDefault="001D7B9E" w:rsidP="001D7B9E">
            <w:pPr>
              <w:ind w:right="12"/>
              <w:jc w:val="both"/>
            </w:pPr>
            <w:r w:rsidRPr="009841AB">
              <w:t xml:space="preserve">3. 2020. gadā Ministru kabinetā tika apstiprināts Pakalpojumu vides pilnveides plāns 2020.-2023. gadam. Lūdzam skaidrot minētā (apstiprinātā) plāna mijiedarbību ar Pamatnostādņu projekta 4.4.9.1 sadaļā paredzēto vienoto valsts pakalpojumu pilnveides stratēģisko plānu. Tāpat lūdzam izvērtēt vai tik bieža šķietami līdzīgu plānu izstrāde ir lietderīga, ņemot vērā, ka </w:t>
            </w:r>
            <w:proofErr w:type="spellStart"/>
            <w:r w:rsidRPr="009841AB">
              <w:t>līdšinējā</w:t>
            </w:r>
            <w:proofErr w:type="spellEnd"/>
            <w:r w:rsidRPr="009841AB">
              <w:t xml:space="preserve"> procesā neviens no plāniem neparedz centralizētu pieeju iestāžu pakalpojumu pilnveidei, kas arī šajā Pamatnostādņu projektā nav nolasāms.</w:t>
            </w:r>
          </w:p>
        </w:tc>
        <w:tc>
          <w:tcPr>
            <w:tcW w:w="2480" w:type="dxa"/>
            <w:tcBorders>
              <w:left w:val="single" w:sz="6" w:space="0" w:color="000000" w:themeColor="text1"/>
              <w:bottom w:val="single" w:sz="4" w:space="0" w:color="auto"/>
            </w:tcBorders>
            <w:shd w:val="clear" w:color="auto" w:fill="auto"/>
          </w:tcPr>
          <w:p w14:paraId="06BBFDF3" w14:textId="77777777" w:rsidR="008A2A01" w:rsidRDefault="008A2A01" w:rsidP="008A2A01">
            <w:pPr>
              <w:pStyle w:val="naisc"/>
              <w:jc w:val="both"/>
              <w:rPr>
                <w:b/>
                <w:bCs/>
              </w:rPr>
            </w:pPr>
            <w:r>
              <w:rPr>
                <w:b/>
                <w:bCs/>
              </w:rPr>
              <w:t>Panākta vienošanās</w:t>
            </w:r>
          </w:p>
          <w:p w14:paraId="3A747EE8" w14:textId="77777777" w:rsidR="001D7B9E" w:rsidRPr="009841AB" w:rsidRDefault="004816E2" w:rsidP="001D7B9E">
            <w:pPr>
              <w:pStyle w:val="naisc"/>
              <w:spacing w:before="0" w:after="0"/>
              <w:jc w:val="left"/>
            </w:pPr>
            <w:r w:rsidRPr="009841AB">
              <w:t xml:space="preserve">Sadaļa 4.4.9.3. Pilnībā </w:t>
            </w:r>
            <w:proofErr w:type="spellStart"/>
            <w:r w:rsidRPr="009841AB">
              <w:t>digitalizēta</w:t>
            </w:r>
            <w:proofErr w:type="spellEnd"/>
            <w:r w:rsidRPr="009841AB">
              <w:t xml:space="preserve"> un datu vadīta valsts pārvaldes pamatdarbība papildināta ar atsauci uz iestāžu darbības auditēšanu. Vienlaikus norādām, ka pamatnostādņu uzdevums nav detalizēt konkrētus specifiskus projektus. Attiecīgi nepiecie</w:t>
            </w:r>
            <w:r w:rsidR="00472500" w:rsidRPr="009841AB">
              <w:t>ša</w:t>
            </w:r>
            <w:r w:rsidRPr="009841AB">
              <w:t>mo rīcību formulējot konceptuāli un detalizāciju paredzot pamatnostādņu ieviešanas plānos.</w:t>
            </w:r>
          </w:p>
        </w:tc>
        <w:tc>
          <w:tcPr>
            <w:tcW w:w="3497" w:type="dxa"/>
            <w:tcBorders>
              <w:left w:val="single" w:sz="6" w:space="0" w:color="000000" w:themeColor="text1"/>
              <w:bottom w:val="single" w:sz="4" w:space="0" w:color="auto"/>
            </w:tcBorders>
            <w:shd w:val="clear" w:color="auto" w:fill="auto"/>
          </w:tcPr>
          <w:p w14:paraId="22356A1E" w14:textId="77777777" w:rsidR="001D7B9E" w:rsidRPr="009841AB" w:rsidRDefault="00472500" w:rsidP="00472500">
            <w:pPr>
              <w:pStyle w:val="naisc"/>
              <w:spacing w:before="0" w:after="0"/>
              <w:jc w:val="left"/>
            </w:pPr>
            <w:r w:rsidRPr="009841AB">
              <w:t xml:space="preserve">Lūdzam skatīt </w:t>
            </w:r>
            <w:proofErr w:type="spellStart"/>
            <w:r w:rsidRPr="009841AB">
              <w:t>apakšsadaļu</w:t>
            </w:r>
            <w:proofErr w:type="spellEnd"/>
            <w:r w:rsidRPr="009841AB">
              <w:t xml:space="preserve"> 4.4.9.3.</w:t>
            </w:r>
          </w:p>
        </w:tc>
      </w:tr>
      <w:tr w:rsidR="001D7B9E" w:rsidRPr="009841AB" w14:paraId="38D67881"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0CD2377" w14:textId="77777777" w:rsidR="001D7B9E" w:rsidRPr="009841AB" w:rsidRDefault="001D7B9E" w:rsidP="001D7B9E">
            <w:pPr>
              <w:tabs>
                <w:tab w:val="left" w:pos="720"/>
              </w:tabs>
              <w:contextualSpacing/>
              <w:jc w:val="both"/>
              <w:rPr>
                <w:b/>
                <w:bCs/>
                <w:lang w:eastAsia="en-US"/>
              </w:rPr>
            </w:pPr>
            <w:r w:rsidRPr="009841AB">
              <w:rPr>
                <w:b/>
                <w:bCs/>
                <w:lang w:eastAsia="en-US"/>
              </w:rPr>
              <w:t>Finanšu ministrijas 01.02.2021. atzinums:</w:t>
            </w:r>
          </w:p>
        </w:tc>
      </w:tr>
      <w:tr w:rsidR="00472500" w:rsidRPr="009841AB" w14:paraId="112BC24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6D9B266" w14:textId="77777777" w:rsidR="00472500" w:rsidRPr="009841AB" w:rsidRDefault="00AD491B" w:rsidP="00472500">
            <w:pPr>
              <w:pStyle w:val="naisc"/>
              <w:spacing w:before="0" w:after="0"/>
            </w:pPr>
            <w:r>
              <w:t>243</w:t>
            </w:r>
          </w:p>
        </w:tc>
        <w:tc>
          <w:tcPr>
            <w:tcW w:w="2427" w:type="dxa"/>
            <w:tcBorders>
              <w:left w:val="single" w:sz="6" w:space="0" w:color="000000" w:themeColor="text1"/>
              <w:bottom w:val="single" w:sz="4" w:space="0" w:color="auto"/>
            </w:tcBorders>
            <w:shd w:val="clear" w:color="auto" w:fill="auto"/>
          </w:tcPr>
          <w:p w14:paraId="389DBC1C" w14:textId="77777777" w:rsidR="00472500" w:rsidRPr="009841AB" w:rsidRDefault="00472500" w:rsidP="00472500">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6465BD6" w14:textId="77777777" w:rsidR="00472500" w:rsidRPr="009841AB" w:rsidRDefault="00472500" w:rsidP="00472500">
            <w:pPr>
              <w:ind w:right="12"/>
              <w:jc w:val="both"/>
            </w:pPr>
            <w:r w:rsidRPr="009841AB">
              <w:t>1.</w:t>
            </w:r>
            <w:r w:rsidRPr="009841AB">
              <w:tab/>
              <w:t xml:space="preserve">Pamatnostādņu 4.4.apakšsadaļas ietvaros īstenotie 4.4.1., 4.4.2. un 4.4.9. rīcības virzieni nākotnē plāno veicināt tehnoloģiskās infrastruktūras attīstību, iekšējo procesu un </w:t>
            </w:r>
            <w:proofErr w:type="spellStart"/>
            <w:r w:rsidRPr="009841AB">
              <w:t>starpiestāžu</w:t>
            </w:r>
            <w:proofErr w:type="spellEnd"/>
            <w:r w:rsidRPr="009841AB">
              <w:t xml:space="preserve"> sadarbības automatizāciju, kas ir aktuāli jautājumi arī valsts pārvaldes iekšējā audita politikas progresīvai attīstībai.</w:t>
            </w:r>
          </w:p>
          <w:p w14:paraId="243DD62B" w14:textId="77777777" w:rsidR="00472500" w:rsidRPr="009841AB" w:rsidRDefault="00472500" w:rsidP="00472500">
            <w:pPr>
              <w:ind w:right="12"/>
              <w:jc w:val="both"/>
            </w:pPr>
            <w:r w:rsidRPr="009841AB">
              <w:t xml:space="preserve">Šobrīd informācijas, tostarp dokumentu apmaiņa starp Finanšu ministriju un iekšējā audita struktūrvienībām ministrijās/iestādēs notiek decentralizēti, izmantojot automatizētās lietvedības sistēmas. Datu apkopošana un analīze ir laikietilpīga un neefektīva. Tāpēc ņemot vērā Eiropas Savienības un Latvijas attīstības plānošanas dokumentos un tiesību aktos izvirzītos </w:t>
            </w:r>
            <w:r w:rsidRPr="009841AB">
              <w:lastRenderedPageBreak/>
              <w:t xml:space="preserve">mērķus, globālās attīstības aktualitātes un starptautisko praksi, ir nepieciešams </w:t>
            </w:r>
            <w:proofErr w:type="spellStart"/>
            <w:r w:rsidRPr="009841AB">
              <w:t>digitalizēt</w:t>
            </w:r>
            <w:proofErr w:type="spellEnd"/>
            <w:r w:rsidRPr="009841AB">
              <w:t xml:space="preserve"> arī iekšējā audita un tā pārvaldības procesus. Iekšējā audita funkcijas izpildes </w:t>
            </w:r>
            <w:proofErr w:type="spellStart"/>
            <w:r w:rsidRPr="009841AB">
              <w:t>digitalizācija</w:t>
            </w:r>
            <w:proofErr w:type="spellEnd"/>
            <w:r w:rsidRPr="009841AB">
              <w:t xml:space="preserve"> un e-rīku izmantošana starptautiskajā praksē ir viens no kvalitatīva darba nodrošināšanas un funkcijas attīstības elementiem. </w:t>
            </w:r>
          </w:p>
          <w:p w14:paraId="734DF6A6" w14:textId="77777777" w:rsidR="00472500" w:rsidRPr="009841AB" w:rsidRDefault="00472500" w:rsidP="00472500">
            <w:pPr>
              <w:ind w:right="12"/>
              <w:jc w:val="both"/>
            </w:pPr>
            <w:r w:rsidRPr="009841AB">
              <w:t xml:space="preserve">Lai mazinātu administratīvo slogu, optimizētu resursu patēriņu un nodrošinātu vienotu datu uzkrāšanas un pārvaldības sistēmu, nepieciešams izstrādāt un ieviest Latvijas valsts pārvaldes iekšējā audita funkcijai piemērotu centralizētu IT rīku – datu plānošanas, uzkrāšanas, uzraudzības un pārskatu ģenerēšanas rīku, nodrošinot iekšējo auditu elektroniski, kā arī ieviest progresīvāku pieeju iekšējā audita politikas plānošanai un izpildes uzraudzībai. Vienlaikus šāds IT rīks varētu sniegt atbalstu pārliecības gūšanā par atbilstoši izveidotu iekšējās kontroles sistēmu finanšu uzskaites un pārskatu sagatavošanas jomā, un budžeta finansētu iestāžu vadītāji varētu sniegt atbilstošus apliecinājumus. </w:t>
            </w:r>
          </w:p>
        </w:tc>
        <w:tc>
          <w:tcPr>
            <w:tcW w:w="2480" w:type="dxa"/>
            <w:tcBorders>
              <w:left w:val="single" w:sz="6" w:space="0" w:color="000000" w:themeColor="text1"/>
              <w:bottom w:val="single" w:sz="4" w:space="0" w:color="auto"/>
            </w:tcBorders>
            <w:shd w:val="clear" w:color="auto" w:fill="auto"/>
          </w:tcPr>
          <w:p w14:paraId="184DA327" w14:textId="77777777" w:rsidR="008A2A01" w:rsidRDefault="008A2A01" w:rsidP="008A2A01">
            <w:pPr>
              <w:pStyle w:val="naisc"/>
              <w:jc w:val="both"/>
              <w:rPr>
                <w:b/>
                <w:bCs/>
              </w:rPr>
            </w:pPr>
            <w:r>
              <w:rPr>
                <w:b/>
                <w:bCs/>
              </w:rPr>
              <w:lastRenderedPageBreak/>
              <w:t>Panākta vienošanās</w:t>
            </w:r>
          </w:p>
          <w:p w14:paraId="3916460B" w14:textId="77777777" w:rsidR="00472500" w:rsidRPr="009841AB" w:rsidRDefault="00472500" w:rsidP="00472500">
            <w:pPr>
              <w:pStyle w:val="naisc"/>
              <w:spacing w:before="0" w:after="0"/>
              <w:jc w:val="left"/>
              <w:rPr>
                <w:b/>
                <w:bCs/>
              </w:rPr>
            </w:pPr>
            <w:r w:rsidRPr="009841AB">
              <w:t xml:space="preserve">Sadaļa 4.4.9.3. Pilnībā </w:t>
            </w:r>
            <w:proofErr w:type="spellStart"/>
            <w:r w:rsidRPr="009841AB">
              <w:t>digitalizēta</w:t>
            </w:r>
            <w:proofErr w:type="spellEnd"/>
            <w:r w:rsidRPr="009841AB">
              <w:t xml:space="preserve"> un datu vadīta valsts pārvaldes pamatdarbība papildināta ar atsauci uz iestāžu darbības auditēšanu. Vienlaikus norādām, ka pamatnostādņu uzdevums nav detalizēt konkrētus specifiskus projektus. Attiecīgi </w:t>
            </w:r>
            <w:r w:rsidRPr="009841AB">
              <w:lastRenderedPageBreak/>
              <w:t>nepieciešamo rīcību formulējot konceptuāli un detalizāciju paredzot pamatnostādņu ieviešanas plānos.</w:t>
            </w:r>
          </w:p>
        </w:tc>
        <w:tc>
          <w:tcPr>
            <w:tcW w:w="3497" w:type="dxa"/>
            <w:tcBorders>
              <w:left w:val="single" w:sz="6" w:space="0" w:color="000000" w:themeColor="text1"/>
              <w:bottom w:val="single" w:sz="4" w:space="0" w:color="auto"/>
            </w:tcBorders>
            <w:shd w:val="clear" w:color="auto" w:fill="auto"/>
          </w:tcPr>
          <w:p w14:paraId="2689D7E2" w14:textId="77777777" w:rsidR="00472500" w:rsidRPr="009841AB" w:rsidRDefault="00472500" w:rsidP="00963644">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4.4.9.3.</w:t>
            </w:r>
          </w:p>
        </w:tc>
      </w:tr>
      <w:tr w:rsidR="001D7B9E" w:rsidRPr="009841AB" w14:paraId="18CF7EE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6CA15EF" w14:textId="77777777" w:rsidR="001D7B9E" w:rsidRPr="009841AB" w:rsidRDefault="00AD491B" w:rsidP="001D7B9E">
            <w:pPr>
              <w:pStyle w:val="naisc"/>
              <w:spacing w:before="0" w:after="0"/>
            </w:pPr>
            <w:r>
              <w:t>244</w:t>
            </w:r>
          </w:p>
        </w:tc>
        <w:tc>
          <w:tcPr>
            <w:tcW w:w="2427" w:type="dxa"/>
            <w:tcBorders>
              <w:left w:val="single" w:sz="6" w:space="0" w:color="000000" w:themeColor="text1"/>
              <w:bottom w:val="single" w:sz="4" w:space="0" w:color="auto"/>
            </w:tcBorders>
            <w:shd w:val="clear" w:color="auto" w:fill="auto"/>
          </w:tcPr>
          <w:p w14:paraId="21B8455F"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54A154B" w14:textId="77777777" w:rsidR="001D7B9E" w:rsidRPr="009841AB" w:rsidRDefault="001D7B9E" w:rsidP="001D7B9E">
            <w:pPr>
              <w:ind w:right="12"/>
              <w:jc w:val="both"/>
            </w:pPr>
            <w:r w:rsidRPr="009841AB">
              <w:t>2.</w:t>
            </w:r>
            <w:r w:rsidRPr="009841AB">
              <w:tab/>
              <w:t xml:space="preserve">Pamatnostādņu projekta 4.4.apakšsadaļas 4.4.2.1. Rīcības </w:t>
            </w:r>
            <w:proofErr w:type="spellStart"/>
            <w:r w:rsidRPr="009841AB">
              <w:t>apakšvirziena</w:t>
            </w:r>
            <w:proofErr w:type="spellEnd"/>
            <w:r w:rsidRPr="009841AB">
              <w:t xml:space="preserve"> “Datu pārvaldības ietvars” Nepieciešamās rīcības 3. punktā uzdots noteikt kompetento organizāciju (struktūrvienību) par vienotas datu pārvaldības ieviešanu valsts pārvaldē.</w:t>
            </w:r>
          </w:p>
          <w:p w14:paraId="761FB888" w14:textId="77777777" w:rsidR="001D7B9E" w:rsidRPr="009841AB" w:rsidRDefault="001D7B9E" w:rsidP="001D7B9E">
            <w:pPr>
              <w:ind w:right="12"/>
              <w:jc w:val="both"/>
            </w:pPr>
            <w:r w:rsidRPr="009841AB">
              <w:t xml:space="preserve">Uzskatām, ka nepieciešams noteikt ne tikai vienu institūciju, kura atbild par vienotas datu pārvaldības ieviešanu valsts pārvaldē, bet arī jānosaka, ka katrā iestādē jābūt datu pārvaldniekam ar atbilstošu atalgojumu, piešķirot papildu līdzekļus valsts pārvaldes iestādēm šādu speciālistu algošanai. </w:t>
            </w:r>
          </w:p>
        </w:tc>
        <w:tc>
          <w:tcPr>
            <w:tcW w:w="2480" w:type="dxa"/>
            <w:tcBorders>
              <w:left w:val="single" w:sz="6" w:space="0" w:color="000000" w:themeColor="text1"/>
              <w:bottom w:val="single" w:sz="4" w:space="0" w:color="auto"/>
            </w:tcBorders>
            <w:shd w:val="clear" w:color="auto" w:fill="auto"/>
          </w:tcPr>
          <w:p w14:paraId="562596A7" w14:textId="77777777" w:rsidR="008A2A01" w:rsidRDefault="008A2A01" w:rsidP="008A2A01">
            <w:pPr>
              <w:pStyle w:val="naisc"/>
              <w:jc w:val="both"/>
              <w:rPr>
                <w:b/>
                <w:bCs/>
              </w:rPr>
            </w:pPr>
            <w:r>
              <w:rPr>
                <w:b/>
                <w:bCs/>
              </w:rPr>
              <w:t>Panākta vienošanās</w:t>
            </w:r>
          </w:p>
          <w:p w14:paraId="5BB4CF7D" w14:textId="77777777" w:rsidR="001D7B9E" w:rsidRPr="009841AB" w:rsidRDefault="0043500E" w:rsidP="009A13E5">
            <w:pPr>
              <w:ind w:right="12"/>
              <w:jc w:val="both"/>
            </w:pPr>
            <w:r w:rsidRPr="009841AB">
              <w:t xml:space="preserve">Ņemot vērā, ka pamatnostādņu projekta 4.4.apakšsadaļas 4.4.2.1. Rīcības </w:t>
            </w:r>
            <w:proofErr w:type="spellStart"/>
            <w:r w:rsidRPr="009841AB">
              <w:t>apakšvirziena</w:t>
            </w:r>
            <w:proofErr w:type="spellEnd"/>
            <w:r w:rsidRPr="009841AB">
              <w:t xml:space="preserve"> “Datu pārvaldības ietvars” Nepieciešamās rīcības 3. punktā uzdots noteikt kompetento organizāciju (struktūrvienību) par </w:t>
            </w:r>
            <w:r w:rsidRPr="009841AB">
              <w:lastRenderedPageBreak/>
              <w:t xml:space="preserve">vienotas datu pārvaldības ieviešanu valsts pārvaldē.  Vēršam uzmanību, ka VARAM konceptuāli atbalsta priekšlikumu un informē, ka jau šobrīd dots Ministru prezidenta uzdevums proti, "izvērtēt </w:t>
            </w:r>
            <w:proofErr w:type="spellStart"/>
            <w:r w:rsidRPr="009841AB">
              <w:t>problēmjautājumus</w:t>
            </w:r>
            <w:proofErr w:type="spellEnd"/>
            <w:r w:rsidRPr="009841AB">
              <w:t xml:space="preserve">, kas saistīti ar tiesisko ietvaru valsts pārvaldes datu koplietošanas nodrošināšanai, un nepieciešamības gadījumā sešu mēnešu laikā iesniegt izskatīšanai Ministru kabinetā priekšlikumus tiesiskā ietvara pilnveidošanai", kura mērķis ir apzināt datu pārvaldības ietvaru. </w:t>
            </w:r>
          </w:p>
        </w:tc>
        <w:tc>
          <w:tcPr>
            <w:tcW w:w="3497" w:type="dxa"/>
            <w:tcBorders>
              <w:left w:val="single" w:sz="6" w:space="0" w:color="000000" w:themeColor="text1"/>
              <w:bottom w:val="single" w:sz="4" w:space="0" w:color="auto"/>
            </w:tcBorders>
            <w:shd w:val="clear" w:color="auto" w:fill="auto"/>
          </w:tcPr>
          <w:p w14:paraId="4288E53F" w14:textId="77777777" w:rsidR="001D7B9E" w:rsidRPr="009841AB" w:rsidRDefault="001D7B9E" w:rsidP="001D7B9E">
            <w:pPr>
              <w:pStyle w:val="naisc"/>
              <w:spacing w:before="0" w:after="0"/>
              <w:jc w:val="both"/>
            </w:pPr>
          </w:p>
        </w:tc>
      </w:tr>
      <w:tr w:rsidR="001D7B9E" w:rsidRPr="009841AB" w14:paraId="6A3A7AD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B431ACF" w14:textId="77777777" w:rsidR="001D7B9E" w:rsidRPr="009841AB" w:rsidRDefault="00AD491B" w:rsidP="001D7B9E">
            <w:pPr>
              <w:pStyle w:val="naisc"/>
              <w:spacing w:before="0" w:after="0"/>
            </w:pPr>
            <w:r>
              <w:t>245</w:t>
            </w:r>
          </w:p>
        </w:tc>
        <w:tc>
          <w:tcPr>
            <w:tcW w:w="2427" w:type="dxa"/>
            <w:tcBorders>
              <w:left w:val="single" w:sz="6" w:space="0" w:color="000000" w:themeColor="text1"/>
              <w:bottom w:val="single" w:sz="4" w:space="0" w:color="auto"/>
            </w:tcBorders>
            <w:shd w:val="clear" w:color="auto" w:fill="auto"/>
          </w:tcPr>
          <w:p w14:paraId="08686353"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7B71ED3" w14:textId="77777777" w:rsidR="001D7B9E" w:rsidRPr="009841AB" w:rsidRDefault="001D7B9E" w:rsidP="001D7B9E">
            <w:pPr>
              <w:ind w:right="12"/>
              <w:jc w:val="both"/>
            </w:pPr>
            <w:r w:rsidRPr="009841AB">
              <w:t>3.</w:t>
            </w:r>
            <w:r w:rsidRPr="009841AB">
              <w:tab/>
              <w:t xml:space="preserve">Pamatnostādņu projekta 4.4.apakšsadaļas 4.4.2.1. Rīcības </w:t>
            </w:r>
            <w:proofErr w:type="spellStart"/>
            <w:r w:rsidRPr="009841AB">
              <w:t>apakšvirziena</w:t>
            </w:r>
            <w:proofErr w:type="spellEnd"/>
            <w:r w:rsidRPr="009841AB">
              <w:t xml:space="preserve"> “Datu pārvaldības ietvars” Nepieciešamās rīcības 4. punktā noteikts ieviest principu “Atvērts pēc noklusējuma”.</w:t>
            </w:r>
          </w:p>
          <w:p w14:paraId="37265CEB" w14:textId="77777777" w:rsidR="001D7B9E" w:rsidRPr="009841AB" w:rsidRDefault="001D7B9E" w:rsidP="001D7B9E">
            <w:pPr>
              <w:ind w:right="12"/>
              <w:jc w:val="both"/>
            </w:pPr>
            <w:r w:rsidRPr="009841AB">
              <w:t>Uzskatām, ka šāda principa ieviešanai ir finansiāli priekšnosacījumi un ierosinām papildināt punktu ar tekstu – Ieviest principu ““Atvērts pēc noklusējuma” ņemot vērā iestādei piešķirto finansējumu.</w:t>
            </w:r>
          </w:p>
        </w:tc>
        <w:tc>
          <w:tcPr>
            <w:tcW w:w="2480" w:type="dxa"/>
            <w:tcBorders>
              <w:left w:val="single" w:sz="6" w:space="0" w:color="000000" w:themeColor="text1"/>
              <w:bottom w:val="single" w:sz="4" w:space="0" w:color="auto"/>
            </w:tcBorders>
            <w:shd w:val="clear" w:color="auto" w:fill="auto"/>
          </w:tcPr>
          <w:p w14:paraId="5029B782" w14:textId="77777777" w:rsidR="008A2A01" w:rsidRDefault="008A2A01" w:rsidP="008A2A01">
            <w:pPr>
              <w:pStyle w:val="naisc"/>
              <w:jc w:val="both"/>
              <w:rPr>
                <w:b/>
                <w:bCs/>
              </w:rPr>
            </w:pPr>
            <w:r>
              <w:rPr>
                <w:b/>
                <w:bCs/>
              </w:rPr>
              <w:t>Panākta vienošanās</w:t>
            </w:r>
          </w:p>
          <w:p w14:paraId="60F31419" w14:textId="77777777" w:rsidR="000E3731" w:rsidRPr="009841AB" w:rsidRDefault="00DE713E" w:rsidP="001D7B9E">
            <w:pPr>
              <w:pStyle w:val="naisc"/>
              <w:spacing w:before="0" w:after="0"/>
              <w:jc w:val="both"/>
            </w:pPr>
            <w:r w:rsidRPr="009841AB">
              <w:rPr>
                <w:color w:val="000000"/>
                <w:shd w:val="clear" w:color="auto" w:fill="FFFFFF"/>
              </w:rPr>
              <w:t xml:space="preserve">Uzskatām, ka pietiekama finansējuma nodrošināšana ir būtisks faktors ne tikai datu atvēršanas nolūkā, bet arī datu uzturēšanas un nacionālas koplietošanas </w:t>
            </w:r>
            <w:r w:rsidRPr="009841AB">
              <w:rPr>
                <w:color w:val="000000"/>
                <w:shd w:val="clear" w:color="auto" w:fill="FFFFFF"/>
              </w:rPr>
              <w:lastRenderedPageBreak/>
              <w:t>veicināšanai un kvalitatīvai gan valsts un pašvaldību, gan privātā sektora pakalpojumu nodrošināšanai. Šobrīd VARAM ieskatā piešķirtā finansējuma apmērs regulāri jāpārskata un nepieciešamības gadījumā jāpalielina atbilstoši datu atvēršanas prioritātēm, kas konstatētas un noteiktas gan ES gan nacionālajā līmenī.</w:t>
            </w:r>
          </w:p>
        </w:tc>
        <w:tc>
          <w:tcPr>
            <w:tcW w:w="3497" w:type="dxa"/>
            <w:tcBorders>
              <w:left w:val="single" w:sz="6" w:space="0" w:color="000000" w:themeColor="text1"/>
              <w:bottom w:val="single" w:sz="4" w:space="0" w:color="auto"/>
            </w:tcBorders>
            <w:shd w:val="clear" w:color="auto" w:fill="auto"/>
          </w:tcPr>
          <w:p w14:paraId="6856EFCD" w14:textId="77777777" w:rsidR="001D7B9E" w:rsidRPr="009841AB" w:rsidRDefault="001D7B9E" w:rsidP="001D7B9E">
            <w:pPr>
              <w:pStyle w:val="naisc"/>
              <w:spacing w:before="0" w:after="0"/>
              <w:jc w:val="both"/>
            </w:pPr>
          </w:p>
        </w:tc>
      </w:tr>
      <w:tr w:rsidR="001D7B9E" w:rsidRPr="009841AB" w14:paraId="7B3E550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0867A9E" w14:textId="77777777" w:rsidR="001D7B9E" w:rsidRPr="009841AB" w:rsidRDefault="00AD491B" w:rsidP="001D7B9E">
            <w:pPr>
              <w:pStyle w:val="naisc"/>
              <w:spacing w:before="0" w:after="0"/>
            </w:pPr>
            <w:r>
              <w:t>246</w:t>
            </w:r>
          </w:p>
        </w:tc>
        <w:tc>
          <w:tcPr>
            <w:tcW w:w="2427" w:type="dxa"/>
            <w:tcBorders>
              <w:left w:val="single" w:sz="6" w:space="0" w:color="000000" w:themeColor="text1"/>
              <w:bottom w:val="single" w:sz="4" w:space="0" w:color="auto"/>
            </w:tcBorders>
            <w:shd w:val="clear" w:color="auto" w:fill="auto"/>
          </w:tcPr>
          <w:p w14:paraId="221ADF4F"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BF5A05A" w14:textId="77777777" w:rsidR="001D7B9E" w:rsidRPr="009841AB" w:rsidRDefault="001D7B9E" w:rsidP="001D7B9E">
            <w:pPr>
              <w:ind w:right="12"/>
              <w:jc w:val="both"/>
            </w:pPr>
            <w:r w:rsidRPr="009841AB">
              <w:t>4.</w:t>
            </w:r>
            <w:r w:rsidRPr="009841AB">
              <w:tab/>
              <w:t xml:space="preserve">Pamatnostādņu projekta 4.4.apakšsadaļas 4.4.2.3. Rīcības </w:t>
            </w:r>
            <w:proofErr w:type="spellStart"/>
            <w:r w:rsidRPr="009841AB">
              <w:t>apakšvirziena</w:t>
            </w:r>
            <w:proofErr w:type="spellEnd"/>
            <w:r w:rsidRPr="009841AB">
              <w:t xml:space="preserve"> “Nacionālā datu pārvaldības platforma” Nepieciešamās rīcības 5. punktā plānots noteikt kā obligātu visu valsts sektora vispārpieejamā informācijā ietverto datu publicēšanu Latvijas Atvērto datu portālā, sekmējot ērtu pieejamību valsts pārvaldes atvērtajiem datiem.</w:t>
            </w:r>
          </w:p>
          <w:p w14:paraId="1915A7EA" w14:textId="77777777" w:rsidR="001D7B9E" w:rsidRPr="009841AB" w:rsidRDefault="001D7B9E" w:rsidP="001D7B9E">
            <w:pPr>
              <w:ind w:right="12"/>
              <w:jc w:val="both"/>
            </w:pPr>
            <w:r w:rsidRPr="009841AB">
              <w:t xml:space="preserve">Uzskatām, ka šāda datu publicēšana ir nesamērīgi dārga un nelietderīga, ja izvērtē datu kopu izmantošanas statistiku data.gov.lv, kas ir zema. Turklāt dati visu laiku jāatjauno, bet no statistikas redzams, ka tie nevienam nav vajadzīgi. </w:t>
            </w:r>
          </w:p>
          <w:p w14:paraId="6ED7825D" w14:textId="77777777" w:rsidR="001D7B9E" w:rsidRPr="009841AB" w:rsidRDefault="001D7B9E" w:rsidP="001D7B9E">
            <w:pPr>
              <w:ind w:right="12"/>
              <w:jc w:val="both"/>
            </w:pPr>
            <w:r w:rsidRPr="009841AB">
              <w:t xml:space="preserve">Tajā pašā laikā minētās rīcības 4. punktā noteikts, ka sadarbībā ar privāto sektoru nepieciešamas identificēt un atvērt nozarēs prioritāri atveramās datu kopas un </w:t>
            </w:r>
            <w:proofErr w:type="spellStart"/>
            <w:r w:rsidRPr="009841AB">
              <w:t>saskarnes</w:t>
            </w:r>
            <w:proofErr w:type="spellEnd"/>
            <w:r w:rsidRPr="009841AB">
              <w:t xml:space="preserve"> ar augstu </w:t>
            </w:r>
            <w:proofErr w:type="spellStart"/>
            <w:r w:rsidRPr="009841AB">
              <w:t>komercializācijas</w:t>
            </w:r>
            <w:proofErr w:type="spellEnd"/>
            <w:r w:rsidRPr="009841AB">
              <w:t xml:space="preserve"> potenciālu, kas sniegtu būtisku pienesumu jaunu inovatīvu produktu un pakalpojumu radīšanā vai esošo pilnveidē, kā arī </w:t>
            </w:r>
            <w:r w:rsidRPr="009841AB">
              <w:lastRenderedPageBreak/>
              <w:t xml:space="preserve">kopas, kas veicinātu digitālo transformāciju tautsaimniecībā. </w:t>
            </w:r>
          </w:p>
          <w:p w14:paraId="5CB11921" w14:textId="77777777" w:rsidR="001D7B9E" w:rsidRPr="009841AB" w:rsidRDefault="001D7B9E" w:rsidP="001D7B9E">
            <w:pPr>
              <w:ind w:right="12"/>
              <w:jc w:val="both"/>
            </w:pPr>
            <w:r w:rsidRPr="009841AB">
              <w:t>Ņemot vērā minēto, lūdzam svītrot minētās rīcības 5. punktu, un papildināt 4. punktu, ka “nepieciešams regulāri pārskatīt tās datu kopas, kas ir sabiedrībai un privātajam sektoram vajadzīgas.”</w:t>
            </w:r>
          </w:p>
        </w:tc>
        <w:tc>
          <w:tcPr>
            <w:tcW w:w="2480" w:type="dxa"/>
            <w:tcBorders>
              <w:left w:val="single" w:sz="6" w:space="0" w:color="000000" w:themeColor="text1"/>
              <w:bottom w:val="single" w:sz="4" w:space="0" w:color="auto"/>
            </w:tcBorders>
            <w:shd w:val="clear" w:color="auto" w:fill="auto"/>
          </w:tcPr>
          <w:p w14:paraId="6A40F87E" w14:textId="77777777" w:rsidR="008A2A01" w:rsidRDefault="008A2A01" w:rsidP="008A2A01">
            <w:pPr>
              <w:pStyle w:val="naisc"/>
              <w:jc w:val="both"/>
              <w:rPr>
                <w:b/>
                <w:bCs/>
              </w:rPr>
            </w:pPr>
            <w:r>
              <w:rPr>
                <w:b/>
                <w:bCs/>
              </w:rPr>
              <w:lastRenderedPageBreak/>
              <w:t>Panākta vienošanās</w:t>
            </w:r>
          </w:p>
          <w:p w14:paraId="41D3FBDC" w14:textId="77777777" w:rsidR="001D7B9E" w:rsidRPr="009841AB" w:rsidRDefault="001D7B9E" w:rsidP="001D7B9E">
            <w:pPr>
              <w:pStyle w:val="naisc"/>
              <w:spacing w:before="0" w:after="0"/>
              <w:jc w:val="both"/>
            </w:pPr>
            <w:r w:rsidRPr="009841AB">
              <w:t xml:space="preserve">Nav ņemts vērā. </w:t>
            </w:r>
            <w:r w:rsidR="00D04952" w:rsidRPr="009841AB">
              <w:t>Informācijas atklātības likums</w:t>
            </w:r>
            <w:r w:rsidRPr="009841AB">
              <w:t xml:space="preserve"> un MK noteikumi Nr. 445 </w:t>
            </w:r>
            <w:r w:rsidR="00D04952" w:rsidRPr="009841AB">
              <w:t>“Kārtība, kādā iestādes ievieto informāciju internetā”</w:t>
            </w:r>
            <w:r w:rsidR="00FB0DC6" w:rsidRPr="009841AB">
              <w:t xml:space="preserve"> nosaka k</w:t>
            </w:r>
            <w:r w:rsidRPr="009841AB">
              <w:t>ārtību</w:t>
            </w:r>
            <w:r w:rsidR="00FB0DC6" w:rsidRPr="009841AB">
              <w:t>,</w:t>
            </w:r>
            <w:r w:rsidRPr="009841AB">
              <w:t xml:space="preserve"> kādā iestādes publicē informāciju internetā un pienākumu iestādēm to informāciju, kas tiek darīta pieejama atvērto datu veidā publicēt </w:t>
            </w:r>
          </w:p>
          <w:p w14:paraId="7C720BB2" w14:textId="77777777" w:rsidR="001D7B9E" w:rsidRPr="009841AB" w:rsidRDefault="001D7B9E" w:rsidP="001D7B9E">
            <w:pPr>
              <w:pStyle w:val="naisc"/>
              <w:spacing w:before="0" w:after="0"/>
              <w:jc w:val="both"/>
            </w:pPr>
            <w:r w:rsidRPr="009841AB">
              <w:t xml:space="preserve">VARAM vērš uzmanību, ka ņemot </w:t>
            </w:r>
            <w:r w:rsidRPr="009841AB">
              <w:lastRenderedPageBreak/>
              <w:t xml:space="preserve">vērā, to, ka dati tiek atvērti pēc principa "atvērts pēc noklusējuma" Atvērto datu portālā ir pieejami visi dati, ko institūcijās nodrošina attiecīgā veidā un šo datu izmantošanu un nozīmīgumu nevar vērtēt tikai pēc to pieprasījuma biežuma, jo privātais sektors var šos datus izmantot pēc nepieciešamības un valsts ne vienmēr ir informēta par šo datu izmantošanas tālāku mērķi, kas var būt būtisks un nozīmīgs kāda noteiktā privātā sektora sfērā. Vienlaikus VARAM kā atbildīgā iestāde par atvērto datu koordinēšanu regulāri sadarbībā ar datu pārziņiem un dažādu nozaru atvērto datu izmantotājiem veic prioritāro datu kopu apzināšanu un veicina to atvēršanu un pieejamību atbilstoši privātā sektora </w:t>
            </w:r>
            <w:r w:rsidRPr="009841AB">
              <w:lastRenderedPageBreak/>
              <w:t>interesēm un pieprasījumam.</w:t>
            </w:r>
          </w:p>
          <w:p w14:paraId="3E37B7A1" w14:textId="77777777" w:rsidR="001D7B9E" w:rsidRPr="009841AB" w:rsidRDefault="001D7B9E" w:rsidP="001D7B9E">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7A8C8103" w14:textId="77777777" w:rsidR="001D7B9E" w:rsidRPr="009841AB" w:rsidRDefault="001D7B9E" w:rsidP="001D7B9E">
            <w:pPr>
              <w:pStyle w:val="naisc"/>
              <w:spacing w:before="0" w:after="0"/>
              <w:jc w:val="both"/>
            </w:pPr>
          </w:p>
        </w:tc>
      </w:tr>
      <w:tr w:rsidR="001D7B9E" w:rsidRPr="009841AB" w14:paraId="131E32D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15036EC" w14:textId="77777777" w:rsidR="001D7B9E" w:rsidRPr="009841AB" w:rsidRDefault="004B3079" w:rsidP="001D7B9E">
            <w:pPr>
              <w:pStyle w:val="naisc"/>
              <w:spacing w:before="0" w:after="0"/>
            </w:pPr>
            <w:r>
              <w:lastRenderedPageBreak/>
              <w:t>24</w:t>
            </w:r>
            <w:r w:rsidR="00532A18">
              <w:t>7</w:t>
            </w:r>
          </w:p>
        </w:tc>
        <w:tc>
          <w:tcPr>
            <w:tcW w:w="2427" w:type="dxa"/>
            <w:tcBorders>
              <w:left w:val="single" w:sz="6" w:space="0" w:color="000000" w:themeColor="text1"/>
              <w:bottom w:val="single" w:sz="4" w:space="0" w:color="auto"/>
            </w:tcBorders>
            <w:shd w:val="clear" w:color="auto" w:fill="auto"/>
          </w:tcPr>
          <w:p w14:paraId="1D57C5B1" w14:textId="77777777" w:rsidR="001D7B9E" w:rsidRPr="009841AB" w:rsidRDefault="001D7B9E" w:rsidP="001D7B9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B47D57E" w14:textId="77777777" w:rsidR="001D7B9E" w:rsidRPr="009841AB" w:rsidRDefault="001D7B9E" w:rsidP="001D7B9E">
            <w:pPr>
              <w:ind w:right="12"/>
              <w:jc w:val="both"/>
            </w:pPr>
            <w:r w:rsidRPr="009841AB">
              <w:t>5.</w:t>
            </w:r>
            <w:r w:rsidRPr="009841AB">
              <w:tab/>
              <w:t xml:space="preserve">Pamatnostādņu projekta 4.4.apakšsadaļas 4.4.3.2. Rīcības </w:t>
            </w:r>
            <w:proofErr w:type="spellStart"/>
            <w:r w:rsidRPr="009841AB">
              <w:t>apakšvirziena</w:t>
            </w:r>
            <w:proofErr w:type="spellEnd"/>
            <w:r w:rsidRPr="009841AB">
              <w:t xml:space="preserve"> “Finanšu dokumentu </w:t>
            </w:r>
            <w:proofErr w:type="spellStart"/>
            <w:r w:rsidRPr="009841AB">
              <w:t>maiņvieta</w:t>
            </w:r>
            <w:proofErr w:type="spellEnd"/>
            <w:r w:rsidRPr="009841AB">
              <w:t>” Esošās situācijas apraksta 7. punktā minēts, ka iestādes lietvedības sistēmas nav integrētas ar grāmatvedības sistēmām un nenodrošina meta datu apmaiņu.</w:t>
            </w:r>
          </w:p>
          <w:p w14:paraId="1DD61379" w14:textId="77777777" w:rsidR="001D7B9E" w:rsidRPr="009841AB" w:rsidRDefault="001D7B9E" w:rsidP="001D7B9E">
            <w:pPr>
              <w:ind w:right="12"/>
              <w:jc w:val="both"/>
            </w:pPr>
            <w:r w:rsidRPr="009841AB">
              <w:t xml:space="preserve">Lūdzam šo teikumu svītrot, jo šādā dokumentā nebūtu jānosaka, kuru sistēmu iestāde izmanto e-rēķinu apstrādei. </w:t>
            </w:r>
          </w:p>
        </w:tc>
        <w:tc>
          <w:tcPr>
            <w:tcW w:w="2480" w:type="dxa"/>
            <w:tcBorders>
              <w:left w:val="single" w:sz="6" w:space="0" w:color="000000" w:themeColor="text1"/>
              <w:bottom w:val="single" w:sz="4" w:space="0" w:color="auto"/>
            </w:tcBorders>
            <w:shd w:val="clear" w:color="auto" w:fill="auto"/>
          </w:tcPr>
          <w:p w14:paraId="5ADA0CF3" w14:textId="77777777" w:rsidR="008A2A01" w:rsidRDefault="008A2A01" w:rsidP="008A2A01">
            <w:pPr>
              <w:pStyle w:val="naisc"/>
              <w:jc w:val="both"/>
              <w:rPr>
                <w:b/>
                <w:bCs/>
              </w:rPr>
            </w:pPr>
            <w:r>
              <w:rPr>
                <w:b/>
                <w:bCs/>
              </w:rPr>
              <w:t>Panākta vienošanās</w:t>
            </w:r>
          </w:p>
          <w:p w14:paraId="32A5767C" w14:textId="77777777" w:rsidR="00725E76" w:rsidRPr="009841AB" w:rsidRDefault="00725E76" w:rsidP="001D7B9E">
            <w:pPr>
              <w:pStyle w:val="naisc"/>
              <w:spacing w:before="0" w:after="0"/>
              <w:jc w:val="left"/>
              <w:rPr>
                <w:bCs/>
              </w:rPr>
            </w:pPr>
            <w:r w:rsidRPr="009841AB">
              <w:rPr>
                <w:bCs/>
              </w:rPr>
              <w:t>Daļai valsts pārvaldes iestāžu ir ierobežota programmatūras funkcionalitāte e-rēķinu saskaņošanas procesa nodrošināšanai pirms rēķina apstrādes grāmatvedības sistēmā. Daļai iestāžu sarakste notiek caur lietvedības sistēmām, bet tās nav integrētas ar grāmatvedības sistēmām un nenodrošina metadatu apmaiņu. Pilnvērtīgai strukturētai dokumentu apmaiņai nepieciešams, lai visas dokumentu apritē iesaistītās sistēmas spēj apstrādāt strukturētos dokumentus.</w:t>
            </w:r>
          </w:p>
        </w:tc>
        <w:tc>
          <w:tcPr>
            <w:tcW w:w="3497" w:type="dxa"/>
            <w:tcBorders>
              <w:left w:val="single" w:sz="6" w:space="0" w:color="000000" w:themeColor="text1"/>
              <w:bottom w:val="single" w:sz="4" w:space="0" w:color="auto"/>
            </w:tcBorders>
            <w:shd w:val="clear" w:color="auto" w:fill="auto"/>
          </w:tcPr>
          <w:p w14:paraId="10BF39EF" w14:textId="77777777" w:rsidR="001D7B9E" w:rsidRPr="009841AB" w:rsidRDefault="00963644" w:rsidP="00963644">
            <w:pPr>
              <w:pStyle w:val="naisc"/>
              <w:spacing w:before="0" w:after="0"/>
              <w:jc w:val="left"/>
            </w:pPr>
            <w:r w:rsidRPr="009841AB">
              <w:t xml:space="preserve">Lūdzam skatīt </w:t>
            </w:r>
            <w:proofErr w:type="spellStart"/>
            <w:r w:rsidRPr="009841AB">
              <w:t>apakšsadaļu</w:t>
            </w:r>
            <w:proofErr w:type="spellEnd"/>
            <w:r w:rsidRPr="009841AB">
              <w:t xml:space="preserve"> 4.4.3.2.</w:t>
            </w:r>
          </w:p>
        </w:tc>
      </w:tr>
      <w:tr w:rsidR="003B26DC" w:rsidRPr="009841AB" w14:paraId="6D64C04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891DBC5" w14:textId="77777777" w:rsidR="003B26DC" w:rsidRPr="009841AB" w:rsidRDefault="00532A18" w:rsidP="003B26DC">
            <w:pPr>
              <w:pStyle w:val="naisc"/>
              <w:spacing w:before="0" w:after="0"/>
            </w:pPr>
            <w:r>
              <w:t>248</w:t>
            </w:r>
          </w:p>
        </w:tc>
        <w:tc>
          <w:tcPr>
            <w:tcW w:w="2427" w:type="dxa"/>
            <w:tcBorders>
              <w:left w:val="single" w:sz="6" w:space="0" w:color="000000" w:themeColor="text1"/>
              <w:bottom w:val="single" w:sz="4" w:space="0" w:color="auto"/>
            </w:tcBorders>
            <w:shd w:val="clear" w:color="auto" w:fill="auto"/>
          </w:tcPr>
          <w:p w14:paraId="5EA8D0BB" w14:textId="77777777" w:rsidR="003B26DC" w:rsidRPr="009841AB" w:rsidRDefault="003B26DC" w:rsidP="003B26D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D5C90AB" w14:textId="77777777" w:rsidR="003B26DC" w:rsidRPr="009841AB" w:rsidRDefault="003B26DC" w:rsidP="003B26DC">
            <w:pPr>
              <w:ind w:right="12"/>
              <w:jc w:val="both"/>
            </w:pPr>
            <w:r w:rsidRPr="009841AB">
              <w:t>6.</w:t>
            </w:r>
            <w:r w:rsidRPr="009841AB">
              <w:tab/>
              <w:t xml:space="preserve">Pamatnostādņu projekta 4.4.apakšsadaļas 4.4.3.2. Rīcības </w:t>
            </w:r>
            <w:proofErr w:type="spellStart"/>
            <w:r w:rsidRPr="009841AB">
              <w:t>apakšvirziena</w:t>
            </w:r>
            <w:proofErr w:type="spellEnd"/>
            <w:r w:rsidRPr="009841AB">
              <w:t xml:space="preserve"> “Finanšu dokumentu </w:t>
            </w:r>
            <w:proofErr w:type="spellStart"/>
            <w:r w:rsidRPr="009841AB">
              <w:t>maiņvieta</w:t>
            </w:r>
            <w:proofErr w:type="spellEnd"/>
            <w:r w:rsidRPr="009841AB">
              <w:t xml:space="preserve">” ir definēts uzdevums U4.4.3.2.-1, kas nosaka Finanšu ministrijai izveidot notarizēto </w:t>
            </w:r>
            <w:proofErr w:type="spellStart"/>
            <w:r w:rsidRPr="009841AB">
              <w:t>maiņvietu</w:t>
            </w:r>
            <w:proofErr w:type="spellEnd"/>
            <w:r w:rsidRPr="009841AB">
              <w:t xml:space="preserve"> strukturētajiem finanšu dokumentiem un izstrādāt nepieciešamo normatīvo regulējumu. </w:t>
            </w:r>
          </w:p>
          <w:p w14:paraId="3326B7D4" w14:textId="77777777" w:rsidR="003B26DC" w:rsidRPr="009841AB" w:rsidRDefault="003B26DC" w:rsidP="003B26DC">
            <w:pPr>
              <w:ind w:right="12"/>
              <w:jc w:val="both"/>
            </w:pPr>
            <w:r w:rsidRPr="009841AB">
              <w:lastRenderedPageBreak/>
              <w:t xml:space="preserve">Informējam, ka saskaņā ar Ministru kabineta 2011.gada 29. marta noteikumu Nr. 233 “Vides aizsardzības un reģionālās attīstības ministrijas nolikums” 1.1. apakšpunktā noteikto tā ir vadošā valsts pārvaldes iestāde informācijas sabiedrības, elektroniskās pārvaldes un valsts informācijas un komunikācijas tehnoloģiju pārvaldībā, un atbilstoši nolikuma 4.1.8.apakšpunktam VARAM izstrādā politiku šajā jomā. Vēršam uzmanību, ka šobrīd VARAM pārraudzībā </w:t>
            </w:r>
            <w:proofErr w:type="spellStart"/>
            <w:r w:rsidRPr="009841AB">
              <w:t>Connecting</w:t>
            </w:r>
            <w:proofErr w:type="spellEnd"/>
            <w:r w:rsidRPr="009841AB">
              <w:t xml:space="preserve"> </w:t>
            </w:r>
            <w:proofErr w:type="spellStart"/>
            <w:r w:rsidRPr="009841AB">
              <w:t>Europe</w:t>
            </w:r>
            <w:proofErr w:type="spellEnd"/>
            <w:r w:rsidRPr="009841AB">
              <w:t xml:space="preserve"> </w:t>
            </w:r>
            <w:proofErr w:type="spellStart"/>
            <w:r w:rsidRPr="009841AB">
              <w:t>Facility</w:t>
            </w:r>
            <w:proofErr w:type="spellEnd"/>
            <w:r w:rsidRPr="009841AB">
              <w:t xml:space="preserve"> (CEF) projekta ietvaros ir izstrādāts e-rēķinu aprites risinājums uz e-adreses bāzes, un projekta ietvaros realizēta iespēja apritināt e-rēķinus starp valsts pārvaldes iestādēm, starp valsts pārvaldes iestādēm un privātpersonām un starp valsts pārvaldes iestādēm un ārzemju komersantiem. Tādējādi ņemot vērā kompetenci, zināšanas un pieredzi VARAM būtu jāuzņemas vadošā loma paplašinot </w:t>
            </w:r>
            <w:proofErr w:type="spellStart"/>
            <w:r w:rsidRPr="009841AB">
              <w:t>digatilizēto</w:t>
            </w:r>
            <w:proofErr w:type="spellEnd"/>
            <w:r w:rsidRPr="009841AB">
              <w:t xml:space="preserve"> dokumentu (rēķinu, pavadzīmju u.c.) apriti valstī un plānojot izveidotās sistēmas </w:t>
            </w:r>
            <w:proofErr w:type="spellStart"/>
            <w:r w:rsidRPr="009841AB">
              <w:t>sadarbspēju</w:t>
            </w:r>
            <w:proofErr w:type="spellEnd"/>
            <w:r w:rsidRPr="009841AB">
              <w:t xml:space="preserve"> ar dažādām ES sistēmām (piemēram, PEPPOL mezgla piegādes sistēmu). Atbilstoši iepriekš minētajam uzskatām, ka par atbildīgo iestādi par uzdevuma U4.4.3.2.-1 izpildi būtu jānosaka VARAM. Tā kā Finanšu ministrijas vadībā ir izveidota darba grupa par attaisnojuma dokumentu un preču pavaddokumentu elektroniskās aprites sistēmas, kā arī </w:t>
            </w:r>
            <w:proofErr w:type="spellStart"/>
            <w:r w:rsidRPr="009841AB">
              <w:t>blokķēdes</w:t>
            </w:r>
            <w:proofErr w:type="spellEnd"/>
            <w:r w:rsidRPr="009841AB">
              <w:t xml:space="preserve"> tehnoloģijas izmantošanas iespēju kases aparātos ieviešanas izvērtēšanu, Finanšu ministriju varētu noteikt par līdzatbildīgo iestādi šī uzdevuma realizēšanā. Turklāt norādām, ka darba grupa šobrīd turpina darbu un ir pāragri noteikt konkrētu uzdevumu pirms darba grupā apspriesto priekšlikumu izvērtēšanas un tālākas virzības definēšanas. Vienlaikus informējam, ka e-CMR projekta ieviešanā ir iesaistīta Satiksmes </w:t>
            </w:r>
            <w:r w:rsidRPr="009841AB">
              <w:lastRenderedPageBreak/>
              <w:t xml:space="preserve">ministrija, līdz ar to Satiksmes ministrija arī būtu nosakāma par līdzatbildīgo iestādi. </w:t>
            </w:r>
          </w:p>
        </w:tc>
        <w:tc>
          <w:tcPr>
            <w:tcW w:w="2480" w:type="dxa"/>
            <w:tcBorders>
              <w:left w:val="single" w:sz="6" w:space="0" w:color="000000" w:themeColor="text1"/>
              <w:bottom w:val="single" w:sz="4" w:space="0" w:color="auto"/>
            </w:tcBorders>
            <w:shd w:val="clear" w:color="auto" w:fill="auto"/>
          </w:tcPr>
          <w:p w14:paraId="2DB9F186" w14:textId="77777777" w:rsidR="008A2A01" w:rsidRDefault="008A2A01" w:rsidP="008A2A01">
            <w:pPr>
              <w:pStyle w:val="naisc"/>
              <w:jc w:val="both"/>
              <w:rPr>
                <w:b/>
                <w:bCs/>
              </w:rPr>
            </w:pPr>
            <w:r>
              <w:rPr>
                <w:b/>
                <w:bCs/>
              </w:rPr>
              <w:lastRenderedPageBreak/>
              <w:t>Panākta vienošanās</w:t>
            </w:r>
          </w:p>
          <w:p w14:paraId="605DA37B" w14:textId="77777777" w:rsidR="003B26DC" w:rsidRPr="009841AB" w:rsidRDefault="00EF7A0D" w:rsidP="003B26DC">
            <w:pPr>
              <w:pStyle w:val="naisc"/>
              <w:spacing w:before="0" w:after="0"/>
              <w:jc w:val="left"/>
            </w:pPr>
            <w:r w:rsidRPr="009841AB">
              <w:t>Precizēts atbilstoši FM vadītās darba grupas lēmumiem.</w:t>
            </w:r>
          </w:p>
          <w:p w14:paraId="03558C6A" w14:textId="77777777" w:rsidR="00EF7A0D" w:rsidRPr="009841AB" w:rsidRDefault="00EF7A0D" w:rsidP="003B26DC">
            <w:pPr>
              <w:pStyle w:val="naisc"/>
              <w:spacing w:before="0" w:after="0"/>
              <w:jc w:val="left"/>
              <w:rPr>
                <w:highlight w:val="red"/>
              </w:rPr>
            </w:pPr>
            <w:r w:rsidRPr="009841AB">
              <w:t xml:space="preserve">Veicināt nacionālās e-rēķinu, e-CMR un e-čeku infrastruktūras </w:t>
            </w:r>
            <w:r w:rsidRPr="009841AB">
              <w:lastRenderedPageBreak/>
              <w:t xml:space="preserve">attīstību un tās salāgošanu ar maksājumu risinājumiem, t.sk. </w:t>
            </w:r>
            <w:proofErr w:type="spellStart"/>
            <w:r w:rsidRPr="009841AB">
              <w:t>zibprasījumiem</w:t>
            </w:r>
            <w:proofErr w:type="spellEnd"/>
            <w:r w:rsidRPr="009841AB">
              <w:t>. Atbildīgais: FM Līdzatbildīgie: VARAM, SM, LB, EM, VID, LNFA, SM.</w:t>
            </w:r>
          </w:p>
        </w:tc>
        <w:tc>
          <w:tcPr>
            <w:tcW w:w="3497" w:type="dxa"/>
            <w:tcBorders>
              <w:left w:val="single" w:sz="6" w:space="0" w:color="000000" w:themeColor="text1"/>
              <w:bottom w:val="single" w:sz="4" w:space="0" w:color="auto"/>
            </w:tcBorders>
            <w:shd w:val="clear" w:color="auto" w:fill="auto"/>
          </w:tcPr>
          <w:p w14:paraId="03F8731D" w14:textId="77777777" w:rsidR="003B26DC" w:rsidRPr="009841AB" w:rsidRDefault="003B26DC" w:rsidP="003B26DC">
            <w:pPr>
              <w:pStyle w:val="naisc"/>
              <w:jc w:val="both"/>
              <w:rPr>
                <w:highlight w:val="red"/>
              </w:rPr>
            </w:pPr>
            <w:r w:rsidRPr="009841AB">
              <w:lastRenderedPageBreak/>
              <w:t xml:space="preserve">Lūdzam skatīt </w:t>
            </w:r>
            <w:proofErr w:type="spellStart"/>
            <w:r w:rsidRPr="009841AB">
              <w:t>apakšsadaļu</w:t>
            </w:r>
            <w:proofErr w:type="spellEnd"/>
            <w:r w:rsidRPr="009841AB">
              <w:t xml:space="preserve"> 4.4.</w:t>
            </w:r>
            <w:r w:rsidR="00EF7A0D" w:rsidRPr="009841AB">
              <w:t>3.2.</w:t>
            </w:r>
          </w:p>
        </w:tc>
      </w:tr>
      <w:tr w:rsidR="00EF7A0D" w:rsidRPr="009841AB" w14:paraId="4812469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D314C18" w14:textId="77777777" w:rsidR="00EF7A0D" w:rsidRPr="009841AB" w:rsidRDefault="00532A18" w:rsidP="00EF7A0D">
            <w:pPr>
              <w:pStyle w:val="naisc"/>
              <w:spacing w:before="0" w:after="0"/>
            </w:pPr>
            <w:r>
              <w:lastRenderedPageBreak/>
              <w:t>249</w:t>
            </w:r>
          </w:p>
        </w:tc>
        <w:tc>
          <w:tcPr>
            <w:tcW w:w="2427" w:type="dxa"/>
            <w:tcBorders>
              <w:left w:val="single" w:sz="6" w:space="0" w:color="000000" w:themeColor="text1"/>
              <w:bottom w:val="single" w:sz="4" w:space="0" w:color="auto"/>
            </w:tcBorders>
            <w:shd w:val="clear" w:color="auto" w:fill="auto"/>
          </w:tcPr>
          <w:p w14:paraId="7741088F" w14:textId="77777777" w:rsidR="00EF7A0D" w:rsidRPr="009841AB" w:rsidRDefault="00EF7A0D" w:rsidP="00EF7A0D">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4F25FF8" w14:textId="77777777" w:rsidR="00EF7A0D" w:rsidRPr="009841AB" w:rsidRDefault="00EF7A0D" w:rsidP="00EF7A0D">
            <w:pPr>
              <w:ind w:right="12"/>
              <w:jc w:val="both"/>
            </w:pPr>
            <w:r w:rsidRPr="009841AB">
              <w:t>7.</w:t>
            </w:r>
            <w:r w:rsidRPr="009841AB">
              <w:tab/>
              <w:t xml:space="preserve">Pamatnostādņu projekta 4.4.apakšsadaļas 4.4.3.2. Rīcības </w:t>
            </w:r>
            <w:proofErr w:type="spellStart"/>
            <w:r w:rsidRPr="009841AB">
              <w:t>apakšvirzienā</w:t>
            </w:r>
            <w:proofErr w:type="spellEnd"/>
            <w:r w:rsidRPr="009841AB">
              <w:t xml:space="preserve"> ietvertā uzdevuma “Izveidot notarizēto </w:t>
            </w:r>
            <w:proofErr w:type="spellStart"/>
            <w:r w:rsidRPr="009841AB">
              <w:t>maiņvietu</w:t>
            </w:r>
            <w:proofErr w:type="spellEnd"/>
            <w:r w:rsidRPr="009841AB">
              <w:t xml:space="preserve"> strukturētajiem finanšu dokumentiem un izstrādāt nepieciešamo normatīvo regulējumu” izpildei ir nepieciešami ievērojami finanšu līdzekļi. Līdz ar to, formulējot šādu uzdevumu ir nepieciešams paredzēt uzdevuma izpildei atbilstošu finansējumu un arī iespējamo finansējuma avotu. Kamēr šāds finansējums uzdevuma izpildei nav ieplānots, uzdevuma iekļaušana pamatnostādnēs šādā redakcijā nav atbalstāma.</w:t>
            </w:r>
          </w:p>
        </w:tc>
        <w:tc>
          <w:tcPr>
            <w:tcW w:w="2480" w:type="dxa"/>
            <w:tcBorders>
              <w:left w:val="single" w:sz="6" w:space="0" w:color="000000" w:themeColor="text1"/>
              <w:bottom w:val="single" w:sz="4" w:space="0" w:color="auto"/>
            </w:tcBorders>
            <w:shd w:val="clear" w:color="auto" w:fill="auto"/>
          </w:tcPr>
          <w:p w14:paraId="0C569E98" w14:textId="77777777" w:rsidR="008A2A01" w:rsidRDefault="008A2A01" w:rsidP="008A2A01">
            <w:pPr>
              <w:pStyle w:val="naisc"/>
              <w:jc w:val="both"/>
              <w:rPr>
                <w:b/>
                <w:bCs/>
              </w:rPr>
            </w:pPr>
            <w:r>
              <w:rPr>
                <w:b/>
                <w:bCs/>
              </w:rPr>
              <w:t>Panākta vienošanās</w:t>
            </w:r>
          </w:p>
          <w:p w14:paraId="29DBEBEA" w14:textId="77777777" w:rsidR="00EF7A0D" w:rsidRPr="009841AB" w:rsidRDefault="00EF7A0D" w:rsidP="00EF7A0D">
            <w:pPr>
              <w:pStyle w:val="naisc"/>
              <w:spacing w:before="0" w:after="0"/>
              <w:jc w:val="left"/>
            </w:pPr>
            <w:r w:rsidRPr="009841AB">
              <w:t>Precizēts atbilstoši FM vadītās darba grupas lēmumiem.</w:t>
            </w:r>
          </w:p>
          <w:p w14:paraId="74F640B4" w14:textId="77777777" w:rsidR="00EF7A0D" w:rsidRPr="009841AB" w:rsidRDefault="00EF7A0D" w:rsidP="00EF7A0D">
            <w:pPr>
              <w:pStyle w:val="naisc"/>
              <w:spacing w:before="0" w:after="0"/>
              <w:jc w:val="both"/>
              <w:rPr>
                <w:b/>
                <w:highlight w:val="yellow"/>
              </w:rPr>
            </w:pPr>
            <w:r w:rsidRPr="009841AB">
              <w:t xml:space="preserve">Veicināt nacionālās e-rēķinu, e-CMR un e-čeku infrastruktūras attīstību un tās salāgošanu ar maksājumu risinājumiem, t.sk. </w:t>
            </w:r>
            <w:proofErr w:type="spellStart"/>
            <w:r w:rsidRPr="009841AB">
              <w:t>zibprasījumiem</w:t>
            </w:r>
            <w:proofErr w:type="spellEnd"/>
            <w:r w:rsidRPr="009841AB">
              <w:t>. Atbildīgais: FM Līdzatbildīgie: VARAM, SM, LB, EM, VID, LNFA, SM.</w:t>
            </w:r>
          </w:p>
        </w:tc>
        <w:tc>
          <w:tcPr>
            <w:tcW w:w="3497" w:type="dxa"/>
            <w:tcBorders>
              <w:left w:val="single" w:sz="6" w:space="0" w:color="000000" w:themeColor="text1"/>
              <w:bottom w:val="single" w:sz="4" w:space="0" w:color="auto"/>
            </w:tcBorders>
            <w:shd w:val="clear" w:color="auto" w:fill="auto"/>
          </w:tcPr>
          <w:p w14:paraId="261D2B49" w14:textId="77777777" w:rsidR="00EF7A0D" w:rsidRPr="009841AB" w:rsidRDefault="00EF7A0D" w:rsidP="00EF7A0D">
            <w:pPr>
              <w:pStyle w:val="naisc"/>
              <w:spacing w:before="0" w:after="0"/>
              <w:jc w:val="both"/>
            </w:pPr>
            <w:r w:rsidRPr="009841AB">
              <w:t xml:space="preserve">Lūdzam skatīt </w:t>
            </w:r>
            <w:proofErr w:type="spellStart"/>
            <w:r w:rsidRPr="009841AB">
              <w:t>apakšsadaļu</w:t>
            </w:r>
            <w:proofErr w:type="spellEnd"/>
            <w:r w:rsidRPr="009841AB">
              <w:t xml:space="preserve"> 4.4.3.2.</w:t>
            </w:r>
          </w:p>
        </w:tc>
      </w:tr>
      <w:tr w:rsidR="00EF7A0D" w:rsidRPr="009841AB" w14:paraId="0DB0F2F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02AFC1B" w14:textId="77777777" w:rsidR="00EF7A0D" w:rsidRPr="009841AB" w:rsidRDefault="00532A18" w:rsidP="00EF7A0D">
            <w:pPr>
              <w:pStyle w:val="naisc"/>
              <w:spacing w:before="0" w:after="0"/>
            </w:pPr>
            <w:r>
              <w:t>250</w:t>
            </w:r>
          </w:p>
        </w:tc>
        <w:tc>
          <w:tcPr>
            <w:tcW w:w="2427" w:type="dxa"/>
            <w:tcBorders>
              <w:left w:val="single" w:sz="6" w:space="0" w:color="000000" w:themeColor="text1"/>
              <w:bottom w:val="single" w:sz="4" w:space="0" w:color="auto"/>
            </w:tcBorders>
            <w:shd w:val="clear" w:color="auto" w:fill="auto"/>
          </w:tcPr>
          <w:p w14:paraId="0C1644D8" w14:textId="77777777" w:rsidR="00EF7A0D" w:rsidRPr="009841AB" w:rsidRDefault="00EF7A0D" w:rsidP="00EF7A0D">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D5BCC50" w14:textId="77777777" w:rsidR="00EF7A0D" w:rsidRPr="009841AB" w:rsidRDefault="00EF7A0D" w:rsidP="00EF7A0D">
            <w:pPr>
              <w:ind w:right="12"/>
              <w:jc w:val="both"/>
            </w:pPr>
            <w:r w:rsidRPr="009841AB">
              <w:t>8.</w:t>
            </w:r>
            <w:r w:rsidRPr="009841AB">
              <w:tab/>
              <w:t xml:space="preserve">Lūdzam pamatnostādņu projekta 4.4.apakšsadaļas 4.4.3.2. Rīcības </w:t>
            </w:r>
            <w:proofErr w:type="spellStart"/>
            <w:r w:rsidRPr="009841AB">
              <w:t>apakšvirzienā</w:t>
            </w:r>
            <w:proofErr w:type="spellEnd"/>
            <w:r w:rsidRPr="009841AB">
              <w:t xml:space="preserve"> precizēt terminu “finanšu dokumenti”, “</w:t>
            </w:r>
            <w:proofErr w:type="spellStart"/>
            <w:r w:rsidRPr="009841AB">
              <w:t>maiņvieta</w:t>
            </w:r>
            <w:proofErr w:type="spellEnd"/>
            <w:r w:rsidRPr="009841AB">
              <w:t xml:space="preserve">”, “notarizēti” lietošanu. </w:t>
            </w:r>
          </w:p>
        </w:tc>
        <w:tc>
          <w:tcPr>
            <w:tcW w:w="2480" w:type="dxa"/>
            <w:tcBorders>
              <w:left w:val="single" w:sz="6" w:space="0" w:color="000000" w:themeColor="text1"/>
              <w:bottom w:val="single" w:sz="4" w:space="0" w:color="auto"/>
            </w:tcBorders>
            <w:shd w:val="clear" w:color="auto" w:fill="auto"/>
          </w:tcPr>
          <w:p w14:paraId="55BA09F8" w14:textId="77777777" w:rsidR="00EF7A0D" w:rsidRPr="009841AB" w:rsidRDefault="00C921F3" w:rsidP="00EF7A0D">
            <w:pPr>
              <w:pStyle w:val="naisc"/>
              <w:spacing w:before="0" w:after="0"/>
              <w:jc w:val="left"/>
              <w:rPr>
                <w:b/>
                <w:bCs/>
              </w:rPr>
            </w:pPr>
            <w:r w:rsidRPr="009841AB">
              <w:rPr>
                <w:b/>
                <w:bCs/>
              </w:rPr>
              <w:t>Ņ</w:t>
            </w:r>
            <w:r w:rsidR="00EF7A0D" w:rsidRPr="009841AB">
              <w:rPr>
                <w:b/>
                <w:bCs/>
              </w:rPr>
              <w:t>emts vērā</w:t>
            </w:r>
          </w:p>
          <w:p w14:paraId="5D1D55BE" w14:textId="77777777" w:rsidR="00EF7A0D" w:rsidRPr="009841AB" w:rsidRDefault="00EF7A0D" w:rsidP="00EF7A0D">
            <w:pPr>
              <w:pStyle w:val="naisc"/>
              <w:spacing w:before="0" w:after="0"/>
              <w:jc w:val="left"/>
              <w:rPr>
                <w:b/>
                <w:bCs/>
              </w:rPr>
            </w:pPr>
          </w:p>
          <w:p w14:paraId="496F5462" w14:textId="77777777" w:rsidR="00EF7A0D" w:rsidRPr="009841AB" w:rsidRDefault="00EF7A0D" w:rsidP="00EF7A0D">
            <w:pPr>
              <w:pStyle w:val="naisc"/>
              <w:spacing w:before="0" w:after="0"/>
              <w:jc w:val="left"/>
              <w:rPr>
                <w:bCs/>
              </w:rPr>
            </w:pPr>
          </w:p>
        </w:tc>
        <w:tc>
          <w:tcPr>
            <w:tcW w:w="3497" w:type="dxa"/>
            <w:tcBorders>
              <w:left w:val="single" w:sz="6" w:space="0" w:color="000000" w:themeColor="text1"/>
              <w:bottom w:val="single" w:sz="4" w:space="0" w:color="auto"/>
            </w:tcBorders>
            <w:shd w:val="clear" w:color="auto" w:fill="auto"/>
          </w:tcPr>
          <w:p w14:paraId="4F04FED4" w14:textId="77777777" w:rsidR="00EF7A0D" w:rsidRPr="009841AB" w:rsidRDefault="00EF7A0D" w:rsidP="00EF7A0D">
            <w:pPr>
              <w:pStyle w:val="naisc"/>
              <w:spacing w:before="0" w:after="0"/>
              <w:jc w:val="both"/>
            </w:pPr>
            <w:r w:rsidRPr="009841AB">
              <w:t xml:space="preserve">Lūdzam skatīt </w:t>
            </w:r>
            <w:proofErr w:type="spellStart"/>
            <w:r w:rsidRPr="009841AB">
              <w:t>apakšsadaļu</w:t>
            </w:r>
            <w:proofErr w:type="spellEnd"/>
            <w:r w:rsidRPr="009841AB">
              <w:t xml:space="preserve"> 4.4.3.2.</w:t>
            </w:r>
          </w:p>
        </w:tc>
      </w:tr>
      <w:tr w:rsidR="003B26DC" w:rsidRPr="009841AB" w14:paraId="090F6EA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864DEEA" w14:textId="77777777" w:rsidR="003B26DC" w:rsidRPr="009841AB" w:rsidRDefault="00532A18" w:rsidP="003B26DC">
            <w:pPr>
              <w:pStyle w:val="naisc"/>
              <w:spacing w:before="0" w:after="0"/>
            </w:pPr>
            <w:r>
              <w:t>251</w:t>
            </w:r>
          </w:p>
        </w:tc>
        <w:tc>
          <w:tcPr>
            <w:tcW w:w="2427" w:type="dxa"/>
            <w:tcBorders>
              <w:left w:val="single" w:sz="6" w:space="0" w:color="000000" w:themeColor="text1"/>
              <w:bottom w:val="single" w:sz="4" w:space="0" w:color="auto"/>
            </w:tcBorders>
            <w:shd w:val="clear" w:color="auto" w:fill="auto"/>
          </w:tcPr>
          <w:p w14:paraId="30C8AF45" w14:textId="77777777" w:rsidR="003B26DC" w:rsidRPr="009841AB" w:rsidRDefault="003B26DC" w:rsidP="003B26D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DF8B200" w14:textId="77777777" w:rsidR="003B26DC" w:rsidRPr="009841AB" w:rsidRDefault="003B26DC" w:rsidP="003B26DC">
            <w:pPr>
              <w:ind w:right="12"/>
              <w:jc w:val="both"/>
            </w:pPr>
            <w:r w:rsidRPr="009841AB">
              <w:t>9.</w:t>
            </w:r>
            <w:r w:rsidRPr="009841AB">
              <w:tab/>
              <w:t xml:space="preserve">Lūdzam precizēt pamatnostādņu projekta 4.4.apakšsadaļā iekļautos uzdevumu “U4.4.9.6.-1 Izveidot sabiedrības līdzdalības stratēģiju un tās īstenošanas plānu” un uzdevumu “U4.4.9.6.-2 Īstenot sabiedrības līdzdalības stratēģijas plānu”, norādot sfēru, kurā plānots palielināt sabiedrības līdzdalības līmeni. </w:t>
            </w:r>
          </w:p>
        </w:tc>
        <w:tc>
          <w:tcPr>
            <w:tcW w:w="2480" w:type="dxa"/>
            <w:tcBorders>
              <w:left w:val="single" w:sz="6" w:space="0" w:color="000000" w:themeColor="text1"/>
              <w:bottom w:val="single" w:sz="4" w:space="0" w:color="auto"/>
            </w:tcBorders>
            <w:shd w:val="clear" w:color="auto" w:fill="auto"/>
          </w:tcPr>
          <w:p w14:paraId="68D16BDC" w14:textId="77777777" w:rsidR="003B26DC" w:rsidRPr="009841AB" w:rsidRDefault="00122391" w:rsidP="003B26DC">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4523CA29" w14:textId="77777777" w:rsidR="003B26DC" w:rsidRPr="009841AB" w:rsidRDefault="00122391" w:rsidP="00122391">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3B26DC" w:rsidRPr="009841AB" w14:paraId="48B72E6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01585EA" w14:textId="77777777" w:rsidR="003B26DC" w:rsidRPr="009841AB" w:rsidRDefault="007C69E0" w:rsidP="003B26DC">
            <w:pPr>
              <w:pStyle w:val="naisc"/>
              <w:spacing w:before="0" w:after="0"/>
            </w:pPr>
            <w:r>
              <w:t>252</w:t>
            </w:r>
          </w:p>
        </w:tc>
        <w:tc>
          <w:tcPr>
            <w:tcW w:w="2427" w:type="dxa"/>
            <w:tcBorders>
              <w:left w:val="single" w:sz="6" w:space="0" w:color="000000" w:themeColor="text1"/>
              <w:bottom w:val="single" w:sz="4" w:space="0" w:color="auto"/>
            </w:tcBorders>
            <w:shd w:val="clear" w:color="auto" w:fill="auto"/>
          </w:tcPr>
          <w:p w14:paraId="44BF3C26" w14:textId="77777777" w:rsidR="003B26DC" w:rsidRPr="009841AB" w:rsidRDefault="003B26DC" w:rsidP="003B26D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77344FC" w14:textId="77777777" w:rsidR="003B26DC" w:rsidRPr="009841AB" w:rsidRDefault="003B26DC" w:rsidP="003B26DC">
            <w:pPr>
              <w:ind w:right="12"/>
              <w:jc w:val="both"/>
            </w:pPr>
            <w:r w:rsidRPr="009841AB">
              <w:t>10.</w:t>
            </w:r>
            <w:r w:rsidRPr="009841AB">
              <w:tab/>
              <w:t xml:space="preserve">Lūdzam sniegt plašāku skaidrojumu pamatnostādņu projekta 4.4.apakšsadaļas 4.4.10. Rīcības virziena “Racionāls valsts pārvaldes tehnoloģiju atbalsts” 183.lp. pēdējā rindkopā norādītajai informācijai, detalizētāk skaidrojot, kas ir </w:t>
            </w:r>
            <w:r w:rsidRPr="009841AB">
              <w:lastRenderedPageBreak/>
              <w:t>rindkopā minēto secinājumu pamatā un kādas izmaiņas VARAM plāno piedāvāt.</w:t>
            </w:r>
          </w:p>
        </w:tc>
        <w:tc>
          <w:tcPr>
            <w:tcW w:w="2480" w:type="dxa"/>
            <w:tcBorders>
              <w:left w:val="single" w:sz="6" w:space="0" w:color="000000" w:themeColor="text1"/>
              <w:bottom w:val="single" w:sz="4" w:space="0" w:color="auto"/>
            </w:tcBorders>
            <w:shd w:val="clear" w:color="auto" w:fill="auto"/>
          </w:tcPr>
          <w:p w14:paraId="1C2A66D1" w14:textId="77777777" w:rsidR="00F527DD" w:rsidRPr="00D264F6" w:rsidRDefault="003B26DC" w:rsidP="003B26DC">
            <w:pPr>
              <w:pStyle w:val="naisc"/>
              <w:spacing w:before="0" w:after="0"/>
              <w:jc w:val="left"/>
              <w:rPr>
                <w:b/>
              </w:rPr>
            </w:pPr>
            <w:r w:rsidRPr="009841AB">
              <w:rPr>
                <w:b/>
              </w:rPr>
              <w:lastRenderedPageBreak/>
              <w:t>Ņemts vērā</w:t>
            </w:r>
          </w:p>
          <w:p w14:paraId="21B72FBA" w14:textId="77777777" w:rsidR="00F527DD" w:rsidRPr="009841AB" w:rsidRDefault="00F527DD" w:rsidP="003B26DC">
            <w:pPr>
              <w:pStyle w:val="naisc"/>
              <w:spacing w:before="0" w:after="0"/>
              <w:jc w:val="left"/>
              <w:rPr>
                <w:bCs/>
              </w:rPr>
            </w:pPr>
            <w:r w:rsidRPr="009841AB">
              <w:t xml:space="preserve">4.4.10. redakcija mainīta - precizējot problēmas formulējumu un </w:t>
            </w:r>
            <w:r w:rsidRPr="009841AB">
              <w:lastRenderedPageBreak/>
              <w:t>norādot, ka optimāls tās risinājums vēl ir jāmeklē.</w:t>
            </w:r>
          </w:p>
        </w:tc>
        <w:tc>
          <w:tcPr>
            <w:tcW w:w="3497" w:type="dxa"/>
            <w:tcBorders>
              <w:left w:val="single" w:sz="6" w:space="0" w:color="000000" w:themeColor="text1"/>
              <w:bottom w:val="single" w:sz="4" w:space="0" w:color="auto"/>
            </w:tcBorders>
            <w:shd w:val="clear" w:color="auto" w:fill="auto"/>
          </w:tcPr>
          <w:p w14:paraId="0BAEB735" w14:textId="77777777" w:rsidR="003B26DC" w:rsidRPr="009841AB" w:rsidRDefault="00F527DD" w:rsidP="00956F9D">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w:t>
            </w:r>
            <w:r w:rsidR="003B26DC" w:rsidRPr="009841AB">
              <w:t xml:space="preserve">4.4.10. </w:t>
            </w:r>
          </w:p>
        </w:tc>
      </w:tr>
      <w:tr w:rsidR="003B26DC" w:rsidRPr="009841AB" w14:paraId="4B872FC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67C8142" w14:textId="77777777" w:rsidR="003B26DC" w:rsidRPr="009841AB" w:rsidRDefault="003B26DC" w:rsidP="003B26DC">
            <w:pPr>
              <w:pStyle w:val="naisc"/>
              <w:spacing w:before="0" w:after="0"/>
            </w:pPr>
          </w:p>
        </w:tc>
        <w:tc>
          <w:tcPr>
            <w:tcW w:w="2427" w:type="dxa"/>
            <w:tcBorders>
              <w:left w:val="single" w:sz="6" w:space="0" w:color="000000" w:themeColor="text1"/>
              <w:bottom w:val="single" w:sz="4" w:space="0" w:color="auto"/>
            </w:tcBorders>
            <w:shd w:val="clear" w:color="auto" w:fill="auto"/>
          </w:tcPr>
          <w:p w14:paraId="61779844" w14:textId="77777777" w:rsidR="003B26DC" w:rsidRPr="009841AB" w:rsidRDefault="003B26DC" w:rsidP="003B26DC">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441959FF" w14:textId="77777777" w:rsidR="003B26DC" w:rsidRPr="009841AB" w:rsidRDefault="003B26DC" w:rsidP="003B26DC">
            <w:pPr>
              <w:ind w:right="12"/>
              <w:jc w:val="both"/>
              <w:rPr>
                <w:b/>
                <w:bCs/>
              </w:rPr>
            </w:pPr>
            <w:r w:rsidRPr="009841AB">
              <w:rPr>
                <w:b/>
                <w:bCs/>
              </w:rPr>
              <w:t>Priekšlikumi:</w:t>
            </w:r>
          </w:p>
        </w:tc>
        <w:tc>
          <w:tcPr>
            <w:tcW w:w="2480" w:type="dxa"/>
            <w:tcBorders>
              <w:left w:val="single" w:sz="6" w:space="0" w:color="000000" w:themeColor="text1"/>
              <w:bottom w:val="single" w:sz="4" w:space="0" w:color="auto"/>
            </w:tcBorders>
            <w:shd w:val="clear" w:color="auto" w:fill="auto"/>
          </w:tcPr>
          <w:p w14:paraId="1B9E57B1" w14:textId="77777777" w:rsidR="003B26DC" w:rsidRPr="009841AB" w:rsidRDefault="003B26DC" w:rsidP="003B26DC">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2496E2CA" w14:textId="77777777" w:rsidR="003B26DC" w:rsidRPr="009841AB" w:rsidRDefault="003B26DC" w:rsidP="003B26DC">
            <w:pPr>
              <w:pStyle w:val="naisc"/>
              <w:spacing w:before="0" w:after="0"/>
              <w:jc w:val="both"/>
            </w:pPr>
          </w:p>
        </w:tc>
      </w:tr>
      <w:tr w:rsidR="003B26DC" w:rsidRPr="009841AB" w14:paraId="7F14428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C40E1AD" w14:textId="77777777" w:rsidR="003B26DC" w:rsidRPr="009841AB" w:rsidRDefault="003B26DC" w:rsidP="003B26DC">
            <w:pPr>
              <w:pStyle w:val="naisc"/>
              <w:spacing w:before="0" w:after="0"/>
            </w:pPr>
            <w:r w:rsidRPr="009841AB">
              <w:t>2</w:t>
            </w:r>
            <w:r w:rsidR="007C69E0">
              <w:t>53</w:t>
            </w:r>
          </w:p>
        </w:tc>
        <w:tc>
          <w:tcPr>
            <w:tcW w:w="2427" w:type="dxa"/>
            <w:tcBorders>
              <w:left w:val="single" w:sz="6" w:space="0" w:color="000000" w:themeColor="text1"/>
              <w:bottom w:val="single" w:sz="4" w:space="0" w:color="auto"/>
            </w:tcBorders>
            <w:shd w:val="clear" w:color="auto" w:fill="auto"/>
          </w:tcPr>
          <w:p w14:paraId="001E7169" w14:textId="77777777" w:rsidR="003B26DC" w:rsidRPr="009841AB" w:rsidRDefault="003B26DC" w:rsidP="003B26D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AF1682B" w14:textId="77777777" w:rsidR="003B26DC" w:rsidRPr="009841AB" w:rsidRDefault="003B26DC" w:rsidP="003B26DC">
            <w:pPr>
              <w:ind w:right="12"/>
              <w:jc w:val="both"/>
            </w:pPr>
            <w:r w:rsidRPr="009841AB">
              <w:rPr>
                <w:rFonts w:eastAsia="Calibri"/>
                <w:lang w:eastAsia="en-US"/>
              </w:rPr>
              <w:t>1. Vēršam uzmanību, ka pamatnostādņu projekta 4.4.apakšsadaļas 4.4.1. Rīcības virziena “Pakalpojumu platformas” ( 87.lpp.) nav skaidri saprotama teksta redakcija “Valsts kā platformas ir visaptveroša pieeja, kur valsts pārvalde sadarbojas ar privāto sektoru, iedzīvotājiem un robotiem, lai radītu savienotākus un labākus pakalpojumus kā valsts, tā privātajā sektorā, veicinot savietojamību ar moderno digitālo tehnoloģiju implementācijām”, līdz ar to lūdzam to precizēt.</w:t>
            </w:r>
          </w:p>
        </w:tc>
        <w:tc>
          <w:tcPr>
            <w:tcW w:w="2480" w:type="dxa"/>
            <w:tcBorders>
              <w:left w:val="single" w:sz="6" w:space="0" w:color="000000" w:themeColor="text1"/>
              <w:bottom w:val="single" w:sz="4" w:space="0" w:color="auto"/>
            </w:tcBorders>
            <w:shd w:val="clear" w:color="auto" w:fill="auto"/>
          </w:tcPr>
          <w:p w14:paraId="0A35F4BF" w14:textId="77777777" w:rsidR="003B26DC" w:rsidRPr="009841AB" w:rsidRDefault="00126385" w:rsidP="003B26DC">
            <w:pPr>
              <w:pStyle w:val="naisc"/>
              <w:spacing w:before="0" w:after="0"/>
              <w:jc w:val="left"/>
              <w:rPr>
                <w:b/>
                <w:bCs/>
              </w:rPr>
            </w:pPr>
            <w:r w:rsidRPr="009841AB">
              <w:rPr>
                <w:b/>
              </w:rPr>
              <w:t>Ņemts vērā</w:t>
            </w:r>
          </w:p>
        </w:tc>
        <w:tc>
          <w:tcPr>
            <w:tcW w:w="3497" w:type="dxa"/>
            <w:tcBorders>
              <w:left w:val="single" w:sz="6" w:space="0" w:color="000000" w:themeColor="text1"/>
              <w:bottom w:val="single" w:sz="4" w:space="0" w:color="auto"/>
            </w:tcBorders>
            <w:shd w:val="clear" w:color="auto" w:fill="auto"/>
          </w:tcPr>
          <w:p w14:paraId="52FAEAF3" w14:textId="77777777" w:rsidR="003B26DC" w:rsidRPr="009841AB" w:rsidRDefault="00126385" w:rsidP="00126385">
            <w:pPr>
              <w:pStyle w:val="naisc"/>
              <w:spacing w:before="0" w:after="0"/>
              <w:jc w:val="left"/>
            </w:pPr>
            <w:r w:rsidRPr="009841AB">
              <w:t xml:space="preserve">Lūdzam skatīt </w:t>
            </w:r>
            <w:proofErr w:type="spellStart"/>
            <w:r w:rsidRPr="009841AB">
              <w:t>apakšsadaļu</w:t>
            </w:r>
            <w:proofErr w:type="spellEnd"/>
            <w:r w:rsidRPr="009841AB">
              <w:t xml:space="preserve"> 4.4.</w:t>
            </w:r>
            <w:r w:rsidR="006A6462" w:rsidRPr="009841AB">
              <w:t>1.</w:t>
            </w:r>
          </w:p>
        </w:tc>
      </w:tr>
      <w:tr w:rsidR="00274A5F" w:rsidRPr="009841AB" w14:paraId="5CB9E87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748C4C7" w14:textId="77777777" w:rsidR="00274A5F" w:rsidRPr="009841AB" w:rsidRDefault="00274A5F" w:rsidP="00274A5F">
            <w:pPr>
              <w:pStyle w:val="naisc"/>
              <w:spacing w:before="0" w:after="0"/>
            </w:pPr>
            <w:r w:rsidRPr="009841AB">
              <w:t>2</w:t>
            </w:r>
            <w:r w:rsidR="007C69E0">
              <w:t>54</w:t>
            </w:r>
          </w:p>
        </w:tc>
        <w:tc>
          <w:tcPr>
            <w:tcW w:w="2427" w:type="dxa"/>
            <w:tcBorders>
              <w:left w:val="single" w:sz="6" w:space="0" w:color="000000" w:themeColor="text1"/>
              <w:bottom w:val="single" w:sz="4" w:space="0" w:color="auto"/>
            </w:tcBorders>
            <w:shd w:val="clear" w:color="auto" w:fill="auto"/>
          </w:tcPr>
          <w:p w14:paraId="4DB1E5D3" w14:textId="77777777" w:rsidR="00274A5F" w:rsidRPr="009841AB" w:rsidRDefault="00274A5F" w:rsidP="00274A5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CCAC032" w14:textId="77777777" w:rsidR="00274A5F" w:rsidRPr="009841AB" w:rsidRDefault="00274A5F" w:rsidP="00274A5F">
            <w:pPr>
              <w:tabs>
                <w:tab w:val="left" w:pos="709"/>
              </w:tabs>
              <w:spacing w:after="160" w:line="252" w:lineRule="auto"/>
              <w:contextualSpacing/>
              <w:jc w:val="both"/>
              <w:rPr>
                <w:rFonts w:eastAsia="Calibri"/>
                <w:lang w:eastAsia="en-US"/>
              </w:rPr>
            </w:pPr>
            <w:r w:rsidRPr="009841AB">
              <w:rPr>
                <w:rFonts w:eastAsia="Calibri"/>
                <w:lang w:eastAsia="en-US"/>
              </w:rPr>
              <w:t xml:space="preserve">2. Pamatnostādņu projekta 4.4.apakšsadaļas 4.4.3.2. Rīcības </w:t>
            </w:r>
            <w:proofErr w:type="spellStart"/>
            <w:r w:rsidRPr="009841AB">
              <w:rPr>
                <w:rFonts w:eastAsia="Calibri"/>
                <w:lang w:eastAsia="en-US"/>
              </w:rPr>
              <w:t>apakšvirziena</w:t>
            </w:r>
            <w:proofErr w:type="spellEnd"/>
            <w:r w:rsidRPr="009841AB">
              <w:rPr>
                <w:rFonts w:eastAsia="Calibri"/>
                <w:lang w:eastAsia="en-US"/>
              </w:rPr>
              <w:t xml:space="preserve"> “Finanšu dokumentu </w:t>
            </w:r>
            <w:proofErr w:type="spellStart"/>
            <w:r w:rsidRPr="009841AB">
              <w:rPr>
                <w:rFonts w:eastAsia="Calibri"/>
                <w:lang w:eastAsia="en-US"/>
              </w:rPr>
              <w:t>maiņvieta</w:t>
            </w:r>
            <w:proofErr w:type="spellEnd"/>
            <w:r w:rsidRPr="009841AB">
              <w:rPr>
                <w:rFonts w:eastAsia="Calibri"/>
                <w:lang w:eastAsia="en-US"/>
              </w:rPr>
              <w:t>” sadaļā “Esošās situācijas apraksts” ir uzskaitīti trūkumi datu apmaiņai decentralizētā un nestrukturētā veidā, tomēr netiek paskaidroti iemesli norādītajiem trūkumiem. Lūdzam paplašināt skaidrojumu attiecībā uz trūkumu uzskaitījumu, norādot pamatojumu, kādēļ minētā situācija vai stāvoklis ir uzskatāms par trūkumu un kas būtu maināms</w:t>
            </w:r>
          </w:p>
        </w:tc>
        <w:tc>
          <w:tcPr>
            <w:tcW w:w="2480" w:type="dxa"/>
            <w:tcBorders>
              <w:left w:val="single" w:sz="6" w:space="0" w:color="000000" w:themeColor="text1"/>
              <w:bottom w:val="single" w:sz="4" w:space="0" w:color="auto"/>
            </w:tcBorders>
            <w:shd w:val="clear" w:color="auto" w:fill="auto"/>
          </w:tcPr>
          <w:p w14:paraId="493C1142" w14:textId="77777777" w:rsidR="00274A5F" w:rsidRPr="009841AB" w:rsidRDefault="00274A5F" w:rsidP="00274A5F">
            <w:pPr>
              <w:pStyle w:val="naisc"/>
              <w:spacing w:before="0" w:after="0"/>
              <w:jc w:val="left"/>
              <w:rPr>
                <w:bCs/>
              </w:rPr>
            </w:pPr>
            <w:r w:rsidRPr="009841AB">
              <w:rPr>
                <w:b/>
              </w:rPr>
              <w:t>Ņemts vērā</w:t>
            </w:r>
          </w:p>
        </w:tc>
        <w:tc>
          <w:tcPr>
            <w:tcW w:w="3497" w:type="dxa"/>
            <w:tcBorders>
              <w:left w:val="single" w:sz="6" w:space="0" w:color="000000" w:themeColor="text1"/>
              <w:bottom w:val="single" w:sz="4" w:space="0" w:color="auto"/>
            </w:tcBorders>
            <w:shd w:val="clear" w:color="auto" w:fill="auto"/>
          </w:tcPr>
          <w:p w14:paraId="206EFBAD" w14:textId="77777777" w:rsidR="00274A5F" w:rsidRPr="009841AB" w:rsidRDefault="00274A5F" w:rsidP="0053521B">
            <w:pPr>
              <w:pStyle w:val="naisc"/>
              <w:spacing w:before="0" w:after="0"/>
              <w:jc w:val="left"/>
            </w:pPr>
            <w:r w:rsidRPr="009841AB">
              <w:t xml:space="preserve">Lūdzam skatīt </w:t>
            </w:r>
            <w:proofErr w:type="spellStart"/>
            <w:r w:rsidRPr="009841AB">
              <w:t>apakšsadaļu</w:t>
            </w:r>
            <w:proofErr w:type="spellEnd"/>
            <w:r w:rsidRPr="009841AB">
              <w:t xml:space="preserve"> 4.4.3.2.</w:t>
            </w:r>
          </w:p>
        </w:tc>
      </w:tr>
      <w:tr w:rsidR="0053521B" w:rsidRPr="009841AB" w14:paraId="453BC26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319495E" w14:textId="77777777" w:rsidR="0053521B" w:rsidRPr="009841AB" w:rsidRDefault="0053521B" w:rsidP="0053521B">
            <w:pPr>
              <w:pStyle w:val="naisc"/>
              <w:spacing w:before="0" w:after="0"/>
            </w:pPr>
            <w:r w:rsidRPr="009841AB">
              <w:t>2</w:t>
            </w:r>
            <w:r w:rsidR="007C69E0">
              <w:t>55</w:t>
            </w:r>
          </w:p>
        </w:tc>
        <w:tc>
          <w:tcPr>
            <w:tcW w:w="2427" w:type="dxa"/>
            <w:tcBorders>
              <w:left w:val="single" w:sz="6" w:space="0" w:color="000000" w:themeColor="text1"/>
              <w:bottom w:val="single" w:sz="4" w:space="0" w:color="auto"/>
            </w:tcBorders>
            <w:shd w:val="clear" w:color="auto" w:fill="auto"/>
          </w:tcPr>
          <w:p w14:paraId="5C20974E" w14:textId="77777777" w:rsidR="0053521B" w:rsidRPr="009841AB" w:rsidRDefault="0053521B" w:rsidP="005352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9596459" w14:textId="77777777" w:rsidR="0053521B" w:rsidRPr="009841AB" w:rsidRDefault="0053521B" w:rsidP="0053521B">
            <w:pPr>
              <w:tabs>
                <w:tab w:val="left" w:pos="709"/>
              </w:tabs>
              <w:spacing w:after="160" w:line="252" w:lineRule="auto"/>
              <w:contextualSpacing/>
              <w:jc w:val="both"/>
              <w:rPr>
                <w:rFonts w:eastAsia="Calibri"/>
                <w:lang w:eastAsia="en-US"/>
              </w:rPr>
            </w:pPr>
            <w:r w:rsidRPr="009841AB">
              <w:rPr>
                <w:rFonts w:eastAsia="Calibri"/>
              </w:rPr>
              <w:t xml:space="preserve">3. Lūdzam papildināt pamatnostādņu projekta 4.4.apakšsadaļas 4.4.5.1. Rīcības </w:t>
            </w:r>
            <w:proofErr w:type="spellStart"/>
            <w:r w:rsidRPr="009841AB">
              <w:rPr>
                <w:rFonts w:eastAsia="Calibri"/>
              </w:rPr>
              <w:t>apakšvirziena</w:t>
            </w:r>
            <w:proofErr w:type="spellEnd"/>
            <w:r w:rsidRPr="009841AB">
              <w:rPr>
                <w:rFonts w:eastAsia="Calibri"/>
              </w:rPr>
              <w:t xml:space="preserve"> “Izmeklēšanas un tiesvedības procesa tālāka </w:t>
            </w:r>
            <w:proofErr w:type="spellStart"/>
            <w:r w:rsidRPr="009841AB">
              <w:rPr>
                <w:rFonts w:eastAsia="Calibri"/>
              </w:rPr>
              <w:t>digitalizācija</w:t>
            </w:r>
            <w:proofErr w:type="spellEnd"/>
            <w:r w:rsidRPr="009841AB">
              <w:rPr>
                <w:rFonts w:eastAsia="Calibri"/>
              </w:rPr>
              <w:t>” Esošās situācijas aprakstu  ar jaunu punktu šādā redakcijā:</w:t>
            </w:r>
          </w:p>
          <w:p w14:paraId="256BA272" w14:textId="77777777" w:rsidR="0053521B" w:rsidRPr="009841AB" w:rsidRDefault="0053521B" w:rsidP="0053521B">
            <w:pPr>
              <w:tabs>
                <w:tab w:val="left" w:pos="709"/>
              </w:tabs>
              <w:spacing w:after="160" w:line="252" w:lineRule="auto"/>
              <w:ind w:left="426"/>
              <w:contextualSpacing/>
              <w:jc w:val="both"/>
              <w:rPr>
                <w:rFonts w:eastAsia="Calibri"/>
                <w:lang w:eastAsia="en-US"/>
              </w:rPr>
            </w:pPr>
            <w:r w:rsidRPr="009841AB">
              <w:rPr>
                <w:rFonts w:eastAsia="Calibri"/>
                <w:i/>
              </w:rPr>
              <w:t>“3.</w:t>
            </w:r>
            <w:r w:rsidRPr="009841AB">
              <w:rPr>
                <w:rFonts w:eastAsia="Calibri"/>
                <w:i/>
                <w:lang w:eastAsia="en-US"/>
              </w:rPr>
              <w:t xml:space="preserve"> </w:t>
            </w:r>
            <w:r w:rsidRPr="009841AB">
              <w:rPr>
                <w:rFonts w:eastAsia="Calibri"/>
                <w:i/>
              </w:rPr>
              <w:t>E-lietas programmas kopējās pārvaldības un ieviešanas uzraudzības neesamība.”</w:t>
            </w:r>
            <w:r w:rsidRPr="009841AB">
              <w:rPr>
                <w:rFonts w:eastAsia="Calibri"/>
              </w:rPr>
              <w:t>.</w:t>
            </w:r>
          </w:p>
        </w:tc>
        <w:tc>
          <w:tcPr>
            <w:tcW w:w="2480" w:type="dxa"/>
            <w:tcBorders>
              <w:left w:val="single" w:sz="6" w:space="0" w:color="000000" w:themeColor="text1"/>
              <w:bottom w:val="single" w:sz="4" w:space="0" w:color="auto"/>
            </w:tcBorders>
            <w:shd w:val="clear" w:color="auto" w:fill="auto"/>
          </w:tcPr>
          <w:p w14:paraId="2D43A969" w14:textId="77777777" w:rsidR="0053521B" w:rsidRPr="009841AB" w:rsidRDefault="0053521B" w:rsidP="0053521B">
            <w:pPr>
              <w:pStyle w:val="naisc"/>
              <w:spacing w:before="0" w:after="0"/>
              <w:jc w:val="left"/>
              <w:rPr>
                <w:b/>
                <w:bCs/>
                <w:highlight w:val="yellow"/>
              </w:rPr>
            </w:pPr>
            <w:r w:rsidRPr="009841AB">
              <w:rPr>
                <w:b/>
              </w:rPr>
              <w:t>Ņemts vērā</w:t>
            </w:r>
          </w:p>
        </w:tc>
        <w:tc>
          <w:tcPr>
            <w:tcW w:w="3497" w:type="dxa"/>
            <w:tcBorders>
              <w:left w:val="single" w:sz="6" w:space="0" w:color="000000" w:themeColor="text1"/>
              <w:bottom w:val="single" w:sz="4" w:space="0" w:color="auto"/>
            </w:tcBorders>
            <w:shd w:val="clear" w:color="auto" w:fill="auto"/>
          </w:tcPr>
          <w:p w14:paraId="17C6EB40" w14:textId="77777777" w:rsidR="0053521B" w:rsidRPr="009841AB" w:rsidRDefault="0053521B" w:rsidP="0053521B">
            <w:pPr>
              <w:pStyle w:val="naisc"/>
              <w:spacing w:before="0" w:after="0"/>
              <w:jc w:val="left"/>
            </w:pPr>
            <w:r w:rsidRPr="009841AB">
              <w:t xml:space="preserve">Lūdzam skatīt </w:t>
            </w:r>
            <w:proofErr w:type="spellStart"/>
            <w:r w:rsidRPr="009841AB">
              <w:t>apakšsadaļu</w:t>
            </w:r>
            <w:proofErr w:type="spellEnd"/>
            <w:r w:rsidRPr="009841AB">
              <w:t xml:space="preserve"> 4.4.5.1.</w:t>
            </w:r>
          </w:p>
        </w:tc>
      </w:tr>
      <w:tr w:rsidR="00A16FB5" w:rsidRPr="009841AB" w14:paraId="0F5ABB5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09CCBB2" w14:textId="77777777" w:rsidR="00A16FB5" w:rsidRPr="009841AB" w:rsidRDefault="00A16FB5" w:rsidP="00A16FB5">
            <w:pPr>
              <w:pStyle w:val="naisc"/>
              <w:spacing w:before="0" w:after="0"/>
            </w:pPr>
            <w:r w:rsidRPr="009841AB">
              <w:t>2</w:t>
            </w:r>
            <w:r w:rsidR="007C69E0">
              <w:t>56</w:t>
            </w:r>
          </w:p>
        </w:tc>
        <w:tc>
          <w:tcPr>
            <w:tcW w:w="2427" w:type="dxa"/>
            <w:tcBorders>
              <w:left w:val="single" w:sz="6" w:space="0" w:color="000000" w:themeColor="text1"/>
              <w:bottom w:val="single" w:sz="4" w:space="0" w:color="auto"/>
            </w:tcBorders>
            <w:shd w:val="clear" w:color="auto" w:fill="auto"/>
          </w:tcPr>
          <w:p w14:paraId="3A3F37F1" w14:textId="77777777" w:rsidR="00A16FB5" w:rsidRPr="009841AB" w:rsidRDefault="00A16FB5" w:rsidP="00A16FB5">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651EEF2" w14:textId="77777777" w:rsidR="00A16FB5" w:rsidRPr="009841AB" w:rsidRDefault="00A16FB5" w:rsidP="00A16FB5">
            <w:pPr>
              <w:tabs>
                <w:tab w:val="left" w:pos="709"/>
              </w:tabs>
              <w:spacing w:after="160" w:line="252" w:lineRule="auto"/>
              <w:contextualSpacing/>
              <w:jc w:val="both"/>
              <w:rPr>
                <w:rFonts w:eastAsia="Calibri"/>
                <w:lang w:eastAsia="en-US"/>
              </w:rPr>
            </w:pPr>
            <w:r w:rsidRPr="009841AB">
              <w:rPr>
                <w:rFonts w:eastAsia="Calibri"/>
                <w:lang w:eastAsia="en-US"/>
              </w:rPr>
              <w:t xml:space="preserve">4. Lūdzam papildināt pamatnostādņu 4.4.apakšsadaļas 4.4.5.1. Rīcības </w:t>
            </w:r>
            <w:proofErr w:type="spellStart"/>
            <w:r w:rsidRPr="009841AB">
              <w:rPr>
                <w:rFonts w:eastAsia="Calibri"/>
                <w:lang w:eastAsia="en-US"/>
              </w:rPr>
              <w:t>apakšvirziena</w:t>
            </w:r>
            <w:proofErr w:type="spellEnd"/>
            <w:r w:rsidRPr="009841AB">
              <w:rPr>
                <w:rFonts w:eastAsia="Calibri"/>
                <w:lang w:eastAsia="en-US"/>
              </w:rPr>
              <w:t xml:space="preserve"> “Izmeklēšanas un </w:t>
            </w:r>
            <w:r w:rsidRPr="009841AB">
              <w:rPr>
                <w:rFonts w:eastAsia="Calibri"/>
                <w:lang w:eastAsia="en-US"/>
              </w:rPr>
              <w:lastRenderedPageBreak/>
              <w:t xml:space="preserve">tiesvedības procesa tālāka </w:t>
            </w:r>
            <w:proofErr w:type="spellStart"/>
            <w:r w:rsidRPr="009841AB">
              <w:rPr>
                <w:rFonts w:eastAsia="Calibri"/>
                <w:lang w:eastAsia="en-US"/>
              </w:rPr>
              <w:t>digitalizācija</w:t>
            </w:r>
            <w:proofErr w:type="spellEnd"/>
            <w:r w:rsidRPr="009841AB">
              <w:rPr>
                <w:rFonts w:eastAsia="Calibri"/>
                <w:lang w:eastAsia="en-US"/>
              </w:rPr>
              <w:t>” Esošās situācijas apraksta 3.punktu un izteikt to šādā  redakcijā:</w:t>
            </w:r>
          </w:p>
          <w:p w14:paraId="30487DF3" w14:textId="77777777" w:rsidR="00A16FB5" w:rsidRPr="009841AB" w:rsidRDefault="00A16FB5" w:rsidP="00A16FB5">
            <w:pPr>
              <w:tabs>
                <w:tab w:val="left" w:pos="426"/>
              </w:tabs>
              <w:spacing w:after="160" w:line="252" w:lineRule="auto"/>
              <w:ind w:firstLine="426"/>
              <w:contextualSpacing/>
              <w:jc w:val="both"/>
              <w:rPr>
                <w:rFonts w:eastAsia="Calibri"/>
                <w:lang w:eastAsia="en-US"/>
              </w:rPr>
            </w:pPr>
            <w:r w:rsidRPr="009841AB">
              <w:rPr>
                <w:rFonts w:eastAsia="Calibri"/>
                <w:i/>
                <w:lang w:eastAsia="en-US"/>
              </w:rPr>
              <w:t>“3. E-lietas 1.posms neaptver visas izmeklēšanas un tiesvedības procesā iesaistītās iestādes un pilnībā nav apzināti to informācijas sistēmu nepieciešamie uzlabojumi (arī finansējums). Nav apzināti tiesībaizsardzības iestāžu procesi, esošās informācijas sistēmas, kuras tiek pielietotas ikdienas darbā, nepieciešamās izmaiņas infrastruktūrā un papildus nepieciešamie līdzekļi, piemēram tehnikas iegādei, ko ikdienā izmantos izmeklētājs, lai varētu izmantot E-lietas funkcionalitāti.”.</w:t>
            </w:r>
          </w:p>
        </w:tc>
        <w:tc>
          <w:tcPr>
            <w:tcW w:w="2480" w:type="dxa"/>
            <w:tcBorders>
              <w:left w:val="single" w:sz="6" w:space="0" w:color="000000" w:themeColor="text1"/>
              <w:bottom w:val="single" w:sz="4" w:space="0" w:color="auto"/>
            </w:tcBorders>
            <w:shd w:val="clear" w:color="auto" w:fill="auto"/>
          </w:tcPr>
          <w:p w14:paraId="6814AA6B" w14:textId="77777777" w:rsidR="00A16FB5" w:rsidRPr="009841AB" w:rsidRDefault="00A16FB5" w:rsidP="00A16FB5">
            <w:pPr>
              <w:pStyle w:val="naisc"/>
              <w:spacing w:before="0" w:after="0"/>
              <w:jc w:val="left"/>
              <w:rPr>
                <w:b/>
                <w:bCs/>
              </w:rPr>
            </w:pPr>
            <w:r w:rsidRPr="009841AB">
              <w:rPr>
                <w:b/>
              </w:rPr>
              <w:lastRenderedPageBreak/>
              <w:t>Ņemts vērā</w:t>
            </w:r>
          </w:p>
        </w:tc>
        <w:tc>
          <w:tcPr>
            <w:tcW w:w="3497" w:type="dxa"/>
            <w:tcBorders>
              <w:left w:val="single" w:sz="6" w:space="0" w:color="000000" w:themeColor="text1"/>
              <w:bottom w:val="single" w:sz="4" w:space="0" w:color="auto"/>
            </w:tcBorders>
            <w:shd w:val="clear" w:color="auto" w:fill="auto"/>
          </w:tcPr>
          <w:p w14:paraId="7BDAAE39" w14:textId="77777777" w:rsidR="00A16FB5" w:rsidRPr="009841AB" w:rsidRDefault="00A16FB5" w:rsidP="00B336F4">
            <w:pPr>
              <w:pStyle w:val="naisc"/>
              <w:spacing w:before="0" w:after="0"/>
              <w:jc w:val="left"/>
            </w:pPr>
            <w:r w:rsidRPr="009841AB">
              <w:t xml:space="preserve">Lūdzam skatīt </w:t>
            </w:r>
            <w:proofErr w:type="spellStart"/>
            <w:r w:rsidRPr="009841AB">
              <w:t>apakšsadaļu</w:t>
            </w:r>
            <w:proofErr w:type="spellEnd"/>
            <w:r w:rsidRPr="009841AB">
              <w:t xml:space="preserve"> 4.4.5.1.</w:t>
            </w:r>
          </w:p>
        </w:tc>
      </w:tr>
      <w:tr w:rsidR="003B26DC" w:rsidRPr="009841AB" w14:paraId="7399A33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6D2C5F7" w14:textId="77777777" w:rsidR="003B26DC" w:rsidRPr="009841AB" w:rsidRDefault="003B26DC" w:rsidP="003B26DC">
            <w:pPr>
              <w:pStyle w:val="naisc"/>
              <w:spacing w:before="0" w:after="0"/>
            </w:pPr>
            <w:r w:rsidRPr="009841AB">
              <w:t>2</w:t>
            </w:r>
            <w:r w:rsidR="007C69E0">
              <w:t>57</w:t>
            </w:r>
          </w:p>
        </w:tc>
        <w:tc>
          <w:tcPr>
            <w:tcW w:w="2427" w:type="dxa"/>
            <w:tcBorders>
              <w:left w:val="single" w:sz="6" w:space="0" w:color="000000" w:themeColor="text1"/>
              <w:bottom w:val="single" w:sz="4" w:space="0" w:color="auto"/>
            </w:tcBorders>
            <w:shd w:val="clear" w:color="auto" w:fill="auto"/>
          </w:tcPr>
          <w:p w14:paraId="7F014CC6" w14:textId="77777777" w:rsidR="003B26DC" w:rsidRPr="009841AB" w:rsidRDefault="003B26DC" w:rsidP="003B26D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FEB4309" w14:textId="77777777" w:rsidR="003B26DC" w:rsidRPr="009841AB" w:rsidRDefault="003B26DC" w:rsidP="003B26DC">
            <w:pPr>
              <w:tabs>
                <w:tab w:val="left" w:pos="426"/>
              </w:tabs>
              <w:spacing w:after="160" w:line="252" w:lineRule="auto"/>
              <w:contextualSpacing/>
              <w:jc w:val="both"/>
              <w:rPr>
                <w:rFonts w:eastAsia="Calibri"/>
                <w:lang w:eastAsia="en-US"/>
              </w:rPr>
            </w:pPr>
            <w:r w:rsidRPr="009841AB">
              <w:rPr>
                <w:rFonts w:eastAsia="Calibri"/>
                <w:lang w:eastAsia="en-US"/>
              </w:rPr>
              <w:t xml:space="preserve">5. Lūdzam papildināt pamatnostādņu 4.4.apakšsadaļas 4.4.5.1. Rīcības </w:t>
            </w:r>
            <w:proofErr w:type="spellStart"/>
            <w:r w:rsidRPr="009841AB">
              <w:rPr>
                <w:rFonts w:eastAsia="Calibri"/>
                <w:lang w:eastAsia="en-US"/>
              </w:rPr>
              <w:t>apakšvirziena</w:t>
            </w:r>
            <w:proofErr w:type="spellEnd"/>
            <w:r w:rsidRPr="009841AB">
              <w:rPr>
                <w:rFonts w:eastAsia="Calibri"/>
                <w:lang w:eastAsia="en-US"/>
              </w:rPr>
              <w:t xml:space="preserve"> “Izmeklēšanas un tiesvedības procesa tālāka </w:t>
            </w:r>
            <w:proofErr w:type="spellStart"/>
            <w:r w:rsidRPr="009841AB">
              <w:rPr>
                <w:rFonts w:eastAsia="Calibri"/>
                <w:lang w:eastAsia="en-US"/>
              </w:rPr>
              <w:t>digitalizācija</w:t>
            </w:r>
            <w:proofErr w:type="spellEnd"/>
            <w:r w:rsidRPr="009841AB">
              <w:rPr>
                <w:rFonts w:eastAsia="Calibri"/>
                <w:lang w:eastAsia="en-US"/>
              </w:rPr>
              <w:t>” Esošās situācijas aprakstu ar jaunu 8.un 9.punktu šādā redakcijā:</w:t>
            </w:r>
          </w:p>
          <w:p w14:paraId="2F779AE5" w14:textId="77777777" w:rsidR="003B26DC" w:rsidRPr="009841AB" w:rsidRDefault="003B26DC" w:rsidP="003B26DC">
            <w:pPr>
              <w:tabs>
                <w:tab w:val="left" w:pos="709"/>
              </w:tabs>
              <w:spacing w:after="160" w:line="252" w:lineRule="auto"/>
              <w:ind w:firstLine="426"/>
              <w:contextualSpacing/>
              <w:jc w:val="both"/>
              <w:rPr>
                <w:rFonts w:eastAsia="Calibri"/>
                <w:i/>
                <w:lang w:eastAsia="en-US"/>
              </w:rPr>
            </w:pPr>
            <w:r w:rsidRPr="009841AB">
              <w:rPr>
                <w:rFonts w:eastAsia="Calibri"/>
                <w:i/>
                <w:lang w:eastAsia="en-US"/>
              </w:rPr>
              <w:t>“8. E-lietas izveides plānošanas un izstrādes dokumenta nepieciešamība, izstrādes dokumentā būtu atspoguļojams projekta aktivitātes, katras iesaistītās izmeklēšanas iestādes nepieciešamās darbības un finansējums.</w:t>
            </w:r>
          </w:p>
          <w:p w14:paraId="1A7E08F4" w14:textId="77777777" w:rsidR="003B26DC" w:rsidRPr="009841AB" w:rsidRDefault="003B26DC" w:rsidP="003B26DC">
            <w:pPr>
              <w:tabs>
                <w:tab w:val="left" w:pos="709"/>
              </w:tabs>
              <w:spacing w:after="160" w:line="252" w:lineRule="auto"/>
              <w:ind w:firstLine="426"/>
              <w:contextualSpacing/>
              <w:jc w:val="both"/>
              <w:rPr>
                <w:rFonts w:eastAsia="Calibri"/>
                <w:lang w:eastAsia="en-US"/>
              </w:rPr>
            </w:pPr>
            <w:r w:rsidRPr="009841AB">
              <w:rPr>
                <w:rFonts w:eastAsia="Calibri"/>
                <w:i/>
                <w:lang w:eastAsia="en-US"/>
              </w:rPr>
              <w:t>9. Izmeklēšanas iestāžu – kā tiešo E-lietas lietotāju neiesaistīšana projekta izstrādē.”.</w:t>
            </w:r>
          </w:p>
        </w:tc>
        <w:tc>
          <w:tcPr>
            <w:tcW w:w="2480" w:type="dxa"/>
            <w:tcBorders>
              <w:left w:val="single" w:sz="6" w:space="0" w:color="000000" w:themeColor="text1"/>
              <w:bottom w:val="single" w:sz="4" w:space="0" w:color="auto"/>
            </w:tcBorders>
            <w:shd w:val="clear" w:color="auto" w:fill="auto"/>
          </w:tcPr>
          <w:p w14:paraId="104B5037" w14:textId="77777777" w:rsidR="008A2A01" w:rsidRDefault="008A2A01" w:rsidP="008A2A01">
            <w:pPr>
              <w:pStyle w:val="naisc"/>
              <w:jc w:val="both"/>
              <w:rPr>
                <w:b/>
                <w:bCs/>
              </w:rPr>
            </w:pPr>
            <w:r>
              <w:rPr>
                <w:b/>
                <w:bCs/>
              </w:rPr>
              <w:t>Panākta vienošanās</w:t>
            </w:r>
          </w:p>
          <w:p w14:paraId="1D896576" w14:textId="77777777" w:rsidR="00B336F4" w:rsidRPr="009841AB" w:rsidRDefault="00B336F4" w:rsidP="003B26DC">
            <w:pPr>
              <w:pStyle w:val="naisc"/>
              <w:spacing w:before="0" w:after="0"/>
              <w:jc w:val="left"/>
            </w:pPr>
            <w:r w:rsidRPr="009841AB">
              <w:t xml:space="preserve">9.  Problēma ir novērsta. Īstenojot </w:t>
            </w:r>
            <w:proofErr w:type="spellStart"/>
            <w:r w:rsidRPr="009841AB">
              <w:t>Iekšlietas</w:t>
            </w:r>
            <w:proofErr w:type="spellEnd"/>
            <w:r w:rsidRPr="009841AB">
              <w:t xml:space="preserve"> ministrijas Informācijas centra projektu "Jaunās paaudzes Integrētā </w:t>
            </w:r>
            <w:proofErr w:type="spellStart"/>
            <w:r w:rsidRPr="009841AB">
              <w:t>Iekšlietu</w:t>
            </w:r>
            <w:proofErr w:type="spellEnd"/>
            <w:r w:rsidRPr="009841AB">
              <w:t xml:space="preserve"> ministrijas informācijas sistēma IIIS2 (id.Nr.2.2.1.1/19/I/010 izmeklēšanas iestādes ir iesaistītas E-lietas programmā un tā īstenošanā ir cieša sadarbība ar TM</w:t>
            </w:r>
          </w:p>
        </w:tc>
        <w:tc>
          <w:tcPr>
            <w:tcW w:w="3497" w:type="dxa"/>
            <w:tcBorders>
              <w:left w:val="single" w:sz="6" w:space="0" w:color="000000" w:themeColor="text1"/>
              <w:bottom w:val="single" w:sz="4" w:space="0" w:color="auto"/>
            </w:tcBorders>
            <w:shd w:val="clear" w:color="auto" w:fill="auto"/>
          </w:tcPr>
          <w:p w14:paraId="3B06167E" w14:textId="77777777" w:rsidR="003B26DC" w:rsidRPr="009841AB" w:rsidRDefault="00B336F4" w:rsidP="003B26DC">
            <w:pPr>
              <w:pStyle w:val="naisc"/>
              <w:spacing w:before="0" w:after="0"/>
              <w:jc w:val="both"/>
            </w:pPr>
            <w:r w:rsidRPr="009841AB">
              <w:t xml:space="preserve">“E-lietas projektu programmas 1.posma darbības ir atspoguļotas projektu aprakstos un Vienošanās ar CFLA. Tomēr piekrītam, ka nav dokumentācija, kas ietver visas E-lietas programmas ietvaros līdz šim iesaistītās informācijas sistēmas un finansējumu. Papildus, lai novērstu informācijas sadrumstalotību, turpinot attīstīt E-lietas programmā iesaistītās informācijas sistēmas, ir  tiks izstrādāts aktualizēts arhitektūras dokuments, kas  t.sk. ietvertu apkopojošu informāciju par katras iestādes darbībām un finansējumu. Papildināts ar 8.punktu, kas izteikts šādā redakcijā "E-lietas izveides </w:t>
            </w:r>
            <w:proofErr w:type="spellStart"/>
            <w:r w:rsidRPr="009841AB">
              <w:t>olānošanas</w:t>
            </w:r>
            <w:proofErr w:type="spellEnd"/>
            <w:r w:rsidRPr="009841AB">
              <w:t xml:space="preserve"> un izstrādes </w:t>
            </w:r>
            <w:r w:rsidRPr="009841AB">
              <w:lastRenderedPageBreak/>
              <w:t>dokumentācijas nepieciešamība atspoguļojot visus programmas ietvaros īstenotos projektus un darbības un to finansējumu"</w:t>
            </w:r>
          </w:p>
        </w:tc>
      </w:tr>
      <w:tr w:rsidR="003B26DC" w:rsidRPr="009841AB" w14:paraId="566B252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8171460" w14:textId="77777777" w:rsidR="003B26DC" w:rsidRPr="009841AB" w:rsidRDefault="003B26DC" w:rsidP="003B26DC">
            <w:pPr>
              <w:pStyle w:val="naisc"/>
              <w:spacing w:before="0" w:after="0"/>
            </w:pPr>
            <w:r w:rsidRPr="009841AB">
              <w:lastRenderedPageBreak/>
              <w:t>2</w:t>
            </w:r>
            <w:r w:rsidR="007C69E0">
              <w:t>58</w:t>
            </w:r>
          </w:p>
        </w:tc>
        <w:tc>
          <w:tcPr>
            <w:tcW w:w="2427" w:type="dxa"/>
            <w:tcBorders>
              <w:left w:val="single" w:sz="6" w:space="0" w:color="000000" w:themeColor="text1"/>
              <w:bottom w:val="single" w:sz="4" w:space="0" w:color="auto"/>
            </w:tcBorders>
            <w:shd w:val="clear" w:color="auto" w:fill="auto"/>
          </w:tcPr>
          <w:p w14:paraId="587584E9" w14:textId="77777777" w:rsidR="003B26DC" w:rsidRPr="009841AB" w:rsidRDefault="003B26DC" w:rsidP="003B26D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F78B6E9" w14:textId="77777777" w:rsidR="003B26DC" w:rsidRPr="009841AB" w:rsidRDefault="003B26DC" w:rsidP="003B26DC">
            <w:pPr>
              <w:tabs>
                <w:tab w:val="left" w:pos="709"/>
              </w:tabs>
              <w:spacing w:after="160" w:line="252" w:lineRule="auto"/>
              <w:contextualSpacing/>
              <w:jc w:val="both"/>
              <w:rPr>
                <w:rFonts w:eastAsia="Calibri"/>
                <w:lang w:eastAsia="en-US"/>
              </w:rPr>
            </w:pPr>
            <w:r w:rsidRPr="009841AB">
              <w:rPr>
                <w:rFonts w:eastAsia="Calibri"/>
                <w:lang w:eastAsia="en-US"/>
              </w:rPr>
              <w:t xml:space="preserve">6. Lūdzam pamatnostādņu projekta 4.4.apakšsadaļas 4.4.5.1. Rīcības </w:t>
            </w:r>
            <w:proofErr w:type="spellStart"/>
            <w:r w:rsidRPr="009841AB">
              <w:rPr>
                <w:rFonts w:eastAsia="Calibri"/>
                <w:lang w:eastAsia="en-US"/>
              </w:rPr>
              <w:t>apakšvirziena</w:t>
            </w:r>
            <w:proofErr w:type="spellEnd"/>
            <w:r w:rsidRPr="009841AB">
              <w:rPr>
                <w:rFonts w:eastAsia="Calibri"/>
                <w:lang w:eastAsia="en-US"/>
              </w:rPr>
              <w:t xml:space="preserve"> “Izmeklēšanas un tiesvedības procesa tālāka </w:t>
            </w:r>
            <w:proofErr w:type="spellStart"/>
            <w:r w:rsidRPr="009841AB">
              <w:rPr>
                <w:rFonts w:eastAsia="Calibri"/>
                <w:lang w:eastAsia="en-US"/>
              </w:rPr>
              <w:t>digitalizācija</w:t>
            </w:r>
            <w:proofErr w:type="spellEnd"/>
            <w:r w:rsidRPr="009841AB">
              <w:rPr>
                <w:rFonts w:eastAsia="Calibri"/>
                <w:lang w:eastAsia="en-US"/>
              </w:rPr>
              <w:t xml:space="preserve">” Nepieciešamās rīcības apraksta 2.punktā iekļauto punktu </w:t>
            </w:r>
            <w:r w:rsidRPr="009841AB">
              <w:rPr>
                <w:rFonts w:eastAsia="Calibri"/>
                <w:i/>
                <w:lang w:eastAsia="en-US"/>
              </w:rPr>
              <w:t>“e-lietas datu analīzes sistēmas izveide un ieviešana, pamatdarbības procesu sasaiste ar automatizācijas risinājumiem;”</w:t>
            </w:r>
            <w:r w:rsidRPr="009841AB">
              <w:rPr>
                <w:rFonts w:eastAsia="Calibri"/>
                <w:lang w:eastAsia="en-US"/>
              </w:rPr>
              <w:t xml:space="preserve"> izteikt  šādā redakcijā:</w:t>
            </w:r>
          </w:p>
          <w:p w14:paraId="450DE16F" w14:textId="77777777" w:rsidR="003B26DC" w:rsidRPr="009841AB" w:rsidRDefault="003B26DC" w:rsidP="003B26DC">
            <w:pPr>
              <w:tabs>
                <w:tab w:val="left" w:pos="709"/>
              </w:tabs>
              <w:spacing w:after="160" w:line="252" w:lineRule="auto"/>
              <w:ind w:left="142" w:firstLine="284"/>
              <w:contextualSpacing/>
              <w:jc w:val="both"/>
              <w:rPr>
                <w:rFonts w:eastAsia="Calibri"/>
                <w:i/>
                <w:lang w:eastAsia="en-US"/>
              </w:rPr>
            </w:pPr>
            <w:r w:rsidRPr="009841AB">
              <w:rPr>
                <w:rFonts w:eastAsia="Calibri"/>
                <w:i/>
                <w:lang w:eastAsia="en-US"/>
              </w:rPr>
              <w:t>“e-lietas datu analīzes sistēmas izveide un ieviešana, pamatdarbības procesu sasaiste ar automatizācijas risinājumiem un automatizācija ar izmeklēšanas iestāžu rīcībā esošajām sistēmām;”</w:t>
            </w:r>
            <w:r w:rsidRPr="009841AB">
              <w:rPr>
                <w:rFonts w:eastAsia="Calibri"/>
                <w:lang w:eastAsia="en-US"/>
              </w:rPr>
              <w:t>.</w:t>
            </w:r>
          </w:p>
        </w:tc>
        <w:tc>
          <w:tcPr>
            <w:tcW w:w="2480" w:type="dxa"/>
            <w:tcBorders>
              <w:left w:val="single" w:sz="6" w:space="0" w:color="000000" w:themeColor="text1"/>
              <w:bottom w:val="single" w:sz="4" w:space="0" w:color="auto"/>
            </w:tcBorders>
            <w:shd w:val="clear" w:color="auto" w:fill="auto"/>
          </w:tcPr>
          <w:p w14:paraId="408E4288" w14:textId="77777777" w:rsidR="003B26DC" w:rsidRPr="009841AB" w:rsidRDefault="00B336F4" w:rsidP="003B26DC">
            <w:pPr>
              <w:pStyle w:val="naisc"/>
              <w:spacing w:before="0" w:after="0"/>
              <w:jc w:val="left"/>
              <w:rPr>
                <w:b/>
                <w:bCs/>
              </w:rPr>
            </w:pPr>
            <w:r w:rsidRPr="009841AB">
              <w:rPr>
                <w:b/>
              </w:rPr>
              <w:t>Ņemts vērā</w:t>
            </w:r>
          </w:p>
        </w:tc>
        <w:tc>
          <w:tcPr>
            <w:tcW w:w="3497" w:type="dxa"/>
            <w:tcBorders>
              <w:left w:val="single" w:sz="6" w:space="0" w:color="000000" w:themeColor="text1"/>
              <w:bottom w:val="single" w:sz="4" w:space="0" w:color="auto"/>
            </w:tcBorders>
            <w:shd w:val="clear" w:color="auto" w:fill="auto"/>
          </w:tcPr>
          <w:p w14:paraId="2C9B21C4" w14:textId="77777777" w:rsidR="003B26DC" w:rsidRPr="009841AB" w:rsidRDefault="00B336F4" w:rsidP="00B336F4">
            <w:pPr>
              <w:pStyle w:val="naisc"/>
              <w:spacing w:before="0" w:after="0"/>
              <w:jc w:val="left"/>
            </w:pPr>
            <w:r w:rsidRPr="009841AB">
              <w:t xml:space="preserve">Lūdzam skatīt </w:t>
            </w:r>
            <w:proofErr w:type="spellStart"/>
            <w:r w:rsidRPr="009841AB">
              <w:t>apakšsadaļu</w:t>
            </w:r>
            <w:proofErr w:type="spellEnd"/>
            <w:r w:rsidRPr="009841AB">
              <w:t xml:space="preserve"> 4.4.5.1.</w:t>
            </w:r>
          </w:p>
        </w:tc>
      </w:tr>
      <w:tr w:rsidR="00B336F4" w:rsidRPr="009841AB" w14:paraId="7DAC772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77E52C4" w14:textId="77777777" w:rsidR="00B336F4" w:rsidRPr="009841AB" w:rsidRDefault="00B336F4" w:rsidP="00B336F4">
            <w:pPr>
              <w:pStyle w:val="naisc"/>
              <w:spacing w:before="0" w:after="0"/>
            </w:pPr>
            <w:r w:rsidRPr="009841AB">
              <w:t>2</w:t>
            </w:r>
            <w:r w:rsidR="007C69E0">
              <w:t>59</w:t>
            </w:r>
          </w:p>
        </w:tc>
        <w:tc>
          <w:tcPr>
            <w:tcW w:w="2427" w:type="dxa"/>
            <w:tcBorders>
              <w:left w:val="single" w:sz="6" w:space="0" w:color="000000" w:themeColor="text1"/>
              <w:bottom w:val="single" w:sz="4" w:space="0" w:color="auto"/>
            </w:tcBorders>
            <w:shd w:val="clear" w:color="auto" w:fill="auto"/>
          </w:tcPr>
          <w:p w14:paraId="743A091C" w14:textId="77777777" w:rsidR="00B336F4" w:rsidRPr="009841AB" w:rsidRDefault="00B336F4" w:rsidP="00B336F4">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17C6431" w14:textId="77777777" w:rsidR="00B336F4" w:rsidRPr="009841AB" w:rsidRDefault="00B336F4" w:rsidP="00B336F4">
            <w:pPr>
              <w:tabs>
                <w:tab w:val="left" w:pos="709"/>
              </w:tabs>
              <w:spacing w:after="160" w:line="252" w:lineRule="auto"/>
              <w:contextualSpacing/>
              <w:jc w:val="both"/>
              <w:rPr>
                <w:rFonts w:eastAsia="Calibri"/>
                <w:lang w:eastAsia="en-US"/>
              </w:rPr>
            </w:pPr>
            <w:r w:rsidRPr="009841AB">
              <w:rPr>
                <w:rFonts w:eastAsia="Calibri"/>
                <w:lang w:eastAsia="en-US"/>
              </w:rPr>
              <w:t xml:space="preserve">7. Lūdzam papildināt pamatnostādņu projekta 4.4.apakšsadaļas 4.4.5.1. Rīcības </w:t>
            </w:r>
            <w:proofErr w:type="spellStart"/>
            <w:r w:rsidRPr="009841AB">
              <w:rPr>
                <w:rFonts w:eastAsia="Calibri"/>
                <w:lang w:eastAsia="en-US"/>
              </w:rPr>
              <w:t>apakšvirziena</w:t>
            </w:r>
            <w:proofErr w:type="spellEnd"/>
            <w:r w:rsidRPr="009841AB">
              <w:rPr>
                <w:rFonts w:eastAsia="Calibri"/>
                <w:lang w:eastAsia="en-US"/>
              </w:rPr>
              <w:t xml:space="preserve"> “Izmeklēšanas un tiesvedības procesa tālāka </w:t>
            </w:r>
            <w:proofErr w:type="spellStart"/>
            <w:r w:rsidRPr="009841AB">
              <w:rPr>
                <w:rFonts w:eastAsia="Calibri"/>
                <w:lang w:eastAsia="en-US"/>
              </w:rPr>
              <w:t>digitalizācija</w:t>
            </w:r>
            <w:proofErr w:type="spellEnd"/>
            <w:r w:rsidRPr="009841AB">
              <w:rPr>
                <w:rFonts w:eastAsia="Calibri"/>
                <w:lang w:eastAsia="en-US"/>
              </w:rPr>
              <w:t>” Nepieciešamās rīcības apraksta 6.un 7.punktu šādā redakcijā:</w:t>
            </w:r>
          </w:p>
          <w:p w14:paraId="4C1C90BB" w14:textId="77777777" w:rsidR="00B336F4" w:rsidRPr="009841AB" w:rsidRDefault="00B336F4" w:rsidP="00B336F4">
            <w:pPr>
              <w:tabs>
                <w:tab w:val="left" w:pos="709"/>
              </w:tabs>
              <w:spacing w:after="160" w:line="252" w:lineRule="auto"/>
              <w:ind w:firstLine="426"/>
              <w:contextualSpacing/>
              <w:jc w:val="both"/>
              <w:rPr>
                <w:rFonts w:eastAsia="Calibri"/>
                <w:i/>
                <w:lang w:eastAsia="en-US"/>
              </w:rPr>
            </w:pPr>
            <w:r w:rsidRPr="009841AB">
              <w:rPr>
                <w:rFonts w:eastAsia="Calibri"/>
                <w:i/>
                <w:lang w:eastAsia="en-US"/>
              </w:rPr>
              <w:t>“6.Izvērtēt risinājumus automatizētai e-lietas portāla datu nodošanai (t.sk., komersantu IS (apdrošināšanas IS, izmeklēšanas iestāžu lietošanā esošajām sistēmām)).</w:t>
            </w:r>
          </w:p>
          <w:p w14:paraId="7EE9232E" w14:textId="77777777" w:rsidR="00B336F4" w:rsidRPr="009841AB" w:rsidRDefault="00B336F4" w:rsidP="00B336F4">
            <w:pPr>
              <w:tabs>
                <w:tab w:val="left" w:pos="709"/>
              </w:tabs>
              <w:spacing w:after="160" w:line="252" w:lineRule="auto"/>
              <w:ind w:firstLine="426"/>
              <w:contextualSpacing/>
              <w:jc w:val="both"/>
              <w:rPr>
                <w:rFonts w:eastAsia="Calibri"/>
                <w:i/>
                <w:lang w:eastAsia="en-US"/>
              </w:rPr>
            </w:pPr>
            <w:r w:rsidRPr="009841AB">
              <w:rPr>
                <w:rFonts w:eastAsia="Calibri"/>
                <w:i/>
                <w:lang w:eastAsia="en-US"/>
              </w:rPr>
              <w:t>7. E-lietas programmas nacionāla līmeņa pārraudzība.</w:t>
            </w:r>
          </w:p>
          <w:p w14:paraId="50F7A654" w14:textId="77777777" w:rsidR="00B336F4" w:rsidRPr="009841AB" w:rsidRDefault="00B336F4" w:rsidP="00B336F4">
            <w:pPr>
              <w:tabs>
                <w:tab w:val="left" w:pos="709"/>
              </w:tabs>
              <w:spacing w:after="160" w:line="252" w:lineRule="auto"/>
              <w:ind w:firstLine="426"/>
              <w:contextualSpacing/>
              <w:jc w:val="both"/>
              <w:rPr>
                <w:rFonts w:eastAsia="Calibri"/>
                <w:i/>
                <w:lang w:eastAsia="en-US"/>
              </w:rPr>
            </w:pPr>
            <w:r w:rsidRPr="009841AB">
              <w:rPr>
                <w:rFonts w:eastAsia="Calibri"/>
                <w:i/>
                <w:lang w:eastAsia="en-US"/>
              </w:rPr>
              <w:t xml:space="preserve">Ieviest pārraudzības un uzraudzības sistēmu, nosakot atbildīgo par E-lietas ieviešanu, iesaistot iemeklēšanas iestādes. Nacionāla līmeņa uzraudzības padome e-lietas procesa tālākas attīstības virzīšanai un uzraudzībai – informācijas sabiedrības attīstības/digitālās transformācijas uzraudzības </w:t>
            </w:r>
            <w:r w:rsidRPr="009841AB">
              <w:rPr>
                <w:rFonts w:eastAsia="Calibri"/>
                <w:i/>
                <w:lang w:eastAsia="en-US"/>
              </w:rPr>
              <w:lastRenderedPageBreak/>
              <w:t>padome (augstākais līmenis) un zemāka līmeņa uzraudzības padomes.”.</w:t>
            </w:r>
          </w:p>
        </w:tc>
        <w:tc>
          <w:tcPr>
            <w:tcW w:w="2480" w:type="dxa"/>
            <w:tcBorders>
              <w:left w:val="single" w:sz="6" w:space="0" w:color="000000" w:themeColor="text1"/>
              <w:bottom w:val="single" w:sz="4" w:space="0" w:color="auto"/>
            </w:tcBorders>
            <w:shd w:val="clear" w:color="auto" w:fill="auto"/>
          </w:tcPr>
          <w:p w14:paraId="47B4BFDA" w14:textId="77777777" w:rsidR="00B336F4" w:rsidRPr="009841AB" w:rsidRDefault="00B336F4" w:rsidP="00B336F4">
            <w:pPr>
              <w:pStyle w:val="naisc"/>
              <w:spacing w:before="0" w:after="0"/>
              <w:jc w:val="left"/>
              <w:rPr>
                <w:b/>
                <w:bCs/>
              </w:rPr>
            </w:pPr>
            <w:r w:rsidRPr="009841AB">
              <w:rPr>
                <w:b/>
              </w:rPr>
              <w:lastRenderedPageBreak/>
              <w:t>Ņemts vērā</w:t>
            </w:r>
          </w:p>
        </w:tc>
        <w:tc>
          <w:tcPr>
            <w:tcW w:w="3497" w:type="dxa"/>
            <w:tcBorders>
              <w:left w:val="single" w:sz="6" w:space="0" w:color="000000" w:themeColor="text1"/>
              <w:bottom w:val="single" w:sz="4" w:space="0" w:color="auto"/>
            </w:tcBorders>
            <w:shd w:val="clear" w:color="auto" w:fill="auto"/>
          </w:tcPr>
          <w:p w14:paraId="7C30F824" w14:textId="77777777" w:rsidR="00B336F4" w:rsidRPr="009841AB" w:rsidRDefault="00B336F4" w:rsidP="00B336F4">
            <w:pPr>
              <w:pStyle w:val="naisc"/>
              <w:spacing w:before="0" w:after="0"/>
              <w:jc w:val="left"/>
            </w:pPr>
            <w:r w:rsidRPr="009841AB">
              <w:t xml:space="preserve">Lūdzam skatīt </w:t>
            </w:r>
            <w:proofErr w:type="spellStart"/>
            <w:r w:rsidRPr="009841AB">
              <w:t>apakšsadaļu</w:t>
            </w:r>
            <w:proofErr w:type="spellEnd"/>
            <w:r w:rsidRPr="009841AB">
              <w:t xml:space="preserve"> 4.4.5.1.</w:t>
            </w:r>
          </w:p>
        </w:tc>
      </w:tr>
      <w:tr w:rsidR="00454F8D" w:rsidRPr="009841AB" w14:paraId="483B0B6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C634F82" w14:textId="77777777" w:rsidR="00454F8D" w:rsidRPr="009841AB" w:rsidRDefault="00454F8D" w:rsidP="00454F8D">
            <w:pPr>
              <w:pStyle w:val="naisc"/>
              <w:spacing w:before="0" w:after="0"/>
            </w:pPr>
            <w:r w:rsidRPr="009841AB">
              <w:t>2</w:t>
            </w:r>
            <w:r w:rsidR="007C69E0">
              <w:t>60</w:t>
            </w:r>
          </w:p>
        </w:tc>
        <w:tc>
          <w:tcPr>
            <w:tcW w:w="2427" w:type="dxa"/>
            <w:tcBorders>
              <w:left w:val="single" w:sz="6" w:space="0" w:color="000000" w:themeColor="text1"/>
              <w:bottom w:val="single" w:sz="4" w:space="0" w:color="auto"/>
            </w:tcBorders>
            <w:shd w:val="clear" w:color="auto" w:fill="auto"/>
          </w:tcPr>
          <w:p w14:paraId="68EE0750" w14:textId="77777777" w:rsidR="00454F8D" w:rsidRPr="009841AB" w:rsidRDefault="00454F8D" w:rsidP="00454F8D">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E9B8725" w14:textId="77777777" w:rsidR="00454F8D" w:rsidRPr="009841AB" w:rsidRDefault="00454F8D" w:rsidP="00454F8D">
            <w:pPr>
              <w:tabs>
                <w:tab w:val="left" w:pos="709"/>
              </w:tabs>
              <w:spacing w:after="160" w:line="252" w:lineRule="auto"/>
              <w:contextualSpacing/>
              <w:jc w:val="both"/>
              <w:rPr>
                <w:rFonts w:eastAsia="Calibri"/>
                <w:lang w:eastAsia="en-US"/>
              </w:rPr>
            </w:pPr>
            <w:r w:rsidRPr="009841AB">
              <w:rPr>
                <w:rFonts w:eastAsia="Calibri"/>
                <w:lang w:eastAsia="en-US"/>
              </w:rPr>
              <w:t xml:space="preserve">8. Lūdzam papildināt pamatnostādņu projekta 4.4.apakšsadaļas 4.4.5.1. Rīcības </w:t>
            </w:r>
            <w:proofErr w:type="spellStart"/>
            <w:r w:rsidRPr="009841AB">
              <w:rPr>
                <w:rFonts w:eastAsia="Calibri"/>
                <w:lang w:eastAsia="en-US"/>
              </w:rPr>
              <w:t>apakšvirziena</w:t>
            </w:r>
            <w:proofErr w:type="spellEnd"/>
            <w:r w:rsidRPr="009841AB">
              <w:rPr>
                <w:rFonts w:eastAsia="Calibri"/>
                <w:lang w:eastAsia="en-US"/>
              </w:rPr>
              <w:t xml:space="preserve"> “Izmeklēšanas un tiesvedības procesa tālāka </w:t>
            </w:r>
            <w:proofErr w:type="spellStart"/>
            <w:r w:rsidRPr="009841AB">
              <w:rPr>
                <w:rFonts w:eastAsia="Calibri"/>
                <w:lang w:eastAsia="en-US"/>
              </w:rPr>
              <w:t>digitalizācija</w:t>
            </w:r>
            <w:proofErr w:type="spellEnd"/>
            <w:r w:rsidRPr="009841AB">
              <w:rPr>
                <w:rFonts w:eastAsia="Calibri"/>
                <w:lang w:eastAsia="en-US"/>
              </w:rPr>
              <w:t>” Nepieciešamās rīcības aprakstu ar jaunu punktu šādā redakcijā:</w:t>
            </w:r>
          </w:p>
          <w:p w14:paraId="7F9C4C50" w14:textId="77777777" w:rsidR="00454F8D" w:rsidRPr="009841AB" w:rsidRDefault="00454F8D" w:rsidP="00454F8D">
            <w:pPr>
              <w:ind w:right="12"/>
              <w:jc w:val="both"/>
            </w:pPr>
            <w:r w:rsidRPr="009841AB">
              <w:rPr>
                <w:rFonts w:eastAsia="Calibri"/>
                <w:i/>
                <w:lang w:eastAsia="en-US"/>
              </w:rPr>
              <w:t>“11. Apzināt, kādas informācijas sistēmas lieto izmeklēšanas iestādes pamatdarbības nodrošināšanai un to savietojamību ar E-lietu, lai netiktu ierobežota izmeklēšanas iestāžu analītiskā un statistiskā kapacitāte un papildus nepieciešamo finansējumu.”</w:t>
            </w:r>
          </w:p>
        </w:tc>
        <w:tc>
          <w:tcPr>
            <w:tcW w:w="2480" w:type="dxa"/>
            <w:tcBorders>
              <w:left w:val="single" w:sz="6" w:space="0" w:color="000000" w:themeColor="text1"/>
              <w:bottom w:val="single" w:sz="4" w:space="0" w:color="auto"/>
            </w:tcBorders>
            <w:shd w:val="clear" w:color="auto" w:fill="auto"/>
          </w:tcPr>
          <w:p w14:paraId="2A2889E8" w14:textId="77777777" w:rsidR="00454F8D" w:rsidRPr="009841AB" w:rsidRDefault="00454F8D" w:rsidP="00454F8D">
            <w:pPr>
              <w:pStyle w:val="naisc"/>
              <w:spacing w:before="0" w:after="0"/>
              <w:jc w:val="left"/>
              <w:rPr>
                <w:b/>
                <w:bCs/>
              </w:rPr>
            </w:pPr>
            <w:r w:rsidRPr="009841AB">
              <w:rPr>
                <w:b/>
              </w:rPr>
              <w:t>Ņemts vērā</w:t>
            </w:r>
          </w:p>
        </w:tc>
        <w:tc>
          <w:tcPr>
            <w:tcW w:w="3497" w:type="dxa"/>
            <w:tcBorders>
              <w:left w:val="single" w:sz="6" w:space="0" w:color="000000" w:themeColor="text1"/>
              <w:bottom w:val="single" w:sz="4" w:space="0" w:color="auto"/>
            </w:tcBorders>
            <w:shd w:val="clear" w:color="auto" w:fill="auto"/>
          </w:tcPr>
          <w:p w14:paraId="703F5209" w14:textId="77777777" w:rsidR="00454F8D" w:rsidRPr="009841AB" w:rsidRDefault="00454F8D" w:rsidP="00454F8D">
            <w:pPr>
              <w:pStyle w:val="naisc"/>
              <w:spacing w:before="0" w:after="0"/>
              <w:jc w:val="left"/>
            </w:pPr>
            <w:r w:rsidRPr="009841AB">
              <w:t xml:space="preserve">Lūdzam skatīt </w:t>
            </w:r>
            <w:proofErr w:type="spellStart"/>
            <w:r w:rsidRPr="009841AB">
              <w:t>apakšsadaļu</w:t>
            </w:r>
            <w:proofErr w:type="spellEnd"/>
            <w:r w:rsidRPr="009841AB">
              <w:t xml:space="preserve"> 4.4.5.1.</w:t>
            </w:r>
          </w:p>
        </w:tc>
      </w:tr>
      <w:tr w:rsidR="00421AC9" w:rsidRPr="009841AB" w14:paraId="5C10634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C31F44B" w14:textId="77777777" w:rsidR="00421AC9" w:rsidRPr="009841AB" w:rsidRDefault="00421AC9" w:rsidP="00421AC9">
            <w:pPr>
              <w:pStyle w:val="naisc"/>
              <w:spacing w:before="0" w:after="0"/>
            </w:pPr>
            <w:r w:rsidRPr="009841AB">
              <w:t>2</w:t>
            </w:r>
            <w:r w:rsidR="002A5129">
              <w:t>61</w:t>
            </w:r>
          </w:p>
        </w:tc>
        <w:tc>
          <w:tcPr>
            <w:tcW w:w="2427" w:type="dxa"/>
            <w:tcBorders>
              <w:left w:val="single" w:sz="6" w:space="0" w:color="000000" w:themeColor="text1"/>
              <w:bottom w:val="single" w:sz="4" w:space="0" w:color="auto"/>
            </w:tcBorders>
            <w:shd w:val="clear" w:color="auto" w:fill="auto"/>
          </w:tcPr>
          <w:p w14:paraId="4375B4B7" w14:textId="77777777" w:rsidR="00421AC9" w:rsidRPr="009841AB" w:rsidRDefault="00421AC9" w:rsidP="00421AC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5A2B7A9" w14:textId="77777777" w:rsidR="00421AC9" w:rsidRPr="009841AB" w:rsidRDefault="00421AC9" w:rsidP="00421AC9">
            <w:pPr>
              <w:tabs>
                <w:tab w:val="left" w:pos="709"/>
              </w:tabs>
              <w:spacing w:after="160" w:line="252" w:lineRule="auto"/>
              <w:contextualSpacing/>
              <w:jc w:val="both"/>
              <w:rPr>
                <w:rFonts w:eastAsia="Calibri"/>
                <w:lang w:eastAsia="en-US"/>
              </w:rPr>
            </w:pPr>
            <w:r w:rsidRPr="009841AB">
              <w:rPr>
                <w:rFonts w:eastAsia="Calibri"/>
                <w:lang w:eastAsia="en-US"/>
              </w:rPr>
              <w:t xml:space="preserve">9. Lūdzam konkretizēt pamatnostādņu projekta 4.4.apašsadaļas 4.4.9.1. Rīcības </w:t>
            </w:r>
            <w:proofErr w:type="spellStart"/>
            <w:r w:rsidRPr="009841AB">
              <w:rPr>
                <w:rFonts w:eastAsia="Calibri"/>
                <w:lang w:eastAsia="en-US"/>
              </w:rPr>
              <w:t>apakšvirzienu</w:t>
            </w:r>
            <w:proofErr w:type="spellEnd"/>
            <w:r w:rsidRPr="009841AB">
              <w:rPr>
                <w:rFonts w:eastAsia="Calibri"/>
                <w:lang w:eastAsia="en-US"/>
              </w:rPr>
              <w:t>, lai atbilstoši 4.4.9. Rīcības virziena “Moderna un atvērta valsts pārvalde” esošās situācijas aprakstā norādītajam sekotu gan secīgi sagaidāmie rezultāti, gan uzdevumi.</w:t>
            </w:r>
          </w:p>
        </w:tc>
        <w:tc>
          <w:tcPr>
            <w:tcW w:w="2480" w:type="dxa"/>
            <w:tcBorders>
              <w:left w:val="single" w:sz="6" w:space="0" w:color="000000" w:themeColor="text1"/>
              <w:bottom w:val="single" w:sz="4" w:space="0" w:color="auto"/>
            </w:tcBorders>
            <w:shd w:val="clear" w:color="auto" w:fill="auto"/>
          </w:tcPr>
          <w:p w14:paraId="23894D7A" w14:textId="77777777" w:rsidR="008A2A01" w:rsidRDefault="008A2A01" w:rsidP="008A2A01">
            <w:pPr>
              <w:pStyle w:val="naisc"/>
              <w:jc w:val="both"/>
              <w:rPr>
                <w:b/>
                <w:bCs/>
              </w:rPr>
            </w:pPr>
            <w:r>
              <w:rPr>
                <w:b/>
                <w:bCs/>
              </w:rPr>
              <w:t>Panākta vienošanās</w:t>
            </w:r>
          </w:p>
          <w:p w14:paraId="1E6C8671" w14:textId="34510714" w:rsidR="00421AC9" w:rsidRPr="009841AB" w:rsidRDefault="00421AC9" w:rsidP="00421AC9">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446E71CB" w14:textId="77777777" w:rsidR="00421AC9" w:rsidRPr="009841AB" w:rsidRDefault="00421AC9" w:rsidP="00421AC9">
            <w:pPr>
              <w:pStyle w:val="naisc"/>
              <w:spacing w:before="0" w:after="0"/>
              <w:jc w:val="left"/>
            </w:pPr>
            <w:r w:rsidRPr="009841AB">
              <w:rPr>
                <w:color w:val="000000"/>
              </w:rPr>
              <w:t>Lūdzam skatīt 1.pielikumu</w:t>
            </w:r>
          </w:p>
        </w:tc>
      </w:tr>
      <w:tr w:rsidR="003B26DC" w:rsidRPr="009841AB" w14:paraId="330F71A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BBE1952" w14:textId="77777777" w:rsidR="003B26DC" w:rsidRPr="009841AB" w:rsidRDefault="003B26DC" w:rsidP="003B26DC">
            <w:pPr>
              <w:pStyle w:val="naisc"/>
              <w:spacing w:before="0" w:after="0"/>
            </w:pPr>
            <w:r w:rsidRPr="009841AB">
              <w:t>2</w:t>
            </w:r>
            <w:r w:rsidR="002A5129">
              <w:t>62</w:t>
            </w:r>
          </w:p>
        </w:tc>
        <w:tc>
          <w:tcPr>
            <w:tcW w:w="2427" w:type="dxa"/>
            <w:tcBorders>
              <w:left w:val="single" w:sz="6" w:space="0" w:color="000000" w:themeColor="text1"/>
              <w:bottom w:val="single" w:sz="4" w:space="0" w:color="auto"/>
            </w:tcBorders>
            <w:shd w:val="clear" w:color="auto" w:fill="auto"/>
          </w:tcPr>
          <w:p w14:paraId="46DE6044" w14:textId="77777777" w:rsidR="003B26DC" w:rsidRPr="009841AB" w:rsidRDefault="003B26DC" w:rsidP="003B26D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C1FE5BF" w14:textId="77777777" w:rsidR="003B26DC" w:rsidRPr="009841AB" w:rsidRDefault="003B26DC" w:rsidP="003B26DC">
            <w:pPr>
              <w:tabs>
                <w:tab w:val="left" w:pos="709"/>
                <w:tab w:val="left" w:pos="993"/>
              </w:tabs>
              <w:spacing w:after="160" w:line="252" w:lineRule="auto"/>
              <w:contextualSpacing/>
              <w:jc w:val="both"/>
              <w:rPr>
                <w:rFonts w:eastAsia="Calibri"/>
                <w:lang w:eastAsia="en-US"/>
              </w:rPr>
            </w:pPr>
            <w:r w:rsidRPr="009841AB">
              <w:rPr>
                <w:rFonts w:eastAsia="Calibri"/>
                <w:lang w:eastAsia="en-US"/>
              </w:rPr>
              <w:t xml:space="preserve">10. Pamatnostādņu projekta 4.4.apašsadaļas 4.4.9. Rīcības virziena Esošās situācijas aprakstā norādīts  “Jau iepriekš minēts, ka centralizējamo atbalsta funkciju tvērums vēl jāvērtē, taču jau šobrīd ir skaidrs, ka vienoto pakalpojumu centra izveide nav iespējama un iedomājama bez galveno atbalsta funkciju – grāmatvedības un personāla vadības centralizēšanas, kuras savstarpēji ir nesaraujami saistītas”, savukārt sasniedzamajos rezultātos un uzdevumos 4.4.9.1 </w:t>
            </w:r>
            <w:proofErr w:type="spellStart"/>
            <w:r w:rsidRPr="009841AB">
              <w:rPr>
                <w:rFonts w:eastAsia="Calibri"/>
                <w:lang w:eastAsia="en-US"/>
              </w:rPr>
              <w:t>apakšvirzienā</w:t>
            </w:r>
            <w:proofErr w:type="spellEnd"/>
            <w:r w:rsidRPr="009841AB">
              <w:rPr>
                <w:rFonts w:eastAsia="Calibri"/>
                <w:lang w:eastAsia="en-US"/>
              </w:rPr>
              <w:t xml:space="preserve"> nav norādīts ne sasniedzamais rezultāts, ne uzdevums. </w:t>
            </w:r>
          </w:p>
          <w:p w14:paraId="4EBDB072" w14:textId="77777777" w:rsidR="003B26DC" w:rsidRPr="009841AB" w:rsidRDefault="003B26DC" w:rsidP="003B26DC">
            <w:pPr>
              <w:tabs>
                <w:tab w:val="left" w:pos="709"/>
                <w:tab w:val="left" w:pos="993"/>
              </w:tabs>
              <w:spacing w:after="160" w:line="252" w:lineRule="auto"/>
              <w:ind w:firstLine="426"/>
              <w:contextualSpacing/>
              <w:jc w:val="both"/>
              <w:rPr>
                <w:rFonts w:eastAsia="Calibri"/>
                <w:lang w:eastAsia="en-US"/>
              </w:rPr>
            </w:pPr>
            <w:r w:rsidRPr="009841AB">
              <w:rPr>
                <w:rFonts w:eastAsia="Calibri"/>
                <w:lang w:eastAsia="en-US"/>
              </w:rPr>
              <w:t xml:space="preserve">Iesakām ietvert šādu sagaidāmo rezultātu: “Izveidots vienots grāmatvedības un </w:t>
            </w:r>
            <w:proofErr w:type="spellStart"/>
            <w:r w:rsidRPr="009841AB">
              <w:rPr>
                <w:rFonts w:eastAsia="Calibri"/>
                <w:lang w:eastAsia="en-US"/>
              </w:rPr>
              <w:t>personālvadības</w:t>
            </w:r>
            <w:proofErr w:type="spellEnd"/>
            <w:r w:rsidRPr="009841AB">
              <w:rPr>
                <w:rFonts w:eastAsia="Calibri"/>
                <w:lang w:eastAsia="en-US"/>
              </w:rPr>
              <w:t xml:space="preserve"> pakalpojumu sniegšanas modelis valsts budžeta iestādēm”.</w:t>
            </w:r>
          </w:p>
        </w:tc>
        <w:tc>
          <w:tcPr>
            <w:tcW w:w="2480" w:type="dxa"/>
            <w:tcBorders>
              <w:left w:val="single" w:sz="6" w:space="0" w:color="000000" w:themeColor="text1"/>
              <w:bottom w:val="single" w:sz="4" w:space="0" w:color="auto"/>
            </w:tcBorders>
            <w:shd w:val="clear" w:color="auto" w:fill="auto"/>
          </w:tcPr>
          <w:p w14:paraId="5E26DA02" w14:textId="77777777" w:rsidR="00143984" w:rsidRPr="00D264F6" w:rsidRDefault="003B26DC" w:rsidP="003B26DC">
            <w:pPr>
              <w:pStyle w:val="naisc"/>
              <w:spacing w:before="0" w:after="0"/>
              <w:jc w:val="left"/>
              <w:rPr>
                <w:b/>
              </w:rPr>
            </w:pPr>
            <w:r w:rsidRPr="009841AB">
              <w:rPr>
                <w:b/>
              </w:rPr>
              <w:t>Ņemts vērā</w:t>
            </w:r>
          </w:p>
          <w:p w14:paraId="13865B57" w14:textId="77777777" w:rsidR="00143984" w:rsidRPr="009841AB" w:rsidRDefault="00143984" w:rsidP="003B26DC">
            <w:pPr>
              <w:pStyle w:val="naisc"/>
              <w:spacing w:before="0" w:after="0"/>
              <w:jc w:val="left"/>
            </w:pPr>
            <w:r w:rsidRPr="009841AB">
              <w:t>Sadaļas 4.4.9.4 teksts un sagaidāmo rezultātu formulējumi ir papildināti atbilstoši FM ieteikumam. Pievienots arī uzdevums 4.4.9.4.-2:</w:t>
            </w:r>
            <w:r w:rsidRPr="009841AB">
              <w:rPr>
                <w:rFonts w:eastAsia="Calibri"/>
                <w:lang w:eastAsia="en-US"/>
              </w:rPr>
              <w:t xml:space="preserve"> “Izveidots vienots grāmatvedības un </w:t>
            </w:r>
            <w:proofErr w:type="spellStart"/>
            <w:r w:rsidRPr="009841AB">
              <w:rPr>
                <w:rFonts w:eastAsia="Calibri"/>
                <w:lang w:eastAsia="en-US"/>
              </w:rPr>
              <w:t>personālvadības</w:t>
            </w:r>
            <w:proofErr w:type="spellEnd"/>
            <w:r w:rsidRPr="009841AB">
              <w:rPr>
                <w:rFonts w:eastAsia="Calibri"/>
                <w:lang w:eastAsia="en-US"/>
              </w:rPr>
              <w:t xml:space="preserve"> pakalpojumu sniegšanas modelis valsts budžeta iestādēm”, norādot par atbildīgajiem par </w:t>
            </w:r>
            <w:r w:rsidRPr="009841AB">
              <w:rPr>
                <w:rFonts w:eastAsia="Calibri"/>
                <w:lang w:eastAsia="en-US"/>
              </w:rPr>
              <w:lastRenderedPageBreak/>
              <w:t>izpildi Finanšu ministriju un Valsts kanceleju, bet par līdzatbildīgo – VARAM.</w:t>
            </w:r>
          </w:p>
        </w:tc>
        <w:tc>
          <w:tcPr>
            <w:tcW w:w="3497" w:type="dxa"/>
            <w:tcBorders>
              <w:left w:val="single" w:sz="6" w:space="0" w:color="000000" w:themeColor="text1"/>
              <w:bottom w:val="single" w:sz="4" w:space="0" w:color="auto"/>
            </w:tcBorders>
            <w:shd w:val="clear" w:color="auto" w:fill="auto"/>
          </w:tcPr>
          <w:p w14:paraId="246ADF91" w14:textId="77777777" w:rsidR="003B26DC" w:rsidRPr="009841AB" w:rsidRDefault="00143984" w:rsidP="00A34875">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w:t>
            </w:r>
            <w:r w:rsidR="003B26DC" w:rsidRPr="009841AB">
              <w:t>4.4.9.4</w:t>
            </w:r>
            <w:r w:rsidRPr="009841AB">
              <w:t>.</w:t>
            </w:r>
            <w:r w:rsidR="003B26DC" w:rsidRPr="009841AB">
              <w:t xml:space="preserve"> </w:t>
            </w:r>
          </w:p>
        </w:tc>
      </w:tr>
      <w:tr w:rsidR="001272D9" w:rsidRPr="009841AB" w14:paraId="2E0D391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288D5EF" w14:textId="77777777" w:rsidR="001272D9" w:rsidRPr="009841AB" w:rsidRDefault="001272D9" w:rsidP="001272D9">
            <w:pPr>
              <w:pStyle w:val="naisc"/>
              <w:spacing w:before="0" w:after="0"/>
            </w:pPr>
            <w:r w:rsidRPr="009841AB">
              <w:t>2</w:t>
            </w:r>
            <w:r w:rsidR="002A5129">
              <w:t>63</w:t>
            </w:r>
          </w:p>
        </w:tc>
        <w:tc>
          <w:tcPr>
            <w:tcW w:w="2427" w:type="dxa"/>
            <w:tcBorders>
              <w:left w:val="single" w:sz="6" w:space="0" w:color="000000" w:themeColor="text1"/>
              <w:bottom w:val="single" w:sz="4" w:space="0" w:color="auto"/>
            </w:tcBorders>
            <w:shd w:val="clear" w:color="auto" w:fill="auto"/>
          </w:tcPr>
          <w:p w14:paraId="068414BC"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41C1AC9" w14:textId="77777777" w:rsidR="001272D9" w:rsidRPr="009841AB" w:rsidRDefault="001272D9" w:rsidP="001272D9">
            <w:pPr>
              <w:tabs>
                <w:tab w:val="left" w:pos="993"/>
              </w:tabs>
              <w:spacing w:after="160" w:line="252" w:lineRule="auto"/>
              <w:contextualSpacing/>
              <w:jc w:val="both"/>
              <w:rPr>
                <w:rFonts w:eastAsia="Calibri"/>
                <w:lang w:eastAsia="en-US"/>
              </w:rPr>
            </w:pPr>
            <w:r w:rsidRPr="009841AB">
              <w:rPr>
                <w:rFonts w:eastAsia="Calibri"/>
                <w:lang w:eastAsia="en-US"/>
              </w:rPr>
              <w:t xml:space="preserve">11. Lūdzam papildināt pamatnostādņu projekta 4.4.apakšsadaļas 4.4.9.1. Rīcības </w:t>
            </w:r>
            <w:proofErr w:type="spellStart"/>
            <w:r w:rsidRPr="009841AB">
              <w:rPr>
                <w:rFonts w:eastAsia="Calibri"/>
                <w:lang w:eastAsia="en-US"/>
              </w:rPr>
              <w:t>apakšvirziena</w:t>
            </w:r>
            <w:proofErr w:type="spellEnd"/>
            <w:r w:rsidRPr="009841AB">
              <w:rPr>
                <w:rFonts w:eastAsia="Calibri"/>
                <w:lang w:eastAsia="en-US"/>
              </w:rPr>
              <w:t xml:space="preserve"> šobrīd minētos divus uzdevumus ar trešo uzdevumu.</w:t>
            </w:r>
          </w:p>
          <w:p w14:paraId="153C4420" w14:textId="77777777" w:rsidR="001272D9" w:rsidRPr="009841AB" w:rsidRDefault="001272D9" w:rsidP="001272D9">
            <w:pPr>
              <w:ind w:right="12"/>
              <w:jc w:val="both"/>
            </w:pPr>
          </w:p>
        </w:tc>
        <w:tc>
          <w:tcPr>
            <w:tcW w:w="2480" w:type="dxa"/>
            <w:tcBorders>
              <w:left w:val="single" w:sz="6" w:space="0" w:color="000000" w:themeColor="text1"/>
              <w:bottom w:val="single" w:sz="4" w:space="0" w:color="auto"/>
            </w:tcBorders>
            <w:shd w:val="clear" w:color="auto" w:fill="auto"/>
          </w:tcPr>
          <w:p w14:paraId="440E2E75" w14:textId="77777777" w:rsidR="001272D9" w:rsidRPr="009841AB" w:rsidRDefault="001272D9" w:rsidP="001272D9">
            <w:pPr>
              <w:pStyle w:val="naisc"/>
              <w:spacing w:before="0" w:after="0"/>
              <w:jc w:val="left"/>
              <w:rPr>
                <w:b/>
                <w:bCs/>
              </w:rPr>
            </w:pPr>
            <w:r w:rsidRPr="009841AB">
              <w:rPr>
                <w:b/>
              </w:rPr>
              <w:t>Ņemts vērā</w:t>
            </w:r>
          </w:p>
        </w:tc>
        <w:tc>
          <w:tcPr>
            <w:tcW w:w="3497" w:type="dxa"/>
            <w:tcBorders>
              <w:left w:val="single" w:sz="6" w:space="0" w:color="000000" w:themeColor="text1"/>
              <w:bottom w:val="single" w:sz="4" w:space="0" w:color="auto"/>
            </w:tcBorders>
            <w:shd w:val="clear" w:color="auto" w:fill="auto"/>
          </w:tcPr>
          <w:p w14:paraId="6F190622" w14:textId="77777777" w:rsidR="001272D9" w:rsidRPr="009841AB" w:rsidRDefault="001272D9" w:rsidP="001272D9">
            <w:pPr>
              <w:pStyle w:val="naisc"/>
              <w:spacing w:before="0" w:after="0"/>
              <w:jc w:val="left"/>
            </w:pPr>
            <w:r w:rsidRPr="009841AB">
              <w:t xml:space="preserve">Lūdzam skatīt </w:t>
            </w:r>
            <w:proofErr w:type="spellStart"/>
            <w:r w:rsidRPr="009841AB">
              <w:t>apakšsadaļu</w:t>
            </w:r>
            <w:proofErr w:type="spellEnd"/>
            <w:r w:rsidRPr="009841AB">
              <w:t xml:space="preserve"> 4.4.9.1. </w:t>
            </w:r>
          </w:p>
        </w:tc>
      </w:tr>
      <w:tr w:rsidR="001272D9" w:rsidRPr="009841AB" w14:paraId="0365856B" w14:textId="77777777" w:rsidTr="15B1D617">
        <w:trPr>
          <w:gridAfter w:val="1"/>
          <w:wAfter w:w="7" w:type="dxa"/>
        </w:trPr>
        <w:tc>
          <w:tcPr>
            <w:tcW w:w="613" w:type="dxa"/>
            <w:tcBorders>
              <w:left w:val="single" w:sz="6" w:space="0" w:color="000000" w:themeColor="text1"/>
              <w:bottom w:val="single" w:sz="4" w:space="0" w:color="auto"/>
            </w:tcBorders>
            <w:shd w:val="clear" w:color="auto" w:fill="auto"/>
          </w:tcPr>
          <w:p w14:paraId="4C531E9C" w14:textId="77777777" w:rsidR="001272D9" w:rsidRPr="009841AB" w:rsidRDefault="001272D9" w:rsidP="001272D9">
            <w:pPr>
              <w:pStyle w:val="naisc"/>
              <w:spacing w:before="0" w:after="0"/>
            </w:pPr>
            <w:r w:rsidRPr="009841AB">
              <w:t>2</w:t>
            </w:r>
            <w:r w:rsidR="002A5129">
              <w:t>63</w:t>
            </w:r>
          </w:p>
        </w:tc>
        <w:tc>
          <w:tcPr>
            <w:tcW w:w="13831" w:type="dxa"/>
            <w:gridSpan w:val="4"/>
            <w:tcBorders>
              <w:left w:val="single" w:sz="6" w:space="0" w:color="000000" w:themeColor="text1"/>
              <w:bottom w:val="single" w:sz="4" w:space="0" w:color="auto"/>
            </w:tcBorders>
            <w:shd w:val="clear" w:color="auto" w:fill="auto"/>
          </w:tcPr>
          <w:tbl>
            <w:tblPr>
              <w:tblW w:w="0" w:type="auto"/>
              <w:shd w:val="clear" w:color="auto" w:fill="F2F2F2"/>
              <w:tblLayout w:type="fixed"/>
              <w:tblLook w:val="04A0" w:firstRow="1" w:lastRow="0" w:firstColumn="1" w:lastColumn="0" w:noHBand="0" w:noVBand="1"/>
            </w:tblPr>
            <w:tblGrid>
              <w:gridCol w:w="1508"/>
              <w:gridCol w:w="3081"/>
              <w:gridCol w:w="990"/>
              <w:gridCol w:w="936"/>
              <w:gridCol w:w="1283"/>
              <w:gridCol w:w="1563"/>
            </w:tblGrid>
            <w:tr w:rsidR="001272D9" w:rsidRPr="009841AB" w14:paraId="7B080D0B" w14:textId="77777777" w:rsidTr="00A34875">
              <w:trPr>
                <w:cantSplit/>
              </w:trPr>
              <w:tc>
                <w:tcPr>
                  <w:tcW w:w="1508" w:type="dxa"/>
                  <w:tcBorders>
                    <w:bottom w:val="single" w:sz="4" w:space="0" w:color="auto"/>
                  </w:tcBorders>
                  <w:shd w:val="clear" w:color="auto" w:fill="FFFFFF" w:themeFill="background1"/>
                  <w:vAlign w:val="center"/>
                </w:tcPr>
                <w:p w14:paraId="2BCA33EB" w14:textId="77777777" w:rsidR="001272D9" w:rsidRPr="009841AB" w:rsidRDefault="001272D9" w:rsidP="001272D9">
                  <w:pPr>
                    <w:widowControl w:val="0"/>
                    <w:spacing w:after="200" w:line="276" w:lineRule="auto"/>
                    <w:jc w:val="center"/>
                    <w:rPr>
                      <w:color w:val="000000"/>
                      <w:lang w:eastAsia="en-US"/>
                    </w:rPr>
                  </w:pPr>
                  <w:r w:rsidRPr="009841AB">
                    <w:rPr>
                      <w:color w:val="000000"/>
                      <w:lang w:eastAsia="en-US"/>
                    </w:rPr>
                    <w:t>Identifikators</w:t>
                  </w:r>
                </w:p>
              </w:tc>
              <w:tc>
                <w:tcPr>
                  <w:tcW w:w="3081" w:type="dxa"/>
                  <w:tcBorders>
                    <w:bottom w:val="single" w:sz="4" w:space="0" w:color="auto"/>
                  </w:tcBorders>
                  <w:shd w:val="clear" w:color="auto" w:fill="FFFFFF" w:themeFill="background1"/>
                  <w:vAlign w:val="center"/>
                </w:tcPr>
                <w:p w14:paraId="073691C5" w14:textId="77777777" w:rsidR="001272D9" w:rsidRPr="009841AB" w:rsidRDefault="001272D9" w:rsidP="001272D9">
                  <w:pPr>
                    <w:widowControl w:val="0"/>
                    <w:spacing w:after="200" w:line="276" w:lineRule="auto"/>
                    <w:jc w:val="center"/>
                    <w:rPr>
                      <w:lang w:eastAsia="en-US"/>
                    </w:rPr>
                  </w:pPr>
                  <w:r w:rsidRPr="009841AB">
                    <w:rPr>
                      <w:color w:val="000000"/>
                      <w:lang w:eastAsia="en-US"/>
                    </w:rPr>
                    <w:t>Uzdevums</w:t>
                  </w:r>
                </w:p>
              </w:tc>
              <w:tc>
                <w:tcPr>
                  <w:tcW w:w="990" w:type="dxa"/>
                  <w:tcBorders>
                    <w:bottom w:val="single" w:sz="4" w:space="0" w:color="auto"/>
                  </w:tcBorders>
                  <w:shd w:val="clear" w:color="auto" w:fill="FFFFFF" w:themeFill="background1"/>
                  <w:vAlign w:val="center"/>
                </w:tcPr>
                <w:p w14:paraId="5382EC69" w14:textId="77777777" w:rsidR="001272D9" w:rsidRPr="009841AB" w:rsidRDefault="001272D9" w:rsidP="001272D9">
                  <w:pPr>
                    <w:widowControl w:val="0"/>
                    <w:spacing w:after="200" w:line="256" w:lineRule="auto"/>
                    <w:jc w:val="center"/>
                    <w:rPr>
                      <w:lang w:eastAsia="en-US"/>
                    </w:rPr>
                  </w:pPr>
                  <w:r w:rsidRPr="009841AB">
                    <w:rPr>
                      <w:lang w:eastAsia="en-US"/>
                    </w:rPr>
                    <w:t>Sākuma termiņš</w:t>
                  </w:r>
                </w:p>
              </w:tc>
              <w:tc>
                <w:tcPr>
                  <w:tcW w:w="936" w:type="dxa"/>
                  <w:tcBorders>
                    <w:bottom w:val="single" w:sz="4" w:space="0" w:color="auto"/>
                  </w:tcBorders>
                  <w:shd w:val="clear" w:color="auto" w:fill="FFFFFF" w:themeFill="background1"/>
                  <w:vAlign w:val="center"/>
                </w:tcPr>
                <w:p w14:paraId="60B45AAC" w14:textId="77777777" w:rsidR="001272D9" w:rsidRPr="009841AB" w:rsidRDefault="001272D9" w:rsidP="001272D9">
                  <w:pPr>
                    <w:widowControl w:val="0"/>
                    <w:spacing w:after="200" w:line="256" w:lineRule="auto"/>
                    <w:jc w:val="center"/>
                    <w:rPr>
                      <w:lang w:eastAsia="en-US"/>
                    </w:rPr>
                  </w:pPr>
                  <w:r w:rsidRPr="009841AB">
                    <w:rPr>
                      <w:lang w:eastAsia="en-US"/>
                    </w:rPr>
                    <w:t>Beigu termiņš</w:t>
                  </w:r>
                </w:p>
              </w:tc>
              <w:tc>
                <w:tcPr>
                  <w:tcW w:w="1283" w:type="dxa"/>
                  <w:tcBorders>
                    <w:bottom w:val="single" w:sz="4" w:space="0" w:color="auto"/>
                  </w:tcBorders>
                  <w:shd w:val="clear" w:color="auto" w:fill="FFFFFF" w:themeFill="background1"/>
                  <w:vAlign w:val="center"/>
                </w:tcPr>
                <w:p w14:paraId="02077339" w14:textId="77777777" w:rsidR="001272D9" w:rsidRPr="009841AB" w:rsidRDefault="001272D9" w:rsidP="001272D9">
                  <w:pPr>
                    <w:widowControl w:val="0"/>
                    <w:spacing w:after="200" w:line="276" w:lineRule="auto"/>
                    <w:jc w:val="center"/>
                    <w:rPr>
                      <w:color w:val="000000"/>
                      <w:lang w:eastAsia="en-US"/>
                    </w:rPr>
                  </w:pPr>
                  <w:r w:rsidRPr="009841AB">
                    <w:rPr>
                      <w:color w:val="000000"/>
                      <w:lang w:eastAsia="en-US"/>
                    </w:rPr>
                    <w:t>Atbildīgais</w:t>
                  </w:r>
                </w:p>
              </w:tc>
              <w:tc>
                <w:tcPr>
                  <w:tcW w:w="1563" w:type="dxa"/>
                  <w:tcBorders>
                    <w:bottom w:val="single" w:sz="4" w:space="0" w:color="auto"/>
                  </w:tcBorders>
                  <w:shd w:val="clear" w:color="auto" w:fill="FFFFFF" w:themeFill="background1"/>
                  <w:vAlign w:val="center"/>
                </w:tcPr>
                <w:p w14:paraId="72DBF30C" w14:textId="77777777" w:rsidR="001272D9" w:rsidRPr="009841AB" w:rsidRDefault="001272D9" w:rsidP="001272D9">
                  <w:pPr>
                    <w:widowControl w:val="0"/>
                    <w:spacing w:after="200" w:line="276" w:lineRule="auto"/>
                    <w:jc w:val="center"/>
                    <w:rPr>
                      <w:color w:val="000000"/>
                      <w:lang w:eastAsia="en-US"/>
                    </w:rPr>
                  </w:pPr>
                  <w:r w:rsidRPr="009841AB">
                    <w:rPr>
                      <w:color w:val="000000"/>
                      <w:lang w:eastAsia="en-US"/>
                    </w:rPr>
                    <w:t>Līdzatbildīgie</w:t>
                  </w:r>
                </w:p>
              </w:tc>
            </w:tr>
            <w:tr w:rsidR="001272D9" w:rsidRPr="009841AB" w14:paraId="05DA918B" w14:textId="77777777" w:rsidTr="00A34875">
              <w:tc>
                <w:tcPr>
                  <w:tcW w:w="1508" w:type="dxa"/>
                  <w:tcBorders>
                    <w:top w:val="single" w:sz="4" w:space="0" w:color="auto"/>
                  </w:tcBorders>
                  <w:shd w:val="clear" w:color="auto" w:fill="FFFFFF" w:themeFill="background1"/>
                  <w:vAlign w:val="center"/>
                </w:tcPr>
                <w:p w14:paraId="7EE94F4F" w14:textId="77777777" w:rsidR="001272D9" w:rsidRPr="009841AB" w:rsidRDefault="001272D9" w:rsidP="001272D9">
                  <w:pPr>
                    <w:widowControl w:val="0"/>
                    <w:spacing w:after="200" w:line="256" w:lineRule="auto"/>
                    <w:jc w:val="both"/>
                    <w:rPr>
                      <w:lang w:eastAsia="en-US"/>
                    </w:rPr>
                  </w:pPr>
                  <w:r w:rsidRPr="009841AB">
                    <w:rPr>
                      <w:lang w:eastAsia="en-US"/>
                    </w:rPr>
                    <w:t>U4.4.9.1.-1</w:t>
                  </w:r>
                </w:p>
              </w:tc>
              <w:tc>
                <w:tcPr>
                  <w:tcW w:w="3081" w:type="dxa"/>
                  <w:tcBorders>
                    <w:top w:val="single" w:sz="4" w:space="0" w:color="auto"/>
                  </w:tcBorders>
                  <w:shd w:val="clear" w:color="auto" w:fill="FFFFFF" w:themeFill="background1"/>
                  <w:vAlign w:val="center"/>
                </w:tcPr>
                <w:p w14:paraId="579494B1" w14:textId="77777777" w:rsidR="001272D9" w:rsidRPr="009841AB" w:rsidRDefault="001272D9" w:rsidP="001272D9">
                  <w:pPr>
                    <w:autoSpaceDE w:val="0"/>
                    <w:autoSpaceDN w:val="0"/>
                    <w:adjustRightInd w:val="0"/>
                    <w:rPr>
                      <w:rFonts w:eastAsia="Calibri"/>
                      <w:color w:val="000000"/>
                      <w:lang w:eastAsia="en-US"/>
                    </w:rPr>
                  </w:pPr>
                  <w:r w:rsidRPr="009841AB">
                    <w:rPr>
                      <w:color w:val="000000"/>
                      <w:lang w:eastAsia="en-US"/>
                    </w:rPr>
                    <w:t>Izstrādāt vienotu valsts pakalpojumu pilnveides stratēģisko plānu</w:t>
                  </w:r>
                </w:p>
              </w:tc>
              <w:tc>
                <w:tcPr>
                  <w:tcW w:w="990" w:type="dxa"/>
                  <w:tcBorders>
                    <w:top w:val="single" w:sz="4" w:space="0" w:color="auto"/>
                  </w:tcBorders>
                  <w:shd w:val="clear" w:color="auto" w:fill="FFFFFF" w:themeFill="background1"/>
                  <w:vAlign w:val="center"/>
                </w:tcPr>
                <w:p w14:paraId="7A19220A" w14:textId="77777777" w:rsidR="001272D9" w:rsidRPr="009841AB" w:rsidRDefault="001272D9" w:rsidP="001272D9">
                  <w:pPr>
                    <w:widowControl w:val="0"/>
                    <w:spacing w:after="200" w:line="256" w:lineRule="auto"/>
                    <w:jc w:val="center"/>
                    <w:rPr>
                      <w:lang w:eastAsia="en-US"/>
                    </w:rPr>
                  </w:pPr>
                  <w:r w:rsidRPr="009841AB">
                    <w:rPr>
                      <w:lang w:eastAsia="en-US"/>
                    </w:rPr>
                    <w:t>2021</w:t>
                  </w:r>
                </w:p>
              </w:tc>
              <w:tc>
                <w:tcPr>
                  <w:tcW w:w="936" w:type="dxa"/>
                  <w:tcBorders>
                    <w:top w:val="single" w:sz="4" w:space="0" w:color="auto"/>
                  </w:tcBorders>
                  <w:shd w:val="clear" w:color="auto" w:fill="FFFFFF" w:themeFill="background1"/>
                  <w:vAlign w:val="center"/>
                </w:tcPr>
                <w:p w14:paraId="313BCE5F" w14:textId="77777777" w:rsidR="001272D9" w:rsidRPr="009841AB" w:rsidRDefault="001272D9" w:rsidP="001272D9">
                  <w:pPr>
                    <w:widowControl w:val="0"/>
                    <w:spacing w:after="200" w:line="256" w:lineRule="auto"/>
                    <w:jc w:val="center"/>
                    <w:rPr>
                      <w:lang w:eastAsia="en-US"/>
                    </w:rPr>
                  </w:pPr>
                  <w:r w:rsidRPr="009841AB">
                    <w:rPr>
                      <w:lang w:eastAsia="en-US"/>
                    </w:rPr>
                    <w:t>2022</w:t>
                  </w:r>
                </w:p>
              </w:tc>
              <w:tc>
                <w:tcPr>
                  <w:tcW w:w="1283" w:type="dxa"/>
                  <w:tcBorders>
                    <w:top w:val="single" w:sz="4" w:space="0" w:color="auto"/>
                  </w:tcBorders>
                  <w:shd w:val="clear" w:color="auto" w:fill="FFFFFF" w:themeFill="background1"/>
                  <w:vAlign w:val="center"/>
                </w:tcPr>
                <w:p w14:paraId="5E68EC59" w14:textId="77777777" w:rsidR="001272D9" w:rsidRPr="009841AB" w:rsidRDefault="001272D9" w:rsidP="001272D9">
                  <w:pPr>
                    <w:widowControl w:val="0"/>
                    <w:spacing w:after="200" w:line="256" w:lineRule="auto"/>
                    <w:jc w:val="center"/>
                    <w:rPr>
                      <w:lang w:eastAsia="en-US"/>
                    </w:rPr>
                  </w:pPr>
                  <w:r w:rsidRPr="009841AB">
                    <w:rPr>
                      <w:lang w:eastAsia="en-US"/>
                    </w:rPr>
                    <w:t>VARAM</w:t>
                  </w:r>
                </w:p>
              </w:tc>
              <w:tc>
                <w:tcPr>
                  <w:tcW w:w="1563" w:type="dxa"/>
                  <w:tcBorders>
                    <w:top w:val="single" w:sz="4" w:space="0" w:color="auto"/>
                  </w:tcBorders>
                  <w:shd w:val="clear" w:color="auto" w:fill="FFFFFF" w:themeFill="background1"/>
                  <w:vAlign w:val="center"/>
                </w:tcPr>
                <w:p w14:paraId="7A400A5D" w14:textId="77777777" w:rsidR="001272D9" w:rsidRPr="009841AB" w:rsidRDefault="001272D9" w:rsidP="001272D9">
                  <w:pPr>
                    <w:autoSpaceDE w:val="0"/>
                    <w:autoSpaceDN w:val="0"/>
                    <w:adjustRightInd w:val="0"/>
                    <w:jc w:val="center"/>
                    <w:rPr>
                      <w:rFonts w:eastAsia="Calibri"/>
                      <w:color w:val="000000"/>
                      <w:lang w:eastAsia="en-US"/>
                    </w:rPr>
                  </w:pPr>
                  <w:r w:rsidRPr="009841AB">
                    <w:rPr>
                      <w:rFonts w:eastAsia="Calibri"/>
                      <w:color w:val="000000"/>
                      <w:lang w:eastAsia="en-US"/>
                    </w:rPr>
                    <w:t>nav</w:t>
                  </w:r>
                </w:p>
              </w:tc>
            </w:tr>
            <w:tr w:rsidR="001272D9" w:rsidRPr="009841AB" w14:paraId="0421ECC8" w14:textId="77777777" w:rsidTr="00A34875">
              <w:tc>
                <w:tcPr>
                  <w:tcW w:w="1508" w:type="dxa"/>
                  <w:tcBorders>
                    <w:top w:val="single" w:sz="4" w:space="0" w:color="auto"/>
                    <w:bottom w:val="single" w:sz="4" w:space="0" w:color="auto"/>
                  </w:tcBorders>
                  <w:shd w:val="clear" w:color="auto" w:fill="FFFFFF" w:themeFill="background1"/>
                  <w:vAlign w:val="center"/>
                </w:tcPr>
                <w:p w14:paraId="2D0E296F" w14:textId="77777777" w:rsidR="001272D9" w:rsidRPr="009841AB" w:rsidRDefault="001272D9" w:rsidP="001272D9">
                  <w:pPr>
                    <w:widowControl w:val="0"/>
                    <w:spacing w:after="200" w:line="256" w:lineRule="auto"/>
                    <w:jc w:val="both"/>
                    <w:rPr>
                      <w:lang w:eastAsia="en-US"/>
                    </w:rPr>
                  </w:pPr>
                  <w:r w:rsidRPr="009841AB">
                    <w:rPr>
                      <w:lang w:eastAsia="en-US"/>
                    </w:rPr>
                    <w:t>U4.4.9.1.-2</w:t>
                  </w:r>
                </w:p>
              </w:tc>
              <w:tc>
                <w:tcPr>
                  <w:tcW w:w="3081" w:type="dxa"/>
                  <w:tcBorders>
                    <w:top w:val="single" w:sz="4" w:space="0" w:color="auto"/>
                    <w:bottom w:val="single" w:sz="4" w:space="0" w:color="auto"/>
                  </w:tcBorders>
                  <w:shd w:val="clear" w:color="auto" w:fill="FFFFFF" w:themeFill="background1"/>
                  <w:vAlign w:val="center"/>
                </w:tcPr>
                <w:p w14:paraId="13585A0C" w14:textId="77777777" w:rsidR="001272D9" w:rsidRPr="009841AB" w:rsidRDefault="001272D9" w:rsidP="001272D9">
                  <w:pPr>
                    <w:autoSpaceDE w:val="0"/>
                    <w:autoSpaceDN w:val="0"/>
                    <w:adjustRightInd w:val="0"/>
                    <w:rPr>
                      <w:rFonts w:eastAsia="Calibri"/>
                      <w:color w:val="000000"/>
                      <w:lang w:eastAsia="en-US"/>
                    </w:rPr>
                  </w:pPr>
                  <w:r w:rsidRPr="009841AB">
                    <w:rPr>
                      <w:color w:val="000000"/>
                      <w:lang w:eastAsia="en-US"/>
                    </w:rPr>
                    <w:t>Ieviest vienotu valsts pakalpojumu pilnveides stratēģisko plānu</w:t>
                  </w:r>
                </w:p>
              </w:tc>
              <w:tc>
                <w:tcPr>
                  <w:tcW w:w="990" w:type="dxa"/>
                  <w:tcBorders>
                    <w:top w:val="single" w:sz="4" w:space="0" w:color="auto"/>
                    <w:bottom w:val="single" w:sz="4" w:space="0" w:color="auto"/>
                  </w:tcBorders>
                  <w:shd w:val="clear" w:color="auto" w:fill="FFFFFF" w:themeFill="background1"/>
                  <w:vAlign w:val="center"/>
                </w:tcPr>
                <w:p w14:paraId="3F834637" w14:textId="77777777" w:rsidR="001272D9" w:rsidRPr="009841AB" w:rsidRDefault="001272D9" w:rsidP="001272D9">
                  <w:pPr>
                    <w:widowControl w:val="0"/>
                    <w:spacing w:after="200" w:line="256" w:lineRule="auto"/>
                    <w:jc w:val="center"/>
                    <w:rPr>
                      <w:lang w:eastAsia="en-US"/>
                    </w:rPr>
                  </w:pPr>
                  <w:r w:rsidRPr="009841AB">
                    <w:rPr>
                      <w:lang w:eastAsia="en-US"/>
                    </w:rPr>
                    <w:t>2023</w:t>
                  </w:r>
                </w:p>
              </w:tc>
              <w:tc>
                <w:tcPr>
                  <w:tcW w:w="936" w:type="dxa"/>
                  <w:tcBorders>
                    <w:top w:val="single" w:sz="4" w:space="0" w:color="auto"/>
                    <w:bottom w:val="single" w:sz="4" w:space="0" w:color="auto"/>
                  </w:tcBorders>
                  <w:shd w:val="clear" w:color="auto" w:fill="FFFFFF" w:themeFill="background1"/>
                  <w:vAlign w:val="center"/>
                </w:tcPr>
                <w:p w14:paraId="2A298D3D" w14:textId="77777777" w:rsidR="001272D9" w:rsidRPr="009841AB" w:rsidRDefault="001272D9" w:rsidP="001272D9">
                  <w:pPr>
                    <w:widowControl w:val="0"/>
                    <w:spacing w:after="200" w:line="256" w:lineRule="auto"/>
                    <w:jc w:val="center"/>
                    <w:rPr>
                      <w:lang w:eastAsia="en-US"/>
                    </w:rPr>
                  </w:pPr>
                  <w:r w:rsidRPr="009841AB">
                    <w:rPr>
                      <w:lang w:eastAsia="en-US"/>
                    </w:rPr>
                    <w:t>2027</w:t>
                  </w:r>
                </w:p>
              </w:tc>
              <w:tc>
                <w:tcPr>
                  <w:tcW w:w="1283" w:type="dxa"/>
                  <w:tcBorders>
                    <w:top w:val="single" w:sz="4" w:space="0" w:color="auto"/>
                    <w:bottom w:val="single" w:sz="4" w:space="0" w:color="auto"/>
                  </w:tcBorders>
                  <w:shd w:val="clear" w:color="auto" w:fill="FFFFFF" w:themeFill="background1"/>
                  <w:vAlign w:val="center"/>
                </w:tcPr>
                <w:p w14:paraId="171C2E29" w14:textId="77777777" w:rsidR="001272D9" w:rsidRPr="009841AB" w:rsidRDefault="001272D9" w:rsidP="001272D9">
                  <w:pPr>
                    <w:widowControl w:val="0"/>
                    <w:spacing w:after="200" w:line="256" w:lineRule="auto"/>
                    <w:jc w:val="center"/>
                    <w:rPr>
                      <w:lang w:eastAsia="en-US"/>
                    </w:rPr>
                  </w:pPr>
                  <w:r w:rsidRPr="009841AB">
                    <w:rPr>
                      <w:lang w:eastAsia="en-US"/>
                    </w:rPr>
                    <w:t>VARAM</w:t>
                  </w:r>
                </w:p>
              </w:tc>
              <w:tc>
                <w:tcPr>
                  <w:tcW w:w="1563" w:type="dxa"/>
                  <w:tcBorders>
                    <w:top w:val="single" w:sz="4" w:space="0" w:color="auto"/>
                    <w:bottom w:val="single" w:sz="4" w:space="0" w:color="auto"/>
                  </w:tcBorders>
                  <w:shd w:val="clear" w:color="auto" w:fill="FFFFFF" w:themeFill="background1"/>
                  <w:vAlign w:val="center"/>
                </w:tcPr>
                <w:p w14:paraId="2F239BEF" w14:textId="77777777" w:rsidR="001272D9" w:rsidRPr="009841AB" w:rsidRDefault="001272D9" w:rsidP="001272D9">
                  <w:pPr>
                    <w:autoSpaceDE w:val="0"/>
                    <w:autoSpaceDN w:val="0"/>
                    <w:adjustRightInd w:val="0"/>
                    <w:jc w:val="center"/>
                    <w:rPr>
                      <w:rFonts w:eastAsia="Calibri"/>
                      <w:color w:val="000000"/>
                      <w:lang w:eastAsia="en-US"/>
                    </w:rPr>
                  </w:pPr>
                  <w:r w:rsidRPr="009841AB">
                    <w:rPr>
                      <w:rFonts w:eastAsia="Calibri"/>
                      <w:color w:val="000000"/>
                      <w:lang w:eastAsia="en-US"/>
                    </w:rPr>
                    <w:t>nav</w:t>
                  </w:r>
                </w:p>
              </w:tc>
            </w:tr>
            <w:tr w:rsidR="001272D9" w:rsidRPr="009841AB" w14:paraId="390C2351" w14:textId="77777777" w:rsidTr="00A34875">
              <w:tc>
                <w:tcPr>
                  <w:tcW w:w="1508" w:type="dxa"/>
                  <w:tcBorders>
                    <w:top w:val="single" w:sz="4" w:space="0" w:color="auto"/>
                  </w:tcBorders>
                  <w:shd w:val="clear" w:color="auto" w:fill="FFFFFF" w:themeFill="background1"/>
                  <w:vAlign w:val="center"/>
                </w:tcPr>
                <w:p w14:paraId="248556AD" w14:textId="77777777" w:rsidR="001272D9" w:rsidRPr="009841AB" w:rsidRDefault="001272D9" w:rsidP="001272D9">
                  <w:pPr>
                    <w:widowControl w:val="0"/>
                    <w:spacing w:after="200" w:line="256" w:lineRule="auto"/>
                    <w:jc w:val="both"/>
                    <w:rPr>
                      <w:color w:val="4F81BD"/>
                      <w:highlight w:val="cyan"/>
                      <w:lang w:eastAsia="en-US"/>
                    </w:rPr>
                  </w:pPr>
                </w:p>
              </w:tc>
              <w:tc>
                <w:tcPr>
                  <w:tcW w:w="3081" w:type="dxa"/>
                  <w:tcBorders>
                    <w:top w:val="single" w:sz="4" w:space="0" w:color="auto"/>
                  </w:tcBorders>
                  <w:shd w:val="clear" w:color="auto" w:fill="FFFFFF" w:themeFill="background1"/>
                  <w:vAlign w:val="center"/>
                </w:tcPr>
                <w:p w14:paraId="2A5AF028" w14:textId="77777777" w:rsidR="001272D9" w:rsidRPr="004F50A3" w:rsidRDefault="001272D9" w:rsidP="001272D9">
                  <w:pPr>
                    <w:autoSpaceDE w:val="0"/>
                    <w:autoSpaceDN w:val="0"/>
                    <w:adjustRightInd w:val="0"/>
                    <w:rPr>
                      <w:b/>
                      <w:bCs/>
                      <w:highlight w:val="cyan"/>
                      <w:lang w:eastAsia="en-US"/>
                    </w:rPr>
                  </w:pPr>
                  <w:r w:rsidRPr="004F50A3">
                    <w:rPr>
                      <w:b/>
                      <w:bCs/>
                      <w:lang w:eastAsia="en-US"/>
                    </w:rPr>
                    <w:t xml:space="preserve">Izveidot vienotu grāmatvedības un </w:t>
                  </w:r>
                  <w:proofErr w:type="spellStart"/>
                  <w:r w:rsidRPr="004F50A3">
                    <w:rPr>
                      <w:b/>
                      <w:bCs/>
                      <w:lang w:eastAsia="en-US"/>
                    </w:rPr>
                    <w:t>personālvadības</w:t>
                  </w:r>
                  <w:proofErr w:type="spellEnd"/>
                  <w:r w:rsidRPr="004F50A3">
                    <w:rPr>
                      <w:b/>
                      <w:bCs/>
                      <w:lang w:eastAsia="en-US"/>
                    </w:rPr>
                    <w:t xml:space="preserve"> pakalpojumu sniegšanas modeli</w:t>
                  </w:r>
                </w:p>
              </w:tc>
              <w:tc>
                <w:tcPr>
                  <w:tcW w:w="990" w:type="dxa"/>
                  <w:tcBorders>
                    <w:top w:val="single" w:sz="4" w:space="0" w:color="auto"/>
                  </w:tcBorders>
                  <w:shd w:val="clear" w:color="auto" w:fill="FFFFFF" w:themeFill="background1"/>
                  <w:vAlign w:val="center"/>
                </w:tcPr>
                <w:p w14:paraId="7DBC090B" w14:textId="77777777" w:rsidR="001272D9" w:rsidRPr="004F50A3" w:rsidRDefault="001272D9" w:rsidP="001272D9">
                  <w:pPr>
                    <w:widowControl w:val="0"/>
                    <w:spacing w:after="200" w:line="256" w:lineRule="auto"/>
                    <w:jc w:val="center"/>
                    <w:rPr>
                      <w:b/>
                      <w:bCs/>
                      <w:lang w:eastAsia="en-US"/>
                    </w:rPr>
                  </w:pPr>
                  <w:r w:rsidRPr="004F50A3">
                    <w:rPr>
                      <w:b/>
                      <w:bCs/>
                      <w:lang w:eastAsia="en-US"/>
                    </w:rPr>
                    <w:t>2021</w:t>
                  </w:r>
                </w:p>
              </w:tc>
              <w:tc>
                <w:tcPr>
                  <w:tcW w:w="936" w:type="dxa"/>
                  <w:tcBorders>
                    <w:top w:val="single" w:sz="4" w:space="0" w:color="auto"/>
                  </w:tcBorders>
                  <w:shd w:val="clear" w:color="auto" w:fill="FFFFFF" w:themeFill="background1"/>
                  <w:vAlign w:val="center"/>
                </w:tcPr>
                <w:p w14:paraId="31B3D505" w14:textId="77777777" w:rsidR="001272D9" w:rsidRPr="004F50A3" w:rsidRDefault="001272D9" w:rsidP="001272D9">
                  <w:pPr>
                    <w:widowControl w:val="0"/>
                    <w:spacing w:after="200" w:line="256" w:lineRule="auto"/>
                    <w:jc w:val="center"/>
                    <w:rPr>
                      <w:b/>
                      <w:bCs/>
                      <w:lang w:eastAsia="en-US"/>
                    </w:rPr>
                  </w:pPr>
                  <w:r w:rsidRPr="004F50A3">
                    <w:rPr>
                      <w:b/>
                      <w:bCs/>
                      <w:lang w:eastAsia="en-US"/>
                    </w:rPr>
                    <w:t>2027</w:t>
                  </w:r>
                </w:p>
              </w:tc>
              <w:tc>
                <w:tcPr>
                  <w:tcW w:w="1283" w:type="dxa"/>
                  <w:tcBorders>
                    <w:top w:val="single" w:sz="4" w:space="0" w:color="auto"/>
                  </w:tcBorders>
                  <w:shd w:val="clear" w:color="auto" w:fill="FFFFFF" w:themeFill="background1"/>
                  <w:vAlign w:val="center"/>
                </w:tcPr>
                <w:p w14:paraId="5AFFFB8E" w14:textId="77777777" w:rsidR="001272D9" w:rsidRPr="004F50A3" w:rsidRDefault="001272D9" w:rsidP="001272D9">
                  <w:pPr>
                    <w:widowControl w:val="0"/>
                    <w:spacing w:line="256" w:lineRule="auto"/>
                    <w:jc w:val="center"/>
                    <w:rPr>
                      <w:b/>
                      <w:bCs/>
                      <w:lang w:eastAsia="en-US"/>
                    </w:rPr>
                  </w:pPr>
                  <w:r w:rsidRPr="004F50A3">
                    <w:rPr>
                      <w:b/>
                      <w:bCs/>
                      <w:lang w:eastAsia="en-US"/>
                    </w:rPr>
                    <w:t>Valsts kanceleja, Finanšu ministrija,</w:t>
                  </w:r>
                </w:p>
                <w:p w14:paraId="29624F27" w14:textId="77777777" w:rsidR="001272D9" w:rsidRPr="004F50A3" w:rsidRDefault="001272D9" w:rsidP="001272D9">
                  <w:pPr>
                    <w:widowControl w:val="0"/>
                    <w:spacing w:after="200" w:line="256" w:lineRule="auto"/>
                    <w:jc w:val="center"/>
                    <w:rPr>
                      <w:b/>
                      <w:bCs/>
                      <w:lang w:eastAsia="en-US"/>
                    </w:rPr>
                  </w:pPr>
                  <w:r w:rsidRPr="004F50A3">
                    <w:rPr>
                      <w:b/>
                      <w:bCs/>
                      <w:lang w:eastAsia="en-US"/>
                    </w:rPr>
                    <w:t>Valsts kase</w:t>
                  </w:r>
                </w:p>
              </w:tc>
              <w:tc>
                <w:tcPr>
                  <w:tcW w:w="1563" w:type="dxa"/>
                  <w:tcBorders>
                    <w:top w:val="single" w:sz="4" w:space="0" w:color="auto"/>
                  </w:tcBorders>
                  <w:shd w:val="clear" w:color="auto" w:fill="FFFFFF" w:themeFill="background1"/>
                  <w:vAlign w:val="center"/>
                </w:tcPr>
                <w:p w14:paraId="3B835978" w14:textId="77777777" w:rsidR="001272D9" w:rsidRPr="004F50A3" w:rsidRDefault="001272D9" w:rsidP="001272D9">
                  <w:pPr>
                    <w:autoSpaceDE w:val="0"/>
                    <w:autoSpaceDN w:val="0"/>
                    <w:adjustRightInd w:val="0"/>
                    <w:jc w:val="center"/>
                    <w:rPr>
                      <w:rFonts w:eastAsia="Calibri"/>
                      <w:b/>
                      <w:bCs/>
                      <w:lang w:eastAsia="en-US"/>
                    </w:rPr>
                  </w:pPr>
                  <w:r w:rsidRPr="004F50A3">
                    <w:rPr>
                      <w:rFonts w:eastAsia="Calibri"/>
                      <w:b/>
                      <w:bCs/>
                      <w:lang w:eastAsia="en-US"/>
                    </w:rPr>
                    <w:t>Visas valsts budžeta iestādes</w:t>
                  </w:r>
                </w:p>
              </w:tc>
            </w:tr>
          </w:tbl>
          <w:p w14:paraId="21B3A249" w14:textId="77777777" w:rsidR="001272D9" w:rsidRPr="009841AB" w:rsidRDefault="001272D9" w:rsidP="001272D9">
            <w:pPr>
              <w:pStyle w:val="naisc"/>
              <w:spacing w:before="0" w:after="0"/>
              <w:jc w:val="both"/>
            </w:pPr>
          </w:p>
        </w:tc>
      </w:tr>
      <w:tr w:rsidR="001272D9" w:rsidRPr="009841AB" w14:paraId="19440F5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8BC0481" w14:textId="77777777" w:rsidR="001272D9" w:rsidRPr="009841AB" w:rsidRDefault="001272D9" w:rsidP="001272D9">
            <w:pPr>
              <w:pStyle w:val="naisc"/>
              <w:spacing w:before="0" w:after="0"/>
            </w:pPr>
            <w:r w:rsidRPr="009841AB">
              <w:t>2</w:t>
            </w:r>
            <w:r w:rsidR="002A5129">
              <w:t>64</w:t>
            </w:r>
          </w:p>
        </w:tc>
        <w:tc>
          <w:tcPr>
            <w:tcW w:w="2427" w:type="dxa"/>
            <w:tcBorders>
              <w:left w:val="single" w:sz="6" w:space="0" w:color="000000" w:themeColor="text1"/>
              <w:bottom w:val="single" w:sz="4" w:space="0" w:color="auto"/>
            </w:tcBorders>
            <w:shd w:val="clear" w:color="auto" w:fill="auto"/>
          </w:tcPr>
          <w:p w14:paraId="1005B044"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547EDA8" w14:textId="77777777" w:rsidR="00D36BC0" w:rsidRDefault="00B4582A" w:rsidP="001272D9">
            <w:pPr>
              <w:tabs>
                <w:tab w:val="left" w:pos="993"/>
              </w:tabs>
              <w:spacing w:after="160" w:line="252" w:lineRule="auto"/>
              <w:contextualSpacing/>
              <w:jc w:val="both"/>
              <w:rPr>
                <w:rFonts w:eastAsia="Calibri"/>
                <w:lang w:eastAsia="en-US"/>
              </w:rPr>
            </w:pPr>
            <w:r w:rsidRPr="00D030E7">
              <w:rPr>
                <w:lang w:eastAsia="en-US"/>
              </w:rPr>
              <w:t xml:space="preserve">(Iepriekš izziņas </w:t>
            </w:r>
            <w:r>
              <w:rPr>
                <w:lang w:eastAsia="en-US"/>
              </w:rPr>
              <w:t>212</w:t>
            </w:r>
            <w:r w:rsidRPr="00D030E7">
              <w:rPr>
                <w:lang w:eastAsia="en-US"/>
              </w:rPr>
              <w:t>. punkts)</w:t>
            </w:r>
          </w:p>
          <w:p w14:paraId="73750E69" w14:textId="77777777" w:rsidR="001272D9" w:rsidRPr="009841AB" w:rsidRDefault="001272D9" w:rsidP="001272D9">
            <w:pPr>
              <w:tabs>
                <w:tab w:val="left" w:pos="993"/>
              </w:tabs>
              <w:spacing w:after="160" w:line="252" w:lineRule="auto"/>
              <w:contextualSpacing/>
              <w:jc w:val="both"/>
              <w:rPr>
                <w:rFonts w:eastAsia="Calibri"/>
                <w:lang w:eastAsia="en-US"/>
              </w:rPr>
            </w:pPr>
            <w:r w:rsidRPr="009841AB">
              <w:rPr>
                <w:rFonts w:eastAsia="Calibri"/>
                <w:lang w:eastAsia="en-US"/>
              </w:rPr>
              <w:t xml:space="preserve">12. Pamatnostādņu projekta 4.4.apakšsadaļas 4.4.10.3. Rīcības </w:t>
            </w:r>
            <w:proofErr w:type="spellStart"/>
            <w:r w:rsidRPr="009841AB">
              <w:rPr>
                <w:rFonts w:eastAsia="Calibri"/>
                <w:lang w:eastAsia="en-US"/>
              </w:rPr>
              <w:t>apakšvirziena</w:t>
            </w:r>
            <w:proofErr w:type="spellEnd"/>
            <w:r w:rsidRPr="009841AB">
              <w:rPr>
                <w:rFonts w:eastAsia="Calibri"/>
                <w:lang w:eastAsia="en-US"/>
              </w:rPr>
              <w:t xml:space="preserve"> “Infrastruktūra” 1.Rīcības nolūkā minēts, ka “Īstenota Valsts pārvaldes iestāžu skaitļošanas un datu glabātuvju infrastruktūras pakalpojumu konsolidācija, izveidojot 3 līdz 5 kompetenču centrus, kuri izmantojot automatizētas pārvaldības platformas nodrošina integrētus, </w:t>
            </w:r>
            <w:proofErr w:type="spellStart"/>
            <w:r w:rsidRPr="009841AB">
              <w:rPr>
                <w:rFonts w:eastAsia="Calibri"/>
                <w:lang w:eastAsia="en-US"/>
              </w:rPr>
              <w:lastRenderedPageBreak/>
              <w:t>sadarbspējīgus</w:t>
            </w:r>
            <w:proofErr w:type="spellEnd"/>
            <w:r w:rsidRPr="009841AB">
              <w:rPr>
                <w:rFonts w:eastAsia="Calibri"/>
                <w:lang w:eastAsia="en-US"/>
              </w:rPr>
              <w:t xml:space="preserve"> un savstarpēji aizstājošus modernā IS arhitektūrā būvētu informācijas sistēmu uzstādīšanas, laidienu pārvaldības, testēšanas, izmitināšanas un darbības uzraudzības pakalpojumus, tādejādi izveidojot bāzi nacionālā </w:t>
            </w:r>
            <w:proofErr w:type="spellStart"/>
            <w:r w:rsidRPr="009841AB">
              <w:rPr>
                <w:rFonts w:eastAsia="Calibri"/>
                <w:lang w:eastAsia="en-US"/>
              </w:rPr>
              <w:t>federētā</w:t>
            </w:r>
            <w:proofErr w:type="spellEnd"/>
            <w:r w:rsidRPr="009841AB">
              <w:rPr>
                <w:rFonts w:eastAsia="Calibri"/>
                <w:lang w:eastAsia="en-US"/>
              </w:rPr>
              <w:t xml:space="preserve"> mākoņa, kas mijiedarbojas ar nacionāliem publiskiem un privātiem infrastruktūras pakalpojumiem, izveidei.”</w:t>
            </w:r>
          </w:p>
          <w:p w14:paraId="6CB6BDD0" w14:textId="77777777" w:rsidR="001272D9" w:rsidRPr="009841AB" w:rsidRDefault="001272D9" w:rsidP="001272D9">
            <w:pPr>
              <w:tabs>
                <w:tab w:val="left" w:pos="993"/>
              </w:tabs>
              <w:spacing w:after="160" w:line="252" w:lineRule="auto"/>
              <w:ind w:firstLine="426"/>
              <w:contextualSpacing/>
              <w:jc w:val="both"/>
              <w:rPr>
                <w:rFonts w:eastAsia="Calibri"/>
                <w:lang w:eastAsia="en-US"/>
              </w:rPr>
            </w:pPr>
            <w:r w:rsidRPr="009841AB">
              <w:rPr>
                <w:rFonts w:eastAsia="Calibri"/>
                <w:lang w:eastAsia="en-US"/>
              </w:rPr>
              <w:t xml:space="preserve">Vēršam uzmanību,  kamēr nav izpildīts pamatnostādņu projekta 4.4.10.2. Rīcības </w:t>
            </w:r>
            <w:proofErr w:type="spellStart"/>
            <w:r w:rsidRPr="009841AB">
              <w:rPr>
                <w:rFonts w:eastAsia="Calibri"/>
                <w:lang w:eastAsia="en-US"/>
              </w:rPr>
              <w:t>apakšvirziena</w:t>
            </w:r>
            <w:proofErr w:type="spellEnd"/>
            <w:r w:rsidRPr="009841AB">
              <w:rPr>
                <w:rFonts w:eastAsia="Calibri"/>
                <w:lang w:eastAsia="en-US"/>
              </w:rPr>
              <w:t xml:space="preserve"> “Informācijas sistēmas (IS)” norādītais uzdevums U4.4.10.2.-1. “Izveidot plānu valsts informācijas sistēmu pārbūvei atbilstoši informatīvajā ziņojumā “Par valsts pārvaldes informācijas sistēmu arhitektūras reformu” noteiktajai arhitektūrai” un nodrošināts nepieciešamais finansējums IS pārbūvei, pamatnostādņu projekta 4.4.10.3.Rīcības virzienā minētais 1. Rīcības nolūks attiecināms tikai uz jaunām informācijas sistēmām vai pārbūvētām informācijas sistēmām, virzoties uz </w:t>
            </w:r>
            <w:proofErr w:type="spellStart"/>
            <w:r w:rsidRPr="009841AB">
              <w:rPr>
                <w:rFonts w:eastAsia="Calibri"/>
                <w:lang w:eastAsia="en-US"/>
              </w:rPr>
              <w:t>mākoņdatu</w:t>
            </w:r>
            <w:proofErr w:type="spellEnd"/>
            <w:r w:rsidRPr="009841AB">
              <w:rPr>
                <w:rFonts w:eastAsia="Calibri"/>
                <w:lang w:eastAsia="en-US"/>
              </w:rPr>
              <w:t xml:space="preserve"> infrastruktūras attīstību.</w:t>
            </w:r>
          </w:p>
          <w:p w14:paraId="399CD584" w14:textId="77777777" w:rsidR="001272D9" w:rsidRPr="009841AB" w:rsidRDefault="001272D9" w:rsidP="001272D9">
            <w:pPr>
              <w:ind w:right="12"/>
              <w:jc w:val="both"/>
              <w:rPr>
                <w:rFonts w:eastAsia="Calibri"/>
              </w:rPr>
            </w:pPr>
            <w:r w:rsidRPr="009841AB">
              <w:rPr>
                <w:rFonts w:eastAsia="Calibri"/>
                <w:u w:val="single"/>
                <w:lang w:eastAsia="en-US"/>
              </w:rPr>
              <w:t xml:space="preserve">Ņemot vērā minēto, ierosinām precizēt uzdevumu U4.4.10.3.-1 “Izveidot Latvijas valsts vienoto </w:t>
            </w:r>
            <w:proofErr w:type="spellStart"/>
            <w:r w:rsidRPr="009841AB">
              <w:rPr>
                <w:rFonts w:eastAsia="Calibri"/>
                <w:u w:val="single"/>
                <w:lang w:eastAsia="en-US"/>
              </w:rPr>
              <w:t>mākoņrisinājumu</w:t>
            </w:r>
            <w:proofErr w:type="spellEnd"/>
            <w:r w:rsidRPr="009841AB">
              <w:rPr>
                <w:rFonts w:eastAsia="Calibri"/>
                <w:u w:val="single"/>
                <w:lang w:eastAsia="en-US"/>
              </w:rPr>
              <w:t>, un ieviest ar to saistītos pakalpojumus”, nosakot sasniedzamo līmeni, jo līdz minētajam uzdevuma beigu termiņam valsts pārvaldes iestādes visdrīzāk pilnībā nepārstrādās savā pārziņā esošās valsts informācijas sistēmas</w:t>
            </w:r>
            <w:r w:rsidRPr="009841AB">
              <w:rPr>
                <w:rFonts w:eastAsia="Calibri"/>
                <w:lang w:eastAsia="en-US"/>
              </w:rPr>
              <w:t>.</w:t>
            </w:r>
          </w:p>
        </w:tc>
        <w:tc>
          <w:tcPr>
            <w:tcW w:w="2480" w:type="dxa"/>
            <w:tcBorders>
              <w:left w:val="single" w:sz="6" w:space="0" w:color="000000" w:themeColor="text1"/>
              <w:bottom w:val="single" w:sz="4" w:space="0" w:color="auto"/>
            </w:tcBorders>
            <w:shd w:val="clear" w:color="auto" w:fill="auto"/>
          </w:tcPr>
          <w:p w14:paraId="50B7F3A8" w14:textId="77777777" w:rsidR="001272D9" w:rsidRPr="009841AB" w:rsidRDefault="001272D9" w:rsidP="001272D9">
            <w:pPr>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3C0B518B" w14:textId="77777777" w:rsidR="001272D9" w:rsidRPr="009841AB" w:rsidRDefault="001272D9" w:rsidP="001272D9">
            <w:pPr>
              <w:pStyle w:val="naisc"/>
              <w:spacing w:before="0" w:after="0"/>
              <w:jc w:val="both"/>
            </w:pPr>
            <w:r w:rsidRPr="009841AB">
              <w:t xml:space="preserve">"Izveidot Latvijas valsts </w:t>
            </w:r>
            <w:proofErr w:type="spellStart"/>
            <w:r w:rsidRPr="009841AB">
              <w:t>mākoņskaitļošanas</w:t>
            </w:r>
            <w:proofErr w:type="spellEnd"/>
            <w:r w:rsidRPr="009841AB">
              <w:t xml:space="preserve"> </w:t>
            </w:r>
            <w:proofErr w:type="spellStart"/>
            <w:r w:rsidRPr="009841AB">
              <w:t>federēto</w:t>
            </w:r>
            <w:proofErr w:type="spellEnd"/>
            <w:r w:rsidRPr="009841AB">
              <w:t xml:space="preserve"> infrastruktūru un ieviest ar to saistītos pakalpojumus, vismaz 50% no valsts informācijas sistēmām, pārejot uz šo pakalpojumu izmantošanu”</w:t>
            </w:r>
          </w:p>
        </w:tc>
      </w:tr>
      <w:tr w:rsidR="00C857FC" w:rsidRPr="009841AB" w14:paraId="1BA452E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30D989B" w14:textId="77777777" w:rsidR="00C857FC" w:rsidRPr="009841AB" w:rsidRDefault="00C857FC" w:rsidP="00C857FC">
            <w:pPr>
              <w:pStyle w:val="naisc"/>
              <w:spacing w:before="0" w:after="0"/>
              <w:jc w:val="both"/>
            </w:pPr>
            <w:r w:rsidRPr="009841AB">
              <w:rPr>
                <w:b/>
                <w:bCs/>
                <w:lang w:eastAsia="en-US"/>
              </w:rPr>
              <w:t>Finanšu ministrijas 0</w:t>
            </w:r>
            <w:r>
              <w:rPr>
                <w:b/>
                <w:bCs/>
                <w:lang w:eastAsia="en-US"/>
              </w:rPr>
              <w:t>5</w:t>
            </w:r>
            <w:r w:rsidRPr="009841AB">
              <w:rPr>
                <w:b/>
                <w:bCs/>
                <w:lang w:eastAsia="en-US"/>
              </w:rPr>
              <w:t>.0</w:t>
            </w:r>
            <w:r>
              <w:rPr>
                <w:b/>
                <w:bCs/>
                <w:lang w:eastAsia="en-US"/>
              </w:rPr>
              <w:t>5</w:t>
            </w:r>
            <w:r w:rsidRPr="009841AB">
              <w:rPr>
                <w:b/>
                <w:bCs/>
                <w:lang w:eastAsia="en-US"/>
              </w:rPr>
              <w:t>.2021. atzinums:</w:t>
            </w:r>
          </w:p>
        </w:tc>
      </w:tr>
      <w:tr w:rsidR="00C857FC" w:rsidRPr="009841AB" w14:paraId="3499AD4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A0CD3D7" w14:textId="77777777" w:rsidR="00C857FC" w:rsidRPr="009841AB" w:rsidRDefault="002A5129" w:rsidP="00C857FC">
            <w:pPr>
              <w:pStyle w:val="naisc"/>
              <w:spacing w:before="0" w:after="0"/>
            </w:pPr>
            <w:r>
              <w:t>265</w:t>
            </w:r>
          </w:p>
        </w:tc>
        <w:tc>
          <w:tcPr>
            <w:tcW w:w="2427" w:type="dxa"/>
            <w:tcBorders>
              <w:left w:val="single" w:sz="6" w:space="0" w:color="000000" w:themeColor="text1"/>
              <w:bottom w:val="single" w:sz="4" w:space="0" w:color="auto"/>
            </w:tcBorders>
            <w:shd w:val="clear" w:color="auto" w:fill="auto"/>
          </w:tcPr>
          <w:p w14:paraId="29279EDF"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0069A97" w14:textId="77777777" w:rsidR="00C857FC" w:rsidRPr="00F11744" w:rsidRDefault="00C857FC" w:rsidP="00C857FC">
            <w:pPr>
              <w:tabs>
                <w:tab w:val="left" w:pos="993"/>
              </w:tabs>
              <w:spacing w:after="160" w:line="252" w:lineRule="auto"/>
              <w:contextualSpacing/>
              <w:jc w:val="both"/>
              <w:rPr>
                <w:rFonts w:eastAsia="Calibri"/>
                <w:lang w:eastAsia="en-US"/>
              </w:rPr>
            </w:pPr>
            <w:r>
              <w:rPr>
                <w:rFonts w:eastAsia="Calibri"/>
                <w:lang w:eastAsia="en-US"/>
              </w:rPr>
              <w:t xml:space="preserve">1. </w:t>
            </w:r>
            <w:r w:rsidRPr="00F11744">
              <w:rPr>
                <w:rFonts w:eastAsia="Calibri"/>
                <w:lang w:eastAsia="en-US"/>
              </w:rPr>
              <w:t xml:space="preserve">Pamatnostādņu projekta 4.4.apakšsadaļas 4.4.2.1. Rīcības </w:t>
            </w:r>
            <w:proofErr w:type="spellStart"/>
            <w:r w:rsidRPr="00F11744">
              <w:rPr>
                <w:rFonts w:eastAsia="Calibri"/>
                <w:lang w:eastAsia="en-US"/>
              </w:rPr>
              <w:t>apakšvirziena</w:t>
            </w:r>
            <w:proofErr w:type="spellEnd"/>
            <w:r w:rsidRPr="00F11744">
              <w:rPr>
                <w:rFonts w:eastAsia="Calibri"/>
                <w:lang w:eastAsia="en-US"/>
              </w:rPr>
              <w:t xml:space="preserve"> “Datu pārvaldības ietvars” Nepieciešamās rīcības 3. punktā uzdots noteikt kompetento organizāciju (struktūrvienību) par vienotas datu pārvaldības ieviešanu valsts pārvaldē.</w:t>
            </w:r>
          </w:p>
          <w:p w14:paraId="48657AEE" w14:textId="77777777" w:rsidR="00C857FC" w:rsidRPr="009841AB" w:rsidRDefault="00C857FC" w:rsidP="00C857FC">
            <w:pPr>
              <w:tabs>
                <w:tab w:val="left" w:pos="993"/>
              </w:tabs>
              <w:spacing w:after="160" w:line="252" w:lineRule="auto"/>
              <w:contextualSpacing/>
              <w:jc w:val="both"/>
              <w:rPr>
                <w:rFonts w:eastAsia="Calibri"/>
                <w:lang w:eastAsia="en-US"/>
              </w:rPr>
            </w:pPr>
            <w:r w:rsidRPr="00F11744">
              <w:rPr>
                <w:rFonts w:eastAsia="Calibri"/>
                <w:lang w:eastAsia="en-US"/>
              </w:rPr>
              <w:lastRenderedPageBreak/>
              <w:t>Lūdzam papildināt VARAM skaidrojumu, ka priekšlikums tiks iekļauts izziņā minētā Ministru prezidenta uzdevuma izpildes rezultātā sagatavotajos priekšlikumos tiesiskā ietvara pilnveidošanai.</w:t>
            </w:r>
          </w:p>
        </w:tc>
        <w:tc>
          <w:tcPr>
            <w:tcW w:w="2480" w:type="dxa"/>
            <w:tcBorders>
              <w:left w:val="single" w:sz="6" w:space="0" w:color="000000" w:themeColor="text1"/>
              <w:bottom w:val="single" w:sz="4" w:space="0" w:color="auto"/>
            </w:tcBorders>
            <w:shd w:val="clear" w:color="auto" w:fill="auto"/>
          </w:tcPr>
          <w:p w14:paraId="7829E1D6" w14:textId="77777777" w:rsidR="00C857FC" w:rsidRDefault="00C857FC" w:rsidP="00C857FC">
            <w:pPr>
              <w:rPr>
                <w:b/>
                <w:bCs/>
              </w:rPr>
            </w:pPr>
            <w:r>
              <w:rPr>
                <w:b/>
                <w:bCs/>
              </w:rPr>
              <w:lastRenderedPageBreak/>
              <w:t>Ņemts vērā</w:t>
            </w:r>
          </w:p>
          <w:p w14:paraId="79C9C5BA" w14:textId="77777777" w:rsidR="00C857FC" w:rsidRPr="00F24A10" w:rsidRDefault="00C857FC" w:rsidP="00C857FC">
            <w:r w:rsidRPr="00F24A10">
              <w:t>Iekļauta at</w:t>
            </w:r>
            <w:r>
              <w:t xml:space="preserve">sauce uz VARAM noteiktu Ministru kabineta uzdevumu. </w:t>
            </w:r>
            <w:r w:rsidR="0047487D">
              <w:t xml:space="preserve">Tāpat arī papildināts </w:t>
            </w:r>
            <w:r w:rsidR="0047487D">
              <w:lastRenderedPageBreak/>
              <w:t>Nepieciešamās rīcības 2. punkts.</w:t>
            </w:r>
          </w:p>
          <w:p w14:paraId="4CB35B7E" w14:textId="77777777" w:rsidR="00C857FC" w:rsidRPr="009841AB" w:rsidRDefault="00C857FC" w:rsidP="00C857FC">
            <w:pPr>
              <w:rPr>
                <w:b/>
                <w:bCs/>
              </w:rPr>
            </w:pPr>
          </w:p>
        </w:tc>
        <w:tc>
          <w:tcPr>
            <w:tcW w:w="3497" w:type="dxa"/>
            <w:tcBorders>
              <w:left w:val="single" w:sz="6" w:space="0" w:color="000000" w:themeColor="text1"/>
              <w:bottom w:val="single" w:sz="4" w:space="0" w:color="auto"/>
            </w:tcBorders>
            <w:shd w:val="clear" w:color="auto" w:fill="auto"/>
          </w:tcPr>
          <w:p w14:paraId="17C9D268" w14:textId="77777777" w:rsidR="00C857FC" w:rsidRPr="009841AB" w:rsidRDefault="00C857FC" w:rsidP="00C857FC">
            <w:pPr>
              <w:pStyle w:val="naisc"/>
              <w:spacing w:before="0" w:after="0"/>
              <w:jc w:val="both"/>
            </w:pPr>
            <w:r w:rsidRPr="009841AB">
              <w:lastRenderedPageBreak/>
              <w:t xml:space="preserve">Lūdzam skatīt </w:t>
            </w:r>
            <w:proofErr w:type="spellStart"/>
            <w:r w:rsidRPr="009841AB">
              <w:t>apakšsadaļu</w:t>
            </w:r>
            <w:proofErr w:type="spellEnd"/>
            <w:r w:rsidRPr="009841AB">
              <w:t xml:space="preserve"> 4.4.</w:t>
            </w:r>
            <w:r>
              <w:t>2</w:t>
            </w:r>
            <w:r w:rsidRPr="009841AB">
              <w:t>.1.</w:t>
            </w:r>
          </w:p>
        </w:tc>
      </w:tr>
      <w:tr w:rsidR="00C857FC" w:rsidRPr="009841AB" w14:paraId="76320A6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6988FC7" w14:textId="77777777" w:rsidR="00C857FC" w:rsidRPr="009841AB" w:rsidRDefault="002A5129" w:rsidP="00C857FC">
            <w:pPr>
              <w:pStyle w:val="naisc"/>
              <w:spacing w:before="0" w:after="0"/>
            </w:pPr>
            <w:r>
              <w:t>266</w:t>
            </w:r>
          </w:p>
        </w:tc>
        <w:tc>
          <w:tcPr>
            <w:tcW w:w="2427" w:type="dxa"/>
            <w:tcBorders>
              <w:left w:val="single" w:sz="6" w:space="0" w:color="000000" w:themeColor="text1"/>
              <w:bottom w:val="single" w:sz="4" w:space="0" w:color="auto"/>
            </w:tcBorders>
            <w:shd w:val="clear" w:color="auto" w:fill="auto"/>
          </w:tcPr>
          <w:p w14:paraId="25D06DC2"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80F6240" w14:textId="77777777" w:rsidR="00C857FC" w:rsidRPr="00F11744" w:rsidRDefault="00C857FC" w:rsidP="00C857FC">
            <w:pPr>
              <w:tabs>
                <w:tab w:val="left" w:pos="993"/>
              </w:tabs>
              <w:spacing w:after="160" w:line="252" w:lineRule="auto"/>
              <w:contextualSpacing/>
              <w:jc w:val="both"/>
              <w:rPr>
                <w:rFonts w:eastAsia="Calibri"/>
                <w:lang w:eastAsia="en-US"/>
              </w:rPr>
            </w:pPr>
            <w:r>
              <w:rPr>
                <w:rFonts w:eastAsia="Calibri"/>
                <w:lang w:eastAsia="en-US"/>
              </w:rPr>
              <w:t xml:space="preserve">2. </w:t>
            </w:r>
            <w:r w:rsidRPr="00F11744">
              <w:rPr>
                <w:rFonts w:eastAsia="Calibri"/>
                <w:lang w:eastAsia="en-US"/>
              </w:rPr>
              <w:t xml:space="preserve">Pamatnostādņu projekta 4.4.apakšsadaļas 4.4.2.1. Rīcības </w:t>
            </w:r>
            <w:proofErr w:type="spellStart"/>
            <w:r w:rsidRPr="00F11744">
              <w:rPr>
                <w:rFonts w:eastAsia="Calibri"/>
                <w:lang w:eastAsia="en-US"/>
              </w:rPr>
              <w:t>apakšvirziena</w:t>
            </w:r>
            <w:proofErr w:type="spellEnd"/>
            <w:r w:rsidRPr="00F11744">
              <w:rPr>
                <w:rFonts w:eastAsia="Calibri"/>
                <w:lang w:eastAsia="en-US"/>
              </w:rPr>
              <w:t xml:space="preserve"> “Datu pārvaldības ietvars” Nepieciešamās rīcības 4. punktā noteikts ieviest principu “Atvērts pēc noklusējuma”.</w:t>
            </w:r>
          </w:p>
          <w:p w14:paraId="113902A0" w14:textId="77777777" w:rsidR="00C857FC" w:rsidRPr="009841AB" w:rsidRDefault="00C857FC" w:rsidP="00C857FC">
            <w:pPr>
              <w:tabs>
                <w:tab w:val="left" w:pos="993"/>
              </w:tabs>
              <w:spacing w:after="160" w:line="252" w:lineRule="auto"/>
              <w:contextualSpacing/>
              <w:jc w:val="both"/>
              <w:rPr>
                <w:rFonts w:eastAsia="Calibri"/>
                <w:lang w:eastAsia="en-US"/>
              </w:rPr>
            </w:pPr>
            <w:r w:rsidRPr="00F11744">
              <w:rPr>
                <w:rFonts w:eastAsia="Calibri"/>
                <w:lang w:eastAsia="en-US"/>
              </w:rPr>
              <w:t>Uzskatām, ka ja netiks piešķirts papildu finansējums, tad Valsts ieņēmumu dienests (turpmāk – VID) nevarēs ievērot principu “Atvērts pēc noklusējuma”, lūdzam papildināt ar informāciju noradot finansējuma avotus.</w:t>
            </w:r>
          </w:p>
        </w:tc>
        <w:tc>
          <w:tcPr>
            <w:tcW w:w="2480" w:type="dxa"/>
            <w:tcBorders>
              <w:left w:val="single" w:sz="6" w:space="0" w:color="000000" w:themeColor="text1"/>
              <w:bottom w:val="single" w:sz="4" w:space="0" w:color="auto"/>
            </w:tcBorders>
            <w:shd w:val="clear" w:color="auto" w:fill="auto"/>
          </w:tcPr>
          <w:p w14:paraId="532671A4" w14:textId="77777777" w:rsidR="00C857FC" w:rsidRDefault="00C857FC" w:rsidP="00C857FC">
            <w:pPr>
              <w:rPr>
                <w:b/>
                <w:bCs/>
              </w:rPr>
            </w:pPr>
            <w:r>
              <w:rPr>
                <w:b/>
                <w:bCs/>
              </w:rPr>
              <w:t>Ņemts vērā</w:t>
            </w:r>
          </w:p>
          <w:p w14:paraId="04E27F4B" w14:textId="77777777" w:rsidR="00C857FC" w:rsidRDefault="00C857FC" w:rsidP="00C857FC">
            <w:r w:rsidRPr="001D0854">
              <w:t>Princips “Atvērts pēc noklusējuma”</w:t>
            </w:r>
            <w:r>
              <w:t xml:space="preserve"> ir jau apstiprināts ar MK 20.08.2019 informatīvo ziņojumu “Latvijas atvērto datu stratēģija”, kas citu starpā paredz uzdevumu izstrādāt vadlīnijas datu atvēršanai, tādējādi ieviešot principu “atvērts pēc noklusējuma”. Vienlaikus norādāms, ka vadlīnijas apskatā arī gadījumus, kad atvēršanas princips var būt ierobežots – piem. ja prioritāro datu kopu atvēršana un datu izsniegšana ir maksas pakalpojums, attiecīgi nosakot rīcību maksas pakalpojumu pārveidošanas ierosināšanai, paredzot uzdevumu iestādēm </w:t>
            </w:r>
            <w:r>
              <w:lastRenderedPageBreak/>
              <w:t xml:space="preserve">iesniegt pieprasījumus budžeta sagatavošanas procesā. </w:t>
            </w:r>
          </w:p>
          <w:p w14:paraId="003A0424" w14:textId="77777777" w:rsidR="00C857FC" w:rsidRPr="001D0854" w:rsidRDefault="00C857FC" w:rsidP="00C857FC">
            <w:r>
              <w:t xml:space="preserve">Vienlaikus VARAM norāda, ka Atjaunošanas un noturības mehānisma plāna projekts un Struktūrfondu finansējums paredz kopumā vairāk kā 23 </w:t>
            </w:r>
            <w:proofErr w:type="spellStart"/>
            <w:r>
              <w:t>milj</w:t>
            </w:r>
            <w:proofErr w:type="spellEnd"/>
            <w:r>
              <w:t xml:space="preserve"> eiro investīcijas VID digitālajos risinājumos un platformās, kas jāparedz arī datu/ </w:t>
            </w:r>
            <w:proofErr w:type="spellStart"/>
            <w:r>
              <w:t>saskarņu</w:t>
            </w:r>
            <w:proofErr w:type="spellEnd"/>
            <w:r>
              <w:t xml:space="preserve"> tehniskās pieejamības nodrošināšanai, kā to VID ir norādījis arī attiecīgo finansējuma pamatojumos. Papildus, tiks vērtētas iespējas izmantot Digitālās Eiropas programmas finansējumu, kas būs paredzēts augstvērtīgo datu kopu atvēršanai (šobrīd EK vēl definē minētās datu kopas).  </w:t>
            </w:r>
          </w:p>
        </w:tc>
        <w:tc>
          <w:tcPr>
            <w:tcW w:w="3497" w:type="dxa"/>
            <w:tcBorders>
              <w:left w:val="single" w:sz="6" w:space="0" w:color="000000" w:themeColor="text1"/>
              <w:bottom w:val="single" w:sz="4" w:space="0" w:color="auto"/>
            </w:tcBorders>
            <w:shd w:val="clear" w:color="auto" w:fill="auto"/>
          </w:tcPr>
          <w:p w14:paraId="5428DB3B" w14:textId="18C80B72" w:rsidR="008A0052" w:rsidRDefault="008A0052" w:rsidP="00E772EE">
            <w:pPr>
              <w:spacing w:before="120" w:after="120" w:line="259" w:lineRule="auto"/>
              <w:jc w:val="both"/>
            </w:pPr>
            <w:r w:rsidRPr="009841AB">
              <w:lastRenderedPageBreak/>
              <w:t>Lūdzam skatīt sadaļu 4.</w:t>
            </w:r>
            <w:r>
              <w:t>4.</w:t>
            </w:r>
          </w:p>
          <w:p w14:paraId="4CBD8CC7" w14:textId="6A582FA6" w:rsidR="00427DF5" w:rsidRPr="00427DF5" w:rsidRDefault="00E772EE" w:rsidP="00E772EE">
            <w:pPr>
              <w:spacing w:before="120" w:after="120" w:line="259" w:lineRule="auto"/>
              <w:jc w:val="both"/>
            </w:pPr>
            <w:r>
              <w:t xml:space="preserve">4. </w:t>
            </w:r>
            <w:r w:rsidR="00427DF5" w:rsidRPr="00427DF5">
              <w:t>Ieviests princips “Atvērts pēc noklusējuma”.</w:t>
            </w:r>
            <w:r w:rsidR="00427DF5">
              <w:rPr>
                <w:rStyle w:val="FootnoteReference"/>
              </w:rPr>
              <w:footnoteReference w:id="3"/>
            </w:r>
            <w:r w:rsidR="00427DF5" w:rsidRPr="00427DF5">
              <w:t xml:space="preserve"> Papildus identificējot un tiesību aktā nosakot augstvērtīgās datu kopas, kuru atvēršana veicama obligāti, apzinot tam nepieciešamo finansējumu.</w:t>
            </w:r>
          </w:p>
          <w:p w14:paraId="1ECE94E0" w14:textId="77777777" w:rsidR="00C857FC" w:rsidRPr="009841AB" w:rsidRDefault="00C857FC" w:rsidP="00C857FC">
            <w:pPr>
              <w:pStyle w:val="naisc"/>
              <w:spacing w:before="0" w:after="0"/>
              <w:jc w:val="both"/>
            </w:pPr>
          </w:p>
        </w:tc>
      </w:tr>
      <w:tr w:rsidR="00C857FC" w:rsidRPr="009841AB" w14:paraId="283E8D1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8C6C226" w14:textId="77777777" w:rsidR="00C857FC" w:rsidRPr="009841AB" w:rsidRDefault="002A5129" w:rsidP="00C857FC">
            <w:pPr>
              <w:pStyle w:val="naisc"/>
              <w:spacing w:before="0" w:after="0"/>
            </w:pPr>
            <w:r>
              <w:lastRenderedPageBreak/>
              <w:t>267</w:t>
            </w:r>
          </w:p>
        </w:tc>
        <w:tc>
          <w:tcPr>
            <w:tcW w:w="2427" w:type="dxa"/>
            <w:tcBorders>
              <w:left w:val="single" w:sz="6" w:space="0" w:color="000000" w:themeColor="text1"/>
              <w:bottom w:val="single" w:sz="4" w:space="0" w:color="auto"/>
            </w:tcBorders>
            <w:shd w:val="clear" w:color="auto" w:fill="auto"/>
          </w:tcPr>
          <w:p w14:paraId="7C1321D0"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5052C11" w14:textId="77777777" w:rsidR="00C857FC" w:rsidRPr="00F11744" w:rsidRDefault="00C857FC" w:rsidP="00C857FC">
            <w:pPr>
              <w:tabs>
                <w:tab w:val="left" w:pos="993"/>
              </w:tabs>
              <w:spacing w:after="160" w:line="252" w:lineRule="auto"/>
              <w:contextualSpacing/>
              <w:jc w:val="both"/>
              <w:rPr>
                <w:rFonts w:eastAsia="Calibri"/>
                <w:lang w:eastAsia="en-US"/>
              </w:rPr>
            </w:pPr>
            <w:r>
              <w:rPr>
                <w:rFonts w:eastAsia="Calibri"/>
                <w:lang w:eastAsia="en-US"/>
              </w:rPr>
              <w:t xml:space="preserve">3. </w:t>
            </w:r>
            <w:r w:rsidRPr="00F11744">
              <w:rPr>
                <w:rFonts w:eastAsia="Calibri"/>
                <w:lang w:eastAsia="en-US"/>
              </w:rPr>
              <w:t xml:space="preserve">Pamatnostādņu projekta 4.4.apakšsadaļas 4.4.2.3. Rīcības </w:t>
            </w:r>
            <w:proofErr w:type="spellStart"/>
            <w:r w:rsidRPr="00F11744">
              <w:rPr>
                <w:rFonts w:eastAsia="Calibri"/>
                <w:lang w:eastAsia="en-US"/>
              </w:rPr>
              <w:t>apakšvirziena</w:t>
            </w:r>
            <w:proofErr w:type="spellEnd"/>
            <w:r w:rsidRPr="00F11744">
              <w:rPr>
                <w:rFonts w:eastAsia="Calibri"/>
                <w:lang w:eastAsia="en-US"/>
              </w:rPr>
              <w:t xml:space="preserve"> “Nacionālā datu pārvaldības platforma” Nepieciešamās rīcības 5. punktā plānots noteikt kā obligātu visu valsts sektora vispārpieejamā </w:t>
            </w:r>
            <w:r w:rsidRPr="00F11744">
              <w:rPr>
                <w:rFonts w:eastAsia="Calibri"/>
                <w:lang w:eastAsia="en-US"/>
              </w:rPr>
              <w:lastRenderedPageBreak/>
              <w:t>informācijā ietverto datu publicēšanu Latvijas Atvērto datu portālā, sekmējot ērtu pieejamību valsts pārvaldes atvērtajiem datiem.</w:t>
            </w:r>
          </w:p>
          <w:p w14:paraId="32783343" w14:textId="77777777" w:rsidR="00C857FC" w:rsidRPr="009841AB" w:rsidRDefault="00C857FC" w:rsidP="00C857FC">
            <w:pPr>
              <w:tabs>
                <w:tab w:val="left" w:pos="993"/>
              </w:tabs>
              <w:spacing w:after="160" w:line="252" w:lineRule="auto"/>
              <w:contextualSpacing/>
              <w:jc w:val="both"/>
              <w:rPr>
                <w:rFonts w:eastAsia="Calibri"/>
                <w:lang w:eastAsia="en-US"/>
              </w:rPr>
            </w:pPr>
            <w:r w:rsidRPr="00F11744">
              <w:rPr>
                <w:rFonts w:eastAsia="Calibri"/>
                <w:lang w:eastAsia="en-US"/>
              </w:rPr>
              <w:t>Ja prioritāro datu kopu saraksts, ko VARAM ir apzinājis, tiks papildināts un tajā papildu būs iekļautas VID piekritīgas datu kopas, tad bez papildu finansējuma VID tās nevarēs atvērt. Lūdzam papildināt ar informāciju norādot finansējuma avotus.</w:t>
            </w:r>
          </w:p>
        </w:tc>
        <w:tc>
          <w:tcPr>
            <w:tcW w:w="2480" w:type="dxa"/>
            <w:tcBorders>
              <w:left w:val="single" w:sz="6" w:space="0" w:color="000000" w:themeColor="text1"/>
              <w:bottom w:val="single" w:sz="4" w:space="0" w:color="auto"/>
            </w:tcBorders>
            <w:shd w:val="clear" w:color="auto" w:fill="auto"/>
          </w:tcPr>
          <w:p w14:paraId="485355D3" w14:textId="77777777" w:rsidR="00C857FC" w:rsidRDefault="00C857FC" w:rsidP="00C857FC">
            <w:pPr>
              <w:rPr>
                <w:b/>
                <w:bCs/>
              </w:rPr>
            </w:pPr>
            <w:r>
              <w:rPr>
                <w:b/>
                <w:bCs/>
              </w:rPr>
              <w:lastRenderedPageBreak/>
              <w:t>Ņemts vērā</w:t>
            </w:r>
          </w:p>
          <w:p w14:paraId="40105A3E" w14:textId="77777777" w:rsidR="00C857FC" w:rsidRDefault="00C857FC" w:rsidP="00C857FC">
            <w:pPr>
              <w:rPr>
                <w:b/>
                <w:bCs/>
              </w:rPr>
            </w:pPr>
          </w:p>
          <w:p w14:paraId="4E62C727" w14:textId="77777777" w:rsidR="00C857FC" w:rsidRPr="00172B95" w:rsidRDefault="00C857FC" w:rsidP="00C857FC">
            <w:r w:rsidRPr="00172B95">
              <w:lastRenderedPageBreak/>
              <w:t xml:space="preserve">Skat. atbildi uz iepriekšējo iebildumu (VID #2). </w:t>
            </w:r>
          </w:p>
        </w:tc>
        <w:tc>
          <w:tcPr>
            <w:tcW w:w="3497" w:type="dxa"/>
            <w:tcBorders>
              <w:left w:val="single" w:sz="6" w:space="0" w:color="000000" w:themeColor="text1"/>
              <w:bottom w:val="single" w:sz="4" w:space="0" w:color="auto"/>
            </w:tcBorders>
            <w:shd w:val="clear" w:color="auto" w:fill="auto"/>
          </w:tcPr>
          <w:p w14:paraId="3E7EF9B6" w14:textId="77777777" w:rsidR="00C857FC" w:rsidRPr="009841AB" w:rsidRDefault="00C857FC" w:rsidP="00C857FC">
            <w:pPr>
              <w:pStyle w:val="naisc"/>
              <w:spacing w:before="0" w:after="0"/>
              <w:jc w:val="both"/>
            </w:pPr>
          </w:p>
        </w:tc>
      </w:tr>
      <w:tr w:rsidR="00C857FC" w:rsidRPr="009841AB" w14:paraId="7211466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2B77A42" w14:textId="77777777" w:rsidR="00C857FC" w:rsidRPr="009841AB" w:rsidRDefault="002A5129" w:rsidP="00C857FC">
            <w:pPr>
              <w:pStyle w:val="naisc"/>
              <w:spacing w:before="0" w:after="0"/>
            </w:pPr>
            <w:r>
              <w:t>268</w:t>
            </w:r>
          </w:p>
        </w:tc>
        <w:tc>
          <w:tcPr>
            <w:tcW w:w="2427" w:type="dxa"/>
            <w:tcBorders>
              <w:left w:val="single" w:sz="6" w:space="0" w:color="000000" w:themeColor="text1"/>
              <w:bottom w:val="single" w:sz="4" w:space="0" w:color="auto"/>
            </w:tcBorders>
            <w:shd w:val="clear" w:color="auto" w:fill="auto"/>
          </w:tcPr>
          <w:p w14:paraId="53D9F3B7"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B67A718" w14:textId="77777777" w:rsidR="00C857FC" w:rsidRDefault="00C857FC" w:rsidP="00C857FC">
            <w:pPr>
              <w:tabs>
                <w:tab w:val="left" w:pos="993"/>
              </w:tabs>
              <w:spacing w:after="160" w:line="252" w:lineRule="auto"/>
              <w:contextualSpacing/>
              <w:jc w:val="both"/>
              <w:rPr>
                <w:rFonts w:eastAsia="Calibri"/>
                <w:lang w:eastAsia="en-US"/>
              </w:rPr>
            </w:pPr>
            <w:r>
              <w:rPr>
                <w:rFonts w:eastAsia="Calibri"/>
                <w:lang w:eastAsia="en-US"/>
              </w:rPr>
              <w:t xml:space="preserve">4. </w:t>
            </w:r>
            <w:r w:rsidRPr="00DB4F10">
              <w:rPr>
                <w:rFonts w:eastAsia="Calibri"/>
                <w:lang w:eastAsia="en-US"/>
              </w:rPr>
              <w:t xml:space="preserve">Pamatnostādņu projekta 4.4.apakšsadaļas 4.4.2.3. Rīcības </w:t>
            </w:r>
            <w:proofErr w:type="spellStart"/>
            <w:r w:rsidRPr="00DB4F10">
              <w:rPr>
                <w:rFonts w:eastAsia="Calibri"/>
                <w:lang w:eastAsia="en-US"/>
              </w:rPr>
              <w:t>apakšvirziena</w:t>
            </w:r>
            <w:proofErr w:type="spellEnd"/>
            <w:r w:rsidRPr="00DB4F10">
              <w:rPr>
                <w:rFonts w:eastAsia="Calibri"/>
                <w:lang w:eastAsia="en-US"/>
              </w:rPr>
              <w:t xml:space="preserve"> “Nacionālā datu pārvaldības platforma” Nepieciešamās rīcības 6.punkts paredz nodrošināt sabiedrībai būtisko datu kopu atvēršanu, ieviešot sistēmisku pieeju par maksu pieejamo datu finansēšanas kārtības pārskatīšanai. Ņemot vērā, ka jautājums par datu atvēršanu no VARAM puses tika pieteikts arī Izdevumu pārskatīšanas darba grupas 2021.gada 23.aprīļa sanāksmē un pēc tās atsūtītajā prezentācijā tika norādīts, ka sagaidāmās izmaksas veidosies Valsts zemes dienestam (Tieslietu ministrijas padotības iestāde) un VSIA "Latvijas Vides, ģeoloģijas un meteoroloģijas centrs" (VARAM kapitālsabiedrība), lūdzam pamatnostādnēs skaidrot, kāpēc finansējums šī uzdevuma īstenošanai pamatnostādņu projekta 3.pielikumā plānots tikai VARAM un vai uzdevuma ietvaros visas nepieciešamās rīcības plānots īstenot ar ES politiku instrumentu un pārējās ārvalstu finanšu palīdzības instrumentu finansējumu, kā tas norādīts pamatnostādņu projekta 3.pielikumā.</w:t>
            </w:r>
          </w:p>
        </w:tc>
        <w:tc>
          <w:tcPr>
            <w:tcW w:w="2480" w:type="dxa"/>
            <w:tcBorders>
              <w:left w:val="single" w:sz="6" w:space="0" w:color="000000" w:themeColor="text1"/>
              <w:bottom w:val="single" w:sz="4" w:space="0" w:color="auto"/>
            </w:tcBorders>
            <w:shd w:val="clear" w:color="auto" w:fill="auto"/>
          </w:tcPr>
          <w:p w14:paraId="02823EFB" w14:textId="77777777" w:rsidR="00C857FC" w:rsidRDefault="00C857FC" w:rsidP="00C857FC">
            <w:pPr>
              <w:rPr>
                <w:b/>
                <w:bCs/>
              </w:rPr>
            </w:pPr>
            <w:r>
              <w:rPr>
                <w:b/>
                <w:bCs/>
              </w:rPr>
              <w:t>Ņemts vērā</w:t>
            </w:r>
          </w:p>
          <w:p w14:paraId="59B6CF04" w14:textId="77777777" w:rsidR="00C857FC" w:rsidRDefault="00C857FC" w:rsidP="00C857FC"/>
          <w:p w14:paraId="5530B042" w14:textId="77777777" w:rsidR="00C857FC" w:rsidRDefault="00C857FC" w:rsidP="00C857FC">
            <w:pPr>
              <w:rPr>
                <w:rFonts w:eastAsia="Calibri"/>
                <w:lang w:eastAsia="en-US"/>
              </w:rPr>
            </w:pPr>
            <w:r>
              <w:t xml:space="preserve">VARAM pieteiktais jautājums </w:t>
            </w:r>
            <w:r w:rsidRPr="002B688E">
              <w:rPr>
                <w:rFonts w:eastAsia="Calibri"/>
                <w:i/>
                <w:iCs/>
                <w:lang w:eastAsia="en-US"/>
              </w:rPr>
              <w:t>Izdevumu pārskatīšanas darba grupas</w:t>
            </w:r>
            <w:r w:rsidRPr="00DB4F10">
              <w:rPr>
                <w:rFonts w:eastAsia="Calibri"/>
                <w:lang w:eastAsia="en-US"/>
              </w:rPr>
              <w:t xml:space="preserve"> 2021.gada 23.aprīļa sanāksmē</w:t>
            </w:r>
            <w:r>
              <w:rPr>
                <w:rFonts w:eastAsia="Calibri"/>
                <w:lang w:eastAsia="en-US"/>
              </w:rPr>
              <w:t xml:space="preserve"> ieskicēja problēmas būtību un prezentācijā norādītās datu kopas ir šobrīd identificētās augstvērtīgās datu kopas, kuras šobrīd tiek nodrošinātas kā maksas pakalpojums. Tomēr, ir paredzams, ka nākotnē varētu tikt identificētas arī citas datu kopas ar līdzīgu izaicinājumu. </w:t>
            </w:r>
          </w:p>
          <w:p w14:paraId="47E6C2B8" w14:textId="77777777" w:rsidR="00C857FC" w:rsidRDefault="00C857FC" w:rsidP="00C857FC">
            <w:pPr>
              <w:rPr>
                <w:rFonts w:eastAsia="Calibri"/>
                <w:lang w:eastAsia="en-US"/>
              </w:rPr>
            </w:pPr>
          </w:p>
          <w:p w14:paraId="7AC8F883" w14:textId="77777777" w:rsidR="00C857FC" w:rsidRDefault="00C857FC" w:rsidP="00C857FC">
            <w:r>
              <w:rPr>
                <w:rFonts w:eastAsia="Calibri"/>
                <w:lang w:eastAsia="en-US"/>
              </w:rPr>
              <w:t xml:space="preserve">Šobrīd atvērto datu vadlīnijas, kuras izriet no </w:t>
            </w:r>
            <w:r>
              <w:t xml:space="preserve">MK 20.08.2019 informatīvā ziņojuma “Latvijas atvērto datu </w:t>
            </w:r>
            <w:r>
              <w:lastRenderedPageBreak/>
              <w:t xml:space="preserve">stratēģija” uzdevuma 3.3. punkts paredz, ka šādos gadījumos iestādes minēto datu maksas pakalpojumu kompensēšanu iekļauj budžeta sagatavošanas procesa priekšlikumos. Ņemot vērā, ka datu kopu tvērums ir mainīgs, tas nav absolūti nosakāms, tāpēc </w:t>
            </w:r>
            <w:r w:rsidRPr="00107A6A">
              <w:t>4.4.2.3.-2</w:t>
            </w:r>
            <w:r>
              <w:t xml:space="preserve"> uzdevumam papildus finansējums nav identificēts.</w:t>
            </w:r>
          </w:p>
          <w:p w14:paraId="0AF2BA78" w14:textId="77777777" w:rsidR="00C857FC" w:rsidRDefault="00C857FC" w:rsidP="00C857FC"/>
          <w:p w14:paraId="1CE85142" w14:textId="77777777" w:rsidR="00C857FC" w:rsidRPr="002B688E" w:rsidRDefault="00C857FC" w:rsidP="00C857FC">
            <w:r>
              <w:t xml:space="preserve">Savukārt 3. pielikumā norādītais  </w:t>
            </w:r>
            <w:r w:rsidRPr="00107A6A">
              <w:t>4.4.2.3.-2</w:t>
            </w:r>
            <w:r>
              <w:t xml:space="preserve"> uzdevuma finansējums ir paredzēts nozaru ministriju atbalstam augstvērtīgo datu kopu tehniskās atvēršanas nodrošināšanai. Finansējums nav paredzēts VARAM, bet tā ir plānota kā VARAM pārvaldīta horizontāla aktivitāte, kur atbalsts būs pieejams nozaru ministrijām, atbilstoši atvērto datu direktīvas un nacionālajā </w:t>
            </w:r>
            <w:r>
              <w:lastRenderedPageBreak/>
              <w:t xml:space="preserve">regulējumā noteiktajam augstvērtīgo datu kopu sarakstam (skat. VSS-385). Uz to norāda arī “V” kolonnā norādītā piezīme.    </w:t>
            </w:r>
            <w:r>
              <w:rPr>
                <w:rFonts w:eastAsia="Calibri"/>
                <w:lang w:eastAsia="en-US"/>
              </w:rPr>
              <w:t xml:space="preserve">  </w:t>
            </w:r>
          </w:p>
        </w:tc>
        <w:tc>
          <w:tcPr>
            <w:tcW w:w="3497" w:type="dxa"/>
            <w:tcBorders>
              <w:left w:val="single" w:sz="6" w:space="0" w:color="000000" w:themeColor="text1"/>
              <w:bottom w:val="single" w:sz="4" w:space="0" w:color="auto"/>
            </w:tcBorders>
            <w:shd w:val="clear" w:color="auto" w:fill="auto"/>
          </w:tcPr>
          <w:p w14:paraId="3B2514BE" w14:textId="77777777" w:rsidR="008A0052" w:rsidRDefault="008A0052" w:rsidP="008A0052">
            <w:pPr>
              <w:pStyle w:val="naisc"/>
              <w:spacing w:before="0" w:after="0"/>
              <w:jc w:val="both"/>
            </w:pPr>
            <w:r w:rsidRPr="009841AB">
              <w:lastRenderedPageBreak/>
              <w:t>Lūdzam skatīt sadaļu 4.</w:t>
            </w:r>
            <w:r>
              <w:t>4.</w:t>
            </w:r>
          </w:p>
          <w:p w14:paraId="17820548" w14:textId="77777777" w:rsidR="00C857FC" w:rsidRPr="009841AB" w:rsidRDefault="00C857FC" w:rsidP="00C857FC">
            <w:pPr>
              <w:pStyle w:val="naisc"/>
              <w:spacing w:before="0" w:after="0"/>
              <w:jc w:val="both"/>
            </w:pPr>
          </w:p>
        </w:tc>
      </w:tr>
      <w:tr w:rsidR="00C857FC" w:rsidRPr="009841AB" w14:paraId="41AD2AB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BC63CC0" w14:textId="77777777" w:rsidR="00C857FC" w:rsidRPr="009841AB" w:rsidRDefault="002A5129" w:rsidP="00C857FC">
            <w:pPr>
              <w:pStyle w:val="naisc"/>
              <w:spacing w:before="0" w:after="0"/>
            </w:pPr>
            <w:r>
              <w:lastRenderedPageBreak/>
              <w:t>269</w:t>
            </w:r>
          </w:p>
        </w:tc>
        <w:tc>
          <w:tcPr>
            <w:tcW w:w="2427" w:type="dxa"/>
            <w:tcBorders>
              <w:left w:val="single" w:sz="6" w:space="0" w:color="000000" w:themeColor="text1"/>
              <w:bottom w:val="single" w:sz="4" w:space="0" w:color="auto"/>
            </w:tcBorders>
            <w:shd w:val="clear" w:color="auto" w:fill="auto"/>
          </w:tcPr>
          <w:p w14:paraId="1F156419"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2ADDE77" w14:textId="77777777" w:rsidR="00C857FC" w:rsidRPr="00DB4F10" w:rsidRDefault="00C857FC" w:rsidP="00C857FC">
            <w:pPr>
              <w:tabs>
                <w:tab w:val="left" w:pos="993"/>
              </w:tabs>
              <w:spacing w:after="160" w:line="252" w:lineRule="auto"/>
              <w:contextualSpacing/>
              <w:jc w:val="both"/>
              <w:rPr>
                <w:rFonts w:eastAsia="Calibri"/>
                <w:lang w:eastAsia="en-US"/>
              </w:rPr>
            </w:pPr>
            <w:r>
              <w:rPr>
                <w:rFonts w:eastAsia="Calibri"/>
                <w:lang w:eastAsia="en-US"/>
              </w:rPr>
              <w:t xml:space="preserve">5. </w:t>
            </w:r>
            <w:r w:rsidRPr="00DB4F10">
              <w:rPr>
                <w:rFonts w:eastAsia="Calibri"/>
                <w:lang w:eastAsia="en-US"/>
              </w:rPr>
              <w:t xml:space="preserve">Lūdzam svītrot pamatnostādņu projekta 4.4.apakšsadaļas 4.4.3.1. Rīcības </w:t>
            </w:r>
            <w:proofErr w:type="spellStart"/>
            <w:r w:rsidRPr="00DB4F10">
              <w:rPr>
                <w:rFonts w:eastAsia="Calibri"/>
                <w:lang w:eastAsia="en-US"/>
              </w:rPr>
              <w:t>apakšvirziena</w:t>
            </w:r>
            <w:proofErr w:type="spellEnd"/>
            <w:r w:rsidRPr="00DB4F10">
              <w:rPr>
                <w:rFonts w:eastAsia="Calibri"/>
                <w:lang w:eastAsia="en-US"/>
              </w:rPr>
              <w:t xml:space="preserve"> “Digitālo finanšu aktīvu attīstība” uzdevumu 4.4.3.1.-1: Finanšu ministrijai Izveidot normatīvo aktu ietvaru Latvijas digitālajiem finanšu aktīviem.</w:t>
            </w:r>
          </w:p>
          <w:p w14:paraId="333C245E" w14:textId="77777777" w:rsidR="00C857FC" w:rsidRDefault="00C857FC" w:rsidP="00C857FC">
            <w:pPr>
              <w:tabs>
                <w:tab w:val="left" w:pos="993"/>
              </w:tabs>
              <w:spacing w:after="160" w:line="252" w:lineRule="auto"/>
              <w:contextualSpacing/>
              <w:jc w:val="both"/>
              <w:rPr>
                <w:rFonts w:eastAsia="Calibri"/>
                <w:lang w:eastAsia="en-US"/>
              </w:rPr>
            </w:pPr>
            <w:r w:rsidRPr="00DB4F10">
              <w:rPr>
                <w:rFonts w:eastAsia="Calibri"/>
                <w:lang w:eastAsia="en-US"/>
              </w:rPr>
              <w:t xml:space="preserve">Šobrīd notiek darbs pie ES regulējuma </w:t>
            </w:r>
            <w:proofErr w:type="spellStart"/>
            <w:r w:rsidRPr="00DB4F10">
              <w:rPr>
                <w:rFonts w:eastAsia="Calibri"/>
                <w:lang w:eastAsia="en-US"/>
              </w:rPr>
              <w:t>kripto</w:t>
            </w:r>
            <w:proofErr w:type="spellEnd"/>
            <w:r w:rsidRPr="00DB4F10">
              <w:rPr>
                <w:rFonts w:eastAsia="Calibri"/>
                <w:lang w:eastAsia="en-US"/>
              </w:rPr>
              <w:t xml:space="preserve"> aktīviem (Regulas priekšlikums: EIROPAS PARLAMENTA UN PADOMES REGULA par </w:t>
            </w:r>
            <w:proofErr w:type="spellStart"/>
            <w:r w:rsidRPr="00DB4F10">
              <w:rPr>
                <w:rFonts w:eastAsia="Calibri"/>
                <w:lang w:eastAsia="en-US"/>
              </w:rPr>
              <w:t>kriptoaktīvu</w:t>
            </w:r>
            <w:proofErr w:type="spellEnd"/>
            <w:r w:rsidRPr="00DB4F10">
              <w:rPr>
                <w:rFonts w:eastAsia="Calibri"/>
                <w:lang w:eastAsia="en-US"/>
              </w:rPr>
              <w:t xml:space="preserve"> tirgiem un ar ko groza Direktīvu (ES) 2019/1937, https://eur-lex.europa.eu/legal-content/EN/TXT/?uri=CELEX%3A52020PC0593). Tādēļ uzskatām, ka nav vajadzības pēc šāda uzdevuma, jo regulējums tiks nodrošināts, ieviešot regulu, kad tā stāsies spēkā.</w:t>
            </w:r>
          </w:p>
        </w:tc>
        <w:tc>
          <w:tcPr>
            <w:tcW w:w="2480" w:type="dxa"/>
            <w:tcBorders>
              <w:left w:val="single" w:sz="6" w:space="0" w:color="000000" w:themeColor="text1"/>
              <w:bottom w:val="single" w:sz="4" w:space="0" w:color="auto"/>
            </w:tcBorders>
            <w:shd w:val="clear" w:color="auto" w:fill="auto"/>
          </w:tcPr>
          <w:p w14:paraId="404BAAE4" w14:textId="77777777" w:rsidR="008A2A01" w:rsidRDefault="008A2A01" w:rsidP="008A2A01">
            <w:pPr>
              <w:pStyle w:val="naisc"/>
              <w:jc w:val="both"/>
              <w:rPr>
                <w:b/>
                <w:bCs/>
              </w:rPr>
            </w:pPr>
            <w:r>
              <w:rPr>
                <w:b/>
                <w:bCs/>
              </w:rPr>
              <w:t>Panākta vienošanās</w:t>
            </w:r>
          </w:p>
          <w:p w14:paraId="6EA6C513" w14:textId="77777777" w:rsidR="00C857FC" w:rsidRPr="009841AB" w:rsidRDefault="005336B9" w:rsidP="00C857FC">
            <w:pPr>
              <w:rPr>
                <w:b/>
                <w:bCs/>
              </w:rPr>
            </w:pPr>
            <w:r>
              <w:rPr>
                <w:lang w:eastAsia="en-US"/>
              </w:rPr>
              <w:t xml:space="preserve">Uzdevums svītrots. </w:t>
            </w:r>
          </w:p>
        </w:tc>
        <w:tc>
          <w:tcPr>
            <w:tcW w:w="3497" w:type="dxa"/>
            <w:tcBorders>
              <w:left w:val="single" w:sz="6" w:space="0" w:color="000000" w:themeColor="text1"/>
              <w:bottom w:val="single" w:sz="4" w:space="0" w:color="auto"/>
            </w:tcBorders>
            <w:shd w:val="clear" w:color="auto" w:fill="auto"/>
          </w:tcPr>
          <w:p w14:paraId="46A4CBA3" w14:textId="77777777" w:rsidR="008A0052" w:rsidRDefault="008A0052" w:rsidP="008A0052">
            <w:pPr>
              <w:pStyle w:val="naisc"/>
              <w:spacing w:before="0" w:after="0"/>
              <w:jc w:val="both"/>
            </w:pPr>
            <w:r w:rsidRPr="009841AB">
              <w:t>Lūdzam skatīt sadaļu 4.</w:t>
            </w:r>
            <w:r>
              <w:t>4.</w:t>
            </w:r>
          </w:p>
          <w:p w14:paraId="0EE35128" w14:textId="77777777" w:rsidR="00C857FC" w:rsidRPr="009841AB" w:rsidRDefault="00C857FC" w:rsidP="00C857FC">
            <w:pPr>
              <w:pStyle w:val="naisc"/>
              <w:spacing w:before="0" w:after="0"/>
              <w:jc w:val="both"/>
            </w:pPr>
          </w:p>
        </w:tc>
      </w:tr>
      <w:tr w:rsidR="00C857FC" w:rsidRPr="009841AB" w14:paraId="0860988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B4BCD3A" w14:textId="77777777" w:rsidR="00C857FC" w:rsidRPr="009841AB" w:rsidRDefault="002A5129" w:rsidP="00C857FC">
            <w:pPr>
              <w:pStyle w:val="naisc"/>
              <w:spacing w:before="0" w:after="0"/>
            </w:pPr>
            <w:r>
              <w:t>270</w:t>
            </w:r>
          </w:p>
        </w:tc>
        <w:tc>
          <w:tcPr>
            <w:tcW w:w="2427" w:type="dxa"/>
            <w:tcBorders>
              <w:left w:val="single" w:sz="6" w:space="0" w:color="000000" w:themeColor="text1"/>
              <w:bottom w:val="single" w:sz="4" w:space="0" w:color="auto"/>
            </w:tcBorders>
            <w:shd w:val="clear" w:color="auto" w:fill="auto"/>
          </w:tcPr>
          <w:p w14:paraId="160CE664"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7EF4646" w14:textId="77777777" w:rsidR="00C857FC" w:rsidRPr="00DB4F10" w:rsidRDefault="00C857FC" w:rsidP="00C857FC">
            <w:pPr>
              <w:tabs>
                <w:tab w:val="left" w:pos="993"/>
              </w:tabs>
              <w:spacing w:after="160" w:line="252" w:lineRule="auto"/>
              <w:contextualSpacing/>
              <w:jc w:val="both"/>
              <w:rPr>
                <w:rFonts w:eastAsia="Calibri"/>
                <w:lang w:eastAsia="en-US"/>
              </w:rPr>
            </w:pPr>
            <w:r>
              <w:rPr>
                <w:rFonts w:eastAsia="Calibri"/>
                <w:lang w:eastAsia="en-US"/>
              </w:rPr>
              <w:t xml:space="preserve">6. </w:t>
            </w:r>
            <w:r w:rsidRPr="00DB4F10">
              <w:rPr>
                <w:rFonts w:eastAsia="Calibri"/>
                <w:lang w:eastAsia="en-US"/>
              </w:rPr>
              <w:t xml:space="preserve">Pamatnostādņu projekta 4.4.apakšsadaļas 4.4.3.2. Rīcības </w:t>
            </w:r>
            <w:proofErr w:type="spellStart"/>
            <w:r w:rsidRPr="00DB4F10">
              <w:rPr>
                <w:rFonts w:eastAsia="Calibri"/>
                <w:lang w:eastAsia="en-US"/>
              </w:rPr>
              <w:t>apakšvirziena</w:t>
            </w:r>
            <w:proofErr w:type="spellEnd"/>
            <w:r w:rsidRPr="00DB4F10">
              <w:rPr>
                <w:rFonts w:eastAsia="Calibri"/>
                <w:lang w:eastAsia="en-US"/>
              </w:rPr>
              <w:t xml:space="preserve"> “Finanšu dokumentu </w:t>
            </w:r>
            <w:proofErr w:type="spellStart"/>
            <w:r w:rsidRPr="00DB4F10">
              <w:rPr>
                <w:rFonts w:eastAsia="Calibri"/>
                <w:lang w:eastAsia="en-US"/>
              </w:rPr>
              <w:t>maiņvieta</w:t>
            </w:r>
            <w:proofErr w:type="spellEnd"/>
            <w:r w:rsidRPr="00DB4F10">
              <w:rPr>
                <w:rFonts w:eastAsia="Calibri"/>
                <w:lang w:eastAsia="en-US"/>
              </w:rPr>
              <w:t xml:space="preserve">” VARAM ir precizējusi uzdevuma U4.4.3.2.-1 definējumu, atsaucoties uz Finanšu ministrijas FM vadītās darba grupas lēmumiem, to paplašinot pēc būtības un nosakot FM uzdevumu – veicināt nacionālās e-rēķinu, e-CMR un e-čeku infrastruktūras attīstību un tās salāgošanu ar maksājumu risinājumiem, t.sk. </w:t>
            </w:r>
            <w:proofErr w:type="spellStart"/>
            <w:r w:rsidRPr="00DB4F10">
              <w:rPr>
                <w:rFonts w:eastAsia="Calibri"/>
                <w:lang w:eastAsia="en-US"/>
              </w:rPr>
              <w:t>zibprasījumiem</w:t>
            </w:r>
            <w:proofErr w:type="spellEnd"/>
            <w:r w:rsidRPr="00DB4F10">
              <w:rPr>
                <w:rFonts w:eastAsia="Calibri"/>
                <w:lang w:eastAsia="en-US"/>
              </w:rPr>
              <w:t>. Atbildīgais: FM Līdzatbildīgie: VARAM, SM, LB, EM, VID, LNFA, SM.</w:t>
            </w:r>
          </w:p>
          <w:p w14:paraId="0167AAE6" w14:textId="77777777" w:rsidR="00C857FC" w:rsidRPr="00DB4F10" w:rsidRDefault="00C857FC" w:rsidP="00C857FC">
            <w:pPr>
              <w:tabs>
                <w:tab w:val="left" w:pos="993"/>
              </w:tabs>
              <w:spacing w:after="160" w:line="252" w:lineRule="auto"/>
              <w:contextualSpacing/>
              <w:jc w:val="both"/>
              <w:rPr>
                <w:rFonts w:eastAsia="Calibri"/>
                <w:lang w:eastAsia="en-US"/>
              </w:rPr>
            </w:pPr>
            <w:r w:rsidRPr="00DB4F10">
              <w:rPr>
                <w:rFonts w:eastAsia="Calibri"/>
                <w:lang w:eastAsia="en-US"/>
              </w:rPr>
              <w:lastRenderedPageBreak/>
              <w:t xml:space="preserve">Vēršam uzmanību, ka FM vadībā izveidotā darba grupa par attaisnojuma dokumentu un preču pavaddokumentu elektroniskās aprites sistēmas, kā arī </w:t>
            </w:r>
            <w:proofErr w:type="spellStart"/>
            <w:r w:rsidRPr="00DB4F10">
              <w:rPr>
                <w:rFonts w:eastAsia="Calibri"/>
                <w:lang w:eastAsia="en-US"/>
              </w:rPr>
              <w:t>blokķēdes</w:t>
            </w:r>
            <w:proofErr w:type="spellEnd"/>
            <w:r w:rsidRPr="00DB4F10">
              <w:rPr>
                <w:rFonts w:eastAsia="Calibri"/>
                <w:lang w:eastAsia="en-US"/>
              </w:rPr>
              <w:t xml:space="preserve"> tehnoloģijas izmantošanas iespēju kases aparātos ieviešanas izvērtēšanu ir sagatavojusi priekšlikumus attaisnojumu dokumentu (e-rēķinu) elektroniskās aprites sistēmas ieviešanai Latvijā. Jāatzīmē, ka VARAM veiktais papildinājums, paplašinot FM doto uzdevumu ar e-čeku infrastruktūras attīstību un tās salāgošanu ar maksājumu risinājumiem, t.sk. </w:t>
            </w:r>
            <w:proofErr w:type="spellStart"/>
            <w:r w:rsidRPr="00DB4F10">
              <w:rPr>
                <w:rFonts w:eastAsia="Calibri"/>
                <w:lang w:eastAsia="en-US"/>
              </w:rPr>
              <w:t>zibprasījumiem</w:t>
            </w:r>
            <w:proofErr w:type="spellEnd"/>
            <w:r w:rsidRPr="00DB4F10">
              <w:rPr>
                <w:rFonts w:eastAsia="Calibri"/>
                <w:lang w:eastAsia="en-US"/>
              </w:rPr>
              <w:t xml:space="preserve">, ir pretrunā ar FM izveidotās darba grupas noteikto mērķi, līdz ar to jautājums par </w:t>
            </w:r>
            <w:proofErr w:type="spellStart"/>
            <w:r w:rsidRPr="00DB4F10">
              <w:rPr>
                <w:rFonts w:eastAsia="Calibri"/>
                <w:lang w:eastAsia="en-US"/>
              </w:rPr>
              <w:t>zibprasījumiem</w:t>
            </w:r>
            <w:proofErr w:type="spellEnd"/>
            <w:r w:rsidRPr="00DB4F10">
              <w:rPr>
                <w:rFonts w:eastAsia="Calibri"/>
                <w:lang w:eastAsia="en-US"/>
              </w:rPr>
              <w:t xml:space="preserve"> nav ticis skatīts darba grupas sanāksmēs un FM nevar tikt noteikta kā atbildīgā iestāde to ieviešanā. Vienlaikus atgādinām, ka par e-CMR ieviešanu atbildīga ir Satiksmes ministrija.</w:t>
            </w:r>
          </w:p>
          <w:p w14:paraId="0113E744" w14:textId="77777777" w:rsidR="00C857FC" w:rsidRDefault="00C857FC" w:rsidP="00C857FC">
            <w:pPr>
              <w:tabs>
                <w:tab w:val="left" w:pos="993"/>
              </w:tabs>
              <w:spacing w:after="160" w:line="252" w:lineRule="auto"/>
              <w:contextualSpacing/>
              <w:jc w:val="both"/>
              <w:rPr>
                <w:rFonts w:eastAsia="Calibri"/>
                <w:lang w:eastAsia="en-US"/>
              </w:rPr>
            </w:pPr>
            <w:r w:rsidRPr="00DB4F10">
              <w:rPr>
                <w:rFonts w:eastAsia="Calibri"/>
                <w:lang w:eastAsia="en-US"/>
              </w:rPr>
              <w:t xml:space="preserve">Vienlaicīgi informējam, ka saskaņā ar Ministru kabineta 2011.gada 29. marta noteikumu Nr. 233 “Vides aizsardzības un reģionālās attīstības ministrijas nolikums” 1.1. apakšpunktā noteikto, tā ir vadošā valsts pārvaldes iestāde informācijas sabiedrības, elektroniskās pārvaldes un valsts informācijas un komunikācijas tehnoloģiju pārvaldībā, un atbilstoši nolikuma 4.1.8.apakšpunktam VARAM izstrādā politiku šajā jomā. Vēršam uzmanību, ka šobrīd VARAM pārraudzībā </w:t>
            </w:r>
            <w:proofErr w:type="spellStart"/>
            <w:r w:rsidRPr="00DB4F10">
              <w:rPr>
                <w:rFonts w:eastAsia="Calibri"/>
                <w:lang w:eastAsia="en-US"/>
              </w:rPr>
              <w:t>Connecting</w:t>
            </w:r>
            <w:proofErr w:type="spellEnd"/>
            <w:r w:rsidRPr="00DB4F10">
              <w:rPr>
                <w:rFonts w:eastAsia="Calibri"/>
                <w:lang w:eastAsia="en-US"/>
              </w:rPr>
              <w:t xml:space="preserve"> </w:t>
            </w:r>
            <w:proofErr w:type="spellStart"/>
            <w:r w:rsidRPr="00DB4F10">
              <w:rPr>
                <w:rFonts w:eastAsia="Calibri"/>
                <w:lang w:eastAsia="en-US"/>
              </w:rPr>
              <w:t>Europe</w:t>
            </w:r>
            <w:proofErr w:type="spellEnd"/>
            <w:r w:rsidRPr="00DB4F10">
              <w:rPr>
                <w:rFonts w:eastAsia="Calibri"/>
                <w:lang w:eastAsia="en-US"/>
              </w:rPr>
              <w:t xml:space="preserve"> </w:t>
            </w:r>
            <w:proofErr w:type="spellStart"/>
            <w:r w:rsidRPr="00DB4F10">
              <w:rPr>
                <w:rFonts w:eastAsia="Calibri"/>
                <w:lang w:eastAsia="en-US"/>
              </w:rPr>
              <w:t>Facility</w:t>
            </w:r>
            <w:proofErr w:type="spellEnd"/>
            <w:r w:rsidRPr="00DB4F10">
              <w:rPr>
                <w:rFonts w:eastAsia="Calibri"/>
                <w:lang w:eastAsia="en-US"/>
              </w:rPr>
              <w:t xml:space="preserve"> (CEF) projekta ietvaros ir izstrādāts e-rēķinu aprites risinājums uz e-adreses bāzes, un projekta ietvaros realizēta iespēja apritināt e-rēķinus starp valsts pārvaldes iestādēm, starp valsts pārvaldes iestādēm un privātpersonām un starp valsts pārvaldes iestādēm un ārzemju komersantiem. Tādējādi ņemot vērā </w:t>
            </w:r>
            <w:r w:rsidRPr="00DB4F10">
              <w:rPr>
                <w:rFonts w:eastAsia="Calibri"/>
                <w:lang w:eastAsia="en-US"/>
              </w:rPr>
              <w:lastRenderedPageBreak/>
              <w:t xml:space="preserve">kompetenci, zināšanas un pieredzi VARAM būtu jāuzņemas vadošā loma paplašinot </w:t>
            </w:r>
            <w:proofErr w:type="spellStart"/>
            <w:r w:rsidRPr="00DB4F10">
              <w:rPr>
                <w:rFonts w:eastAsia="Calibri"/>
                <w:lang w:eastAsia="en-US"/>
              </w:rPr>
              <w:t>digatilizēto</w:t>
            </w:r>
            <w:proofErr w:type="spellEnd"/>
            <w:r w:rsidRPr="00DB4F10">
              <w:rPr>
                <w:rFonts w:eastAsia="Calibri"/>
                <w:lang w:eastAsia="en-US"/>
              </w:rPr>
              <w:t xml:space="preserve"> dokumentu (rēķinu, pavadzīmju u.c.) apriti valstī un plānojot izveidotās sistēmas </w:t>
            </w:r>
            <w:proofErr w:type="spellStart"/>
            <w:r w:rsidRPr="00DB4F10">
              <w:rPr>
                <w:rFonts w:eastAsia="Calibri"/>
                <w:lang w:eastAsia="en-US"/>
              </w:rPr>
              <w:t>sadarbspēju</w:t>
            </w:r>
            <w:proofErr w:type="spellEnd"/>
            <w:r w:rsidRPr="00DB4F10">
              <w:rPr>
                <w:rFonts w:eastAsia="Calibri"/>
                <w:lang w:eastAsia="en-US"/>
              </w:rPr>
              <w:t xml:space="preserve"> ar dažādām ES sistēmām (piemēram, PEPPOL mezgla piegādes sistēmu). Atbilstoši iepriekš minētajam uzskatām, ka par atbildīgo iestādi par uzdevuma U4.4.3.2.-1 izpildi būtu jānosaka VARAM.</w:t>
            </w:r>
          </w:p>
        </w:tc>
        <w:tc>
          <w:tcPr>
            <w:tcW w:w="2480" w:type="dxa"/>
            <w:tcBorders>
              <w:left w:val="single" w:sz="6" w:space="0" w:color="000000" w:themeColor="text1"/>
              <w:bottom w:val="single" w:sz="4" w:space="0" w:color="auto"/>
            </w:tcBorders>
            <w:shd w:val="clear" w:color="auto" w:fill="auto"/>
          </w:tcPr>
          <w:p w14:paraId="739BC789" w14:textId="25C88842" w:rsidR="00C857FC" w:rsidRDefault="002568A3" w:rsidP="00C857FC">
            <w:pPr>
              <w:rPr>
                <w:b/>
                <w:bCs/>
              </w:rPr>
            </w:pPr>
            <w:r>
              <w:rPr>
                <w:b/>
                <w:bCs/>
              </w:rPr>
              <w:lastRenderedPageBreak/>
              <w:t>Ņemts</w:t>
            </w:r>
            <w:r w:rsidR="00C857FC">
              <w:rPr>
                <w:b/>
                <w:bCs/>
              </w:rPr>
              <w:t xml:space="preserve"> vērā</w:t>
            </w:r>
          </w:p>
          <w:p w14:paraId="3A42C213" w14:textId="77777777" w:rsidR="00C857FC" w:rsidRPr="009841AB" w:rsidRDefault="184A5877" w:rsidP="002568A3">
            <w:pPr>
              <w:spacing w:before="120" w:after="120" w:line="259" w:lineRule="auto"/>
              <w:jc w:val="both"/>
              <w:rPr>
                <w:b/>
                <w:bCs/>
              </w:rPr>
            </w:pPr>
            <w:r>
              <w:t xml:space="preserve">VARAM </w:t>
            </w:r>
            <w:r w:rsidR="5844F1BD">
              <w:t xml:space="preserve">norādīts kā atbildīgais. </w:t>
            </w:r>
          </w:p>
        </w:tc>
        <w:tc>
          <w:tcPr>
            <w:tcW w:w="3497" w:type="dxa"/>
            <w:tcBorders>
              <w:left w:val="single" w:sz="6" w:space="0" w:color="000000" w:themeColor="text1"/>
              <w:bottom w:val="single" w:sz="4" w:space="0" w:color="auto"/>
            </w:tcBorders>
            <w:shd w:val="clear" w:color="auto" w:fill="auto"/>
          </w:tcPr>
          <w:p w14:paraId="716B90F4" w14:textId="77777777" w:rsidR="008A0052" w:rsidRDefault="008A0052" w:rsidP="008A0052">
            <w:pPr>
              <w:pStyle w:val="naisc"/>
              <w:spacing w:before="0" w:after="0"/>
              <w:jc w:val="both"/>
            </w:pPr>
            <w:r w:rsidRPr="009841AB">
              <w:t>Lūdzam skatīt sadaļu 4.</w:t>
            </w:r>
            <w:r>
              <w:t>4.</w:t>
            </w:r>
          </w:p>
          <w:p w14:paraId="2E1C2267" w14:textId="77777777" w:rsidR="00C857FC" w:rsidRPr="009841AB" w:rsidRDefault="00C857FC" w:rsidP="00C857FC">
            <w:pPr>
              <w:pStyle w:val="naisc"/>
              <w:spacing w:before="0" w:after="0"/>
              <w:jc w:val="both"/>
            </w:pPr>
          </w:p>
        </w:tc>
      </w:tr>
      <w:tr w:rsidR="00C857FC" w:rsidRPr="009841AB" w14:paraId="2EBF068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CC8DF23" w14:textId="77777777" w:rsidR="00C857FC" w:rsidRPr="009841AB" w:rsidRDefault="005E1581" w:rsidP="00C857FC">
            <w:pPr>
              <w:pStyle w:val="naisc"/>
              <w:spacing w:before="0" w:after="0"/>
            </w:pPr>
            <w:r>
              <w:lastRenderedPageBreak/>
              <w:t>271</w:t>
            </w:r>
          </w:p>
        </w:tc>
        <w:tc>
          <w:tcPr>
            <w:tcW w:w="2427" w:type="dxa"/>
            <w:tcBorders>
              <w:left w:val="single" w:sz="6" w:space="0" w:color="000000" w:themeColor="text1"/>
              <w:bottom w:val="single" w:sz="4" w:space="0" w:color="auto"/>
            </w:tcBorders>
            <w:shd w:val="clear" w:color="auto" w:fill="auto"/>
          </w:tcPr>
          <w:p w14:paraId="41254F54"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F612F0B" w14:textId="77777777" w:rsidR="00C857FC" w:rsidRDefault="00C857FC" w:rsidP="00C857FC">
            <w:pPr>
              <w:tabs>
                <w:tab w:val="left" w:pos="993"/>
              </w:tabs>
              <w:spacing w:after="160" w:line="252" w:lineRule="auto"/>
              <w:contextualSpacing/>
              <w:jc w:val="both"/>
              <w:rPr>
                <w:rFonts w:eastAsia="Calibri"/>
                <w:lang w:eastAsia="en-US"/>
              </w:rPr>
            </w:pPr>
            <w:r>
              <w:rPr>
                <w:rFonts w:eastAsia="Calibri"/>
                <w:lang w:eastAsia="en-US"/>
              </w:rPr>
              <w:t xml:space="preserve">7. </w:t>
            </w:r>
            <w:r w:rsidRPr="004D14D8">
              <w:rPr>
                <w:rFonts w:eastAsia="Calibri"/>
                <w:lang w:eastAsia="en-US"/>
              </w:rPr>
              <w:t xml:space="preserve">Lūdzam svītrot pamatnostādņu projekta 4.4.apakšsadaļas 4.4.3.3. Rīcības </w:t>
            </w:r>
            <w:proofErr w:type="spellStart"/>
            <w:r w:rsidRPr="004D14D8">
              <w:rPr>
                <w:rFonts w:eastAsia="Calibri"/>
                <w:lang w:eastAsia="en-US"/>
              </w:rPr>
              <w:t>apakšvirziena</w:t>
            </w:r>
            <w:proofErr w:type="spellEnd"/>
            <w:r w:rsidRPr="004D14D8">
              <w:rPr>
                <w:rFonts w:eastAsia="Calibri"/>
                <w:lang w:eastAsia="en-US"/>
              </w:rPr>
              <w:t xml:space="preserve"> “Inovatīva un efektīva maksājumu infrastruktūra” uzdevumu U4.4.3.3.-1: Finanšu ministrijai Ieviest valsts sektorā </w:t>
            </w:r>
            <w:proofErr w:type="spellStart"/>
            <w:r w:rsidRPr="004D14D8">
              <w:rPr>
                <w:rFonts w:eastAsia="Calibri"/>
                <w:lang w:eastAsia="en-US"/>
              </w:rPr>
              <w:t>zibmaksājumu</w:t>
            </w:r>
            <w:proofErr w:type="spellEnd"/>
            <w:r w:rsidRPr="004D14D8">
              <w:rPr>
                <w:rFonts w:eastAsia="Calibri"/>
                <w:lang w:eastAsia="en-US"/>
              </w:rPr>
              <w:t xml:space="preserve"> sistēmu. Latvijas banka, kā maksājumu sistēmu uzturētājs, atbild par </w:t>
            </w:r>
            <w:proofErr w:type="spellStart"/>
            <w:r w:rsidRPr="004D14D8">
              <w:rPr>
                <w:rFonts w:eastAsia="Calibri"/>
                <w:lang w:eastAsia="en-US"/>
              </w:rPr>
              <w:t>zibmaksājumu</w:t>
            </w:r>
            <w:proofErr w:type="spellEnd"/>
            <w:r w:rsidRPr="004D14D8">
              <w:rPr>
                <w:rFonts w:eastAsia="Calibri"/>
                <w:lang w:eastAsia="en-US"/>
              </w:rPr>
              <w:t xml:space="preserve"> un saistīto pakalpojumu attīstību. Iespējams, pārklājas ar uzdevumu 2.2.4. Finanšu sektora attīstības plānā.</w:t>
            </w:r>
          </w:p>
        </w:tc>
        <w:tc>
          <w:tcPr>
            <w:tcW w:w="2480" w:type="dxa"/>
            <w:tcBorders>
              <w:left w:val="single" w:sz="6" w:space="0" w:color="000000" w:themeColor="text1"/>
              <w:bottom w:val="single" w:sz="4" w:space="0" w:color="auto"/>
            </w:tcBorders>
            <w:shd w:val="clear" w:color="auto" w:fill="auto"/>
          </w:tcPr>
          <w:p w14:paraId="5E56978E" w14:textId="1920103D" w:rsidR="00C857FC" w:rsidRDefault="00130B0C" w:rsidP="00C857FC">
            <w:pPr>
              <w:rPr>
                <w:b/>
                <w:bCs/>
              </w:rPr>
            </w:pPr>
            <w:r>
              <w:rPr>
                <w:b/>
                <w:bCs/>
              </w:rPr>
              <w:t>Ņ</w:t>
            </w:r>
            <w:r w:rsidR="000E3DB8">
              <w:rPr>
                <w:b/>
                <w:bCs/>
              </w:rPr>
              <w:t>emts vērā</w:t>
            </w:r>
          </w:p>
          <w:p w14:paraId="3B010544" w14:textId="77777777" w:rsidR="00C857FC" w:rsidRPr="00FD4AF7" w:rsidRDefault="50BB7CA8" w:rsidP="00C857FC">
            <w:r>
              <w:t>Uzdevums svītrots.</w:t>
            </w:r>
          </w:p>
        </w:tc>
        <w:tc>
          <w:tcPr>
            <w:tcW w:w="3497" w:type="dxa"/>
            <w:tcBorders>
              <w:left w:val="single" w:sz="6" w:space="0" w:color="000000" w:themeColor="text1"/>
              <w:bottom w:val="single" w:sz="4" w:space="0" w:color="auto"/>
            </w:tcBorders>
            <w:shd w:val="clear" w:color="auto" w:fill="auto"/>
          </w:tcPr>
          <w:p w14:paraId="31966348" w14:textId="77777777" w:rsidR="008A0052" w:rsidRDefault="008A0052" w:rsidP="008A0052">
            <w:pPr>
              <w:pStyle w:val="naisc"/>
              <w:spacing w:before="0" w:after="0"/>
              <w:jc w:val="both"/>
            </w:pPr>
            <w:r w:rsidRPr="009841AB">
              <w:t>Lūdzam skatīt sadaļu 4.</w:t>
            </w:r>
            <w:r>
              <w:t>4.</w:t>
            </w:r>
          </w:p>
          <w:p w14:paraId="3133E403" w14:textId="77777777" w:rsidR="00C857FC" w:rsidRPr="00130B0C" w:rsidRDefault="00C857FC" w:rsidP="00CB35EC">
            <w:pPr>
              <w:pStyle w:val="naisc"/>
              <w:spacing w:before="0" w:after="0"/>
              <w:jc w:val="both"/>
            </w:pPr>
          </w:p>
        </w:tc>
      </w:tr>
      <w:tr w:rsidR="00C857FC" w:rsidRPr="009841AB" w14:paraId="11A8B96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16B49A7" w14:textId="77777777" w:rsidR="00C857FC" w:rsidRPr="009841AB" w:rsidRDefault="00C857FC" w:rsidP="00C857FC">
            <w:pPr>
              <w:pStyle w:val="naisc"/>
              <w:spacing w:before="0" w:after="0"/>
            </w:pPr>
          </w:p>
        </w:tc>
        <w:tc>
          <w:tcPr>
            <w:tcW w:w="2427" w:type="dxa"/>
            <w:tcBorders>
              <w:left w:val="single" w:sz="6" w:space="0" w:color="000000" w:themeColor="text1"/>
              <w:bottom w:val="single" w:sz="4" w:space="0" w:color="auto"/>
            </w:tcBorders>
            <w:shd w:val="clear" w:color="auto" w:fill="auto"/>
          </w:tcPr>
          <w:p w14:paraId="3BF5843A" w14:textId="77777777" w:rsidR="00C857FC" w:rsidRPr="009841AB" w:rsidRDefault="00C857FC" w:rsidP="00C857FC">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54DE88F3" w14:textId="77777777" w:rsidR="00C857FC" w:rsidRPr="004D14D8" w:rsidRDefault="00C857FC" w:rsidP="00C857FC">
            <w:pPr>
              <w:tabs>
                <w:tab w:val="left" w:pos="993"/>
              </w:tabs>
              <w:spacing w:after="160" w:line="252" w:lineRule="auto"/>
              <w:contextualSpacing/>
              <w:jc w:val="both"/>
              <w:rPr>
                <w:rFonts w:eastAsia="Calibri"/>
                <w:b/>
                <w:bCs/>
                <w:lang w:eastAsia="en-US"/>
              </w:rPr>
            </w:pPr>
            <w:r w:rsidRPr="004D14D8">
              <w:rPr>
                <w:rFonts w:eastAsia="Calibri"/>
                <w:b/>
                <w:bCs/>
                <w:lang w:eastAsia="en-US"/>
              </w:rPr>
              <w:t>Priekšlikumi:</w:t>
            </w:r>
          </w:p>
        </w:tc>
        <w:tc>
          <w:tcPr>
            <w:tcW w:w="2480" w:type="dxa"/>
            <w:tcBorders>
              <w:left w:val="single" w:sz="6" w:space="0" w:color="000000" w:themeColor="text1"/>
              <w:bottom w:val="single" w:sz="4" w:space="0" w:color="auto"/>
            </w:tcBorders>
            <w:shd w:val="clear" w:color="auto" w:fill="auto"/>
          </w:tcPr>
          <w:p w14:paraId="7838B0FC" w14:textId="77777777" w:rsidR="00C857FC" w:rsidRPr="009841AB" w:rsidRDefault="00C857FC" w:rsidP="00C857FC">
            <w:pPr>
              <w:rPr>
                <w:b/>
                <w:bCs/>
              </w:rPr>
            </w:pPr>
          </w:p>
        </w:tc>
        <w:tc>
          <w:tcPr>
            <w:tcW w:w="3497" w:type="dxa"/>
            <w:tcBorders>
              <w:left w:val="single" w:sz="6" w:space="0" w:color="000000" w:themeColor="text1"/>
              <w:bottom w:val="single" w:sz="4" w:space="0" w:color="auto"/>
            </w:tcBorders>
            <w:shd w:val="clear" w:color="auto" w:fill="auto"/>
          </w:tcPr>
          <w:p w14:paraId="31EAA42A" w14:textId="77777777" w:rsidR="00C857FC" w:rsidRPr="009841AB" w:rsidRDefault="00C857FC" w:rsidP="00C857FC">
            <w:pPr>
              <w:pStyle w:val="naisc"/>
              <w:spacing w:before="0" w:after="0"/>
              <w:jc w:val="both"/>
            </w:pPr>
          </w:p>
        </w:tc>
      </w:tr>
      <w:tr w:rsidR="00C857FC" w:rsidRPr="009841AB" w14:paraId="62A9BFC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0DD453D" w14:textId="77777777" w:rsidR="00C857FC" w:rsidRPr="009841AB" w:rsidRDefault="005E1581" w:rsidP="00C857FC">
            <w:pPr>
              <w:pStyle w:val="naisc"/>
              <w:spacing w:before="0" w:after="0"/>
            </w:pPr>
            <w:r>
              <w:t>272</w:t>
            </w:r>
          </w:p>
        </w:tc>
        <w:tc>
          <w:tcPr>
            <w:tcW w:w="2427" w:type="dxa"/>
            <w:tcBorders>
              <w:left w:val="single" w:sz="6" w:space="0" w:color="000000" w:themeColor="text1"/>
              <w:bottom w:val="single" w:sz="4" w:space="0" w:color="auto"/>
            </w:tcBorders>
            <w:shd w:val="clear" w:color="auto" w:fill="auto"/>
          </w:tcPr>
          <w:p w14:paraId="13B5FE12"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7E0A1E6" w14:textId="77777777" w:rsidR="00C857FC" w:rsidRPr="00A111D7" w:rsidRDefault="00C857FC" w:rsidP="00C857FC">
            <w:pPr>
              <w:tabs>
                <w:tab w:val="left" w:pos="993"/>
              </w:tabs>
              <w:spacing w:after="160" w:line="252" w:lineRule="auto"/>
              <w:contextualSpacing/>
              <w:jc w:val="both"/>
              <w:rPr>
                <w:rFonts w:eastAsia="Calibri"/>
                <w:lang w:eastAsia="en-US"/>
              </w:rPr>
            </w:pPr>
            <w:r>
              <w:rPr>
                <w:rFonts w:eastAsia="Calibri"/>
                <w:lang w:eastAsia="en-US"/>
              </w:rPr>
              <w:t xml:space="preserve">1. </w:t>
            </w:r>
            <w:r w:rsidRPr="5E26E605">
              <w:rPr>
                <w:rFonts w:eastAsia="Calibri"/>
                <w:lang w:eastAsia="en-US"/>
              </w:rPr>
              <w:t xml:space="preserve">Ņemot </w:t>
            </w:r>
            <w:proofErr w:type="spellStart"/>
            <w:r w:rsidRPr="5E26E605">
              <w:rPr>
                <w:rFonts w:eastAsia="Calibri"/>
                <w:lang w:eastAsia="en-US"/>
              </w:rPr>
              <w:t>avērā</w:t>
            </w:r>
            <w:proofErr w:type="spellEnd"/>
            <w:r w:rsidRPr="5E26E605">
              <w:rPr>
                <w:rFonts w:eastAsia="Calibri"/>
                <w:lang w:eastAsia="en-US"/>
              </w:rPr>
              <w:t xml:space="preserve">, </w:t>
            </w:r>
            <w:r w:rsidR="0264A421" w:rsidRPr="69993177">
              <w:rPr>
                <w:rFonts w:eastAsia="Calibri"/>
                <w:lang w:eastAsia="en-US"/>
              </w:rPr>
              <w:t>k</w:t>
            </w:r>
            <w:r w:rsidR="00A111D7" w:rsidRPr="00A111D7">
              <w:rPr>
                <w:rFonts w:eastAsia="Calibri"/>
                <w:lang w:eastAsia="en-US"/>
              </w:rPr>
              <w:t>a</w:t>
            </w:r>
            <w:r w:rsidRPr="00A111D7">
              <w:rPr>
                <w:rFonts w:eastAsia="Calibri"/>
                <w:lang w:eastAsia="en-US"/>
              </w:rPr>
              <w:t xml:space="preserve"> pamatnostādņu ieviešanai, procesu </w:t>
            </w:r>
            <w:proofErr w:type="spellStart"/>
            <w:r w:rsidRPr="00A111D7">
              <w:rPr>
                <w:rFonts w:eastAsia="Calibri"/>
                <w:lang w:eastAsia="en-US"/>
              </w:rPr>
              <w:t>digitalizācijas</w:t>
            </w:r>
            <w:proofErr w:type="spellEnd"/>
            <w:r w:rsidRPr="00A111D7">
              <w:rPr>
                <w:rFonts w:eastAsia="Calibri"/>
                <w:lang w:eastAsia="en-US"/>
              </w:rPr>
              <w:t xml:space="preserve"> sasniegšanai, kā arī informācijas automātiskas datu apmaiņas nodrošināšanai, strādājot ar vienotiem klasifikatoriem valsts līmenī, nepieciešams paredzēt izmaiņas šobrīd esošajā datu apmaiņā IRIS KRASS, kā arī jāakcentē aprīkojuma modernizācija procesuālo dokumentu efektīvai, mobilai, neapdraudētai izveidei e-vidē, lūdzam papildināt pamatnostādņu projekta 4.4.apakšsadaļas 4.4.5.1. Rīcības </w:t>
            </w:r>
            <w:proofErr w:type="spellStart"/>
            <w:r w:rsidRPr="00A111D7">
              <w:rPr>
                <w:rFonts w:eastAsia="Calibri"/>
                <w:lang w:eastAsia="en-US"/>
              </w:rPr>
              <w:t>apakšvirziena</w:t>
            </w:r>
            <w:proofErr w:type="spellEnd"/>
            <w:r w:rsidRPr="00A111D7">
              <w:rPr>
                <w:rFonts w:eastAsia="Calibri"/>
                <w:lang w:eastAsia="en-US"/>
              </w:rPr>
              <w:t xml:space="preserve"> “Izmeklēšanas un tiesvedības procesa tālāka </w:t>
            </w:r>
            <w:proofErr w:type="spellStart"/>
            <w:r w:rsidRPr="00A111D7">
              <w:rPr>
                <w:rFonts w:eastAsia="Calibri"/>
                <w:lang w:eastAsia="en-US"/>
              </w:rPr>
              <w:t>digitalizācija</w:t>
            </w:r>
            <w:proofErr w:type="spellEnd"/>
            <w:r w:rsidRPr="00A111D7">
              <w:rPr>
                <w:rFonts w:eastAsia="Calibri"/>
                <w:lang w:eastAsia="en-US"/>
              </w:rPr>
              <w:t>” esošās situācijas aprakstu ar jaunu apakšpunktu šādā redakcijā:</w:t>
            </w:r>
          </w:p>
          <w:p w14:paraId="0FAFD896" w14:textId="77777777" w:rsidR="00C857FC" w:rsidRPr="00A111D7" w:rsidRDefault="00C857FC" w:rsidP="00C857FC">
            <w:pPr>
              <w:tabs>
                <w:tab w:val="left" w:pos="993"/>
              </w:tabs>
              <w:spacing w:after="160" w:line="252" w:lineRule="auto"/>
              <w:contextualSpacing/>
              <w:jc w:val="both"/>
              <w:rPr>
                <w:rFonts w:eastAsia="Calibri"/>
                <w:lang w:eastAsia="en-US"/>
              </w:rPr>
            </w:pPr>
            <w:r w:rsidRPr="00A111D7">
              <w:rPr>
                <w:rFonts w:eastAsia="Calibri"/>
                <w:lang w:eastAsia="en-US"/>
              </w:rPr>
              <w:t xml:space="preserve">“2.6. turpināt Valsts ieņēmumu dienesta Nodokļu un muitas policijas pārvaldes, kā </w:t>
            </w:r>
            <w:proofErr w:type="spellStart"/>
            <w:r w:rsidRPr="00A111D7">
              <w:rPr>
                <w:rFonts w:eastAsia="Calibri"/>
                <w:lang w:eastAsia="en-US"/>
              </w:rPr>
              <w:t>pirmstiesas</w:t>
            </w:r>
            <w:proofErr w:type="spellEnd"/>
            <w:r w:rsidRPr="00A111D7">
              <w:rPr>
                <w:rFonts w:eastAsia="Calibri"/>
                <w:lang w:eastAsia="en-US"/>
              </w:rPr>
              <w:t xml:space="preserve"> </w:t>
            </w:r>
            <w:r w:rsidRPr="00A111D7">
              <w:rPr>
                <w:rFonts w:eastAsia="Calibri"/>
                <w:lang w:eastAsia="en-US"/>
              </w:rPr>
              <w:lastRenderedPageBreak/>
              <w:t>izmeklēšanas iestādes un operatīvās darbības subjekta, IT risinājumu un nodrošinājuma pielāgošanu darbam ar e-lietu:</w:t>
            </w:r>
          </w:p>
          <w:p w14:paraId="6814B8C6" w14:textId="77777777" w:rsidR="00C857FC" w:rsidRPr="00A111D7" w:rsidRDefault="00C857FC" w:rsidP="00C857FC">
            <w:pPr>
              <w:tabs>
                <w:tab w:val="left" w:pos="993"/>
              </w:tabs>
              <w:spacing w:after="160" w:line="252" w:lineRule="auto"/>
              <w:contextualSpacing/>
              <w:jc w:val="both"/>
              <w:rPr>
                <w:rFonts w:eastAsia="Calibri"/>
                <w:lang w:eastAsia="en-US"/>
              </w:rPr>
            </w:pPr>
            <w:r w:rsidRPr="00A111D7">
              <w:rPr>
                <w:rFonts w:eastAsia="Calibri"/>
                <w:lang w:eastAsia="en-US"/>
              </w:rPr>
              <w:t>2.6.1. Integrētās riska informācijas sistēmas – IRIS pilnveidošana, paredzot datu apmaiņu ar IeM IC izstrādāto E-KRASS, tālākai pamatdarbības funkciju izpildei;</w:t>
            </w:r>
          </w:p>
          <w:p w14:paraId="7E016C4D" w14:textId="77777777" w:rsidR="00C857FC" w:rsidRDefault="00C857FC" w:rsidP="00C857FC">
            <w:pPr>
              <w:tabs>
                <w:tab w:val="left" w:pos="993"/>
              </w:tabs>
              <w:spacing w:after="160" w:line="252" w:lineRule="auto"/>
              <w:contextualSpacing/>
              <w:jc w:val="both"/>
              <w:rPr>
                <w:rFonts w:eastAsia="Calibri"/>
                <w:lang w:eastAsia="en-US"/>
              </w:rPr>
            </w:pPr>
            <w:r w:rsidRPr="00A111D7">
              <w:rPr>
                <w:rFonts w:eastAsia="Calibri"/>
                <w:lang w:eastAsia="en-US"/>
              </w:rPr>
              <w:t>2.6.2. Izmeklētāju tehniskā nodrošinājuma modernizācija un pielāgošana darbam ar e-lietu, paaugstinot darba efektivitāti, mobilitāti, nodrošinot procesa nepārtrauktību”.</w:t>
            </w:r>
          </w:p>
        </w:tc>
        <w:tc>
          <w:tcPr>
            <w:tcW w:w="2480" w:type="dxa"/>
            <w:tcBorders>
              <w:left w:val="single" w:sz="6" w:space="0" w:color="000000" w:themeColor="text1"/>
              <w:bottom w:val="single" w:sz="4" w:space="0" w:color="auto"/>
            </w:tcBorders>
            <w:shd w:val="clear" w:color="auto" w:fill="auto"/>
          </w:tcPr>
          <w:p w14:paraId="17A4C727" w14:textId="77777777" w:rsidR="00C857FC" w:rsidRPr="009841AB" w:rsidRDefault="00C857FC" w:rsidP="00C857FC">
            <w:pPr>
              <w:spacing w:line="259" w:lineRule="auto"/>
              <w:rPr>
                <w:b/>
                <w:bCs/>
              </w:rPr>
            </w:pPr>
            <w:r w:rsidRPr="71D36A71">
              <w:rPr>
                <w:b/>
                <w:bCs/>
              </w:rPr>
              <w:lastRenderedPageBreak/>
              <w:t xml:space="preserve">Ņemts </w:t>
            </w:r>
            <w:r w:rsidRPr="5FFBCDD7">
              <w:rPr>
                <w:b/>
                <w:bCs/>
              </w:rPr>
              <w:t>vērā</w:t>
            </w:r>
          </w:p>
        </w:tc>
        <w:tc>
          <w:tcPr>
            <w:tcW w:w="3497" w:type="dxa"/>
            <w:tcBorders>
              <w:left w:val="single" w:sz="6" w:space="0" w:color="000000" w:themeColor="text1"/>
              <w:bottom w:val="single" w:sz="4" w:space="0" w:color="auto"/>
            </w:tcBorders>
            <w:shd w:val="clear" w:color="auto" w:fill="auto"/>
          </w:tcPr>
          <w:p w14:paraId="60FEEE17" w14:textId="4D7F8ECE" w:rsidR="008A0052" w:rsidRDefault="008A0052" w:rsidP="00C857FC">
            <w:pPr>
              <w:pStyle w:val="naisc"/>
              <w:spacing w:before="0" w:after="0"/>
              <w:jc w:val="both"/>
            </w:pPr>
            <w:r w:rsidRPr="009841AB">
              <w:t>Lūdzam skatīt sadaļu 4.</w:t>
            </w:r>
            <w:r>
              <w:t>4.</w:t>
            </w:r>
          </w:p>
          <w:p w14:paraId="2778DC57" w14:textId="2EBBD4DA" w:rsidR="00C857FC" w:rsidRPr="009841AB" w:rsidRDefault="00C857FC" w:rsidP="00C857FC">
            <w:pPr>
              <w:pStyle w:val="naisc"/>
              <w:spacing w:before="0" w:after="0"/>
              <w:jc w:val="both"/>
            </w:pPr>
            <w:r>
              <w:t>Papildināts ar jaunu punktu 2.</w:t>
            </w:r>
            <w:r w:rsidR="002D6C1B">
              <w:t>11</w:t>
            </w:r>
            <w:r>
              <w:t xml:space="preserve">., bet neiekļaujot tā apakšpunktus, lai neierobežotu veicamo darbību tvērumu. Viens no e-lietas uzdevumiem ir apzināt visas iesaistītās IS un to nepieciešamos uzlabojumus, kā arī  materiāltehnisko nodrošinājumu, lai sasniegtu e-lietas mērķi.  </w:t>
            </w:r>
          </w:p>
        </w:tc>
      </w:tr>
      <w:tr w:rsidR="00C857FC" w:rsidRPr="009841AB" w14:paraId="693E0A2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52F551E" w14:textId="77777777" w:rsidR="00C857FC" w:rsidRPr="009841AB" w:rsidRDefault="005E1581" w:rsidP="00C857FC">
            <w:pPr>
              <w:pStyle w:val="naisc"/>
              <w:spacing w:before="0" w:after="0"/>
            </w:pPr>
            <w:r>
              <w:t>273</w:t>
            </w:r>
          </w:p>
        </w:tc>
        <w:tc>
          <w:tcPr>
            <w:tcW w:w="2427" w:type="dxa"/>
            <w:tcBorders>
              <w:left w:val="single" w:sz="6" w:space="0" w:color="000000" w:themeColor="text1"/>
              <w:bottom w:val="single" w:sz="4" w:space="0" w:color="auto"/>
            </w:tcBorders>
            <w:shd w:val="clear" w:color="auto" w:fill="auto"/>
          </w:tcPr>
          <w:p w14:paraId="23E1243C"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F37DE74" w14:textId="77777777" w:rsidR="00C857FC" w:rsidRDefault="00C857FC" w:rsidP="00C857FC">
            <w:pPr>
              <w:tabs>
                <w:tab w:val="left" w:pos="993"/>
              </w:tabs>
              <w:spacing w:after="160" w:line="252" w:lineRule="auto"/>
              <w:contextualSpacing/>
              <w:jc w:val="both"/>
              <w:rPr>
                <w:rFonts w:eastAsia="Calibri"/>
                <w:lang w:eastAsia="en-US"/>
              </w:rPr>
            </w:pPr>
            <w:r>
              <w:rPr>
                <w:rFonts w:eastAsia="Calibri"/>
                <w:lang w:eastAsia="en-US"/>
              </w:rPr>
              <w:t xml:space="preserve">2. </w:t>
            </w:r>
            <w:r w:rsidRPr="003C4936">
              <w:rPr>
                <w:rFonts w:eastAsia="Calibri"/>
                <w:lang w:eastAsia="en-US"/>
              </w:rPr>
              <w:t xml:space="preserve">Atbilstoši FM iepriekš izteiktajam priekšlikumam, VARAM precizēja Pamatnostādņu projekta uzdevumu U4.4.10.3.-1, izsakot to šādā redakcijā: “Izveidot Latvijas valsts </w:t>
            </w:r>
            <w:proofErr w:type="spellStart"/>
            <w:r w:rsidRPr="003C4936">
              <w:rPr>
                <w:rFonts w:eastAsia="Calibri"/>
                <w:lang w:eastAsia="en-US"/>
              </w:rPr>
              <w:t>mākoņskaitļošanas</w:t>
            </w:r>
            <w:proofErr w:type="spellEnd"/>
            <w:r w:rsidRPr="003C4936">
              <w:rPr>
                <w:rFonts w:eastAsia="Calibri"/>
                <w:lang w:eastAsia="en-US"/>
              </w:rPr>
              <w:t xml:space="preserve"> </w:t>
            </w:r>
            <w:proofErr w:type="spellStart"/>
            <w:r w:rsidRPr="003C4936">
              <w:rPr>
                <w:rFonts w:eastAsia="Calibri"/>
                <w:lang w:eastAsia="en-US"/>
              </w:rPr>
              <w:t>federēto</w:t>
            </w:r>
            <w:proofErr w:type="spellEnd"/>
            <w:r w:rsidRPr="003C4936">
              <w:rPr>
                <w:rFonts w:eastAsia="Calibri"/>
                <w:lang w:eastAsia="en-US"/>
              </w:rPr>
              <w:t xml:space="preserve"> infrastruktūru un ieviest ar to saistītos pakalpojumus, vismaz 50% no valsts informācijas sistēmām, pārejot uz šo pakalpojumu izmantošanu” (Izziņas 212.punkts). Ņemot vērā minēto, lūdzam uzdevumu papildināt ar pamatojumu par noteikto 50 procentu apmēru.</w:t>
            </w:r>
          </w:p>
        </w:tc>
        <w:tc>
          <w:tcPr>
            <w:tcW w:w="2480" w:type="dxa"/>
            <w:tcBorders>
              <w:left w:val="single" w:sz="6" w:space="0" w:color="000000" w:themeColor="text1"/>
              <w:bottom w:val="single" w:sz="4" w:space="0" w:color="auto"/>
            </w:tcBorders>
            <w:shd w:val="clear" w:color="auto" w:fill="auto"/>
          </w:tcPr>
          <w:p w14:paraId="6D5DB4A5" w14:textId="77777777" w:rsidR="00C857FC" w:rsidRPr="009841AB" w:rsidRDefault="00C857FC" w:rsidP="00C857FC">
            <w:pPr>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3D082EAB" w14:textId="79E0C2AF" w:rsidR="008A0052" w:rsidRDefault="008A0052" w:rsidP="00C857FC">
            <w:pPr>
              <w:pStyle w:val="naisc"/>
              <w:spacing w:before="0" w:after="0"/>
              <w:jc w:val="both"/>
            </w:pPr>
            <w:r w:rsidRPr="009841AB">
              <w:t>Lūdzam skatīt sadaļu 4.</w:t>
            </w:r>
            <w:r>
              <w:t>4.</w:t>
            </w:r>
          </w:p>
          <w:p w14:paraId="3EE81A19" w14:textId="4D6BD647" w:rsidR="00C857FC" w:rsidRPr="009841AB" w:rsidRDefault="00C857FC" w:rsidP="00C857FC">
            <w:pPr>
              <w:pStyle w:val="naisc"/>
              <w:spacing w:before="0" w:after="0"/>
              <w:jc w:val="both"/>
            </w:pPr>
            <w:r>
              <w:t xml:space="preserve">Uzdevums formulējums ir pieskaņots Atveseļošanās un Noturības Mehānisma (ANM)  plānā definētajam IKT projektu mērķim par vismaz 10 platformu un sistēmu izvietošanu valsts </w:t>
            </w:r>
            <w:proofErr w:type="spellStart"/>
            <w:r>
              <w:t>federētajā</w:t>
            </w:r>
            <w:proofErr w:type="spellEnd"/>
            <w:r>
              <w:t xml:space="preserve"> mākonī, efektīvi izmantojot tā iespējas.  </w:t>
            </w:r>
          </w:p>
        </w:tc>
      </w:tr>
      <w:tr w:rsidR="001272D9" w:rsidRPr="009841AB" w14:paraId="38EF3944"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C1912B4" w14:textId="77777777" w:rsidR="001272D9" w:rsidRPr="009841AB" w:rsidRDefault="001272D9" w:rsidP="001272D9">
            <w:pPr>
              <w:pStyle w:val="naisc"/>
              <w:spacing w:before="0" w:after="0"/>
              <w:jc w:val="both"/>
            </w:pPr>
            <w:proofErr w:type="spellStart"/>
            <w:r w:rsidRPr="009841AB">
              <w:rPr>
                <w:b/>
                <w:bCs/>
                <w:lang w:eastAsia="en-US"/>
              </w:rPr>
              <w:t>Iekšlietu</w:t>
            </w:r>
            <w:proofErr w:type="spellEnd"/>
            <w:r w:rsidRPr="009841AB">
              <w:rPr>
                <w:b/>
                <w:bCs/>
                <w:lang w:eastAsia="en-US"/>
              </w:rPr>
              <w:t xml:space="preserve"> ministrijas 02.02.2021. atzinums:</w:t>
            </w:r>
          </w:p>
        </w:tc>
      </w:tr>
      <w:tr w:rsidR="002C4AE0" w:rsidRPr="009841AB" w14:paraId="13952F7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C74B02E" w14:textId="77777777" w:rsidR="002C4AE0" w:rsidRPr="009841AB" w:rsidRDefault="002C4AE0" w:rsidP="002C4AE0">
            <w:pPr>
              <w:pStyle w:val="naisc"/>
              <w:spacing w:before="0" w:after="0"/>
            </w:pPr>
            <w:r w:rsidRPr="009841AB">
              <w:t>2</w:t>
            </w:r>
            <w:r w:rsidR="005E1581">
              <w:t>74</w:t>
            </w:r>
          </w:p>
        </w:tc>
        <w:tc>
          <w:tcPr>
            <w:tcW w:w="2427" w:type="dxa"/>
            <w:tcBorders>
              <w:left w:val="single" w:sz="6" w:space="0" w:color="000000" w:themeColor="text1"/>
              <w:bottom w:val="single" w:sz="4" w:space="0" w:color="auto"/>
            </w:tcBorders>
            <w:shd w:val="clear" w:color="auto" w:fill="auto"/>
          </w:tcPr>
          <w:p w14:paraId="3397C3AE" w14:textId="77777777" w:rsidR="002C4AE0" w:rsidRPr="009841AB" w:rsidRDefault="002C4AE0" w:rsidP="002C4AE0">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03AC46C" w14:textId="77777777" w:rsidR="002C4AE0" w:rsidRPr="009841AB" w:rsidRDefault="002C4AE0" w:rsidP="002C4AE0">
            <w:pPr>
              <w:ind w:right="12"/>
              <w:jc w:val="both"/>
            </w:pPr>
            <w:r w:rsidRPr="009841AB">
              <w:t xml:space="preserve">Vēršam uzmanību, ka daļa no jaunās paaudzes Integrētās </w:t>
            </w:r>
            <w:proofErr w:type="spellStart"/>
            <w:r w:rsidRPr="009841AB">
              <w:t>iekšlietu</w:t>
            </w:r>
            <w:proofErr w:type="spellEnd"/>
            <w:r w:rsidRPr="009841AB">
              <w:t xml:space="preserve"> informācijas sistēmas (IIIS2) pilnveidošanas aktivitātēm, kas minētas pamatnostādņu 4.4.5.1. </w:t>
            </w:r>
            <w:proofErr w:type="spellStart"/>
            <w:r w:rsidRPr="009841AB">
              <w:t>apakšsadaļas</w:t>
            </w:r>
            <w:proofErr w:type="spellEnd"/>
            <w:r w:rsidRPr="009841AB">
              <w:t xml:space="preserve"> “Rīcības </w:t>
            </w:r>
            <w:proofErr w:type="spellStart"/>
            <w:r w:rsidRPr="009841AB">
              <w:t>apakšvirziens</w:t>
            </w:r>
            <w:proofErr w:type="spellEnd"/>
            <w:r w:rsidRPr="009841AB">
              <w:t xml:space="preserve">: Izmeklēšanas un tiesvedības procesa tālāka </w:t>
            </w:r>
            <w:proofErr w:type="spellStart"/>
            <w:r w:rsidRPr="009841AB">
              <w:t>digitalizācija</w:t>
            </w:r>
            <w:proofErr w:type="spellEnd"/>
            <w:r w:rsidRPr="009841AB">
              <w:t xml:space="preserve">” rindkopas “Nepieciešamā rīcība” otrajā punktā (123.-124. lpp.), tiek īstenotas Eiropas Reģionālās attīstības fonda projekta Nr. 2.2.1.1/19/I/010 “Jaunās paaudzes Integrētā </w:t>
            </w:r>
            <w:proofErr w:type="spellStart"/>
            <w:r w:rsidRPr="009841AB">
              <w:t>iekšlietu</w:t>
            </w:r>
            <w:proofErr w:type="spellEnd"/>
            <w:r w:rsidRPr="009841AB">
              <w:t xml:space="preserve"> informācijas sistēma” pirmās kārtas ietvarā un attiecīgi ir zaudējušas aktualitāti.</w:t>
            </w:r>
          </w:p>
          <w:p w14:paraId="498E57BF" w14:textId="77777777" w:rsidR="002C4AE0" w:rsidRPr="009841AB" w:rsidRDefault="002C4AE0" w:rsidP="002C4AE0">
            <w:pPr>
              <w:ind w:right="12"/>
              <w:jc w:val="both"/>
            </w:pPr>
            <w:r w:rsidRPr="009841AB">
              <w:tab/>
              <w:t xml:space="preserve"> Tādējādi, lai nodrošinātu, ka pamatnostādņu saturs nav pārāk detalizēts, lūdzam attiecīgajā </w:t>
            </w:r>
            <w:r w:rsidRPr="009841AB">
              <w:lastRenderedPageBreak/>
              <w:t xml:space="preserve">pamatnostādņu </w:t>
            </w:r>
            <w:proofErr w:type="spellStart"/>
            <w:r w:rsidRPr="009841AB">
              <w:t>apakšsadaļā</w:t>
            </w:r>
            <w:proofErr w:type="spellEnd"/>
            <w:r w:rsidRPr="009841AB">
              <w:t xml:space="preserve"> vispārināt vārdkopu “turpināt </w:t>
            </w:r>
            <w:proofErr w:type="spellStart"/>
            <w:r w:rsidRPr="009841AB">
              <w:t>Iekšlietu</w:t>
            </w:r>
            <w:proofErr w:type="spellEnd"/>
            <w:r w:rsidRPr="009841AB">
              <w:t xml:space="preserve"> ministrijas Informācijas centra informācijas sistēmas IIS2 pilnveidošanu”, izsakot to šādā redakcijā: “turpināt </w:t>
            </w:r>
            <w:proofErr w:type="spellStart"/>
            <w:r w:rsidRPr="009841AB">
              <w:t>Iekšlietu</w:t>
            </w:r>
            <w:proofErr w:type="spellEnd"/>
            <w:r w:rsidRPr="009841AB">
              <w:t xml:space="preserve"> ministrijas Informācijas centra informācijas sistēmas IIIS2 pilnveidošanu un attīstību </w:t>
            </w:r>
            <w:proofErr w:type="spellStart"/>
            <w:r w:rsidRPr="009841AB">
              <w:t>pirmstiesas</w:t>
            </w:r>
            <w:proofErr w:type="spellEnd"/>
            <w:r w:rsidRPr="009841AB">
              <w:t xml:space="preserve"> izmeklēšanas procesu pilnīgas </w:t>
            </w:r>
            <w:proofErr w:type="spellStart"/>
            <w:r w:rsidRPr="009841AB">
              <w:t>digitalizācijas</w:t>
            </w:r>
            <w:proofErr w:type="spellEnd"/>
            <w:r w:rsidRPr="009841AB">
              <w:t xml:space="preserve"> nodrošināšanai”, svītrojot apakšpunktos uzskaitītās aktivitātes.</w:t>
            </w:r>
          </w:p>
        </w:tc>
        <w:tc>
          <w:tcPr>
            <w:tcW w:w="2480" w:type="dxa"/>
            <w:tcBorders>
              <w:left w:val="single" w:sz="6" w:space="0" w:color="000000" w:themeColor="text1"/>
              <w:bottom w:val="single" w:sz="4" w:space="0" w:color="auto"/>
            </w:tcBorders>
            <w:shd w:val="clear" w:color="auto" w:fill="auto"/>
          </w:tcPr>
          <w:p w14:paraId="74C92588" w14:textId="77777777" w:rsidR="002C4AE0" w:rsidRPr="009841AB" w:rsidRDefault="002C4AE0" w:rsidP="002C4AE0">
            <w:pPr>
              <w:pStyle w:val="naisc"/>
              <w:spacing w:before="0" w:after="0"/>
              <w:jc w:val="left"/>
              <w:rPr>
                <w:b/>
              </w:rPr>
            </w:pPr>
            <w:r w:rsidRPr="009841AB">
              <w:rPr>
                <w:b/>
              </w:rPr>
              <w:lastRenderedPageBreak/>
              <w:t>Ņemts vērā</w:t>
            </w:r>
          </w:p>
          <w:p w14:paraId="63B1C8DE" w14:textId="77777777" w:rsidR="002C4AE0" w:rsidRPr="009841AB" w:rsidRDefault="002C4AE0" w:rsidP="002C4AE0">
            <w:pPr>
              <w:ind w:right="12"/>
              <w:jc w:val="both"/>
              <w:rPr>
                <w:b/>
                <w:bCs/>
              </w:rPr>
            </w:pPr>
            <w:r w:rsidRPr="009841AB">
              <w:t xml:space="preserve">No 4.4.5.1. </w:t>
            </w:r>
            <w:proofErr w:type="spellStart"/>
            <w:r w:rsidRPr="009841AB">
              <w:t>apakšsadaļas</w:t>
            </w:r>
            <w:proofErr w:type="spellEnd"/>
            <w:r w:rsidRPr="009841AB">
              <w:t xml:space="preserve"> dzēstas darbības, kas tiks īstenotas projekta Nr.2.2.1./19/I/010 tvērumā.</w:t>
            </w:r>
          </w:p>
        </w:tc>
        <w:tc>
          <w:tcPr>
            <w:tcW w:w="3497" w:type="dxa"/>
            <w:tcBorders>
              <w:left w:val="single" w:sz="6" w:space="0" w:color="000000" w:themeColor="text1"/>
              <w:bottom w:val="single" w:sz="4" w:space="0" w:color="auto"/>
            </w:tcBorders>
            <w:shd w:val="clear" w:color="auto" w:fill="auto"/>
          </w:tcPr>
          <w:p w14:paraId="3673CD3B" w14:textId="77777777" w:rsidR="002C4AE0" w:rsidRPr="009841AB" w:rsidRDefault="002C4AE0" w:rsidP="002C4AE0">
            <w:pPr>
              <w:pStyle w:val="naisc"/>
              <w:spacing w:before="0" w:after="0"/>
              <w:jc w:val="left"/>
            </w:pPr>
            <w:r w:rsidRPr="009841AB">
              <w:t xml:space="preserve">Lūdzam skatīt </w:t>
            </w:r>
            <w:proofErr w:type="spellStart"/>
            <w:r w:rsidRPr="009841AB">
              <w:t>apakšsadaļu</w:t>
            </w:r>
            <w:proofErr w:type="spellEnd"/>
            <w:r w:rsidRPr="009841AB">
              <w:t xml:space="preserve"> 4.4.5.1. </w:t>
            </w:r>
          </w:p>
        </w:tc>
      </w:tr>
      <w:tr w:rsidR="00C857FC" w:rsidRPr="009841AB" w14:paraId="775CF64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5D49E82D" w14:textId="77777777" w:rsidR="00C857FC" w:rsidRPr="009841AB" w:rsidRDefault="00C857FC" w:rsidP="00C857FC">
            <w:pPr>
              <w:pStyle w:val="naisc"/>
              <w:spacing w:before="0" w:after="0"/>
              <w:jc w:val="left"/>
            </w:pPr>
            <w:proofErr w:type="spellStart"/>
            <w:r w:rsidRPr="009841AB">
              <w:rPr>
                <w:b/>
                <w:bCs/>
                <w:lang w:eastAsia="en-US"/>
              </w:rPr>
              <w:t>Iekšlietu</w:t>
            </w:r>
            <w:proofErr w:type="spellEnd"/>
            <w:r w:rsidRPr="009841AB">
              <w:rPr>
                <w:b/>
                <w:bCs/>
                <w:lang w:eastAsia="en-US"/>
              </w:rPr>
              <w:t xml:space="preserve"> ministrijas 02.02.2021. atzinums:</w:t>
            </w:r>
          </w:p>
        </w:tc>
      </w:tr>
      <w:tr w:rsidR="00C857FC" w:rsidRPr="009841AB" w14:paraId="5E8631D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4615CF5" w14:textId="77777777" w:rsidR="00C857FC" w:rsidRPr="009841AB" w:rsidRDefault="00C857FC" w:rsidP="00C857FC">
            <w:pPr>
              <w:pStyle w:val="naisc"/>
              <w:spacing w:before="0" w:after="0"/>
            </w:pPr>
          </w:p>
        </w:tc>
        <w:tc>
          <w:tcPr>
            <w:tcW w:w="2427" w:type="dxa"/>
            <w:tcBorders>
              <w:left w:val="single" w:sz="6" w:space="0" w:color="000000" w:themeColor="text1"/>
              <w:bottom w:val="single" w:sz="4" w:space="0" w:color="auto"/>
            </w:tcBorders>
            <w:shd w:val="clear" w:color="auto" w:fill="auto"/>
          </w:tcPr>
          <w:p w14:paraId="66380861" w14:textId="77777777" w:rsidR="00C857FC" w:rsidRPr="009841AB" w:rsidRDefault="00C857FC" w:rsidP="00C857FC">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0EA6683A" w14:textId="77777777" w:rsidR="00C857FC" w:rsidRPr="00411ECF" w:rsidRDefault="00C857FC" w:rsidP="00C857FC">
            <w:pPr>
              <w:ind w:right="12"/>
              <w:jc w:val="both"/>
              <w:rPr>
                <w:b/>
                <w:bCs/>
              </w:rPr>
            </w:pPr>
            <w:r>
              <w:rPr>
                <w:b/>
                <w:bCs/>
              </w:rPr>
              <w:t>Priekšlikumi:</w:t>
            </w:r>
          </w:p>
        </w:tc>
        <w:tc>
          <w:tcPr>
            <w:tcW w:w="2480" w:type="dxa"/>
            <w:tcBorders>
              <w:left w:val="single" w:sz="6" w:space="0" w:color="000000" w:themeColor="text1"/>
              <w:bottom w:val="single" w:sz="4" w:space="0" w:color="auto"/>
            </w:tcBorders>
            <w:shd w:val="clear" w:color="auto" w:fill="auto"/>
          </w:tcPr>
          <w:p w14:paraId="20F93DA2" w14:textId="77777777" w:rsidR="00C857FC" w:rsidRPr="009841AB" w:rsidRDefault="00C857FC" w:rsidP="00C857FC">
            <w:pPr>
              <w:pStyle w:val="naisc"/>
              <w:spacing w:before="0" w:after="0"/>
              <w:jc w:val="left"/>
              <w:rPr>
                <w:b/>
              </w:rPr>
            </w:pPr>
          </w:p>
        </w:tc>
        <w:tc>
          <w:tcPr>
            <w:tcW w:w="3497" w:type="dxa"/>
            <w:tcBorders>
              <w:left w:val="single" w:sz="6" w:space="0" w:color="000000" w:themeColor="text1"/>
              <w:bottom w:val="single" w:sz="4" w:space="0" w:color="auto"/>
            </w:tcBorders>
            <w:shd w:val="clear" w:color="auto" w:fill="auto"/>
          </w:tcPr>
          <w:p w14:paraId="14BE2B0C" w14:textId="77777777" w:rsidR="00C857FC" w:rsidRPr="009841AB" w:rsidRDefault="00C857FC" w:rsidP="00C857FC">
            <w:pPr>
              <w:pStyle w:val="naisc"/>
              <w:spacing w:before="0" w:after="0"/>
              <w:jc w:val="left"/>
            </w:pPr>
          </w:p>
        </w:tc>
      </w:tr>
      <w:tr w:rsidR="00C857FC" w:rsidRPr="009841AB" w14:paraId="0BBE926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D33E890" w14:textId="77777777" w:rsidR="00C857FC" w:rsidRPr="009841AB" w:rsidRDefault="005E1581" w:rsidP="00C857FC">
            <w:pPr>
              <w:pStyle w:val="naisc"/>
              <w:spacing w:before="0" w:after="0"/>
            </w:pPr>
            <w:r>
              <w:t>275</w:t>
            </w:r>
          </w:p>
        </w:tc>
        <w:tc>
          <w:tcPr>
            <w:tcW w:w="2427" w:type="dxa"/>
            <w:tcBorders>
              <w:left w:val="single" w:sz="6" w:space="0" w:color="000000" w:themeColor="text1"/>
              <w:bottom w:val="single" w:sz="4" w:space="0" w:color="auto"/>
            </w:tcBorders>
            <w:shd w:val="clear" w:color="auto" w:fill="auto"/>
          </w:tcPr>
          <w:p w14:paraId="2B6DD121"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EFC9949" w14:textId="77777777" w:rsidR="00C857FC" w:rsidRPr="009841AB" w:rsidRDefault="00C857FC" w:rsidP="00C857FC">
            <w:pPr>
              <w:ind w:right="12"/>
              <w:jc w:val="both"/>
            </w:pPr>
            <w:r>
              <w:t>P</w:t>
            </w:r>
            <w:r w:rsidRPr="00FD33DF">
              <w:t xml:space="preserve">amatnostādņu 4.4.5.1.apakšsadaļas "Rīcības </w:t>
            </w:r>
            <w:proofErr w:type="spellStart"/>
            <w:r w:rsidRPr="00FD33DF">
              <w:t>apakšvirziens</w:t>
            </w:r>
            <w:proofErr w:type="spellEnd"/>
            <w:r w:rsidRPr="00FD33DF">
              <w:t xml:space="preserve">: Izmeklēšanas un tiesvedības procesa tālāka </w:t>
            </w:r>
            <w:proofErr w:type="spellStart"/>
            <w:r w:rsidRPr="00FD33DF">
              <w:t>digitalizācija</w:t>
            </w:r>
            <w:proofErr w:type="spellEnd"/>
            <w:r w:rsidRPr="00FD33DF">
              <w:t xml:space="preserve">" (75.lpp.) 2.5.10. apakšpunktā jāprecizē norādītais </w:t>
            </w:r>
            <w:proofErr w:type="spellStart"/>
            <w:r w:rsidR="00FD33DF" w:rsidRPr="00FD33DF">
              <w:t>Iekšlietu</w:t>
            </w:r>
            <w:proofErr w:type="spellEnd"/>
            <w:r w:rsidRPr="00FD33DF">
              <w:t xml:space="preserve"> ministrijas Informācijas centra informācijas sistēmas saīsinājums, labojot esošo saīsinājumu no “IIS2” uz “IIIS2”.</w:t>
            </w:r>
          </w:p>
        </w:tc>
        <w:tc>
          <w:tcPr>
            <w:tcW w:w="2480" w:type="dxa"/>
            <w:tcBorders>
              <w:left w:val="single" w:sz="6" w:space="0" w:color="000000" w:themeColor="text1"/>
              <w:bottom w:val="single" w:sz="4" w:space="0" w:color="auto"/>
            </w:tcBorders>
            <w:shd w:val="clear" w:color="auto" w:fill="auto"/>
          </w:tcPr>
          <w:p w14:paraId="2B914523" w14:textId="77777777" w:rsidR="00C857FC" w:rsidRPr="009841AB" w:rsidRDefault="00C857FC" w:rsidP="00C857FC">
            <w:pPr>
              <w:pStyle w:val="naisc"/>
              <w:spacing w:before="0" w:after="0"/>
              <w:jc w:val="left"/>
              <w:rPr>
                <w:b/>
              </w:rPr>
            </w:pPr>
            <w:r w:rsidRPr="7DDAB67F">
              <w:rPr>
                <w:b/>
                <w:bCs/>
              </w:rPr>
              <w:t xml:space="preserve">Ņemts </w:t>
            </w:r>
            <w:r w:rsidRPr="68F2B529">
              <w:rPr>
                <w:b/>
                <w:bCs/>
              </w:rPr>
              <w:t>vērā</w:t>
            </w:r>
          </w:p>
        </w:tc>
        <w:tc>
          <w:tcPr>
            <w:tcW w:w="3497" w:type="dxa"/>
            <w:tcBorders>
              <w:left w:val="single" w:sz="6" w:space="0" w:color="000000" w:themeColor="text1"/>
              <w:bottom w:val="single" w:sz="4" w:space="0" w:color="auto"/>
            </w:tcBorders>
            <w:shd w:val="clear" w:color="auto" w:fill="auto"/>
          </w:tcPr>
          <w:p w14:paraId="53B9B66F" w14:textId="7AE2C673" w:rsidR="008A0052" w:rsidRDefault="008A0052" w:rsidP="008A0052">
            <w:pPr>
              <w:pStyle w:val="naisc"/>
              <w:spacing w:before="0" w:after="0"/>
              <w:jc w:val="both"/>
            </w:pPr>
            <w:r w:rsidRPr="009841AB">
              <w:t>Lūdzam skatīt sadaļu 4.</w:t>
            </w:r>
            <w:r>
              <w:t>4.</w:t>
            </w:r>
          </w:p>
          <w:p w14:paraId="7F160B5B" w14:textId="18997F6A" w:rsidR="00C857FC" w:rsidRPr="009841AB" w:rsidRDefault="00C857FC" w:rsidP="00C857FC">
            <w:pPr>
              <w:pStyle w:val="naisc"/>
              <w:spacing w:before="0" w:after="0"/>
              <w:jc w:val="left"/>
            </w:pPr>
            <w:r>
              <w:t>Precizēts</w:t>
            </w:r>
          </w:p>
        </w:tc>
      </w:tr>
      <w:tr w:rsidR="001272D9" w:rsidRPr="009841AB" w14:paraId="58FD9987"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9025181" w14:textId="77777777" w:rsidR="001272D9" w:rsidRPr="009841AB" w:rsidRDefault="001272D9" w:rsidP="001272D9">
            <w:pPr>
              <w:tabs>
                <w:tab w:val="left" w:pos="720"/>
              </w:tabs>
              <w:contextualSpacing/>
              <w:jc w:val="both"/>
              <w:rPr>
                <w:b/>
                <w:bCs/>
                <w:lang w:eastAsia="en-US"/>
              </w:rPr>
            </w:pPr>
            <w:r w:rsidRPr="009841AB">
              <w:rPr>
                <w:b/>
                <w:bCs/>
                <w:lang w:eastAsia="en-US"/>
              </w:rPr>
              <w:t>Izglītības un zinātnes ministrijas 27.01.2021. atzinums:</w:t>
            </w:r>
          </w:p>
        </w:tc>
      </w:tr>
      <w:tr w:rsidR="00491E44" w:rsidRPr="009841AB" w14:paraId="1703E86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3F7BDD1" w14:textId="77777777" w:rsidR="00491E44" w:rsidRPr="009841AB" w:rsidRDefault="00491E44" w:rsidP="00491E44">
            <w:pPr>
              <w:pStyle w:val="naisc"/>
              <w:spacing w:before="0" w:after="0"/>
            </w:pPr>
            <w:r w:rsidRPr="009841AB">
              <w:t>2</w:t>
            </w:r>
            <w:r w:rsidR="005E1581">
              <w:t>76</w:t>
            </w:r>
          </w:p>
        </w:tc>
        <w:tc>
          <w:tcPr>
            <w:tcW w:w="2427" w:type="dxa"/>
            <w:tcBorders>
              <w:left w:val="single" w:sz="6" w:space="0" w:color="000000" w:themeColor="text1"/>
              <w:bottom w:val="single" w:sz="4" w:space="0" w:color="auto"/>
            </w:tcBorders>
            <w:shd w:val="clear" w:color="auto" w:fill="auto"/>
          </w:tcPr>
          <w:p w14:paraId="2239B260" w14:textId="77777777" w:rsidR="00491E44" w:rsidRPr="009841AB" w:rsidRDefault="00491E44" w:rsidP="00491E44">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A7CD03D" w14:textId="77777777" w:rsidR="00491E44" w:rsidRPr="009841AB" w:rsidRDefault="00491E44" w:rsidP="00491E44">
            <w:pPr>
              <w:ind w:right="12"/>
              <w:jc w:val="both"/>
            </w:pPr>
            <w:r w:rsidRPr="009841AB">
              <w:t>1.</w:t>
            </w:r>
            <w:r w:rsidRPr="009841AB">
              <w:tab/>
              <w:t xml:space="preserve">Lūdzam skaidrot, kādēļ 4.4.1. Rīcības virzienā “Pakalpojumu platformas” nav ietverta plānotā </w:t>
            </w:r>
            <w:proofErr w:type="spellStart"/>
            <w:r w:rsidRPr="009841AB">
              <w:t>rīcībpolitikas</w:t>
            </w:r>
            <w:proofErr w:type="spellEnd"/>
            <w:r w:rsidRPr="009841AB">
              <w:t xml:space="preserve"> attīstība valsts pakalpojumu platformu atvēršanai komersantiem, tāpat 4.4.2.1. rīcības </w:t>
            </w:r>
            <w:proofErr w:type="spellStart"/>
            <w:r w:rsidRPr="009841AB">
              <w:t>apakšvirziens</w:t>
            </w:r>
            <w:proofErr w:type="spellEnd"/>
            <w:r w:rsidRPr="009841AB">
              <w:t xml:space="preserve"> “Datu pārvaldības ietvars” neietver plānotās </w:t>
            </w:r>
            <w:proofErr w:type="spellStart"/>
            <w:r w:rsidRPr="009841AB">
              <w:t>rīcībpolitikas</w:t>
            </w:r>
            <w:proofErr w:type="spellEnd"/>
            <w:r w:rsidRPr="009841AB">
              <w:t xml:space="preserve"> aprakstu, bet tās ir paredzēts izstrādāt kā atsevišķus plānus tikai 2023.gadā.</w:t>
            </w:r>
          </w:p>
        </w:tc>
        <w:tc>
          <w:tcPr>
            <w:tcW w:w="2480" w:type="dxa"/>
            <w:tcBorders>
              <w:left w:val="single" w:sz="6" w:space="0" w:color="000000" w:themeColor="text1"/>
              <w:bottom w:val="single" w:sz="4" w:space="0" w:color="auto"/>
            </w:tcBorders>
            <w:shd w:val="clear" w:color="auto" w:fill="auto"/>
          </w:tcPr>
          <w:p w14:paraId="414D72F3" w14:textId="77777777" w:rsidR="00503D8D" w:rsidRPr="009841AB" w:rsidRDefault="00491E44" w:rsidP="00491E44">
            <w:pPr>
              <w:rPr>
                <w:b/>
              </w:rPr>
            </w:pPr>
            <w:r w:rsidRPr="009841AB">
              <w:rPr>
                <w:b/>
              </w:rPr>
              <w:t>Ņemts vērā</w:t>
            </w:r>
          </w:p>
          <w:p w14:paraId="533FB65C" w14:textId="77777777" w:rsidR="00503D8D" w:rsidRPr="009841AB" w:rsidRDefault="00503D8D" w:rsidP="00491E44">
            <w:r w:rsidRPr="009841AB">
              <w:t>Uzdevums 4.4.1.-1 paredz uzdevumu izveidot politiku un tiesisko regulējumu platformu atvēršanai komersantiem. Uzdevums 4.4.2.1.-1 paredz izveidot un ieviest datu pārvaldības politiku. Šobrīd VARAM strādā pie informatīvā ziņojuma par nepieciešamo datu pārvald</w:t>
            </w:r>
            <w:r w:rsidR="004577CD" w:rsidRPr="009841AB">
              <w:t>ī</w:t>
            </w:r>
            <w:r w:rsidRPr="009841AB">
              <w:t>bas tiesisko ietvaru</w:t>
            </w:r>
          </w:p>
        </w:tc>
        <w:tc>
          <w:tcPr>
            <w:tcW w:w="3497" w:type="dxa"/>
            <w:tcBorders>
              <w:left w:val="single" w:sz="6" w:space="0" w:color="000000" w:themeColor="text1"/>
              <w:bottom w:val="single" w:sz="4" w:space="0" w:color="auto"/>
            </w:tcBorders>
            <w:shd w:val="clear" w:color="auto" w:fill="auto"/>
          </w:tcPr>
          <w:p w14:paraId="4E43B858" w14:textId="77777777" w:rsidR="00491E44" w:rsidRPr="009841AB" w:rsidRDefault="00491E44" w:rsidP="00F531B5">
            <w:pPr>
              <w:pStyle w:val="naisc"/>
              <w:spacing w:before="0" w:after="0"/>
              <w:jc w:val="left"/>
            </w:pPr>
            <w:r w:rsidRPr="009841AB">
              <w:t xml:space="preserve">Lūdzam skatīt </w:t>
            </w:r>
            <w:proofErr w:type="spellStart"/>
            <w:r w:rsidRPr="009841AB">
              <w:t>apakšsadaļu</w:t>
            </w:r>
            <w:proofErr w:type="spellEnd"/>
            <w:r w:rsidRPr="009841AB">
              <w:t xml:space="preserve"> 4.4.2.1. </w:t>
            </w:r>
          </w:p>
        </w:tc>
      </w:tr>
      <w:tr w:rsidR="002D546A" w:rsidRPr="009841AB" w14:paraId="2659530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BF7887E" w14:textId="77777777" w:rsidR="002D546A" w:rsidRPr="009841AB" w:rsidRDefault="002D546A" w:rsidP="002D546A">
            <w:pPr>
              <w:pStyle w:val="naisc"/>
              <w:spacing w:before="0" w:after="0"/>
            </w:pPr>
            <w:r w:rsidRPr="009841AB">
              <w:lastRenderedPageBreak/>
              <w:t>2</w:t>
            </w:r>
            <w:r w:rsidR="005E1581">
              <w:t>77</w:t>
            </w:r>
          </w:p>
        </w:tc>
        <w:tc>
          <w:tcPr>
            <w:tcW w:w="2427" w:type="dxa"/>
            <w:tcBorders>
              <w:left w:val="single" w:sz="6" w:space="0" w:color="000000" w:themeColor="text1"/>
              <w:bottom w:val="single" w:sz="4" w:space="0" w:color="auto"/>
            </w:tcBorders>
            <w:shd w:val="clear" w:color="auto" w:fill="auto"/>
          </w:tcPr>
          <w:p w14:paraId="323C11C8" w14:textId="77777777" w:rsidR="002D546A" w:rsidRPr="009841AB" w:rsidRDefault="002D546A" w:rsidP="002D546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582EE7D" w14:textId="77777777" w:rsidR="002D546A" w:rsidRPr="009841AB" w:rsidRDefault="002D546A" w:rsidP="002D546A">
            <w:pPr>
              <w:ind w:right="12"/>
              <w:jc w:val="both"/>
            </w:pPr>
            <w:r w:rsidRPr="009841AB">
              <w:t>2.</w:t>
            </w:r>
            <w:r w:rsidRPr="009841AB">
              <w:tab/>
              <w:t>4.4.7.rīcības virziena “</w:t>
            </w:r>
            <w:proofErr w:type="spellStart"/>
            <w:r w:rsidRPr="009841AB">
              <w:t>Mašīntulkošana</w:t>
            </w:r>
            <w:proofErr w:type="spellEnd"/>
            <w:r w:rsidRPr="009841AB">
              <w:t xml:space="preserve"> un valodu tehnoloģijas” aprakstā izmantot vienotu terminu “</w:t>
            </w:r>
            <w:proofErr w:type="spellStart"/>
            <w:r w:rsidRPr="009841AB">
              <w:t>sarunboti</w:t>
            </w:r>
            <w:proofErr w:type="spellEnd"/>
            <w:r w:rsidRPr="009841AB">
              <w:t xml:space="preserve">” visā rīcības virziena aprakstā. IZM ieskatā, plānotā </w:t>
            </w:r>
            <w:proofErr w:type="spellStart"/>
            <w:r w:rsidRPr="009841AB">
              <w:t>rīcībpolitika</w:t>
            </w:r>
            <w:proofErr w:type="spellEnd"/>
            <w:r w:rsidRPr="009841AB">
              <w:t xml:space="preserve"> valodu tehnoloģiju pieejamības nodrošināšanai ir jānosaka pamatnostādnēs. Turklāt, šim rīcības virzienam plānoto rezultātu sasniegšana ir saistīta ar valodas korpusu tālāku attīstību (apjoma </w:t>
            </w:r>
            <w:proofErr w:type="spellStart"/>
            <w:r w:rsidRPr="009841AB">
              <w:t>palielināšanau</w:t>
            </w:r>
            <w:proofErr w:type="spellEnd"/>
            <w:r w:rsidRPr="009841AB">
              <w:t xml:space="preserve">) un pētniecību, kas projektā nav minēti. </w:t>
            </w:r>
          </w:p>
        </w:tc>
        <w:tc>
          <w:tcPr>
            <w:tcW w:w="2480" w:type="dxa"/>
            <w:tcBorders>
              <w:left w:val="single" w:sz="6" w:space="0" w:color="000000" w:themeColor="text1"/>
              <w:bottom w:val="single" w:sz="4" w:space="0" w:color="auto"/>
            </w:tcBorders>
            <w:shd w:val="clear" w:color="auto" w:fill="auto"/>
          </w:tcPr>
          <w:p w14:paraId="4B03FA2A" w14:textId="77777777" w:rsidR="002D546A" w:rsidRPr="009841AB" w:rsidRDefault="002D546A" w:rsidP="002D546A">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72A10568" w14:textId="77777777" w:rsidR="002D546A" w:rsidRPr="009841AB" w:rsidRDefault="002D546A" w:rsidP="002D546A">
            <w:pPr>
              <w:pStyle w:val="naisc"/>
              <w:spacing w:before="0" w:after="0"/>
              <w:jc w:val="both"/>
            </w:pPr>
            <w:r w:rsidRPr="009841AB">
              <w:t xml:space="preserve">Lūdzam skatīt </w:t>
            </w:r>
            <w:proofErr w:type="spellStart"/>
            <w:r w:rsidRPr="009841AB">
              <w:t>apakšsadaļu</w:t>
            </w:r>
            <w:proofErr w:type="spellEnd"/>
            <w:r w:rsidRPr="009841AB">
              <w:t xml:space="preserve"> 4.4.7. </w:t>
            </w:r>
          </w:p>
        </w:tc>
      </w:tr>
      <w:tr w:rsidR="001272D9" w:rsidRPr="009841AB" w14:paraId="43FD70A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BD405B2" w14:textId="77777777" w:rsidR="001272D9" w:rsidRPr="009841AB" w:rsidRDefault="001272D9" w:rsidP="001272D9">
            <w:pPr>
              <w:pStyle w:val="naisc"/>
              <w:spacing w:before="0" w:after="0"/>
            </w:pPr>
            <w:r w:rsidRPr="009841AB">
              <w:t>2</w:t>
            </w:r>
            <w:r w:rsidR="008D237F">
              <w:t>78</w:t>
            </w:r>
          </w:p>
        </w:tc>
        <w:tc>
          <w:tcPr>
            <w:tcW w:w="2427" w:type="dxa"/>
            <w:tcBorders>
              <w:left w:val="single" w:sz="6" w:space="0" w:color="000000" w:themeColor="text1"/>
              <w:bottom w:val="single" w:sz="4" w:space="0" w:color="auto"/>
            </w:tcBorders>
            <w:shd w:val="clear" w:color="auto" w:fill="auto"/>
          </w:tcPr>
          <w:p w14:paraId="1FEB4DB1"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110327B" w14:textId="77777777" w:rsidR="001272D9" w:rsidRPr="009841AB" w:rsidRDefault="001272D9" w:rsidP="001272D9">
            <w:pPr>
              <w:ind w:right="12"/>
              <w:jc w:val="both"/>
            </w:pPr>
            <w:r w:rsidRPr="009841AB">
              <w:t>3.</w:t>
            </w:r>
            <w:r w:rsidRPr="009841AB">
              <w:tab/>
              <w:t xml:space="preserve">4.4.9.4.rīcības </w:t>
            </w:r>
            <w:proofErr w:type="spellStart"/>
            <w:r w:rsidRPr="009841AB">
              <w:t>apakšvirziena</w:t>
            </w:r>
            <w:proofErr w:type="spellEnd"/>
            <w:r w:rsidRPr="009841AB">
              <w:t xml:space="preserve"> “Produktīva valsts pārvaldes darbinieku darba vide” nosaukums un esošās situācijas apraksts, kas norāda uz vairākiem tehnoloģiskajiem aspektiem, kas ietekmē valsts pārvaldes darba efektivitāti un sagaidāmās rīcības apraksts neatbilst tālāk noteiktajam sagaidāmajam rezultātam un uzdevumiem, savukārt </w:t>
            </w:r>
            <w:r w:rsidRPr="009841AB">
              <w:rPr>
                <w:u w:val="single"/>
              </w:rPr>
              <w:t>uzdevuma nosaukums nepiedāvā risinājumu nevienai no iepriekš aprakstītajām problēmām, jo tikai ar lēmumu par attālināto darbu valsts pārvaldē nevar atrisināt ne valsts pārvaldes IKT nodrošinājumu,</w:t>
            </w:r>
            <w:r w:rsidRPr="009841AB">
              <w:t xml:space="preserve"> ne interneta jaudas un kvalitāti attālinātā darba laikā, ne labāku plānošanu ne arī drošu, valsts pārvaldes vajadzībām atbilstošu, digitālas saziņas platformu izmantošanu. Lūdzam precizēt projektu.</w:t>
            </w:r>
          </w:p>
        </w:tc>
        <w:tc>
          <w:tcPr>
            <w:tcW w:w="2480" w:type="dxa"/>
            <w:tcBorders>
              <w:left w:val="single" w:sz="6" w:space="0" w:color="000000" w:themeColor="text1"/>
              <w:bottom w:val="single" w:sz="4" w:space="0" w:color="auto"/>
            </w:tcBorders>
            <w:shd w:val="clear" w:color="auto" w:fill="auto"/>
          </w:tcPr>
          <w:p w14:paraId="056D4E7C" w14:textId="77777777" w:rsidR="001272D9" w:rsidRPr="009841AB" w:rsidRDefault="001272D9" w:rsidP="001272D9">
            <w:pPr>
              <w:pStyle w:val="naisc"/>
              <w:spacing w:before="0" w:after="0"/>
              <w:jc w:val="left"/>
              <w:rPr>
                <w:b/>
                <w:bCs/>
              </w:rPr>
            </w:pPr>
            <w:r w:rsidRPr="009841AB">
              <w:rPr>
                <w:b/>
                <w:bCs/>
              </w:rPr>
              <w:t xml:space="preserve">Ņemts vērā </w:t>
            </w:r>
          </w:p>
        </w:tc>
        <w:tc>
          <w:tcPr>
            <w:tcW w:w="3497" w:type="dxa"/>
            <w:tcBorders>
              <w:left w:val="single" w:sz="6" w:space="0" w:color="000000" w:themeColor="text1"/>
              <w:bottom w:val="single" w:sz="4" w:space="0" w:color="auto"/>
            </w:tcBorders>
            <w:shd w:val="clear" w:color="auto" w:fill="auto"/>
          </w:tcPr>
          <w:p w14:paraId="4D68AE8F" w14:textId="77777777" w:rsidR="001272D9" w:rsidRPr="009841AB" w:rsidRDefault="00F531B5" w:rsidP="00F531B5">
            <w:pPr>
              <w:pStyle w:val="naisc"/>
              <w:spacing w:before="0" w:after="0"/>
              <w:jc w:val="left"/>
            </w:pPr>
            <w:r w:rsidRPr="009841AB">
              <w:t xml:space="preserve">Lūdzam skatīt </w:t>
            </w:r>
            <w:proofErr w:type="spellStart"/>
            <w:r w:rsidRPr="009841AB">
              <w:t>apakšsadaļu</w:t>
            </w:r>
            <w:proofErr w:type="spellEnd"/>
            <w:r w:rsidRPr="009841AB">
              <w:t xml:space="preserve"> </w:t>
            </w:r>
            <w:r w:rsidR="001272D9" w:rsidRPr="009841AB">
              <w:t xml:space="preserve">4.4.9.4. </w:t>
            </w:r>
          </w:p>
        </w:tc>
      </w:tr>
      <w:tr w:rsidR="001272D9" w:rsidRPr="009841AB" w14:paraId="24174E2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CD876AF" w14:textId="77777777" w:rsidR="001272D9" w:rsidRPr="009841AB" w:rsidRDefault="001272D9" w:rsidP="001272D9">
            <w:pPr>
              <w:pStyle w:val="naisc"/>
              <w:spacing w:before="0" w:after="0"/>
            </w:pPr>
            <w:r w:rsidRPr="009841AB">
              <w:t>2</w:t>
            </w:r>
            <w:r w:rsidR="008D237F">
              <w:t>79</w:t>
            </w:r>
          </w:p>
        </w:tc>
        <w:tc>
          <w:tcPr>
            <w:tcW w:w="2427" w:type="dxa"/>
            <w:tcBorders>
              <w:left w:val="single" w:sz="6" w:space="0" w:color="000000" w:themeColor="text1"/>
              <w:bottom w:val="single" w:sz="4" w:space="0" w:color="auto"/>
            </w:tcBorders>
            <w:shd w:val="clear" w:color="auto" w:fill="auto"/>
          </w:tcPr>
          <w:p w14:paraId="474E0F9C"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8B9AD37" w14:textId="77777777" w:rsidR="001272D9" w:rsidRPr="009841AB" w:rsidRDefault="001272D9" w:rsidP="001272D9">
            <w:pPr>
              <w:ind w:right="12"/>
              <w:jc w:val="both"/>
            </w:pPr>
            <w:r w:rsidRPr="009841AB">
              <w:t>4.</w:t>
            </w:r>
            <w:r w:rsidRPr="009841AB">
              <w:tab/>
              <w:t xml:space="preserve">Lūdzam papildināt Pamatnostādņu projekta rīcības virziena Nr.4.4.13 „Izglītības procesu </w:t>
            </w:r>
            <w:proofErr w:type="spellStart"/>
            <w:r w:rsidRPr="009841AB">
              <w:t>digitalizācija</w:t>
            </w:r>
            <w:proofErr w:type="spellEnd"/>
            <w:r w:rsidRPr="009841AB">
              <w:t xml:space="preserve">” esošās situācijas aprakstu ar norādi, ka šobrīd mācību procesā izglītojamajiem dažkārt nav pieejami ne tikai digitālie mācību līdzekļi, bet arī informāciju un komunikāciju tehnoloģiju aprīkojums. Attiecīgi lūdzam </w:t>
            </w:r>
            <w:r w:rsidRPr="009841AB">
              <w:rPr>
                <w:u w:val="single"/>
              </w:rPr>
              <w:t xml:space="preserve">papildināt minēto rīcības virzienu ar šādu papildus aktivitāti „Valsts pārvaldes iestādēm sadarbojoties izglītības iestāžu dibinātājiem izglītības iestādēm nodrošināt informācijas un komunikāciju tehnoloģiju aprīkojumu kvalitatīva mācību procesa, tai </w:t>
            </w:r>
            <w:r w:rsidRPr="009841AB">
              <w:rPr>
                <w:u w:val="single"/>
              </w:rPr>
              <w:lastRenderedPageBreak/>
              <w:t>skaitā attālinātā un tiešsaistes mācību procesa, īstenošanai.”.</w:t>
            </w:r>
          </w:p>
        </w:tc>
        <w:tc>
          <w:tcPr>
            <w:tcW w:w="2480" w:type="dxa"/>
            <w:tcBorders>
              <w:left w:val="single" w:sz="6" w:space="0" w:color="000000" w:themeColor="text1"/>
              <w:bottom w:val="single" w:sz="4" w:space="0" w:color="auto"/>
            </w:tcBorders>
            <w:shd w:val="clear" w:color="auto" w:fill="auto"/>
          </w:tcPr>
          <w:p w14:paraId="32C2065D" w14:textId="77777777" w:rsidR="008A2A01" w:rsidRDefault="008A2A01" w:rsidP="008A2A01">
            <w:pPr>
              <w:pStyle w:val="naisc"/>
              <w:jc w:val="both"/>
              <w:rPr>
                <w:b/>
                <w:bCs/>
              </w:rPr>
            </w:pPr>
            <w:r>
              <w:rPr>
                <w:b/>
                <w:bCs/>
              </w:rPr>
              <w:lastRenderedPageBreak/>
              <w:t>Panākta vienošanās</w:t>
            </w:r>
          </w:p>
          <w:p w14:paraId="1F5AD82B" w14:textId="77777777" w:rsidR="001272D9" w:rsidRPr="009841AB" w:rsidRDefault="001272D9" w:rsidP="001272D9">
            <w:pPr>
              <w:pStyle w:val="naisc"/>
              <w:spacing w:before="0" w:after="0"/>
              <w:jc w:val="left"/>
            </w:pPr>
            <w:r w:rsidRPr="009841AB">
              <w:t>Apraksts papildināts, bet papildus rīcības virziens nav iekļauts, jo uzdevums "U4.4.13.-1</w:t>
            </w:r>
            <w:r w:rsidR="00094A8F" w:rsidRPr="009841AB">
              <w:t xml:space="preserve"> </w:t>
            </w:r>
            <w:r w:rsidRPr="009841AB">
              <w:t>Izveidot stratēģiju un plānu mācību procesa digitālai transformācijai"</w:t>
            </w:r>
            <w:r w:rsidR="00094A8F" w:rsidRPr="009841AB">
              <w:t xml:space="preserve"> </w:t>
            </w:r>
            <w:r w:rsidRPr="009841AB">
              <w:t xml:space="preserve">jau </w:t>
            </w:r>
            <w:r w:rsidRPr="009841AB">
              <w:lastRenderedPageBreak/>
              <w:t>ietver sevī aprīkojuma nodrošināšanu. "</w:t>
            </w:r>
          </w:p>
        </w:tc>
        <w:tc>
          <w:tcPr>
            <w:tcW w:w="3497" w:type="dxa"/>
            <w:tcBorders>
              <w:left w:val="single" w:sz="6" w:space="0" w:color="000000" w:themeColor="text1"/>
              <w:bottom w:val="single" w:sz="4" w:space="0" w:color="auto"/>
            </w:tcBorders>
            <w:shd w:val="clear" w:color="auto" w:fill="auto"/>
          </w:tcPr>
          <w:p w14:paraId="7B23B658" w14:textId="77777777" w:rsidR="001272D9" w:rsidRPr="009841AB" w:rsidRDefault="00094A8F" w:rsidP="00094A8F">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4.4.1.3.</w:t>
            </w:r>
          </w:p>
        </w:tc>
      </w:tr>
      <w:tr w:rsidR="001272D9" w:rsidRPr="009841AB" w14:paraId="16DFAD8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D1EBFBC" w14:textId="77777777" w:rsidR="001272D9" w:rsidRPr="009841AB" w:rsidRDefault="001272D9" w:rsidP="001272D9">
            <w:pPr>
              <w:pStyle w:val="naisc"/>
              <w:spacing w:before="0" w:after="0"/>
            </w:pPr>
            <w:r w:rsidRPr="009841AB">
              <w:t>2</w:t>
            </w:r>
            <w:r w:rsidR="008D237F">
              <w:t>80</w:t>
            </w:r>
          </w:p>
        </w:tc>
        <w:tc>
          <w:tcPr>
            <w:tcW w:w="2427" w:type="dxa"/>
            <w:tcBorders>
              <w:left w:val="single" w:sz="6" w:space="0" w:color="000000" w:themeColor="text1"/>
              <w:bottom w:val="single" w:sz="4" w:space="0" w:color="auto"/>
            </w:tcBorders>
            <w:shd w:val="clear" w:color="auto" w:fill="auto"/>
          </w:tcPr>
          <w:p w14:paraId="0FAE494B"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C3E8C5A" w14:textId="77777777" w:rsidR="001272D9" w:rsidRPr="009841AB" w:rsidRDefault="001272D9" w:rsidP="001272D9">
            <w:pPr>
              <w:ind w:right="12"/>
              <w:jc w:val="both"/>
            </w:pPr>
            <w:r w:rsidRPr="009841AB">
              <w:t>5.</w:t>
            </w:r>
            <w:r w:rsidRPr="009841AB">
              <w:tab/>
              <w:t xml:space="preserve">Lūdzam papildināt Pamatnostādņu projekta rīcības virziena Nr.4.4.13 „Izglītības procesu </w:t>
            </w:r>
            <w:proofErr w:type="spellStart"/>
            <w:r w:rsidRPr="009841AB">
              <w:t>digitalizācija</w:t>
            </w:r>
            <w:proofErr w:type="spellEnd"/>
            <w:r w:rsidRPr="009841AB">
              <w:t xml:space="preserve">” aktivitāti Nr.6, ka kvalitatīva interneta </w:t>
            </w:r>
            <w:proofErr w:type="spellStart"/>
            <w:r w:rsidRPr="009841AB">
              <w:t>pieslēgumu</w:t>
            </w:r>
            <w:proofErr w:type="spellEnd"/>
            <w:r w:rsidRPr="009841AB">
              <w:t xml:space="preserve"> izveidē visām izglītības iestādēm ir jāsadarbojas ne tikai ar valsts pārvaldes iestādēm un komercsabiedrībām, bet arī pašvaldībām kā vispārējās izglītības iestāžu dibinātājām.</w:t>
            </w:r>
          </w:p>
        </w:tc>
        <w:tc>
          <w:tcPr>
            <w:tcW w:w="2480" w:type="dxa"/>
            <w:tcBorders>
              <w:left w:val="single" w:sz="6" w:space="0" w:color="000000" w:themeColor="text1"/>
              <w:bottom w:val="single" w:sz="4" w:space="0" w:color="auto"/>
            </w:tcBorders>
            <w:shd w:val="clear" w:color="auto" w:fill="auto"/>
          </w:tcPr>
          <w:p w14:paraId="7C2D9853" w14:textId="77777777" w:rsidR="008A2A01" w:rsidRDefault="008A2A01" w:rsidP="008A2A01">
            <w:pPr>
              <w:pStyle w:val="naisc"/>
              <w:jc w:val="both"/>
              <w:rPr>
                <w:b/>
                <w:bCs/>
              </w:rPr>
            </w:pPr>
            <w:r>
              <w:rPr>
                <w:b/>
                <w:bCs/>
              </w:rPr>
              <w:t>Panākta vienošanās</w:t>
            </w:r>
          </w:p>
          <w:p w14:paraId="769B24D2" w14:textId="587ADAED" w:rsidR="001272D9" w:rsidRPr="009841AB" w:rsidRDefault="001272D9" w:rsidP="001272D9">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38E07B1C" w14:textId="77777777" w:rsidR="001272D9" w:rsidRPr="009841AB" w:rsidRDefault="00420D26" w:rsidP="001272D9">
            <w:pPr>
              <w:jc w:val="both"/>
              <w:rPr>
                <w:color w:val="000000"/>
              </w:rPr>
            </w:pPr>
            <w:r w:rsidRPr="009841AB">
              <w:rPr>
                <w:color w:val="000000"/>
              </w:rPr>
              <w:t>“</w:t>
            </w:r>
            <w:r w:rsidR="001272D9" w:rsidRPr="009841AB">
              <w:rPr>
                <w:color w:val="000000"/>
              </w:rPr>
              <w:t xml:space="preserve">Sadarbojoties valsts pārvaldes iestādēm un citiem izglītības iestāžu dibinātājiem, komercsabiedrībām nepieciešams nodrošināt kvalitatīvu interneta </w:t>
            </w:r>
            <w:proofErr w:type="spellStart"/>
            <w:r w:rsidR="001272D9" w:rsidRPr="009841AB">
              <w:rPr>
                <w:color w:val="000000"/>
              </w:rPr>
              <w:t>pieslēgumu</w:t>
            </w:r>
            <w:proofErr w:type="spellEnd"/>
            <w:r w:rsidR="001272D9" w:rsidRPr="009841AB">
              <w:rPr>
                <w:color w:val="000000"/>
              </w:rPr>
              <w:t xml:space="preserve"> visām izglītības iestādēm</w:t>
            </w:r>
            <w:r w:rsidRPr="009841AB">
              <w:rPr>
                <w:color w:val="000000"/>
              </w:rPr>
              <w:t>.”</w:t>
            </w:r>
          </w:p>
        </w:tc>
      </w:tr>
      <w:tr w:rsidR="001272D9" w:rsidRPr="009841AB" w14:paraId="31969FB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E10CB0B" w14:textId="77777777" w:rsidR="001272D9" w:rsidRPr="009841AB" w:rsidRDefault="001272D9" w:rsidP="001272D9">
            <w:pPr>
              <w:pStyle w:val="naisc"/>
              <w:spacing w:before="0" w:after="0"/>
            </w:pPr>
            <w:r w:rsidRPr="009841AB">
              <w:t>2</w:t>
            </w:r>
            <w:r w:rsidR="00362994">
              <w:t>81</w:t>
            </w:r>
          </w:p>
        </w:tc>
        <w:tc>
          <w:tcPr>
            <w:tcW w:w="2427" w:type="dxa"/>
            <w:tcBorders>
              <w:left w:val="single" w:sz="6" w:space="0" w:color="000000" w:themeColor="text1"/>
              <w:bottom w:val="single" w:sz="4" w:space="0" w:color="auto"/>
            </w:tcBorders>
            <w:shd w:val="clear" w:color="auto" w:fill="auto"/>
          </w:tcPr>
          <w:p w14:paraId="054A24EA"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876D62A" w14:textId="77777777" w:rsidR="001272D9" w:rsidRPr="009841AB" w:rsidRDefault="001272D9" w:rsidP="001272D9">
            <w:pPr>
              <w:ind w:right="12"/>
              <w:jc w:val="both"/>
            </w:pPr>
            <w:r w:rsidRPr="009841AB">
              <w:t>6.</w:t>
            </w:r>
            <w:r w:rsidRPr="009841AB">
              <w:tab/>
              <w:t xml:space="preserve">Pamatnostādņu projekta sadaļas 4.4.13. sadaļā „Digitālie pakalpojumi (pēc iespējas </w:t>
            </w:r>
            <w:proofErr w:type="spellStart"/>
            <w:r w:rsidRPr="009841AB">
              <w:t>proaktīvi</w:t>
            </w:r>
            <w:proofErr w:type="spellEnd"/>
            <w:r w:rsidRPr="009841AB">
              <w:t xml:space="preserve">), kas balstīti datu analītikā:” 2. punktā lūdzam svītrot vārdus „Valsts izglītības informācijas sistēmā”, jo vienota diplomu reģistra izveides posmā tiks analizēts iespējami efektīvākais risinājums, kas var būt kā Valsts izglītības informācijas sistēmas papildināšana, tā jaunas informācijas sistēmas izveide, kas paredzēta tieši izglītības dokumentu apstrādei. </w:t>
            </w:r>
          </w:p>
        </w:tc>
        <w:tc>
          <w:tcPr>
            <w:tcW w:w="2480" w:type="dxa"/>
            <w:tcBorders>
              <w:left w:val="single" w:sz="6" w:space="0" w:color="000000" w:themeColor="text1"/>
              <w:bottom w:val="single" w:sz="4" w:space="0" w:color="auto"/>
            </w:tcBorders>
            <w:shd w:val="clear" w:color="auto" w:fill="auto"/>
          </w:tcPr>
          <w:p w14:paraId="5202C2BA" w14:textId="77777777" w:rsidR="001272D9" w:rsidRPr="00166E3F" w:rsidRDefault="001272D9" w:rsidP="001272D9">
            <w:pPr>
              <w:pStyle w:val="naisc"/>
              <w:spacing w:before="0" w:after="0"/>
              <w:jc w:val="left"/>
              <w:rPr>
                <w:b/>
                <w:bCs/>
              </w:rPr>
            </w:pPr>
            <w:r w:rsidRPr="00166E3F">
              <w:rPr>
                <w:b/>
                <w:bCs/>
              </w:rPr>
              <w:t>Ņemts vērā</w:t>
            </w:r>
          </w:p>
        </w:tc>
        <w:tc>
          <w:tcPr>
            <w:tcW w:w="3497" w:type="dxa"/>
            <w:tcBorders>
              <w:left w:val="single" w:sz="6" w:space="0" w:color="000000" w:themeColor="text1"/>
              <w:bottom w:val="single" w:sz="4" w:space="0" w:color="auto"/>
            </w:tcBorders>
            <w:shd w:val="clear" w:color="auto" w:fill="auto"/>
          </w:tcPr>
          <w:p w14:paraId="4EF53F9F" w14:textId="77777777" w:rsidR="001272D9" w:rsidRPr="009841AB" w:rsidRDefault="00C93CAC" w:rsidP="00C93CAC">
            <w:pPr>
              <w:rPr>
                <w:color w:val="000000"/>
              </w:rPr>
            </w:pPr>
            <w:r w:rsidRPr="009841AB">
              <w:t xml:space="preserve">Lūdzam skatīt </w:t>
            </w:r>
            <w:proofErr w:type="spellStart"/>
            <w:r w:rsidRPr="009841AB">
              <w:t>apakšsadaļu</w:t>
            </w:r>
            <w:proofErr w:type="spellEnd"/>
            <w:r w:rsidRPr="009841AB">
              <w:t xml:space="preserve"> 4.4.1.3.</w:t>
            </w:r>
          </w:p>
        </w:tc>
      </w:tr>
      <w:tr w:rsidR="001272D9" w:rsidRPr="009841AB" w14:paraId="52B7F66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A7ADB7D" w14:textId="77777777" w:rsidR="001272D9" w:rsidRPr="009841AB" w:rsidRDefault="001272D9" w:rsidP="001272D9">
            <w:pPr>
              <w:pStyle w:val="naisc"/>
              <w:spacing w:before="0" w:after="0"/>
            </w:pPr>
            <w:r w:rsidRPr="009841AB">
              <w:t>2</w:t>
            </w:r>
            <w:r w:rsidR="00362994">
              <w:t>82</w:t>
            </w:r>
          </w:p>
        </w:tc>
        <w:tc>
          <w:tcPr>
            <w:tcW w:w="2427" w:type="dxa"/>
            <w:tcBorders>
              <w:left w:val="single" w:sz="6" w:space="0" w:color="000000" w:themeColor="text1"/>
              <w:bottom w:val="single" w:sz="4" w:space="0" w:color="auto"/>
            </w:tcBorders>
            <w:shd w:val="clear" w:color="auto" w:fill="auto"/>
          </w:tcPr>
          <w:p w14:paraId="564355B3"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03BA7A4" w14:textId="77777777" w:rsidR="001272D9" w:rsidRPr="009841AB" w:rsidRDefault="001272D9" w:rsidP="001272D9">
            <w:pPr>
              <w:ind w:right="12"/>
              <w:jc w:val="both"/>
            </w:pPr>
            <w:r w:rsidRPr="009841AB">
              <w:t>7.</w:t>
            </w:r>
            <w:r w:rsidRPr="009841AB">
              <w:tab/>
              <w:t>Pamatnostādņu projekta sadaļas 4.4.13. sadaļā „Politikas definēšanas un normatīvais regulējums:” lūdzam aizstāt vārdus „grozījumi MK noteikumos 846” ar vārdiem „grozījumi normatīvajā regulējumā par reflektantu uzņemšanu augstākās izglītības iestādēs”. Tādējādi netiktu veidota atsauce tikai uz vienu normatīvo aktu, bet uz normatīvo aktu kopumu.</w:t>
            </w:r>
          </w:p>
        </w:tc>
        <w:tc>
          <w:tcPr>
            <w:tcW w:w="2480" w:type="dxa"/>
            <w:tcBorders>
              <w:left w:val="single" w:sz="6" w:space="0" w:color="000000" w:themeColor="text1"/>
              <w:bottom w:val="single" w:sz="4" w:space="0" w:color="auto"/>
            </w:tcBorders>
            <w:shd w:val="clear" w:color="auto" w:fill="auto"/>
          </w:tcPr>
          <w:p w14:paraId="3B9B22D5" w14:textId="77777777" w:rsidR="001272D9" w:rsidRPr="009841AB" w:rsidRDefault="001272D9" w:rsidP="001272D9">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499420B7" w14:textId="77777777" w:rsidR="001272D9" w:rsidRPr="009841AB" w:rsidRDefault="003561D5" w:rsidP="003561D5">
            <w:pPr>
              <w:rPr>
                <w:color w:val="000000"/>
              </w:rPr>
            </w:pPr>
            <w:r w:rsidRPr="009841AB">
              <w:t xml:space="preserve">Lūdzam skatīt </w:t>
            </w:r>
            <w:proofErr w:type="spellStart"/>
            <w:r w:rsidRPr="009841AB">
              <w:t>apakšsadaļu</w:t>
            </w:r>
            <w:proofErr w:type="spellEnd"/>
            <w:r w:rsidRPr="009841AB">
              <w:t xml:space="preserve"> 4.4.1.3.</w:t>
            </w:r>
          </w:p>
        </w:tc>
      </w:tr>
      <w:tr w:rsidR="001272D9" w:rsidRPr="009841AB" w14:paraId="09F2877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675ADA7" w14:textId="77777777" w:rsidR="001272D9" w:rsidRPr="009841AB" w:rsidRDefault="001272D9" w:rsidP="001272D9">
            <w:pPr>
              <w:pStyle w:val="naisc"/>
              <w:spacing w:before="0" w:after="0"/>
            </w:pPr>
          </w:p>
        </w:tc>
        <w:tc>
          <w:tcPr>
            <w:tcW w:w="2427" w:type="dxa"/>
            <w:tcBorders>
              <w:left w:val="single" w:sz="6" w:space="0" w:color="000000" w:themeColor="text1"/>
              <w:bottom w:val="single" w:sz="4" w:space="0" w:color="auto"/>
            </w:tcBorders>
            <w:shd w:val="clear" w:color="auto" w:fill="auto"/>
          </w:tcPr>
          <w:p w14:paraId="1B93DBC0" w14:textId="77777777" w:rsidR="001272D9" w:rsidRPr="009841AB" w:rsidRDefault="001272D9" w:rsidP="001272D9">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126226CD" w14:textId="77777777" w:rsidR="001272D9" w:rsidRPr="009841AB" w:rsidRDefault="001272D9" w:rsidP="001272D9">
            <w:pPr>
              <w:ind w:right="12"/>
              <w:jc w:val="both"/>
              <w:rPr>
                <w:b/>
                <w:bCs/>
              </w:rPr>
            </w:pPr>
            <w:r w:rsidRPr="009841AB">
              <w:rPr>
                <w:b/>
                <w:bCs/>
              </w:rPr>
              <w:t>Priekšlikumi:</w:t>
            </w:r>
          </w:p>
        </w:tc>
        <w:tc>
          <w:tcPr>
            <w:tcW w:w="2480" w:type="dxa"/>
            <w:tcBorders>
              <w:left w:val="single" w:sz="6" w:space="0" w:color="000000" w:themeColor="text1"/>
              <w:bottom w:val="single" w:sz="4" w:space="0" w:color="auto"/>
            </w:tcBorders>
            <w:shd w:val="clear" w:color="auto" w:fill="auto"/>
          </w:tcPr>
          <w:p w14:paraId="5A7735FA" w14:textId="77777777" w:rsidR="001272D9" w:rsidRPr="009841AB" w:rsidRDefault="001272D9" w:rsidP="001272D9">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2A5E97CE" w14:textId="77777777" w:rsidR="001272D9" w:rsidRPr="009841AB" w:rsidRDefault="001272D9" w:rsidP="001272D9">
            <w:pPr>
              <w:pStyle w:val="naisc"/>
              <w:spacing w:before="0" w:after="0"/>
              <w:jc w:val="both"/>
            </w:pPr>
          </w:p>
        </w:tc>
      </w:tr>
      <w:tr w:rsidR="001272D9" w:rsidRPr="009841AB" w14:paraId="732AAAF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8439A9A" w14:textId="77777777" w:rsidR="001272D9" w:rsidRPr="009841AB" w:rsidRDefault="001272D9" w:rsidP="001272D9">
            <w:pPr>
              <w:pStyle w:val="naisc"/>
              <w:spacing w:before="0" w:after="0"/>
            </w:pPr>
            <w:r w:rsidRPr="009841AB">
              <w:t>2</w:t>
            </w:r>
            <w:r w:rsidR="00362994">
              <w:t>83</w:t>
            </w:r>
          </w:p>
        </w:tc>
        <w:tc>
          <w:tcPr>
            <w:tcW w:w="2427" w:type="dxa"/>
            <w:tcBorders>
              <w:left w:val="single" w:sz="6" w:space="0" w:color="000000" w:themeColor="text1"/>
              <w:bottom w:val="single" w:sz="4" w:space="0" w:color="auto"/>
            </w:tcBorders>
            <w:shd w:val="clear" w:color="auto" w:fill="auto"/>
          </w:tcPr>
          <w:p w14:paraId="148ECC88"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54934EE" w14:textId="77777777" w:rsidR="001272D9" w:rsidRPr="009841AB" w:rsidRDefault="001272D9" w:rsidP="001272D9">
            <w:pPr>
              <w:ind w:right="12"/>
              <w:jc w:val="both"/>
            </w:pPr>
            <w:r w:rsidRPr="009841AB">
              <w:t xml:space="preserve">1. Rīcības virziena 4.4.12 “Zinātnes procesu digitālā transformācija” vīziju izteikt šādā redakcijā: “Katram pētniekam Latvijā ir pieejami labākie digitālie pakalpojumi un infrastruktūras (t.sk. augstas veiktspējas skaitļošanas (HPC - </w:t>
            </w:r>
            <w:proofErr w:type="spellStart"/>
            <w:r w:rsidRPr="009841AB">
              <w:t>High</w:t>
            </w:r>
            <w:proofErr w:type="spellEnd"/>
            <w:r w:rsidRPr="009841AB">
              <w:t xml:space="preserve"> Performance </w:t>
            </w:r>
            <w:proofErr w:type="spellStart"/>
            <w:r w:rsidRPr="009841AB">
              <w:t>Computing</w:t>
            </w:r>
            <w:proofErr w:type="spellEnd"/>
            <w:r w:rsidRPr="009841AB">
              <w:t xml:space="preserve">), mākslīgā intelekta risinājumi, pētniecības datu repozitoriji), kas tiek kvalitatīvi pārvaldīti. Katram pētniekam ir iespējas attīstīt savas digitālās un pētniecības datu pārvaldības prasmes un </w:t>
            </w:r>
            <w:r w:rsidRPr="009841AB">
              <w:lastRenderedPageBreak/>
              <w:t xml:space="preserve">iesaistīties starptautiskos projektos un iniciatīvās (t.sk. Eiropas atvērtās zinātnes mākonī (EOSC – </w:t>
            </w:r>
            <w:proofErr w:type="spellStart"/>
            <w:r w:rsidRPr="009841AB">
              <w:t>European</w:t>
            </w:r>
            <w:proofErr w:type="spellEnd"/>
            <w:r w:rsidRPr="009841AB">
              <w:t xml:space="preserve"> </w:t>
            </w:r>
            <w:proofErr w:type="spellStart"/>
            <w:r w:rsidRPr="009841AB">
              <w:t>Open</w:t>
            </w:r>
            <w:proofErr w:type="spellEnd"/>
            <w:r w:rsidRPr="009841AB">
              <w:t xml:space="preserve"> </w:t>
            </w:r>
            <w:proofErr w:type="spellStart"/>
            <w:r w:rsidRPr="009841AB">
              <w:t>Science</w:t>
            </w:r>
            <w:proofErr w:type="spellEnd"/>
            <w:r w:rsidRPr="009841AB">
              <w:t xml:space="preserve"> </w:t>
            </w:r>
            <w:proofErr w:type="spellStart"/>
            <w:r w:rsidRPr="009841AB">
              <w:t>Cloud</w:t>
            </w:r>
            <w:proofErr w:type="spellEnd"/>
            <w:r w:rsidRPr="009841AB">
              <w:t xml:space="preserve">)). Pētnieki tiek maksimāli atslogoti no administratīviem darbiem, lai tie varētu koncentrēties uz izcilu pētniecību. Tiek nodrošināta kvalitatīva pētniecības datu pārvaldība no datu iegūšanas līdz datu arhivēšanai, nodrošinot datu pieejamību un FAIR principu ievērošanu. Latvija turpina integrāciju Eiropas Zinātnes telpā un īsteno </w:t>
            </w:r>
            <w:proofErr w:type="spellStart"/>
            <w:r w:rsidRPr="009841AB">
              <w:t>digitalizācijas</w:t>
            </w:r>
            <w:proofErr w:type="spellEnd"/>
            <w:r w:rsidRPr="009841AB">
              <w:t xml:space="preserve"> aktivitātes iesaistoties starptautiskos projektos un sinerģijā ar citu valstu aktivitātēm”.</w:t>
            </w:r>
          </w:p>
        </w:tc>
        <w:tc>
          <w:tcPr>
            <w:tcW w:w="2480" w:type="dxa"/>
            <w:tcBorders>
              <w:left w:val="single" w:sz="6" w:space="0" w:color="000000" w:themeColor="text1"/>
              <w:bottom w:val="single" w:sz="4" w:space="0" w:color="auto"/>
            </w:tcBorders>
            <w:shd w:val="clear" w:color="auto" w:fill="auto"/>
          </w:tcPr>
          <w:p w14:paraId="248058CB" w14:textId="77777777" w:rsidR="001272D9" w:rsidRPr="009841AB" w:rsidRDefault="001272D9" w:rsidP="001272D9">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6ADB1E6A" w14:textId="77777777" w:rsidR="001272D9" w:rsidRPr="009841AB" w:rsidRDefault="003A7664" w:rsidP="001272D9">
            <w:pPr>
              <w:pStyle w:val="naisc"/>
              <w:spacing w:before="0" w:after="0"/>
              <w:jc w:val="both"/>
            </w:pPr>
            <w:r w:rsidRPr="009841AB">
              <w:t>“</w:t>
            </w:r>
            <w:r w:rsidR="001272D9" w:rsidRPr="009841AB">
              <w:t xml:space="preserve">Zinātnes </w:t>
            </w:r>
            <w:proofErr w:type="spellStart"/>
            <w:r w:rsidR="001272D9" w:rsidRPr="009841AB">
              <w:t>digitalizācijas</w:t>
            </w:r>
            <w:proofErr w:type="spellEnd"/>
            <w:r w:rsidR="001272D9" w:rsidRPr="009841AB">
              <w:t xml:space="preserve"> kompetences centra izveidošana un valsts pakalpojumu platformas atvēršana komersantiem sadarbībai, pētniecībai un inovācijai” un rīcības virzienu ”Pētniecības datu pārvaldības prasību un atbalsta ieviešana, EOSC un citu pakalpojumu </w:t>
            </w:r>
            <w:r w:rsidR="001272D9" w:rsidRPr="009841AB">
              <w:lastRenderedPageBreak/>
              <w:t>pieejamības nodrošināšana” ar apakšpunktu “Eiropas līmeņa augstas veiktspējas skaitļošanas tehnoloģiju attīstīšana (HPC).</w:t>
            </w:r>
            <w:r w:rsidRPr="009841AB">
              <w:t>”</w:t>
            </w:r>
          </w:p>
        </w:tc>
      </w:tr>
      <w:tr w:rsidR="001272D9" w:rsidRPr="009841AB" w14:paraId="34E1E1E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6ED9348" w14:textId="77777777" w:rsidR="001272D9" w:rsidRPr="009841AB" w:rsidRDefault="001272D9" w:rsidP="001272D9">
            <w:pPr>
              <w:pStyle w:val="naisc"/>
              <w:spacing w:before="0" w:after="0"/>
            </w:pPr>
            <w:r w:rsidRPr="009841AB">
              <w:t>2</w:t>
            </w:r>
            <w:r w:rsidR="00362994">
              <w:t>84</w:t>
            </w:r>
          </w:p>
        </w:tc>
        <w:tc>
          <w:tcPr>
            <w:tcW w:w="2427" w:type="dxa"/>
            <w:tcBorders>
              <w:left w:val="single" w:sz="6" w:space="0" w:color="000000" w:themeColor="text1"/>
              <w:bottom w:val="single" w:sz="4" w:space="0" w:color="auto"/>
            </w:tcBorders>
            <w:shd w:val="clear" w:color="auto" w:fill="auto"/>
          </w:tcPr>
          <w:p w14:paraId="23380AFF"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80AAA4F" w14:textId="77777777" w:rsidR="001272D9" w:rsidRPr="009841AB" w:rsidRDefault="001272D9" w:rsidP="001272D9">
            <w:pPr>
              <w:ind w:right="12"/>
              <w:jc w:val="both"/>
            </w:pPr>
            <w:r w:rsidRPr="009841AB">
              <w:t>2. Rīcības virziena 4.4.12 “Zinātnes procesu digitālā transformācija” sadaļu “Rīcības nolūks” papildināt ar: ”</w:t>
            </w:r>
            <w:r w:rsidRPr="009841AB">
              <w:rPr>
                <w:u w:val="single"/>
              </w:rPr>
              <w:t xml:space="preserve">Zinātnes </w:t>
            </w:r>
            <w:proofErr w:type="spellStart"/>
            <w:r w:rsidRPr="009841AB">
              <w:rPr>
                <w:u w:val="single"/>
              </w:rPr>
              <w:t>digitalizācijas</w:t>
            </w:r>
            <w:proofErr w:type="spellEnd"/>
            <w:r w:rsidRPr="009841AB">
              <w:rPr>
                <w:u w:val="single"/>
              </w:rPr>
              <w:t xml:space="preserve"> kompetences centra koordinācijas sistēmas, standartu izveidošana un valsts pakalpojumu platformas atvēršana komersantiem sadarbībai, pētniecībai un inovācijai.”</w:t>
            </w:r>
          </w:p>
        </w:tc>
        <w:tc>
          <w:tcPr>
            <w:tcW w:w="2480" w:type="dxa"/>
            <w:tcBorders>
              <w:left w:val="single" w:sz="6" w:space="0" w:color="000000" w:themeColor="text1"/>
              <w:bottom w:val="single" w:sz="4" w:space="0" w:color="auto"/>
            </w:tcBorders>
            <w:shd w:val="clear" w:color="auto" w:fill="auto"/>
          </w:tcPr>
          <w:p w14:paraId="0C347218" w14:textId="77777777" w:rsidR="001272D9" w:rsidRPr="009841AB" w:rsidRDefault="001272D9" w:rsidP="001272D9">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5309AA94" w14:textId="77777777" w:rsidR="001272D9" w:rsidRPr="00D264F6" w:rsidRDefault="00C93A31" w:rsidP="00D264F6">
            <w:pPr>
              <w:jc w:val="both"/>
              <w:rPr>
                <w:color w:val="000000"/>
              </w:rPr>
            </w:pPr>
            <w:r w:rsidRPr="009841AB">
              <w:rPr>
                <w:color w:val="000000"/>
              </w:rPr>
              <w:t>“</w:t>
            </w:r>
            <w:r w:rsidR="001272D9" w:rsidRPr="009841AB">
              <w:rPr>
                <w:color w:val="000000"/>
              </w:rPr>
              <w:t xml:space="preserve">Zinātnes </w:t>
            </w:r>
            <w:proofErr w:type="spellStart"/>
            <w:r w:rsidR="001272D9" w:rsidRPr="009841AB">
              <w:rPr>
                <w:color w:val="000000"/>
              </w:rPr>
              <w:t>digitalizācijas</w:t>
            </w:r>
            <w:proofErr w:type="spellEnd"/>
            <w:r w:rsidR="001272D9" w:rsidRPr="009841AB">
              <w:rPr>
                <w:color w:val="000000"/>
              </w:rPr>
              <w:t xml:space="preserve"> kompetences centra koordinācijas sistēmas, standartu izveidošana un valsts pakalpojumu platformas atvēršana komersantiem sadarbībai, pētniecībai un inovācijai.</w:t>
            </w:r>
            <w:r w:rsidRPr="009841AB">
              <w:rPr>
                <w:color w:val="000000"/>
              </w:rPr>
              <w:t>”</w:t>
            </w:r>
          </w:p>
        </w:tc>
      </w:tr>
      <w:tr w:rsidR="001272D9" w:rsidRPr="009841AB" w14:paraId="5177DA6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8A36714" w14:textId="77777777" w:rsidR="001272D9" w:rsidRPr="009841AB" w:rsidRDefault="001272D9" w:rsidP="001272D9">
            <w:pPr>
              <w:pStyle w:val="naisc"/>
              <w:spacing w:before="0" w:after="0"/>
            </w:pPr>
            <w:r w:rsidRPr="009841AB">
              <w:t>2</w:t>
            </w:r>
            <w:r w:rsidR="00362994">
              <w:t>85</w:t>
            </w:r>
          </w:p>
        </w:tc>
        <w:tc>
          <w:tcPr>
            <w:tcW w:w="2427" w:type="dxa"/>
            <w:tcBorders>
              <w:left w:val="single" w:sz="6" w:space="0" w:color="000000" w:themeColor="text1"/>
              <w:bottom w:val="single" w:sz="4" w:space="0" w:color="auto"/>
            </w:tcBorders>
            <w:shd w:val="clear" w:color="auto" w:fill="auto"/>
          </w:tcPr>
          <w:p w14:paraId="0FB64B27"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F6DC552" w14:textId="77777777" w:rsidR="001272D9" w:rsidRPr="009841AB" w:rsidRDefault="001272D9" w:rsidP="001272D9">
            <w:pPr>
              <w:ind w:right="12"/>
              <w:jc w:val="both"/>
            </w:pPr>
            <w:r w:rsidRPr="009841AB">
              <w:t xml:space="preserve">3. Rīcības virziena 4.4.12 “Zinātnes procesu digitālā transformācija” sadaļu “Nepieciešamā rīcība” papildināt ar rīcības virzienu “Zinātnes </w:t>
            </w:r>
            <w:proofErr w:type="spellStart"/>
            <w:r w:rsidRPr="009841AB">
              <w:t>digitalizācijas</w:t>
            </w:r>
            <w:proofErr w:type="spellEnd"/>
            <w:r w:rsidRPr="009841AB">
              <w:t xml:space="preserve"> kompetences centra izveidošana un valsts pakalpojumu platformas atvēršana komersantiem sadarbībai, pētniecībai un inovācijai” un rīcības virzienu ”Pētniecības datu pārvaldības prasību un atbalsta ieviešana, EOSC un citu pakalpojumu pieejamības nodrošināšana” ar apakšpunktu “Eiropas līmeņa augstas veiktspējas skaitļošanas tehnoloģiju attīstīšana (HPC)”. </w:t>
            </w:r>
          </w:p>
        </w:tc>
        <w:tc>
          <w:tcPr>
            <w:tcW w:w="2480" w:type="dxa"/>
            <w:tcBorders>
              <w:left w:val="single" w:sz="6" w:space="0" w:color="000000" w:themeColor="text1"/>
              <w:bottom w:val="single" w:sz="4" w:space="0" w:color="auto"/>
            </w:tcBorders>
            <w:shd w:val="clear" w:color="auto" w:fill="auto"/>
          </w:tcPr>
          <w:p w14:paraId="1137D6CC" w14:textId="77777777" w:rsidR="001272D9" w:rsidRPr="009841AB" w:rsidRDefault="001272D9" w:rsidP="001272D9">
            <w:pPr>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26381B30" w14:textId="77777777" w:rsidR="001272D9" w:rsidRPr="009841AB" w:rsidRDefault="00C93A31" w:rsidP="001272D9">
            <w:pPr>
              <w:jc w:val="both"/>
              <w:rPr>
                <w:color w:val="000000"/>
              </w:rPr>
            </w:pPr>
            <w:r w:rsidRPr="009841AB">
              <w:rPr>
                <w:color w:val="000000"/>
              </w:rPr>
              <w:t>“</w:t>
            </w:r>
            <w:r w:rsidR="001272D9" w:rsidRPr="009841AB">
              <w:rPr>
                <w:color w:val="000000"/>
              </w:rPr>
              <w:t xml:space="preserve">Zinātnes </w:t>
            </w:r>
            <w:proofErr w:type="spellStart"/>
            <w:r w:rsidR="001272D9" w:rsidRPr="009841AB">
              <w:rPr>
                <w:color w:val="000000"/>
              </w:rPr>
              <w:t>digitalizācijas</w:t>
            </w:r>
            <w:proofErr w:type="spellEnd"/>
            <w:r w:rsidR="001272D9" w:rsidRPr="009841AB">
              <w:rPr>
                <w:color w:val="000000"/>
              </w:rPr>
              <w:t xml:space="preserve"> kompetences centra izveidošana un valsts pakalpojumu platformas atvēršana komersantiem sadarbībai, pētniecībai un inovācijai” un rīcības </w:t>
            </w:r>
            <w:proofErr w:type="spellStart"/>
            <w:r w:rsidR="001272D9" w:rsidRPr="009841AB">
              <w:rPr>
                <w:color w:val="000000"/>
              </w:rPr>
              <w:t>virzienu”Pētniecības</w:t>
            </w:r>
            <w:proofErr w:type="spellEnd"/>
            <w:r w:rsidR="001272D9" w:rsidRPr="009841AB">
              <w:rPr>
                <w:color w:val="000000"/>
              </w:rPr>
              <w:t xml:space="preserve"> datu pārvaldības prasību un atbalsta ieviešana, EOSC un citu pakalpojumu pieejamības nodrošināšana” ar apakšpunktu “Eiropas līmeņa augstas veiktspējas skaitļošanas tehnoloģiju attīstīšana (HPC).</w:t>
            </w:r>
            <w:r w:rsidRPr="009841AB">
              <w:rPr>
                <w:color w:val="000000"/>
              </w:rPr>
              <w:t>”</w:t>
            </w:r>
          </w:p>
        </w:tc>
      </w:tr>
      <w:tr w:rsidR="001272D9" w:rsidRPr="009841AB" w14:paraId="7639D9C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E036734" w14:textId="77777777" w:rsidR="001272D9" w:rsidRPr="009841AB" w:rsidRDefault="001272D9" w:rsidP="001272D9">
            <w:pPr>
              <w:pStyle w:val="naisc"/>
              <w:spacing w:before="0" w:after="0"/>
            </w:pPr>
            <w:r w:rsidRPr="009841AB">
              <w:t>2</w:t>
            </w:r>
            <w:r w:rsidR="00362994">
              <w:t>86</w:t>
            </w:r>
          </w:p>
        </w:tc>
        <w:tc>
          <w:tcPr>
            <w:tcW w:w="2427" w:type="dxa"/>
            <w:tcBorders>
              <w:left w:val="single" w:sz="6" w:space="0" w:color="000000" w:themeColor="text1"/>
              <w:bottom w:val="single" w:sz="4" w:space="0" w:color="auto"/>
            </w:tcBorders>
            <w:shd w:val="clear" w:color="auto" w:fill="auto"/>
          </w:tcPr>
          <w:p w14:paraId="639B2D66"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3299777" w14:textId="77777777" w:rsidR="001272D9" w:rsidRPr="009841AB" w:rsidRDefault="001272D9" w:rsidP="001272D9">
            <w:pPr>
              <w:ind w:right="12"/>
              <w:jc w:val="both"/>
            </w:pPr>
            <w:r w:rsidRPr="009841AB">
              <w:t xml:space="preserve">4. Rīcības virziena 4.4.12 “Zinātnes procesu digitālā transformācija” sadaļu “Sagaidāmie rezultāti” papildināt ar: “izveidota kompetences centra </w:t>
            </w:r>
            <w:r w:rsidRPr="009841AB">
              <w:lastRenderedPageBreak/>
              <w:t xml:space="preserve">koordinācijas sistēma, zinātnes </w:t>
            </w:r>
            <w:proofErr w:type="spellStart"/>
            <w:r w:rsidRPr="009841AB">
              <w:t>digitalizācijas</w:t>
            </w:r>
            <w:proofErr w:type="spellEnd"/>
            <w:r w:rsidRPr="009841AB">
              <w:t xml:space="preserve"> pakalpojumi ir koncentrēti vienā iestādē pēc vienotiem standartiem”, un “valsts pakalpojumu platformas ir atvērtas komersantiem sadarbībai, pētniecībai un inovācijai”.</w:t>
            </w:r>
          </w:p>
        </w:tc>
        <w:tc>
          <w:tcPr>
            <w:tcW w:w="2480" w:type="dxa"/>
            <w:tcBorders>
              <w:left w:val="single" w:sz="6" w:space="0" w:color="000000" w:themeColor="text1"/>
              <w:bottom w:val="single" w:sz="4" w:space="0" w:color="auto"/>
            </w:tcBorders>
            <w:shd w:val="clear" w:color="auto" w:fill="auto"/>
          </w:tcPr>
          <w:p w14:paraId="7DA4A245" w14:textId="77777777" w:rsidR="001272D9" w:rsidRPr="009841AB" w:rsidRDefault="001272D9" w:rsidP="001272D9">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2FF21C71" w14:textId="77777777" w:rsidR="001272D9" w:rsidRPr="009841AB" w:rsidRDefault="00C93A31" w:rsidP="001272D9">
            <w:pPr>
              <w:jc w:val="both"/>
              <w:rPr>
                <w:color w:val="000000"/>
              </w:rPr>
            </w:pPr>
            <w:r w:rsidRPr="009841AB">
              <w:rPr>
                <w:color w:val="000000"/>
              </w:rPr>
              <w:t>“</w:t>
            </w:r>
            <w:r w:rsidR="001272D9" w:rsidRPr="009841AB">
              <w:rPr>
                <w:color w:val="000000"/>
              </w:rPr>
              <w:t xml:space="preserve">Izveidota kompetences centra koordinācijas sistēma, zinātnes </w:t>
            </w:r>
            <w:proofErr w:type="spellStart"/>
            <w:r w:rsidR="001272D9" w:rsidRPr="009841AB">
              <w:rPr>
                <w:color w:val="000000"/>
              </w:rPr>
              <w:t>digitalizācijas</w:t>
            </w:r>
            <w:proofErr w:type="spellEnd"/>
            <w:r w:rsidR="001272D9" w:rsidRPr="009841AB">
              <w:rPr>
                <w:color w:val="000000"/>
              </w:rPr>
              <w:t xml:space="preserve"> pakalpojumi ir </w:t>
            </w:r>
            <w:r w:rsidR="001272D9" w:rsidRPr="009841AB">
              <w:rPr>
                <w:color w:val="000000"/>
              </w:rPr>
              <w:lastRenderedPageBreak/>
              <w:t>koncentrēti vienā iestādē pēc vienotiem standartiem; ·         valsts pakalpojumu platformas ir atvērtas komersantiem sadarbībai, pētniecībai un inovācijai.</w:t>
            </w:r>
            <w:r w:rsidRPr="009841AB">
              <w:rPr>
                <w:color w:val="000000"/>
              </w:rPr>
              <w:t>”</w:t>
            </w:r>
          </w:p>
        </w:tc>
      </w:tr>
      <w:tr w:rsidR="001272D9" w:rsidRPr="009841AB" w14:paraId="3E77A25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4640F51" w14:textId="77777777" w:rsidR="001272D9" w:rsidRPr="009841AB" w:rsidRDefault="001272D9" w:rsidP="001272D9">
            <w:pPr>
              <w:pStyle w:val="naisc"/>
              <w:spacing w:before="0" w:after="0"/>
            </w:pPr>
            <w:r w:rsidRPr="009841AB">
              <w:lastRenderedPageBreak/>
              <w:t>2</w:t>
            </w:r>
            <w:r w:rsidR="00362994">
              <w:t>87</w:t>
            </w:r>
          </w:p>
        </w:tc>
        <w:tc>
          <w:tcPr>
            <w:tcW w:w="2427" w:type="dxa"/>
            <w:tcBorders>
              <w:left w:val="single" w:sz="6" w:space="0" w:color="000000" w:themeColor="text1"/>
              <w:bottom w:val="single" w:sz="4" w:space="0" w:color="auto"/>
            </w:tcBorders>
            <w:shd w:val="clear" w:color="auto" w:fill="auto"/>
          </w:tcPr>
          <w:p w14:paraId="2DAC6B79"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AA3BAA7" w14:textId="77777777" w:rsidR="001272D9" w:rsidRPr="009841AB" w:rsidRDefault="001272D9" w:rsidP="001272D9">
            <w:pPr>
              <w:ind w:right="12"/>
              <w:jc w:val="both"/>
            </w:pPr>
            <w:r w:rsidRPr="009841AB">
              <w:t xml:space="preserve">5. sadaļas 4.4.13. “Rīcības virziens: Izglītības procesu </w:t>
            </w:r>
            <w:proofErr w:type="spellStart"/>
            <w:r w:rsidRPr="009841AB">
              <w:t>digitalizācija</w:t>
            </w:r>
            <w:proofErr w:type="spellEnd"/>
            <w:r w:rsidRPr="009841AB">
              <w:t xml:space="preserve">” </w:t>
            </w:r>
            <w:proofErr w:type="spellStart"/>
            <w:r w:rsidRPr="009841AB">
              <w:t>apakšsadaļā</w:t>
            </w:r>
            <w:proofErr w:type="spellEnd"/>
            <w:r w:rsidRPr="009841AB">
              <w:t xml:space="preserve"> “Politikas definēšanas un normatīvais regulējums”:</w:t>
            </w:r>
          </w:p>
          <w:p w14:paraId="063C6D44" w14:textId="77777777" w:rsidR="001272D9" w:rsidRPr="009841AB" w:rsidRDefault="001272D9" w:rsidP="001272D9">
            <w:pPr>
              <w:ind w:right="12"/>
              <w:jc w:val="both"/>
            </w:pPr>
            <w:r w:rsidRPr="009841AB">
              <w:t>- aizstāt precizēt Augstskolu likuma nosaukumu (“Augstākās izglītības likums” aizstāt ar “Augstskolu likums”);</w:t>
            </w:r>
          </w:p>
          <w:p w14:paraId="57387FF3" w14:textId="77777777" w:rsidR="001272D9" w:rsidRPr="009841AB" w:rsidRDefault="001272D9" w:rsidP="001272D9">
            <w:pPr>
              <w:ind w:right="12"/>
              <w:jc w:val="both"/>
            </w:pPr>
            <w:r w:rsidRPr="009841AB">
              <w:t>- norādi uz Ministru kabineta noteikumiem Nr. 846 papildināt ar šo noteikumu nosaukumu un apstiprināšanas datumu.</w:t>
            </w:r>
          </w:p>
        </w:tc>
        <w:tc>
          <w:tcPr>
            <w:tcW w:w="2480" w:type="dxa"/>
            <w:tcBorders>
              <w:left w:val="single" w:sz="6" w:space="0" w:color="000000" w:themeColor="text1"/>
              <w:bottom w:val="single" w:sz="4" w:space="0" w:color="auto"/>
            </w:tcBorders>
            <w:shd w:val="clear" w:color="auto" w:fill="auto"/>
          </w:tcPr>
          <w:p w14:paraId="2FBD61D1" w14:textId="77777777" w:rsidR="008A2A01" w:rsidRDefault="008A2A01" w:rsidP="008A2A01">
            <w:pPr>
              <w:pStyle w:val="naisc"/>
              <w:jc w:val="both"/>
              <w:rPr>
                <w:b/>
                <w:bCs/>
              </w:rPr>
            </w:pPr>
            <w:r>
              <w:rPr>
                <w:b/>
                <w:bCs/>
              </w:rPr>
              <w:t>Panākta vienošanās</w:t>
            </w:r>
          </w:p>
          <w:p w14:paraId="411919F2" w14:textId="77777777" w:rsidR="001272D9" w:rsidRPr="009841AB" w:rsidRDefault="001272D9" w:rsidP="001272D9">
            <w:pPr>
              <w:pStyle w:val="naisc"/>
              <w:spacing w:before="0" w:after="0"/>
              <w:jc w:val="left"/>
            </w:pPr>
            <w:r w:rsidRPr="009841AB">
              <w:t>Likuma nosaukums labots.</w:t>
            </w:r>
          </w:p>
          <w:p w14:paraId="7B0534FF" w14:textId="77777777" w:rsidR="001272D9" w:rsidRPr="009841AB" w:rsidRDefault="001272D9" w:rsidP="001272D9">
            <w:pPr>
              <w:pStyle w:val="naisc"/>
              <w:spacing w:before="0" w:after="0"/>
              <w:jc w:val="left"/>
            </w:pPr>
            <w:r w:rsidRPr="009841AB">
              <w:t>MK konkrēti noteikumi izņemti laukā pavisam un aizstāti ar vispārīgāko formulējumu “normatīvais regulējums”.</w:t>
            </w:r>
          </w:p>
          <w:p w14:paraId="11CF23E9" w14:textId="77777777" w:rsidR="001272D9" w:rsidRPr="009841AB" w:rsidRDefault="001272D9" w:rsidP="001272D9">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52A14C21" w14:textId="77777777" w:rsidR="001272D9" w:rsidRPr="009841AB" w:rsidRDefault="00EA644B" w:rsidP="001272D9">
            <w:pPr>
              <w:jc w:val="both"/>
              <w:rPr>
                <w:color w:val="000000"/>
              </w:rPr>
            </w:pPr>
            <w:r w:rsidRPr="009841AB">
              <w:rPr>
                <w:color w:val="000000"/>
              </w:rPr>
              <w:t>“</w:t>
            </w:r>
            <w:r w:rsidR="001272D9" w:rsidRPr="009841AB">
              <w:rPr>
                <w:color w:val="000000"/>
              </w:rPr>
              <w:t>grozījumi Izglītības likumā, Vispārējās izglītības likumā, Augstskolu likumā un Profesionālās izglītības likumā;</w:t>
            </w:r>
            <w:r w:rsidRPr="009841AB">
              <w:rPr>
                <w:color w:val="000000"/>
              </w:rPr>
              <w:t>”</w:t>
            </w:r>
          </w:p>
          <w:p w14:paraId="10F26775" w14:textId="77777777" w:rsidR="001272D9" w:rsidRPr="009841AB" w:rsidRDefault="001272D9" w:rsidP="001272D9">
            <w:pPr>
              <w:pStyle w:val="naisc"/>
              <w:spacing w:before="0" w:after="0"/>
              <w:jc w:val="both"/>
            </w:pPr>
          </w:p>
        </w:tc>
      </w:tr>
      <w:tr w:rsidR="001272D9" w:rsidRPr="009841AB" w14:paraId="6F95142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E9B84E1" w14:textId="77777777" w:rsidR="001272D9" w:rsidRPr="009841AB" w:rsidRDefault="001272D9" w:rsidP="001272D9">
            <w:pPr>
              <w:pStyle w:val="naisc"/>
              <w:spacing w:before="0" w:after="0"/>
            </w:pPr>
            <w:r w:rsidRPr="009841AB">
              <w:t>2</w:t>
            </w:r>
            <w:r w:rsidR="00362994">
              <w:t>88</w:t>
            </w:r>
          </w:p>
        </w:tc>
        <w:tc>
          <w:tcPr>
            <w:tcW w:w="2427" w:type="dxa"/>
            <w:tcBorders>
              <w:left w:val="single" w:sz="6" w:space="0" w:color="000000" w:themeColor="text1"/>
              <w:bottom w:val="single" w:sz="4" w:space="0" w:color="auto"/>
            </w:tcBorders>
            <w:shd w:val="clear" w:color="auto" w:fill="auto"/>
          </w:tcPr>
          <w:p w14:paraId="7F4551B9"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15D29EF" w14:textId="77777777" w:rsidR="001272D9" w:rsidRPr="009841AB" w:rsidRDefault="001272D9" w:rsidP="001272D9">
            <w:pPr>
              <w:ind w:right="12"/>
              <w:jc w:val="both"/>
            </w:pPr>
            <w:r w:rsidRPr="009841AB">
              <w:t>6.</w:t>
            </w:r>
            <w:r w:rsidRPr="009841AB">
              <w:tab/>
              <w:t xml:space="preserve">sadaļas 4.4.13. “Rīcības virziens: Izglītības procesu </w:t>
            </w:r>
            <w:proofErr w:type="spellStart"/>
            <w:r w:rsidRPr="009841AB">
              <w:t>digitalizācija</w:t>
            </w:r>
            <w:proofErr w:type="spellEnd"/>
            <w:r w:rsidRPr="009841AB">
              <w:t xml:space="preserve">” </w:t>
            </w:r>
            <w:proofErr w:type="spellStart"/>
            <w:r w:rsidRPr="009841AB">
              <w:t>apakšsadaļā</w:t>
            </w:r>
            <w:proofErr w:type="spellEnd"/>
            <w:r w:rsidRPr="009841AB">
              <w:t xml:space="preserve"> “Mācību procesa </w:t>
            </w:r>
            <w:proofErr w:type="spellStart"/>
            <w:r w:rsidRPr="009841AB">
              <w:t>digitalizācija</w:t>
            </w:r>
            <w:proofErr w:type="spellEnd"/>
            <w:r w:rsidRPr="009841AB">
              <w:t>” lūdzam dzēst 9., 10. un 13. punktu, tā kā tajos atkārtojas 3. punktā iekļautie pasākumi.</w:t>
            </w:r>
          </w:p>
        </w:tc>
        <w:tc>
          <w:tcPr>
            <w:tcW w:w="2480" w:type="dxa"/>
            <w:tcBorders>
              <w:left w:val="single" w:sz="6" w:space="0" w:color="000000" w:themeColor="text1"/>
              <w:bottom w:val="single" w:sz="4" w:space="0" w:color="auto"/>
            </w:tcBorders>
            <w:shd w:val="clear" w:color="auto" w:fill="auto"/>
          </w:tcPr>
          <w:p w14:paraId="0E1E75E4" w14:textId="77777777" w:rsidR="001272D9" w:rsidRPr="009841AB" w:rsidRDefault="001272D9" w:rsidP="001272D9">
            <w:pPr>
              <w:pStyle w:val="naisc"/>
              <w:spacing w:before="0" w:after="0"/>
              <w:jc w:val="left"/>
              <w:rPr>
                <w:b/>
                <w:bCs/>
              </w:rPr>
            </w:pPr>
            <w:r w:rsidRPr="009841AB">
              <w:rPr>
                <w:b/>
                <w:bCs/>
              </w:rPr>
              <w:t>Ņemts vērā</w:t>
            </w:r>
          </w:p>
          <w:p w14:paraId="419D6AEB" w14:textId="77777777" w:rsidR="001272D9" w:rsidRPr="009841AB" w:rsidRDefault="001272D9" w:rsidP="001272D9">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4F1B90F6" w14:textId="77777777" w:rsidR="001272D9" w:rsidRPr="009841AB" w:rsidRDefault="00EA644B" w:rsidP="00EA644B">
            <w:pPr>
              <w:pStyle w:val="naisc"/>
              <w:spacing w:before="0" w:after="0"/>
              <w:jc w:val="left"/>
            </w:pPr>
            <w:r w:rsidRPr="009841AB">
              <w:t xml:space="preserve">Lūdzam skatīt </w:t>
            </w:r>
            <w:proofErr w:type="spellStart"/>
            <w:r w:rsidRPr="009841AB">
              <w:t>apakš</w:t>
            </w:r>
            <w:r w:rsidR="004E0FDE" w:rsidRPr="009841AB">
              <w:t>sadaļu</w:t>
            </w:r>
            <w:proofErr w:type="spellEnd"/>
            <w:r w:rsidRPr="009841AB">
              <w:t xml:space="preserve"> 4.4.1.3.</w:t>
            </w:r>
          </w:p>
        </w:tc>
      </w:tr>
      <w:tr w:rsidR="001272D9" w:rsidRPr="009841AB" w14:paraId="6749E5A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533978D" w14:textId="77777777" w:rsidR="001272D9" w:rsidRPr="009841AB" w:rsidRDefault="001272D9" w:rsidP="001272D9">
            <w:pPr>
              <w:tabs>
                <w:tab w:val="left" w:pos="720"/>
              </w:tabs>
              <w:contextualSpacing/>
              <w:jc w:val="both"/>
              <w:rPr>
                <w:b/>
                <w:bCs/>
                <w:lang w:eastAsia="en-US"/>
              </w:rPr>
            </w:pPr>
            <w:r w:rsidRPr="009841AB">
              <w:rPr>
                <w:b/>
                <w:bCs/>
                <w:lang w:eastAsia="en-US"/>
              </w:rPr>
              <w:t>Latvijas atvērto tehnoloģiju asociācijas 02.02.2021. atzinums:</w:t>
            </w:r>
          </w:p>
        </w:tc>
      </w:tr>
      <w:tr w:rsidR="004E0FDE" w:rsidRPr="009841AB" w14:paraId="30CA2CB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8FBDA96" w14:textId="77777777" w:rsidR="004E0FDE" w:rsidRPr="009841AB" w:rsidRDefault="004E0FDE" w:rsidP="004E0FDE">
            <w:pPr>
              <w:pStyle w:val="naisc"/>
              <w:spacing w:before="0" w:after="0"/>
            </w:pPr>
            <w:r w:rsidRPr="009841AB">
              <w:t>2</w:t>
            </w:r>
            <w:r w:rsidR="00362994">
              <w:t>89</w:t>
            </w:r>
          </w:p>
        </w:tc>
        <w:tc>
          <w:tcPr>
            <w:tcW w:w="2427" w:type="dxa"/>
            <w:tcBorders>
              <w:left w:val="single" w:sz="6" w:space="0" w:color="000000" w:themeColor="text1"/>
              <w:bottom w:val="single" w:sz="4" w:space="0" w:color="auto"/>
            </w:tcBorders>
            <w:shd w:val="clear" w:color="auto" w:fill="auto"/>
          </w:tcPr>
          <w:p w14:paraId="10FD78B3" w14:textId="77777777" w:rsidR="004E0FDE" w:rsidRPr="009841AB" w:rsidRDefault="004E0FDE" w:rsidP="004E0FD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70C1416" w14:textId="77777777" w:rsidR="004E0FDE" w:rsidRPr="009841AB" w:rsidRDefault="004E0FDE" w:rsidP="004E0FDE">
            <w:pPr>
              <w:ind w:right="12"/>
              <w:jc w:val="both"/>
            </w:pPr>
            <w:r w:rsidRPr="009841AB">
              <w:t xml:space="preserve">1. LATA uzskata, ka Pamatnostādnēs nepamatoti ģeotelpiskie risinājumi ir ietverti rīcības virzienā 4.4.4. Vides pārvaldības un attīstības plānošanas </w:t>
            </w:r>
            <w:proofErr w:type="spellStart"/>
            <w:r w:rsidRPr="009841AB">
              <w:t>digitalizācija</w:t>
            </w:r>
            <w:proofErr w:type="spellEnd"/>
            <w:r w:rsidRPr="009841AB">
              <w:t xml:space="preserve">, sašaurinot ģeotelpisko datu spektru un ignorējot Eiropas Parlamenta un Padomes Direktīvas 2007/2/EK (2007. gada 14. marts), ar ko izveido Telpiskās informācijas infrastruktūru Eiropas Kopienā (INSPIRE) I, II, un III pielikumos minētās ģeotelpisko datu kopas un ar tām saistītās tautsaimniecības nozares. Eiropas Parlamenta un Padomes Direktīvā 2019/1024 (2019. gada 20. jūnijs) par atvērtajiem datiem un publiskā sektora informācijas </w:t>
            </w:r>
            <w:proofErr w:type="spellStart"/>
            <w:r w:rsidRPr="009841AB">
              <w:lastRenderedPageBreak/>
              <w:t>atkalizmantošanu</w:t>
            </w:r>
            <w:proofErr w:type="spellEnd"/>
            <w:r w:rsidRPr="009841AB">
              <w:t xml:space="preserve"> ģeotelpisko datu kopas ir definētas kā atsevišķa augstvērtīgu datu kopu kategorija. LATA uzskata, ka Pamatnostādnēs jāiekļauj attīstības virziens “Telpiskās informācijas infrastruktūra” un jāizstrādā jauns rīcības politikas dokuments, piemēram, aktualizējot Latvijas ģeotelpiskās informācijas attīstības koncepciju (Ministru kabineta 2013. gada 28. decembra noteikumi Nr.686).</w:t>
            </w:r>
          </w:p>
        </w:tc>
        <w:tc>
          <w:tcPr>
            <w:tcW w:w="2480" w:type="dxa"/>
            <w:tcBorders>
              <w:left w:val="single" w:sz="6" w:space="0" w:color="000000" w:themeColor="text1"/>
              <w:bottom w:val="single" w:sz="4" w:space="0" w:color="auto"/>
            </w:tcBorders>
            <w:shd w:val="clear" w:color="auto" w:fill="auto"/>
          </w:tcPr>
          <w:p w14:paraId="556B7E83" w14:textId="77777777" w:rsidR="004E0FDE" w:rsidRPr="009841AB" w:rsidRDefault="004E0FDE" w:rsidP="004E0FDE">
            <w:pPr>
              <w:pStyle w:val="naisc"/>
              <w:spacing w:before="0" w:after="0"/>
              <w:jc w:val="left"/>
              <w:rPr>
                <w:b/>
                <w:bCs/>
              </w:rPr>
            </w:pPr>
            <w:r w:rsidRPr="009841AB">
              <w:rPr>
                <w:b/>
                <w:bCs/>
              </w:rPr>
              <w:lastRenderedPageBreak/>
              <w:t>Ņemts vērā</w:t>
            </w:r>
          </w:p>
          <w:p w14:paraId="17E13E5C" w14:textId="77777777" w:rsidR="004E0FDE" w:rsidRPr="009841AB" w:rsidRDefault="004E0FDE" w:rsidP="004E0FDE">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37220FF0" w14:textId="77777777" w:rsidR="004E0FDE" w:rsidRPr="009841AB" w:rsidRDefault="004E0FDE" w:rsidP="004E0FDE">
            <w:pPr>
              <w:pStyle w:val="naisc"/>
              <w:spacing w:before="0" w:after="0"/>
              <w:jc w:val="left"/>
            </w:pPr>
            <w:r w:rsidRPr="009841AB">
              <w:t xml:space="preserve">Lūdzam skatīt </w:t>
            </w:r>
            <w:proofErr w:type="spellStart"/>
            <w:r w:rsidRPr="009841AB">
              <w:t>apakšsadaļu</w:t>
            </w:r>
            <w:proofErr w:type="spellEnd"/>
            <w:r w:rsidRPr="009841AB">
              <w:t xml:space="preserve"> 4.4.1.3.</w:t>
            </w:r>
          </w:p>
        </w:tc>
      </w:tr>
      <w:tr w:rsidR="003178D5" w:rsidRPr="009841AB" w14:paraId="12E225D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7229A6F" w14:textId="77777777" w:rsidR="003178D5" w:rsidRPr="009841AB" w:rsidRDefault="003178D5" w:rsidP="003178D5">
            <w:pPr>
              <w:pStyle w:val="naisc"/>
              <w:spacing w:before="0" w:after="0"/>
            </w:pPr>
            <w:r w:rsidRPr="009841AB">
              <w:t>2</w:t>
            </w:r>
            <w:r w:rsidR="00362994">
              <w:t>90</w:t>
            </w:r>
          </w:p>
        </w:tc>
        <w:tc>
          <w:tcPr>
            <w:tcW w:w="2427" w:type="dxa"/>
            <w:tcBorders>
              <w:left w:val="single" w:sz="6" w:space="0" w:color="000000" w:themeColor="text1"/>
              <w:bottom w:val="single" w:sz="4" w:space="0" w:color="auto"/>
            </w:tcBorders>
            <w:shd w:val="clear" w:color="auto" w:fill="auto"/>
          </w:tcPr>
          <w:p w14:paraId="658B7D5F" w14:textId="77777777" w:rsidR="003178D5" w:rsidRPr="009841AB" w:rsidRDefault="003178D5" w:rsidP="003178D5">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35598AD" w14:textId="77777777" w:rsidR="003178D5" w:rsidRPr="009841AB" w:rsidRDefault="003178D5" w:rsidP="003178D5">
            <w:pPr>
              <w:ind w:right="12"/>
              <w:jc w:val="both"/>
            </w:pPr>
            <w:r w:rsidRPr="009841AB">
              <w:t>2. LATA kategoriski iebilst Pamatnostādņu 4.4.9.6 punktam un norāda, ka 4.4.9.6 punktā norādītie sasniedzamie mērķi un nepieciešamā rīcība attiecībā uz elektronisku vēlēšanu un balsošanas procesiem ir neskaidri un iespējams tos pārprast.</w:t>
            </w:r>
          </w:p>
          <w:p w14:paraId="75CF05A7" w14:textId="77777777" w:rsidR="003178D5" w:rsidRPr="009841AB" w:rsidRDefault="003178D5" w:rsidP="003178D5">
            <w:pPr>
              <w:ind w:right="12"/>
              <w:jc w:val="both"/>
            </w:pPr>
            <w:r w:rsidRPr="009841AB">
              <w:tab/>
              <w:t xml:space="preserve">LATA atkārtoti (iepriekšējā vēstule nosūtīta VARAM 08.10.2020. Nr.13/20) uzsver, ka kategoriski iebilst pret interneta vēlēšanu sistēmas, tostarp elektroniskas balsošanas sistēmas vietējo pašvaldību referendumos izveidi. Jau tuvākajos gados bez esošajiem drošības riskiem digitālajā vidē sagaidāmi konstruktīvi draudi Interneta drošībai kopumā sakarā ar straujo kvantu datoru tehnoloģiju attīstību.  2012. un 2013. gadā Latvijas ekspertu veiktās drošības risku analīzes rezultāti un pasaules vadošo </w:t>
            </w:r>
            <w:proofErr w:type="spellStart"/>
            <w:r w:rsidRPr="009841AB">
              <w:t>kriptologu</w:t>
            </w:r>
            <w:proofErr w:type="spellEnd"/>
            <w:r w:rsidRPr="009841AB">
              <w:t xml:space="preserve"> viedoklis kategoriski nepieļauj apzinātu finansiālo resursu izšķiešanu aizklātu balsojumu e-vēlēšanu sistēmu </w:t>
            </w:r>
            <w:proofErr w:type="spellStart"/>
            <w:r w:rsidRPr="009841AB">
              <w:t>pseidopētījumiem</w:t>
            </w:r>
            <w:proofErr w:type="spellEnd"/>
            <w:r w:rsidRPr="009841AB">
              <w:t xml:space="preserve">, izstrādei vai ieviešanai. Latvijas likumdošana paredz, ka balsošana gan Saeimas, gan pašvaldību vēlēšanās ir aizklāta. Aizklātu balsojumu paredz arī Vietējo pašvaldību referendumu likumprojekts. Aizklātuma principa neievērošana ir pretrunā ar noteikto Latvijas Satversmes 6. pantā, Republikas pilsētas domes un novada domes vēlēšanu likuma 28. panta 1. punktā, ANO Vispārīgās cilvēktiesības deklarācijas 21. panta 3.punktā, Vietējo pašvaldību referendumu </w:t>
            </w:r>
            <w:r w:rsidRPr="009841AB">
              <w:lastRenderedPageBreak/>
              <w:t>likumprojekta 17. punktā. Balsošana, izmantojot internetu, pieļauj riskus brīvu, aizklātu, drošu un demokrātisku vēlēšanu un referendumu norisei un ir tiešs apdraudējums Latvijas kā neatkarīgas valsts pastāvēšanai. LATA atkārtoti uzsver, ka tehnoloģiski neiespējama ir divu nosacījumu vienlaicīga izpilde – nodrošināt vienlaikus gan drošu, gan aizklātu balsojumu.</w:t>
            </w:r>
          </w:p>
          <w:p w14:paraId="2218CB96" w14:textId="77777777" w:rsidR="003178D5" w:rsidRPr="009841AB" w:rsidRDefault="003178D5" w:rsidP="003178D5">
            <w:pPr>
              <w:ind w:right="12"/>
              <w:jc w:val="both"/>
            </w:pPr>
            <w:r w:rsidRPr="009841AB">
              <w:tab/>
              <w:t xml:space="preserve">ASV Nacionālās zinātņu akadēmijas 2018. gadā izdotās grāmatas </w:t>
            </w:r>
            <w:proofErr w:type="spellStart"/>
            <w:r w:rsidRPr="009841AB">
              <w:t>Securing</w:t>
            </w:r>
            <w:proofErr w:type="spellEnd"/>
            <w:r w:rsidRPr="009841AB">
              <w:t xml:space="preserve"> </w:t>
            </w:r>
            <w:proofErr w:type="spellStart"/>
            <w:r w:rsidRPr="009841AB">
              <w:t>the</w:t>
            </w:r>
            <w:proofErr w:type="spellEnd"/>
            <w:r w:rsidRPr="009841AB">
              <w:t xml:space="preserve"> </w:t>
            </w:r>
            <w:proofErr w:type="spellStart"/>
            <w:r w:rsidRPr="009841AB">
              <w:t>Vote</w:t>
            </w:r>
            <w:proofErr w:type="spellEnd"/>
            <w:r w:rsidRPr="009841AB">
              <w:t xml:space="preserve">: </w:t>
            </w:r>
            <w:proofErr w:type="spellStart"/>
            <w:r w:rsidRPr="009841AB">
              <w:t>Protecting</w:t>
            </w:r>
            <w:proofErr w:type="spellEnd"/>
            <w:r w:rsidRPr="009841AB">
              <w:t xml:space="preserve"> American </w:t>
            </w:r>
            <w:proofErr w:type="spellStart"/>
            <w:r w:rsidRPr="009841AB">
              <w:t>Democracy</w:t>
            </w:r>
            <w:proofErr w:type="spellEnd"/>
            <w:r w:rsidRPr="009841AB">
              <w:t xml:space="preserve"> (180 lpp.), kuras autoru un recenzentu kolektīva pētnieciskā kapacitāte ir neapstrīdama un daudzkārt pārsniedz Latvijas IT drošības speciālistu kapacitāti kopumā, secinājums ir viennozīmīgs: pašreizējais Interneta tīkls vai jebkurš specializēts tīkls, kas savienots ar Interneta tīklu, nedrīkst tikt izmantots aizklātu balsošanu rīkošanai. LATA iesaka politikas plānošanas dokumenta “Digitālās transformācijas pamatnostādnes 2021.-2027.gadam” autoriem rūpīgi iepazīties ar šīs grāmatas saturu, izvērtējot LATA ieteikumus.</w:t>
            </w:r>
          </w:p>
          <w:p w14:paraId="2C46ECF8" w14:textId="77777777" w:rsidR="003178D5" w:rsidRPr="009841AB" w:rsidRDefault="003178D5" w:rsidP="003178D5">
            <w:pPr>
              <w:ind w:right="12"/>
              <w:jc w:val="both"/>
            </w:pPr>
            <w:r w:rsidRPr="009841AB">
              <w:tab/>
              <w:t>LATA lūdz no Pamatnostādņu 4.4.9.6 punkta sadaļas Rīcības nolūka teksta izslēgt:</w:t>
            </w:r>
          </w:p>
          <w:p w14:paraId="37FDB7C4" w14:textId="77777777" w:rsidR="003178D5" w:rsidRPr="009841AB" w:rsidRDefault="003178D5" w:rsidP="003178D5">
            <w:pPr>
              <w:ind w:right="12"/>
              <w:jc w:val="both"/>
            </w:pPr>
            <w:r w:rsidRPr="009841AB">
              <w:t xml:space="preserve">“...kā arī digitāli piedaloties referendumos un </w:t>
            </w:r>
            <w:proofErr w:type="spellStart"/>
            <w:r w:rsidRPr="009841AB">
              <w:t>digitalizējot</w:t>
            </w:r>
            <w:proofErr w:type="spellEnd"/>
            <w:r w:rsidRPr="009841AB">
              <w:t xml:space="preserve"> vēlēšanu procesa organizēšanu, tai skaitā uzlabojot drošību un kvalitāti.”</w:t>
            </w:r>
          </w:p>
          <w:p w14:paraId="1B7FB398" w14:textId="77777777" w:rsidR="003178D5" w:rsidRPr="009841AB" w:rsidRDefault="003178D5" w:rsidP="003178D5">
            <w:pPr>
              <w:ind w:right="12"/>
              <w:jc w:val="both"/>
            </w:pPr>
            <w:r w:rsidRPr="009841AB">
              <w:tab/>
              <w:t>LATA lūdz Pamatnostādņu 4.4.9.6 punkta sadaļas Nepieciešamā rīcība pēdējo rindkopu formulēt sekojoši:</w:t>
            </w:r>
          </w:p>
          <w:p w14:paraId="0D199C73" w14:textId="77777777" w:rsidR="003178D5" w:rsidRPr="009841AB" w:rsidRDefault="003178D5" w:rsidP="003178D5">
            <w:pPr>
              <w:ind w:right="12"/>
              <w:jc w:val="both"/>
            </w:pPr>
            <w:r w:rsidRPr="009841AB">
              <w:t>“Aizklātu balsojumu gadījumā attīstīt un ieviest Latvijā tikai tādus e-balsošanas un e-vēlēšanu atbalsta elementus, kas nav saistīti ar piekļuvi balsojumiem un vēlēšanu rezultātiem, piemēram, vēlētāju elektronizēta reģistrācija klātienē.”</w:t>
            </w:r>
          </w:p>
        </w:tc>
        <w:tc>
          <w:tcPr>
            <w:tcW w:w="2480" w:type="dxa"/>
            <w:tcBorders>
              <w:left w:val="single" w:sz="6" w:space="0" w:color="000000" w:themeColor="text1"/>
              <w:bottom w:val="single" w:sz="4" w:space="0" w:color="auto"/>
            </w:tcBorders>
            <w:shd w:val="clear" w:color="auto" w:fill="auto"/>
          </w:tcPr>
          <w:p w14:paraId="2A938D2B" w14:textId="77777777" w:rsidR="003178D5" w:rsidRPr="009841AB" w:rsidRDefault="003178D5" w:rsidP="003178D5">
            <w:pPr>
              <w:pStyle w:val="naisc"/>
              <w:spacing w:before="0" w:after="0"/>
              <w:jc w:val="left"/>
              <w:rPr>
                <w:b/>
                <w:bCs/>
              </w:rPr>
            </w:pPr>
            <w:r w:rsidRPr="009841AB">
              <w:rPr>
                <w:b/>
                <w:bCs/>
              </w:rPr>
              <w:lastRenderedPageBreak/>
              <w:t>Ņemts vērā</w:t>
            </w:r>
          </w:p>
          <w:p w14:paraId="799B7698" w14:textId="77777777" w:rsidR="003178D5" w:rsidRPr="009841AB" w:rsidRDefault="003178D5" w:rsidP="003178D5">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5C21AC77" w14:textId="77777777" w:rsidR="003178D5" w:rsidRPr="009841AB" w:rsidRDefault="003178D5" w:rsidP="003178D5">
            <w:pPr>
              <w:pStyle w:val="naisc"/>
              <w:spacing w:before="0" w:after="0"/>
              <w:jc w:val="left"/>
            </w:pPr>
            <w:r w:rsidRPr="009841AB">
              <w:t xml:space="preserve">Lūdzam skatīt </w:t>
            </w:r>
            <w:proofErr w:type="spellStart"/>
            <w:r w:rsidRPr="009841AB">
              <w:t>apakšsadaļu</w:t>
            </w:r>
            <w:proofErr w:type="spellEnd"/>
            <w:r w:rsidRPr="009841AB">
              <w:t xml:space="preserve"> 4.4.9.6.</w:t>
            </w:r>
          </w:p>
        </w:tc>
      </w:tr>
      <w:tr w:rsidR="00082E37" w:rsidRPr="009841AB" w14:paraId="7861B3A8"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8D1EC44" w14:textId="77777777" w:rsidR="00082E37" w:rsidRPr="009841AB" w:rsidRDefault="00082E37" w:rsidP="003178D5">
            <w:pPr>
              <w:pStyle w:val="naisc"/>
              <w:spacing w:before="0" w:after="0"/>
              <w:jc w:val="left"/>
            </w:pPr>
            <w:r w:rsidRPr="009841AB">
              <w:rPr>
                <w:b/>
                <w:bCs/>
                <w:lang w:eastAsia="en-US"/>
              </w:rPr>
              <w:lastRenderedPageBreak/>
              <w:t xml:space="preserve">Latvijas atvērto tehnoloģiju asociācijas </w:t>
            </w:r>
            <w:r>
              <w:rPr>
                <w:b/>
                <w:bCs/>
                <w:lang w:eastAsia="en-US"/>
              </w:rPr>
              <w:t>30</w:t>
            </w:r>
            <w:r w:rsidRPr="009841AB">
              <w:rPr>
                <w:b/>
                <w:bCs/>
                <w:lang w:eastAsia="en-US"/>
              </w:rPr>
              <w:t>.0</w:t>
            </w:r>
            <w:r>
              <w:rPr>
                <w:b/>
                <w:bCs/>
                <w:lang w:eastAsia="en-US"/>
              </w:rPr>
              <w:t>4</w:t>
            </w:r>
            <w:r w:rsidRPr="009841AB">
              <w:rPr>
                <w:b/>
                <w:bCs/>
                <w:lang w:eastAsia="en-US"/>
              </w:rPr>
              <w:t>.2021. atzinums:</w:t>
            </w:r>
          </w:p>
        </w:tc>
      </w:tr>
      <w:tr w:rsidR="00082E37" w:rsidRPr="009841AB" w14:paraId="2DBEC38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73634C2" w14:textId="77777777" w:rsidR="00082E37" w:rsidRPr="009841AB" w:rsidRDefault="00362994" w:rsidP="003178D5">
            <w:pPr>
              <w:pStyle w:val="naisc"/>
              <w:spacing w:before="0" w:after="0"/>
            </w:pPr>
            <w:r>
              <w:lastRenderedPageBreak/>
              <w:t>291</w:t>
            </w:r>
          </w:p>
        </w:tc>
        <w:tc>
          <w:tcPr>
            <w:tcW w:w="2427" w:type="dxa"/>
            <w:tcBorders>
              <w:left w:val="single" w:sz="6" w:space="0" w:color="000000" w:themeColor="text1"/>
              <w:bottom w:val="single" w:sz="4" w:space="0" w:color="auto"/>
            </w:tcBorders>
            <w:shd w:val="clear" w:color="auto" w:fill="auto"/>
          </w:tcPr>
          <w:p w14:paraId="5592D2B6" w14:textId="77777777" w:rsidR="00082E37" w:rsidRPr="009841AB" w:rsidRDefault="0091458B" w:rsidP="003178D5">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CAA80F5" w14:textId="77777777" w:rsidR="00082E37" w:rsidRPr="009841AB" w:rsidRDefault="00082E37" w:rsidP="003178D5">
            <w:pPr>
              <w:ind w:right="12"/>
              <w:jc w:val="both"/>
            </w:pPr>
            <w:r w:rsidRPr="00082E37">
              <w:t>LATA rekomendē precizēt pamatnostādņu  4.4.4. Rīcības virziena nosaukumu. Aizstāt “Fiziskās telpas pārvaldība, vides pārvaldības un attīstības plānošanas digitālā transformācija” ar “Ģeotelpiskās, vides pārvaldības un attīstības plānošanas informācijas (vai datu) digitālā transformācija.”</w:t>
            </w:r>
          </w:p>
        </w:tc>
        <w:tc>
          <w:tcPr>
            <w:tcW w:w="2480" w:type="dxa"/>
            <w:tcBorders>
              <w:left w:val="single" w:sz="6" w:space="0" w:color="000000" w:themeColor="text1"/>
              <w:bottom w:val="single" w:sz="4" w:space="0" w:color="auto"/>
            </w:tcBorders>
            <w:shd w:val="clear" w:color="auto" w:fill="auto"/>
          </w:tcPr>
          <w:p w14:paraId="342225F9" w14:textId="77777777" w:rsidR="00082E37" w:rsidRPr="009841AB" w:rsidRDefault="00C857FC" w:rsidP="003178D5">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1D179BC0" w14:textId="77777777" w:rsidR="00082E37" w:rsidRPr="009841AB" w:rsidRDefault="0091458B" w:rsidP="003178D5">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272D9" w:rsidRPr="009841AB" w14:paraId="7C64854C"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A5F12E5" w14:textId="77777777" w:rsidR="001272D9" w:rsidRPr="009841AB" w:rsidRDefault="001272D9" w:rsidP="001272D9">
            <w:pPr>
              <w:tabs>
                <w:tab w:val="left" w:pos="720"/>
              </w:tabs>
              <w:contextualSpacing/>
              <w:jc w:val="both"/>
              <w:rPr>
                <w:b/>
                <w:bCs/>
                <w:lang w:eastAsia="en-US"/>
              </w:rPr>
            </w:pPr>
            <w:r w:rsidRPr="009841AB">
              <w:rPr>
                <w:b/>
                <w:bCs/>
                <w:lang w:eastAsia="en-US"/>
              </w:rPr>
              <w:t>Latvijas Darba devēju konfederācijas 29.01.2021. atzinums:</w:t>
            </w:r>
          </w:p>
        </w:tc>
      </w:tr>
      <w:tr w:rsidR="001272D9" w:rsidRPr="009841AB" w14:paraId="31DDDB2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75AB7F6" w14:textId="77777777" w:rsidR="001272D9" w:rsidRPr="009841AB" w:rsidRDefault="001272D9" w:rsidP="001272D9">
            <w:pPr>
              <w:pStyle w:val="naisc"/>
              <w:spacing w:before="0" w:after="0"/>
            </w:pPr>
            <w:r w:rsidRPr="009841AB">
              <w:t>2</w:t>
            </w:r>
            <w:r w:rsidR="006E48CE">
              <w:t>92</w:t>
            </w:r>
          </w:p>
        </w:tc>
        <w:tc>
          <w:tcPr>
            <w:tcW w:w="2427" w:type="dxa"/>
            <w:tcBorders>
              <w:left w:val="single" w:sz="6" w:space="0" w:color="000000" w:themeColor="text1"/>
              <w:bottom w:val="single" w:sz="4" w:space="0" w:color="auto"/>
            </w:tcBorders>
            <w:shd w:val="clear" w:color="auto" w:fill="auto"/>
          </w:tcPr>
          <w:p w14:paraId="2E501BE1"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24A5377" w14:textId="77777777" w:rsidR="001272D9" w:rsidRPr="009841AB" w:rsidRDefault="001272D9" w:rsidP="001272D9">
            <w:pPr>
              <w:ind w:right="12"/>
              <w:jc w:val="both"/>
            </w:pPr>
            <w:r w:rsidRPr="009841AB">
              <w:t>1. LDDK iebilst un aicina pārvērtēt attīstības virzienu „Tautsaimniecības (t.sk valsts pārvaldes) digitālā transformācija” (4.4), jo te ir redzama ļoti liela resursu centralizācija valsts pārvaldes pusē, kas potenciāli norāda, ka lielāko daļu projektu īstenos valsts pārvaldes iestādes. Tas izriet arī gan no rīcības virzieniem, gan uzdevumiem un rezultatīvajiem rādītājiem. Lai nodrošinātu privātā sektora iesaisti, ierosinām šādus papildinājumus:</w:t>
            </w:r>
          </w:p>
          <w:p w14:paraId="0870D613" w14:textId="77777777" w:rsidR="001272D9" w:rsidRPr="009841AB" w:rsidRDefault="001272D9" w:rsidP="001272D9">
            <w:pPr>
              <w:ind w:right="12"/>
              <w:jc w:val="both"/>
            </w:pPr>
            <w:r w:rsidRPr="009841AB">
              <w:t xml:space="preserve">- Rīcības virziens: Pakalpojumu platformas” (4.4.1) sadaļas “Attīstītu valsts digitālo platformu pamatprincipi:” 1. apakšpunktu šādā redakcijā: </w:t>
            </w:r>
          </w:p>
          <w:p w14:paraId="6BD14235" w14:textId="77777777" w:rsidR="001272D9" w:rsidRPr="009841AB" w:rsidRDefault="001272D9" w:rsidP="001272D9">
            <w:pPr>
              <w:ind w:right="12"/>
              <w:jc w:val="both"/>
            </w:pPr>
            <w:r w:rsidRPr="009841AB">
              <w:t xml:space="preserve">“1. Digitālās transformācijas un inovāciju prasmes - Prasmīgi un zinoši valsts pārvaldes darbinieki un komersanti platformu attīstībā, atvēršanā un inovatīvu sadarbības un pakalpojumu modeļu attīstībā, kur valsts pārvalde fokusējas uz augstas kvalitātes valsts digitālā pakalpojuma sniegšanu, maksimāli izmantojot komersantu sniegtos pakalpojumus tehnoloģisko risinājumu nodrošināšanā, minimizējot valsts tehnoloģiskās kapacitātes attīstīšanu, vai virzot to tikai tirgus nepilnību terminētai novēršanai.” </w:t>
            </w:r>
          </w:p>
          <w:p w14:paraId="55E5EB01" w14:textId="77777777" w:rsidR="001272D9" w:rsidRPr="009841AB" w:rsidRDefault="001272D9" w:rsidP="001272D9">
            <w:pPr>
              <w:ind w:right="12"/>
              <w:jc w:val="both"/>
            </w:pPr>
            <w:r w:rsidRPr="009841AB">
              <w:t xml:space="preserve">- Sadaļu  “Privātā sektora platformas publisku funkciju īstenošanā – attīstās vietējo platformu ekosistēma” papildināt ar šādu teikumu: “Tomēr šai segmentā ir liels neizmantots potenciāls gan elektronisko rēķinu aprites nodrošināšanā, gan vērtējot iespēju izmanto </w:t>
            </w:r>
            <w:r w:rsidRPr="009841AB">
              <w:lastRenderedPageBreak/>
              <w:t>sadalītās virsgrāmatas decentralizētās uzskaites (</w:t>
            </w:r>
            <w:proofErr w:type="spellStart"/>
            <w:r w:rsidRPr="009841AB">
              <w:t>blokķēžu</w:t>
            </w:r>
            <w:proofErr w:type="spellEnd"/>
            <w:r w:rsidRPr="009841AB">
              <w:t>) tehnoloģijas.”</w:t>
            </w:r>
          </w:p>
          <w:p w14:paraId="70757A06" w14:textId="77777777" w:rsidR="001272D9" w:rsidRPr="009841AB" w:rsidRDefault="001272D9" w:rsidP="001272D9">
            <w:pPr>
              <w:ind w:right="12"/>
              <w:jc w:val="both"/>
            </w:pPr>
            <w:r w:rsidRPr="009841AB">
              <w:t>- Sadaļā “Nepieciešamā rīcība” 8. apakšpunktu izteikt šādā redakcijā: “8. Jāparedz atbalsts komersantiem jaunu produktu un pakalpojumu attīstībai izmantojot (arī) pārvaldes digitālās platformas, integrējot tās ar esošiem biznesa risinājumiem (t.sk., elektronisko rēķinu apstrāde), kā arī radot priekšnoteikumus jaunu tehnoloģiju, t.sk., sadalītās virsgrāmatas decentralizētās uzskaites (</w:t>
            </w:r>
            <w:proofErr w:type="spellStart"/>
            <w:r w:rsidRPr="009841AB">
              <w:t>blokķēžu</w:t>
            </w:r>
            <w:proofErr w:type="spellEnd"/>
            <w:r w:rsidRPr="009841AB">
              <w:t>), ienākšanai apritē starp valsts pārvaldi un komersantiem.”</w:t>
            </w:r>
          </w:p>
          <w:p w14:paraId="65D73143" w14:textId="77777777" w:rsidR="001272D9" w:rsidRPr="009841AB" w:rsidRDefault="001272D9" w:rsidP="001272D9">
            <w:pPr>
              <w:ind w:right="12"/>
              <w:jc w:val="both"/>
            </w:pPr>
            <w:r w:rsidRPr="009841AB">
              <w:t xml:space="preserve">- Sadaļā “Sagaidāmie rezultāti” 4. punktu izteikt šādā redakcijā: “4. No 2021.gada izveidots atbalsta mehānisms komersantiem, kas paredzētu finansējuma iespējas integrācijai ar valsts platformām; veikti vismaz trīs nacionāla mēroga pilotprojekti </w:t>
            </w:r>
            <w:proofErr w:type="spellStart"/>
            <w:r w:rsidRPr="009841AB">
              <w:t>komercsistēmu</w:t>
            </w:r>
            <w:proofErr w:type="spellEnd"/>
            <w:r w:rsidRPr="009841AB">
              <w:t xml:space="preserve"> integrācijai valsts vai pašvaldību pārvaldes funkciju realizācijā”</w:t>
            </w:r>
          </w:p>
          <w:p w14:paraId="0B89C590" w14:textId="77777777" w:rsidR="001272D9" w:rsidRPr="009841AB" w:rsidRDefault="001272D9" w:rsidP="001272D9">
            <w:pPr>
              <w:ind w:right="12"/>
              <w:jc w:val="both"/>
            </w:pPr>
            <w:r w:rsidRPr="009841AB">
              <w:t xml:space="preserve">- Rīcības virzienā Komercdarbības </w:t>
            </w:r>
            <w:proofErr w:type="spellStart"/>
            <w:r w:rsidRPr="009841AB">
              <w:t>digitalizācijas</w:t>
            </w:r>
            <w:proofErr w:type="spellEnd"/>
            <w:r w:rsidRPr="009841AB">
              <w:t xml:space="preserve"> veicināšana (4.4.11) sadaļā “Nepieciešamā rīcība”, rindkopā, kas sākas ar vārdiem “Lai veicinātu mērķtiecīgu digitālo transformāciju, ir nepieciešams izveidot vienotu platformu/ digitālās ekselences centru”, 2. teikumu izteikt šādā redakcijā: “Apzinot privātajā, valsts un pašvaldību sektorā lietotās digitālās tehnoloģijas, palīdzot tās ieviest un piemērot, nodrošinot piekļuvi tehniskajām kompetencēm un radot vidi risinājumu testēšanai pirms ieviešanas ražošanā.”</w:t>
            </w:r>
          </w:p>
        </w:tc>
        <w:tc>
          <w:tcPr>
            <w:tcW w:w="2480" w:type="dxa"/>
            <w:tcBorders>
              <w:left w:val="single" w:sz="6" w:space="0" w:color="000000" w:themeColor="text1"/>
              <w:bottom w:val="single" w:sz="4" w:space="0" w:color="auto"/>
            </w:tcBorders>
            <w:shd w:val="clear" w:color="auto" w:fill="auto"/>
          </w:tcPr>
          <w:p w14:paraId="428B26EC" w14:textId="77777777" w:rsidR="008A2A01" w:rsidRDefault="008A2A01" w:rsidP="008A2A01">
            <w:pPr>
              <w:pStyle w:val="naisc"/>
              <w:jc w:val="both"/>
              <w:rPr>
                <w:b/>
                <w:bCs/>
              </w:rPr>
            </w:pPr>
            <w:r>
              <w:rPr>
                <w:b/>
                <w:bCs/>
              </w:rPr>
              <w:lastRenderedPageBreak/>
              <w:t>Panākta vienošanās</w:t>
            </w:r>
          </w:p>
          <w:p w14:paraId="4EE22240" w14:textId="77777777" w:rsidR="00AE1F7A" w:rsidRPr="009841AB" w:rsidRDefault="00AE1F7A" w:rsidP="001272D9">
            <w:pPr>
              <w:pStyle w:val="naisc"/>
              <w:spacing w:before="0" w:after="0"/>
              <w:jc w:val="left"/>
            </w:pPr>
            <w:r w:rsidRPr="009841AB">
              <w:t xml:space="preserve">Punkts precizēts, tomēr uzdevums paredz publiskā sektora rīcību atverot publiskā sektora platformas. Pamatnostādnes neparedz uzdevumu izmantot </w:t>
            </w:r>
            <w:proofErr w:type="spellStart"/>
            <w:r w:rsidRPr="009841AB">
              <w:t>komercproduktus</w:t>
            </w:r>
            <w:proofErr w:type="spellEnd"/>
            <w:r w:rsidRPr="009841AB">
              <w:t xml:space="preserve"> noteiktu procesu nodrošināšanai, bet iezīmē to kā izvērtējamu scenāriju. </w:t>
            </w:r>
            <w:proofErr w:type="spellStart"/>
            <w:r w:rsidRPr="009841AB">
              <w:t>Attecīgi</w:t>
            </w:r>
            <w:proofErr w:type="spellEnd"/>
            <w:r w:rsidRPr="009841AB">
              <w:t xml:space="preserve"> 4.4.1. sadaļa papildināts ar 6. principu un Nepieciešamā rīcība ar 8. punktu.</w:t>
            </w:r>
          </w:p>
          <w:p w14:paraId="5448D8A6" w14:textId="77777777" w:rsidR="0065546E" w:rsidRPr="009841AB" w:rsidRDefault="0065546E" w:rsidP="001272D9">
            <w:pPr>
              <w:pStyle w:val="naisc"/>
              <w:spacing w:before="0" w:after="0"/>
              <w:jc w:val="left"/>
            </w:pPr>
            <w:r w:rsidRPr="009841AB">
              <w:t xml:space="preserve">Precizējumi iestrādāti 4.4.1. sadaļā vispārīgā formā, nenorādot uz konkrētu procesu vai tehnoloģiju specifiskiem lietojumiem, jo šāda </w:t>
            </w:r>
            <w:r w:rsidRPr="009841AB">
              <w:lastRenderedPageBreak/>
              <w:t>detalizācijas neatbilst pamatnostādņu formai.</w:t>
            </w:r>
          </w:p>
        </w:tc>
        <w:tc>
          <w:tcPr>
            <w:tcW w:w="3497" w:type="dxa"/>
            <w:tcBorders>
              <w:left w:val="single" w:sz="6" w:space="0" w:color="000000" w:themeColor="text1"/>
              <w:bottom w:val="single" w:sz="4" w:space="0" w:color="auto"/>
            </w:tcBorders>
            <w:shd w:val="clear" w:color="auto" w:fill="auto"/>
          </w:tcPr>
          <w:p w14:paraId="09AC4B9F" w14:textId="77777777" w:rsidR="001272D9" w:rsidRPr="009841AB" w:rsidRDefault="00AE1F7A" w:rsidP="00AE1F7A">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w:t>
            </w:r>
            <w:r w:rsidR="0065546E" w:rsidRPr="009841AB">
              <w:t>1</w:t>
            </w:r>
            <w:r w:rsidRPr="009841AB">
              <w:t>.</w:t>
            </w:r>
          </w:p>
        </w:tc>
      </w:tr>
      <w:tr w:rsidR="001272D9" w:rsidRPr="009841AB" w14:paraId="72C530D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72CDFC0" w14:textId="77777777" w:rsidR="001272D9" w:rsidRPr="009841AB" w:rsidRDefault="001272D9" w:rsidP="001272D9">
            <w:pPr>
              <w:pStyle w:val="naisc"/>
              <w:spacing w:before="0" w:after="0"/>
            </w:pPr>
            <w:r w:rsidRPr="009841AB">
              <w:lastRenderedPageBreak/>
              <w:t>2</w:t>
            </w:r>
            <w:r w:rsidR="006E48CE">
              <w:t>93</w:t>
            </w:r>
          </w:p>
        </w:tc>
        <w:tc>
          <w:tcPr>
            <w:tcW w:w="2427" w:type="dxa"/>
            <w:tcBorders>
              <w:left w:val="single" w:sz="6" w:space="0" w:color="000000" w:themeColor="text1"/>
              <w:bottom w:val="single" w:sz="4" w:space="0" w:color="auto"/>
            </w:tcBorders>
            <w:shd w:val="clear" w:color="auto" w:fill="auto"/>
          </w:tcPr>
          <w:p w14:paraId="7F90A343"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AD42B5C" w14:textId="77777777" w:rsidR="001272D9" w:rsidRPr="009841AB" w:rsidRDefault="001272D9" w:rsidP="001272D9">
            <w:pPr>
              <w:ind w:right="12"/>
              <w:jc w:val="both"/>
            </w:pPr>
            <w:r w:rsidRPr="009841AB">
              <w:t>2.</w:t>
            </w:r>
            <w:r w:rsidRPr="009841AB">
              <w:tab/>
              <w:t>LDDK iebilst pret rīcības virziena “Sabiedrības sociālā labklājība un veselība” (4.4.6) sadaļu “Nepieciešamā rīcība” un “Uzdevumi” VARAM piedāvātajā redakcijā un sniedz šādu pamatojumu:</w:t>
            </w:r>
          </w:p>
          <w:p w14:paraId="68906985" w14:textId="77777777" w:rsidR="001272D9" w:rsidRPr="009841AB" w:rsidRDefault="001272D9" w:rsidP="001272D9">
            <w:pPr>
              <w:ind w:right="12"/>
              <w:jc w:val="both"/>
            </w:pPr>
            <w:r w:rsidRPr="009841AB">
              <w:lastRenderedPageBreak/>
              <w:t>- Sadaļas “</w:t>
            </w:r>
            <w:r w:rsidRPr="009841AB">
              <w:rPr>
                <w:u w:val="single"/>
              </w:rPr>
              <w:t>Nepieciešamā rīcība” 4. punkts noteic, ka ir jānodrošina e-veselības starptautiskā integrācija. Savukārt sadaļā “Uzdevumi” šī pozīcija nav ietverta, līdz ar to nav norādīti ne ieviešanas sākuma un beigu termiņi, ne atbildīgās un līdzatbildīgās</w:t>
            </w:r>
            <w:r w:rsidRPr="009841AB">
              <w:t xml:space="preserve"> institūcijas, kā arī nav </w:t>
            </w:r>
            <w:proofErr w:type="spellStart"/>
            <w:r w:rsidRPr="009841AB">
              <w:t>izvērtējuma</w:t>
            </w:r>
            <w:proofErr w:type="spellEnd"/>
            <w:r w:rsidRPr="009841AB">
              <w:t xml:space="preserve"> par uzdevuma izpildei nepieciešamo finansējuma apjomu. </w:t>
            </w:r>
          </w:p>
          <w:p w14:paraId="072D1253" w14:textId="77777777" w:rsidR="001272D9" w:rsidRPr="009841AB" w:rsidRDefault="001272D9" w:rsidP="001272D9">
            <w:pPr>
              <w:ind w:right="12"/>
              <w:jc w:val="both"/>
            </w:pPr>
            <w:r w:rsidRPr="009841AB">
              <w:t>- Sadaļas “Nepieciešamā rīcība” 5. punkts noteic, ka ir jāizstrādā tiesiskais regulējums:</w:t>
            </w:r>
          </w:p>
          <w:p w14:paraId="6724A90E" w14:textId="77777777" w:rsidR="001272D9" w:rsidRPr="009841AB" w:rsidRDefault="001272D9" w:rsidP="001272D9">
            <w:pPr>
              <w:ind w:right="12"/>
              <w:jc w:val="both"/>
            </w:pPr>
            <w:r w:rsidRPr="009841AB">
              <w:t>a.</w:t>
            </w:r>
            <w:r w:rsidRPr="009841AB">
              <w:tab/>
              <w:t xml:space="preserve">nosakot redzot sadarbības modeli medicīnisko datu savstarpējai apmaiņai un uzkrāšanai starp komerciālām un valsts informācijas sistēmām, </w:t>
            </w:r>
          </w:p>
          <w:p w14:paraId="0476730E" w14:textId="77777777" w:rsidR="001272D9" w:rsidRPr="009841AB" w:rsidRDefault="001272D9" w:rsidP="001272D9">
            <w:pPr>
              <w:ind w:right="12"/>
              <w:jc w:val="both"/>
            </w:pPr>
            <w:r w:rsidRPr="009841AB">
              <w:t>b.</w:t>
            </w:r>
            <w:r w:rsidRPr="009841AB">
              <w:tab/>
              <w:t>nosakot pacientu elektronisko veselības karti par primāro vietu, kur uzkrājami medicīniskie dati, nosakot saprātīgu pārejas periodu pārejai no papīra uz elektronisko sistēmu.</w:t>
            </w:r>
          </w:p>
          <w:p w14:paraId="4F2881F4" w14:textId="77777777" w:rsidR="001272D9" w:rsidRPr="009841AB" w:rsidRDefault="001272D9" w:rsidP="001272D9">
            <w:pPr>
              <w:ind w:right="12"/>
              <w:jc w:val="both"/>
            </w:pPr>
            <w:r w:rsidRPr="009841AB">
              <w:t>c.</w:t>
            </w:r>
            <w:r w:rsidRPr="009841AB">
              <w:tab/>
              <w:t xml:space="preserve">datu izmantošanai un </w:t>
            </w:r>
            <w:proofErr w:type="spellStart"/>
            <w:r w:rsidRPr="009841AB">
              <w:t>atkalizmantošanai</w:t>
            </w:r>
            <w:proofErr w:type="spellEnd"/>
            <w:r w:rsidRPr="009841AB">
              <w:t xml:space="preserve">, kā arī pētniecības un attīstības nodrošināšanai. </w:t>
            </w:r>
          </w:p>
          <w:p w14:paraId="600E4B60" w14:textId="77777777" w:rsidR="001272D9" w:rsidRPr="009841AB" w:rsidRDefault="001272D9" w:rsidP="001272D9">
            <w:pPr>
              <w:ind w:right="12"/>
              <w:jc w:val="both"/>
            </w:pPr>
            <w:r w:rsidRPr="009841AB">
              <w:t>d.</w:t>
            </w:r>
            <w:r w:rsidRPr="009841AB">
              <w:tab/>
              <w:t xml:space="preserve">paredzot valsts pārvaldē ieviest funkciju, kas nodrošina sekundāro veselības datu izmantošanas pieprasījumu izskatīšanu un datu izsniegšanu. </w:t>
            </w:r>
          </w:p>
          <w:p w14:paraId="1F6E84A2" w14:textId="77777777" w:rsidR="001272D9" w:rsidRPr="009841AB" w:rsidRDefault="001272D9" w:rsidP="001272D9">
            <w:pPr>
              <w:ind w:right="12"/>
              <w:jc w:val="both"/>
            </w:pPr>
            <w:r w:rsidRPr="009841AB">
              <w:t>e.</w:t>
            </w:r>
            <w:r w:rsidRPr="009841AB">
              <w:tab/>
              <w:t>nodrošinot savu datu pārvaldības iespējas personai e-veselības elektroniskajā veselības kartē.</w:t>
            </w:r>
          </w:p>
          <w:p w14:paraId="6DE2FDC3" w14:textId="77777777" w:rsidR="001272D9" w:rsidRPr="009841AB" w:rsidRDefault="001272D9" w:rsidP="001272D9">
            <w:pPr>
              <w:ind w:right="12"/>
              <w:jc w:val="both"/>
            </w:pPr>
            <w:r w:rsidRPr="009841AB">
              <w:t xml:space="preserve">Savukārt sadaļā “Sagaidāmie rezultāti” minētās pozīcijas nav definētas un sadaļā  “Uzdevumi” šī pozīcija nav ietverta, līdz ar to nav norādīti ne ieviešanas sākuma un beigu termiņi, ne atbildīgās un līdzatbildīgās institūcijas, kā arī nav </w:t>
            </w:r>
            <w:proofErr w:type="spellStart"/>
            <w:r w:rsidRPr="009841AB">
              <w:t>izvērtējuma</w:t>
            </w:r>
            <w:proofErr w:type="spellEnd"/>
            <w:r w:rsidRPr="009841AB">
              <w:t xml:space="preserve">, vai uzdevuma izpildei nepieciešams papildus finansējums </w:t>
            </w:r>
          </w:p>
          <w:p w14:paraId="382E038C" w14:textId="77777777" w:rsidR="001272D9" w:rsidRPr="009841AB" w:rsidRDefault="001272D9" w:rsidP="001272D9">
            <w:pPr>
              <w:ind w:right="12"/>
              <w:jc w:val="both"/>
            </w:pPr>
            <w:r w:rsidRPr="009841AB">
              <w:t xml:space="preserve">- Sadaļas “Nepieciešamā rīcība” 6.punkts noteic, ka ir jāievieš </w:t>
            </w:r>
            <w:proofErr w:type="spellStart"/>
            <w:r w:rsidRPr="009841AB">
              <w:t>telemedicīnas</w:t>
            </w:r>
            <w:proofErr w:type="spellEnd"/>
            <w:r w:rsidRPr="009841AB">
              <w:t xml:space="preserve"> risinājumi, nodrošinot vienotu un drošu platformu medicīnas profesionāļu savstarpējai viedokļu apmaiņai un attālinātu konsultāciju sniegšanai. Savukārt sadaļā “Uzdevumi” pretī šī pozīcija nav ietverta, līdz ar to nav norādīti ne </w:t>
            </w:r>
            <w:r w:rsidRPr="009841AB">
              <w:lastRenderedPageBreak/>
              <w:t xml:space="preserve">ieviešanas sākuma un beigu termiņi, ne atbildīgās un līdzatbildīgās institūcijas, kā arī nav </w:t>
            </w:r>
            <w:proofErr w:type="spellStart"/>
            <w:r w:rsidRPr="009841AB">
              <w:t>izvērtējuma</w:t>
            </w:r>
            <w:proofErr w:type="spellEnd"/>
            <w:r w:rsidRPr="009841AB">
              <w:t xml:space="preserve"> par uzdevuma izpildei nepieciešamo finansējuma apjomu.</w:t>
            </w:r>
          </w:p>
          <w:p w14:paraId="584AE64D" w14:textId="77777777" w:rsidR="001272D9" w:rsidRPr="009841AB" w:rsidRDefault="001272D9" w:rsidP="001272D9">
            <w:pPr>
              <w:ind w:right="12"/>
              <w:jc w:val="both"/>
            </w:pPr>
            <w:r w:rsidRPr="009841AB">
              <w:t xml:space="preserve">- Sadaļas “Nepieciešamā rīcība” 10.punkts noteic, ka ir jāveicina </w:t>
            </w:r>
          </w:p>
          <w:p w14:paraId="4C720D03" w14:textId="77777777" w:rsidR="001272D9" w:rsidRPr="009841AB" w:rsidRDefault="001272D9" w:rsidP="001272D9">
            <w:pPr>
              <w:ind w:right="12"/>
              <w:jc w:val="both"/>
            </w:pPr>
            <w:r w:rsidRPr="009841AB">
              <w:t xml:space="preserve">mākslīgā intelekta izmantošana veselības aprūpē, piemēram, datu uzkrāšanas, analīzes un prognozēšanas risinājumu attīstībai veselības nozarē, personāla resursu efektīvākai izmantošanai, kvalifikācijas celšanai un izglītošanai. Savukārt sadaļā  “Uzdevumi” pretī šī pozīcija nav ietverta, līdz ar to nav norādīti ne ieviešanas sākuma un beigu termiņi, ne atbildīgās un līdzatbildīgās institūcijas, kā arī nav </w:t>
            </w:r>
            <w:proofErr w:type="spellStart"/>
            <w:r w:rsidRPr="009841AB">
              <w:t>izvērtējuma</w:t>
            </w:r>
            <w:proofErr w:type="spellEnd"/>
            <w:r w:rsidRPr="009841AB">
              <w:t xml:space="preserve"> par uzdevuma izpildei nepieciešamo finansējuma apjomu.</w:t>
            </w:r>
          </w:p>
          <w:p w14:paraId="4E69FB4A" w14:textId="77777777" w:rsidR="001272D9" w:rsidRPr="009841AB" w:rsidRDefault="001272D9" w:rsidP="001272D9">
            <w:pPr>
              <w:ind w:right="12"/>
              <w:jc w:val="both"/>
            </w:pPr>
            <w:r w:rsidRPr="009841AB">
              <w:t xml:space="preserve">-  Sadaļas “Nepieciešamā rīcība” 15.punkts noteic, ka ir jāveicina sabiedrības izglītošana par veselības un sociālo datu otrreizēju izmantošanu, kā arī genoma sekvencēšanu, to nozīmi un ieguvumiem indivīdiem un sabiedrībai kopumā. Savukārt sadaļā  “Uzdevumi” pretī šī pozīcija nav ietverta, līdz ar to nav norādīti ne ieviešanas sākuma un beigu termiņi, ne atbildīgās un līdzatbildīgās institūcijas, kā arī nav </w:t>
            </w:r>
            <w:proofErr w:type="spellStart"/>
            <w:r w:rsidRPr="009841AB">
              <w:t>izvērtējuma</w:t>
            </w:r>
            <w:proofErr w:type="spellEnd"/>
            <w:r w:rsidRPr="009841AB">
              <w:t xml:space="preserve"> par uzdevuma izpildei nepieciešamo finansējuma apjomu. </w:t>
            </w:r>
          </w:p>
          <w:p w14:paraId="52DA1F7F" w14:textId="77777777" w:rsidR="001272D9" w:rsidRPr="009841AB" w:rsidRDefault="001272D9" w:rsidP="001272D9">
            <w:pPr>
              <w:ind w:right="12"/>
              <w:jc w:val="both"/>
            </w:pPr>
            <w:r w:rsidRPr="009841AB">
              <w:t>- Sadaļas “Nepieciešamā rīcība” 17.punkts paredz “</w:t>
            </w:r>
            <w:proofErr w:type="spellStart"/>
            <w:r w:rsidRPr="009841AB">
              <w:t>MedTech</w:t>
            </w:r>
            <w:proofErr w:type="spellEnd"/>
            <w:r w:rsidRPr="009841AB">
              <w:t xml:space="preserve">” attīstības veicināšanu. Savukārt sadaļā  “Uzdevumi” pretī šī pozīcija nav ietverta, līdz ar to nav norādīti ne ieviešanas sākuma un beigu termiņi, ne atbildīgās un līdzatbildīgās institūcijas, kā arī nav </w:t>
            </w:r>
            <w:proofErr w:type="spellStart"/>
            <w:r w:rsidRPr="009841AB">
              <w:t>izvērtējuma</w:t>
            </w:r>
            <w:proofErr w:type="spellEnd"/>
            <w:r w:rsidRPr="009841AB">
              <w:t xml:space="preserve"> par uzdevuma izpildei nepieciešamo finansējuma apjomu.</w:t>
            </w:r>
          </w:p>
        </w:tc>
        <w:tc>
          <w:tcPr>
            <w:tcW w:w="2480" w:type="dxa"/>
            <w:tcBorders>
              <w:left w:val="single" w:sz="6" w:space="0" w:color="000000" w:themeColor="text1"/>
              <w:bottom w:val="single" w:sz="4" w:space="0" w:color="auto"/>
            </w:tcBorders>
            <w:shd w:val="clear" w:color="auto" w:fill="auto"/>
          </w:tcPr>
          <w:p w14:paraId="3281AC43" w14:textId="77777777" w:rsidR="008A2A01" w:rsidRDefault="008A2A01" w:rsidP="008A2A01">
            <w:pPr>
              <w:pStyle w:val="naisc"/>
              <w:jc w:val="both"/>
              <w:rPr>
                <w:b/>
                <w:bCs/>
              </w:rPr>
            </w:pPr>
            <w:r>
              <w:rPr>
                <w:b/>
                <w:bCs/>
              </w:rPr>
              <w:lastRenderedPageBreak/>
              <w:t>Panākta vienošanās</w:t>
            </w:r>
          </w:p>
          <w:p w14:paraId="69B6CC74" w14:textId="77777777" w:rsidR="001272D9" w:rsidRPr="009841AB" w:rsidRDefault="001272D9" w:rsidP="001272D9">
            <w:pPr>
              <w:pStyle w:val="naisc"/>
              <w:spacing w:before="0" w:after="0"/>
              <w:jc w:val="left"/>
            </w:pPr>
            <w:r w:rsidRPr="009841AB">
              <w:t xml:space="preserve">Digitālās transformācijas pamatnostādņu fokusējuma un apjoma </w:t>
            </w:r>
            <w:r w:rsidRPr="009841AB">
              <w:lastRenderedPageBreak/>
              <w:t xml:space="preserve">ierobežojuma dēļ tās nevar izvērst nozarēm specifisku risinājumu detalizētākam plānojumam. LDDK norādīto jautājumu detalizētāku plānojumu var izvērst nozarei specifiskos politikas plānošanas dokumentos. Piemēram, izvērtēt iespēju tos iekļaut pamatnostādnēs “Sabiedrības veselības pamatnostādnes 2021.-2027.gadam” vai rīcības plānošanas dokumentos, kas būs pakārtoti minētajām pamatnostādnēm. </w:t>
            </w:r>
          </w:p>
          <w:p w14:paraId="24CE719B" w14:textId="77777777" w:rsidR="001338CF" w:rsidRPr="009841AB" w:rsidRDefault="001338CF" w:rsidP="001272D9">
            <w:pPr>
              <w:pStyle w:val="naisc"/>
              <w:spacing w:before="0" w:after="0"/>
              <w:jc w:val="left"/>
            </w:pPr>
          </w:p>
          <w:p w14:paraId="1EE91DA1" w14:textId="77777777" w:rsidR="001338CF" w:rsidRPr="009841AB" w:rsidRDefault="001338CF" w:rsidP="001272D9">
            <w:pPr>
              <w:pStyle w:val="naisc"/>
              <w:spacing w:before="0" w:after="0"/>
              <w:jc w:val="left"/>
              <w:rPr>
                <w:highlight w:val="yellow"/>
              </w:rPr>
            </w:pPr>
            <w:r w:rsidRPr="009841AB">
              <w:t>4.4.6. sadaļas teksts būtiski koriģēts, t.sk. jau ievadā iekļaujot norādi par veselības nozares specifisko jautājumu attīstības plānošanas izvērsumu pamatnostādnēs “Sabiedrības veselības pamatnostādnes 2021.-2027. gadam”</w:t>
            </w:r>
          </w:p>
        </w:tc>
        <w:tc>
          <w:tcPr>
            <w:tcW w:w="3497" w:type="dxa"/>
            <w:tcBorders>
              <w:left w:val="single" w:sz="6" w:space="0" w:color="000000" w:themeColor="text1"/>
              <w:bottom w:val="single" w:sz="4" w:space="0" w:color="auto"/>
            </w:tcBorders>
            <w:shd w:val="clear" w:color="auto" w:fill="auto"/>
          </w:tcPr>
          <w:p w14:paraId="7022668D" w14:textId="77777777" w:rsidR="001272D9" w:rsidRPr="009841AB" w:rsidRDefault="001338CF" w:rsidP="002266EE">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4.4.6.</w:t>
            </w:r>
          </w:p>
        </w:tc>
      </w:tr>
      <w:tr w:rsidR="001272D9" w:rsidRPr="009841AB" w14:paraId="6787FF6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1EFD7F7" w14:textId="77777777" w:rsidR="001272D9" w:rsidRPr="009841AB" w:rsidRDefault="001272D9" w:rsidP="001272D9">
            <w:pPr>
              <w:pStyle w:val="naisc"/>
              <w:spacing w:before="0" w:after="0"/>
            </w:pPr>
            <w:r w:rsidRPr="009841AB">
              <w:lastRenderedPageBreak/>
              <w:t>2</w:t>
            </w:r>
            <w:r w:rsidR="006E48CE">
              <w:t>94</w:t>
            </w:r>
          </w:p>
        </w:tc>
        <w:tc>
          <w:tcPr>
            <w:tcW w:w="2427" w:type="dxa"/>
            <w:tcBorders>
              <w:left w:val="single" w:sz="6" w:space="0" w:color="000000" w:themeColor="text1"/>
              <w:bottom w:val="single" w:sz="4" w:space="0" w:color="auto"/>
            </w:tcBorders>
            <w:shd w:val="clear" w:color="auto" w:fill="auto"/>
          </w:tcPr>
          <w:p w14:paraId="393CDE32"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F24F83B" w14:textId="77777777" w:rsidR="001272D9" w:rsidRPr="009841AB" w:rsidRDefault="001272D9" w:rsidP="001272D9">
            <w:pPr>
              <w:ind w:right="12"/>
              <w:jc w:val="both"/>
            </w:pPr>
            <w:r w:rsidRPr="009841AB">
              <w:t>3.</w:t>
            </w:r>
            <w:r w:rsidRPr="009841AB">
              <w:tab/>
              <w:t xml:space="preserve">Attiecībā uz iepriekš minēto par rīcības virzienu “Sabiedrības sociālā labklājība un veselība” (4.4.6), LDDK  sniedz šādus priekšlikumus: </w:t>
            </w:r>
          </w:p>
          <w:p w14:paraId="7853E7FD" w14:textId="77777777" w:rsidR="001272D9" w:rsidRPr="009841AB" w:rsidRDefault="001272D9" w:rsidP="001272D9">
            <w:pPr>
              <w:ind w:right="12"/>
              <w:jc w:val="both"/>
            </w:pPr>
            <w:r w:rsidRPr="009841AB">
              <w:t xml:space="preserve">- Visām sadaļā “Nepieciešamā rīcība” minētajām pozīcijām sadaļā “Sagaidāmie rezultāti” un sadaļā  </w:t>
            </w:r>
            <w:r w:rsidRPr="009841AB">
              <w:lastRenderedPageBreak/>
              <w:t xml:space="preserve">“Uzdevumi” norādīt sagaidāmos rezultātus, veicamos uzdevumus un </w:t>
            </w:r>
            <w:proofErr w:type="spellStart"/>
            <w:r w:rsidRPr="009841AB">
              <w:t>izvērtējumu</w:t>
            </w:r>
            <w:proofErr w:type="spellEnd"/>
            <w:r w:rsidRPr="009841AB">
              <w:t xml:space="preserve"> par uzdevuma izpildei nepieciešamo finansējuma apjomu.</w:t>
            </w:r>
          </w:p>
          <w:p w14:paraId="45F7DF27" w14:textId="77777777" w:rsidR="001272D9" w:rsidRPr="009841AB" w:rsidRDefault="001272D9" w:rsidP="001272D9">
            <w:pPr>
              <w:ind w:right="12"/>
              <w:jc w:val="both"/>
            </w:pPr>
            <w:r w:rsidRPr="009841AB">
              <w:t>-  Projekta 3.pielikumā "Indikatīvais ietekmes novērtējums uz valsts un pašvaldību budžetiem" uzdevumu izpildei nepieciešamo finansējuma apjomu.</w:t>
            </w:r>
          </w:p>
        </w:tc>
        <w:tc>
          <w:tcPr>
            <w:tcW w:w="2480" w:type="dxa"/>
            <w:tcBorders>
              <w:left w:val="single" w:sz="6" w:space="0" w:color="000000" w:themeColor="text1"/>
              <w:bottom w:val="single" w:sz="4" w:space="0" w:color="auto"/>
            </w:tcBorders>
            <w:shd w:val="clear" w:color="auto" w:fill="auto"/>
          </w:tcPr>
          <w:p w14:paraId="272DCA8C" w14:textId="77777777" w:rsidR="008A2A01" w:rsidRDefault="008A2A01" w:rsidP="008A2A01">
            <w:pPr>
              <w:pStyle w:val="naisc"/>
              <w:jc w:val="both"/>
              <w:rPr>
                <w:b/>
                <w:bCs/>
              </w:rPr>
            </w:pPr>
            <w:r>
              <w:rPr>
                <w:b/>
                <w:bCs/>
              </w:rPr>
              <w:lastRenderedPageBreak/>
              <w:t>Panākta vienošanās</w:t>
            </w:r>
          </w:p>
          <w:p w14:paraId="084296DE" w14:textId="77777777" w:rsidR="001272D9" w:rsidRPr="009841AB" w:rsidRDefault="001272D9" w:rsidP="001272D9">
            <w:pPr>
              <w:pStyle w:val="naisc"/>
              <w:spacing w:before="0" w:after="0"/>
              <w:jc w:val="left"/>
            </w:pPr>
            <w:r w:rsidRPr="009841AB">
              <w:t xml:space="preserve">Digitālās transformācijas pamatnostādņu </w:t>
            </w:r>
            <w:r w:rsidRPr="009841AB">
              <w:lastRenderedPageBreak/>
              <w:t>fokusējuma un apjoma ierobežojuma dēļ tās nevar izvērst nozarēm specifisku risinājumu detalizētākam plānojumam. LDDK norādīto jautājumu detalizētāku plānojumu var izvērst nozarei specifiskos politikas plānošanas dokumentos. Piemēram, izvērtēt iespēju tos iekļaut pamatnostādnēs “Sabiedrības veselības pamatnostādnes 2021.-2027.gadam” vai rīcības plānošanas dokumentos, kas būs pakārtoti minētajām pamatnostādnēm.</w:t>
            </w:r>
          </w:p>
          <w:p w14:paraId="7DA27239" w14:textId="77777777" w:rsidR="000F041F" w:rsidRPr="009841AB" w:rsidRDefault="000F041F" w:rsidP="001272D9">
            <w:pPr>
              <w:pStyle w:val="naisc"/>
              <w:spacing w:before="0" w:after="0"/>
              <w:jc w:val="left"/>
            </w:pPr>
            <w:r w:rsidRPr="009841AB">
              <w:t>Lūdzam skatīt kontekstā ar iepriekšējo iebildumu.</w:t>
            </w:r>
          </w:p>
          <w:p w14:paraId="5C050205" w14:textId="77777777" w:rsidR="001272D9" w:rsidRPr="009841AB" w:rsidRDefault="001272D9" w:rsidP="001272D9">
            <w:pPr>
              <w:pStyle w:val="naisc"/>
              <w:spacing w:before="0" w:after="0"/>
              <w:jc w:val="left"/>
            </w:pPr>
          </w:p>
        </w:tc>
        <w:tc>
          <w:tcPr>
            <w:tcW w:w="3497" w:type="dxa"/>
            <w:tcBorders>
              <w:left w:val="single" w:sz="6" w:space="0" w:color="000000" w:themeColor="text1"/>
              <w:bottom w:val="single" w:sz="4" w:space="0" w:color="auto"/>
            </w:tcBorders>
            <w:shd w:val="clear" w:color="auto" w:fill="auto"/>
          </w:tcPr>
          <w:p w14:paraId="472B69D6" w14:textId="77777777" w:rsidR="001272D9" w:rsidRPr="009841AB" w:rsidRDefault="001272D9" w:rsidP="001272D9">
            <w:pPr>
              <w:pStyle w:val="naisc"/>
              <w:spacing w:before="0" w:after="0"/>
              <w:jc w:val="both"/>
            </w:pPr>
          </w:p>
        </w:tc>
      </w:tr>
      <w:tr w:rsidR="001272D9" w:rsidRPr="009841AB" w14:paraId="3715D9E7"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75EB36A" w14:textId="77777777" w:rsidR="001272D9" w:rsidRPr="009841AB" w:rsidRDefault="001272D9" w:rsidP="001272D9">
            <w:pPr>
              <w:jc w:val="both"/>
              <w:rPr>
                <w:b/>
                <w:bCs/>
              </w:rPr>
            </w:pPr>
            <w:r w:rsidRPr="009841AB">
              <w:rPr>
                <w:b/>
                <w:bCs/>
              </w:rPr>
              <w:t>Latvijas Informācijas un komunikācijas tehnoloģijas asociācijas 29.01.2021. atzinums:</w:t>
            </w:r>
          </w:p>
        </w:tc>
      </w:tr>
      <w:tr w:rsidR="001272D9" w:rsidRPr="009841AB" w14:paraId="2DB90C7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C553813" w14:textId="77777777" w:rsidR="001272D9" w:rsidRPr="009841AB" w:rsidRDefault="001272D9" w:rsidP="001272D9">
            <w:pPr>
              <w:pStyle w:val="naisc"/>
              <w:spacing w:before="0" w:after="0"/>
            </w:pPr>
            <w:r w:rsidRPr="009841AB">
              <w:t>2</w:t>
            </w:r>
            <w:r w:rsidR="001215B3">
              <w:t>95</w:t>
            </w:r>
          </w:p>
        </w:tc>
        <w:tc>
          <w:tcPr>
            <w:tcW w:w="2427" w:type="dxa"/>
            <w:tcBorders>
              <w:left w:val="single" w:sz="6" w:space="0" w:color="000000" w:themeColor="text1"/>
              <w:bottom w:val="single" w:sz="4" w:space="0" w:color="auto"/>
            </w:tcBorders>
            <w:shd w:val="clear" w:color="auto" w:fill="auto"/>
          </w:tcPr>
          <w:p w14:paraId="4C5523D8"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94CE15E" w14:textId="77777777" w:rsidR="001272D9" w:rsidRPr="009841AB" w:rsidRDefault="001272D9" w:rsidP="001272D9">
            <w:pPr>
              <w:ind w:right="12"/>
              <w:jc w:val="both"/>
            </w:pPr>
            <w:r w:rsidRPr="009841AB">
              <w:t xml:space="preserve">1. Ierosinām izteikt “4.4.1. Rīcības virziens: Pakalpojumu platformas” sadaļas sekojoši: </w:t>
            </w:r>
          </w:p>
          <w:p w14:paraId="156ED36E" w14:textId="77777777" w:rsidR="001272D9" w:rsidRPr="009841AB" w:rsidRDefault="001272D9" w:rsidP="001272D9">
            <w:pPr>
              <w:ind w:right="12"/>
              <w:jc w:val="both"/>
            </w:pPr>
            <w:r w:rsidRPr="009841AB">
              <w:t>a.</w:t>
            </w:r>
            <w:r w:rsidRPr="009841AB">
              <w:tab/>
              <w:t xml:space="preserve">“Attīstītu valsts digitālo platformu pamatprincipi:” 1. apakšpunktu šādā redakcijā: </w:t>
            </w:r>
          </w:p>
          <w:p w14:paraId="57B1D53D" w14:textId="77777777" w:rsidR="001272D9" w:rsidRPr="009841AB" w:rsidRDefault="001272D9" w:rsidP="001272D9">
            <w:pPr>
              <w:ind w:right="12"/>
              <w:jc w:val="both"/>
            </w:pPr>
            <w:r w:rsidRPr="009841AB">
              <w:t xml:space="preserve">“1. Digitālās transformācijas un inovāciju prasmes - </w:t>
            </w:r>
            <w:r w:rsidRPr="009841AB">
              <w:rPr>
                <w:u w:val="single"/>
              </w:rPr>
              <w:t xml:space="preserve">Prasmīgi un zinoši valsts pārvaldes darbinieki un komersanti platformu attīstībā, atvēršanā un inovatīvu sadarbības un pakalpojumu modeļu attīstībā, kur valsts </w:t>
            </w:r>
            <w:r w:rsidRPr="009841AB">
              <w:rPr>
                <w:u w:val="single"/>
              </w:rPr>
              <w:lastRenderedPageBreak/>
              <w:t>pārvalde fokusējas uz augstas kvalitātes valsts digitālā pakalpojuma sniegšanu, maksimāli izmantojot komersantu sniegtos pakalpojumus tehnoloģisko risinājumu nodrošināšanā, minimizējot valsts tehnoloģiskās kapacitātes attīstīšanu, vai virzot to tikai tirgus nepilnību terminētai</w:t>
            </w:r>
            <w:r w:rsidRPr="009841AB">
              <w:t xml:space="preserve"> novēršanai.”</w:t>
            </w:r>
          </w:p>
          <w:p w14:paraId="5C4E5A6D" w14:textId="77777777" w:rsidR="001272D9" w:rsidRPr="009841AB" w:rsidRDefault="001272D9" w:rsidP="001272D9">
            <w:pPr>
              <w:ind w:right="12"/>
              <w:jc w:val="both"/>
            </w:pPr>
            <w:r w:rsidRPr="009841AB">
              <w:t>b.</w:t>
            </w:r>
            <w:r w:rsidRPr="009841AB">
              <w:tab/>
              <w:t>“Privātā sektora platformas publisku funkciju īstenošanā – attīstās vietējo platformu ekosistēma” papildināt ar šādu teikumu: “Tomēr šai segmentā ir liels neizmantots potenciāls gan elektronisko rēķinu aprites nodrošināšanā, gan vērtējot iespēju izmantot sadalītās virsgrāmatas decentralizētās uzskaites (</w:t>
            </w:r>
            <w:proofErr w:type="spellStart"/>
            <w:r w:rsidRPr="009841AB">
              <w:t>blokķēžu</w:t>
            </w:r>
            <w:proofErr w:type="spellEnd"/>
            <w:r w:rsidRPr="009841AB">
              <w:t>) tehnoloģijas.”</w:t>
            </w:r>
          </w:p>
          <w:p w14:paraId="44EFFC90" w14:textId="77777777" w:rsidR="001272D9" w:rsidRPr="009841AB" w:rsidRDefault="001272D9" w:rsidP="001272D9">
            <w:pPr>
              <w:ind w:right="12"/>
              <w:jc w:val="both"/>
            </w:pPr>
            <w:r w:rsidRPr="009841AB">
              <w:t>c.</w:t>
            </w:r>
            <w:r w:rsidRPr="009841AB">
              <w:tab/>
              <w:t>“Nepieciešamā rīcība” 8. apakšpunktu izteikt sekojošā redakcijā: “8. Jāparedz atbalsts komersantiem jaunu produktu un pakalpojumu attīstībai izmantojot (arī) pārvaldes digitālās platformas, integrējot tās ar esošiem biznesa risinājumiem (t.sk., elektronisko rēķinu apstrāde), kā arī radot priekšnoteikumus jaunu tehnoloģiju, t.sk., sadalītās virsgrāmatas decentralizētās uzskaites (</w:t>
            </w:r>
            <w:proofErr w:type="spellStart"/>
            <w:r w:rsidRPr="009841AB">
              <w:t>blokķēžu</w:t>
            </w:r>
            <w:proofErr w:type="spellEnd"/>
            <w:r w:rsidRPr="009841AB">
              <w:t>), ienākšanai apritē starp valsts pārvaldi un komersantiem.”</w:t>
            </w:r>
          </w:p>
          <w:p w14:paraId="45B8E88B" w14:textId="77777777" w:rsidR="001272D9" w:rsidRPr="009841AB" w:rsidRDefault="001272D9" w:rsidP="001272D9">
            <w:pPr>
              <w:ind w:right="12"/>
              <w:jc w:val="both"/>
            </w:pPr>
            <w:r w:rsidRPr="009841AB">
              <w:t>d.</w:t>
            </w:r>
            <w:r w:rsidRPr="009841AB">
              <w:tab/>
              <w:t xml:space="preserve">“Sagaidāmie rezultāti” 4. punktu izteikt šādā redakcijā: “4. No 2021.gada izveidots atbalsta mehānisms komersantiem, kas paredzētu finansējuma iespējas integrācijai ar valsts platformām; veikti vismaz trīs nacionāla mēroga pilotprojekti </w:t>
            </w:r>
            <w:proofErr w:type="spellStart"/>
            <w:r w:rsidRPr="009841AB">
              <w:t>komercsistēmu</w:t>
            </w:r>
            <w:proofErr w:type="spellEnd"/>
            <w:r w:rsidRPr="009841AB">
              <w:t xml:space="preserve"> integrācijai valsts vai pašvaldību pārvaldes funkciju realizācijā”</w:t>
            </w:r>
          </w:p>
        </w:tc>
        <w:tc>
          <w:tcPr>
            <w:tcW w:w="2480" w:type="dxa"/>
            <w:tcBorders>
              <w:left w:val="single" w:sz="6" w:space="0" w:color="000000" w:themeColor="text1"/>
              <w:bottom w:val="single" w:sz="4" w:space="0" w:color="auto"/>
            </w:tcBorders>
            <w:shd w:val="clear" w:color="auto" w:fill="auto"/>
          </w:tcPr>
          <w:p w14:paraId="6822EB2A" w14:textId="77777777" w:rsidR="008A2A01" w:rsidRDefault="008A2A01" w:rsidP="008A2A01">
            <w:pPr>
              <w:pStyle w:val="naisc"/>
              <w:jc w:val="both"/>
              <w:rPr>
                <w:b/>
                <w:bCs/>
              </w:rPr>
            </w:pPr>
            <w:r>
              <w:rPr>
                <w:b/>
                <w:bCs/>
              </w:rPr>
              <w:lastRenderedPageBreak/>
              <w:t>Panākta vienošanās</w:t>
            </w:r>
          </w:p>
          <w:p w14:paraId="50358C30" w14:textId="77777777" w:rsidR="0097455A" w:rsidRPr="009841AB" w:rsidRDefault="0097455A" w:rsidP="001272D9">
            <w:pPr>
              <w:pStyle w:val="naisc"/>
              <w:spacing w:before="0" w:after="0"/>
              <w:jc w:val="left"/>
            </w:pPr>
            <w:r w:rsidRPr="009841AB">
              <w:t xml:space="preserve">4.4.1. sadaļa papildināta ar papildus principu "Valsts kā prasmīgs pasūtītājs un tirgus neatbilstību kompensētājs", rīcības </w:t>
            </w:r>
            <w:r w:rsidRPr="009841AB">
              <w:lastRenderedPageBreak/>
              <w:t>virziens ar jaunu rīcības virzienu (8)</w:t>
            </w:r>
          </w:p>
          <w:p w14:paraId="314FF6B7" w14:textId="77777777" w:rsidR="00D63526" w:rsidRPr="009841AB" w:rsidRDefault="00D63526" w:rsidP="001272D9">
            <w:pPr>
              <w:pStyle w:val="naisc"/>
              <w:spacing w:before="0" w:after="0"/>
              <w:jc w:val="left"/>
            </w:pPr>
          </w:p>
          <w:p w14:paraId="63B885D2" w14:textId="77777777" w:rsidR="00D63526" w:rsidRPr="009841AB" w:rsidRDefault="00D63526" w:rsidP="001272D9">
            <w:pPr>
              <w:pStyle w:val="naisc"/>
              <w:spacing w:before="0" w:after="0"/>
              <w:jc w:val="left"/>
            </w:pPr>
            <w:r w:rsidRPr="009841AB">
              <w:t>c) precizējumi iestrādāti 4.4.1. sadaļā vispārīgā formā, nenorādot uz konkrētu procesu vai tehnoloģiju specifiskiem lietojumiem, jo šāda detalizācijas neatbilst pamatnostādņu formai.</w:t>
            </w:r>
          </w:p>
          <w:p w14:paraId="38F2C419" w14:textId="77777777" w:rsidR="00D63526" w:rsidRPr="009841AB" w:rsidRDefault="00D63526" w:rsidP="001272D9">
            <w:pPr>
              <w:pStyle w:val="naisc"/>
              <w:spacing w:before="0" w:after="0"/>
              <w:jc w:val="left"/>
            </w:pPr>
          </w:p>
          <w:p w14:paraId="5459C1C1" w14:textId="77777777" w:rsidR="00D63526" w:rsidRPr="009841AB" w:rsidRDefault="00D63526" w:rsidP="001272D9">
            <w:pPr>
              <w:pStyle w:val="naisc"/>
              <w:spacing w:before="0" w:after="0"/>
              <w:jc w:val="left"/>
              <w:rPr>
                <w:b/>
                <w:bCs/>
              </w:rPr>
            </w:pPr>
            <w:r w:rsidRPr="009841AB">
              <w:t xml:space="preserve">d) Punkts precizēts, tomēr uzdevums paredz publiskā sektora rīcību atverot publiskā sektora platformas. Pamatnostādnes neparedz uzdevumu izmantot </w:t>
            </w:r>
            <w:proofErr w:type="spellStart"/>
            <w:r w:rsidRPr="009841AB">
              <w:t>komercproduktus</w:t>
            </w:r>
            <w:proofErr w:type="spellEnd"/>
            <w:r w:rsidRPr="009841AB">
              <w:t xml:space="preserve"> noteiktu procesu nodrošināšanai, bet iezīmē to kā izvērtējamu scenāriju. Attiecīgi 4.4.1. sadaļa papildināts ar 6. principu un Nepieciešamā rīcība ar 8. punktu.</w:t>
            </w:r>
          </w:p>
        </w:tc>
        <w:tc>
          <w:tcPr>
            <w:tcW w:w="3497" w:type="dxa"/>
            <w:tcBorders>
              <w:left w:val="single" w:sz="6" w:space="0" w:color="000000" w:themeColor="text1"/>
              <w:bottom w:val="single" w:sz="4" w:space="0" w:color="auto"/>
            </w:tcBorders>
            <w:shd w:val="clear" w:color="auto" w:fill="auto"/>
          </w:tcPr>
          <w:p w14:paraId="126AFEAE" w14:textId="77777777" w:rsidR="001272D9" w:rsidRPr="009841AB" w:rsidRDefault="002266EE" w:rsidP="001272D9">
            <w:pPr>
              <w:pStyle w:val="naisc"/>
              <w:spacing w:before="0" w:after="0"/>
              <w:jc w:val="both"/>
            </w:pPr>
            <w:r w:rsidRPr="009841AB">
              <w:lastRenderedPageBreak/>
              <w:t xml:space="preserve">Lūdzam skatīt </w:t>
            </w:r>
            <w:proofErr w:type="spellStart"/>
            <w:r w:rsidRPr="009841AB">
              <w:t>apakšsadaļu</w:t>
            </w:r>
            <w:proofErr w:type="spellEnd"/>
            <w:r w:rsidRPr="009841AB">
              <w:t xml:space="preserve"> 4.4.1.</w:t>
            </w:r>
          </w:p>
        </w:tc>
      </w:tr>
      <w:tr w:rsidR="001272D9" w:rsidRPr="009841AB" w14:paraId="0405BB7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F1FEE00" w14:textId="77777777" w:rsidR="001272D9" w:rsidRPr="009841AB" w:rsidRDefault="001272D9" w:rsidP="001272D9">
            <w:pPr>
              <w:pStyle w:val="naisc"/>
              <w:spacing w:before="0" w:after="0"/>
            </w:pPr>
            <w:r w:rsidRPr="009841AB">
              <w:t>2</w:t>
            </w:r>
            <w:r w:rsidR="001215B3">
              <w:t>96</w:t>
            </w:r>
          </w:p>
        </w:tc>
        <w:tc>
          <w:tcPr>
            <w:tcW w:w="2427" w:type="dxa"/>
            <w:tcBorders>
              <w:left w:val="single" w:sz="6" w:space="0" w:color="000000" w:themeColor="text1"/>
              <w:bottom w:val="single" w:sz="4" w:space="0" w:color="auto"/>
            </w:tcBorders>
            <w:shd w:val="clear" w:color="auto" w:fill="auto"/>
          </w:tcPr>
          <w:p w14:paraId="76FA3563"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7DF0A6D" w14:textId="77777777" w:rsidR="001272D9" w:rsidRPr="009841AB" w:rsidRDefault="001272D9" w:rsidP="001272D9">
            <w:pPr>
              <w:ind w:right="12"/>
              <w:jc w:val="both"/>
            </w:pPr>
            <w:r w:rsidRPr="009841AB">
              <w:t xml:space="preserve">2. “4.4.3.2. Rīcības </w:t>
            </w:r>
            <w:proofErr w:type="spellStart"/>
            <w:r w:rsidRPr="009841AB">
              <w:t>apakšvirziens</w:t>
            </w:r>
            <w:proofErr w:type="spellEnd"/>
            <w:r w:rsidRPr="009841AB">
              <w:t xml:space="preserve">: Finanšu dokumentu </w:t>
            </w:r>
            <w:proofErr w:type="spellStart"/>
            <w:r w:rsidRPr="009841AB">
              <w:t>maiņvieta</w:t>
            </w:r>
            <w:proofErr w:type="spellEnd"/>
            <w:r w:rsidRPr="009841AB">
              <w:t>” piedāvājam veikt šādus labojumus:</w:t>
            </w:r>
          </w:p>
          <w:p w14:paraId="429FF45A" w14:textId="77777777" w:rsidR="001272D9" w:rsidRPr="009841AB" w:rsidRDefault="001272D9" w:rsidP="001272D9">
            <w:pPr>
              <w:ind w:right="12"/>
              <w:jc w:val="both"/>
            </w:pPr>
            <w:r w:rsidRPr="009841AB">
              <w:lastRenderedPageBreak/>
              <w:t>a.</w:t>
            </w:r>
            <w:r w:rsidRPr="009841AB">
              <w:tab/>
              <w:t>Sadaļā “Esošās situācijas apraksts” numurēto rindkopu uzskaitījumu aiz vārdiem “Vairāki soļi šai virzienā ir sperti:” papildināt ar sekojošu numurētu rindkopu: “Kopš 2020. gada būvniecības procesa virzība notiek tikai elektroniski Būvniecības informācijas sistēmā (BIS)”;</w:t>
            </w:r>
          </w:p>
          <w:p w14:paraId="0D6E0B2C" w14:textId="77777777" w:rsidR="001272D9" w:rsidRPr="009841AB" w:rsidRDefault="001272D9" w:rsidP="001272D9">
            <w:pPr>
              <w:ind w:right="12"/>
              <w:jc w:val="both"/>
            </w:pPr>
            <w:r w:rsidRPr="009841AB">
              <w:t>b.</w:t>
            </w:r>
            <w:r w:rsidRPr="009841AB">
              <w:tab/>
              <w:t>Sadaļā “Nepieciešamā rīcība” 2. rindkopas 1. teikumu izteikt šādā redakcijā: “Brīvprātīgas izvēles iespēju risinājuma ieviešanas gadījumā nodokļu maksātājiem ir jāpiedāvā valsts (t.sk. nodokļu administrācijas) vai konkursa kārtībā izvēlēti komersantu pakalpojumi, kuri motivētu nodokļu maksātājus iesaistīties elektronisku dokumentu aprites sistēmā, vienlaikus pieļaujot VID izmantot elektroniskos rēķinus un citus dokumentus nodokļu administrēšanas vajadzībām.”;</w:t>
            </w:r>
          </w:p>
          <w:p w14:paraId="51AF4EBB" w14:textId="77777777" w:rsidR="001272D9" w:rsidRPr="009841AB" w:rsidRDefault="001272D9" w:rsidP="001272D9">
            <w:pPr>
              <w:ind w:right="12"/>
              <w:jc w:val="both"/>
            </w:pPr>
            <w:r w:rsidRPr="009841AB">
              <w:t>c.</w:t>
            </w:r>
            <w:r w:rsidRPr="009841AB">
              <w:tab/>
              <w:t>Sadaļā “Nepieciešamā rīcība” 3. rindkopu papildināt ar teikumu: “Tai pat laikā kā bāze jāizmanto pozitīvā elektroniskā procesa lietošanas pieredze nodokļu administrēšanā (VID) un būvniecības procesa administrēšanā (BVKB).”</w:t>
            </w:r>
          </w:p>
        </w:tc>
        <w:tc>
          <w:tcPr>
            <w:tcW w:w="2480" w:type="dxa"/>
            <w:tcBorders>
              <w:left w:val="single" w:sz="6" w:space="0" w:color="000000" w:themeColor="text1"/>
              <w:bottom w:val="single" w:sz="4" w:space="0" w:color="auto"/>
            </w:tcBorders>
            <w:shd w:val="clear" w:color="auto" w:fill="auto"/>
          </w:tcPr>
          <w:p w14:paraId="2D7A0A8F" w14:textId="77777777" w:rsidR="008A2A01" w:rsidRDefault="008A2A01" w:rsidP="008A2A01">
            <w:pPr>
              <w:pStyle w:val="naisc"/>
              <w:jc w:val="both"/>
              <w:rPr>
                <w:b/>
                <w:bCs/>
              </w:rPr>
            </w:pPr>
            <w:r>
              <w:rPr>
                <w:b/>
                <w:bCs/>
              </w:rPr>
              <w:lastRenderedPageBreak/>
              <w:t>Panākta vienošanās</w:t>
            </w:r>
          </w:p>
          <w:p w14:paraId="4D6C3B2B" w14:textId="1EA4A5D1" w:rsidR="001272D9" w:rsidRPr="009841AB" w:rsidRDefault="001272D9" w:rsidP="001272D9">
            <w:pPr>
              <w:pStyle w:val="naisc"/>
              <w:spacing w:before="0" w:after="0"/>
              <w:jc w:val="left"/>
              <w:rPr>
                <w:b/>
              </w:rPr>
            </w:pPr>
          </w:p>
        </w:tc>
        <w:tc>
          <w:tcPr>
            <w:tcW w:w="3497" w:type="dxa"/>
            <w:tcBorders>
              <w:left w:val="single" w:sz="6" w:space="0" w:color="000000" w:themeColor="text1"/>
              <w:bottom w:val="single" w:sz="4" w:space="0" w:color="auto"/>
            </w:tcBorders>
            <w:shd w:val="clear" w:color="auto" w:fill="auto"/>
          </w:tcPr>
          <w:p w14:paraId="4C26B54A" w14:textId="77777777" w:rsidR="001272D9" w:rsidRPr="009841AB" w:rsidRDefault="00F6272B" w:rsidP="001272D9">
            <w:pPr>
              <w:pStyle w:val="naisc"/>
              <w:spacing w:before="0" w:after="0"/>
              <w:jc w:val="both"/>
            </w:pPr>
            <w:r w:rsidRPr="009841AB">
              <w:t>“</w:t>
            </w:r>
            <w:r w:rsidR="001272D9" w:rsidRPr="009841AB">
              <w:t xml:space="preserve">Kopš 2020. gada būvniecības procesa virzība notiek tikai elektroniski Būvniecības </w:t>
            </w:r>
            <w:r w:rsidR="001272D9" w:rsidRPr="009841AB">
              <w:lastRenderedPageBreak/>
              <w:t>informācijas sistēmā (BIS). Brīvprātīgas izvēles iespēju risinājuma ieviešanas gadījumā nodokļu maksātājiem ir jāpiedāvā valsts (t.sk. VID) vai konkursa kārtībā izvēlēti komersantu pakalpojumi, kuri motivētu nodokļu maksātājus iesaistīties elektronisku dokumentu aprites sistēmā, vienlaikus pieļaujot VID izmantot elektroniskos rēķinus un citus dokumentus nodokļu administrēšanas vajadzībām. Aprite var notikt gan centralizēti, caur vienotu risinājumu, gan decentralizēti caur vairākiem aprites pakalpojumu sniedzējiem. Tai pat laikā kā bāze jāizmanto pozitīvā elektroniskā procesa lietošanas pieredze nodokļu administrēšanā (VID) un būvniecības procesa administrēšanā (BVKB).</w:t>
            </w:r>
            <w:r w:rsidRPr="009841AB">
              <w:t>”</w:t>
            </w:r>
          </w:p>
        </w:tc>
      </w:tr>
      <w:tr w:rsidR="001272D9" w:rsidRPr="009841AB" w14:paraId="12595FD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AF58710" w14:textId="77777777" w:rsidR="001272D9" w:rsidRPr="009841AB" w:rsidRDefault="001272D9" w:rsidP="001272D9">
            <w:pPr>
              <w:pStyle w:val="naisc"/>
              <w:spacing w:before="0" w:after="0"/>
            </w:pPr>
            <w:r w:rsidRPr="009841AB">
              <w:t>2</w:t>
            </w:r>
            <w:r w:rsidR="001215B3">
              <w:t>97</w:t>
            </w:r>
          </w:p>
        </w:tc>
        <w:tc>
          <w:tcPr>
            <w:tcW w:w="2427" w:type="dxa"/>
            <w:tcBorders>
              <w:left w:val="single" w:sz="6" w:space="0" w:color="000000" w:themeColor="text1"/>
              <w:bottom w:val="single" w:sz="4" w:space="0" w:color="auto"/>
            </w:tcBorders>
            <w:shd w:val="clear" w:color="auto" w:fill="auto"/>
          </w:tcPr>
          <w:p w14:paraId="684B71E9"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15DF6A6" w14:textId="77777777" w:rsidR="001272D9" w:rsidRPr="009841AB" w:rsidRDefault="001272D9" w:rsidP="001272D9">
            <w:pPr>
              <w:ind w:right="12"/>
              <w:jc w:val="both"/>
            </w:pPr>
            <w:r w:rsidRPr="009841AB">
              <w:t xml:space="preserve">3. “4.4.10.2. Rīcības </w:t>
            </w:r>
            <w:proofErr w:type="spellStart"/>
            <w:r w:rsidRPr="009841AB">
              <w:t>apakšvirziens</w:t>
            </w:r>
            <w:proofErr w:type="spellEnd"/>
            <w:r w:rsidRPr="009841AB">
              <w:t>: Informācijas sistēmas (IS)” piedāvājam veikt šādus papildinājumus:</w:t>
            </w:r>
          </w:p>
          <w:p w14:paraId="7CCC1392" w14:textId="77777777" w:rsidR="001272D9" w:rsidRPr="009841AB" w:rsidRDefault="001272D9" w:rsidP="001272D9">
            <w:pPr>
              <w:ind w:right="12"/>
              <w:jc w:val="both"/>
            </w:pPr>
            <w:r w:rsidRPr="009841AB">
              <w:t>a.</w:t>
            </w:r>
            <w:r w:rsidRPr="009841AB">
              <w:tab/>
              <w:t xml:space="preserve">Sadaļā “Nepaciešamā rīcība” 1. rindkopas 3. teikumu izteikt sekojošā redakcijā: “Arī šajos gadījumos, lai izvairītos no nepamatotas funkcionalitātes dublēšanas, risinājumu plānošanas fāzē ir jāizvērtē iespējas izmantot attiecīgajai jomai pieejamos un potenciāli koplietojamos vai atkārtoti izmantojamos risinājumus Latvijas valsts pārvaldē, privātajā sektorā, un arī  Eiropas Savienībā (EK </w:t>
            </w:r>
            <w:proofErr w:type="spellStart"/>
            <w:r w:rsidRPr="009841AB">
              <w:t>Joinup</w:t>
            </w:r>
            <w:proofErr w:type="spellEnd"/>
            <w:r w:rsidRPr="009841AB">
              <w:t xml:space="preserve"> repozitorijā un konsultējoties ar VARAM).”</w:t>
            </w:r>
          </w:p>
        </w:tc>
        <w:tc>
          <w:tcPr>
            <w:tcW w:w="2480" w:type="dxa"/>
            <w:tcBorders>
              <w:left w:val="single" w:sz="6" w:space="0" w:color="000000" w:themeColor="text1"/>
              <w:bottom w:val="single" w:sz="4" w:space="0" w:color="auto"/>
            </w:tcBorders>
            <w:shd w:val="clear" w:color="auto" w:fill="auto"/>
          </w:tcPr>
          <w:p w14:paraId="3C17BD01" w14:textId="77777777" w:rsidR="001272D9" w:rsidRPr="009841AB" w:rsidRDefault="001272D9" w:rsidP="001272D9">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75BA97AB" w14:textId="77777777" w:rsidR="001272D9" w:rsidRPr="009841AB" w:rsidRDefault="000F13A3" w:rsidP="001272D9">
            <w:pPr>
              <w:pStyle w:val="naisc"/>
              <w:spacing w:before="0" w:after="0"/>
              <w:jc w:val="both"/>
            </w:pPr>
            <w:r w:rsidRPr="009841AB">
              <w:t xml:space="preserve">Lūdzam skatīt </w:t>
            </w:r>
            <w:proofErr w:type="spellStart"/>
            <w:r w:rsidRPr="009841AB">
              <w:t>apakšsadaļu</w:t>
            </w:r>
            <w:proofErr w:type="spellEnd"/>
            <w:r w:rsidRPr="009841AB">
              <w:t xml:space="preserve"> </w:t>
            </w:r>
            <w:r w:rsidR="001272D9" w:rsidRPr="009841AB">
              <w:t xml:space="preserve">4.4.10.2. </w:t>
            </w:r>
          </w:p>
        </w:tc>
      </w:tr>
      <w:tr w:rsidR="001272D9" w:rsidRPr="009841AB" w14:paraId="75E1651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9BE004A" w14:textId="77777777" w:rsidR="001272D9" w:rsidRPr="009841AB" w:rsidRDefault="001272D9" w:rsidP="001272D9">
            <w:pPr>
              <w:pStyle w:val="naisc"/>
              <w:spacing w:before="0" w:after="0"/>
            </w:pPr>
            <w:r w:rsidRPr="009841AB">
              <w:lastRenderedPageBreak/>
              <w:t>2</w:t>
            </w:r>
            <w:r w:rsidR="001215B3">
              <w:t>98</w:t>
            </w:r>
          </w:p>
        </w:tc>
        <w:tc>
          <w:tcPr>
            <w:tcW w:w="2427" w:type="dxa"/>
            <w:tcBorders>
              <w:left w:val="single" w:sz="6" w:space="0" w:color="000000" w:themeColor="text1"/>
              <w:bottom w:val="single" w:sz="4" w:space="0" w:color="auto"/>
            </w:tcBorders>
            <w:shd w:val="clear" w:color="auto" w:fill="auto"/>
          </w:tcPr>
          <w:p w14:paraId="591DDA2B"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94781CE" w14:textId="77777777" w:rsidR="001272D9" w:rsidRPr="009841AB" w:rsidRDefault="001272D9" w:rsidP="001272D9">
            <w:pPr>
              <w:ind w:right="12"/>
              <w:jc w:val="both"/>
            </w:pPr>
            <w:r w:rsidRPr="009841AB">
              <w:t xml:space="preserve">4. “4.4.10.3. Rīcības </w:t>
            </w:r>
            <w:proofErr w:type="spellStart"/>
            <w:r w:rsidRPr="009841AB">
              <w:t>apakšvirziens</w:t>
            </w:r>
            <w:proofErr w:type="spellEnd"/>
            <w:r w:rsidRPr="009841AB">
              <w:t>: Infrastruktūra” piedāvājam veikt šādus papildinājumus:</w:t>
            </w:r>
          </w:p>
          <w:p w14:paraId="774BA209" w14:textId="77777777" w:rsidR="001272D9" w:rsidRPr="009841AB" w:rsidRDefault="001272D9" w:rsidP="001272D9">
            <w:pPr>
              <w:ind w:right="12"/>
              <w:jc w:val="both"/>
            </w:pPr>
            <w:r w:rsidRPr="009841AB">
              <w:t>a.</w:t>
            </w:r>
            <w:r w:rsidRPr="009841AB">
              <w:tab/>
              <w:t xml:space="preserve">Sadaļā “Nepieciešamā rīcība” 2. rindkopā 1. teikumu izteikt sekojošā redakcijā: “Lai panāktu straujākus skaitļošanas infrastruktūras sniedzēju pakalpojumu kvalitātes,  </w:t>
            </w:r>
            <w:proofErr w:type="spellStart"/>
            <w:r w:rsidRPr="009841AB">
              <w:t>sadarbspējas</w:t>
            </w:r>
            <w:proofErr w:type="spellEnd"/>
            <w:r w:rsidRPr="009841AB">
              <w:t xml:space="preserve"> un resursu konsolidācijas uzlabojumus, kā arī nodrošinātu valsts pārvaldes koplietošanas pakalpojumu </w:t>
            </w:r>
            <w:proofErr w:type="spellStart"/>
            <w:r w:rsidRPr="009841AB">
              <w:t>papildināmību</w:t>
            </w:r>
            <w:proofErr w:type="spellEnd"/>
            <w:r w:rsidRPr="009841AB">
              <w:t xml:space="preserve"> ar akadēmisko institūciju, vietējo komersantu un ES topošās </w:t>
            </w:r>
            <w:proofErr w:type="spellStart"/>
            <w:r w:rsidRPr="009841AB">
              <w:t>mākoņdatošanas</w:t>
            </w:r>
            <w:proofErr w:type="spellEnd"/>
            <w:r w:rsidRPr="009841AB">
              <w:t xml:space="preserve"> federācijas pakalpojumiem, ir izvērtējama iespēja konkursa kārtībā attīstīt skaitļošanas  infrastruktūras pakalpojumu sagādes vidutāju, jeb brokeri, kam būtu potenciāls kļūt par Latvijas nacionālā “</w:t>
            </w:r>
            <w:proofErr w:type="spellStart"/>
            <w:r w:rsidRPr="009841AB">
              <w:t>supermākoņa</w:t>
            </w:r>
            <w:proofErr w:type="spellEnd"/>
            <w:r w:rsidRPr="009841AB">
              <w:t xml:space="preserve">” resursu piekļuves funkcionālo vārteju, vienlaicīgi nodrošinot Latvijas nacionālo resursu sasaisti ar ES topošās </w:t>
            </w:r>
            <w:proofErr w:type="spellStart"/>
            <w:r w:rsidRPr="009841AB">
              <w:t>mākoņdatošanas</w:t>
            </w:r>
            <w:proofErr w:type="spellEnd"/>
            <w:r w:rsidRPr="009841AB">
              <w:t xml:space="preserve"> federācijas pakalpojumiem un topošo EU </w:t>
            </w:r>
            <w:proofErr w:type="spellStart"/>
            <w:r w:rsidRPr="009841AB">
              <w:t>Supercloud</w:t>
            </w:r>
            <w:proofErr w:type="spellEnd"/>
            <w:r w:rsidRPr="009841AB">
              <w:t xml:space="preserve"> resursu kopu.”, un </w:t>
            </w:r>
          </w:p>
          <w:p w14:paraId="2B942A2F" w14:textId="77777777" w:rsidR="001272D9" w:rsidRPr="009841AB" w:rsidRDefault="001272D9" w:rsidP="001272D9">
            <w:pPr>
              <w:ind w:right="12"/>
              <w:jc w:val="both"/>
            </w:pPr>
            <w:r w:rsidRPr="009841AB">
              <w:t>b.</w:t>
            </w:r>
            <w:r w:rsidRPr="009841AB">
              <w:tab/>
              <w:t>Aiz 4. rindkopas pievienot jaunu rindkopu sekojošā redakcijā: “Lai nodrošinātu pēc iespējas efektīvu datu pārraides infrastruktūras un datorizēto darba vietu pārvaldību, šīs darbības maksimāli jācentralizē, cenšoties maksimizēt viena speciālista apkalpojamu iekārtu skaitu, kā arī maksimāli izmantojot ārpakalpojumus zemākas pievienotās vērtības darbību veikšanai.”;</w:t>
            </w:r>
          </w:p>
          <w:p w14:paraId="6E230ABD" w14:textId="77777777" w:rsidR="001272D9" w:rsidRPr="009841AB" w:rsidRDefault="001272D9" w:rsidP="001272D9">
            <w:pPr>
              <w:ind w:right="12"/>
              <w:jc w:val="both"/>
            </w:pPr>
            <w:r w:rsidRPr="009841AB">
              <w:t>c.</w:t>
            </w:r>
            <w:r w:rsidRPr="009841AB">
              <w:tab/>
              <w:t>Sadaļu “Sagaidāmie rezultāti” papildināt ar vēl vienu punktu: “Maksimizēts viena speciālista apkalpoto datortehnikas un sakaru tehnikas vienību skaits”;</w:t>
            </w:r>
          </w:p>
          <w:p w14:paraId="515FE14E" w14:textId="77777777" w:rsidR="001272D9" w:rsidRPr="009841AB" w:rsidRDefault="001272D9" w:rsidP="001272D9">
            <w:pPr>
              <w:ind w:right="12"/>
              <w:jc w:val="both"/>
            </w:pPr>
            <w:r w:rsidRPr="009841AB">
              <w:t>d.</w:t>
            </w:r>
            <w:r w:rsidRPr="009841AB">
              <w:tab/>
              <w:t>Sadaļu “Uzdevumi (U)” papildināt ar uzdevumu: “Veikt normatīvo aktu izstrādi informācijas tehnoloģiju infrastruktūras uzturēšanas normēšanai valsts pārvaldē un pašvaldībās”.</w:t>
            </w:r>
          </w:p>
        </w:tc>
        <w:tc>
          <w:tcPr>
            <w:tcW w:w="2480" w:type="dxa"/>
            <w:tcBorders>
              <w:left w:val="single" w:sz="6" w:space="0" w:color="000000" w:themeColor="text1"/>
              <w:bottom w:val="single" w:sz="4" w:space="0" w:color="auto"/>
            </w:tcBorders>
            <w:shd w:val="clear" w:color="auto" w:fill="auto"/>
          </w:tcPr>
          <w:p w14:paraId="6424CA27" w14:textId="77777777" w:rsidR="008A2A01" w:rsidRDefault="008A2A01" w:rsidP="008A2A01">
            <w:pPr>
              <w:pStyle w:val="naisc"/>
              <w:jc w:val="both"/>
              <w:rPr>
                <w:b/>
                <w:bCs/>
              </w:rPr>
            </w:pPr>
            <w:r>
              <w:rPr>
                <w:b/>
                <w:bCs/>
              </w:rPr>
              <w:t>Panākta vienošanās</w:t>
            </w:r>
          </w:p>
          <w:p w14:paraId="2611C1AC" w14:textId="77777777" w:rsidR="001272D9" w:rsidRPr="009841AB" w:rsidRDefault="001272D9" w:rsidP="001272D9">
            <w:pPr>
              <w:pStyle w:val="naisc"/>
              <w:spacing w:before="0" w:after="0"/>
              <w:jc w:val="left"/>
              <w:rPr>
                <w:color w:val="000000"/>
              </w:rPr>
            </w:pPr>
            <w:r w:rsidRPr="009841AB">
              <w:t xml:space="preserve">a), b), d) pilnā mērā vai daļēji ņemti vērā. c) – pamatojums, kāpēc nav ņemts vērā: </w:t>
            </w:r>
            <w:r w:rsidRPr="009841AB">
              <w:rPr>
                <w:color w:val="000000"/>
              </w:rPr>
              <w:t xml:space="preserve">Piekrītot LIKTA viedoklim par piedāvātā veida metrikas lietderību, VARAM šobrīd nepiekrīt tās ieviešanai prioritāra uzdevuma formā, jo valsts pārvaldes institūcijās jau šobrīd ir novērojami pārspīlējumi šajā virzienā - upurējot pakalpojumu pievienoto vērtību un kvalitāti par labu darbinieku skaita samazināšanai, kā vienīgajai metrikai. Datorizēto darba vietu gadījumā pakalpojuma sniegšanā iesaistīto darbinieku skaits ir jāvērtē kontekstā ar pakalpojuma pievienoto vērtību (atbalstu lietotājiem) un pakalpojuma kopējām izmaksām, ieskaitot aparatūras un </w:t>
            </w:r>
            <w:r w:rsidRPr="009841AB">
              <w:rPr>
                <w:color w:val="000000"/>
              </w:rPr>
              <w:lastRenderedPageBreak/>
              <w:t>programmatūras izmaksas.</w:t>
            </w:r>
          </w:p>
          <w:p w14:paraId="123FBAC7" w14:textId="77777777" w:rsidR="000F13A3" w:rsidRPr="009841AB" w:rsidRDefault="000F13A3" w:rsidP="001272D9">
            <w:pPr>
              <w:pStyle w:val="naisc"/>
              <w:spacing w:before="0" w:after="0"/>
              <w:jc w:val="left"/>
              <w:rPr>
                <w:color w:val="000000"/>
              </w:rPr>
            </w:pPr>
          </w:p>
          <w:p w14:paraId="31ED2F39" w14:textId="77777777" w:rsidR="000F13A3" w:rsidRPr="009841AB" w:rsidRDefault="000F13A3" w:rsidP="000F13A3">
            <w:pPr>
              <w:rPr>
                <w:color w:val="000000"/>
              </w:rPr>
            </w:pPr>
            <w:r w:rsidRPr="009841AB">
              <w:rPr>
                <w:color w:val="000000"/>
              </w:rPr>
              <w:t xml:space="preserve">a) Formulējums ir precizēts, lai uzsvērtu, ka vidutāja, jeb brokera loma pirmkārt ir fokusēta uz valsts pašas rīcībā esošo </w:t>
            </w:r>
            <w:proofErr w:type="spellStart"/>
            <w:r w:rsidRPr="009841AB">
              <w:rPr>
                <w:color w:val="000000"/>
              </w:rPr>
              <w:t>resurtsu</w:t>
            </w:r>
            <w:proofErr w:type="spellEnd"/>
            <w:r w:rsidRPr="009841AB">
              <w:rPr>
                <w:color w:val="000000"/>
              </w:rPr>
              <w:t xml:space="preserve"> efektīvu izmantošanu, izeju uz Latvijas komersantiem un citu ES dalībvalstu pakalpojumiem nodrošinot kā būtisku, bet tikai papildus iespēju. Tāpēc nav iedomājams, ka šo lomu varētu pildīt kāds cits nekā valsts institūcija - potenciāli VRAA. Tehniskā risinājuma izstrādei ekspertīze, protams, tiks piesaistīta konkursa kārtībā. </w:t>
            </w:r>
          </w:p>
          <w:p w14:paraId="733969C2" w14:textId="77777777" w:rsidR="000F13A3" w:rsidRPr="009841AB" w:rsidRDefault="000F13A3" w:rsidP="000F13A3">
            <w:pPr>
              <w:rPr>
                <w:color w:val="000000"/>
              </w:rPr>
            </w:pPr>
            <w:r w:rsidRPr="009841AB">
              <w:rPr>
                <w:color w:val="000000"/>
              </w:rPr>
              <w:t>b)  4.4.10.3. teksts ir papildināts atbilstoši piedāvātajam;</w:t>
            </w:r>
          </w:p>
          <w:p w14:paraId="7C9B1F53" w14:textId="77777777" w:rsidR="000F13A3" w:rsidRPr="009841AB" w:rsidRDefault="000F13A3" w:rsidP="000F13A3">
            <w:pPr>
              <w:rPr>
                <w:color w:val="000000"/>
              </w:rPr>
            </w:pPr>
            <w:r w:rsidRPr="009841AB">
              <w:rPr>
                <w:color w:val="000000"/>
              </w:rPr>
              <w:t>c) – skat. blakus kolonā.</w:t>
            </w:r>
          </w:p>
          <w:p w14:paraId="660DAA10" w14:textId="77777777" w:rsidR="000F13A3" w:rsidRPr="009841AB" w:rsidRDefault="000F13A3" w:rsidP="000F13A3">
            <w:pPr>
              <w:rPr>
                <w:color w:val="000000"/>
              </w:rPr>
            </w:pPr>
            <w:r w:rsidRPr="009841AB">
              <w:rPr>
                <w:color w:val="000000"/>
              </w:rPr>
              <w:t xml:space="preserve">d) 4.4.10.3. uzdevumi ir papildināti ar uzdevumu datorizēto </w:t>
            </w:r>
            <w:r w:rsidRPr="009841AB">
              <w:rPr>
                <w:color w:val="000000"/>
              </w:rPr>
              <w:lastRenderedPageBreak/>
              <w:t>darba vietu pārvaldības un pakalpojumu jomā.</w:t>
            </w:r>
          </w:p>
          <w:p w14:paraId="35420BD8" w14:textId="77777777" w:rsidR="000F13A3" w:rsidRPr="009841AB" w:rsidRDefault="000F13A3" w:rsidP="001272D9">
            <w:pPr>
              <w:pStyle w:val="naisc"/>
              <w:spacing w:before="0" w:after="0"/>
              <w:jc w:val="left"/>
            </w:pPr>
          </w:p>
        </w:tc>
        <w:tc>
          <w:tcPr>
            <w:tcW w:w="3497" w:type="dxa"/>
            <w:tcBorders>
              <w:left w:val="single" w:sz="6" w:space="0" w:color="000000" w:themeColor="text1"/>
              <w:bottom w:val="single" w:sz="4" w:space="0" w:color="auto"/>
            </w:tcBorders>
            <w:shd w:val="clear" w:color="auto" w:fill="auto"/>
          </w:tcPr>
          <w:p w14:paraId="41CD23C0" w14:textId="77777777" w:rsidR="001272D9" w:rsidRPr="009841AB" w:rsidRDefault="000F13A3" w:rsidP="000F13A3">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4.4.10.3. </w:t>
            </w:r>
          </w:p>
        </w:tc>
      </w:tr>
      <w:tr w:rsidR="001272D9" w:rsidRPr="009841AB" w14:paraId="6B85EBD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2F15770" w14:textId="77777777" w:rsidR="001272D9" w:rsidRPr="009841AB" w:rsidRDefault="001272D9" w:rsidP="001272D9">
            <w:pPr>
              <w:pStyle w:val="naisc"/>
              <w:spacing w:before="0" w:after="0"/>
            </w:pPr>
            <w:r w:rsidRPr="009841AB">
              <w:lastRenderedPageBreak/>
              <w:t>2</w:t>
            </w:r>
            <w:r w:rsidR="001215B3">
              <w:t>99</w:t>
            </w:r>
          </w:p>
        </w:tc>
        <w:tc>
          <w:tcPr>
            <w:tcW w:w="2427" w:type="dxa"/>
            <w:tcBorders>
              <w:left w:val="single" w:sz="6" w:space="0" w:color="000000" w:themeColor="text1"/>
              <w:bottom w:val="single" w:sz="4" w:space="0" w:color="auto"/>
            </w:tcBorders>
            <w:shd w:val="clear" w:color="auto" w:fill="auto"/>
          </w:tcPr>
          <w:p w14:paraId="5FB44338"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183ABE3" w14:textId="77777777" w:rsidR="001272D9" w:rsidRPr="009841AB" w:rsidRDefault="001272D9" w:rsidP="001272D9">
            <w:pPr>
              <w:ind w:right="12"/>
              <w:jc w:val="both"/>
            </w:pPr>
            <w:r w:rsidRPr="009841AB">
              <w:t xml:space="preserve">5. “4.4.11. Rīcības virziens: Komercdarbības </w:t>
            </w:r>
            <w:proofErr w:type="spellStart"/>
            <w:r w:rsidRPr="009841AB">
              <w:t>digitalizācijas</w:t>
            </w:r>
            <w:proofErr w:type="spellEnd"/>
            <w:r w:rsidRPr="009841AB">
              <w:t xml:space="preserve"> veicināšana” piedāvājam veikt šādus papildinājumus:</w:t>
            </w:r>
          </w:p>
          <w:p w14:paraId="5365F68F" w14:textId="77777777" w:rsidR="001272D9" w:rsidRPr="009841AB" w:rsidRDefault="001272D9" w:rsidP="001272D9">
            <w:pPr>
              <w:ind w:right="12"/>
              <w:jc w:val="both"/>
            </w:pPr>
            <w:r w:rsidRPr="009841AB">
              <w:t>a.</w:t>
            </w:r>
            <w:r w:rsidRPr="009841AB">
              <w:tab/>
              <w:t>Sadaļā “Nepieciešamā rīcība”, rindkopā, kas sākas ar vārdiem “Lai veicinātu mērķtiecīgu digitālo transformāciju, ir nepieciešams izveidot vienotu platformu/ digitālās ekselences centru”, 2. teikumu izteikt šādā redakcijā: “Apzinot privātajā, valsts un pašvaldību sektorā lietotās digitālās tehnoloģijas, palīdzot tās ieviest un piemērot, nodrošinot piekļuvi tehniskajām kompetencēm un radot vidi risinājumu testēšanai pirms ieviešanas ražošanā.”</w:t>
            </w:r>
          </w:p>
        </w:tc>
        <w:tc>
          <w:tcPr>
            <w:tcW w:w="2480" w:type="dxa"/>
            <w:tcBorders>
              <w:left w:val="single" w:sz="6" w:space="0" w:color="000000" w:themeColor="text1"/>
              <w:bottom w:val="single" w:sz="4" w:space="0" w:color="auto"/>
            </w:tcBorders>
            <w:shd w:val="clear" w:color="auto" w:fill="auto"/>
          </w:tcPr>
          <w:p w14:paraId="09B0B6A7" w14:textId="77777777" w:rsidR="001272D9" w:rsidRPr="009841AB" w:rsidRDefault="003F65C5" w:rsidP="001272D9">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5B5BCAF4" w14:textId="77777777" w:rsidR="001272D9" w:rsidRPr="009841AB" w:rsidRDefault="003F65C5" w:rsidP="003F65C5">
            <w:pPr>
              <w:pStyle w:val="naisc"/>
              <w:spacing w:before="0" w:after="0"/>
              <w:jc w:val="left"/>
            </w:pPr>
            <w:r w:rsidRPr="009841AB">
              <w:t xml:space="preserve">Lūdzam skatīt </w:t>
            </w:r>
            <w:proofErr w:type="spellStart"/>
            <w:r w:rsidRPr="009841AB">
              <w:t>apakšsadaļu</w:t>
            </w:r>
            <w:proofErr w:type="spellEnd"/>
            <w:r w:rsidRPr="009841AB">
              <w:t xml:space="preserve"> 4.4.11.</w:t>
            </w:r>
          </w:p>
        </w:tc>
      </w:tr>
      <w:tr w:rsidR="001272D9" w:rsidRPr="009841AB" w14:paraId="7DDD38B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BB6C62C" w14:textId="6803C375" w:rsidR="001272D9" w:rsidRPr="00DC3A69" w:rsidRDefault="00DC3A69" w:rsidP="001272D9">
            <w:pPr>
              <w:ind w:right="12"/>
              <w:jc w:val="both"/>
            </w:pPr>
            <w:r w:rsidRPr="00DC3A69">
              <w:t xml:space="preserve">300  </w:t>
            </w:r>
            <w:r w:rsidR="001272D9" w:rsidRPr="00DC3A69">
              <w:t>Latvijas Mērnieku biedrības un Latvijas Kartogrāfu un ģeodēzistu asociācijas 29.01.2021. atzinums</w:t>
            </w:r>
            <w:r>
              <w:t xml:space="preserve"> pārcelts uz izziņas </w:t>
            </w:r>
            <w:r w:rsidRPr="00DC3A69">
              <w:t xml:space="preserve">I. </w:t>
            </w:r>
            <w:r w:rsidR="004D6514">
              <w:t>daļu “</w:t>
            </w:r>
            <w:r w:rsidRPr="00DC3A69">
              <w:t>Jautājumi, par kuriem saskaņošanā vienošanās nav panākta</w:t>
            </w:r>
            <w:r w:rsidR="004D6514">
              <w:t>”</w:t>
            </w:r>
          </w:p>
        </w:tc>
      </w:tr>
      <w:tr w:rsidR="001272D9" w:rsidRPr="009841AB" w14:paraId="0DF201D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D1F89B1" w14:textId="77777777" w:rsidR="001272D9" w:rsidRPr="009841AB" w:rsidRDefault="001272D9" w:rsidP="001272D9">
            <w:pPr>
              <w:jc w:val="both"/>
              <w:rPr>
                <w:b/>
                <w:bCs/>
              </w:rPr>
            </w:pPr>
            <w:r w:rsidRPr="009841AB">
              <w:rPr>
                <w:b/>
                <w:bCs/>
              </w:rPr>
              <w:t>Latvijas Lielo pilsētu asociācijas 29.01.2021. atzinums:</w:t>
            </w:r>
          </w:p>
        </w:tc>
      </w:tr>
      <w:tr w:rsidR="001272D9" w:rsidRPr="009841AB" w14:paraId="746C2E9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83DC4AA" w14:textId="77777777" w:rsidR="001272D9" w:rsidRPr="009841AB" w:rsidRDefault="00647B39" w:rsidP="001272D9">
            <w:pPr>
              <w:pStyle w:val="naisc"/>
              <w:spacing w:before="0" w:after="0"/>
            </w:pPr>
            <w:r>
              <w:t>301</w:t>
            </w:r>
          </w:p>
        </w:tc>
        <w:tc>
          <w:tcPr>
            <w:tcW w:w="2427" w:type="dxa"/>
            <w:tcBorders>
              <w:left w:val="single" w:sz="6" w:space="0" w:color="000000" w:themeColor="text1"/>
              <w:bottom w:val="single" w:sz="4" w:space="0" w:color="auto"/>
            </w:tcBorders>
            <w:shd w:val="clear" w:color="auto" w:fill="auto"/>
          </w:tcPr>
          <w:p w14:paraId="14AE77A4"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43085CE" w14:textId="77777777" w:rsidR="001272D9" w:rsidRPr="009841AB" w:rsidRDefault="001272D9" w:rsidP="001272D9">
            <w:pPr>
              <w:ind w:right="12"/>
              <w:jc w:val="both"/>
              <w:rPr>
                <w:color w:val="000000"/>
                <w:shd w:val="clear" w:color="auto" w:fill="FFFFFF"/>
              </w:rPr>
            </w:pPr>
            <w:r w:rsidRPr="009841AB">
              <w:t xml:space="preserve">1. 89. lapa. </w:t>
            </w:r>
            <w:r w:rsidRPr="009841AB">
              <w:rPr>
                <w:color w:val="000000"/>
                <w:shd w:val="clear" w:color="auto" w:fill="FFFFFF"/>
              </w:rPr>
              <w:t>Vai ir plānots iesaistīt arī pašvaldības, veidojot kādas nacionāla mēroga platformas? Piemēram, VID nodokļu administrēšanas sistēmā varēja iekļaut arī pašvaldības administrēto nekustamā īpašuma nodokli.</w:t>
            </w:r>
          </w:p>
        </w:tc>
        <w:tc>
          <w:tcPr>
            <w:tcW w:w="2480" w:type="dxa"/>
            <w:tcBorders>
              <w:left w:val="single" w:sz="6" w:space="0" w:color="000000" w:themeColor="text1"/>
              <w:bottom w:val="single" w:sz="4" w:space="0" w:color="auto"/>
            </w:tcBorders>
            <w:shd w:val="clear" w:color="auto" w:fill="auto"/>
          </w:tcPr>
          <w:p w14:paraId="5489DE4A" w14:textId="77777777" w:rsidR="007169B7" w:rsidRPr="00D264F6" w:rsidRDefault="007169B7" w:rsidP="001272D9">
            <w:pPr>
              <w:pStyle w:val="naisc"/>
              <w:spacing w:before="0" w:after="0"/>
              <w:jc w:val="left"/>
              <w:rPr>
                <w:b/>
                <w:bCs/>
              </w:rPr>
            </w:pPr>
            <w:r w:rsidRPr="009841AB">
              <w:rPr>
                <w:b/>
                <w:bCs/>
              </w:rPr>
              <w:t>Ņemts vērā</w:t>
            </w:r>
          </w:p>
          <w:p w14:paraId="4821AE66" w14:textId="77777777" w:rsidR="001272D9" w:rsidRPr="009841AB" w:rsidRDefault="007169B7" w:rsidP="001272D9">
            <w:pPr>
              <w:pStyle w:val="naisc"/>
              <w:spacing w:before="0" w:after="0"/>
              <w:jc w:val="left"/>
            </w:pPr>
            <w:r w:rsidRPr="009841AB">
              <w:t xml:space="preserve">Visas nacionālās platformas tiks paredzētas koplietošanai arī pašvaldībām, savukārt par konkrētu darbības procesu iekļaušanu noteiktu iestāžu platformās būtu pārrunājams vienotās valsts IKT arhitektūras un digitālās transformācijās projektu uzraudzības procesa ietvaros.  </w:t>
            </w:r>
          </w:p>
        </w:tc>
        <w:tc>
          <w:tcPr>
            <w:tcW w:w="3497" w:type="dxa"/>
            <w:tcBorders>
              <w:left w:val="single" w:sz="6" w:space="0" w:color="000000" w:themeColor="text1"/>
              <w:bottom w:val="single" w:sz="4" w:space="0" w:color="auto"/>
            </w:tcBorders>
            <w:shd w:val="clear" w:color="auto" w:fill="auto"/>
          </w:tcPr>
          <w:p w14:paraId="4F2C6003" w14:textId="77777777" w:rsidR="001272D9" w:rsidRPr="009841AB" w:rsidRDefault="005626D7" w:rsidP="005626D7">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272D9" w:rsidRPr="009841AB" w14:paraId="3C877E8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543B549" w14:textId="77777777" w:rsidR="001272D9" w:rsidRPr="009841AB" w:rsidRDefault="00647B39" w:rsidP="001272D9">
            <w:pPr>
              <w:pStyle w:val="naisc"/>
              <w:spacing w:before="0" w:after="0"/>
            </w:pPr>
            <w:r>
              <w:lastRenderedPageBreak/>
              <w:t>302</w:t>
            </w:r>
          </w:p>
        </w:tc>
        <w:tc>
          <w:tcPr>
            <w:tcW w:w="2427" w:type="dxa"/>
            <w:tcBorders>
              <w:left w:val="single" w:sz="6" w:space="0" w:color="000000" w:themeColor="text1"/>
              <w:bottom w:val="single" w:sz="4" w:space="0" w:color="auto"/>
            </w:tcBorders>
            <w:shd w:val="clear" w:color="auto" w:fill="auto"/>
          </w:tcPr>
          <w:p w14:paraId="418EA356"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81CF0CA" w14:textId="77777777" w:rsidR="001272D9" w:rsidRPr="009841AB" w:rsidRDefault="001272D9" w:rsidP="00632D09">
            <w:pPr>
              <w:pStyle w:val="naisc"/>
              <w:spacing w:before="0" w:after="0"/>
              <w:jc w:val="left"/>
            </w:pPr>
            <w:r w:rsidRPr="009841AB">
              <w:t xml:space="preserve">2. 92. lapa. Rezultāti: 2. Līdz 2027.g. pilnveidotas vai izveidotas 17 centrālās valsts platformas, kas ir modulāras un atvērtas trešo pušu pakalpojumu attīstītājiem – lūdzam skaidrot, kādās jomās, vai tās būs pieejamas arī pašvaldību darbam? </w:t>
            </w:r>
          </w:p>
          <w:p w14:paraId="294E20FE" w14:textId="77777777" w:rsidR="001272D9" w:rsidRPr="009841AB" w:rsidRDefault="001272D9" w:rsidP="00632D09">
            <w:pPr>
              <w:pStyle w:val="naisc"/>
              <w:spacing w:before="0" w:after="0"/>
              <w:jc w:val="left"/>
            </w:pPr>
            <w:r w:rsidRPr="009841AB">
              <w:t>Digitālās transformācijas un inovāciju jomās nozīme ir arī pašvaldību administrācijām, pašvaldību uzņēmumiem, jo vietējie iedzīvotāji primāri vēršas pie zemākā pārvaldes līmeņa (skat. komentāru par 19. lpp.). Lūdzam papildināt attiecīgās vietas dokumentā, kur pieminēta tikai valsts pārvalde:</w:t>
            </w:r>
          </w:p>
          <w:p w14:paraId="35547F2D" w14:textId="77777777" w:rsidR="001272D9" w:rsidRPr="009841AB" w:rsidRDefault="001272D9" w:rsidP="00632D09">
            <w:pPr>
              <w:pStyle w:val="naisc"/>
              <w:spacing w:before="0" w:after="0"/>
              <w:jc w:val="left"/>
              <w:rPr>
                <w:bCs/>
                <w:color w:val="000000"/>
                <w:shd w:val="clear" w:color="auto" w:fill="FFFFFF"/>
              </w:rPr>
            </w:pPr>
            <w:r w:rsidRPr="009841AB">
              <w:t>5. No 2021 nodrošinātas valsts pārvaldes un pašvaldību speciālistu apmācības digitālo prasmju un pakalpojumu modeļu kompetences pilnveidei un realizētas izglītošanas un veicināšanas aktivitātes platformu izmantošanas sekmēšanai.</w:t>
            </w:r>
          </w:p>
        </w:tc>
        <w:tc>
          <w:tcPr>
            <w:tcW w:w="2480" w:type="dxa"/>
            <w:tcBorders>
              <w:left w:val="single" w:sz="6" w:space="0" w:color="000000" w:themeColor="text1"/>
              <w:bottom w:val="single" w:sz="4" w:space="0" w:color="auto"/>
            </w:tcBorders>
            <w:shd w:val="clear" w:color="auto" w:fill="auto"/>
          </w:tcPr>
          <w:p w14:paraId="059F9F18" w14:textId="77777777" w:rsidR="005626D7" w:rsidRPr="009841AB" w:rsidRDefault="005626D7" w:rsidP="001272D9">
            <w:pPr>
              <w:pStyle w:val="naisc"/>
              <w:spacing w:before="0" w:after="0"/>
              <w:jc w:val="left"/>
              <w:rPr>
                <w:b/>
                <w:bCs/>
              </w:rPr>
            </w:pPr>
            <w:r w:rsidRPr="009841AB">
              <w:rPr>
                <w:b/>
                <w:bCs/>
              </w:rPr>
              <w:t>Ņemts vērā</w:t>
            </w:r>
          </w:p>
          <w:p w14:paraId="57A7029B" w14:textId="77777777" w:rsidR="005626D7" w:rsidRPr="009841AB" w:rsidRDefault="005626D7" w:rsidP="001272D9">
            <w:pPr>
              <w:pStyle w:val="naisc"/>
              <w:spacing w:before="0" w:after="0"/>
              <w:jc w:val="left"/>
            </w:pPr>
            <w:r w:rsidRPr="009841AB">
              <w:t>Visas nacionālās platformas tiks paredzētas koplietošanai arī pašvaldībām (izņēmumi var būt neatbilstība darbības specifikai), piem.  Pakalpojumu, tīmekļa vietņu, datu koplietošanas, u.c.</w:t>
            </w:r>
          </w:p>
          <w:p w14:paraId="3D1BD890" w14:textId="77777777" w:rsidR="00C5719D" w:rsidRPr="009841AB" w:rsidRDefault="00C5719D" w:rsidP="001272D9">
            <w:pPr>
              <w:pStyle w:val="naisc"/>
              <w:spacing w:before="0" w:after="0"/>
              <w:jc w:val="left"/>
            </w:pPr>
          </w:p>
          <w:p w14:paraId="704FE77F" w14:textId="77777777" w:rsidR="00C5719D" w:rsidRPr="009841AB" w:rsidRDefault="00487D79" w:rsidP="001272D9">
            <w:pPr>
              <w:pStyle w:val="naisc"/>
              <w:spacing w:before="0" w:after="0"/>
              <w:jc w:val="left"/>
            </w:pPr>
            <w:r w:rsidRPr="009841AB">
              <w:t>D</w:t>
            </w:r>
            <w:r w:rsidR="00C5719D" w:rsidRPr="009841AB">
              <w:t xml:space="preserve">okumentā konsekventi ievērojam pieeju, ka ar “valsts pārvaldi” tiek saprastas arī pašvaldības, t.i., apmācības tiek nodrošinātas </w:t>
            </w:r>
            <w:r w:rsidR="00C202DF" w:rsidRPr="009841AB">
              <w:t xml:space="preserve">gan valsts pārvaldes, gan </w:t>
            </w:r>
            <w:r w:rsidR="00C5719D" w:rsidRPr="009841AB">
              <w:t>pašvaldību speciālistiem</w:t>
            </w:r>
            <w:r w:rsidR="00C202DF" w:rsidRPr="009841AB">
              <w:t>.</w:t>
            </w:r>
          </w:p>
        </w:tc>
        <w:tc>
          <w:tcPr>
            <w:tcW w:w="3497" w:type="dxa"/>
            <w:tcBorders>
              <w:left w:val="single" w:sz="6" w:space="0" w:color="000000" w:themeColor="text1"/>
              <w:bottom w:val="single" w:sz="4" w:space="0" w:color="auto"/>
            </w:tcBorders>
            <w:shd w:val="clear" w:color="auto" w:fill="auto"/>
          </w:tcPr>
          <w:p w14:paraId="4470F583" w14:textId="77777777" w:rsidR="001272D9" w:rsidRPr="009841AB" w:rsidRDefault="001F5B24" w:rsidP="001F5B24">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272D9" w:rsidRPr="009841AB" w14:paraId="7640779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50DD603" w14:textId="77777777" w:rsidR="001272D9" w:rsidRPr="009841AB" w:rsidRDefault="00647B39" w:rsidP="001272D9">
            <w:pPr>
              <w:pStyle w:val="naisc"/>
              <w:spacing w:before="0" w:after="0"/>
            </w:pPr>
            <w:r>
              <w:t>303</w:t>
            </w:r>
          </w:p>
        </w:tc>
        <w:tc>
          <w:tcPr>
            <w:tcW w:w="2427" w:type="dxa"/>
            <w:tcBorders>
              <w:left w:val="single" w:sz="6" w:space="0" w:color="000000" w:themeColor="text1"/>
              <w:bottom w:val="single" w:sz="4" w:space="0" w:color="auto"/>
            </w:tcBorders>
            <w:shd w:val="clear" w:color="auto" w:fill="auto"/>
          </w:tcPr>
          <w:p w14:paraId="6ED80A2D"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10B5F6C" w14:textId="77777777" w:rsidR="001272D9" w:rsidRPr="009841AB" w:rsidRDefault="001272D9" w:rsidP="001272D9">
            <w:pPr>
              <w:jc w:val="both"/>
              <w:rPr>
                <w:i/>
                <w:iCs/>
                <w:color w:val="000000"/>
              </w:rPr>
            </w:pPr>
            <w:r w:rsidRPr="009841AB">
              <w:rPr>
                <w:bCs/>
                <w:color w:val="000000"/>
                <w:shd w:val="clear" w:color="auto" w:fill="FFFFFF"/>
              </w:rPr>
              <w:t>3. 95. lapa. “</w:t>
            </w:r>
            <w:r w:rsidRPr="009841AB">
              <w:rPr>
                <w:i/>
                <w:iCs/>
                <w:color w:val="000000"/>
              </w:rPr>
              <w:t>2. Ieviest vienotu datu pārvaldības modeli (mehānismu), ko iestādes pārņem savos iekšējos datu pārvaldības procesos un saskaņā ar kuriem tiek nodrošināta savstarpēja datu apmaiņa, savietojamība un kvalitāte, kas sakņojas Eiropas vērtībās un tiesību normās.</w:t>
            </w:r>
          </w:p>
          <w:p w14:paraId="5C58B4D5" w14:textId="77777777" w:rsidR="001272D9" w:rsidRPr="009841AB" w:rsidRDefault="001272D9" w:rsidP="001272D9">
            <w:pPr>
              <w:jc w:val="both"/>
              <w:rPr>
                <w:i/>
                <w:iCs/>
                <w:color w:val="000000"/>
              </w:rPr>
            </w:pPr>
            <w:r w:rsidRPr="009841AB">
              <w:rPr>
                <w:i/>
                <w:iCs/>
                <w:color w:val="000000"/>
              </w:rPr>
              <w:t>3. Noteikt kompetento organizāciju (struktūrvienību) par vienotas datu pārvaldības ieviešanu valsts pārvaldē.</w:t>
            </w:r>
          </w:p>
          <w:p w14:paraId="521E404C" w14:textId="77777777" w:rsidR="001272D9" w:rsidRPr="009841AB" w:rsidRDefault="001272D9" w:rsidP="001272D9">
            <w:pPr>
              <w:ind w:right="12"/>
              <w:jc w:val="both"/>
              <w:rPr>
                <w:i/>
                <w:iCs/>
                <w:color w:val="000000"/>
              </w:rPr>
            </w:pPr>
            <w:r w:rsidRPr="009841AB">
              <w:rPr>
                <w:i/>
                <w:iCs/>
                <w:color w:val="000000"/>
              </w:rPr>
              <w:t>4. Nodrošināt tiesisko ietvaru vienotai valsts pārvaldes datu pārvaldībai.”</w:t>
            </w:r>
          </w:p>
          <w:p w14:paraId="6D95732E" w14:textId="77777777" w:rsidR="001272D9" w:rsidRPr="009841AB" w:rsidRDefault="001272D9" w:rsidP="001272D9">
            <w:pPr>
              <w:jc w:val="both"/>
              <w:rPr>
                <w:color w:val="000000"/>
                <w:shd w:val="clear" w:color="auto" w:fill="FFFFFF"/>
              </w:rPr>
            </w:pPr>
            <w:r w:rsidRPr="009841AB">
              <w:rPr>
                <w:color w:val="000000"/>
                <w:shd w:val="clear" w:color="auto" w:fill="FFFFFF"/>
              </w:rPr>
              <w:lastRenderedPageBreak/>
              <w:t>Nav saprotams, kā tas attieksies uz pašvaldībām vai tikai vienotie datu pārvaldības principi vai jāpakļaujas noteiktajai kompetentajai organizācijai.</w:t>
            </w:r>
          </w:p>
        </w:tc>
        <w:tc>
          <w:tcPr>
            <w:tcW w:w="2480" w:type="dxa"/>
            <w:tcBorders>
              <w:left w:val="single" w:sz="6" w:space="0" w:color="000000" w:themeColor="text1"/>
              <w:bottom w:val="single" w:sz="4" w:space="0" w:color="auto"/>
            </w:tcBorders>
            <w:shd w:val="clear" w:color="auto" w:fill="auto"/>
          </w:tcPr>
          <w:p w14:paraId="1970A82B" w14:textId="6DBC7641" w:rsidR="0061110D" w:rsidRPr="009841AB" w:rsidRDefault="00991034" w:rsidP="0061110D">
            <w:pPr>
              <w:pStyle w:val="naisc"/>
              <w:jc w:val="left"/>
              <w:rPr>
                <w:b/>
                <w:bCs/>
                <w:color w:val="000000"/>
                <w:shd w:val="clear" w:color="auto" w:fill="FFFFFF"/>
              </w:rPr>
            </w:pPr>
            <w:r>
              <w:rPr>
                <w:b/>
                <w:bCs/>
                <w:color w:val="000000"/>
                <w:shd w:val="clear" w:color="auto" w:fill="FFFFFF"/>
              </w:rPr>
              <w:lastRenderedPageBreak/>
              <w:t>Panākta vienošanās</w:t>
            </w:r>
          </w:p>
          <w:p w14:paraId="11F04839" w14:textId="77777777" w:rsidR="0061110D" w:rsidRPr="009841AB" w:rsidRDefault="0061110D" w:rsidP="0061110D">
            <w:pPr>
              <w:pStyle w:val="naisc"/>
              <w:jc w:val="left"/>
              <w:rPr>
                <w:color w:val="000000"/>
                <w:shd w:val="clear" w:color="auto" w:fill="FFFFFF"/>
              </w:rPr>
            </w:pPr>
            <w:r w:rsidRPr="009841AB">
              <w:rPr>
                <w:color w:val="000000"/>
                <w:shd w:val="clear" w:color="auto" w:fill="FFFFFF"/>
              </w:rPr>
              <w:t xml:space="preserve">Saskaņā ar Valsts pārvaldes iekārtas likuma (turpmāk - VPIL) 3.panta pirmo daļu, šis likums nosaka Ministru kabinetam padotās valsts pārvaldes institucionālo sistēmu un valsts pārvaldes </w:t>
            </w:r>
            <w:r w:rsidRPr="009841AB">
              <w:rPr>
                <w:color w:val="000000"/>
                <w:shd w:val="clear" w:color="auto" w:fill="FFFFFF"/>
              </w:rPr>
              <w:lastRenderedPageBreak/>
              <w:t xml:space="preserve">darbības pamatnoteikumus. Valsts pārvaldi realizē publiska persona — Latvijas Republika kā sākotnējā publisko tiesību juridiskā persona un atvasinātas publiskas personas (pašvaldība vai cita ar likumu vai uz likuma pamata izveidota publiska persona). VPIL 4 pants nosaka, ka Latvijas Republika kā sākotnējā publiskā persona valsts pārvaldes jomā darbojas ar tiešās un pastarpinātās pārvaldes iestāžu starpniecību. Atvasināta publiska persona valsts pārvaldes jomā darbojas ar pastarpinātās pārvaldes iestāžu starpniecību. </w:t>
            </w:r>
          </w:p>
          <w:p w14:paraId="4A0F7AF0" w14:textId="77777777" w:rsidR="0061110D" w:rsidRPr="009841AB" w:rsidRDefault="0061110D" w:rsidP="0061110D">
            <w:pPr>
              <w:pStyle w:val="naisc"/>
              <w:jc w:val="left"/>
              <w:rPr>
                <w:color w:val="000000"/>
                <w:shd w:val="clear" w:color="auto" w:fill="FFFFFF"/>
              </w:rPr>
            </w:pPr>
            <w:r w:rsidRPr="009841AB">
              <w:rPr>
                <w:color w:val="000000"/>
                <w:shd w:val="clear" w:color="auto" w:fill="FFFFFF"/>
              </w:rPr>
              <w:t xml:space="preserve">Ievērojot minēto, VPIL izpratnē valsts pārvaldes iestādes jēdzienā tiek ietvertas gan tiešās, gan pastarpinātās valsts </w:t>
            </w:r>
            <w:r w:rsidRPr="009841AB">
              <w:rPr>
                <w:color w:val="000000"/>
                <w:shd w:val="clear" w:color="auto" w:fill="FFFFFF"/>
              </w:rPr>
              <w:lastRenderedPageBreak/>
              <w:t xml:space="preserve">pārvaldes iestādes, tostarp pašvaldības.   </w:t>
            </w:r>
          </w:p>
          <w:p w14:paraId="4EEC26EC" w14:textId="77777777" w:rsidR="0061110D" w:rsidRPr="009841AB" w:rsidRDefault="0061110D" w:rsidP="0061110D">
            <w:pPr>
              <w:pStyle w:val="naisc"/>
              <w:jc w:val="left"/>
              <w:rPr>
                <w:color w:val="000000"/>
                <w:shd w:val="clear" w:color="auto" w:fill="FFFFFF"/>
              </w:rPr>
            </w:pPr>
            <w:r w:rsidRPr="009841AB">
              <w:rPr>
                <w:color w:val="000000"/>
                <w:shd w:val="clear" w:color="auto" w:fill="FFFFFF"/>
              </w:rPr>
              <w:t xml:space="preserve">Saskaņā ar Valsts kancelejas Normatīvo aktu projektu izstrādes rokasgrāmatā[1] norādīto, ja tiesību nozarē, </w:t>
            </w:r>
            <w:proofErr w:type="spellStart"/>
            <w:r w:rsidRPr="009841AB">
              <w:rPr>
                <w:color w:val="000000"/>
                <w:shd w:val="clear" w:color="auto" w:fill="FFFFFF"/>
              </w:rPr>
              <w:t>apakšnozarē</w:t>
            </w:r>
            <w:proofErr w:type="spellEnd"/>
            <w:r w:rsidRPr="009841AB">
              <w:rPr>
                <w:color w:val="000000"/>
                <w:shd w:val="clear" w:color="auto" w:fill="FFFFFF"/>
              </w:rPr>
              <w:t xml:space="preserve"> vai attiecīgajā jomā jau pastāv spēkā esošs tiesiskais regulējums, formulējot jaunā normatīvā akta tiesību normas, ievēro un turpina iepriekšējā regulējuma valodas lietojumu, stilu un terminoloģiju, ciktāl tas ir nepieciešams un iespējams. Normatīvā akta projektā lietotajai terminoloģijai jāatbilst citiem normatīvajiem aktiem.  </w:t>
            </w:r>
          </w:p>
          <w:p w14:paraId="549E0E7D" w14:textId="77777777" w:rsidR="0061110D" w:rsidRPr="009841AB" w:rsidRDefault="0061110D" w:rsidP="0061110D">
            <w:pPr>
              <w:pStyle w:val="naisc"/>
              <w:jc w:val="left"/>
              <w:rPr>
                <w:color w:val="000000"/>
                <w:shd w:val="clear" w:color="auto" w:fill="FFFFFF"/>
              </w:rPr>
            </w:pPr>
            <w:r w:rsidRPr="009841AB">
              <w:rPr>
                <w:color w:val="000000"/>
                <w:shd w:val="clear" w:color="auto" w:fill="FFFFFF"/>
              </w:rPr>
              <w:t xml:space="preserve">Tiesiskās skaidrības nodrošināšanai IS pamatnostādnēs tiek izmantots analoģisks princips, proti citos tiesību aktos esošās terminoloģijas konsekventa pielietošana. </w:t>
            </w:r>
          </w:p>
          <w:p w14:paraId="4E9EBAAF" w14:textId="77777777" w:rsidR="001272D9" w:rsidRPr="009841AB" w:rsidRDefault="0061110D" w:rsidP="0061110D">
            <w:pPr>
              <w:pStyle w:val="naisc"/>
              <w:spacing w:before="0" w:after="0"/>
              <w:jc w:val="left"/>
            </w:pPr>
            <w:r w:rsidRPr="009841AB">
              <w:rPr>
                <w:color w:val="000000"/>
                <w:shd w:val="clear" w:color="auto" w:fill="FFFFFF"/>
              </w:rPr>
              <w:lastRenderedPageBreak/>
              <w:t xml:space="preserve">  [1] https://tai.mk.gov.lv/book/1/chapter/80</w:t>
            </w:r>
          </w:p>
        </w:tc>
        <w:tc>
          <w:tcPr>
            <w:tcW w:w="3497" w:type="dxa"/>
            <w:tcBorders>
              <w:left w:val="single" w:sz="6" w:space="0" w:color="000000" w:themeColor="text1"/>
              <w:bottom w:val="single" w:sz="4" w:space="0" w:color="auto"/>
            </w:tcBorders>
            <w:shd w:val="clear" w:color="auto" w:fill="auto"/>
          </w:tcPr>
          <w:p w14:paraId="3A6CAD48" w14:textId="77777777" w:rsidR="001272D9" w:rsidRPr="009841AB" w:rsidRDefault="001272D9" w:rsidP="001272D9">
            <w:pPr>
              <w:pStyle w:val="naisc"/>
              <w:spacing w:before="0" w:after="0"/>
              <w:jc w:val="both"/>
            </w:pPr>
          </w:p>
        </w:tc>
      </w:tr>
      <w:tr w:rsidR="001272D9" w:rsidRPr="009841AB" w14:paraId="506B312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2391D9F" w14:textId="77777777" w:rsidR="001272D9" w:rsidRPr="009841AB" w:rsidRDefault="00C030D3" w:rsidP="001272D9">
            <w:pPr>
              <w:pStyle w:val="naisc"/>
              <w:spacing w:before="0" w:after="0"/>
            </w:pPr>
            <w:r>
              <w:lastRenderedPageBreak/>
              <w:t>304</w:t>
            </w:r>
          </w:p>
        </w:tc>
        <w:tc>
          <w:tcPr>
            <w:tcW w:w="2427" w:type="dxa"/>
            <w:tcBorders>
              <w:left w:val="single" w:sz="6" w:space="0" w:color="000000" w:themeColor="text1"/>
              <w:bottom w:val="single" w:sz="4" w:space="0" w:color="auto"/>
            </w:tcBorders>
            <w:shd w:val="clear" w:color="auto" w:fill="auto"/>
          </w:tcPr>
          <w:p w14:paraId="04322C1D"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3D315BA" w14:textId="77777777" w:rsidR="001272D9" w:rsidRPr="009841AB" w:rsidRDefault="001272D9" w:rsidP="001272D9">
            <w:pPr>
              <w:ind w:right="12"/>
              <w:jc w:val="both"/>
              <w:rPr>
                <w:bCs/>
                <w:i/>
                <w:iCs/>
              </w:rPr>
            </w:pPr>
            <w:r w:rsidRPr="009841AB">
              <w:t xml:space="preserve">4. 96. lapa. </w:t>
            </w:r>
            <w:r w:rsidRPr="009841AB">
              <w:rPr>
                <w:i/>
                <w:iCs/>
              </w:rPr>
              <w:t xml:space="preserve">“6. Integrēties Eiropas Savienības izveidotajās datu telpās, </w:t>
            </w:r>
            <w:r w:rsidRPr="009841AB">
              <w:rPr>
                <w:bCs/>
                <w:i/>
                <w:iCs/>
              </w:rPr>
              <w:t>pēc nepieciešamības organizējot starptautisku datu apmaiņu ar citām datu kategorijām.”</w:t>
            </w:r>
          </w:p>
          <w:p w14:paraId="23F53519" w14:textId="77777777" w:rsidR="001272D9" w:rsidRPr="009841AB" w:rsidRDefault="001272D9" w:rsidP="001272D9">
            <w:pPr>
              <w:ind w:right="12"/>
              <w:jc w:val="both"/>
              <w:rPr>
                <w:color w:val="000000"/>
                <w:shd w:val="clear" w:color="auto" w:fill="FFFFFF"/>
              </w:rPr>
            </w:pPr>
            <w:r w:rsidRPr="009841AB">
              <w:rPr>
                <w:color w:val="000000"/>
                <w:shd w:val="clear" w:color="auto" w:fill="FFFFFF"/>
              </w:rPr>
              <w:t>Vai datu apmaiņa starp Eiropas savienības datu bāzēm būs pieejama pašvaldībām, jo atsevišķiem pakalpojumiem, piemēram, tirdzniecības atļauju izsniegšanai tas ir aktuāli.</w:t>
            </w:r>
          </w:p>
        </w:tc>
        <w:tc>
          <w:tcPr>
            <w:tcW w:w="2480" w:type="dxa"/>
            <w:tcBorders>
              <w:left w:val="single" w:sz="6" w:space="0" w:color="000000" w:themeColor="text1"/>
              <w:bottom w:val="single" w:sz="4" w:space="0" w:color="auto"/>
            </w:tcBorders>
            <w:shd w:val="clear" w:color="auto" w:fill="auto"/>
          </w:tcPr>
          <w:p w14:paraId="1102C039" w14:textId="6D432533" w:rsidR="00D21BB1" w:rsidRPr="009841AB" w:rsidRDefault="00D21BB1" w:rsidP="00D21BB1">
            <w:pPr>
              <w:pStyle w:val="naisc"/>
              <w:jc w:val="both"/>
              <w:rPr>
                <w:b/>
                <w:bCs/>
                <w:color w:val="000000"/>
                <w:shd w:val="clear" w:color="auto" w:fill="FFFFFF"/>
              </w:rPr>
            </w:pPr>
            <w:r w:rsidRPr="009841AB">
              <w:rPr>
                <w:b/>
                <w:bCs/>
                <w:color w:val="000000"/>
                <w:shd w:val="clear" w:color="auto" w:fill="FFFFFF"/>
              </w:rPr>
              <w:t>Ņemts vērā</w:t>
            </w:r>
          </w:p>
          <w:p w14:paraId="319510C4" w14:textId="77777777" w:rsidR="00D21BB1" w:rsidRPr="009841AB" w:rsidRDefault="00D21BB1" w:rsidP="00D21BB1">
            <w:pPr>
              <w:pStyle w:val="naisc"/>
              <w:jc w:val="both"/>
              <w:rPr>
                <w:color w:val="000000"/>
                <w:shd w:val="clear" w:color="auto" w:fill="FFFFFF"/>
              </w:rPr>
            </w:pPr>
            <w:r w:rsidRPr="009841AB">
              <w:rPr>
                <w:color w:val="000000"/>
                <w:shd w:val="clear" w:color="auto" w:fill="FFFFFF"/>
              </w:rPr>
              <w:t xml:space="preserve">Saskaņā ar Valsts pārvaldes iekārtas likuma (turpmāk - VPIL) 3.panta pirmo daļu, šis likums nosaka Ministru kabinetam padotās valsts pārvaldes institucionālo sistēmu un valsts pārvaldes darbības pamatnoteikumus. Valsts pārvaldi realizē publiska persona — Latvijas Republika kā sākotnējā publisko tiesību juridiskā persona un atvasinātas publiskas personas (pašvaldība vai cita ar likumu vai uz likuma pamata izveidota publiska persona). VPIL 4 pants nosaka, ka Latvijas Republika kā sākotnējā publiskā persona valsts pārvaldes jomā darbojas ar tiešās un pastarpinātās pārvaldes </w:t>
            </w:r>
            <w:r w:rsidRPr="009841AB">
              <w:rPr>
                <w:color w:val="000000"/>
                <w:shd w:val="clear" w:color="auto" w:fill="FFFFFF"/>
              </w:rPr>
              <w:lastRenderedPageBreak/>
              <w:t xml:space="preserve">iestāžu starpniecību. Atvasināta publiska persona valsts pārvaldes jomā darbojas ar pastarpinātās pārvaldes iestāžu starpniecību. </w:t>
            </w:r>
          </w:p>
          <w:p w14:paraId="3EB102AC" w14:textId="77777777" w:rsidR="00D21BB1" w:rsidRPr="009841AB" w:rsidRDefault="00D21BB1" w:rsidP="00D21BB1">
            <w:pPr>
              <w:pStyle w:val="naisc"/>
              <w:jc w:val="both"/>
              <w:rPr>
                <w:color w:val="000000"/>
                <w:shd w:val="clear" w:color="auto" w:fill="FFFFFF"/>
              </w:rPr>
            </w:pPr>
            <w:r w:rsidRPr="009841AB">
              <w:rPr>
                <w:color w:val="000000"/>
                <w:shd w:val="clear" w:color="auto" w:fill="FFFFFF"/>
              </w:rPr>
              <w:t xml:space="preserve">Ievērojot minēto, VPIL izpratnē valsts pārvaldes iestādes jēdzienā tiek ietvertas gan tiešās, gan pastarpinātās valsts pārvaldes iestādes, tostarp pašvaldības.   </w:t>
            </w:r>
          </w:p>
          <w:p w14:paraId="27C067AA" w14:textId="77777777" w:rsidR="00D21BB1" w:rsidRPr="009841AB" w:rsidRDefault="00D21BB1" w:rsidP="00D21BB1">
            <w:pPr>
              <w:pStyle w:val="naisc"/>
              <w:jc w:val="both"/>
              <w:rPr>
                <w:color w:val="000000"/>
                <w:shd w:val="clear" w:color="auto" w:fill="FFFFFF"/>
              </w:rPr>
            </w:pPr>
            <w:r w:rsidRPr="009841AB">
              <w:rPr>
                <w:color w:val="000000"/>
                <w:shd w:val="clear" w:color="auto" w:fill="FFFFFF"/>
              </w:rPr>
              <w:t xml:space="preserve">Saskaņā ar Valsts kancelejas Normatīvo aktu projektu izstrādes rokasgrāmatā[1] norādīto, ja tiesību nozarē, </w:t>
            </w:r>
            <w:proofErr w:type="spellStart"/>
            <w:r w:rsidRPr="009841AB">
              <w:rPr>
                <w:color w:val="000000"/>
                <w:shd w:val="clear" w:color="auto" w:fill="FFFFFF"/>
              </w:rPr>
              <w:t>apakšnozarē</w:t>
            </w:r>
            <w:proofErr w:type="spellEnd"/>
            <w:r w:rsidRPr="009841AB">
              <w:rPr>
                <w:color w:val="000000"/>
                <w:shd w:val="clear" w:color="auto" w:fill="FFFFFF"/>
              </w:rPr>
              <w:t xml:space="preserve"> vai attiecīgajā jomā jau pastāv spēkā esošs tiesiskais regulējums, formulējot jaunā normatīvā akta tiesību normas, ievēro un turpina iepriekšējā regulējuma valodas lietojumu, stilu un terminoloģiju, ciktāl tas ir nepieciešams un iespējams. Normatīvā akta projektā lietotajai </w:t>
            </w:r>
            <w:r w:rsidRPr="009841AB">
              <w:rPr>
                <w:color w:val="000000"/>
                <w:shd w:val="clear" w:color="auto" w:fill="FFFFFF"/>
              </w:rPr>
              <w:lastRenderedPageBreak/>
              <w:t xml:space="preserve">terminoloģijai jāatbilst citiem normatīvajiem aktiem.  </w:t>
            </w:r>
          </w:p>
          <w:p w14:paraId="1B559CCF" w14:textId="77777777" w:rsidR="00D21BB1" w:rsidRPr="009841AB" w:rsidRDefault="00D21BB1" w:rsidP="00D21BB1">
            <w:pPr>
              <w:pStyle w:val="naisc"/>
              <w:jc w:val="both"/>
              <w:rPr>
                <w:color w:val="000000"/>
                <w:shd w:val="clear" w:color="auto" w:fill="FFFFFF"/>
              </w:rPr>
            </w:pPr>
            <w:r w:rsidRPr="009841AB">
              <w:rPr>
                <w:color w:val="000000"/>
                <w:shd w:val="clear" w:color="auto" w:fill="FFFFFF"/>
              </w:rPr>
              <w:t xml:space="preserve">Tiesiskās skaidrības nodrošināšanai IS pamatnostādnēs tiek izmantots analoģisks princips, proti citos tiesību aktos esošās terminoloģijas konsekventa pielietošana. </w:t>
            </w:r>
          </w:p>
          <w:p w14:paraId="3E6D5F95" w14:textId="77777777" w:rsidR="001272D9" w:rsidRPr="009841AB" w:rsidRDefault="00D21BB1" w:rsidP="00D21BB1">
            <w:pPr>
              <w:pStyle w:val="naisc"/>
              <w:spacing w:before="0" w:after="0"/>
              <w:jc w:val="both"/>
              <w:rPr>
                <w:b/>
                <w:bCs/>
              </w:rPr>
            </w:pPr>
            <w:r w:rsidRPr="009841AB">
              <w:rPr>
                <w:color w:val="000000"/>
                <w:shd w:val="clear" w:color="auto" w:fill="FFFFFF"/>
              </w:rPr>
              <w:t xml:space="preserve">  [1] https://tai.mk.gov.lv/book/1/chapter/80</w:t>
            </w:r>
          </w:p>
        </w:tc>
        <w:tc>
          <w:tcPr>
            <w:tcW w:w="3497" w:type="dxa"/>
            <w:tcBorders>
              <w:left w:val="single" w:sz="6" w:space="0" w:color="000000" w:themeColor="text1"/>
              <w:bottom w:val="single" w:sz="4" w:space="0" w:color="auto"/>
            </w:tcBorders>
            <w:shd w:val="clear" w:color="auto" w:fill="auto"/>
          </w:tcPr>
          <w:p w14:paraId="04F89B51" w14:textId="77777777" w:rsidR="001272D9" w:rsidRPr="009841AB" w:rsidRDefault="001272D9" w:rsidP="001272D9">
            <w:pPr>
              <w:pStyle w:val="naisc"/>
              <w:spacing w:before="0" w:after="0"/>
              <w:jc w:val="both"/>
            </w:pPr>
          </w:p>
        </w:tc>
      </w:tr>
      <w:tr w:rsidR="001272D9" w:rsidRPr="009841AB" w14:paraId="21B453A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B490D31" w14:textId="77777777" w:rsidR="001272D9" w:rsidRPr="009841AB" w:rsidRDefault="00C030D3" w:rsidP="001272D9">
            <w:pPr>
              <w:pStyle w:val="naisc"/>
              <w:spacing w:before="0" w:after="0"/>
            </w:pPr>
            <w:r>
              <w:lastRenderedPageBreak/>
              <w:t>305</w:t>
            </w:r>
          </w:p>
        </w:tc>
        <w:tc>
          <w:tcPr>
            <w:tcW w:w="2427" w:type="dxa"/>
            <w:tcBorders>
              <w:left w:val="single" w:sz="6" w:space="0" w:color="000000" w:themeColor="text1"/>
              <w:bottom w:val="single" w:sz="4" w:space="0" w:color="auto"/>
            </w:tcBorders>
            <w:shd w:val="clear" w:color="auto" w:fill="auto"/>
          </w:tcPr>
          <w:p w14:paraId="7C8BE5D7"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DFD6F87" w14:textId="77777777" w:rsidR="001272D9" w:rsidRPr="009841AB" w:rsidRDefault="001272D9" w:rsidP="001272D9">
            <w:pPr>
              <w:jc w:val="both"/>
              <w:rPr>
                <w:i/>
                <w:iCs/>
                <w:color w:val="000000"/>
              </w:rPr>
            </w:pPr>
            <w:r w:rsidRPr="009841AB">
              <w:rPr>
                <w:color w:val="000000"/>
                <w:shd w:val="clear" w:color="auto" w:fill="FFFFFF"/>
              </w:rPr>
              <w:t xml:space="preserve">5. 96. lapa. </w:t>
            </w:r>
            <w:r w:rsidRPr="009841AB">
              <w:rPr>
                <w:i/>
                <w:iCs/>
                <w:color w:val="000000"/>
                <w:shd w:val="clear" w:color="auto" w:fill="FFFFFF"/>
              </w:rPr>
              <w:t>“</w:t>
            </w:r>
            <w:r w:rsidRPr="009841AB">
              <w:rPr>
                <w:i/>
                <w:iCs/>
                <w:color w:val="000000"/>
              </w:rPr>
              <w:t>Sagaidāmie rezultāti:</w:t>
            </w:r>
          </w:p>
          <w:p w14:paraId="1EAC62CA" w14:textId="77777777" w:rsidR="001272D9" w:rsidRPr="009841AB" w:rsidRDefault="001272D9" w:rsidP="001272D9">
            <w:pPr>
              <w:ind w:right="12"/>
              <w:jc w:val="both"/>
              <w:rPr>
                <w:i/>
                <w:iCs/>
                <w:color w:val="000000"/>
              </w:rPr>
            </w:pPr>
            <w:r w:rsidRPr="009841AB">
              <w:rPr>
                <w:i/>
                <w:iCs/>
                <w:color w:val="000000"/>
              </w:rPr>
              <w:t xml:space="preserve">2. Valsts informācijas resursu un </w:t>
            </w:r>
            <w:proofErr w:type="spellStart"/>
            <w:r w:rsidRPr="009841AB">
              <w:rPr>
                <w:i/>
                <w:iCs/>
                <w:color w:val="000000"/>
              </w:rPr>
              <w:t>sadarbspējas</w:t>
            </w:r>
            <w:proofErr w:type="spellEnd"/>
            <w:r w:rsidRPr="009841AB">
              <w:rPr>
                <w:i/>
                <w:iCs/>
                <w:color w:val="000000"/>
              </w:rPr>
              <w:t xml:space="preserve"> informācijas sistēmā ir aprakstīti visi valsts informācijas resursi un iestāžu sniegtie informācijas pakalpojumi.”</w:t>
            </w:r>
          </w:p>
          <w:p w14:paraId="5656A391" w14:textId="77777777" w:rsidR="001272D9" w:rsidRPr="009841AB" w:rsidRDefault="001272D9" w:rsidP="001272D9">
            <w:pPr>
              <w:ind w:right="12"/>
              <w:jc w:val="both"/>
              <w:rPr>
                <w:color w:val="000000"/>
                <w:shd w:val="clear" w:color="auto" w:fill="FFFFFF"/>
              </w:rPr>
            </w:pPr>
            <w:r w:rsidRPr="009841AB">
              <w:rPr>
                <w:color w:val="000000"/>
                <w:shd w:val="clear" w:color="auto" w:fill="FFFFFF"/>
              </w:rPr>
              <w:t>Vai šajā sistēmā plānots iekļaut arī pašvaldību informācijas resursus?</w:t>
            </w:r>
          </w:p>
        </w:tc>
        <w:tc>
          <w:tcPr>
            <w:tcW w:w="2480" w:type="dxa"/>
            <w:tcBorders>
              <w:left w:val="single" w:sz="6" w:space="0" w:color="000000" w:themeColor="text1"/>
              <w:bottom w:val="single" w:sz="4" w:space="0" w:color="auto"/>
            </w:tcBorders>
            <w:shd w:val="clear" w:color="auto" w:fill="auto"/>
          </w:tcPr>
          <w:p w14:paraId="54CDD6C1" w14:textId="77777777" w:rsidR="009444C3" w:rsidRPr="009841AB" w:rsidRDefault="001272D9" w:rsidP="001272D9">
            <w:pPr>
              <w:pStyle w:val="naisc"/>
              <w:spacing w:before="0" w:after="0"/>
              <w:jc w:val="left"/>
            </w:pPr>
            <w:r w:rsidRPr="009841AB">
              <w:rPr>
                <w:b/>
              </w:rPr>
              <w:t>Ņemts vērā</w:t>
            </w:r>
          </w:p>
          <w:p w14:paraId="77B48539" w14:textId="77777777" w:rsidR="001272D9" w:rsidRPr="009841AB" w:rsidRDefault="001272D9" w:rsidP="001272D9">
            <w:pPr>
              <w:pStyle w:val="naisc"/>
              <w:spacing w:before="0" w:after="0"/>
              <w:jc w:val="left"/>
            </w:pPr>
            <w:r w:rsidRPr="009841AB">
              <w:t>Šobrīd tiek izstrādāti grozījumi VISL, lai turpmāk VIRSIS iekļautu arī pašvaldību informācijas resursus.</w:t>
            </w:r>
          </w:p>
        </w:tc>
        <w:tc>
          <w:tcPr>
            <w:tcW w:w="3497" w:type="dxa"/>
            <w:tcBorders>
              <w:left w:val="single" w:sz="6" w:space="0" w:color="000000" w:themeColor="text1"/>
              <w:bottom w:val="single" w:sz="4" w:space="0" w:color="auto"/>
            </w:tcBorders>
            <w:shd w:val="clear" w:color="auto" w:fill="auto"/>
          </w:tcPr>
          <w:p w14:paraId="6367D71D" w14:textId="77777777" w:rsidR="001272D9" w:rsidRPr="009841AB" w:rsidRDefault="001272D9" w:rsidP="001272D9">
            <w:pPr>
              <w:pStyle w:val="naisc"/>
              <w:spacing w:before="0" w:after="0"/>
              <w:jc w:val="both"/>
            </w:pPr>
          </w:p>
        </w:tc>
      </w:tr>
      <w:tr w:rsidR="001272D9" w:rsidRPr="009841AB" w14:paraId="7641015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DFAA2B0" w14:textId="77777777" w:rsidR="001272D9" w:rsidRPr="009841AB" w:rsidRDefault="00C030D3" w:rsidP="001272D9">
            <w:pPr>
              <w:pStyle w:val="naisc"/>
              <w:spacing w:before="0" w:after="0"/>
            </w:pPr>
            <w:r>
              <w:t>306</w:t>
            </w:r>
          </w:p>
        </w:tc>
        <w:tc>
          <w:tcPr>
            <w:tcW w:w="2427" w:type="dxa"/>
            <w:tcBorders>
              <w:left w:val="single" w:sz="6" w:space="0" w:color="000000" w:themeColor="text1"/>
              <w:bottom w:val="single" w:sz="4" w:space="0" w:color="auto"/>
            </w:tcBorders>
            <w:shd w:val="clear" w:color="auto" w:fill="auto"/>
          </w:tcPr>
          <w:p w14:paraId="333FEC11"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6500F82" w14:textId="77777777" w:rsidR="001272D9" w:rsidRPr="009841AB" w:rsidRDefault="001272D9" w:rsidP="001272D9">
            <w:pPr>
              <w:jc w:val="both"/>
              <w:rPr>
                <w:i/>
                <w:iCs/>
              </w:rPr>
            </w:pPr>
            <w:r w:rsidRPr="009841AB">
              <w:rPr>
                <w:color w:val="000000"/>
                <w:shd w:val="clear" w:color="auto" w:fill="FFFFFF"/>
              </w:rPr>
              <w:t xml:space="preserve">6. 101.-102. lapa. </w:t>
            </w:r>
            <w:r w:rsidRPr="009841AB">
              <w:rPr>
                <w:i/>
                <w:iCs/>
                <w:color w:val="000000"/>
                <w:shd w:val="clear" w:color="auto" w:fill="FFFFFF"/>
              </w:rPr>
              <w:t>“</w:t>
            </w:r>
            <w:r w:rsidRPr="009841AB">
              <w:rPr>
                <w:i/>
                <w:iCs/>
              </w:rPr>
              <w:t>Papildus vienotās datu telpas izveide nosaka, ka ir nepieciešams: [..]”</w:t>
            </w:r>
          </w:p>
          <w:p w14:paraId="386FC512" w14:textId="77777777" w:rsidR="001272D9" w:rsidRPr="009841AB" w:rsidRDefault="001272D9" w:rsidP="001272D9">
            <w:pPr>
              <w:jc w:val="both"/>
              <w:rPr>
                <w:color w:val="000000"/>
                <w:shd w:val="clear" w:color="auto" w:fill="FFFFFF"/>
              </w:rPr>
            </w:pPr>
            <w:r w:rsidRPr="009841AB">
              <w:rPr>
                <w:color w:val="000000"/>
                <w:shd w:val="clear" w:color="auto" w:fill="FFFFFF"/>
              </w:rPr>
              <w:t>Nav skaidrs, kāda šeit ir pašvaldību loma, jo tā pieminēta tikai pie datu apzināšanas, bet pārējos punktos nevar saprast, vai pašvaldības ir iekļautas vai nav.</w:t>
            </w:r>
          </w:p>
          <w:p w14:paraId="32E80B06" w14:textId="77777777" w:rsidR="001272D9" w:rsidRPr="009841AB" w:rsidRDefault="001272D9" w:rsidP="001272D9">
            <w:pPr>
              <w:jc w:val="both"/>
              <w:rPr>
                <w:color w:val="000000"/>
                <w:shd w:val="clear" w:color="auto" w:fill="FFFFFF"/>
              </w:rPr>
            </w:pPr>
            <w:r w:rsidRPr="009841AB">
              <w:rPr>
                <w:color w:val="000000"/>
                <w:shd w:val="clear" w:color="auto" w:fill="FFFFFF"/>
              </w:rPr>
              <w:t xml:space="preserve">Tiesiskais regulējums starp valsts pārvaldi un pašvaldībām par datu apmaiņu – šobrīd katra pašvaldība slēdz atsevišķu līgumu ar ministrijām par datu apmaiņu, neskatoties uz to, ka datu apjomus un apmaiņas kārtība ir noteikta MK noteikumos. Ir </w:t>
            </w:r>
            <w:r w:rsidRPr="009841AB">
              <w:rPr>
                <w:color w:val="000000"/>
                <w:shd w:val="clear" w:color="auto" w:fill="FFFFFF"/>
              </w:rPr>
              <w:lastRenderedPageBreak/>
              <w:t>nepieciešams izstrādāt sistēmu, kā mazināt birokrātisko slogu.</w:t>
            </w:r>
          </w:p>
        </w:tc>
        <w:tc>
          <w:tcPr>
            <w:tcW w:w="2480" w:type="dxa"/>
            <w:tcBorders>
              <w:left w:val="single" w:sz="6" w:space="0" w:color="000000" w:themeColor="text1"/>
              <w:bottom w:val="single" w:sz="4" w:space="0" w:color="auto"/>
            </w:tcBorders>
            <w:shd w:val="clear" w:color="auto" w:fill="auto"/>
          </w:tcPr>
          <w:p w14:paraId="0AFBA399" w14:textId="77777777" w:rsidR="00832566" w:rsidRPr="009841AB" w:rsidRDefault="00832566" w:rsidP="00832566">
            <w:pPr>
              <w:pStyle w:val="naisc"/>
              <w:jc w:val="left"/>
              <w:rPr>
                <w:b/>
                <w:bCs/>
              </w:rPr>
            </w:pPr>
            <w:r w:rsidRPr="009841AB">
              <w:rPr>
                <w:b/>
                <w:bCs/>
              </w:rPr>
              <w:lastRenderedPageBreak/>
              <w:t xml:space="preserve">Ņemts vērā </w:t>
            </w:r>
          </w:p>
          <w:p w14:paraId="72BFE3D2" w14:textId="77777777" w:rsidR="00832566" w:rsidRPr="009841AB" w:rsidRDefault="00832566" w:rsidP="00832566">
            <w:pPr>
              <w:pStyle w:val="naisc"/>
              <w:jc w:val="left"/>
            </w:pPr>
            <w:r w:rsidRPr="009841AB">
              <w:t xml:space="preserve">Saskaņā ar Valsts pārvaldes iekārtas likuma (turpmāk - VPIL) 3.panta pirmo daļu, šis likums nosaka Ministru kabinetam padotās valsts pārvaldes institucionālo sistēmu un valsts pārvaldes darbības </w:t>
            </w:r>
            <w:r w:rsidRPr="009841AB">
              <w:lastRenderedPageBreak/>
              <w:t xml:space="preserve">pamatnoteikumus. Valsts pārvaldi realizē publiska persona — Latvijas Republika kā sākotnējā publisko tiesību juridiskā persona un atvasinātas publiskas personas (pašvaldība vai cita ar likumu vai uz likuma pamata izveidota publiska persona). VPIL 4 pants nosaka, ka Latvijas Republika kā sākotnējā publiskā persona valsts pārvaldes jomā darbojas ar tiešās un pastarpinātās pārvaldes iestāžu starpniecību. Atvasināta publiska persona valsts pārvaldes jomā darbojas ar pastarpinātās pārvaldes iestāžu starpniecību. </w:t>
            </w:r>
          </w:p>
          <w:p w14:paraId="4693D4D1" w14:textId="77777777" w:rsidR="00832566" w:rsidRPr="009841AB" w:rsidRDefault="00832566" w:rsidP="00832566">
            <w:pPr>
              <w:pStyle w:val="naisc"/>
              <w:jc w:val="left"/>
            </w:pPr>
            <w:r w:rsidRPr="009841AB">
              <w:t xml:space="preserve">Ievērojot minēto, VPIL izpratnē valsts pārvaldes iestādes jēdzienā tiek ietvertas gan tiešās, gan pastarpinātās valsts pārvaldes iestādes, tostarp pašvaldības.   </w:t>
            </w:r>
          </w:p>
          <w:p w14:paraId="30583490" w14:textId="77777777" w:rsidR="00832566" w:rsidRPr="009841AB" w:rsidRDefault="00832566" w:rsidP="00832566">
            <w:pPr>
              <w:pStyle w:val="naisc"/>
              <w:jc w:val="left"/>
            </w:pPr>
            <w:r w:rsidRPr="009841AB">
              <w:lastRenderedPageBreak/>
              <w:t xml:space="preserve">Saskaņā ar Valsts kancelejas Normatīvo aktu projektu izstrādes rokasgrāmatā[1] norādīto, ja tiesību nozarē, </w:t>
            </w:r>
            <w:proofErr w:type="spellStart"/>
            <w:r w:rsidRPr="009841AB">
              <w:t>apakšnozarē</w:t>
            </w:r>
            <w:proofErr w:type="spellEnd"/>
            <w:r w:rsidRPr="009841AB">
              <w:t xml:space="preserve"> vai attiecīgajā jomā jau pastāv spēkā esošs tiesiskais regulējums, formulējot jaunā normatīvā akta tiesību normas, ievēro un turpina iepriekšējā regulējuma valodas lietojumu, stilu un terminoloģiju, ciktāl tas ir nepieciešams un iespējams. Normatīvā akta projektā lietotajai terminoloģijai jāatbilst citiem normatīvajiem aktiem.  </w:t>
            </w:r>
          </w:p>
          <w:p w14:paraId="42E53B99" w14:textId="77777777" w:rsidR="00832566" w:rsidRPr="009841AB" w:rsidRDefault="00832566" w:rsidP="00832566">
            <w:pPr>
              <w:pStyle w:val="naisc"/>
              <w:jc w:val="left"/>
            </w:pPr>
            <w:r w:rsidRPr="009841AB">
              <w:t xml:space="preserve">Tiesiskās skaidrības nodrošināšanai IS pamatnostādnēs tiek izmantots analoģisks princips, proti citos tiesību aktos esošās terminoloģijas konsekventa pielietošana. </w:t>
            </w:r>
          </w:p>
          <w:p w14:paraId="6F2C3AC4" w14:textId="77777777" w:rsidR="00832566" w:rsidRPr="009841AB" w:rsidRDefault="00832566" w:rsidP="00832566">
            <w:pPr>
              <w:pStyle w:val="naisc"/>
              <w:spacing w:before="0" w:after="0"/>
              <w:jc w:val="left"/>
              <w:rPr>
                <w:b/>
                <w:bCs/>
              </w:rPr>
            </w:pPr>
            <w:r w:rsidRPr="009841AB">
              <w:t xml:space="preserve">  [1] https://tai.mk.gov.lv/book/1/chapter/80</w:t>
            </w:r>
          </w:p>
        </w:tc>
        <w:tc>
          <w:tcPr>
            <w:tcW w:w="3497" w:type="dxa"/>
            <w:tcBorders>
              <w:left w:val="single" w:sz="6" w:space="0" w:color="000000" w:themeColor="text1"/>
              <w:bottom w:val="single" w:sz="4" w:space="0" w:color="auto"/>
            </w:tcBorders>
            <w:shd w:val="clear" w:color="auto" w:fill="auto"/>
          </w:tcPr>
          <w:p w14:paraId="0ED75769" w14:textId="77777777" w:rsidR="001272D9" w:rsidRPr="009841AB" w:rsidRDefault="001272D9" w:rsidP="001272D9">
            <w:pPr>
              <w:pStyle w:val="naisc"/>
              <w:spacing w:before="0" w:after="0"/>
              <w:jc w:val="both"/>
            </w:pPr>
          </w:p>
        </w:tc>
      </w:tr>
      <w:tr w:rsidR="001272D9" w:rsidRPr="009841AB" w14:paraId="4959CBC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6DCD779" w14:textId="77777777" w:rsidR="001272D9" w:rsidRPr="009841AB" w:rsidRDefault="00C030D3" w:rsidP="001272D9">
            <w:pPr>
              <w:pStyle w:val="naisc"/>
              <w:spacing w:before="0" w:after="0"/>
            </w:pPr>
            <w:r>
              <w:lastRenderedPageBreak/>
              <w:t>307</w:t>
            </w:r>
          </w:p>
        </w:tc>
        <w:tc>
          <w:tcPr>
            <w:tcW w:w="2427" w:type="dxa"/>
            <w:tcBorders>
              <w:left w:val="single" w:sz="6" w:space="0" w:color="000000" w:themeColor="text1"/>
              <w:bottom w:val="single" w:sz="4" w:space="0" w:color="auto"/>
            </w:tcBorders>
            <w:shd w:val="clear" w:color="auto" w:fill="auto"/>
          </w:tcPr>
          <w:p w14:paraId="5142FC6C"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1DA8F4F" w14:textId="77777777" w:rsidR="001272D9" w:rsidRPr="009841AB" w:rsidRDefault="001272D9" w:rsidP="001272D9">
            <w:pPr>
              <w:jc w:val="both"/>
              <w:rPr>
                <w:i/>
                <w:color w:val="000000"/>
              </w:rPr>
            </w:pPr>
            <w:r w:rsidRPr="009841AB">
              <w:rPr>
                <w:color w:val="000000"/>
                <w:shd w:val="clear" w:color="auto" w:fill="FFFFFF"/>
              </w:rPr>
              <w:t xml:space="preserve">7. 113. lapa. </w:t>
            </w:r>
            <w:r w:rsidRPr="009841AB">
              <w:rPr>
                <w:i/>
                <w:color w:val="000000"/>
                <w:shd w:val="clear" w:color="auto" w:fill="FFFFFF"/>
              </w:rPr>
              <w:t>“</w:t>
            </w:r>
            <w:r w:rsidRPr="009841AB">
              <w:rPr>
                <w:i/>
                <w:color w:val="000000"/>
              </w:rPr>
              <w:t xml:space="preserve">Ja valsts pārvaldē tiktu (piemēram, Uzņēmumu reģistra vai PMLP) ieviesti </w:t>
            </w:r>
            <w:proofErr w:type="spellStart"/>
            <w:r w:rsidRPr="009841AB">
              <w:rPr>
                <w:i/>
                <w:color w:val="000000"/>
              </w:rPr>
              <w:t>zibmaksājumu</w:t>
            </w:r>
            <w:proofErr w:type="spellEnd"/>
            <w:r w:rsidRPr="009841AB">
              <w:rPr>
                <w:i/>
                <w:color w:val="000000"/>
              </w:rPr>
              <w:t xml:space="preserve"> pieprasījumi, tas uzlabotu samaksas procesu, kurā, izmantojot </w:t>
            </w:r>
            <w:proofErr w:type="spellStart"/>
            <w:r w:rsidRPr="009841AB">
              <w:rPr>
                <w:i/>
                <w:color w:val="000000"/>
              </w:rPr>
              <w:t>zibmaksājumus</w:t>
            </w:r>
            <w:proofErr w:type="spellEnd"/>
            <w:r w:rsidRPr="009841AB">
              <w:rPr>
                <w:i/>
                <w:color w:val="000000"/>
              </w:rPr>
              <w:t xml:space="preserve"> tiktu novērstas kļūdīšanās iespējas no maksātāja puses un tiktu garantēta </w:t>
            </w:r>
            <w:proofErr w:type="spellStart"/>
            <w:r w:rsidRPr="009841AB">
              <w:rPr>
                <w:i/>
                <w:color w:val="000000"/>
              </w:rPr>
              <w:t>zibmaksājuma</w:t>
            </w:r>
            <w:proofErr w:type="spellEnd"/>
            <w:r w:rsidRPr="009841AB">
              <w:rPr>
                <w:i/>
                <w:color w:val="000000"/>
              </w:rPr>
              <w:t xml:space="preserve"> saņemšana, šādi maksātājam būtiski taupot resursus un laiku, lai sagatavotu un veiktu precīzus </w:t>
            </w:r>
            <w:proofErr w:type="spellStart"/>
            <w:r w:rsidRPr="009841AB">
              <w:rPr>
                <w:i/>
                <w:color w:val="000000"/>
              </w:rPr>
              <w:t>zibmaksājumus</w:t>
            </w:r>
            <w:proofErr w:type="spellEnd"/>
            <w:r w:rsidRPr="009841AB">
              <w:rPr>
                <w:i/>
                <w:color w:val="000000"/>
              </w:rPr>
              <w:t xml:space="preserve"> ar iestādei nepieciešamām maksājuma detaļām un identifikatoriem.”</w:t>
            </w:r>
          </w:p>
          <w:p w14:paraId="08B87589" w14:textId="77777777" w:rsidR="001272D9" w:rsidRPr="009841AB" w:rsidRDefault="001272D9" w:rsidP="001272D9">
            <w:pPr>
              <w:jc w:val="both"/>
              <w:rPr>
                <w:color w:val="000000"/>
                <w:shd w:val="clear" w:color="auto" w:fill="FFFFFF"/>
              </w:rPr>
            </w:pPr>
            <w:r w:rsidRPr="009841AB">
              <w:rPr>
                <w:color w:val="000000"/>
                <w:shd w:val="clear" w:color="auto" w:fill="FFFFFF"/>
              </w:rPr>
              <w:t xml:space="preserve">Šeit nav iesaistītas pašvaldības. Neskatoties uz to, ka daudzas pašvaldības izmanto to pašu Finanšu vadības sistēmu (piemēram, </w:t>
            </w:r>
            <w:proofErr w:type="spellStart"/>
            <w:r w:rsidRPr="009841AB">
              <w:rPr>
                <w:color w:val="000000"/>
                <w:shd w:val="clear" w:color="auto" w:fill="FFFFFF"/>
              </w:rPr>
              <w:t>Horizon</w:t>
            </w:r>
            <w:proofErr w:type="spellEnd"/>
            <w:r w:rsidRPr="009841AB">
              <w:rPr>
                <w:color w:val="000000"/>
                <w:shd w:val="clear" w:color="auto" w:fill="FFFFFF"/>
              </w:rPr>
              <w:t>), ko valsts pārvaldē, katrai pašvaldībai atsevišķi jāveic integrācijas pielāgojumi.</w:t>
            </w:r>
          </w:p>
        </w:tc>
        <w:tc>
          <w:tcPr>
            <w:tcW w:w="2480" w:type="dxa"/>
            <w:tcBorders>
              <w:left w:val="single" w:sz="6" w:space="0" w:color="000000" w:themeColor="text1"/>
              <w:bottom w:val="single" w:sz="4" w:space="0" w:color="auto"/>
            </w:tcBorders>
            <w:shd w:val="clear" w:color="auto" w:fill="auto"/>
          </w:tcPr>
          <w:p w14:paraId="2781C636" w14:textId="77777777" w:rsidR="00F529C4" w:rsidRPr="009841AB" w:rsidRDefault="00F529C4" w:rsidP="001272D9">
            <w:pPr>
              <w:pStyle w:val="naisc"/>
              <w:spacing w:before="0" w:after="0"/>
              <w:jc w:val="left"/>
              <w:rPr>
                <w:b/>
                <w:bCs/>
              </w:rPr>
            </w:pPr>
            <w:r w:rsidRPr="009841AB">
              <w:rPr>
                <w:b/>
                <w:bCs/>
              </w:rPr>
              <w:t>Ņemts vērā</w:t>
            </w:r>
          </w:p>
          <w:p w14:paraId="389DDD5C" w14:textId="77777777" w:rsidR="00F529C4" w:rsidRPr="009841AB" w:rsidRDefault="00F529C4" w:rsidP="001272D9">
            <w:pPr>
              <w:pStyle w:val="naisc"/>
              <w:spacing w:before="0" w:after="0"/>
              <w:jc w:val="left"/>
              <w:rPr>
                <w:bCs/>
              </w:rPr>
            </w:pPr>
            <w:r w:rsidRPr="009841AB">
              <w:rPr>
                <w:bCs/>
              </w:rPr>
              <w:t xml:space="preserve">Paredzēts uzdevums ieviest </w:t>
            </w:r>
            <w:proofErr w:type="spellStart"/>
            <w:r w:rsidRPr="009841AB">
              <w:rPr>
                <w:bCs/>
              </w:rPr>
              <w:t>zibmaksājumus</w:t>
            </w:r>
            <w:proofErr w:type="spellEnd"/>
            <w:r w:rsidRPr="009841AB">
              <w:rPr>
                <w:bCs/>
              </w:rPr>
              <w:t xml:space="preserve"> valsts (attiecīgi - valsts un pašvaldību) sektorā U4.4.3.3.-1</w:t>
            </w:r>
          </w:p>
        </w:tc>
        <w:tc>
          <w:tcPr>
            <w:tcW w:w="3497" w:type="dxa"/>
            <w:tcBorders>
              <w:left w:val="single" w:sz="6" w:space="0" w:color="000000" w:themeColor="text1"/>
              <w:bottom w:val="single" w:sz="4" w:space="0" w:color="auto"/>
            </w:tcBorders>
            <w:shd w:val="clear" w:color="auto" w:fill="auto"/>
          </w:tcPr>
          <w:p w14:paraId="1B41E0CD" w14:textId="77777777" w:rsidR="001272D9" w:rsidRPr="009841AB" w:rsidRDefault="00F529C4" w:rsidP="001272D9">
            <w:pPr>
              <w:pStyle w:val="naisc"/>
              <w:spacing w:before="0" w:after="0"/>
              <w:jc w:val="both"/>
            </w:pPr>
            <w:r w:rsidRPr="009841AB">
              <w:t xml:space="preserve">Lūdzam skatīt uzdevumu </w:t>
            </w:r>
            <w:r w:rsidRPr="009841AB">
              <w:rPr>
                <w:bCs/>
              </w:rPr>
              <w:t>U4.4.3.3.-1</w:t>
            </w:r>
          </w:p>
        </w:tc>
      </w:tr>
      <w:tr w:rsidR="001272D9" w:rsidRPr="009841AB" w14:paraId="4B51E32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4EC3B36" w14:textId="77777777" w:rsidR="001272D9" w:rsidRPr="009841AB" w:rsidRDefault="00C030D3" w:rsidP="001272D9">
            <w:pPr>
              <w:pStyle w:val="naisc"/>
              <w:spacing w:before="0" w:after="0"/>
            </w:pPr>
            <w:r>
              <w:t>308</w:t>
            </w:r>
          </w:p>
        </w:tc>
        <w:tc>
          <w:tcPr>
            <w:tcW w:w="2427" w:type="dxa"/>
            <w:tcBorders>
              <w:left w:val="single" w:sz="6" w:space="0" w:color="000000" w:themeColor="text1"/>
              <w:bottom w:val="single" w:sz="4" w:space="0" w:color="auto"/>
            </w:tcBorders>
            <w:shd w:val="clear" w:color="auto" w:fill="auto"/>
          </w:tcPr>
          <w:p w14:paraId="45A841E3"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2F46EF0" w14:textId="77777777" w:rsidR="001272D9" w:rsidRPr="009841AB" w:rsidRDefault="001272D9" w:rsidP="001272D9">
            <w:pPr>
              <w:jc w:val="both"/>
              <w:rPr>
                <w:color w:val="000000"/>
                <w:shd w:val="clear" w:color="auto" w:fill="FFFFFF"/>
              </w:rPr>
            </w:pPr>
            <w:r w:rsidRPr="009841AB">
              <w:rPr>
                <w:color w:val="000000"/>
                <w:shd w:val="clear" w:color="auto" w:fill="FFFFFF"/>
              </w:rPr>
              <w:t>8. 116. lapa. “Rīcības nolūks 1.-3.”.</w:t>
            </w:r>
          </w:p>
          <w:p w14:paraId="5650E658" w14:textId="77777777" w:rsidR="001272D9" w:rsidRPr="009841AB" w:rsidRDefault="001272D9" w:rsidP="001272D9">
            <w:pPr>
              <w:pStyle w:val="CommentText"/>
              <w:jc w:val="both"/>
              <w:rPr>
                <w:color w:val="000000"/>
                <w:sz w:val="24"/>
                <w:szCs w:val="24"/>
              </w:rPr>
            </w:pPr>
            <w:r w:rsidRPr="009841AB">
              <w:rPr>
                <w:color w:val="000000"/>
                <w:sz w:val="24"/>
                <w:szCs w:val="24"/>
              </w:rPr>
              <w:t xml:space="preserve">Priekšlikums šīs rīcības rezultātā veidot arī civilās aizsardzības koplietošanas risinājumu, kas būtu pielietojama visām pašvaldībām, piem., Rīgas gadījumā būtu būtiska sasaiste ar Pierīgas pašvaldībām, jo negadījumu, katastrofu efekts un sekas ietekmē ne tikai konkrētu ģeogrāfiski nodalītu teritoriju. </w:t>
            </w:r>
          </w:p>
          <w:p w14:paraId="78A1B327" w14:textId="77777777" w:rsidR="001272D9" w:rsidRPr="009841AB" w:rsidRDefault="001272D9" w:rsidP="001272D9">
            <w:pPr>
              <w:pStyle w:val="CommentText"/>
              <w:spacing w:after="120"/>
              <w:jc w:val="both"/>
              <w:rPr>
                <w:color w:val="000000"/>
                <w:sz w:val="24"/>
                <w:szCs w:val="24"/>
              </w:rPr>
            </w:pPr>
            <w:r w:rsidRPr="009841AB">
              <w:rPr>
                <w:color w:val="000000"/>
                <w:sz w:val="24"/>
                <w:szCs w:val="24"/>
              </w:rPr>
              <w:t xml:space="preserve">Šīs jomas ir starpnozaru un dažādu līmeņu, tādēļ uzdevumu īstenošanā vēlams paplašināt ietekmi un sadarbību, piemēram, iesaistot </w:t>
            </w:r>
            <w:proofErr w:type="spellStart"/>
            <w:r w:rsidRPr="009841AB">
              <w:rPr>
                <w:color w:val="000000"/>
                <w:sz w:val="24"/>
                <w:szCs w:val="24"/>
              </w:rPr>
              <w:t>Iekšlietu</w:t>
            </w:r>
            <w:proofErr w:type="spellEnd"/>
            <w:r w:rsidRPr="009841AB">
              <w:rPr>
                <w:color w:val="000000"/>
                <w:sz w:val="24"/>
                <w:szCs w:val="24"/>
              </w:rPr>
              <w:t xml:space="preserve"> ministriju, kuras pakļautībā ir Valsts ugunsdzēsības un glābšanas dienests –  atbildīgais par civilo aizsardzību valstī. </w:t>
            </w:r>
          </w:p>
        </w:tc>
        <w:tc>
          <w:tcPr>
            <w:tcW w:w="2480" w:type="dxa"/>
            <w:tcBorders>
              <w:left w:val="single" w:sz="6" w:space="0" w:color="000000" w:themeColor="text1"/>
              <w:bottom w:val="single" w:sz="4" w:space="0" w:color="auto"/>
            </w:tcBorders>
            <w:shd w:val="clear" w:color="auto" w:fill="auto"/>
          </w:tcPr>
          <w:p w14:paraId="6E62E2AA" w14:textId="77777777" w:rsidR="00C21206" w:rsidRPr="009841AB" w:rsidRDefault="00C21206" w:rsidP="001272D9">
            <w:pPr>
              <w:pStyle w:val="naisc"/>
              <w:spacing w:before="0" w:after="0"/>
              <w:jc w:val="left"/>
              <w:rPr>
                <w:b/>
                <w:bCs/>
              </w:rPr>
            </w:pPr>
            <w:r w:rsidRPr="009841AB">
              <w:rPr>
                <w:b/>
                <w:bCs/>
              </w:rPr>
              <w:t>Ņemts vērā</w:t>
            </w:r>
          </w:p>
          <w:p w14:paraId="629E8B91" w14:textId="77777777" w:rsidR="00C21206" w:rsidRPr="009841AB" w:rsidRDefault="00C21206" w:rsidP="001272D9">
            <w:pPr>
              <w:pStyle w:val="naisc"/>
              <w:spacing w:before="0" w:after="0"/>
              <w:jc w:val="left"/>
            </w:pPr>
            <w:r w:rsidRPr="009841AB">
              <w:t>Rīcības nolūks papildināts ar atsauci ne tikai uz vides katastrofu pārvaldību, bet iekļaujot arī civilo aizsardzību.</w:t>
            </w:r>
          </w:p>
        </w:tc>
        <w:tc>
          <w:tcPr>
            <w:tcW w:w="3497" w:type="dxa"/>
            <w:tcBorders>
              <w:left w:val="single" w:sz="6" w:space="0" w:color="000000" w:themeColor="text1"/>
              <w:bottom w:val="single" w:sz="4" w:space="0" w:color="auto"/>
            </w:tcBorders>
            <w:shd w:val="clear" w:color="auto" w:fill="auto"/>
          </w:tcPr>
          <w:p w14:paraId="775D2498" w14:textId="77777777" w:rsidR="001272D9" w:rsidRPr="009841AB" w:rsidRDefault="007B63A7" w:rsidP="007B63A7">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272D9" w:rsidRPr="009841AB" w14:paraId="212A0A8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F83A2BD" w14:textId="77777777" w:rsidR="001272D9" w:rsidRPr="009841AB" w:rsidRDefault="00C030D3" w:rsidP="001272D9">
            <w:pPr>
              <w:pStyle w:val="naisc"/>
              <w:spacing w:before="0" w:after="0"/>
            </w:pPr>
            <w:r>
              <w:t>309</w:t>
            </w:r>
          </w:p>
        </w:tc>
        <w:tc>
          <w:tcPr>
            <w:tcW w:w="2427" w:type="dxa"/>
            <w:tcBorders>
              <w:left w:val="single" w:sz="6" w:space="0" w:color="000000" w:themeColor="text1"/>
              <w:bottom w:val="single" w:sz="4" w:space="0" w:color="auto"/>
            </w:tcBorders>
            <w:shd w:val="clear" w:color="auto" w:fill="auto"/>
          </w:tcPr>
          <w:p w14:paraId="1806EB27"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C77FD60" w14:textId="77777777" w:rsidR="001272D9" w:rsidRPr="009841AB" w:rsidRDefault="001272D9" w:rsidP="001272D9">
            <w:pPr>
              <w:pStyle w:val="CommentText"/>
              <w:jc w:val="both"/>
              <w:rPr>
                <w:i/>
                <w:iCs/>
                <w:color w:val="000000"/>
                <w:sz w:val="24"/>
                <w:szCs w:val="24"/>
              </w:rPr>
            </w:pPr>
            <w:r w:rsidRPr="009841AB">
              <w:rPr>
                <w:color w:val="000000"/>
                <w:sz w:val="24"/>
                <w:szCs w:val="24"/>
              </w:rPr>
              <w:t xml:space="preserve">9. 116. lapa. </w:t>
            </w:r>
            <w:r w:rsidRPr="009841AB">
              <w:rPr>
                <w:i/>
                <w:iCs/>
                <w:color w:val="000000"/>
                <w:sz w:val="24"/>
                <w:szCs w:val="24"/>
              </w:rPr>
              <w:t>“</w:t>
            </w:r>
            <w:proofErr w:type="spellStart"/>
            <w:r w:rsidRPr="009841AB">
              <w:rPr>
                <w:i/>
                <w:iCs/>
                <w:color w:val="000000"/>
                <w:sz w:val="24"/>
                <w:szCs w:val="24"/>
              </w:rPr>
              <w:t>Digitalizēt</w:t>
            </w:r>
            <w:proofErr w:type="spellEnd"/>
            <w:r w:rsidRPr="009841AB">
              <w:rPr>
                <w:i/>
                <w:iCs/>
                <w:color w:val="000000"/>
                <w:sz w:val="24"/>
                <w:szCs w:val="24"/>
              </w:rPr>
              <w:t xml:space="preserve"> vides un ģeotelpiskos datus, izveidojot vides “digitālo dvīni”, datu </w:t>
            </w:r>
            <w:proofErr w:type="spellStart"/>
            <w:r w:rsidRPr="009841AB">
              <w:rPr>
                <w:i/>
                <w:iCs/>
                <w:color w:val="000000"/>
                <w:sz w:val="24"/>
                <w:szCs w:val="24"/>
              </w:rPr>
              <w:t>digitalizēšanā</w:t>
            </w:r>
            <w:proofErr w:type="spellEnd"/>
            <w:r w:rsidRPr="009841AB">
              <w:rPr>
                <w:i/>
                <w:iCs/>
                <w:color w:val="000000"/>
                <w:sz w:val="24"/>
                <w:szCs w:val="24"/>
              </w:rPr>
              <w:t xml:space="preserve"> iesaistot sabiedrību un nodrošinot šo datu apriti un kopīgu izmantošanu dažādās ekonomikas attīstības jomās.”</w:t>
            </w:r>
          </w:p>
          <w:p w14:paraId="02402D49" w14:textId="77777777" w:rsidR="001272D9" w:rsidRPr="009841AB" w:rsidRDefault="001272D9" w:rsidP="001272D9">
            <w:pPr>
              <w:jc w:val="both"/>
              <w:rPr>
                <w:color w:val="000000"/>
              </w:rPr>
            </w:pPr>
            <w:r w:rsidRPr="009841AB">
              <w:rPr>
                <w:color w:val="000000"/>
              </w:rPr>
              <w:t xml:space="preserve">Lūgums skaidrot, kas ar šo tiek saprasts, proti, vai runa ir par 3D datu uzturēšanu vai vienkārši </w:t>
            </w:r>
            <w:r w:rsidRPr="009841AB">
              <w:rPr>
                <w:color w:val="000000"/>
              </w:rPr>
              <w:lastRenderedPageBreak/>
              <w:t>“</w:t>
            </w:r>
            <w:proofErr w:type="spellStart"/>
            <w:r w:rsidRPr="009841AB">
              <w:rPr>
                <w:color w:val="000000"/>
              </w:rPr>
              <w:t>digitalizēšanu</w:t>
            </w:r>
            <w:proofErr w:type="spellEnd"/>
            <w:r w:rsidRPr="009841AB">
              <w:rPr>
                <w:color w:val="000000"/>
              </w:rPr>
              <w:t>”? Kāda būs pašvaldību loma un iesaiste datu ieguvē un nodošanā sistēmām?</w:t>
            </w:r>
          </w:p>
        </w:tc>
        <w:tc>
          <w:tcPr>
            <w:tcW w:w="2480" w:type="dxa"/>
            <w:tcBorders>
              <w:left w:val="single" w:sz="6" w:space="0" w:color="000000" w:themeColor="text1"/>
              <w:bottom w:val="single" w:sz="4" w:space="0" w:color="auto"/>
            </w:tcBorders>
            <w:shd w:val="clear" w:color="auto" w:fill="auto"/>
          </w:tcPr>
          <w:p w14:paraId="73160216" w14:textId="77777777" w:rsidR="00981A33" w:rsidRPr="009841AB" w:rsidRDefault="00981A33" w:rsidP="001272D9">
            <w:pPr>
              <w:pStyle w:val="naisc"/>
              <w:spacing w:before="0" w:after="0"/>
              <w:jc w:val="left"/>
              <w:rPr>
                <w:b/>
                <w:bCs/>
              </w:rPr>
            </w:pPr>
            <w:r w:rsidRPr="009841AB">
              <w:rPr>
                <w:b/>
                <w:bCs/>
              </w:rPr>
              <w:lastRenderedPageBreak/>
              <w:t>Ņemts vērā</w:t>
            </w:r>
          </w:p>
          <w:p w14:paraId="2E5B0B85" w14:textId="77777777" w:rsidR="00981A33" w:rsidRPr="009841AB" w:rsidRDefault="00981A33" w:rsidP="001272D9">
            <w:pPr>
              <w:pStyle w:val="naisc"/>
              <w:spacing w:before="0" w:after="0"/>
              <w:jc w:val="left"/>
            </w:pPr>
            <w:r w:rsidRPr="009841AB">
              <w:t xml:space="preserve">Digitālā dvīņa koncepcija paredz  Ģeotelpisko datu vienotās koplietošanas platformas attīstību, datu avotu </w:t>
            </w:r>
            <w:proofErr w:type="spellStart"/>
            <w:r w:rsidRPr="009841AB">
              <w:t>pieslēgumu</w:t>
            </w:r>
            <w:proofErr w:type="spellEnd"/>
            <w:r w:rsidRPr="009841AB">
              <w:t xml:space="preserve"> </w:t>
            </w:r>
            <w:r w:rsidRPr="009841AB">
              <w:lastRenderedPageBreak/>
              <w:t xml:space="preserve">nodrošināšanu, kā arī </w:t>
            </w:r>
            <w:proofErr w:type="spellStart"/>
            <w:r w:rsidRPr="009841AB">
              <w:t>Ģeoportāla</w:t>
            </w:r>
            <w:proofErr w:type="spellEnd"/>
            <w:r w:rsidRPr="009841AB">
              <w:t xml:space="preserve"> attīstību. Vienlaikus nodrošinot vairāku ģeotelpisko lietojumu (digitālo dvīņu) izveidi.</w:t>
            </w:r>
          </w:p>
        </w:tc>
        <w:tc>
          <w:tcPr>
            <w:tcW w:w="3497" w:type="dxa"/>
            <w:tcBorders>
              <w:left w:val="single" w:sz="6" w:space="0" w:color="000000" w:themeColor="text1"/>
              <w:bottom w:val="single" w:sz="4" w:space="0" w:color="auto"/>
            </w:tcBorders>
            <w:shd w:val="clear" w:color="auto" w:fill="auto"/>
          </w:tcPr>
          <w:p w14:paraId="75D5ABBB" w14:textId="77777777" w:rsidR="001272D9" w:rsidRPr="009841AB" w:rsidRDefault="00981A33" w:rsidP="00981A33">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w:t>
            </w:r>
          </w:p>
        </w:tc>
      </w:tr>
      <w:tr w:rsidR="001272D9" w:rsidRPr="009841AB" w14:paraId="2CEA8AC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4E30F4C" w14:textId="77777777" w:rsidR="001272D9" w:rsidRPr="009841AB" w:rsidRDefault="00C030D3" w:rsidP="001272D9">
            <w:pPr>
              <w:pStyle w:val="naisc"/>
              <w:spacing w:before="0" w:after="0"/>
            </w:pPr>
            <w:r>
              <w:t>310</w:t>
            </w:r>
          </w:p>
        </w:tc>
        <w:tc>
          <w:tcPr>
            <w:tcW w:w="2427" w:type="dxa"/>
            <w:tcBorders>
              <w:left w:val="single" w:sz="6" w:space="0" w:color="000000" w:themeColor="text1"/>
              <w:bottom w:val="single" w:sz="4" w:space="0" w:color="auto"/>
            </w:tcBorders>
            <w:shd w:val="clear" w:color="auto" w:fill="auto"/>
          </w:tcPr>
          <w:p w14:paraId="75CEB52A"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609154E" w14:textId="77777777" w:rsidR="001272D9" w:rsidRPr="009841AB" w:rsidRDefault="001272D9" w:rsidP="001272D9">
            <w:pPr>
              <w:jc w:val="both"/>
              <w:rPr>
                <w:bCs/>
                <w:iCs/>
                <w:color w:val="000000"/>
              </w:rPr>
            </w:pPr>
            <w:r w:rsidRPr="009841AB">
              <w:rPr>
                <w:color w:val="000000"/>
              </w:rPr>
              <w:t xml:space="preserve">10. 116. lapa. </w:t>
            </w:r>
            <w:r w:rsidRPr="009841AB">
              <w:rPr>
                <w:bCs/>
                <w:iCs/>
                <w:color w:val="000000"/>
              </w:rPr>
              <w:t>Esošās situācijas aprakstā nav minēta valstī radītās un darbojošās ģeotelpisko datu sistēmas, kas rada maldīgu priekšstatu par attīstību ģeotelpisko datu apritē. Šobrīd jau darbojas valsts vienotais ģeotelpisko datu portāls geolatvija.lv, kas satur arī teritorijas plānošanas moduli TAPIS, kuru aktīvi izmanto teritorijas attīstības plānotāji. Tāpat valsts līmeņa sistēma ir kadastra informācijas sistēma ar pakalpojumu portālu kadastrs.lv, tiek veidots ATIS un ir citas sistēmas. Aicinām identificēt šīs sistēmas, raksturojot nepilnības un konkrēti minot esošos trūkums, lai būtu saprotams, kurā valsts resursā tiks veikti pilnveidojumi, kas savukārt radīts no jauna. Tas ļautu skaidrāk saprast esošo resursu turpmāku izmantošanu un gaidas, lai neveiktu pielāgojumus vai jaunu risinājumu izveidi, piem., pašvaldību sistēmās.</w:t>
            </w:r>
          </w:p>
        </w:tc>
        <w:tc>
          <w:tcPr>
            <w:tcW w:w="2480" w:type="dxa"/>
            <w:tcBorders>
              <w:left w:val="single" w:sz="6" w:space="0" w:color="000000" w:themeColor="text1"/>
              <w:bottom w:val="single" w:sz="4" w:space="0" w:color="auto"/>
            </w:tcBorders>
            <w:shd w:val="clear" w:color="auto" w:fill="auto"/>
          </w:tcPr>
          <w:p w14:paraId="75D4DC5A"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t>Panākta vienošanās</w:t>
            </w:r>
          </w:p>
          <w:p w14:paraId="3FA4227E" w14:textId="77777777" w:rsidR="00791801" w:rsidRPr="009841AB" w:rsidRDefault="00791801" w:rsidP="001272D9">
            <w:pPr>
              <w:pStyle w:val="naisc"/>
              <w:spacing w:before="0" w:after="0"/>
              <w:jc w:val="left"/>
            </w:pPr>
            <w:r w:rsidRPr="009841AB">
              <w:t>Sadaļa papildināta ar atsaucēm uz dažiem pastāvošajiem risinājumiem, kā arī raksturotas sistēmās ir problēmas ģeotelpisko datu nodrošinājumā. Pamatnostādnēs nav paredzēts veikt situācijas raksturošanu specifisku rīku detalizācijas līmenī.</w:t>
            </w:r>
          </w:p>
        </w:tc>
        <w:tc>
          <w:tcPr>
            <w:tcW w:w="3497" w:type="dxa"/>
            <w:tcBorders>
              <w:left w:val="single" w:sz="6" w:space="0" w:color="000000" w:themeColor="text1"/>
              <w:bottom w:val="single" w:sz="4" w:space="0" w:color="auto"/>
            </w:tcBorders>
            <w:shd w:val="clear" w:color="auto" w:fill="auto"/>
          </w:tcPr>
          <w:p w14:paraId="16CC0BBA" w14:textId="77777777" w:rsidR="001272D9" w:rsidRPr="009841AB" w:rsidRDefault="006C2A6B" w:rsidP="006C2A6B">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272D9" w:rsidRPr="009841AB" w14:paraId="17C3ABA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CDAD494" w14:textId="77777777" w:rsidR="001272D9" w:rsidRPr="009841AB" w:rsidRDefault="00C030D3" w:rsidP="001272D9">
            <w:pPr>
              <w:pStyle w:val="naisc"/>
              <w:spacing w:before="0" w:after="0"/>
            </w:pPr>
            <w:r>
              <w:t>311</w:t>
            </w:r>
          </w:p>
        </w:tc>
        <w:tc>
          <w:tcPr>
            <w:tcW w:w="2427" w:type="dxa"/>
            <w:tcBorders>
              <w:left w:val="single" w:sz="6" w:space="0" w:color="000000" w:themeColor="text1"/>
              <w:bottom w:val="single" w:sz="4" w:space="0" w:color="auto"/>
            </w:tcBorders>
            <w:shd w:val="clear" w:color="auto" w:fill="auto"/>
          </w:tcPr>
          <w:p w14:paraId="3219F4E7"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8D5122B" w14:textId="77777777" w:rsidR="001272D9" w:rsidRPr="009841AB" w:rsidRDefault="001272D9" w:rsidP="001272D9">
            <w:pPr>
              <w:jc w:val="both"/>
              <w:rPr>
                <w:i/>
                <w:color w:val="000000"/>
              </w:rPr>
            </w:pPr>
            <w:r w:rsidRPr="009841AB">
              <w:rPr>
                <w:bCs/>
                <w:iCs/>
                <w:color w:val="000000"/>
              </w:rPr>
              <w:t xml:space="preserve">11. 117. lapa. </w:t>
            </w:r>
            <w:r w:rsidRPr="009841AB">
              <w:rPr>
                <w:bCs/>
                <w:i/>
                <w:color w:val="000000"/>
              </w:rPr>
              <w:t>“</w:t>
            </w:r>
            <w:r w:rsidRPr="009841AB">
              <w:rPr>
                <w:i/>
                <w:color w:val="000000"/>
              </w:rPr>
              <w:t>Valstī radītie ģeotelpiskie risinājumi tajos ietverto datu formātu un to apstrādes zināšanu dēļ bieži tiek klasificēti kā risinājumi ar noteiktu specifiku - vairumam informāciju tehnoloģiju pārvaldītāju šī joma var nebūt prioritāra risināmo jautājumu lokā. Kā sekas tam ir bieža ģeotelpisko risinājumu nevadīta attīstība.”</w:t>
            </w:r>
          </w:p>
          <w:p w14:paraId="1126C3B5" w14:textId="77777777" w:rsidR="001272D9" w:rsidRPr="009841AB" w:rsidRDefault="001272D9" w:rsidP="001272D9">
            <w:pPr>
              <w:ind w:right="12"/>
              <w:jc w:val="both"/>
            </w:pPr>
            <w:r w:rsidRPr="009841AB">
              <w:rPr>
                <w:color w:val="000000"/>
              </w:rPr>
              <w:t>Lūgums precizēt, norādot kura valsts sistēma tiek domāta ar “nevadītu attīstību”? Šis sasaucas ar iepriekšējā punktā minēto – kuru sistēmu skars izmaiņas, lai pašvaldības saprastu savu esošo risinājumu pielāgošanas nepieciešamību šobrīd un turpmāk.</w:t>
            </w:r>
          </w:p>
        </w:tc>
        <w:tc>
          <w:tcPr>
            <w:tcW w:w="2480" w:type="dxa"/>
            <w:tcBorders>
              <w:left w:val="single" w:sz="6" w:space="0" w:color="000000" w:themeColor="text1"/>
              <w:bottom w:val="single" w:sz="4" w:space="0" w:color="auto"/>
            </w:tcBorders>
            <w:shd w:val="clear" w:color="auto" w:fill="auto"/>
          </w:tcPr>
          <w:p w14:paraId="79E092B3"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t>Panākta vienošanās</w:t>
            </w:r>
          </w:p>
          <w:p w14:paraId="72C43C6F" w14:textId="77777777" w:rsidR="00653972" w:rsidRPr="009841AB" w:rsidRDefault="00653972" w:rsidP="001272D9">
            <w:pPr>
              <w:pStyle w:val="naisc"/>
              <w:spacing w:before="0" w:after="0"/>
              <w:jc w:val="left"/>
            </w:pPr>
            <w:r w:rsidRPr="009841AB">
              <w:t xml:space="preserve">Pamatnostādņu teksts redakcionāli precizēts. Pamatdoma ir norādīt uz pastāvošo izaicinājumu, ka virkne ģeotelpisko sistēmu tiek veidotas kā iekšējas lietošanas instrumenti (īpaši. pašvaldībās), kas nesatur datu </w:t>
            </w:r>
            <w:r w:rsidRPr="009841AB">
              <w:lastRenderedPageBreak/>
              <w:t>publicēšanas un koplietošanas funkcionalitāti.</w:t>
            </w:r>
          </w:p>
        </w:tc>
        <w:tc>
          <w:tcPr>
            <w:tcW w:w="3497" w:type="dxa"/>
            <w:tcBorders>
              <w:left w:val="single" w:sz="6" w:space="0" w:color="000000" w:themeColor="text1"/>
              <w:bottom w:val="single" w:sz="4" w:space="0" w:color="auto"/>
            </w:tcBorders>
            <w:shd w:val="clear" w:color="auto" w:fill="auto"/>
          </w:tcPr>
          <w:p w14:paraId="6D4F56D9" w14:textId="77777777" w:rsidR="001272D9" w:rsidRPr="009841AB" w:rsidRDefault="00653972" w:rsidP="00653972">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w:t>
            </w:r>
          </w:p>
        </w:tc>
      </w:tr>
      <w:tr w:rsidR="001272D9" w:rsidRPr="009841AB" w14:paraId="156CE9B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89D2A5E" w14:textId="77777777" w:rsidR="001272D9" w:rsidRPr="009841AB" w:rsidRDefault="00C030D3" w:rsidP="001272D9">
            <w:pPr>
              <w:pStyle w:val="naisc"/>
              <w:spacing w:before="0" w:after="0"/>
            </w:pPr>
            <w:r>
              <w:t>312</w:t>
            </w:r>
          </w:p>
        </w:tc>
        <w:tc>
          <w:tcPr>
            <w:tcW w:w="2427" w:type="dxa"/>
            <w:tcBorders>
              <w:left w:val="single" w:sz="6" w:space="0" w:color="000000" w:themeColor="text1"/>
              <w:bottom w:val="single" w:sz="4" w:space="0" w:color="auto"/>
            </w:tcBorders>
            <w:shd w:val="clear" w:color="auto" w:fill="auto"/>
          </w:tcPr>
          <w:p w14:paraId="506F25EC"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30EBD67" w14:textId="77777777" w:rsidR="001272D9" w:rsidRPr="009841AB" w:rsidRDefault="001272D9" w:rsidP="001272D9">
            <w:pPr>
              <w:jc w:val="both"/>
              <w:rPr>
                <w:i/>
                <w:iCs/>
                <w:color w:val="000000"/>
              </w:rPr>
            </w:pPr>
            <w:r w:rsidRPr="009841AB">
              <w:rPr>
                <w:color w:val="000000"/>
              </w:rPr>
              <w:t xml:space="preserve">12. 118. lapa. </w:t>
            </w:r>
            <w:r w:rsidRPr="009841AB">
              <w:rPr>
                <w:i/>
                <w:iCs/>
                <w:color w:val="000000"/>
              </w:rPr>
              <w:t>“sabiedrībai pieejama pilna informācija par esošu vai iegādājamu nekustamo īpašumu - tajā esošo piesārņojumu, apgrūtinājumiem, dabas liegumiem, kultūrvēsturiskajiem objektiem, infrastruktūru.”</w:t>
            </w:r>
          </w:p>
          <w:p w14:paraId="7784FD1E" w14:textId="77777777" w:rsidR="001272D9" w:rsidRPr="009841AB" w:rsidRDefault="001272D9" w:rsidP="001272D9">
            <w:pPr>
              <w:pStyle w:val="CommentText"/>
              <w:spacing w:after="120"/>
              <w:jc w:val="both"/>
              <w:rPr>
                <w:color w:val="000000"/>
                <w:sz w:val="24"/>
                <w:szCs w:val="24"/>
              </w:rPr>
            </w:pPr>
            <w:r w:rsidRPr="009841AB">
              <w:rPr>
                <w:color w:val="000000"/>
                <w:sz w:val="24"/>
                <w:szCs w:val="24"/>
              </w:rPr>
              <w:t>Lūgums precizēt, vai tiks veidots viens ģeotelpisko datu izplatīšanas risinājums, aizstājot kādu no esošajām sistēmām vai attīstīti jau esošie, piem., Valsts vienotais ģeotelpiskās informācijas portāls?</w:t>
            </w:r>
          </w:p>
          <w:p w14:paraId="43EF6CE5" w14:textId="77777777" w:rsidR="001272D9" w:rsidRPr="009841AB" w:rsidRDefault="001272D9" w:rsidP="001272D9">
            <w:pPr>
              <w:jc w:val="both"/>
              <w:rPr>
                <w:color w:val="000000"/>
              </w:rPr>
            </w:pPr>
            <w:r w:rsidRPr="009841AB">
              <w:rPr>
                <w:color w:val="000000"/>
              </w:rPr>
              <w:t>Šobrīd minēto datu centrālo datubāžu turētāji ir pakļauti dažādām ministrijām, piem., Valsts zemes dienests ir pakļauts TM (ATIS, Valsts nekustamā īpašuma kadastra informācijas sistēma, Augstas detalizācijas topogrāfiskās informācijas centrālās datubāzes turētājs) un citi.</w:t>
            </w:r>
          </w:p>
        </w:tc>
        <w:tc>
          <w:tcPr>
            <w:tcW w:w="2480" w:type="dxa"/>
            <w:tcBorders>
              <w:left w:val="single" w:sz="6" w:space="0" w:color="000000" w:themeColor="text1"/>
              <w:bottom w:val="single" w:sz="4" w:space="0" w:color="auto"/>
            </w:tcBorders>
            <w:shd w:val="clear" w:color="auto" w:fill="auto"/>
          </w:tcPr>
          <w:p w14:paraId="4EFE9F77"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t>Panākta vienošanās</w:t>
            </w:r>
          </w:p>
          <w:p w14:paraId="2BABD42A" w14:textId="77777777" w:rsidR="00EA34C2" w:rsidRPr="009841AB" w:rsidRDefault="00EA34C2" w:rsidP="001272D9">
            <w:pPr>
              <w:pStyle w:val="naisc"/>
              <w:spacing w:before="0" w:after="0"/>
              <w:jc w:val="left"/>
            </w:pPr>
            <w:r w:rsidRPr="009841AB">
              <w:t>Ģeotelpisko datu izplatīšanas risinājums paredz arī ģeotelpisko datu koplietošanas portāla attīstību, tomēr konkrētu ģeotelpisko informācijas arhitektūras izveide tiks definēta attīstības gaitā, atbilstoši U4.4.4.-2 uzdevumā noteiktajam.</w:t>
            </w:r>
          </w:p>
        </w:tc>
        <w:tc>
          <w:tcPr>
            <w:tcW w:w="3497" w:type="dxa"/>
            <w:tcBorders>
              <w:left w:val="single" w:sz="6" w:space="0" w:color="000000" w:themeColor="text1"/>
              <w:bottom w:val="single" w:sz="4" w:space="0" w:color="auto"/>
            </w:tcBorders>
            <w:shd w:val="clear" w:color="auto" w:fill="auto"/>
          </w:tcPr>
          <w:p w14:paraId="79F70AF9" w14:textId="77777777" w:rsidR="001272D9" w:rsidRPr="009841AB" w:rsidRDefault="00EA34C2" w:rsidP="00EA34C2">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272D9" w:rsidRPr="009841AB" w14:paraId="54E026C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E4FFE76" w14:textId="77777777" w:rsidR="001272D9" w:rsidRPr="009841AB" w:rsidRDefault="00C030D3" w:rsidP="001272D9">
            <w:pPr>
              <w:pStyle w:val="naisc"/>
              <w:spacing w:before="0" w:after="0"/>
            </w:pPr>
            <w:r>
              <w:t>313</w:t>
            </w:r>
          </w:p>
        </w:tc>
        <w:tc>
          <w:tcPr>
            <w:tcW w:w="2427" w:type="dxa"/>
            <w:tcBorders>
              <w:left w:val="single" w:sz="6" w:space="0" w:color="000000" w:themeColor="text1"/>
              <w:bottom w:val="single" w:sz="4" w:space="0" w:color="auto"/>
            </w:tcBorders>
            <w:shd w:val="clear" w:color="auto" w:fill="auto"/>
          </w:tcPr>
          <w:p w14:paraId="2DE19F94"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3B3B8C6" w14:textId="77777777" w:rsidR="001272D9" w:rsidRPr="009841AB" w:rsidRDefault="001272D9" w:rsidP="001272D9">
            <w:pPr>
              <w:jc w:val="both"/>
              <w:textAlignment w:val="center"/>
              <w:rPr>
                <w:i/>
                <w:iCs/>
                <w:color w:val="000000"/>
              </w:rPr>
            </w:pPr>
            <w:r w:rsidRPr="009841AB">
              <w:rPr>
                <w:color w:val="000000"/>
              </w:rPr>
              <w:t xml:space="preserve">13. 119. lapa. </w:t>
            </w:r>
            <w:r w:rsidRPr="009841AB">
              <w:rPr>
                <w:i/>
                <w:iCs/>
                <w:color w:val="000000"/>
              </w:rPr>
              <w:t>“Valsts neiegūst, piemēram, dividendēs finansējumu, ko valsts īpašumā esošās kapitālsabiedrības novirza ģeotelpisko datu iegādei no valsts institūcijām.”</w:t>
            </w:r>
          </w:p>
          <w:p w14:paraId="60C44CC2" w14:textId="77777777" w:rsidR="001272D9" w:rsidRPr="009841AB" w:rsidRDefault="001272D9" w:rsidP="001272D9">
            <w:pPr>
              <w:pStyle w:val="CommentText"/>
              <w:jc w:val="both"/>
              <w:rPr>
                <w:color w:val="000000"/>
                <w:sz w:val="24"/>
                <w:szCs w:val="24"/>
              </w:rPr>
            </w:pPr>
            <w:r w:rsidRPr="009841AB">
              <w:rPr>
                <w:color w:val="000000"/>
                <w:sz w:val="24"/>
                <w:szCs w:val="24"/>
              </w:rPr>
              <w:t xml:space="preserve">Lūgums minēt konkrētus piemērus - gan konkrētu datus, gan kapitālsabiedrības, gan patērētos resursus, lai būtu pilnvērtīgs ieskats situācijā. </w:t>
            </w:r>
          </w:p>
          <w:p w14:paraId="65C19D98" w14:textId="77777777" w:rsidR="001272D9" w:rsidRPr="009841AB" w:rsidRDefault="001272D9" w:rsidP="001272D9">
            <w:pPr>
              <w:jc w:val="both"/>
              <w:textAlignment w:val="center"/>
              <w:rPr>
                <w:color w:val="000000"/>
              </w:rPr>
            </w:pPr>
            <w:r w:rsidRPr="009841AB">
              <w:rPr>
                <w:color w:val="000000"/>
              </w:rPr>
              <w:t xml:space="preserve">Datu nodošanu kopīgai izmantošanai var atrisināt, paredzot finansējumu datu uzturētājiem, lai valsts institūciju budžeti nebūtu atkarīgi no ieņēmumiem par pakalpojumiem, un “atverot datus”- mainot normatīvo aktu  regulējumu, paredzot, ka datu atkal izmantošana neattiecas uz valsts kapitālsabiedrībām – tām ir tiesības koplietot datus. Vienlaikus jāvērtē, lai valsts vai pašvaldību kapitālsabiedrības, kam tiek radītas privilēģijas datu iegūšanā, nesāk konkurēt citos tirgos, </w:t>
            </w:r>
            <w:r w:rsidRPr="009841AB">
              <w:rPr>
                <w:color w:val="000000"/>
              </w:rPr>
              <w:lastRenderedPageBreak/>
              <w:t>izmantojot šīs privilēģijas attiecībā pret citiem tirgus dalībniekiem.</w:t>
            </w:r>
          </w:p>
        </w:tc>
        <w:tc>
          <w:tcPr>
            <w:tcW w:w="2480" w:type="dxa"/>
            <w:tcBorders>
              <w:left w:val="single" w:sz="6" w:space="0" w:color="000000" w:themeColor="text1"/>
              <w:bottom w:val="single" w:sz="4" w:space="0" w:color="auto"/>
            </w:tcBorders>
            <w:shd w:val="clear" w:color="auto" w:fill="auto"/>
          </w:tcPr>
          <w:p w14:paraId="28BE88B5"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lastRenderedPageBreak/>
              <w:t>Panākta vienošanās</w:t>
            </w:r>
          </w:p>
          <w:p w14:paraId="4FC7B85E" w14:textId="193887CD" w:rsidR="001272D9" w:rsidRPr="009841AB" w:rsidRDefault="001272D9" w:rsidP="001272D9">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3BF8DA6C" w14:textId="77777777" w:rsidR="001272D9" w:rsidRPr="009841AB" w:rsidRDefault="00350F42" w:rsidP="00350F42">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272D9" w:rsidRPr="009841AB" w14:paraId="3C9ED3E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63C1C9F" w14:textId="77777777" w:rsidR="001272D9" w:rsidRPr="009841AB" w:rsidRDefault="00C030D3" w:rsidP="001272D9">
            <w:pPr>
              <w:pStyle w:val="naisc"/>
              <w:spacing w:before="0" w:after="0"/>
            </w:pPr>
            <w:r>
              <w:t>314</w:t>
            </w:r>
          </w:p>
        </w:tc>
        <w:tc>
          <w:tcPr>
            <w:tcW w:w="2427" w:type="dxa"/>
            <w:tcBorders>
              <w:left w:val="single" w:sz="6" w:space="0" w:color="000000" w:themeColor="text1"/>
              <w:bottom w:val="single" w:sz="4" w:space="0" w:color="auto"/>
            </w:tcBorders>
            <w:shd w:val="clear" w:color="auto" w:fill="auto"/>
          </w:tcPr>
          <w:p w14:paraId="3B22DD6C"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3955406" w14:textId="77777777" w:rsidR="001272D9" w:rsidRPr="009841AB" w:rsidRDefault="001272D9" w:rsidP="001272D9">
            <w:pPr>
              <w:jc w:val="both"/>
              <w:textAlignment w:val="center"/>
              <w:rPr>
                <w:color w:val="000000"/>
              </w:rPr>
            </w:pPr>
            <w:r w:rsidRPr="009841AB">
              <w:rPr>
                <w:color w:val="000000"/>
              </w:rPr>
              <w:t xml:space="preserve">14. 119. lapa. </w:t>
            </w:r>
            <w:r w:rsidRPr="009841AB">
              <w:rPr>
                <w:i/>
                <w:iCs/>
                <w:color w:val="000000"/>
              </w:rPr>
              <w:t>“1. Vienotas ģeotelpisko risinājumu arhitektūras un katra ģeotelpiskā risinājuma  izveides un ieviešanas modeļa izveide atbilstoši vienotajai arhitektūrai: [..]”</w:t>
            </w:r>
          </w:p>
          <w:p w14:paraId="52C53136" w14:textId="77777777" w:rsidR="001272D9" w:rsidRPr="009841AB" w:rsidRDefault="001272D9" w:rsidP="001272D9">
            <w:pPr>
              <w:pStyle w:val="CommentText"/>
              <w:jc w:val="both"/>
              <w:rPr>
                <w:color w:val="000000"/>
                <w:sz w:val="24"/>
                <w:szCs w:val="24"/>
              </w:rPr>
            </w:pPr>
            <w:r w:rsidRPr="009841AB">
              <w:rPr>
                <w:color w:val="000000"/>
                <w:sz w:val="24"/>
                <w:szCs w:val="24"/>
              </w:rPr>
              <w:t>Lūgums skaidrot, vai tiks radīts principiāli jauns risinājums un kādu ietekmi tas atstās uz pašvaldībām un pašvaldību sistēmām.</w:t>
            </w:r>
          </w:p>
          <w:p w14:paraId="71FDC5F2" w14:textId="77777777" w:rsidR="001272D9" w:rsidRPr="009841AB" w:rsidRDefault="001272D9" w:rsidP="001272D9">
            <w:pPr>
              <w:jc w:val="both"/>
              <w:textAlignment w:val="center"/>
              <w:rPr>
                <w:color w:val="000000"/>
              </w:rPr>
            </w:pPr>
            <w:r w:rsidRPr="009841AB">
              <w:rPr>
                <w:color w:val="000000"/>
              </w:rPr>
              <w:t xml:space="preserve">Geolatvija.lv – savulaik jau šāds risinājums tika radīts, kā arī ĢDS (ģeotelpisko datu </w:t>
            </w:r>
            <w:proofErr w:type="spellStart"/>
            <w:r w:rsidRPr="009841AB">
              <w:rPr>
                <w:color w:val="000000"/>
              </w:rPr>
              <w:t>savietotājs</w:t>
            </w:r>
            <w:proofErr w:type="spellEnd"/>
            <w:r w:rsidRPr="009841AB">
              <w:rPr>
                <w:color w:val="000000"/>
              </w:rPr>
              <w:t>). Šajā dokumentā nav nodefinēta attieksme pret šo risinājumu un savulaik jau paveikto un veiktajiem ieguldījumiem.</w:t>
            </w:r>
          </w:p>
        </w:tc>
        <w:tc>
          <w:tcPr>
            <w:tcW w:w="2480" w:type="dxa"/>
            <w:tcBorders>
              <w:left w:val="single" w:sz="6" w:space="0" w:color="000000" w:themeColor="text1"/>
              <w:bottom w:val="single" w:sz="4" w:space="0" w:color="auto"/>
            </w:tcBorders>
            <w:shd w:val="clear" w:color="auto" w:fill="auto"/>
          </w:tcPr>
          <w:p w14:paraId="2F9FD33F" w14:textId="77777777" w:rsidR="006E22D6" w:rsidRPr="009841AB" w:rsidRDefault="006E22D6" w:rsidP="001272D9">
            <w:pPr>
              <w:pStyle w:val="naisc"/>
              <w:spacing w:before="0" w:after="0"/>
              <w:jc w:val="left"/>
              <w:rPr>
                <w:b/>
                <w:bCs/>
              </w:rPr>
            </w:pPr>
            <w:r w:rsidRPr="009841AB">
              <w:rPr>
                <w:b/>
                <w:bCs/>
              </w:rPr>
              <w:t>Ņemts vērā</w:t>
            </w:r>
          </w:p>
          <w:p w14:paraId="2177D4F5" w14:textId="77777777" w:rsidR="006E22D6" w:rsidRPr="009841AB" w:rsidRDefault="006E22D6" w:rsidP="001272D9">
            <w:pPr>
              <w:pStyle w:val="naisc"/>
              <w:spacing w:before="0" w:after="0"/>
              <w:jc w:val="left"/>
            </w:pPr>
            <w:r w:rsidRPr="009841AB">
              <w:t>Ģeotelpisko datu izplatīšanas risinājums paredz arī ģeotelpisko datu koplietošanas portāla attīstību, tomēr konkrētu ģeotelpisko informācijas arhitektūras izveide tiks definēta attīstības gaitā, atbilstoši U4.4.4.-2 uzdevumā noteiktajam.</w:t>
            </w:r>
          </w:p>
        </w:tc>
        <w:tc>
          <w:tcPr>
            <w:tcW w:w="3497" w:type="dxa"/>
            <w:tcBorders>
              <w:left w:val="single" w:sz="6" w:space="0" w:color="000000" w:themeColor="text1"/>
              <w:bottom w:val="single" w:sz="4" w:space="0" w:color="auto"/>
            </w:tcBorders>
            <w:shd w:val="clear" w:color="auto" w:fill="auto"/>
          </w:tcPr>
          <w:p w14:paraId="0D316FE8" w14:textId="77777777" w:rsidR="001272D9" w:rsidRPr="009841AB" w:rsidRDefault="00E10362" w:rsidP="00E10362">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C114AF" w:rsidRPr="009841AB" w14:paraId="209FF76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433F65F" w14:textId="77777777" w:rsidR="00C114AF" w:rsidRPr="009841AB" w:rsidRDefault="00C030D3" w:rsidP="00C114AF">
            <w:pPr>
              <w:pStyle w:val="naisc"/>
              <w:spacing w:before="0" w:after="0"/>
            </w:pPr>
            <w:r>
              <w:t>315</w:t>
            </w:r>
          </w:p>
        </w:tc>
        <w:tc>
          <w:tcPr>
            <w:tcW w:w="2427" w:type="dxa"/>
            <w:tcBorders>
              <w:left w:val="single" w:sz="6" w:space="0" w:color="000000" w:themeColor="text1"/>
              <w:bottom w:val="single" w:sz="4" w:space="0" w:color="auto"/>
            </w:tcBorders>
            <w:shd w:val="clear" w:color="auto" w:fill="auto"/>
          </w:tcPr>
          <w:p w14:paraId="487F6FDB" w14:textId="77777777" w:rsidR="00C114AF" w:rsidRPr="009841AB" w:rsidRDefault="00C114AF" w:rsidP="00C114A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BF2FA20" w14:textId="77777777" w:rsidR="00C114AF" w:rsidRPr="009841AB" w:rsidRDefault="00C114AF" w:rsidP="00C114AF">
            <w:pPr>
              <w:jc w:val="both"/>
              <w:textAlignment w:val="center"/>
              <w:rPr>
                <w:i/>
                <w:iCs/>
                <w:color w:val="000000"/>
              </w:rPr>
            </w:pPr>
            <w:r w:rsidRPr="009841AB">
              <w:rPr>
                <w:color w:val="000000"/>
              </w:rPr>
              <w:t xml:space="preserve">15. 119. lapa. </w:t>
            </w:r>
            <w:r w:rsidRPr="009841AB">
              <w:rPr>
                <w:i/>
                <w:iCs/>
                <w:color w:val="000000"/>
              </w:rPr>
              <w:t xml:space="preserve">“1. Vienotas vides un ģeotelpisko datu apmaiņas un izplatīšanas telpas izveide, kurā pieejami kvalitatīvi, </w:t>
            </w:r>
            <w:proofErr w:type="spellStart"/>
            <w:r w:rsidRPr="009841AB">
              <w:rPr>
                <w:i/>
                <w:iCs/>
                <w:color w:val="000000"/>
              </w:rPr>
              <w:t>digitalizēti</w:t>
            </w:r>
            <w:proofErr w:type="spellEnd"/>
            <w:r w:rsidRPr="009841AB">
              <w:rPr>
                <w:i/>
                <w:iCs/>
                <w:color w:val="000000"/>
              </w:rPr>
              <w:t>, savietojami kartogrāfiskie dati: [..]”</w:t>
            </w:r>
          </w:p>
          <w:p w14:paraId="1372881A" w14:textId="77777777" w:rsidR="00C114AF" w:rsidRPr="009841AB" w:rsidRDefault="00C114AF" w:rsidP="00C114AF">
            <w:pPr>
              <w:pStyle w:val="CommentText"/>
              <w:spacing w:after="120"/>
              <w:jc w:val="both"/>
              <w:rPr>
                <w:i/>
                <w:iCs/>
                <w:color w:val="000000"/>
                <w:sz w:val="24"/>
                <w:szCs w:val="24"/>
              </w:rPr>
            </w:pPr>
            <w:r w:rsidRPr="009841AB">
              <w:rPr>
                <w:color w:val="000000"/>
                <w:sz w:val="24"/>
                <w:szCs w:val="24"/>
              </w:rPr>
              <w:t xml:space="preserve">Lūgums precizēt, kādā līmenī tiks veikta datu apzināšana – vai tikai valsts uzturētie dati, vai jebkuri dati jebkurā valsts pārvaldes līmenī. </w:t>
            </w:r>
          </w:p>
          <w:p w14:paraId="2BDC0532" w14:textId="77777777" w:rsidR="00C114AF" w:rsidRPr="009841AB" w:rsidRDefault="00C114AF" w:rsidP="00C114AF">
            <w:pPr>
              <w:jc w:val="both"/>
              <w:textAlignment w:val="center"/>
              <w:rPr>
                <w:color w:val="000000"/>
              </w:rPr>
            </w:pPr>
            <w:r w:rsidRPr="009841AB">
              <w:rPr>
                <w:color w:val="000000"/>
              </w:rPr>
              <w:t xml:space="preserve">Geolatvija.lv – savulaik jau šāds risinājums tika radīts, kā arī ĢDS (ģeotelpisko datu </w:t>
            </w:r>
            <w:proofErr w:type="spellStart"/>
            <w:r w:rsidRPr="009841AB">
              <w:rPr>
                <w:color w:val="000000"/>
              </w:rPr>
              <w:t>savietotājs</w:t>
            </w:r>
            <w:proofErr w:type="spellEnd"/>
            <w:r w:rsidRPr="009841AB">
              <w:rPr>
                <w:color w:val="000000"/>
              </w:rPr>
              <w:t>). Nekur nav nodefinēta attieksme pret šo risinājumu un savulaik jau paveikto un veiktajiem ieguldījumiem.</w:t>
            </w:r>
          </w:p>
        </w:tc>
        <w:tc>
          <w:tcPr>
            <w:tcW w:w="2480" w:type="dxa"/>
            <w:tcBorders>
              <w:left w:val="single" w:sz="6" w:space="0" w:color="000000" w:themeColor="text1"/>
              <w:bottom w:val="single" w:sz="4" w:space="0" w:color="auto"/>
            </w:tcBorders>
            <w:shd w:val="clear" w:color="auto" w:fill="auto"/>
          </w:tcPr>
          <w:p w14:paraId="32C00809" w14:textId="77777777" w:rsidR="00C114AF" w:rsidRPr="009841AB" w:rsidRDefault="00C114AF" w:rsidP="00C114AF">
            <w:pPr>
              <w:pStyle w:val="naisc"/>
              <w:spacing w:before="0" w:after="0"/>
              <w:jc w:val="left"/>
              <w:rPr>
                <w:b/>
                <w:bCs/>
              </w:rPr>
            </w:pPr>
            <w:r w:rsidRPr="009841AB">
              <w:rPr>
                <w:b/>
                <w:bCs/>
              </w:rPr>
              <w:t>Ņemts vērā</w:t>
            </w:r>
          </w:p>
          <w:p w14:paraId="0C0115F1" w14:textId="77777777" w:rsidR="00C114AF" w:rsidRPr="009841AB" w:rsidRDefault="00C114AF" w:rsidP="00C114AF">
            <w:pPr>
              <w:pStyle w:val="naisc"/>
              <w:spacing w:before="0" w:after="0"/>
              <w:jc w:val="left"/>
              <w:rPr>
                <w:b/>
                <w:bCs/>
              </w:rPr>
            </w:pPr>
            <w:r w:rsidRPr="009841AB">
              <w:t>Nacionālā ģeotelpisko datu koplietošanas platforma būs izmantojama visos valsts pārvaldes līmeņos, kā arī augstvērtīgās datu kopas var ietver datus jebkurā valsts pārvaldes līmenī. Attiecīgi precizēta apraksta sadaļa.</w:t>
            </w:r>
          </w:p>
        </w:tc>
        <w:tc>
          <w:tcPr>
            <w:tcW w:w="3497" w:type="dxa"/>
            <w:tcBorders>
              <w:left w:val="single" w:sz="6" w:space="0" w:color="000000" w:themeColor="text1"/>
              <w:bottom w:val="single" w:sz="4" w:space="0" w:color="auto"/>
            </w:tcBorders>
            <w:shd w:val="clear" w:color="auto" w:fill="auto"/>
          </w:tcPr>
          <w:p w14:paraId="20B37BC5" w14:textId="77777777" w:rsidR="00C114AF" w:rsidRPr="009841AB" w:rsidRDefault="00C114AF" w:rsidP="00C114AF">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272D9" w:rsidRPr="009841AB" w14:paraId="4FE549A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3E30528" w14:textId="77777777" w:rsidR="001272D9" w:rsidRPr="009841AB" w:rsidRDefault="00C030D3" w:rsidP="001272D9">
            <w:pPr>
              <w:pStyle w:val="naisc"/>
              <w:spacing w:before="0" w:after="0"/>
            </w:pPr>
            <w:r>
              <w:t>316</w:t>
            </w:r>
          </w:p>
        </w:tc>
        <w:tc>
          <w:tcPr>
            <w:tcW w:w="2427" w:type="dxa"/>
            <w:tcBorders>
              <w:left w:val="single" w:sz="6" w:space="0" w:color="000000" w:themeColor="text1"/>
              <w:bottom w:val="single" w:sz="4" w:space="0" w:color="auto"/>
            </w:tcBorders>
            <w:shd w:val="clear" w:color="auto" w:fill="auto"/>
          </w:tcPr>
          <w:p w14:paraId="2749A819"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FC29562" w14:textId="77777777" w:rsidR="001272D9" w:rsidRPr="009841AB" w:rsidRDefault="001272D9" w:rsidP="001272D9">
            <w:pPr>
              <w:jc w:val="both"/>
              <w:textAlignment w:val="center"/>
              <w:rPr>
                <w:i/>
                <w:iCs/>
                <w:color w:val="000000"/>
              </w:rPr>
            </w:pPr>
            <w:r w:rsidRPr="009841AB">
              <w:rPr>
                <w:color w:val="000000"/>
              </w:rPr>
              <w:t xml:space="preserve">16. 121. lapa. </w:t>
            </w:r>
            <w:r w:rsidRPr="009841AB">
              <w:rPr>
                <w:i/>
                <w:iCs/>
                <w:color w:val="000000"/>
              </w:rPr>
              <w:t>“Līdz 2027.g. pilnveidotas vai izveidotas trīs centrālās valsts platformas vides pārvaldības procesiem, sabiedrības un komersantu iesaistei un integrēšanai vides pārvaldības un teritoriju attīstības plānošanas un uzraudzības procesos.”</w:t>
            </w:r>
          </w:p>
          <w:p w14:paraId="76E9A352" w14:textId="77777777" w:rsidR="001272D9" w:rsidRPr="009841AB" w:rsidRDefault="001272D9" w:rsidP="001272D9">
            <w:pPr>
              <w:pStyle w:val="CommentText"/>
              <w:jc w:val="both"/>
              <w:rPr>
                <w:color w:val="000000"/>
                <w:sz w:val="24"/>
                <w:szCs w:val="24"/>
              </w:rPr>
            </w:pPr>
            <w:r w:rsidRPr="009841AB">
              <w:rPr>
                <w:color w:val="000000"/>
                <w:sz w:val="24"/>
                <w:szCs w:val="24"/>
              </w:rPr>
              <w:t>Lūgums precizēt, cik platformas tiks radītas no jauna, kuras pilnveidos.</w:t>
            </w:r>
          </w:p>
          <w:p w14:paraId="7C2B6F01" w14:textId="77777777" w:rsidR="001272D9" w:rsidRPr="009841AB" w:rsidRDefault="001272D9" w:rsidP="001272D9">
            <w:pPr>
              <w:jc w:val="both"/>
              <w:textAlignment w:val="center"/>
              <w:rPr>
                <w:color w:val="000000"/>
              </w:rPr>
            </w:pPr>
            <w:r w:rsidRPr="009841AB">
              <w:rPr>
                <w:color w:val="000000"/>
              </w:rPr>
              <w:lastRenderedPageBreak/>
              <w:t>Esošajā redakcijā 4.4.4. punktā minētais rīcības virziens ir nekonkrēts un vispārīgi aprakstīts, bez esošās situācijas analīzes un tāpēc grūti identificējamiem sagaidāmajiem rezultātiem.</w:t>
            </w:r>
          </w:p>
        </w:tc>
        <w:tc>
          <w:tcPr>
            <w:tcW w:w="2480" w:type="dxa"/>
            <w:tcBorders>
              <w:left w:val="single" w:sz="6" w:space="0" w:color="000000" w:themeColor="text1"/>
              <w:bottom w:val="single" w:sz="4" w:space="0" w:color="auto"/>
            </w:tcBorders>
            <w:shd w:val="clear" w:color="auto" w:fill="auto"/>
          </w:tcPr>
          <w:p w14:paraId="06AE60C2"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lastRenderedPageBreak/>
              <w:t>Panākta vienošanās</w:t>
            </w:r>
          </w:p>
          <w:p w14:paraId="294E810F" w14:textId="308F5B4D" w:rsidR="001272D9" w:rsidRPr="009841AB" w:rsidRDefault="001272D9" w:rsidP="001272D9">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43B9F47D" w14:textId="77777777" w:rsidR="001272D9" w:rsidRPr="009841AB" w:rsidRDefault="00C114AF" w:rsidP="00C114AF">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272D9" w:rsidRPr="009841AB" w14:paraId="1AD2FBC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A47A19A" w14:textId="77777777" w:rsidR="001272D9" w:rsidRPr="009841AB" w:rsidRDefault="00C030D3" w:rsidP="001272D9">
            <w:pPr>
              <w:pStyle w:val="naisc"/>
              <w:spacing w:before="0" w:after="0"/>
            </w:pPr>
            <w:r>
              <w:t>317</w:t>
            </w:r>
          </w:p>
        </w:tc>
        <w:tc>
          <w:tcPr>
            <w:tcW w:w="2427" w:type="dxa"/>
            <w:tcBorders>
              <w:left w:val="single" w:sz="6" w:space="0" w:color="000000" w:themeColor="text1"/>
              <w:bottom w:val="single" w:sz="4" w:space="0" w:color="auto"/>
            </w:tcBorders>
            <w:shd w:val="clear" w:color="auto" w:fill="auto"/>
          </w:tcPr>
          <w:p w14:paraId="190F562F"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C69F641" w14:textId="77777777" w:rsidR="001272D9" w:rsidRPr="009841AB" w:rsidRDefault="001272D9" w:rsidP="001272D9">
            <w:pPr>
              <w:jc w:val="both"/>
              <w:textAlignment w:val="center"/>
              <w:rPr>
                <w:i/>
                <w:iCs/>
                <w:color w:val="000000"/>
              </w:rPr>
            </w:pPr>
            <w:r w:rsidRPr="009841AB">
              <w:rPr>
                <w:color w:val="000000"/>
              </w:rPr>
              <w:t xml:space="preserve">17. 122. lapa. </w:t>
            </w:r>
            <w:r w:rsidRPr="009841AB">
              <w:rPr>
                <w:i/>
                <w:iCs/>
                <w:color w:val="000000"/>
              </w:rPr>
              <w:t xml:space="preserve">“4.4.5.1. Rīcības </w:t>
            </w:r>
            <w:proofErr w:type="spellStart"/>
            <w:r w:rsidRPr="009841AB">
              <w:rPr>
                <w:i/>
                <w:iCs/>
                <w:color w:val="000000"/>
              </w:rPr>
              <w:t>apakšvirziens</w:t>
            </w:r>
            <w:proofErr w:type="spellEnd"/>
            <w:r w:rsidRPr="009841AB">
              <w:rPr>
                <w:i/>
                <w:iCs/>
                <w:color w:val="000000"/>
              </w:rPr>
              <w:t xml:space="preserve">: Izmeklēšanas un tiesvedības procesa tālāka </w:t>
            </w:r>
            <w:proofErr w:type="spellStart"/>
            <w:r w:rsidRPr="009841AB">
              <w:rPr>
                <w:i/>
                <w:iCs/>
                <w:color w:val="000000"/>
              </w:rPr>
              <w:t>digitalizācija</w:t>
            </w:r>
            <w:proofErr w:type="spellEnd"/>
            <w:r w:rsidRPr="009841AB">
              <w:rPr>
                <w:i/>
                <w:iCs/>
                <w:color w:val="000000"/>
              </w:rPr>
              <w:t>”</w:t>
            </w:r>
          </w:p>
          <w:p w14:paraId="081909C3" w14:textId="77777777" w:rsidR="001272D9" w:rsidRPr="009841AB" w:rsidRDefault="001272D9" w:rsidP="001272D9">
            <w:pPr>
              <w:jc w:val="both"/>
              <w:textAlignment w:val="center"/>
              <w:rPr>
                <w:color w:val="000000"/>
                <w:shd w:val="clear" w:color="auto" w:fill="FFFFFF"/>
              </w:rPr>
            </w:pPr>
            <w:r w:rsidRPr="009841AB">
              <w:rPr>
                <w:color w:val="000000"/>
                <w:shd w:val="clear" w:color="auto" w:fill="FFFFFF"/>
              </w:rPr>
              <w:t xml:space="preserve">Rīcības </w:t>
            </w:r>
            <w:proofErr w:type="spellStart"/>
            <w:r w:rsidRPr="009841AB">
              <w:rPr>
                <w:color w:val="000000"/>
                <w:shd w:val="clear" w:color="auto" w:fill="FFFFFF"/>
              </w:rPr>
              <w:t>apakšvirzienā</w:t>
            </w:r>
            <w:proofErr w:type="spellEnd"/>
            <w:r w:rsidRPr="009841AB">
              <w:rPr>
                <w:color w:val="000000"/>
                <w:shd w:val="clear" w:color="auto" w:fill="FFFFFF"/>
              </w:rPr>
              <w:t xml:space="preserve"> nav minētas bāriņtiesas. Vai tām tiks paredzēti kādi īpaši noteikumi vai ir / tiks iekļautas citās sadaļās?</w:t>
            </w:r>
          </w:p>
        </w:tc>
        <w:tc>
          <w:tcPr>
            <w:tcW w:w="2480" w:type="dxa"/>
            <w:tcBorders>
              <w:left w:val="single" w:sz="6" w:space="0" w:color="000000" w:themeColor="text1"/>
              <w:bottom w:val="single" w:sz="4" w:space="0" w:color="auto"/>
            </w:tcBorders>
            <w:shd w:val="clear" w:color="auto" w:fill="auto"/>
          </w:tcPr>
          <w:p w14:paraId="07E078CD"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t>Panākta vienošanās</w:t>
            </w:r>
          </w:p>
          <w:p w14:paraId="40BFC110" w14:textId="77777777" w:rsidR="00317B66" w:rsidRPr="009841AB" w:rsidRDefault="00317B66" w:rsidP="001272D9">
            <w:pPr>
              <w:pStyle w:val="naisc"/>
              <w:spacing w:before="0" w:after="0"/>
              <w:jc w:val="left"/>
              <w:rPr>
                <w:b/>
                <w:bCs/>
              </w:rPr>
            </w:pPr>
            <w:r w:rsidRPr="009841AB">
              <w:t xml:space="preserve">E-lietas programmas attīstības ietvaros viens no risināmajiem jautājumiem ir apzināt informācijas sistēmas, kuras ir jāietver vienotajā arhitektūrā  un ar kurām jānodrošina datu apmaiņa, lai sasniegtu kopējo mērķi - pilnībā </w:t>
            </w:r>
            <w:proofErr w:type="spellStart"/>
            <w:r w:rsidRPr="009841AB">
              <w:t>digitalizētu</w:t>
            </w:r>
            <w:proofErr w:type="spellEnd"/>
            <w:r w:rsidRPr="009841AB">
              <w:t xml:space="preserve"> izmeklēšanas, tiesvedības, sodu izpildes process. Lai nodrošinātu bāriņtiesām nepieciešamos datus, E-lietas attīstības ietvaros  sadarbībā ar pašvaldībām jāizvērtē nepieciešamais datu apjoms un  risinājums to nodrošināšanai. Kā viens no variantiem  var  būt  darba vietas izveide TIS  portālā.</w:t>
            </w:r>
          </w:p>
        </w:tc>
        <w:tc>
          <w:tcPr>
            <w:tcW w:w="3497" w:type="dxa"/>
            <w:tcBorders>
              <w:left w:val="single" w:sz="6" w:space="0" w:color="000000" w:themeColor="text1"/>
              <w:bottom w:val="single" w:sz="4" w:space="0" w:color="auto"/>
            </w:tcBorders>
            <w:shd w:val="clear" w:color="auto" w:fill="auto"/>
          </w:tcPr>
          <w:p w14:paraId="175E6199" w14:textId="77777777" w:rsidR="001272D9" w:rsidRPr="009841AB" w:rsidRDefault="001272D9" w:rsidP="001272D9">
            <w:pPr>
              <w:pStyle w:val="naisc"/>
              <w:spacing w:before="0" w:after="0"/>
              <w:jc w:val="both"/>
            </w:pPr>
          </w:p>
        </w:tc>
      </w:tr>
      <w:tr w:rsidR="001272D9" w:rsidRPr="009841AB" w14:paraId="03AEC2B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B12E3C8" w14:textId="77777777" w:rsidR="001272D9" w:rsidRPr="009841AB" w:rsidRDefault="00C030D3" w:rsidP="001272D9">
            <w:pPr>
              <w:pStyle w:val="naisc"/>
              <w:spacing w:before="0" w:after="0"/>
            </w:pPr>
            <w:r>
              <w:t>318</w:t>
            </w:r>
          </w:p>
        </w:tc>
        <w:tc>
          <w:tcPr>
            <w:tcW w:w="2427" w:type="dxa"/>
            <w:tcBorders>
              <w:left w:val="single" w:sz="6" w:space="0" w:color="000000" w:themeColor="text1"/>
              <w:bottom w:val="single" w:sz="4" w:space="0" w:color="auto"/>
            </w:tcBorders>
            <w:shd w:val="clear" w:color="auto" w:fill="auto"/>
          </w:tcPr>
          <w:p w14:paraId="0EB9303F"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17CAA64" w14:textId="77777777" w:rsidR="001272D9" w:rsidRPr="009841AB" w:rsidRDefault="001272D9" w:rsidP="001272D9">
            <w:pPr>
              <w:jc w:val="both"/>
              <w:textAlignment w:val="center"/>
              <w:rPr>
                <w:bCs/>
                <w:i/>
                <w:iCs/>
                <w:color w:val="000000"/>
                <w:shd w:val="clear" w:color="auto" w:fill="FFFFFF"/>
              </w:rPr>
            </w:pPr>
            <w:r w:rsidRPr="009841AB">
              <w:rPr>
                <w:color w:val="000000"/>
                <w:shd w:val="clear" w:color="auto" w:fill="FFFFFF"/>
              </w:rPr>
              <w:t xml:space="preserve">18. 156. lapa. </w:t>
            </w:r>
            <w:r w:rsidRPr="009841AB">
              <w:rPr>
                <w:i/>
                <w:iCs/>
                <w:color w:val="000000"/>
                <w:shd w:val="clear" w:color="auto" w:fill="FFFFFF"/>
              </w:rPr>
              <w:t>“</w:t>
            </w:r>
            <w:r w:rsidRPr="009841AB">
              <w:rPr>
                <w:bCs/>
                <w:i/>
                <w:iCs/>
                <w:color w:val="000000"/>
                <w:shd w:val="clear" w:color="auto" w:fill="FFFFFF"/>
              </w:rPr>
              <w:t xml:space="preserve">Pakalpojuma pilnveide jāsāk ar pakalpojumu groza analīzi, kas ietver pakalpojumu </w:t>
            </w:r>
            <w:r w:rsidRPr="009841AB">
              <w:rPr>
                <w:bCs/>
                <w:i/>
                <w:iCs/>
                <w:color w:val="000000"/>
                <w:shd w:val="clear" w:color="auto" w:fill="FFFFFF"/>
              </w:rPr>
              <w:lastRenderedPageBreak/>
              <w:t>saņēmēju vajadzību un gaidu analīzi. Šajā posmā ir būtiski apzināt, kādu tieši valsts pārvaldes labumu konkrētajā jomā iedzīvotājs vai uzņēmējs sagaida vai varētu sagaidīt.”</w:t>
            </w:r>
          </w:p>
          <w:p w14:paraId="56A19F6F" w14:textId="77777777" w:rsidR="001272D9" w:rsidRPr="009841AB" w:rsidRDefault="001272D9" w:rsidP="001272D9">
            <w:pPr>
              <w:jc w:val="both"/>
              <w:textAlignment w:val="center"/>
              <w:rPr>
                <w:color w:val="000000"/>
                <w:shd w:val="clear" w:color="auto" w:fill="FFFFFF"/>
              </w:rPr>
            </w:pPr>
            <w:r w:rsidRPr="009841AB">
              <w:rPr>
                <w:color w:val="000000"/>
                <w:shd w:val="clear" w:color="auto" w:fill="FFFFFF"/>
              </w:rPr>
              <w:t>Šajā procesā noteikti ir jāiesaista un jāanalizē arī pašvaldību sniegto pakalpojumu grozs. Piemēram, uzņēmējam, uzsākot komercdarbību, uzņēmuma reģistrāciju un darbības atļaujas izsniedz valsts institūcijas, taču, piemēram ielu tirdzniecības atļauju vai zvejas licenci izsniedz pašvaldība.</w:t>
            </w:r>
          </w:p>
        </w:tc>
        <w:tc>
          <w:tcPr>
            <w:tcW w:w="2480" w:type="dxa"/>
            <w:tcBorders>
              <w:left w:val="single" w:sz="6" w:space="0" w:color="000000" w:themeColor="text1"/>
              <w:bottom w:val="single" w:sz="4" w:space="0" w:color="auto"/>
            </w:tcBorders>
            <w:shd w:val="clear" w:color="auto" w:fill="auto"/>
          </w:tcPr>
          <w:p w14:paraId="116E4EC0" w14:textId="77777777" w:rsidR="001272D9" w:rsidRPr="009841AB" w:rsidRDefault="000E16BB" w:rsidP="001272D9">
            <w:pPr>
              <w:pStyle w:val="naisc"/>
              <w:spacing w:before="0" w:after="0"/>
              <w:jc w:val="left"/>
              <w:rPr>
                <w:b/>
                <w:bCs/>
              </w:rPr>
            </w:pPr>
            <w:r w:rsidRPr="009841AB">
              <w:rPr>
                <w:b/>
                <w:bCs/>
              </w:rPr>
              <w:lastRenderedPageBreak/>
              <w:t>Ņemts vērā</w:t>
            </w:r>
          </w:p>
          <w:p w14:paraId="4FCFE507" w14:textId="77777777" w:rsidR="000E16BB" w:rsidRPr="009841AB" w:rsidRDefault="000E16BB" w:rsidP="001272D9">
            <w:pPr>
              <w:pStyle w:val="naisc"/>
              <w:spacing w:before="0" w:after="0"/>
              <w:jc w:val="left"/>
              <w:rPr>
                <w:b/>
                <w:bCs/>
              </w:rPr>
            </w:pPr>
          </w:p>
          <w:p w14:paraId="7592301B" w14:textId="77777777" w:rsidR="000E16BB" w:rsidRPr="009841AB" w:rsidRDefault="000E16BB" w:rsidP="001272D9">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044C719A" w14:textId="77777777" w:rsidR="001272D9" w:rsidRPr="009841AB" w:rsidRDefault="000E16BB" w:rsidP="001272D9">
            <w:pPr>
              <w:pStyle w:val="naisc"/>
              <w:spacing w:before="0" w:after="0"/>
              <w:jc w:val="both"/>
            </w:pPr>
            <w:r w:rsidRPr="009841AB">
              <w:lastRenderedPageBreak/>
              <w:t xml:space="preserve">Lūdzam skatīt apakš sadaļu 4.4.9.2. </w:t>
            </w:r>
          </w:p>
        </w:tc>
      </w:tr>
      <w:tr w:rsidR="000E16BB" w:rsidRPr="009841AB" w14:paraId="03C4E1B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271A36D" w14:textId="77777777" w:rsidR="000E16BB" w:rsidRPr="009841AB" w:rsidRDefault="00C030D3" w:rsidP="000E16BB">
            <w:pPr>
              <w:pStyle w:val="naisc"/>
              <w:spacing w:before="0" w:after="0"/>
            </w:pPr>
            <w:r>
              <w:t>319</w:t>
            </w:r>
          </w:p>
        </w:tc>
        <w:tc>
          <w:tcPr>
            <w:tcW w:w="2427" w:type="dxa"/>
            <w:tcBorders>
              <w:left w:val="single" w:sz="6" w:space="0" w:color="000000" w:themeColor="text1"/>
              <w:bottom w:val="single" w:sz="4" w:space="0" w:color="auto"/>
            </w:tcBorders>
            <w:shd w:val="clear" w:color="auto" w:fill="auto"/>
          </w:tcPr>
          <w:p w14:paraId="3C97737A" w14:textId="77777777" w:rsidR="000E16BB" w:rsidRPr="009841AB" w:rsidRDefault="000E16BB" w:rsidP="000E16B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935D1DC" w14:textId="77777777" w:rsidR="000E16BB" w:rsidRPr="009841AB" w:rsidRDefault="000E16BB" w:rsidP="000E16BB">
            <w:pPr>
              <w:jc w:val="both"/>
              <w:rPr>
                <w:bCs/>
                <w:i/>
                <w:iCs/>
                <w:color w:val="000000"/>
                <w:shd w:val="clear" w:color="auto" w:fill="FFFFFF"/>
              </w:rPr>
            </w:pPr>
            <w:r w:rsidRPr="009841AB">
              <w:rPr>
                <w:color w:val="000000"/>
                <w:shd w:val="clear" w:color="auto" w:fill="FFFFFF"/>
              </w:rPr>
              <w:t xml:space="preserve">19. 159.-174. lapa. </w:t>
            </w:r>
            <w:r w:rsidRPr="009841AB">
              <w:rPr>
                <w:i/>
                <w:iCs/>
                <w:color w:val="000000"/>
                <w:shd w:val="clear" w:color="auto" w:fill="FFFFFF"/>
              </w:rPr>
              <w:t>“</w:t>
            </w:r>
            <w:r w:rsidRPr="009841AB">
              <w:rPr>
                <w:bCs/>
                <w:i/>
                <w:iCs/>
                <w:color w:val="000000"/>
                <w:shd w:val="clear" w:color="auto" w:fill="FFFFFF"/>
              </w:rPr>
              <w:t xml:space="preserve">4.4.9.2. Rīcības </w:t>
            </w:r>
            <w:proofErr w:type="spellStart"/>
            <w:r w:rsidRPr="009841AB">
              <w:rPr>
                <w:bCs/>
                <w:i/>
                <w:iCs/>
                <w:color w:val="000000"/>
                <w:shd w:val="clear" w:color="auto" w:fill="FFFFFF"/>
              </w:rPr>
              <w:t>apakšvirziens</w:t>
            </w:r>
            <w:proofErr w:type="spellEnd"/>
            <w:r w:rsidRPr="009841AB">
              <w:rPr>
                <w:bCs/>
                <w:i/>
                <w:iCs/>
                <w:color w:val="000000"/>
                <w:shd w:val="clear" w:color="auto" w:fill="FFFFFF"/>
              </w:rPr>
              <w:t xml:space="preserve">: Valsts pārvaldes pakalpojumu digitālā transformācija - </w:t>
            </w:r>
            <w:proofErr w:type="spellStart"/>
            <w:r w:rsidRPr="009841AB">
              <w:rPr>
                <w:bCs/>
                <w:i/>
                <w:iCs/>
                <w:color w:val="000000"/>
                <w:shd w:val="clear" w:color="auto" w:fill="FFFFFF"/>
              </w:rPr>
              <w:t>daudzkanālu</w:t>
            </w:r>
            <w:proofErr w:type="spellEnd"/>
            <w:r w:rsidRPr="009841AB">
              <w:rPr>
                <w:bCs/>
                <w:i/>
                <w:iCs/>
                <w:color w:val="000000"/>
                <w:shd w:val="clear" w:color="auto" w:fill="FFFFFF"/>
              </w:rPr>
              <w:t xml:space="preserve"> piegāde</w:t>
            </w:r>
          </w:p>
          <w:p w14:paraId="40C0A3C9" w14:textId="77777777" w:rsidR="000E16BB" w:rsidRPr="009841AB" w:rsidRDefault="000E16BB" w:rsidP="000E16BB">
            <w:pPr>
              <w:jc w:val="both"/>
              <w:rPr>
                <w:bCs/>
                <w:i/>
                <w:iCs/>
                <w:color w:val="000000"/>
                <w:shd w:val="clear" w:color="auto" w:fill="FFFFFF"/>
              </w:rPr>
            </w:pPr>
            <w:r w:rsidRPr="009841AB">
              <w:rPr>
                <w:bCs/>
                <w:i/>
                <w:iCs/>
                <w:color w:val="000000"/>
                <w:shd w:val="clear" w:color="auto" w:fill="FFFFFF"/>
              </w:rPr>
              <w:t xml:space="preserve">4.4.9.3. Rīcības </w:t>
            </w:r>
            <w:proofErr w:type="spellStart"/>
            <w:r w:rsidRPr="009841AB">
              <w:rPr>
                <w:bCs/>
                <w:i/>
                <w:iCs/>
                <w:color w:val="000000"/>
                <w:shd w:val="clear" w:color="auto" w:fill="FFFFFF"/>
              </w:rPr>
              <w:t>apakšvirziens</w:t>
            </w:r>
            <w:proofErr w:type="spellEnd"/>
            <w:r w:rsidRPr="009841AB">
              <w:rPr>
                <w:bCs/>
                <w:i/>
                <w:iCs/>
                <w:color w:val="000000"/>
                <w:shd w:val="clear" w:color="auto" w:fill="FFFFFF"/>
              </w:rPr>
              <w:t xml:space="preserve">: Pilnībā </w:t>
            </w:r>
            <w:proofErr w:type="spellStart"/>
            <w:r w:rsidRPr="009841AB">
              <w:rPr>
                <w:bCs/>
                <w:i/>
                <w:iCs/>
                <w:color w:val="000000"/>
                <w:shd w:val="clear" w:color="auto" w:fill="FFFFFF"/>
              </w:rPr>
              <w:t>digitalizēta</w:t>
            </w:r>
            <w:proofErr w:type="spellEnd"/>
            <w:r w:rsidRPr="009841AB">
              <w:rPr>
                <w:bCs/>
                <w:i/>
                <w:iCs/>
                <w:color w:val="000000"/>
                <w:shd w:val="clear" w:color="auto" w:fill="FFFFFF"/>
              </w:rPr>
              <w:t xml:space="preserve"> un datu vadīta valsts pārvaldes pamatdarbība</w:t>
            </w:r>
          </w:p>
          <w:p w14:paraId="39583F12" w14:textId="77777777" w:rsidR="000E16BB" w:rsidRPr="009841AB" w:rsidRDefault="000E16BB" w:rsidP="000E16BB">
            <w:pPr>
              <w:jc w:val="both"/>
              <w:rPr>
                <w:bCs/>
                <w:i/>
                <w:iCs/>
                <w:color w:val="000000"/>
                <w:shd w:val="clear" w:color="auto" w:fill="FFFFFF"/>
              </w:rPr>
            </w:pPr>
            <w:r w:rsidRPr="009841AB">
              <w:rPr>
                <w:bCs/>
                <w:i/>
                <w:iCs/>
                <w:color w:val="000000"/>
                <w:shd w:val="clear" w:color="auto" w:fill="FFFFFF"/>
              </w:rPr>
              <w:t xml:space="preserve">4.4.9.4. Rīcības </w:t>
            </w:r>
            <w:proofErr w:type="spellStart"/>
            <w:r w:rsidRPr="009841AB">
              <w:rPr>
                <w:bCs/>
                <w:i/>
                <w:iCs/>
                <w:color w:val="000000"/>
                <w:shd w:val="clear" w:color="auto" w:fill="FFFFFF"/>
              </w:rPr>
              <w:t>apakšvirziens</w:t>
            </w:r>
            <w:proofErr w:type="spellEnd"/>
            <w:r w:rsidRPr="009841AB">
              <w:rPr>
                <w:bCs/>
                <w:i/>
                <w:iCs/>
                <w:color w:val="000000"/>
                <w:shd w:val="clear" w:color="auto" w:fill="FFFFFF"/>
              </w:rPr>
              <w:t>: Produktīva valsts pārvaldes darbinieku darba vide</w:t>
            </w:r>
          </w:p>
          <w:p w14:paraId="09786258" w14:textId="77777777" w:rsidR="000E16BB" w:rsidRPr="009841AB" w:rsidRDefault="000E16BB" w:rsidP="000E16BB">
            <w:pPr>
              <w:jc w:val="both"/>
              <w:textAlignment w:val="center"/>
              <w:rPr>
                <w:bCs/>
                <w:i/>
                <w:iCs/>
                <w:color w:val="000000"/>
                <w:shd w:val="clear" w:color="auto" w:fill="FFFFFF"/>
              </w:rPr>
            </w:pPr>
            <w:r w:rsidRPr="009841AB">
              <w:rPr>
                <w:bCs/>
                <w:i/>
                <w:iCs/>
                <w:color w:val="000000"/>
                <w:shd w:val="clear" w:color="auto" w:fill="FFFFFF"/>
              </w:rPr>
              <w:t xml:space="preserve">4.4.9.5. Rīcības </w:t>
            </w:r>
            <w:proofErr w:type="spellStart"/>
            <w:r w:rsidRPr="009841AB">
              <w:rPr>
                <w:bCs/>
                <w:i/>
                <w:iCs/>
                <w:color w:val="000000"/>
                <w:shd w:val="clear" w:color="auto" w:fill="FFFFFF"/>
              </w:rPr>
              <w:t>apakšvirziens</w:t>
            </w:r>
            <w:proofErr w:type="spellEnd"/>
            <w:r w:rsidRPr="009841AB">
              <w:rPr>
                <w:bCs/>
                <w:i/>
                <w:iCs/>
                <w:color w:val="000000"/>
                <w:shd w:val="clear" w:color="auto" w:fill="FFFFFF"/>
              </w:rPr>
              <w:t>: Inovācija valsts pārvaldē, dizaina domāšana, valsts pārvaldes pakalpojumu digitālās transformācijas kompetences”</w:t>
            </w:r>
          </w:p>
          <w:p w14:paraId="6A618469" w14:textId="77777777" w:rsidR="000E16BB" w:rsidRPr="009841AB" w:rsidRDefault="000E16BB" w:rsidP="000E16BB">
            <w:pPr>
              <w:jc w:val="both"/>
              <w:textAlignment w:val="center"/>
              <w:rPr>
                <w:color w:val="000000"/>
                <w:shd w:val="clear" w:color="auto" w:fill="FFFFFF"/>
              </w:rPr>
            </w:pPr>
            <w:r w:rsidRPr="009841AB">
              <w:rPr>
                <w:color w:val="000000"/>
                <w:shd w:val="clear" w:color="auto" w:fill="FFFFFF"/>
              </w:rPr>
              <w:t xml:space="preserve">Šajos rīcības </w:t>
            </w:r>
            <w:proofErr w:type="spellStart"/>
            <w:r w:rsidRPr="009841AB">
              <w:rPr>
                <w:color w:val="000000"/>
                <w:shd w:val="clear" w:color="auto" w:fill="FFFFFF"/>
              </w:rPr>
              <w:t>apakšvirzienos</w:t>
            </w:r>
            <w:proofErr w:type="spellEnd"/>
            <w:r w:rsidRPr="009841AB">
              <w:rPr>
                <w:color w:val="000000"/>
                <w:shd w:val="clear" w:color="auto" w:fill="FFFFFF"/>
              </w:rPr>
              <w:t xml:space="preserve"> nav minētas pašvaldības, taču tās būtu jāiesaista visos Modernas un atvērtas valsts pārvaldes veidošanas procesos.</w:t>
            </w:r>
          </w:p>
        </w:tc>
        <w:tc>
          <w:tcPr>
            <w:tcW w:w="2480" w:type="dxa"/>
            <w:tcBorders>
              <w:left w:val="single" w:sz="6" w:space="0" w:color="000000" w:themeColor="text1"/>
              <w:bottom w:val="single" w:sz="4" w:space="0" w:color="auto"/>
            </w:tcBorders>
            <w:shd w:val="clear" w:color="auto" w:fill="auto"/>
          </w:tcPr>
          <w:p w14:paraId="3A21A40F" w14:textId="77777777" w:rsidR="000E16BB" w:rsidRPr="009841AB" w:rsidRDefault="000E16BB" w:rsidP="000E16BB">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379FAD37" w14:textId="77777777" w:rsidR="000E16BB" w:rsidRPr="009841AB" w:rsidRDefault="000E16BB" w:rsidP="000E16BB">
            <w:pPr>
              <w:pStyle w:val="naisc"/>
              <w:spacing w:before="0" w:after="0"/>
              <w:jc w:val="left"/>
            </w:pPr>
            <w:r w:rsidRPr="009841AB">
              <w:t xml:space="preserve">Lūdzam skatīt </w:t>
            </w:r>
            <w:proofErr w:type="spellStart"/>
            <w:r w:rsidRPr="009841AB">
              <w:t>apakšsadaļ</w:t>
            </w:r>
            <w:r w:rsidR="00276D9B" w:rsidRPr="009841AB">
              <w:t>as</w:t>
            </w:r>
            <w:proofErr w:type="spellEnd"/>
            <w:r w:rsidRPr="009841AB">
              <w:t xml:space="preserve"> 4.4.9.3.</w:t>
            </w:r>
            <w:r w:rsidR="00276D9B" w:rsidRPr="009841AB">
              <w:t>, 4.4.9.4., 4.4.9.5. un 4.4.9.1 līdz 4.4.9.5.</w:t>
            </w:r>
          </w:p>
        </w:tc>
      </w:tr>
      <w:tr w:rsidR="001272D9" w:rsidRPr="009841AB" w14:paraId="4A68CDE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312D416" w14:textId="77777777" w:rsidR="001272D9" w:rsidRPr="009841AB" w:rsidRDefault="00C030D3" w:rsidP="001272D9">
            <w:pPr>
              <w:pStyle w:val="naisc"/>
              <w:spacing w:before="0" w:after="0"/>
            </w:pPr>
            <w:r>
              <w:t>320</w:t>
            </w:r>
          </w:p>
        </w:tc>
        <w:tc>
          <w:tcPr>
            <w:tcW w:w="2427" w:type="dxa"/>
            <w:tcBorders>
              <w:left w:val="single" w:sz="6" w:space="0" w:color="000000" w:themeColor="text1"/>
              <w:bottom w:val="single" w:sz="4" w:space="0" w:color="auto"/>
            </w:tcBorders>
            <w:shd w:val="clear" w:color="auto" w:fill="auto"/>
          </w:tcPr>
          <w:p w14:paraId="745F1DD7"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008B6BF" w14:textId="77777777" w:rsidR="001272D9" w:rsidRPr="009841AB" w:rsidRDefault="001272D9" w:rsidP="001272D9">
            <w:pPr>
              <w:jc w:val="both"/>
              <w:rPr>
                <w:bCs/>
                <w:i/>
                <w:iCs/>
                <w:color w:val="000000"/>
                <w:shd w:val="clear" w:color="auto" w:fill="FFFFFF"/>
              </w:rPr>
            </w:pPr>
            <w:r w:rsidRPr="009841AB">
              <w:rPr>
                <w:color w:val="000000"/>
                <w:shd w:val="clear" w:color="auto" w:fill="FFFFFF"/>
              </w:rPr>
              <w:t xml:space="preserve">20. 159. lapa. </w:t>
            </w:r>
            <w:r w:rsidRPr="009841AB">
              <w:rPr>
                <w:i/>
                <w:iCs/>
                <w:color w:val="000000"/>
                <w:shd w:val="clear" w:color="auto" w:fill="FFFFFF"/>
              </w:rPr>
              <w:t>“</w:t>
            </w:r>
            <w:r w:rsidRPr="009841AB">
              <w:rPr>
                <w:bCs/>
                <w:i/>
                <w:iCs/>
                <w:color w:val="000000"/>
                <w:shd w:val="clear" w:color="auto" w:fill="FFFFFF"/>
              </w:rPr>
              <w:t>Digitālajā vidē radīta iespēja pieprasīt valsts pakalpojumus un</w:t>
            </w:r>
          </w:p>
          <w:p w14:paraId="695777C1" w14:textId="77777777" w:rsidR="001272D9" w:rsidRPr="009841AB" w:rsidRDefault="001272D9" w:rsidP="001272D9">
            <w:pPr>
              <w:jc w:val="both"/>
              <w:rPr>
                <w:bCs/>
                <w:i/>
                <w:iCs/>
                <w:color w:val="000000"/>
                <w:shd w:val="clear" w:color="auto" w:fill="FFFFFF"/>
              </w:rPr>
            </w:pPr>
            <w:r w:rsidRPr="009841AB">
              <w:rPr>
                <w:bCs/>
                <w:i/>
                <w:iCs/>
                <w:color w:val="000000"/>
                <w:shd w:val="clear" w:color="auto" w:fill="FFFFFF"/>
              </w:rPr>
              <w:t xml:space="preserve">sazināties ar valsts un pašvaldību iestādēm, izmantojot audio un video komunikācijas iespējas, piemēram, </w:t>
            </w:r>
            <w:proofErr w:type="spellStart"/>
            <w:r w:rsidRPr="009841AB">
              <w:rPr>
                <w:bCs/>
                <w:i/>
                <w:iCs/>
                <w:color w:val="000000"/>
                <w:shd w:val="clear" w:color="auto" w:fill="FFFFFF"/>
              </w:rPr>
              <w:t>videoiesnieguma</w:t>
            </w:r>
            <w:proofErr w:type="spellEnd"/>
            <w:r w:rsidRPr="009841AB">
              <w:rPr>
                <w:bCs/>
                <w:i/>
                <w:iCs/>
                <w:color w:val="000000"/>
                <w:shd w:val="clear" w:color="auto" w:fill="FFFFFF"/>
              </w:rPr>
              <w:t xml:space="preserve"> formā.”</w:t>
            </w:r>
          </w:p>
          <w:p w14:paraId="5B9A140F" w14:textId="77777777" w:rsidR="001272D9" w:rsidRPr="009841AB" w:rsidRDefault="001272D9" w:rsidP="001272D9">
            <w:pPr>
              <w:jc w:val="both"/>
              <w:textAlignment w:val="center"/>
              <w:rPr>
                <w:color w:val="000000"/>
                <w:shd w:val="clear" w:color="auto" w:fill="FFFFFF"/>
              </w:rPr>
            </w:pPr>
            <w:r w:rsidRPr="009841AB">
              <w:rPr>
                <w:color w:val="000000"/>
                <w:shd w:val="clear" w:color="auto" w:fill="FFFFFF"/>
              </w:rPr>
              <w:t xml:space="preserve">Nav skaidrs, kā varēs noteikt personas identitāti </w:t>
            </w:r>
            <w:proofErr w:type="spellStart"/>
            <w:r w:rsidRPr="009841AB">
              <w:rPr>
                <w:color w:val="000000"/>
                <w:shd w:val="clear" w:color="auto" w:fill="FFFFFF"/>
              </w:rPr>
              <w:t>videoiesnieguma</w:t>
            </w:r>
            <w:proofErr w:type="spellEnd"/>
            <w:r w:rsidRPr="009841AB">
              <w:rPr>
                <w:color w:val="000000"/>
                <w:shd w:val="clear" w:color="auto" w:fill="FFFFFF"/>
              </w:rPr>
              <w:t xml:space="preserve"> formā, jo ar pases vai ID kartes parādīšanu kamerā, personas identitāti noteikt nebūtu prātīgi, jo mūsdienās var </w:t>
            </w:r>
            <w:proofErr w:type="spellStart"/>
            <w:r w:rsidRPr="009841AB">
              <w:rPr>
                <w:color w:val="000000"/>
                <w:shd w:val="clear" w:color="auto" w:fill="FFFFFF"/>
              </w:rPr>
              <w:t>izprintēt</w:t>
            </w:r>
            <w:proofErr w:type="spellEnd"/>
            <w:r w:rsidRPr="009841AB">
              <w:rPr>
                <w:color w:val="000000"/>
                <w:shd w:val="clear" w:color="auto" w:fill="FFFFFF"/>
              </w:rPr>
              <w:t xml:space="preserve"> jebkāda veida viltotus dokumentus.</w:t>
            </w:r>
          </w:p>
        </w:tc>
        <w:tc>
          <w:tcPr>
            <w:tcW w:w="2480" w:type="dxa"/>
            <w:tcBorders>
              <w:left w:val="single" w:sz="6" w:space="0" w:color="000000" w:themeColor="text1"/>
              <w:bottom w:val="single" w:sz="4" w:space="0" w:color="auto"/>
            </w:tcBorders>
            <w:shd w:val="clear" w:color="auto" w:fill="auto"/>
          </w:tcPr>
          <w:p w14:paraId="17AC5956"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t>Panākta vienošanās</w:t>
            </w:r>
          </w:p>
          <w:p w14:paraId="48AE1309" w14:textId="77777777" w:rsidR="001272D9" w:rsidRPr="009841AB" w:rsidRDefault="005C5FBA" w:rsidP="005C5FBA">
            <w:pPr>
              <w:pStyle w:val="naisc"/>
              <w:spacing w:before="0" w:after="0"/>
              <w:jc w:val="left"/>
            </w:pPr>
            <w:r w:rsidRPr="009841AB">
              <w:t xml:space="preserve">Gan video, gan audio iesniegumu ir iespējams parakstīt ar drošu elektronisko parakstu. Savukārt, uzsākot tiešsaistes videokonferenci, pirms tās fiziskā persona tiek identificēta izmantojot kādu no </w:t>
            </w:r>
            <w:r w:rsidRPr="009841AB">
              <w:lastRenderedPageBreak/>
              <w:t>kvalificētajiem elektroniskās identifikācijas līdzekļiem.</w:t>
            </w:r>
          </w:p>
        </w:tc>
        <w:tc>
          <w:tcPr>
            <w:tcW w:w="3497" w:type="dxa"/>
            <w:tcBorders>
              <w:left w:val="single" w:sz="6" w:space="0" w:color="000000" w:themeColor="text1"/>
              <w:bottom w:val="single" w:sz="4" w:space="0" w:color="auto"/>
            </w:tcBorders>
            <w:shd w:val="clear" w:color="auto" w:fill="auto"/>
          </w:tcPr>
          <w:p w14:paraId="591D0C2C" w14:textId="77777777" w:rsidR="001272D9" w:rsidRPr="009841AB" w:rsidRDefault="001272D9" w:rsidP="002A60B3">
            <w:pPr>
              <w:pStyle w:val="naisc"/>
              <w:spacing w:before="0" w:after="0"/>
              <w:jc w:val="left"/>
            </w:pPr>
          </w:p>
        </w:tc>
      </w:tr>
      <w:tr w:rsidR="001272D9" w:rsidRPr="009841AB" w14:paraId="043FA34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1AFC932" w14:textId="77777777" w:rsidR="001272D9" w:rsidRPr="009841AB" w:rsidRDefault="00C030D3" w:rsidP="001332B4">
            <w:pPr>
              <w:pStyle w:val="naisc"/>
              <w:spacing w:before="0" w:after="0"/>
              <w:jc w:val="left"/>
            </w:pPr>
            <w:r>
              <w:t>321</w:t>
            </w:r>
          </w:p>
        </w:tc>
        <w:tc>
          <w:tcPr>
            <w:tcW w:w="2427" w:type="dxa"/>
            <w:tcBorders>
              <w:left w:val="single" w:sz="6" w:space="0" w:color="000000" w:themeColor="text1"/>
              <w:bottom w:val="single" w:sz="4" w:space="0" w:color="auto"/>
            </w:tcBorders>
            <w:shd w:val="clear" w:color="auto" w:fill="auto"/>
          </w:tcPr>
          <w:p w14:paraId="3FC6586F" w14:textId="77777777" w:rsidR="001272D9" w:rsidRPr="009841AB" w:rsidRDefault="001272D9" w:rsidP="001332B4">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73B68ED" w14:textId="77777777" w:rsidR="001272D9" w:rsidRPr="009841AB" w:rsidRDefault="001272D9" w:rsidP="001332B4">
            <w:pPr>
              <w:rPr>
                <w:i/>
                <w:iCs/>
                <w:color w:val="000000"/>
              </w:rPr>
            </w:pPr>
            <w:r w:rsidRPr="009841AB">
              <w:rPr>
                <w:color w:val="000000"/>
                <w:shd w:val="clear" w:color="auto" w:fill="FFFFFF"/>
              </w:rPr>
              <w:t xml:space="preserve">21. 172.-173. lapa. </w:t>
            </w:r>
            <w:r w:rsidRPr="009841AB">
              <w:rPr>
                <w:i/>
                <w:iCs/>
                <w:color w:val="000000"/>
                <w:shd w:val="clear" w:color="auto" w:fill="FFFFFF"/>
              </w:rPr>
              <w:t>“</w:t>
            </w:r>
            <w:r w:rsidRPr="009841AB">
              <w:rPr>
                <w:i/>
                <w:iCs/>
                <w:color w:val="000000"/>
              </w:rPr>
              <w:t xml:space="preserve">Sagaidāms, ka šāds centrs akumulēs kvalificētu digitālās transformācijas ekspertu kompetences, ikdienā veiks iestāžu </w:t>
            </w:r>
            <w:proofErr w:type="spellStart"/>
            <w:r w:rsidRPr="009841AB">
              <w:rPr>
                <w:i/>
                <w:iCs/>
                <w:color w:val="000000"/>
              </w:rPr>
              <w:t>digitalizācijas</w:t>
            </w:r>
            <w:proofErr w:type="spellEnd"/>
            <w:r w:rsidRPr="009841AB">
              <w:rPr>
                <w:i/>
                <w:iCs/>
                <w:color w:val="000000"/>
              </w:rPr>
              <w:t xml:space="preserve"> līmeņa, aktivitāšu un stratēģisko digitālās transformācijas plānu monitoringu, analizēs IKT nozares sasniegumu izmantošanas iespējas pārvaldes digitālajā transformācijā un nodrošinās digitālās transformācijas padziļinātas kompetences koplietošanas pakalpojumus valsts pārvaldes iestādēm.”</w:t>
            </w:r>
          </w:p>
          <w:p w14:paraId="7D351453" w14:textId="77777777" w:rsidR="001272D9" w:rsidRPr="009841AB" w:rsidRDefault="001272D9" w:rsidP="001332B4">
            <w:pPr>
              <w:rPr>
                <w:bCs/>
                <w:color w:val="000000"/>
                <w:shd w:val="clear" w:color="auto" w:fill="FFFFFF"/>
              </w:rPr>
            </w:pPr>
            <w:r w:rsidRPr="009841AB">
              <w:rPr>
                <w:bCs/>
                <w:color w:val="000000"/>
                <w:shd w:val="clear" w:color="auto" w:fill="FFFFFF"/>
              </w:rPr>
              <w:t>Digitālās transformācijas un inovāciju jomās nozīme ir arī pašvaldību administrācijām, pašvaldību uzņēmumiem, jo vietējie iedzīvotāji primāri vēršas pie zemākā pārvaldes līmeņa. Lūdzam papildināt attiecīgās vietas dokumentā, kur pieminēta tikai valsts pārvalde:</w:t>
            </w:r>
          </w:p>
          <w:p w14:paraId="7859B83F" w14:textId="77777777" w:rsidR="001272D9" w:rsidRPr="009841AB" w:rsidRDefault="001272D9" w:rsidP="001332B4">
            <w:pPr>
              <w:ind w:right="12"/>
            </w:pPr>
            <w:r w:rsidRPr="009841AB">
              <w:rPr>
                <w:color w:val="000000"/>
              </w:rPr>
              <w:t xml:space="preserve">Sagaidāms, ka šāds centrs akumulēs kvalificētu digitālās transformācijas ekspertu kompetences, ikdienā veiks iestāžu </w:t>
            </w:r>
            <w:proofErr w:type="spellStart"/>
            <w:r w:rsidRPr="009841AB">
              <w:rPr>
                <w:color w:val="000000"/>
              </w:rPr>
              <w:t>digitalizācijas</w:t>
            </w:r>
            <w:proofErr w:type="spellEnd"/>
            <w:r w:rsidRPr="009841AB">
              <w:rPr>
                <w:color w:val="000000"/>
              </w:rPr>
              <w:t xml:space="preserve"> līmeņa, aktivitāšu un stratēģisko digitālās transformācijas plānu monitoringu, analizēs IKT nozares sasniegumu izmantošanas iespējas pārvaldes digitālajā transformācijā un nodrošinās digitālās transformācijas padziļinātas kompetences koplietošanas pakalpojumus valsts un pašvaldību pārvaldes iestādēm.</w:t>
            </w:r>
          </w:p>
        </w:tc>
        <w:tc>
          <w:tcPr>
            <w:tcW w:w="2480" w:type="dxa"/>
            <w:tcBorders>
              <w:left w:val="single" w:sz="6" w:space="0" w:color="000000" w:themeColor="text1"/>
              <w:bottom w:val="single" w:sz="4" w:space="0" w:color="auto"/>
            </w:tcBorders>
            <w:shd w:val="clear" w:color="auto" w:fill="auto"/>
          </w:tcPr>
          <w:p w14:paraId="1E7C65AB"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t>Panākta vienošanās</w:t>
            </w:r>
          </w:p>
          <w:p w14:paraId="4B9FB995" w14:textId="77777777" w:rsidR="001272D9" w:rsidRPr="009841AB" w:rsidRDefault="00FB70A1" w:rsidP="001332B4">
            <w:pPr>
              <w:pStyle w:val="naisc"/>
              <w:spacing w:before="0" w:after="0"/>
              <w:jc w:val="left"/>
            </w:pPr>
            <w:r w:rsidRPr="009841AB">
              <w:t>Piedāvātais valsts pārvaldes inovāciju un dizaina domāšanas metodiskā atbalsta kompetenču centrs būs centralizēta organizatoriska vienība (iestādes loma), taču tās pakalpojumus saņems kā ministrijas un to padotības iestādes, tā arī pašvaldības un to iestādes</w:t>
            </w:r>
          </w:p>
        </w:tc>
        <w:tc>
          <w:tcPr>
            <w:tcW w:w="3497" w:type="dxa"/>
            <w:tcBorders>
              <w:left w:val="single" w:sz="6" w:space="0" w:color="000000" w:themeColor="text1"/>
              <w:bottom w:val="single" w:sz="4" w:space="0" w:color="auto"/>
            </w:tcBorders>
            <w:shd w:val="clear" w:color="auto" w:fill="auto"/>
          </w:tcPr>
          <w:p w14:paraId="499F6DAF" w14:textId="77777777" w:rsidR="001272D9" w:rsidRPr="009841AB" w:rsidRDefault="001332B4" w:rsidP="001332B4">
            <w:pPr>
              <w:pStyle w:val="naisc"/>
              <w:spacing w:before="0" w:after="0"/>
              <w:jc w:val="left"/>
            </w:pPr>
            <w:r w:rsidRPr="009841AB">
              <w:t xml:space="preserve">Lūdzam skatīt </w:t>
            </w:r>
            <w:proofErr w:type="spellStart"/>
            <w:r w:rsidRPr="009841AB">
              <w:t>apakšsadaļu</w:t>
            </w:r>
            <w:proofErr w:type="spellEnd"/>
            <w:r w:rsidRPr="009841AB">
              <w:t xml:space="preserve"> 4.4.9.5.</w:t>
            </w:r>
          </w:p>
        </w:tc>
      </w:tr>
      <w:tr w:rsidR="00DD4F11" w:rsidRPr="009841AB" w14:paraId="55A4B77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8677FF6" w14:textId="77777777" w:rsidR="00DD4F11" w:rsidRPr="009841AB" w:rsidRDefault="00DD4F11" w:rsidP="001332B4">
            <w:pPr>
              <w:pStyle w:val="naisc"/>
              <w:spacing w:before="0" w:after="0"/>
              <w:jc w:val="left"/>
            </w:pPr>
            <w:r w:rsidRPr="009841AB">
              <w:rPr>
                <w:b/>
                <w:bCs/>
              </w:rPr>
              <w:t xml:space="preserve">Latvijas Lielo pilsētu asociācijas </w:t>
            </w:r>
            <w:r>
              <w:rPr>
                <w:b/>
                <w:bCs/>
              </w:rPr>
              <w:t>30</w:t>
            </w:r>
            <w:r w:rsidRPr="009841AB">
              <w:rPr>
                <w:b/>
                <w:bCs/>
              </w:rPr>
              <w:t>.0</w:t>
            </w:r>
            <w:r>
              <w:rPr>
                <w:b/>
                <w:bCs/>
              </w:rPr>
              <w:t>4</w:t>
            </w:r>
            <w:r w:rsidRPr="009841AB">
              <w:rPr>
                <w:b/>
                <w:bCs/>
              </w:rPr>
              <w:t>.2021. atzinums:</w:t>
            </w:r>
          </w:p>
        </w:tc>
      </w:tr>
      <w:tr w:rsidR="00DD4F11" w:rsidRPr="009841AB" w14:paraId="7D4E2B6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B1E30EF" w14:textId="77777777" w:rsidR="00DD4F11" w:rsidRPr="009841AB" w:rsidRDefault="00C030D3" w:rsidP="001332B4">
            <w:pPr>
              <w:pStyle w:val="naisc"/>
              <w:spacing w:before="0" w:after="0"/>
              <w:jc w:val="left"/>
            </w:pPr>
            <w:r>
              <w:t>322</w:t>
            </w:r>
          </w:p>
        </w:tc>
        <w:tc>
          <w:tcPr>
            <w:tcW w:w="2427" w:type="dxa"/>
            <w:tcBorders>
              <w:left w:val="single" w:sz="6" w:space="0" w:color="000000" w:themeColor="text1"/>
              <w:bottom w:val="single" w:sz="4" w:space="0" w:color="auto"/>
            </w:tcBorders>
            <w:shd w:val="clear" w:color="auto" w:fill="auto"/>
          </w:tcPr>
          <w:p w14:paraId="40481438" w14:textId="77777777" w:rsidR="00DD4F11" w:rsidRPr="009841AB" w:rsidRDefault="00DD4F11" w:rsidP="001332B4">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tbl>
            <w:tblPr>
              <w:tblW w:w="5117" w:type="dxa"/>
              <w:shd w:val="clear" w:color="auto" w:fill="F2F2F2"/>
              <w:tblLayout w:type="fixed"/>
              <w:tblLook w:val="04A0" w:firstRow="1" w:lastRow="0" w:firstColumn="1" w:lastColumn="0" w:noHBand="0" w:noVBand="1"/>
            </w:tblPr>
            <w:tblGrid>
              <w:gridCol w:w="1015"/>
              <w:gridCol w:w="1358"/>
              <w:gridCol w:w="674"/>
              <w:gridCol w:w="639"/>
              <w:gridCol w:w="867"/>
              <w:gridCol w:w="564"/>
            </w:tblGrid>
            <w:tr w:rsidR="00DD4F11" w:rsidRPr="00F77A5D" w14:paraId="37D0BBF7" w14:textId="77777777" w:rsidTr="00082E37">
              <w:trPr>
                <w:cantSplit/>
                <w:trHeight w:val="801"/>
              </w:trPr>
              <w:tc>
                <w:tcPr>
                  <w:tcW w:w="1015" w:type="dxa"/>
                  <w:tcBorders>
                    <w:bottom w:val="single" w:sz="4" w:space="0" w:color="auto"/>
                  </w:tcBorders>
                  <w:shd w:val="clear" w:color="auto" w:fill="D9D9D9"/>
                  <w:vAlign w:val="center"/>
                </w:tcPr>
                <w:p w14:paraId="283C888E" w14:textId="77777777" w:rsidR="00DD4F11" w:rsidRPr="00EA0ED8" w:rsidRDefault="00DD4F11" w:rsidP="00DD4F11">
                  <w:pPr>
                    <w:jc w:val="both"/>
                    <w:rPr>
                      <w:color w:val="000000"/>
                      <w:sz w:val="16"/>
                    </w:rPr>
                  </w:pPr>
                  <w:r w:rsidRPr="00EA0ED8">
                    <w:rPr>
                      <w:color w:val="000000"/>
                      <w:sz w:val="16"/>
                    </w:rPr>
                    <w:t>Identifikators</w:t>
                  </w:r>
                </w:p>
              </w:tc>
              <w:tc>
                <w:tcPr>
                  <w:tcW w:w="1358" w:type="dxa"/>
                  <w:tcBorders>
                    <w:bottom w:val="single" w:sz="4" w:space="0" w:color="auto"/>
                  </w:tcBorders>
                  <w:shd w:val="clear" w:color="auto" w:fill="D9D9D9"/>
                  <w:vAlign w:val="center"/>
                </w:tcPr>
                <w:p w14:paraId="354F6BC1" w14:textId="77777777" w:rsidR="00DD4F11" w:rsidRPr="00EA0ED8" w:rsidRDefault="00DD4F11" w:rsidP="00DD4F11">
                  <w:pPr>
                    <w:jc w:val="both"/>
                    <w:rPr>
                      <w:sz w:val="16"/>
                    </w:rPr>
                  </w:pPr>
                  <w:r w:rsidRPr="00EA0ED8">
                    <w:rPr>
                      <w:color w:val="000000"/>
                      <w:sz w:val="16"/>
                    </w:rPr>
                    <w:t>Uzdevums</w:t>
                  </w:r>
                </w:p>
              </w:tc>
              <w:tc>
                <w:tcPr>
                  <w:tcW w:w="674" w:type="dxa"/>
                  <w:tcBorders>
                    <w:bottom w:val="single" w:sz="4" w:space="0" w:color="auto"/>
                  </w:tcBorders>
                  <w:shd w:val="clear" w:color="auto" w:fill="D9D9D9"/>
                  <w:vAlign w:val="center"/>
                </w:tcPr>
                <w:p w14:paraId="42E59F7C" w14:textId="77777777" w:rsidR="00DD4F11" w:rsidRPr="00EA0ED8" w:rsidRDefault="00DD4F11" w:rsidP="00DD4F11">
                  <w:pPr>
                    <w:jc w:val="both"/>
                    <w:rPr>
                      <w:sz w:val="16"/>
                    </w:rPr>
                  </w:pPr>
                  <w:r w:rsidRPr="00EA0ED8">
                    <w:rPr>
                      <w:sz w:val="16"/>
                    </w:rPr>
                    <w:t>Sākuma termiņš</w:t>
                  </w:r>
                </w:p>
              </w:tc>
              <w:tc>
                <w:tcPr>
                  <w:tcW w:w="639" w:type="dxa"/>
                  <w:tcBorders>
                    <w:bottom w:val="single" w:sz="4" w:space="0" w:color="auto"/>
                  </w:tcBorders>
                  <w:shd w:val="clear" w:color="auto" w:fill="D9D9D9"/>
                  <w:vAlign w:val="center"/>
                </w:tcPr>
                <w:p w14:paraId="7E241FC0" w14:textId="77777777" w:rsidR="00DD4F11" w:rsidRPr="00EA0ED8" w:rsidRDefault="00DD4F11" w:rsidP="00DD4F11">
                  <w:pPr>
                    <w:jc w:val="both"/>
                    <w:rPr>
                      <w:sz w:val="16"/>
                    </w:rPr>
                  </w:pPr>
                  <w:r w:rsidRPr="00EA0ED8">
                    <w:rPr>
                      <w:sz w:val="16"/>
                    </w:rPr>
                    <w:t>Beigu termiņš</w:t>
                  </w:r>
                </w:p>
              </w:tc>
              <w:tc>
                <w:tcPr>
                  <w:tcW w:w="867" w:type="dxa"/>
                  <w:tcBorders>
                    <w:bottom w:val="single" w:sz="4" w:space="0" w:color="auto"/>
                  </w:tcBorders>
                  <w:shd w:val="clear" w:color="auto" w:fill="D9D9D9"/>
                  <w:vAlign w:val="center"/>
                </w:tcPr>
                <w:p w14:paraId="4AE3026F" w14:textId="77777777" w:rsidR="00DD4F11" w:rsidRPr="00EA0ED8" w:rsidRDefault="00DD4F11" w:rsidP="00DD4F11">
                  <w:pPr>
                    <w:jc w:val="both"/>
                    <w:rPr>
                      <w:color w:val="000000"/>
                      <w:sz w:val="16"/>
                    </w:rPr>
                  </w:pPr>
                  <w:r w:rsidRPr="00EA0ED8">
                    <w:rPr>
                      <w:color w:val="000000"/>
                      <w:sz w:val="16"/>
                    </w:rPr>
                    <w:t>Atbildīgais</w:t>
                  </w:r>
                </w:p>
              </w:tc>
              <w:tc>
                <w:tcPr>
                  <w:tcW w:w="564" w:type="dxa"/>
                  <w:tcBorders>
                    <w:bottom w:val="single" w:sz="4" w:space="0" w:color="auto"/>
                  </w:tcBorders>
                  <w:shd w:val="clear" w:color="auto" w:fill="D9D9D9"/>
                  <w:vAlign w:val="center"/>
                </w:tcPr>
                <w:p w14:paraId="01E13591" w14:textId="77777777" w:rsidR="00DD4F11" w:rsidRPr="00EA0ED8" w:rsidRDefault="00DD4F11" w:rsidP="00DD4F11">
                  <w:pPr>
                    <w:jc w:val="both"/>
                    <w:rPr>
                      <w:color w:val="000000"/>
                      <w:sz w:val="16"/>
                    </w:rPr>
                  </w:pPr>
                  <w:r w:rsidRPr="00EA0ED8">
                    <w:rPr>
                      <w:color w:val="000000"/>
                      <w:sz w:val="16"/>
                    </w:rPr>
                    <w:t>Līdzatbildīgie</w:t>
                  </w:r>
                </w:p>
              </w:tc>
            </w:tr>
            <w:tr w:rsidR="00DD4F11" w:rsidRPr="00F77A5D" w14:paraId="1CB652BC" w14:textId="77777777" w:rsidTr="00082E37">
              <w:trPr>
                <w:trHeight w:val="231"/>
              </w:trPr>
              <w:tc>
                <w:tcPr>
                  <w:tcW w:w="1015" w:type="dxa"/>
                  <w:tcBorders>
                    <w:top w:val="single" w:sz="4" w:space="0" w:color="auto"/>
                    <w:bottom w:val="single" w:sz="4" w:space="0" w:color="auto"/>
                  </w:tcBorders>
                  <w:shd w:val="clear" w:color="auto" w:fill="F2F2F2"/>
                  <w:vAlign w:val="center"/>
                </w:tcPr>
                <w:p w14:paraId="5DC7C6BA" w14:textId="77777777" w:rsidR="00DD4F11" w:rsidRPr="00EA0ED8" w:rsidRDefault="00DD4F11" w:rsidP="00DD4F11">
                  <w:pPr>
                    <w:jc w:val="both"/>
                    <w:rPr>
                      <w:sz w:val="16"/>
                    </w:rPr>
                  </w:pPr>
                  <w:r w:rsidRPr="00EA0ED8">
                    <w:rPr>
                      <w:sz w:val="16"/>
                    </w:rPr>
                    <w:lastRenderedPageBreak/>
                    <w:t>U4.4.10.3.-1</w:t>
                  </w:r>
                </w:p>
              </w:tc>
              <w:tc>
                <w:tcPr>
                  <w:tcW w:w="1358" w:type="dxa"/>
                  <w:tcBorders>
                    <w:top w:val="single" w:sz="4" w:space="0" w:color="auto"/>
                    <w:bottom w:val="single" w:sz="4" w:space="0" w:color="auto"/>
                  </w:tcBorders>
                  <w:shd w:val="clear" w:color="auto" w:fill="F2F2F2"/>
                  <w:vAlign w:val="center"/>
                </w:tcPr>
                <w:p w14:paraId="541FAFCD" w14:textId="77777777" w:rsidR="00DD4F11" w:rsidRPr="00EA0ED8" w:rsidRDefault="00DD4F11" w:rsidP="00DD4F11">
                  <w:pPr>
                    <w:pStyle w:val="Default"/>
                    <w:jc w:val="both"/>
                    <w:rPr>
                      <w:sz w:val="16"/>
                      <w:lang w:eastAsia="lv-LV"/>
                    </w:rPr>
                  </w:pPr>
                  <w:r w:rsidRPr="00EA0ED8">
                    <w:rPr>
                      <w:sz w:val="16"/>
                      <w:lang w:eastAsia="lv-LV"/>
                    </w:rPr>
                    <w:t xml:space="preserve">Izveidot </w:t>
                  </w:r>
                  <w:r w:rsidRPr="00EA0ED8">
                    <w:rPr>
                      <w:rStyle w:val="normaltextrun"/>
                      <w:sz w:val="16"/>
                      <w:lang w:eastAsia="lv-LV"/>
                    </w:rPr>
                    <w:t xml:space="preserve">Latvijas valsts </w:t>
                  </w:r>
                  <w:proofErr w:type="spellStart"/>
                  <w:r w:rsidRPr="00EA0ED8">
                    <w:rPr>
                      <w:sz w:val="16"/>
                      <w:lang w:eastAsia="lv-LV"/>
                    </w:rPr>
                    <w:t>mākoņskaitļošanas</w:t>
                  </w:r>
                  <w:proofErr w:type="spellEnd"/>
                  <w:r w:rsidRPr="00EA0ED8">
                    <w:rPr>
                      <w:sz w:val="16"/>
                      <w:lang w:eastAsia="lv-LV"/>
                    </w:rPr>
                    <w:t xml:space="preserve"> </w:t>
                  </w:r>
                  <w:proofErr w:type="spellStart"/>
                  <w:r w:rsidRPr="00EA0ED8">
                    <w:rPr>
                      <w:sz w:val="16"/>
                      <w:lang w:eastAsia="lv-LV"/>
                    </w:rPr>
                    <w:t>federēto</w:t>
                  </w:r>
                  <w:proofErr w:type="spellEnd"/>
                  <w:r w:rsidRPr="00EA0ED8">
                    <w:rPr>
                      <w:sz w:val="16"/>
                      <w:lang w:eastAsia="lv-LV"/>
                    </w:rPr>
                    <w:t xml:space="preserve"> infrastruktūru</w:t>
                  </w:r>
                  <w:r w:rsidRPr="00EA0ED8">
                    <w:rPr>
                      <w:rStyle w:val="normaltextrun"/>
                      <w:sz w:val="16"/>
                      <w:lang w:eastAsia="lv-LV"/>
                    </w:rPr>
                    <w:t xml:space="preserve"> un ieviest ar to saistītos pakalpojumus, vismaz 50% no valsts informācijas sistēmām, pārejot uz šo pakalpojumu izmantošanu.</w:t>
                  </w:r>
                </w:p>
              </w:tc>
              <w:tc>
                <w:tcPr>
                  <w:tcW w:w="674" w:type="dxa"/>
                  <w:tcBorders>
                    <w:top w:val="single" w:sz="4" w:space="0" w:color="auto"/>
                    <w:bottom w:val="single" w:sz="4" w:space="0" w:color="auto"/>
                  </w:tcBorders>
                  <w:shd w:val="clear" w:color="auto" w:fill="F2F2F2"/>
                  <w:vAlign w:val="center"/>
                </w:tcPr>
                <w:p w14:paraId="5EA82A55" w14:textId="77777777" w:rsidR="00DD4F11" w:rsidRPr="00EA0ED8" w:rsidRDefault="00DD4F11" w:rsidP="00DD4F11">
                  <w:pPr>
                    <w:jc w:val="both"/>
                    <w:rPr>
                      <w:sz w:val="16"/>
                    </w:rPr>
                  </w:pPr>
                  <w:r w:rsidRPr="00EA0ED8">
                    <w:rPr>
                      <w:sz w:val="16"/>
                    </w:rPr>
                    <w:t>2021</w:t>
                  </w:r>
                </w:p>
              </w:tc>
              <w:tc>
                <w:tcPr>
                  <w:tcW w:w="639" w:type="dxa"/>
                  <w:tcBorders>
                    <w:top w:val="single" w:sz="4" w:space="0" w:color="auto"/>
                    <w:bottom w:val="single" w:sz="4" w:space="0" w:color="auto"/>
                  </w:tcBorders>
                  <w:shd w:val="clear" w:color="auto" w:fill="F2F2F2"/>
                  <w:vAlign w:val="center"/>
                </w:tcPr>
                <w:p w14:paraId="746CD711" w14:textId="77777777" w:rsidR="00DD4F11" w:rsidRPr="00EA0ED8" w:rsidRDefault="00DD4F11" w:rsidP="00DD4F11">
                  <w:pPr>
                    <w:jc w:val="both"/>
                    <w:rPr>
                      <w:sz w:val="16"/>
                    </w:rPr>
                  </w:pPr>
                  <w:r w:rsidRPr="00EA0ED8">
                    <w:rPr>
                      <w:sz w:val="16"/>
                    </w:rPr>
                    <w:t>2027</w:t>
                  </w:r>
                </w:p>
              </w:tc>
              <w:tc>
                <w:tcPr>
                  <w:tcW w:w="867" w:type="dxa"/>
                  <w:tcBorders>
                    <w:top w:val="single" w:sz="4" w:space="0" w:color="auto"/>
                    <w:bottom w:val="single" w:sz="4" w:space="0" w:color="auto"/>
                  </w:tcBorders>
                  <w:shd w:val="clear" w:color="auto" w:fill="F2F2F2"/>
                  <w:vAlign w:val="center"/>
                </w:tcPr>
                <w:p w14:paraId="0E839F5D" w14:textId="77777777" w:rsidR="00DD4F11" w:rsidRPr="00EA0ED8" w:rsidRDefault="00DD4F11" w:rsidP="00DD4F11">
                  <w:pPr>
                    <w:jc w:val="both"/>
                    <w:rPr>
                      <w:sz w:val="16"/>
                    </w:rPr>
                  </w:pPr>
                  <w:r w:rsidRPr="00EA0ED8">
                    <w:rPr>
                      <w:sz w:val="16"/>
                    </w:rPr>
                    <w:t>VARAM</w:t>
                  </w:r>
                </w:p>
              </w:tc>
              <w:tc>
                <w:tcPr>
                  <w:tcW w:w="564" w:type="dxa"/>
                  <w:tcBorders>
                    <w:top w:val="single" w:sz="4" w:space="0" w:color="auto"/>
                    <w:bottom w:val="single" w:sz="4" w:space="0" w:color="auto"/>
                  </w:tcBorders>
                  <w:shd w:val="clear" w:color="auto" w:fill="F2F2F2"/>
                  <w:vAlign w:val="center"/>
                </w:tcPr>
                <w:p w14:paraId="6A8573BF" w14:textId="77777777" w:rsidR="00DD4F11" w:rsidRPr="00EA0ED8" w:rsidRDefault="00DD4F11" w:rsidP="00DD4F11">
                  <w:pPr>
                    <w:pStyle w:val="Default"/>
                    <w:jc w:val="both"/>
                    <w:rPr>
                      <w:sz w:val="16"/>
                      <w:lang w:eastAsia="lv-LV"/>
                    </w:rPr>
                  </w:pPr>
                  <w:r w:rsidRPr="00EA0ED8">
                    <w:rPr>
                      <w:sz w:val="16"/>
                      <w:lang w:eastAsia="lv-LV"/>
                    </w:rPr>
                    <w:t xml:space="preserve">SM, KM, </w:t>
                  </w:r>
                  <w:proofErr w:type="spellStart"/>
                  <w:r w:rsidRPr="00EA0ED8">
                    <w:rPr>
                      <w:sz w:val="16"/>
                      <w:lang w:eastAsia="lv-LV"/>
                    </w:rPr>
                    <w:t>IeM,ZM</w:t>
                  </w:r>
                  <w:proofErr w:type="spellEnd"/>
                </w:p>
              </w:tc>
            </w:tr>
          </w:tbl>
          <w:p w14:paraId="1990C2CD" w14:textId="77777777" w:rsidR="0084485F" w:rsidRPr="0084485F" w:rsidRDefault="0084485F" w:rsidP="0084485F">
            <w:pPr>
              <w:pStyle w:val="ListParagraph"/>
              <w:spacing w:after="160"/>
              <w:ind w:left="0"/>
              <w:jc w:val="both"/>
              <w:rPr>
                <w:rFonts w:ascii="Times New Roman" w:hAnsi="Times New Roman"/>
                <w:color w:val="000000"/>
                <w:sz w:val="24"/>
                <w:szCs w:val="24"/>
              </w:rPr>
            </w:pPr>
            <w:r w:rsidRPr="0084485F">
              <w:rPr>
                <w:rFonts w:ascii="Times New Roman" w:hAnsi="Times New Roman"/>
                <w:color w:val="000000"/>
                <w:sz w:val="24"/>
                <w:szCs w:val="24"/>
              </w:rPr>
              <w:t xml:space="preserve">Saskatām būtiskus un daudzveidīgus riskus Pamatnostādņu projekta 110.-112. lpp. minētājam uzdevumam par </w:t>
            </w:r>
            <w:proofErr w:type="spellStart"/>
            <w:r w:rsidRPr="0084485F">
              <w:rPr>
                <w:rFonts w:ascii="Times New Roman" w:hAnsi="Times New Roman"/>
                <w:color w:val="000000"/>
                <w:sz w:val="24"/>
                <w:szCs w:val="24"/>
              </w:rPr>
              <w:t>federētās</w:t>
            </w:r>
            <w:proofErr w:type="spellEnd"/>
            <w:r w:rsidRPr="0084485F">
              <w:rPr>
                <w:rFonts w:ascii="Times New Roman" w:hAnsi="Times New Roman"/>
                <w:color w:val="000000"/>
                <w:sz w:val="24"/>
                <w:szCs w:val="24"/>
              </w:rPr>
              <w:t xml:space="preserve"> infrastruktūras izveidi:</w:t>
            </w:r>
          </w:p>
          <w:p w14:paraId="618DF768" w14:textId="77777777" w:rsidR="0084485F" w:rsidRPr="0084485F" w:rsidRDefault="0084485F" w:rsidP="0084485F">
            <w:pPr>
              <w:pStyle w:val="ListParagraph"/>
              <w:spacing w:after="160"/>
              <w:ind w:left="0"/>
              <w:jc w:val="both"/>
              <w:rPr>
                <w:rFonts w:ascii="Times New Roman" w:hAnsi="Times New Roman"/>
                <w:color w:val="000000"/>
                <w:sz w:val="24"/>
                <w:szCs w:val="24"/>
              </w:rPr>
            </w:pPr>
            <w:r w:rsidRPr="0084485F">
              <w:rPr>
                <w:rFonts w:ascii="Times New Roman" w:hAnsi="Times New Roman"/>
                <w:color w:val="000000"/>
                <w:sz w:val="24"/>
                <w:szCs w:val="24"/>
              </w:rPr>
              <w:t xml:space="preserve">- par interneta pieejamību un savienojuma slodzi, ātrumu attiecīgi vai bez interneta </w:t>
            </w:r>
            <w:proofErr w:type="spellStart"/>
            <w:r w:rsidRPr="0084485F">
              <w:rPr>
                <w:rFonts w:ascii="Times New Roman" w:hAnsi="Times New Roman"/>
                <w:color w:val="000000"/>
                <w:sz w:val="24"/>
                <w:szCs w:val="24"/>
              </w:rPr>
              <w:t>pieslēgumu</w:t>
            </w:r>
            <w:proofErr w:type="spellEnd"/>
            <w:r w:rsidRPr="0084485F">
              <w:rPr>
                <w:rFonts w:ascii="Times New Roman" w:hAnsi="Times New Roman"/>
                <w:color w:val="000000"/>
                <w:sz w:val="24"/>
                <w:szCs w:val="24"/>
              </w:rPr>
              <w:t xml:space="preserve"> būs pieejama informācija un dati;</w:t>
            </w:r>
          </w:p>
          <w:p w14:paraId="1E592ED2" w14:textId="77777777" w:rsidR="0084485F" w:rsidRPr="0084485F" w:rsidRDefault="0084485F" w:rsidP="0084485F">
            <w:pPr>
              <w:pStyle w:val="ListParagraph"/>
              <w:spacing w:after="160"/>
              <w:ind w:left="0"/>
              <w:jc w:val="both"/>
              <w:rPr>
                <w:rFonts w:ascii="Times New Roman" w:hAnsi="Times New Roman"/>
                <w:color w:val="000000"/>
                <w:sz w:val="24"/>
                <w:szCs w:val="24"/>
              </w:rPr>
            </w:pPr>
            <w:r w:rsidRPr="0084485F">
              <w:rPr>
                <w:rFonts w:ascii="Times New Roman" w:hAnsi="Times New Roman"/>
                <w:color w:val="000000"/>
                <w:sz w:val="24"/>
                <w:szCs w:val="24"/>
              </w:rPr>
              <w:t>- tīkla kapacitāte (slimnīcu radioloģiju datiem ļoti liels apjoms (viens izmeklējums ir aptuveni 50-60 gigabaiti), kas jātransportē turpu šurpu (ilgi)), tāpat arī videonovērošanas sistēmu ieraksti u.c.);</w:t>
            </w:r>
          </w:p>
          <w:p w14:paraId="5E65E031" w14:textId="77777777" w:rsidR="00DD4F11" w:rsidRPr="009841AB" w:rsidRDefault="0084485F" w:rsidP="0084485F">
            <w:pPr>
              <w:rPr>
                <w:color w:val="000000"/>
                <w:shd w:val="clear" w:color="auto" w:fill="FFFFFF"/>
              </w:rPr>
            </w:pPr>
            <w:r w:rsidRPr="0084485F">
              <w:rPr>
                <w:color w:val="000000"/>
              </w:rPr>
              <w:t>- visu datu uzglabāšana vienkopus ir bīstama gan no datu drošības viedokļa, gan kiberuzbrukumu riskiem – ja notiek incidents, tad tiek paralizēta visu iestāžu darbs, piemēram, nesenās latvija.lv autorizācijas moduļa problēmas, kad tika liegta piekļuve svarīgām sistēmām. Ir nepieciešams noteikt un izvērtēt, kuru datu daļa vai sistēmas tiek pārceltas uz šāda tipa</w:t>
            </w:r>
            <w:r w:rsidRPr="0084485F">
              <w:t xml:space="preserve"> </w:t>
            </w:r>
            <w:r w:rsidRPr="0084485F">
              <w:rPr>
                <w:color w:val="000000"/>
              </w:rPr>
              <w:t xml:space="preserve">Latvijas valsts </w:t>
            </w:r>
            <w:proofErr w:type="spellStart"/>
            <w:r w:rsidRPr="0084485F">
              <w:rPr>
                <w:color w:val="000000"/>
              </w:rPr>
              <w:t>mākoņskaitļošanas</w:t>
            </w:r>
            <w:proofErr w:type="spellEnd"/>
            <w:r w:rsidRPr="0084485F">
              <w:rPr>
                <w:color w:val="000000"/>
              </w:rPr>
              <w:t xml:space="preserve"> </w:t>
            </w:r>
            <w:proofErr w:type="spellStart"/>
            <w:r w:rsidRPr="0084485F">
              <w:rPr>
                <w:color w:val="000000"/>
              </w:rPr>
              <w:t>federēto</w:t>
            </w:r>
            <w:proofErr w:type="spellEnd"/>
            <w:r w:rsidRPr="0084485F">
              <w:rPr>
                <w:color w:val="000000"/>
              </w:rPr>
              <w:t xml:space="preserve"> infrastruktūru.</w:t>
            </w:r>
          </w:p>
        </w:tc>
        <w:tc>
          <w:tcPr>
            <w:tcW w:w="2480" w:type="dxa"/>
            <w:tcBorders>
              <w:left w:val="single" w:sz="6" w:space="0" w:color="000000" w:themeColor="text1"/>
              <w:bottom w:val="single" w:sz="4" w:space="0" w:color="auto"/>
            </w:tcBorders>
            <w:shd w:val="clear" w:color="auto" w:fill="auto"/>
          </w:tcPr>
          <w:p w14:paraId="6CAE7D68"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lastRenderedPageBreak/>
              <w:t>Panākta vienošanās</w:t>
            </w:r>
          </w:p>
          <w:p w14:paraId="64F5D40F" w14:textId="77777777" w:rsidR="00C857FC" w:rsidRDefault="00C857FC" w:rsidP="00C857FC">
            <w:pPr>
              <w:pStyle w:val="naisc"/>
              <w:jc w:val="left"/>
              <w:rPr>
                <w:b/>
                <w:bCs/>
              </w:rPr>
            </w:pPr>
          </w:p>
          <w:p w14:paraId="1EA5D0F8" w14:textId="363C4C89" w:rsidR="00C857FC" w:rsidRDefault="00C857FC" w:rsidP="00C857FC">
            <w:pPr>
              <w:pStyle w:val="naisc"/>
              <w:jc w:val="left"/>
            </w:pPr>
            <w:r w:rsidRPr="005860FB">
              <w:lastRenderedPageBreak/>
              <w:t xml:space="preserve">Vēršam uzmanību uz to, ka “valsts mākonis” tiks veidots tā, lai neradītu vienu atsevišķu “kritisko punktu”, bet tieši pretēji – savstarpēji papildinātu (t.sk. savstarpēji rezervētu) 4 pakalpojumu sniedzēju datu centros fiziski izvietotās </w:t>
            </w:r>
            <w:proofErr w:type="spellStart"/>
            <w:r w:rsidRPr="005860FB">
              <w:t>mākoņdatošanas</w:t>
            </w:r>
            <w:proofErr w:type="spellEnd"/>
            <w:r w:rsidRPr="005860FB">
              <w:t xml:space="preserve"> infrastruktūras,  tādējādi paaugstinot tās izmantojošo risinājumu noturību. Papildus tam – skat. par izmaiņām uzdevuma formulējumā.   </w:t>
            </w:r>
          </w:p>
          <w:p w14:paraId="5A4E6A6C" w14:textId="77777777" w:rsidR="00DD4F11" w:rsidRPr="005860FB" w:rsidRDefault="00C857FC" w:rsidP="001332B4">
            <w:pPr>
              <w:pStyle w:val="naisc"/>
              <w:jc w:val="left"/>
            </w:pPr>
            <w:r>
              <w:t xml:space="preserve">Lēmumi par konkrētu risinājumu un ar tiem saistīto datu kopu izvietošanu “valsts mākonī” integrētā infrastruktūrā (piemēram, uz liela apjoma datu ilgtermiņa glabāšanu specializēta pakalpojumu sniedzēja infrastruktūrā) un/vai vienlaicīgi ar to arī alternatīvās datu krātuvēs tiks pieņemti plānojot attiecīgo </w:t>
            </w:r>
            <w:r>
              <w:lastRenderedPageBreak/>
              <w:t xml:space="preserve">risinājumu attīstību. “Valsts mākonī” primāri tiks izvietoti valsts pārvaldes risinājumi (pirmkārt – koplietošanas platformas) ar īpaši augstas pieejamības un veiktspējas prasībām.      </w:t>
            </w:r>
          </w:p>
        </w:tc>
        <w:tc>
          <w:tcPr>
            <w:tcW w:w="3497" w:type="dxa"/>
            <w:tcBorders>
              <w:left w:val="single" w:sz="6" w:space="0" w:color="000000" w:themeColor="text1"/>
              <w:bottom w:val="single" w:sz="4" w:space="0" w:color="auto"/>
            </w:tcBorders>
            <w:shd w:val="clear" w:color="auto" w:fill="auto"/>
          </w:tcPr>
          <w:p w14:paraId="0D559125" w14:textId="77777777" w:rsidR="00C857FC" w:rsidRDefault="00C857FC" w:rsidP="00C857FC">
            <w:pPr>
              <w:pStyle w:val="naisc"/>
              <w:spacing w:before="0" w:after="0"/>
              <w:jc w:val="left"/>
            </w:pPr>
            <w:r>
              <w:lastRenderedPageBreak/>
              <w:t xml:space="preserve">Skat. sadaļu 4.4.10.3. </w:t>
            </w:r>
          </w:p>
          <w:p w14:paraId="26ADFF1A" w14:textId="77777777" w:rsidR="00C857FC" w:rsidRDefault="00C857FC" w:rsidP="00C857FC">
            <w:pPr>
              <w:pStyle w:val="naisc"/>
              <w:spacing w:before="0" w:after="0"/>
              <w:jc w:val="left"/>
            </w:pPr>
          </w:p>
          <w:p w14:paraId="7C2046EF" w14:textId="77777777" w:rsidR="00DD4F11" w:rsidRPr="009841AB" w:rsidRDefault="00C857FC" w:rsidP="001332B4">
            <w:pPr>
              <w:pStyle w:val="naisc"/>
              <w:spacing w:before="0" w:after="0"/>
              <w:jc w:val="left"/>
            </w:pPr>
            <w:r>
              <w:t xml:space="preserve">Uzdevums formulējums ir mainīts, to pieskaņojot </w:t>
            </w:r>
            <w:r>
              <w:t xml:space="preserve">Atveseļošanās un Noturības Mehānisma (ANM)  plānā definētajam IKT projektu mērķim par vismaz 10 platformu un sistēmu izvietošanu valsts </w:t>
            </w:r>
            <w:proofErr w:type="spellStart"/>
            <w:r>
              <w:t>federētajā</w:t>
            </w:r>
            <w:proofErr w:type="spellEnd"/>
            <w:r>
              <w:t xml:space="preserve"> mākonī, efektīvi izmantojot tā iespējas.  </w:t>
            </w:r>
          </w:p>
        </w:tc>
      </w:tr>
      <w:tr w:rsidR="001272D9" w:rsidRPr="009841AB" w14:paraId="49F7B4F6"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AE3A32C" w14:textId="77777777" w:rsidR="001272D9" w:rsidRPr="009841AB" w:rsidRDefault="001272D9" w:rsidP="001272D9">
            <w:pPr>
              <w:pStyle w:val="naisc"/>
              <w:spacing w:before="0" w:after="0"/>
              <w:jc w:val="both"/>
            </w:pPr>
            <w:r w:rsidRPr="009841AB">
              <w:rPr>
                <w:b/>
                <w:bCs/>
                <w:lang w:eastAsia="en-US"/>
              </w:rPr>
              <w:lastRenderedPageBreak/>
              <w:t>Labklājības ministrijas 01.02.2021. atzinums:</w:t>
            </w:r>
          </w:p>
        </w:tc>
      </w:tr>
      <w:tr w:rsidR="001272D9" w:rsidRPr="009841AB" w14:paraId="019DDA8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EE62360" w14:textId="77777777" w:rsidR="001272D9" w:rsidRPr="009841AB" w:rsidRDefault="00C030D3" w:rsidP="001272D9">
            <w:pPr>
              <w:pStyle w:val="naisc"/>
              <w:spacing w:before="0" w:after="0"/>
            </w:pPr>
            <w:r>
              <w:t>323</w:t>
            </w:r>
          </w:p>
        </w:tc>
        <w:tc>
          <w:tcPr>
            <w:tcW w:w="2427" w:type="dxa"/>
            <w:tcBorders>
              <w:left w:val="single" w:sz="6" w:space="0" w:color="000000" w:themeColor="text1"/>
              <w:bottom w:val="single" w:sz="4" w:space="0" w:color="auto"/>
            </w:tcBorders>
            <w:shd w:val="clear" w:color="auto" w:fill="auto"/>
          </w:tcPr>
          <w:p w14:paraId="1DE7E3D5"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41C2091" w14:textId="77777777" w:rsidR="004163D8" w:rsidRDefault="004163D8" w:rsidP="001272D9">
            <w:pPr>
              <w:widowControl w:val="0"/>
              <w:shd w:val="clear" w:color="auto" w:fill="FFFFFF"/>
              <w:spacing w:after="200" w:line="276" w:lineRule="auto"/>
              <w:contextualSpacing/>
              <w:jc w:val="both"/>
              <w:rPr>
                <w:color w:val="212121"/>
              </w:rPr>
            </w:pPr>
            <w:r w:rsidRPr="00D030E7">
              <w:rPr>
                <w:lang w:eastAsia="en-US"/>
              </w:rPr>
              <w:t xml:space="preserve">(Iepriekš izziņas </w:t>
            </w:r>
            <w:r>
              <w:rPr>
                <w:lang w:eastAsia="en-US"/>
              </w:rPr>
              <w:t>259</w:t>
            </w:r>
            <w:r w:rsidRPr="00D030E7">
              <w:rPr>
                <w:lang w:eastAsia="en-US"/>
              </w:rPr>
              <w:t>. punkts)</w:t>
            </w:r>
          </w:p>
          <w:p w14:paraId="261A51BD" w14:textId="77777777" w:rsidR="001272D9" w:rsidRPr="009841AB" w:rsidRDefault="001272D9" w:rsidP="001272D9">
            <w:pPr>
              <w:widowControl w:val="0"/>
              <w:shd w:val="clear" w:color="auto" w:fill="FFFFFF"/>
              <w:spacing w:after="200" w:line="276" w:lineRule="auto"/>
              <w:contextualSpacing/>
              <w:jc w:val="both"/>
              <w:rPr>
                <w:color w:val="212121"/>
              </w:rPr>
            </w:pPr>
            <w:r w:rsidRPr="009841AB">
              <w:rPr>
                <w:color w:val="212121"/>
              </w:rPr>
              <w:t xml:space="preserve">1. Lūdzam Pamatnostādņu projekta 4.4.6.sadaļas Rīcības nolūku papildināt ar šādiem punktiem: </w:t>
            </w:r>
          </w:p>
          <w:p w14:paraId="5ABE8B30" w14:textId="77777777" w:rsidR="001272D9" w:rsidRPr="009841AB" w:rsidRDefault="001272D9" w:rsidP="001272D9">
            <w:pPr>
              <w:widowControl w:val="0"/>
              <w:jc w:val="both"/>
              <w:rPr>
                <w:rFonts w:eastAsia="Calibri"/>
                <w:i/>
                <w:lang w:eastAsia="en-US"/>
              </w:rPr>
            </w:pPr>
            <w:r w:rsidRPr="009841AB">
              <w:rPr>
                <w:rFonts w:eastAsia="Calibri"/>
                <w:i/>
                <w:lang w:eastAsia="en-US"/>
              </w:rPr>
              <w:t xml:space="preserve">“11. Vienota e-aprūpes platforma nodrošina sociālo pakalpojumu sniedzēju klientiem saņemt kvalitatīvu pakalpojumu, neatkarīgi no pakalpojuma sniedzēja statusa (vienlīdzīgas iespējas valsts, pašvaldības un komerciāliem pakalpojumu sniedzējiem). </w:t>
            </w:r>
          </w:p>
          <w:p w14:paraId="5AEE8DDF" w14:textId="77777777" w:rsidR="001272D9" w:rsidRPr="009841AB" w:rsidRDefault="001272D9" w:rsidP="001272D9">
            <w:pPr>
              <w:widowControl w:val="0"/>
              <w:jc w:val="both"/>
              <w:rPr>
                <w:rFonts w:eastAsia="Calibri"/>
                <w:i/>
                <w:lang w:eastAsia="en-US"/>
              </w:rPr>
            </w:pPr>
            <w:r w:rsidRPr="009841AB">
              <w:rPr>
                <w:rFonts w:eastAsia="Calibri"/>
                <w:i/>
                <w:lang w:eastAsia="en-US"/>
              </w:rPr>
              <w:t xml:space="preserve">12. Klienta ārstniecības un sociālās aprūpes dati apvienoti </w:t>
            </w:r>
            <w:proofErr w:type="spellStart"/>
            <w:r w:rsidRPr="009841AB">
              <w:rPr>
                <w:rFonts w:eastAsia="Calibri"/>
                <w:i/>
                <w:lang w:eastAsia="en-US"/>
              </w:rPr>
              <w:t>digitalizētā</w:t>
            </w:r>
            <w:proofErr w:type="spellEnd"/>
            <w:r w:rsidRPr="009841AB">
              <w:rPr>
                <w:rFonts w:eastAsia="Calibri"/>
                <w:i/>
                <w:lang w:eastAsia="en-US"/>
              </w:rPr>
              <w:t xml:space="preserve"> pacienta elektroniskajā kartē, kur, pielietojot Biznesa inteliģences rīku, tiek </w:t>
            </w:r>
            <w:proofErr w:type="spellStart"/>
            <w:r w:rsidRPr="009841AB">
              <w:rPr>
                <w:rFonts w:eastAsia="Calibri"/>
                <w:i/>
                <w:lang w:eastAsia="en-US"/>
              </w:rPr>
              <w:t>proaktīvi</w:t>
            </w:r>
            <w:proofErr w:type="spellEnd"/>
            <w:r w:rsidRPr="009841AB">
              <w:rPr>
                <w:rFonts w:eastAsia="Calibri"/>
                <w:i/>
                <w:lang w:eastAsia="en-US"/>
              </w:rPr>
              <w:t xml:space="preserve"> identificēti riski un piedāvātas rīcības sociālo pakalpojumu jomā, pirms ir iestājušās neatgriezeniskas sekas pacienta veselībai, kā arī tiek uzkrāti liela apjoma dati par personu, un to analīze sniedz būtisku atbalstu prognozējamo ārstniecības vai sociālo pakalpojumu plānošanā.</w:t>
            </w:r>
          </w:p>
          <w:p w14:paraId="0CC59143" w14:textId="77777777" w:rsidR="001272D9" w:rsidRPr="009841AB" w:rsidRDefault="001272D9" w:rsidP="001272D9">
            <w:pPr>
              <w:widowControl w:val="0"/>
              <w:jc w:val="both"/>
              <w:rPr>
                <w:rFonts w:eastAsia="Calibri"/>
                <w:i/>
                <w:lang w:eastAsia="en-US"/>
              </w:rPr>
            </w:pPr>
            <w:r w:rsidRPr="009841AB">
              <w:rPr>
                <w:rFonts w:eastAsia="Calibri"/>
                <w:i/>
                <w:lang w:eastAsia="en-US"/>
              </w:rPr>
              <w:t xml:space="preserve">13. Nodrošināta vienota datu apmaiņa valsts, pašvaldību un komersantu informācijas sistēmās par personas labklājību un veselību kompetences ietvaros, vienlaikus nodrošinot personas </w:t>
            </w:r>
            <w:proofErr w:type="spellStart"/>
            <w:r w:rsidRPr="009841AB">
              <w:rPr>
                <w:rFonts w:eastAsia="Calibri"/>
                <w:i/>
                <w:lang w:eastAsia="en-US"/>
              </w:rPr>
              <w:t>sensitīvo</w:t>
            </w:r>
            <w:proofErr w:type="spellEnd"/>
            <w:r w:rsidRPr="009841AB">
              <w:rPr>
                <w:rFonts w:eastAsia="Calibri"/>
                <w:i/>
                <w:lang w:eastAsia="en-US"/>
              </w:rPr>
              <w:t xml:space="preserve"> datu aizsardzību.</w:t>
            </w:r>
          </w:p>
          <w:p w14:paraId="12626460" w14:textId="77777777" w:rsidR="001272D9" w:rsidRPr="009841AB" w:rsidRDefault="001272D9" w:rsidP="001272D9">
            <w:pPr>
              <w:widowControl w:val="0"/>
              <w:jc w:val="both"/>
              <w:rPr>
                <w:rFonts w:eastAsia="Calibri"/>
                <w:i/>
                <w:lang w:eastAsia="en-US"/>
              </w:rPr>
            </w:pPr>
            <w:r w:rsidRPr="009841AB">
              <w:rPr>
                <w:rFonts w:eastAsia="Calibri"/>
                <w:i/>
                <w:lang w:eastAsia="en-US"/>
              </w:rPr>
              <w:t xml:space="preserve">14. Ieviesti digitālie risinājumi sociālās aprūpes pasākumu organizācijai klienta aprūpes plānu, šo </w:t>
            </w:r>
            <w:r w:rsidRPr="009841AB">
              <w:rPr>
                <w:rFonts w:eastAsia="Calibri"/>
                <w:i/>
                <w:lang w:eastAsia="en-US"/>
              </w:rPr>
              <w:lastRenderedPageBreak/>
              <w:t xml:space="preserve">plānu izpildei veikto uzdevumu un klienta stāvokļa izmaiņu fiksēšanai, tai skaitā nodrošināts IT risinājumu klāsts klienta mājoklī klienta veselības stāvokļa izmaiņu </w:t>
            </w:r>
            <w:proofErr w:type="spellStart"/>
            <w:r w:rsidRPr="009841AB">
              <w:rPr>
                <w:rFonts w:eastAsia="Calibri"/>
                <w:i/>
                <w:lang w:eastAsia="en-US"/>
              </w:rPr>
              <w:t>monitorēšanu</w:t>
            </w:r>
            <w:proofErr w:type="spellEnd"/>
            <w:r w:rsidRPr="009841AB">
              <w:rPr>
                <w:rFonts w:eastAsia="Calibri"/>
                <w:i/>
                <w:lang w:eastAsia="en-US"/>
              </w:rPr>
              <w:t xml:space="preserve"> un klienta attālinātas saziņas iespēju ar aprūpētāju.</w:t>
            </w:r>
          </w:p>
          <w:p w14:paraId="63B170B8" w14:textId="77777777" w:rsidR="001272D9" w:rsidRPr="009841AB" w:rsidRDefault="001272D9" w:rsidP="001272D9">
            <w:pPr>
              <w:widowControl w:val="0"/>
              <w:jc w:val="both"/>
              <w:rPr>
                <w:rFonts w:eastAsia="Calibri"/>
                <w:i/>
                <w:lang w:eastAsia="en-US"/>
              </w:rPr>
            </w:pPr>
            <w:r w:rsidRPr="009841AB">
              <w:rPr>
                <w:rFonts w:eastAsia="Calibri"/>
                <w:i/>
                <w:lang w:eastAsia="en-US"/>
              </w:rPr>
              <w:t xml:space="preserve">15. Pašvaldību sociālo dienestu darbinieki nodrošināti ar pilna spektra informāciju par personas vajadzībām veselības un sociālās aprūpes sfērā, lai </w:t>
            </w:r>
            <w:proofErr w:type="spellStart"/>
            <w:r w:rsidRPr="009841AB">
              <w:rPr>
                <w:rFonts w:eastAsia="Calibri"/>
                <w:i/>
                <w:lang w:eastAsia="en-US"/>
              </w:rPr>
              <w:t>proaktīvi</w:t>
            </w:r>
            <w:proofErr w:type="spellEnd"/>
            <w:r w:rsidRPr="009841AB">
              <w:rPr>
                <w:rFonts w:eastAsia="Calibri"/>
                <w:i/>
                <w:lang w:eastAsia="en-US"/>
              </w:rPr>
              <w:t xml:space="preserve"> piedāvātu iedzīvotājiem pašvaldību sociālo palīdzību vai valsts nodrošināto sociālo atbalstu.</w:t>
            </w:r>
          </w:p>
          <w:p w14:paraId="293E2560" w14:textId="77777777" w:rsidR="001272D9" w:rsidRPr="009841AB" w:rsidRDefault="001272D9" w:rsidP="001272D9">
            <w:pPr>
              <w:widowControl w:val="0"/>
              <w:shd w:val="clear" w:color="auto" w:fill="FFFFFF"/>
              <w:jc w:val="both"/>
              <w:rPr>
                <w:rFonts w:eastAsia="Calibri"/>
                <w:lang w:eastAsia="en-US"/>
              </w:rPr>
            </w:pPr>
            <w:r w:rsidRPr="009841AB">
              <w:rPr>
                <w:rFonts w:eastAsia="Calibri"/>
                <w:i/>
                <w:lang w:eastAsia="en-US"/>
              </w:rPr>
              <w:t>16. Pilnveidotas sociālās sfēras darbinieku IKT prasmes darbam ar digitāliem risinājumiem klienta aprūpē, tādējādi uzlabojot pakalpojumu kvalitāti un mazinot personāla mainības risku.”</w:t>
            </w:r>
            <w:r w:rsidRPr="009841AB">
              <w:rPr>
                <w:rFonts w:eastAsia="Calibri"/>
                <w:lang w:eastAsia="en-US"/>
              </w:rPr>
              <w:t>.</w:t>
            </w:r>
          </w:p>
        </w:tc>
        <w:tc>
          <w:tcPr>
            <w:tcW w:w="2480" w:type="dxa"/>
            <w:tcBorders>
              <w:left w:val="single" w:sz="6" w:space="0" w:color="000000" w:themeColor="text1"/>
              <w:bottom w:val="single" w:sz="4" w:space="0" w:color="auto"/>
            </w:tcBorders>
            <w:shd w:val="clear" w:color="auto" w:fill="auto"/>
          </w:tcPr>
          <w:p w14:paraId="39462E06"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lastRenderedPageBreak/>
              <w:t>Panākta vienošanās</w:t>
            </w:r>
          </w:p>
          <w:p w14:paraId="502CA83E" w14:textId="42510554" w:rsidR="001272D9" w:rsidRPr="009841AB" w:rsidRDefault="001272D9" w:rsidP="001272D9">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5C3F4097" w14:textId="77777777" w:rsidR="001272D9" w:rsidRPr="009841AB" w:rsidRDefault="00AC6D19" w:rsidP="00AC6D19">
            <w:pPr>
              <w:pStyle w:val="naisc"/>
              <w:spacing w:before="0" w:after="0"/>
              <w:jc w:val="left"/>
            </w:pPr>
            <w:r w:rsidRPr="009841AB">
              <w:t xml:space="preserve">Lūdzam skatīt </w:t>
            </w:r>
            <w:proofErr w:type="spellStart"/>
            <w:r w:rsidRPr="009841AB">
              <w:t>apakšsadaļu</w:t>
            </w:r>
            <w:proofErr w:type="spellEnd"/>
            <w:r w:rsidRPr="009841AB">
              <w:t xml:space="preserve"> </w:t>
            </w:r>
            <w:r w:rsidR="001272D9" w:rsidRPr="009841AB">
              <w:t>4.4.6</w:t>
            </w:r>
            <w:r w:rsidR="00C857FC" w:rsidRPr="009841AB">
              <w:t>.</w:t>
            </w:r>
            <w:r w:rsidR="00C857FC">
              <w:t>, kā arī sadaļu 4.1.6. (attiecībā uz 16. punktu).</w:t>
            </w:r>
            <w:r w:rsidR="001272D9" w:rsidRPr="009841AB">
              <w:t xml:space="preserve"> </w:t>
            </w:r>
          </w:p>
        </w:tc>
      </w:tr>
      <w:tr w:rsidR="001272D9" w:rsidRPr="009841AB" w14:paraId="69EB273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FD5B960" w14:textId="77777777" w:rsidR="001272D9" w:rsidRPr="009841AB" w:rsidRDefault="00817AEB" w:rsidP="001272D9">
            <w:pPr>
              <w:pStyle w:val="naisc"/>
              <w:spacing w:before="0" w:after="0"/>
            </w:pPr>
            <w:bookmarkStart w:id="2" w:name="_Hlk69765154"/>
            <w:r>
              <w:t>324</w:t>
            </w:r>
          </w:p>
        </w:tc>
        <w:tc>
          <w:tcPr>
            <w:tcW w:w="2427" w:type="dxa"/>
            <w:tcBorders>
              <w:left w:val="single" w:sz="6" w:space="0" w:color="000000" w:themeColor="text1"/>
              <w:bottom w:val="single" w:sz="4" w:space="0" w:color="auto"/>
            </w:tcBorders>
            <w:shd w:val="clear" w:color="auto" w:fill="auto"/>
          </w:tcPr>
          <w:p w14:paraId="6535582A" w14:textId="77777777" w:rsidR="001272D9" w:rsidRPr="009841AB" w:rsidRDefault="001272D9" w:rsidP="001272D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A8422C1" w14:textId="77777777" w:rsidR="00E32062" w:rsidRDefault="00E32062" w:rsidP="001272D9">
            <w:pPr>
              <w:widowControl w:val="0"/>
              <w:jc w:val="both"/>
              <w:rPr>
                <w:rFonts w:eastAsia="Calibri"/>
                <w:lang w:eastAsia="en-US"/>
              </w:rPr>
            </w:pPr>
            <w:r w:rsidRPr="00D030E7">
              <w:rPr>
                <w:lang w:eastAsia="en-US"/>
              </w:rPr>
              <w:t xml:space="preserve">(Iepriekš izziņas </w:t>
            </w:r>
            <w:r>
              <w:rPr>
                <w:lang w:eastAsia="en-US"/>
              </w:rPr>
              <w:t>260</w:t>
            </w:r>
            <w:r w:rsidRPr="00D030E7">
              <w:rPr>
                <w:lang w:eastAsia="en-US"/>
              </w:rPr>
              <w:t>. punkts)</w:t>
            </w:r>
          </w:p>
          <w:p w14:paraId="4A362007" w14:textId="77777777" w:rsidR="001272D9" w:rsidRPr="009841AB" w:rsidRDefault="001272D9" w:rsidP="001272D9">
            <w:pPr>
              <w:widowControl w:val="0"/>
              <w:jc w:val="both"/>
              <w:rPr>
                <w:rFonts w:eastAsia="Calibri"/>
                <w:lang w:eastAsia="en-US"/>
              </w:rPr>
            </w:pPr>
            <w:r w:rsidRPr="009841AB">
              <w:rPr>
                <w:rFonts w:eastAsia="Calibri"/>
                <w:lang w:eastAsia="en-US"/>
              </w:rPr>
              <w:t>2. Lūdzam Pamatnostādņu projekta 4.4.6.sadaļas “Nepieciešamā rīcība” 14.punktu izteikt šādā redakcijā:</w:t>
            </w:r>
          </w:p>
          <w:p w14:paraId="19778530" w14:textId="77777777" w:rsidR="001272D9" w:rsidRPr="009841AB" w:rsidRDefault="001272D9" w:rsidP="001272D9">
            <w:pPr>
              <w:widowControl w:val="0"/>
              <w:shd w:val="clear" w:color="auto" w:fill="FFFFFF"/>
              <w:jc w:val="both"/>
              <w:rPr>
                <w:rFonts w:eastAsia="Calibri"/>
                <w:lang w:eastAsia="en-US"/>
              </w:rPr>
            </w:pPr>
            <w:r w:rsidRPr="009841AB">
              <w:rPr>
                <w:rFonts w:eastAsia="Calibri"/>
                <w:lang w:eastAsia="en-US"/>
              </w:rPr>
              <w:t xml:space="preserve">“14. Panākt, ka Latvijā ārstniecības personu </w:t>
            </w:r>
            <w:r w:rsidRPr="009841AB">
              <w:rPr>
                <w:rFonts w:eastAsia="Calibri"/>
                <w:b/>
                <w:lang w:eastAsia="en-US"/>
              </w:rPr>
              <w:t>un sociālajā aprūpē nodarbināto</w:t>
            </w:r>
            <w:r w:rsidRPr="009841AB">
              <w:rPr>
                <w:rFonts w:eastAsia="Calibri"/>
                <w:lang w:eastAsia="en-US"/>
              </w:rPr>
              <w:t xml:space="preserve"> digitālās prasmes un kompetences veicina veiksmīgu, efektīvu un ētisku digitālo risinājumu ieviešanu un izmantošanu veselības un labklājības nozarē, lai veselības veicināšanas, slimību profilakses </w:t>
            </w:r>
            <w:r w:rsidRPr="009841AB">
              <w:rPr>
                <w:rFonts w:eastAsia="Calibri"/>
                <w:b/>
                <w:lang w:eastAsia="en-US"/>
              </w:rPr>
              <w:t>un sociālās aprūpes</w:t>
            </w:r>
            <w:r w:rsidRPr="009841AB">
              <w:rPr>
                <w:rFonts w:eastAsia="Calibri"/>
                <w:lang w:eastAsia="en-US"/>
              </w:rPr>
              <w:t xml:space="preserve"> pakalpojumi būtu efektīvāki, kvalitatīvāki un pacientiem pieejamāki.”.</w:t>
            </w:r>
          </w:p>
        </w:tc>
        <w:tc>
          <w:tcPr>
            <w:tcW w:w="2480" w:type="dxa"/>
            <w:tcBorders>
              <w:left w:val="single" w:sz="6" w:space="0" w:color="000000" w:themeColor="text1"/>
              <w:bottom w:val="single" w:sz="4" w:space="0" w:color="auto"/>
            </w:tcBorders>
            <w:shd w:val="clear" w:color="auto" w:fill="auto"/>
          </w:tcPr>
          <w:p w14:paraId="26B3C611"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t>Panākta vienošanās</w:t>
            </w:r>
          </w:p>
          <w:p w14:paraId="5B9ACB91" w14:textId="77777777" w:rsidR="001272D9" w:rsidRPr="009841AB" w:rsidRDefault="001272D9" w:rsidP="001272D9">
            <w:pPr>
              <w:pStyle w:val="naisc"/>
              <w:spacing w:before="0" w:after="0"/>
              <w:jc w:val="left"/>
              <w:rPr>
                <w:highlight w:val="yellow"/>
              </w:rPr>
            </w:pPr>
          </w:p>
          <w:p w14:paraId="5C806845" w14:textId="77777777" w:rsidR="00E0011B" w:rsidRPr="00FF16DF" w:rsidRDefault="00C857FC" w:rsidP="001272D9">
            <w:pPr>
              <w:pStyle w:val="naisc"/>
              <w:spacing w:before="0" w:after="0"/>
              <w:jc w:val="left"/>
              <w:rPr>
                <w:highlight w:val="yellow"/>
              </w:rPr>
            </w:pPr>
            <w:r w:rsidRPr="00FF16DF">
              <w:rPr>
                <w:shd w:val="clear" w:color="auto" w:fill="FFFFFF" w:themeFill="background1"/>
              </w:rPr>
              <w:t>Pārstrukturējot un saīsinot pamatnostādņu saturu, ar veselības un labklājības nozaru darbinieku digitālajām kompetencēm un prasmēm saistītie jautājumi ir pārcelti uz sadaļu 4.1.6., attiecīgi formulējot arī uzdevumu šajā jomā U4.4.6.-1.</w:t>
            </w:r>
          </w:p>
        </w:tc>
        <w:tc>
          <w:tcPr>
            <w:tcW w:w="3497" w:type="dxa"/>
            <w:tcBorders>
              <w:left w:val="single" w:sz="6" w:space="0" w:color="000000" w:themeColor="text1"/>
              <w:bottom w:val="single" w:sz="4" w:space="0" w:color="auto"/>
            </w:tcBorders>
            <w:shd w:val="clear" w:color="auto" w:fill="auto"/>
          </w:tcPr>
          <w:p w14:paraId="452CFCCD" w14:textId="77777777" w:rsidR="001272D9" w:rsidRPr="009841AB" w:rsidRDefault="000E16BB" w:rsidP="000E16BB">
            <w:pPr>
              <w:pStyle w:val="naisc"/>
              <w:spacing w:before="0" w:after="0"/>
              <w:jc w:val="left"/>
            </w:pPr>
            <w:r w:rsidRPr="009841AB">
              <w:t xml:space="preserve">Lūdzam skatīt </w:t>
            </w:r>
            <w:proofErr w:type="spellStart"/>
            <w:r w:rsidRPr="009841AB">
              <w:t>apakšsadaļu</w:t>
            </w:r>
            <w:proofErr w:type="spellEnd"/>
            <w:r w:rsidRPr="009841AB">
              <w:t xml:space="preserve"> </w:t>
            </w:r>
            <w:r w:rsidR="001272D9" w:rsidRPr="009841AB">
              <w:t>4.</w:t>
            </w:r>
            <w:r w:rsidR="00C857FC">
              <w:t>1</w:t>
            </w:r>
            <w:r w:rsidR="001272D9" w:rsidRPr="009841AB">
              <w:t xml:space="preserve">.6. </w:t>
            </w:r>
          </w:p>
        </w:tc>
      </w:tr>
      <w:bookmarkEnd w:id="2"/>
      <w:tr w:rsidR="001C750E" w:rsidRPr="009841AB" w14:paraId="0487AE7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D4CC557" w14:textId="77777777" w:rsidR="001C750E" w:rsidRPr="009841AB" w:rsidRDefault="00817AEB" w:rsidP="001C750E">
            <w:pPr>
              <w:pStyle w:val="naisc"/>
              <w:spacing w:before="0" w:after="0"/>
            </w:pPr>
            <w:r>
              <w:t>325</w:t>
            </w:r>
          </w:p>
          <w:p w14:paraId="053BA2AE" w14:textId="77777777" w:rsidR="001C750E" w:rsidRPr="009841AB" w:rsidRDefault="001C750E" w:rsidP="001C750E">
            <w:pPr>
              <w:pStyle w:val="naisc"/>
              <w:spacing w:before="0" w:after="0"/>
            </w:pPr>
          </w:p>
        </w:tc>
        <w:tc>
          <w:tcPr>
            <w:tcW w:w="2427" w:type="dxa"/>
            <w:tcBorders>
              <w:left w:val="single" w:sz="6" w:space="0" w:color="000000" w:themeColor="text1"/>
              <w:bottom w:val="single" w:sz="4" w:space="0" w:color="auto"/>
            </w:tcBorders>
            <w:shd w:val="clear" w:color="auto" w:fill="auto"/>
          </w:tcPr>
          <w:p w14:paraId="5BDC9B4A" w14:textId="77777777" w:rsidR="001C750E" w:rsidRPr="009841AB" w:rsidRDefault="001C750E" w:rsidP="001C750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93E5AEC" w14:textId="77777777" w:rsidR="00E32062" w:rsidRDefault="00E32062" w:rsidP="001C750E">
            <w:pPr>
              <w:widowControl w:val="0"/>
              <w:shd w:val="clear" w:color="auto" w:fill="FFFFFF"/>
              <w:jc w:val="both"/>
              <w:rPr>
                <w:rFonts w:eastAsia="Calibri"/>
                <w:lang w:eastAsia="en-US"/>
              </w:rPr>
            </w:pPr>
            <w:r w:rsidRPr="00D030E7">
              <w:rPr>
                <w:lang w:eastAsia="en-US"/>
              </w:rPr>
              <w:t xml:space="preserve">(Iepriekš izziņas </w:t>
            </w:r>
            <w:r>
              <w:rPr>
                <w:lang w:eastAsia="en-US"/>
              </w:rPr>
              <w:t>261</w:t>
            </w:r>
            <w:r w:rsidRPr="00D030E7">
              <w:rPr>
                <w:lang w:eastAsia="en-US"/>
              </w:rPr>
              <w:t>. punkts)</w:t>
            </w:r>
          </w:p>
          <w:p w14:paraId="2832DEEF" w14:textId="77777777" w:rsidR="001C750E" w:rsidRPr="009841AB" w:rsidRDefault="001C750E" w:rsidP="001C750E">
            <w:pPr>
              <w:widowControl w:val="0"/>
              <w:shd w:val="clear" w:color="auto" w:fill="FFFFFF"/>
              <w:jc w:val="both"/>
              <w:rPr>
                <w:rFonts w:eastAsia="Calibri"/>
                <w:lang w:eastAsia="en-US"/>
              </w:rPr>
            </w:pPr>
            <w:r w:rsidRPr="009841AB">
              <w:rPr>
                <w:rFonts w:eastAsia="Calibri"/>
                <w:lang w:eastAsia="en-US"/>
              </w:rPr>
              <w:t>3. Lūdzam precizēt un papildināt Pamatnostādņu projekta 4.4.6.sadaļas Uzdevumus:</w:t>
            </w:r>
          </w:p>
          <w:p w14:paraId="429F5070" w14:textId="77777777" w:rsidR="001C750E" w:rsidRPr="009841AB" w:rsidRDefault="001C750E" w:rsidP="001C750E">
            <w:pPr>
              <w:widowControl w:val="0"/>
              <w:shd w:val="clear" w:color="auto" w:fill="FFFFFF"/>
              <w:jc w:val="both"/>
              <w:rPr>
                <w:rFonts w:eastAsia="Calibri"/>
                <w:lang w:eastAsia="en-US"/>
              </w:rPr>
            </w:pPr>
            <w:r w:rsidRPr="009841AB">
              <w:rPr>
                <w:rFonts w:eastAsia="Calibri"/>
                <w:lang w:eastAsia="en-US"/>
              </w:rPr>
              <w:t xml:space="preserve">Pamatnostādņu projekta 4.4.6. rīcības virzienā “Sabiedrības sociālā labklājība un veselība” kā viens no izaicinājumiem izceltas sociālās aprūpes un </w:t>
            </w:r>
            <w:r w:rsidRPr="009841AB">
              <w:rPr>
                <w:rFonts w:eastAsia="Calibri"/>
                <w:lang w:eastAsia="en-US"/>
              </w:rPr>
              <w:lastRenderedPageBreak/>
              <w:t>sociālās rehabilitācijas pakalpojumu darbinieku nepietiekamas zināšanas un izpratne par personas datu apstrādi un drošību, kā arī personālam “… raksturīgā attieksme pret IKT rīku lietošanu” (skat. Pamatnostādņu projekta 135. lpp.), bet, lai to novērstu, nav paredzēti mērķtiecīgi pasākumi. Tādēļ nepieciešams vai nu iekļaut jaunu – 4.4.6.-7.uzdevumu (skat. augstāk piedāvāto redakciju) vai arī 4.1. attīstības virzienā “Digitālās prasmes un izglītība” 4.1.6. rīcības virzienu papildināt ar pasākumiem digitālo prasmju attīstīšanai sociālajā jomā nodarbinātajiem un pasākumiem sociālās jomas studiju virziena programmu pilnveidei.</w:t>
            </w:r>
          </w:p>
        </w:tc>
        <w:tc>
          <w:tcPr>
            <w:tcW w:w="2480" w:type="dxa"/>
            <w:tcBorders>
              <w:left w:val="single" w:sz="6" w:space="0" w:color="000000" w:themeColor="text1"/>
              <w:bottom w:val="single" w:sz="4" w:space="0" w:color="auto"/>
            </w:tcBorders>
            <w:shd w:val="clear" w:color="auto" w:fill="auto"/>
          </w:tcPr>
          <w:p w14:paraId="74DDBBD1" w14:textId="77777777" w:rsidR="001C750E" w:rsidRPr="00770C79" w:rsidRDefault="001C750E" w:rsidP="001C750E">
            <w:pPr>
              <w:pStyle w:val="naisc"/>
              <w:spacing w:before="0" w:after="0"/>
              <w:jc w:val="left"/>
              <w:rPr>
                <w:b/>
                <w:bCs/>
              </w:rPr>
            </w:pPr>
            <w:r w:rsidRPr="00770C79">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797B26AD" w14:textId="77777777" w:rsidR="001C750E" w:rsidRPr="009841AB" w:rsidRDefault="001C750E" w:rsidP="001C750E">
            <w:pPr>
              <w:pStyle w:val="naisc"/>
              <w:spacing w:before="0" w:after="0"/>
              <w:jc w:val="left"/>
            </w:pPr>
            <w:r w:rsidRPr="009841AB">
              <w:t xml:space="preserve">Lūdzam skatīt </w:t>
            </w:r>
            <w:r w:rsidR="00C857FC">
              <w:t>sadaļas</w:t>
            </w:r>
            <w:r w:rsidRPr="009841AB">
              <w:t xml:space="preserve"> 4.</w:t>
            </w:r>
            <w:r w:rsidR="00C857FC">
              <w:t>1</w:t>
            </w:r>
            <w:r w:rsidRPr="009841AB">
              <w:t xml:space="preserve">.6. </w:t>
            </w:r>
            <w:r w:rsidR="00C857FC">
              <w:t xml:space="preserve">uzdevuma formulējumu. </w:t>
            </w:r>
            <w:r w:rsidR="00C857FC" w:rsidRPr="009841AB">
              <w:t xml:space="preserve"> </w:t>
            </w:r>
          </w:p>
        </w:tc>
      </w:tr>
      <w:tr w:rsidR="00EC5704" w:rsidRPr="009841AB" w14:paraId="1AD80AD8" w14:textId="77777777" w:rsidTr="15B1D617">
        <w:trPr>
          <w:gridAfter w:val="1"/>
          <w:wAfter w:w="7" w:type="dxa"/>
        </w:trPr>
        <w:tc>
          <w:tcPr>
            <w:tcW w:w="613" w:type="dxa"/>
            <w:tcBorders>
              <w:left w:val="single" w:sz="6" w:space="0" w:color="000000" w:themeColor="text1"/>
              <w:bottom w:val="single" w:sz="4" w:space="0" w:color="auto"/>
            </w:tcBorders>
            <w:shd w:val="clear" w:color="auto" w:fill="auto"/>
          </w:tcPr>
          <w:p w14:paraId="643CC932" w14:textId="77777777" w:rsidR="00EC5704" w:rsidRPr="009841AB" w:rsidRDefault="00B77A73" w:rsidP="001272D9">
            <w:pPr>
              <w:pStyle w:val="naisc"/>
              <w:spacing w:before="0" w:after="0"/>
            </w:pPr>
            <w:r>
              <w:t>325</w:t>
            </w:r>
          </w:p>
        </w:tc>
        <w:tc>
          <w:tcPr>
            <w:tcW w:w="13831" w:type="dxa"/>
            <w:gridSpan w:val="4"/>
            <w:tcBorders>
              <w:left w:val="single" w:sz="6" w:space="0" w:color="000000" w:themeColor="text1"/>
              <w:bottom w:val="single" w:sz="4" w:space="0" w:color="auto"/>
            </w:tcBorders>
            <w:shd w:val="clear" w:color="auto" w:fill="auto"/>
          </w:tcPr>
          <w:tbl>
            <w:tblPr>
              <w:tblW w:w="1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3552"/>
              <w:gridCol w:w="1276"/>
              <w:gridCol w:w="1417"/>
              <w:gridCol w:w="1843"/>
              <w:gridCol w:w="2693"/>
            </w:tblGrid>
            <w:tr w:rsidR="00EC5704" w:rsidRPr="009841AB" w14:paraId="74493AEB" w14:textId="77777777" w:rsidTr="00EC5704">
              <w:tc>
                <w:tcPr>
                  <w:tcW w:w="1010" w:type="dxa"/>
                  <w:shd w:val="clear" w:color="auto" w:fill="auto"/>
                </w:tcPr>
                <w:p w14:paraId="0AFF6553" w14:textId="77777777" w:rsidR="00EC5704" w:rsidRPr="009841AB" w:rsidRDefault="00EC5704" w:rsidP="00EC5704">
                  <w:pPr>
                    <w:jc w:val="both"/>
                    <w:rPr>
                      <w:color w:val="000000"/>
                    </w:rPr>
                  </w:pPr>
                  <w:bookmarkStart w:id="3" w:name="OLE_LINK3"/>
                  <w:proofErr w:type="spellStart"/>
                  <w:r w:rsidRPr="009841AB">
                    <w:rPr>
                      <w:color w:val="000000"/>
                    </w:rPr>
                    <w:t>Identif</w:t>
                  </w:r>
                  <w:proofErr w:type="spellEnd"/>
                  <w:r w:rsidRPr="009841AB">
                    <w:rPr>
                      <w:color w:val="000000"/>
                    </w:rPr>
                    <w:t>.</w:t>
                  </w:r>
                </w:p>
              </w:tc>
              <w:tc>
                <w:tcPr>
                  <w:tcW w:w="3552" w:type="dxa"/>
                  <w:shd w:val="clear" w:color="auto" w:fill="auto"/>
                </w:tcPr>
                <w:p w14:paraId="02DED2AF" w14:textId="77777777" w:rsidR="00EC5704" w:rsidRPr="009841AB" w:rsidRDefault="00EC5704" w:rsidP="00EC5704">
                  <w:pPr>
                    <w:jc w:val="both"/>
                  </w:pPr>
                  <w:r w:rsidRPr="009841AB">
                    <w:rPr>
                      <w:color w:val="000000"/>
                    </w:rPr>
                    <w:t>Uzdevums</w:t>
                  </w:r>
                </w:p>
              </w:tc>
              <w:tc>
                <w:tcPr>
                  <w:tcW w:w="1276" w:type="dxa"/>
                  <w:shd w:val="clear" w:color="auto" w:fill="auto"/>
                </w:tcPr>
                <w:p w14:paraId="39453986" w14:textId="77777777" w:rsidR="00EC5704" w:rsidRPr="009841AB" w:rsidRDefault="00EC5704" w:rsidP="00EC5704">
                  <w:pPr>
                    <w:jc w:val="both"/>
                  </w:pPr>
                  <w:r w:rsidRPr="009841AB">
                    <w:t xml:space="preserve">Sākuma </w:t>
                  </w:r>
                  <w:proofErr w:type="spellStart"/>
                  <w:r w:rsidRPr="009841AB">
                    <w:t>ter</w:t>
                  </w:r>
                  <w:proofErr w:type="spellEnd"/>
                  <w:r w:rsidRPr="009841AB">
                    <w:t>.</w:t>
                  </w:r>
                </w:p>
              </w:tc>
              <w:tc>
                <w:tcPr>
                  <w:tcW w:w="1417" w:type="dxa"/>
                  <w:shd w:val="clear" w:color="auto" w:fill="auto"/>
                </w:tcPr>
                <w:p w14:paraId="2FBC9B21" w14:textId="77777777" w:rsidR="00EC5704" w:rsidRPr="009841AB" w:rsidRDefault="00EC5704" w:rsidP="00EC5704">
                  <w:pPr>
                    <w:jc w:val="both"/>
                  </w:pPr>
                  <w:r w:rsidRPr="009841AB">
                    <w:t xml:space="preserve">Beigu </w:t>
                  </w:r>
                  <w:proofErr w:type="spellStart"/>
                  <w:r w:rsidRPr="009841AB">
                    <w:t>ter</w:t>
                  </w:r>
                  <w:proofErr w:type="spellEnd"/>
                  <w:r w:rsidRPr="009841AB">
                    <w:t>.</w:t>
                  </w:r>
                </w:p>
              </w:tc>
              <w:tc>
                <w:tcPr>
                  <w:tcW w:w="1843" w:type="dxa"/>
                  <w:shd w:val="clear" w:color="auto" w:fill="auto"/>
                </w:tcPr>
                <w:p w14:paraId="71981C79" w14:textId="77777777" w:rsidR="00EC5704" w:rsidRPr="009841AB" w:rsidRDefault="00EC5704" w:rsidP="00EC5704">
                  <w:pPr>
                    <w:jc w:val="both"/>
                    <w:rPr>
                      <w:color w:val="000000"/>
                    </w:rPr>
                  </w:pPr>
                  <w:proofErr w:type="spellStart"/>
                  <w:r w:rsidRPr="009841AB">
                    <w:rPr>
                      <w:color w:val="000000"/>
                    </w:rPr>
                    <w:t>Atb</w:t>
                  </w:r>
                  <w:proofErr w:type="spellEnd"/>
                </w:p>
              </w:tc>
              <w:tc>
                <w:tcPr>
                  <w:tcW w:w="2693" w:type="dxa"/>
                  <w:shd w:val="clear" w:color="auto" w:fill="auto"/>
                </w:tcPr>
                <w:p w14:paraId="738945D7" w14:textId="77777777" w:rsidR="00EC5704" w:rsidRPr="009841AB" w:rsidRDefault="00EC5704" w:rsidP="00EC5704">
                  <w:pPr>
                    <w:jc w:val="both"/>
                    <w:rPr>
                      <w:color w:val="000000"/>
                    </w:rPr>
                  </w:pPr>
                  <w:r w:rsidRPr="009841AB">
                    <w:rPr>
                      <w:color w:val="000000"/>
                    </w:rPr>
                    <w:t>Līdzatbildīgie</w:t>
                  </w:r>
                </w:p>
              </w:tc>
            </w:tr>
            <w:tr w:rsidR="00EC5704" w:rsidRPr="009841AB" w14:paraId="36124D9A" w14:textId="77777777" w:rsidTr="00EC5704">
              <w:tc>
                <w:tcPr>
                  <w:tcW w:w="1010" w:type="dxa"/>
                  <w:shd w:val="clear" w:color="auto" w:fill="auto"/>
                </w:tcPr>
                <w:p w14:paraId="38664647" w14:textId="77777777" w:rsidR="00EC5704" w:rsidRPr="009841AB" w:rsidRDefault="00EC5704" w:rsidP="00EC5704">
                  <w:pPr>
                    <w:jc w:val="both"/>
                  </w:pPr>
                  <w:r w:rsidRPr="009841AB">
                    <w:t>U4.4.6.-3</w:t>
                  </w:r>
                </w:p>
              </w:tc>
              <w:tc>
                <w:tcPr>
                  <w:tcW w:w="3552" w:type="dxa"/>
                  <w:shd w:val="clear" w:color="auto" w:fill="auto"/>
                </w:tcPr>
                <w:p w14:paraId="46A2E3D7" w14:textId="77777777" w:rsidR="00EC5704" w:rsidRPr="009841AB" w:rsidRDefault="00EC5704" w:rsidP="00EC5704">
                  <w:pPr>
                    <w:pStyle w:val="Default"/>
                    <w:jc w:val="both"/>
                    <w:rPr>
                      <w:b/>
                    </w:rPr>
                  </w:pPr>
                  <w:r w:rsidRPr="009841AB">
                    <w:rPr>
                      <w:b/>
                    </w:rPr>
                    <w:t>Vienotas e-aprūpes platformas nodrošinājums Sociālās rehabilitācijas un ilgstošās aprūpes iestādēm</w:t>
                  </w:r>
                </w:p>
              </w:tc>
              <w:tc>
                <w:tcPr>
                  <w:tcW w:w="1276" w:type="dxa"/>
                  <w:shd w:val="clear" w:color="auto" w:fill="auto"/>
                </w:tcPr>
                <w:p w14:paraId="720B84F8" w14:textId="77777777" w:rsidR="00EC5704" w:rsidRPr="009841AB" w:rsidRDefault="00EC5704" w:rsidP="00EC5704">
                  <w:pPr>
                    <w:jc w:val="both"/>
                  </w:pPr>
                  <w:r w:rsidRPr="009841AB">
                    <w:t>2021</w:t>
                  </w:r>
                </w:p>
              </w:tc>
              <w:tc>
                <w:tcPr>
                  <w:tcW w:w="1417" w:type="dxa"/>
                  <w:shd w:val="clear" w:color="auto" w:fill="auto"/>
                </w:tcPr>
                <w:p w14:paraId="3EF92471" w14:textId="77777777" w:rsidR="00EC5704" w:rsidRPr="009841AB" w:rsidRDefault="00EC5704" w:rsidP="00EC5704">
                  <w:pPr>
                    <w:jc w:val="both"/>
                  </w:pPr>
                  <w:r w:rsidRPr="009841AB">
                    <w:t>2025</w:t>
                  </w:r>
                </w:p>
              </w:tc>
              <w:tc>
                <w:tcPr>
                  <w:tcW w:w="1843" w:type="dxa"/>
                  <w:shd w:val="clear" w:color="auto" w:fill="auto"/>
                </w:tcPr>
                <w:p w14:paraId="76F7D0C0" w14:textId="77777777" w:rsidR="00EC5704" w:rsidRPr="009841AB" w:rsidRDefault="00EC5704" w:rsidP="00EC5704">
                  <w:pPr>
                    <w:jc w:val="both"/>
                    <w:rPr>
                      <w:b/>
                    </w:rPr>
                  </w:pPr>
                  <w:r w:rsidRPr="009841AB">
                    <w:rPr>
                      <w:b/>
                    </w:rPr>
                    <w:t>LM</w:t>
                  </w:r>
                </w:p>
              </w:tc>
              <w:tc>
                <w:tcPr>
                  <w:tcW w:w="2693" w:type="dxa"/>
                  <w:shd w:val="clear" w:color="auto" w:fill="auto"/>
                </w:tcPr>
                <w:p w14:paraId="1C103D74" w14:textId="77777777" w:rsidR="00EC5704" w:rsidRPr="009841AB" w:rsidRDefault="00EC5704" w:rsidP="00EC5704">
                  <w:pPr>
                    <w:pStyle w:val="Default"/>
                    <w:jc w:val="both"/>
                    <w:rPr>
                      <w:b/>
                    </w:rPr>
                  </w:pPr>
                  <w:r w:rsidRPr="009841AB">
                    <w:rPr>
                      <w:b/>
                    </w:rPr>
                    <w:t>Pašvaldības, komersanti, kas sniedz sociālos pakalpojumu s</w:t>
                  </w:r>
                </w:p>
              </w:tc>
            </w:tr>
            <w:tr w:rsidR="00EC5704" w:rsidRPr="009841AB" w14:paraId="32A20282" w14:textId="77777777" w:rsidTr="00EC5704">
              <w:tc>
                <w:tcPr>
                  <w:tcW w:w="1010" w:type="dxa"/>
                  <w:shd w:val="clear" w:color="auto" w:fill="auto"/>
                </w:tcPr>
                <w:p w14:paraId="7737EB34" w14:textId="77777777" w:rsidR="00EC5704" w:rsidRPr="009841AB" w:rsidRDefault="00EC5704" w:rsidP="00EC5704">
                  <w:pPr>
                    <w:jc w:val="both"/>
                    <w:rPr>
                      <w:b/>
                    </w:rPr>
                  </w:pPr>
                  <w:r w:rsidRPr="009841AB">
                    <w:rPr>
                      <w:b/>
                    </w:rPr>
                    <w:t>U4.4.6.-7</w:t>
                  </w:r>
                </w:p>
              </w:tc>
              <w:tc>
                <w:tcPr>
                  <w:tcW w:w="3552" w:type="dxa"/>
                  <w:shd w:val="clear" w:color="auto" w:fill="auto"/>
                </w:tcPr>
                <w:p w14:paraId="37471710" w14:textId="77777777" w:rsidR="00EC5704" w:rsidRPr="009841AB" w:rsidRDefault="00EC5704" w:rsidP="00EC5704">
                  <w:pPr>
                    <w:pStyle w:val="Default"/>
                    <w:jc w:val="both"/>
                    <w:rPr>
                      <w:b/>
                    </w:rPr>
                  </w:pPr>
                  <w:r w:rsidRPr="009841AB">
                    <w:rPr>
                      <w:b/>
                    </w:rPr>
                    <w:t>Sociālās aprūpes personu un sociālo darbinieku digitālo prasmju pilnveide,  digitālo rīku izmantošanā darbā ar klientiem, profesionālās kompetences pilnveidei.</w:t>
                  </w:r>
                </w:p>
              </w:tc>
              <w:tc>
                <w:tcPr>
                  <w:tcW w:w="1276" w:type="dxa"/>
                  <w:shd w:val="clear" w:color="auto" w:fill="auto"/>
                </w:tcPr>
                <w:p w14:paraId="3D4C8D51" w14:textId="77777777" w:rsidR="00EC5704" w:rsidRPr="009841AB" w:rsidRDefault="00EC5704" w:rsidP="00EC5704">
                  <w:pPr>
                    <w:jc w:val="both"/>
                    <w:rPr>
                      <w:b/>
                    </w:rPr>
                  </w:pPr>
                  <w:r w:rsidRPr="009841AB">
                    <w:rPr>
                      <w:b/>
                    </w:rPr>
                    <w:t>2021</w:t>
                  </w:r>
                </w:p>
              </w:tc>
              <w:tc>
                <w:tcPr>
                  <w:tcW w:w="1417" w:type="dxa"/>
                  <w:shd w:val="clear" w:color="auto" w:fill="auto"/>
                </w:tcPr>
                <w:p w14:paraId="3CD6215C" w14:textId="77777777" w:rsidR="00EC5704" w:rsidRPr="009841AB" w:rsidRDefault="00EC5704" w:rsidP="00EC5704">
                  <w:pPr>
                    <w:jc w:val="both"/>
                    <w:rPr>
                      <w:b/>
                    </w:rPr>
                  </w:pPr>
                  <w:r w:rsidRPr="009841AB">
                    <w:rPr>
                      <w:b/>
                    </w:rPr>
                    <w:t>2027</w:t>
                  </w:r>
                </w:p>
              </w:tc>
              <w:tc>
                <w:tcPr>
                  <w:tcW w:w="1843" w:type="dxa"/>
                  <w:shd w:val="clear" w:color="auto" w:fill="auto"/>
                </w:tcPr>
                <w:p w14:paraId="7DCAA474" w14:textId="77777777" w:rsidR="00EC5704" w:rsidRPr="009841AB" w:rsidRDefault="00EC5704" w:rsidP="00EC5704">
                  <w:pPr>
                    <w:jc w:val="both"/>
                    <w:rPr>
                      <w:b/>
                    </w:rPr>
                  </w:pPr>
                  <w:r w:rsidRPr="009841AB">
                    <w:rPr>
                      <w:b/>
                    </w:rPr>
                    <w:t>LM</w:t>
                  </w:r>
                </w:p>
              </w:tc>
              <w:tc>
                <w:tcPr>
                  <w:tcW w:w="2693" w:type="dxa"/>
                  <w:shd w:val="clear" w:color="auto" w:fill="auto"/>
                </w:tcPr>
                <w:p w14:paraId="6213F4C5" w14:textId="77777777" w:rsidR="00EC5704" w:rsidRPr="009841AB" w:rsidRDefault="00EC5704" w:rsidP="00EC5704">
                  <w:pPr>
                    <w:pStyle w:val="Default"/>
                    <w:jc w:val="both"/>
                    <w:rPr>
                      <w:b/>
                    </w:rPr>
                  </w:pPr>
                  <w:r w:rsidRPr="009841AB">
                    <w:rPr>
                      <w:b/>
                    </w:rPr>
                    <w:t>Profesionālās asociācijas, profesionālās izglītības iestādes</w:t>
                  </w:r>
                </w:p>
              </w:tc>
            </w:tr>
            <w:bookmarkEnd w:id="3"/>
          </w:tbl>
          <w:p w14:paraId="0C470002" w14:textId="77777777" w:rsidR="00EC5704" w:rsidRPr="009841AB" w:rsidRDefault="00EC5704" w:rsidP="001272D9">
            <w:pPr>
              <w:pStyle w:val="naisc"/>
              <w:spacing w:before="0" w:after="0"/>
              <w:jc w:val="both"/>
            </w:pPr>
          </w:p>
        </w:tc>
      </w:tr>
      <w:tr w:rsidR="00E0011B" w:rsidRPr="009841AB" w14:paraId="3A107F5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D24CA32" w14:textId="77777777" w:rsidR="00E0011B" w:rsidRPr="009841AB" w:rsidRDefault="00120E00" w:rsidP="00E0011B">
            <w:pPr>
              <w:pStyle w:val="naisc"/>
              <w:spacing w:before="0" w:after="0"/>
            </w:pPr>
            <w:r>
              <w:t>326</w:t>
            </w:r>
          </w:p>
        </w:tc>
        <w:tc>
          <w:tcPr>
            <w:tcW w:w="2427" w:type="dxa"/>
            <w:tcBorders>
              <w:left w:val="single" w:sz="6" w:space="0" w:color="000000" w:themeColor="text1"/>
              <w:bottom w:val="single" w:sz="4" w:space="0" w:color="auto"/>
            </w:tcBorders>
            <w:shd w:val="clear" w:color="auto" w:fill="auto"/>
          </w:tcPr>
          <w:p w14:paraId="376DD62D"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BBE597D" w14:textId="77777777" w:rsidR="00E0011B" w:rsidRPr="009841AB" w:rsidRDefault="00E0011B" w:rsidP="00E0011B">
            <w:pPr>
              <w:widowControl w:val="0"/>
              <w:shd w:val="clear" w:color="auto" w:fill="FFFFFF"/>
              <w:jc w:val="both"/>
              <w:rPr>
                <w:rFonts w:eastAsia="Calibri"/>
                <w:lang w:eastAsia="en-US"/>
              </w:rPr>
            </w:pPr>
            <w:r w:rsidRPr="009841AB">
              <w:rPr>
                <w:rFonts w:eastAsia="Calibri"/>
                <w:lang w:eastAsia="en-US"/>
              </w:rPr>
              <w:t>4. Lūdzam Pamatnostādņu projekta 4.4.6.sadaļas uzdevumu U4.4.6.-4 un U4.4.6.-5 izpildē iesaistīto līdzatbildīgo institūciju sarakstu papildināt ar LM.</w:t>
            </w:r>
          </w:p>
          <w:p w14:paraId="207BBB6C" w14:textId="77777777" w:rsidR="00E0011B" w:rsidRPr="009841AB" w:rsidRDefault="00E0011B" w:rsidP="00E0011B">
            <w:pPr>
              <w:jc w:val="both"/>
              <w:rPr>
                <w:color w:val="000000"/>
                <w:shd w:val="clear" w:color="auto" w:fill="FFFFFF"/>
              </w:rPr>
            </w:pPr>
          </w:p>
        </w:tc>
        <w:tc>
          <w:tcPr>
            <w:tcW w:w="2480" w:type="dxa"/>
            <w:tcBorders>
              <w:left w:val="single" w:sz="6" w:space="0" w:color="000000" w:themeColor="text1"/>
              <w:bottom w:val="single" w:sz="4" w:space="0" w:color="auto"/>
            </w:tcBorders>
            <w:shd w:val="clear" w:color="auto" w:fill="auto"/>
          </w:tcPr>
          <w:p w14:paraId="45D1DBC0" w14:textId="77777777" w:rsidR="00E0011B" w:rsidRPr="009841AB" w:rsidRDefault="00E0011B" w:rsidP="00E0011B">
            <w:pPr>
              <w:pStyle w:val="naisc"/>
              <w:spacing w:before="0" w:after="0"/>
              <w:jc w:val="left"/>
              <w:rPr>
                <w:b/>
                <w:bCs/>
              </w:rPr>
            </w:pPr>
            <w:r w:rsidRPr="009841AB">
              <w:rPr>
                <w:b/>
                <w:bCs/>
              </w:rPr>
              <w:t>Ņemts vērā</w:t>
            </w:r>
          </w:p>
          <w:p w14:paraId="1EE83376" w14:textId="77777777" w:rsidR="00E0011B" w:rsidRPr="009841AB" w:rsidRDefault="00E0011B" w:rsidP="00E0011B">
            <w:pPr>
              <w:pStyle w:val="naisc"/>
              <w:spacing w:before="0" w:after="0"/>
              <w:jc w:val="left"/>
              <w:rPr>
                <w:b/>
                <w:bCs/>
              </w:rPr>
            </w:pPr>
            <w:r w:rsidRPr="009841AB">
              <w:t>LM iekļauta par līdzatbildīgo U4.4.6-5 un U4.4.6-6 (pēc jaunās numerācijas)</w:t>
            </w:r>
          </w:p>
        </w:tc>
        <w:tc>
          <w:tcPr>
            <w:tcW w:w="3497" w:type="dxa"/>
            <w:tcBorders>
              <w:left w:val="single" w:sz="6" w:space="0" w:color="000000" w:themeColor="text1"/>
              <w:bottom w:val="single" w:sz="4" w:space="0" w:color="auto"/>
            </w:tcBorders>
            <w:shd w:val="clear" w:color="auto" w:fill="auto"/>
          </w:tcPr>
          <w:p w14:paraId="4D0B001F" w14:textId="77777777" w:rsidR="00E0011B" w:rsidRPr="009841AB" w:rsidRDefault="00E0011B" w:rsidP="00E0011B">
            <w:pPr>
              <w:pStyle w:val="naisc"/>
              <w:spacing w:before="0" w:after="0"/>
              <w:jc w:val="left"/>
            </w:pPr>
            <w:r w:rsidRPr="009841AB">
              <w:t xml:space="preserve">Lūdzam skatīt </w:t>
            </w:r>
            <w:proofErr w:type="spellStart"/>
            <w:r w:rsidRPr="009841AB">
              <w:t>apakšsadaļu</w:t>
            </w:r>
            <w:proofErr w:type="spellEnd"/>
            <w:r w:rsidRPr="009841AB">
              <w:t xml:space="preserve"> 4.4.6. </w:t>
            </w:r>
          </w:p>
        </w:tc>
      </w:tr>
      <w:tr w:rsidR="00E0011B" w:rsidRPr="009841AB" w14:paraId="7074D23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5F179BB" w14:textId="77777777" w:rsidR="00E0011B" w:rsidRPr="009841AB" w:rsidRDefault="00B77A73" w:rsidP="00211100">
            <w:pPr>
              <w:pStyle w:val="naisc"/>
              <w:spacing w:before="0" w:after="0"/>
              <w:jc w:val="left"/>
            </w:pPr>
            <w:r>
              <w:t>327</w:t>
            </w:r>
          </w:p>
        </w:tc>
        <w:tc>
          <w:tcPr>
            <w:tcW w:w="2427" w:type="dxa"/>
            <w:tcBorders>
              <w:left w:val="single" w:sz="6" w:space="0" w:color="000000" w:themeColor="text1"/>
              <w:bottom w:val="single" w:sz="4" w:space="0" w:color="auto"/>
            </w:tcBorders>
            <w:shd w:val="clear" w:color="auto" w:fill="auto"/>
          </w:tcPr>
          <w:p w14:paraId="3BD7C7F6" w14:textId="77777777" w:rsidR="00E0011B" w:rsidRPr="009841AB" w:rsidRDefault="00E0011B" w:rsidP="00211100">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01EF7B7" w14:textId="77777777" w:rsidR="00E0011B" w:rsidRPr="009841AB" w:rsidRDefault="00E0011B" w:rsidP="00211100">
            <w:pPr>
              <w:rPr>
                <w:color w:val="000000"/>
                <w:shd w:val="clear" w:color="auto" w:fill="FFFFFF"/>
              </w:rPr>
            </w:pPr>
            <w:r w:rsidRPr="009841AB">
              <w:rPr>
                <w:rFonts w:eastAsia="Calibri"/>
                <w:lang w:eastAsia="en-US"/>
              </w:rPr>
              <w:t xml:space="preserve">5. Aicinām VARAM stratēģiskā līmeņa uzdevumos, kuru izpilde būtiski ietekmē visu valsts pārvaldes iestāžu darbību, kā līdzatbildīgos noteikt visas ministrijas, īpaši šādos uzdevumos: U4.4.9.1.-1, U4.4.9.1.-2, U4.4.9.7.-1, U4.4.9.7.-2, U4.4.10.1.-1, </w:t>
            </w:r>
            <w:r w:rsidRPr="009841AB">
              <w:rPr>
                <w:rFonts w:eastAsia="Calibri"/>
                <w:lang w:eastAsia="en-US"/>
              </w:rPr>
              <w:lastRenderedPageBreak/>
              <w:t>U4.4.10.1.-2. Tāpat lūdzam saskaņot Pamatnostādņu projektā un 2.pielikumā iekļauto informāciju, piemēram, Pamatnostādņu projektā uzdevumam U4.4.9.1.-2 nav norādītas līdzatbildīgās institūcijas, savukārt 2.pielikumā kā līdzatbildīgas ir norādītas “Visas publiskās pārvaldes institūcijas un pašvaldības”.</w:t>
            </w:r>
          </w:p>
        </w:tc>
        <w:tc>
          <w:tcPr>
            <w:tcW w:w="2480" w:type="dxa"/>
            <w:tcBorders>
              <w:left w:val="single" w:sz="6" w:space="0" w:color="000000" w:themeColor="text1"/>
              <w:bottom w:val="single" w:sz="4" w:space="0" w:color="auto"/>
            </w:tcBorders>
            <w:shd w:val="clear" w:color="auto" w:fill="auto"/>
          </w:tcPr>
          <w:p w14:paraId="1F120F09" w14:textId="77777777" w:rsidR="00E0011B" w:rsidRPr="009841AB" w:rsidRDefault="00211100" w:rsidP="00211100">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12D780CC" w14:textId="77777777" w:rsidR="00E0011B" w:rsidRPr="009841AB" w:rsidRDefault="00211100" w:rsidP="00211100">
            <w:pPr>
              <w:pStyle w:val="naisc"/>
              <w:spacing w:before="0" w:after="0"/>
              <w:jc w:val="left"/>
            </w:pPr>
            <w:r w:rsidRPr="009841AB">
              <w:t>Lūdzam skatīt sadaļas 4.4.9.1 līdz 4.4.9.5. un 4.4.10.1.</w:t>
            </w:r>
          </w:p>
        </w:tc>
      </w:tr>
      <w:tr w:rsidR="0084485F" w:rsidRPr="009841AB" w14:paraId="7CC9553E"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CB2A74F" w14:textId="77777777" w:rsidR="0084485F" w:rsidRPr="009841AB" w:rsidRDefault="0084485F" w:rsidP="00211100">
            <w:pPr>
              <w:pStyle w:val="naisc"/>
              <w:spacing w:before="0" w:after="0"/>
              <w:jc w:val="left"/>
            </w:pPr>
            <w:r w:rsidRPr="009841AB">
              <w:rPr>
                <w:b/>
                <w:bCs/>
                <w:lang w:eastAsia="en-US"/>
              </w:rPr>
              <w:t xml:space="preserve">Labklājības ministrijas </w:t>
            </w:r>
            <w:r>
              <w:rPr>
                <w:b/>
                <w:bCs/>
                <w:lang w:eastAsia="en-US"/>
              </w:rPr>
              <w:t>30</w:t>
            </w:r>
            <w:r w:rsidRPr="009841AB">
              <w:rPr>
                <w:b/>
                <w:bCs/>
                <w:lang w:eastAsia="en-US"/>
              </w:rPr>
              <w:t>.0</w:t>
            </w:r>
            <w:r>
              <w:rPr>
                <w:b/>
                <w:bCs/>
                <w:lang w:eastAsia="en-US"/>
              </w:rPr>
              <w:t>4</w:t>
            </w:r>
            <w:r w:rsidRPr="009841AB">
              <w:rPr>
                <w:b/>
                <w:bCs/>
                <w:lang w:eastAsia="en-US"/>
              </w:rPr>
              <w:t>.2021. atzinums:</w:t>
            </w:r>
          </w:p>
        </w:tc>
      </w:tr>
      <w:tr w:rsidR="0084485F" w:rsidRPr="009841AB" w14:paraId="160D7C5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2D819AB" w14:textId="77777777" w:rsidR="0084485F" w:rsidRPr="009841AB" w:rsidRDefault="00B77A73" w:rsidP="00211100">
            <w:pPr>
              <w:pStyle w:val="naisc"/>
              <w:spacing w:before="0" w:after="0"/>
              <w:jc w:val="left"/>
            </w:pPr>
            <w:r>
              <w:t>328</w:t>
            </w:r>
          </w:p>
        </w:tc>
        <w:tc>
          <w:tcPr>
            <w:tcW w:w="2427" w:type="dxa"/>
            <w:tcBorders>
              <w:left w:val="single" w:sz="6" w:space="0" w:color="000000" w:themeColor="text1"/>
              <w:bottom w:val="single" w:sz="4" w:space="0" w:color="auto"/>
            </w:tcBorders>
            <w:shd w:val="clear" w:color="auto" w:fill="auto"/>
          </w:tcPr>
          <w:p w14:paraId="475D8F8F" w14:textId="77777777" w:rsidR="0084485F" w:rsidRPr="009841AB" w:rsidRDefault="0084485F" w:rsidP="00211100">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B594401" w14:textId="77777777" w:rsidR="0084485F" w:rsidRPr="0084485F" w:rsidRDefault="001F78DF" w:rsidP="0084485F">
            <w:r>
              <w:t xml:space="preserve">1. </w:t>
            </w:r>
            <w:r w:rsidR="0084485F" w:rsidRPr="0084485F">
              <w:t xml:space="preserve">Izziņas 259., 260., 261.punktā norādītā informācija nav atbilstoša Pamatnostādņu projekta tekstam – tā kā attiecīgajā punktā minētais iebildums nav ņemts vērā, lūdzam attiecīgi labot izziņas punktu ar skaidrojumu par iemesliem tā neiekļaušanai tekstā vai precizēt Pamatnostādņu projekta attiecīgo sadaļu. Tā kā ir būtiski mainīta Pamatnostādņu projekta struktūra un daļa sākotnējās informācijas no Pamatnostādņu projekta ir pārcelta un modificēta 4.pielikumā, lai izvairītos no pārpratumiem, lūdzam izziņā skaidri norādīt, vai komentārs ir integrēts Pamatnostādņu projekta attiecīgajā sadaļā vai 4.pielikuma attiecīgajā sadaļā, vai arī attiecīgā teksta daļa vispār ir dzēsta. Labklājības ministrija papildu nepiedāvās konkrētas redakcijas, aicinām VARAM iestrādāt iepriekšējā atzinumā sniegtos priekšlikumus par konkrētām punktu redakcijām, attiecīgi labojot 82.lpp. minēto 4.4.5.-5.uzdevumu un aizstājot to ar atzinumā minētajām uzdevumu redakcijām: </w:t>
            </w:r>
          </w:p>
          <w:tbl>
            <w:tblPr>
              <w:tblW w:w="0" w:type="auto"/>
              <w:tblCellSpacing w:w="15" w:type="dxa"/>
              <w:tblLayout w:type="fixed"/>
              <w:tblLook w:val="04A0" w:firstRow="1" w:lastRow="0" w:firstColumn="1" w:lastColumn="0" w:noHBand="0" w:noVBand="1"/>
            </w:tblPr>
            <w:tblGrid>
              <w:gridCol w:w="668"/>
              <w:gridCol w:w="4142"/>
              <w:gridCol w:w="782"/>
              <w:gridCol w:w="596"/>
              <w:gridCol w:w="348"/>
              <w:gridCol w:w="2104"/>
            </w:tblGrid>
            <w:tr w:rsidR="0084485F" w14:paraId="495A6E2A" w14:textId="77777777" w:rsidTr="0084485F">
              <w:trPr>
                <w:tblCellSpacing w:w="15" w:type="dxa"/>
              </w:trPr>
              <w:tc>
                <w:tcPr>
                  <w:tcW w:w="623" w:type="dxa"/>
                  <w:tcMar>
                    <w:top w:w="15" w:type="dxa"/>
                    <w:left w:w="15" w:type="dxa"/>
                    <w:bottom w:w="15" w:type="dxa"/>
                    <w:right w:w="15" w:type="dxa"/>
                  </w:tcMar>
                  <w:hideMark/>
                </w:tcPr>
                <w:p w14:paraId="5A92B925" w14:textId="77777777" w:rsidR="0084485F" w:rsidRDefault="0084485F" w:rsidP="0084485F">
                  <w:pPr>
                    <w:rPr>
                      <w:lang w:eastAsia="en-US"/>
                    </w:rPr>
                  </w:pPr>
                  <w:proofErr w:type="spellStart"/>
                  <w:r>
                    <w:rPr>
                      <w:sz w:val="20"/>
                      <w:szCs w:val="20"/>
                      <w:lang w:eastAsia="en-US"/>
                    </w:rPr>
                    <w:t>Identif</w:t>
                  </w:r>
                  <w:proofErr w:type="spellEnd"/>
                  <w:r>
                    <w:rPr>
                      <w:sz w:val="20"/>
                      <w:szCs w:val="20"/>
                      <w:lang w:eastAsia="en-US"/>
                    </w:rPr>
                    <w:t>.</w:t>
                  </w:r>
                </w:p>
              </w:tc>
              <w:tc>
                <w:tcPr>
                  <w:tcW w:w="4112" w:type="dxa"/>
                  <w:tcMar>
                    <w:top w:w="15" w:type="dxa"/>
                    <w:left w:w="15" w:type="dxa"/>
                    <w:bottom w:w="15" w:type="dxa"/>
                    <w:right w:w="15" w:type="dxa"/>
                  </w:tcMar>
                  <w:hideMark/>
                </w:tcPr>
                <w:p w14:paraId="49D5B81A" w14:textId="77777777" w:rsidR="0084485F" w:rsidRDefault="0084485F" w:rsidP="0084485F">
                  <w:pPr>
                    <w:rPr>
                      <w:lang w:eastAsia="en-US"/>
                    </w:rPr>
                  </w:pPr>
                  <w:r>
                    <w:rPr>
                      <w:sz w:val="20"/>
                      <w:szCs w:val="20"/>
                      <w:lang w:eastAsia="en-US"/>
                    </w:rPr>
                    <w:t>Uzdevums</w:t>
                  </w:r>
                </w:p>
              </w:tc>
              <w:tc>
                <w:tcPr>
                  <w:tcW w:w="752" w:type="dxa"/>
                  <w:tcMar>
                    <w:top w:w="15" w:type="dxa"/>
                    <w:left w:w="15" w:type="dxa"/>
                    <w:bottom w:w="15" w:type="dxa"/>
                    <w:right w:w="15" w:type="dxa"/>
                  </w:tcMar>
                  <w:hideMark/>
                </w:tcPr>
                <w:p w14:paraId="27049A5C" w14:textId="77777777" w:rsidR="0084485F" w:rsidRDefault="0084485F" w:rsidP="0084485F">
                  <w:pPr>
                    <w:rPr>
                      <w:lang w:eastAsia="en-US"/>
                    </w:rPr>
                  </w:pPr>
                  <w:r>
                    <w:rPr>
                      <w:sz w:val="20"/>
                      <w:szCs w:val="20"/>
                      <w:lang w:eastAsia="en-US"/>
                    </w:rPr>
                    <w:t xml:space="preserve">Sākuma </w:t>
                  </w:r>
                  <w:proofErr w:type="spellStart"/>
                  <w:r>
                    <w:rPr>
                      <w:sz w:val="20"/>
                      <w:szCs w:val="20"/>
                      <w:lang w:eastAsia="en-US"/>
                    </w:rPr>
                    <w:t>ter</w:t>
                  </w:r>
                  <w:proofErr w:type="spellEnd"/>
                  <w:r>
                    <w:rPr>
                      <w:sz w:val="20"/>
                      <w:szCs w:val="20"/>
                      <w:lang w:eastAsia="en-US"/>
                    </w:rPr>
                    <w:t>.</w:t>
                  </w:r>
                </w:p>
              </w:tc>
              <w:tc>
                <w:tcPr>
                  <w:tcW w:w="566" w:type="dxa"/>
                  <w:tcMar>
                    <w:top w:w="15" w:type="dxa"/>
                    <w:left w:w="15" w:type="dxa"/>
                    <w:bottom w:w="15" w:type="dxa"/>
                    <w:right w:w="15" w:type="dxa"/>
                  </w:tcMar>
                  <w:hideMark/>
                </w:tcPr>
                <w:p w14:paraId="76A277E3" w14:textId="77777777" w:rsidR="0084485F" w:rsidRDefault="0084485F" w:rsidP="0084485F">
                  <w:pPr>
                    <w:rPr>
                      <w:lang w:eastAsia="en-US"/>
                    </w:rPr>
                  </w:pPr>
                  <w:r>
                    <w:rPr>
                      <w:sz w:val="20"/>
                      <w:szCs w:val="20"/>
                      <w:lang w:eastAsia="en-US"/>
                    </w:rPr>
                    <w:t xml:space="preserve">Beigu </w:t>
                  </w:r>
                  <w:proofErr w:type="spellStart"/>
                  <w:r>
                    <w:rPr>
                      <w:sz w:val="20"/>
                      <w:szCs w:val="20"/>
                      <w:lang w:eastAsia="en-US"/>
                    </w:rPr>
                    <w:t>ter</w:t>
                  </w:r>
                  <w:proofErr w:type="spellEnd"/>
                  <w:r>
                    <w:rPr>
                      <w:sz w:val="20"/>
                      <w:szCs w:val="20"/>
                      <w:lang w:eastAsia="en-US"/>
                    </w:rPr>
                    <w:t>.</w:t>
                  </w:r>
                </w:p>
              </w:tc>
              <w:tc>
                <w:tcPr>
                  <w:tcW w:w="318" w:type="dxa"/>
                  <w:tcMar>
                    <w:top w:w="15" w:type="dxa"/>
                    <w:left w:w="15" w:type="dxa"/>
                    <w:bottom w:w="15" w:type="dxa"/>
                    <w:right w:w="15" w:type="dxa"/>
                  </w:tcMar>
                  <w:hideMark/>
                </w:tcPr>
                <w:p w14:paraId="51DE2FB5" w14:textId="77777777" w:rsidR="0084485F" w:rsidRDefault="0084485F" w:rsidP="0084485F">
                  <w:pPr>
                    <w:rPr>
                      <w:lang w:eastAsia="en-US"/>
                    </w:rPr>
                  </w:pPr>
                  <w:proofErr w:type="spellStart"/>
                  <w:r>
                    <w:rPr>
                      <w:sz w:val="20"/>
                      <w:szCs w:val="20"/>
                      <w:lang w:eastAsia="en-US"/>
                    </w:rPr>
                    <w:t>Atb</w:t>
                  </w:r>
                  <w:proofErr w:type="spellEnd"/>
                </w:p>
              </w:tc>
              <w:tc>
                <w:tcPr>
                  <w:tcW w:w="2059" w:type="dxa"/>
                  <w:tcMar>
                    <w:top w:w="15" w:type="dxa"/>
                    <w:left w:w="15" w:type="dxa"/>
                    <w:bottom w:w="15" w:type="dxa"/>
                    <w:right w:w="15" w:type="dxa"/>
                  </w:tcMar>
                  <w:hideMark/>
                </w:tcPr>
                <w:p w14:paraId="53D9107D" w14:textId="77777777" w:rsidR="0084485F" w:rsidRDefault="0084485F" w:rsidP="0084485F">
                  <w:pPr>
                    <w:rPr>
                      <w:lang w:eastAsia="en-US"/>
                    </w:rPr>
                  </w:pPr>
                  <w:r>
                    <w:rPr>
                      <w:sz w:val="20"/>
                      <w:szCs w:val="20"/>
                      <w:lang w:eastAsia="en-US"/>
                    </w:rPr>
                    <w:t>Līdzatbildīgie</w:t>
                  </w:r>
                </w:p>
              </w:tc>
            </w:tr>
            <w:tr w:rsidR="0084485F" w14:paraId="07E29D82" w14:textId="77777777" w:rsidTr="0084485F">
              <w:trPr>
                <w:tblCellSpacing w:w="15" w:type="dxa"/>
              </w:trPr>
              <w:tc>
                <w:tcPr>
                  <w:tcW w:w="623" w:type="dxa"/>
                  <w:tcMar>
                    <w:top w:w="15" w:type="dxa"/>
                    <w:left w:w="15" w:type="dxa"/>
                    <w:bottom w:w="15" w:type="dxa"/>
                    <w:right w:w="15" w:type="dxa"/>
                  </w:tcMar>
                  <w:hideMark/>
                </w:tcPr>
                <w:p w14:paraId="2D412A89" w14:textId="77777777" w:rsidR="0084485F" w:rsidRDefault="0084485F" w:rsidP="0084485F">
                  <w:pPr>
                    <w:rPr>
                      <w:lang w:eastAsia="en-US"/>
                    </w:rPr>
                  </w:pPr>
                  <w:r>
                    <w:rPr>
                      <w:sz w:val="20"/>
                      <w:szCs w:val="20"/>
                      <w:lang w:eastAsia="en-US"/>
                    </w:rPr>
                    <w:t>4.4.6.-5</w:t>
                  </w:r>
                </w:p>
              </w:tc>
              <w:tc>
                <w:tcPr>
                  <w:tcW w:w="4112" w:type="dxa"/>
                  <w:tcMar>
                    <w:top w:w="15" w:type="dxa"/>
                    <w:left w:w="15" w:type="dxa"/>
                    <w:bottom w:w="15" w:type="dxa"/>
                    <w:right w:w="15" w:type="dxa"/>
                  </w:tcMar>
                  <w:hideMark/>
                </w:tcPr>
                <w:p w14:paraId="3809851D" w14:textId="77777777" w:rsidR="0084485F" w:rsidRDefault="0084485F" w:rsidP="0084485F">
                  <w:pPr>
                    <w:rPr>
                      <w:lang w:eastAsia="en-US"/>
                    </w:rPr>
                  </w:pPr>
                  <w:r>
                    <w:rPr>
                      <w:sz w:val="20"/>
                      <w:szCs w:val="20"/>
                      <w:lang w:eastAsia="en-US"/>
                    </w:rPr>
                    <w:t>Vienotas e-aprūpes platformas nodrošinājums Sociālās rehabilitācijas un ilgstošās aprūpes iestādēm</w:t>
                  </w:r>
                </w:p>
              </w:tc>
              <w:tc>
                <w:tcPr>
                  <w:tcW w:w="752" w:type="dxa"/>
                  <w:tcMar>
                    <w:top w:w="15" w:type="dxa"/>
                    <w:left w:w="15" w:type="dxa"/>
                    <w:bottom w:w="15" w:type="dxa"/>
                    <w:right w:w="15" w:type="dxa"/>
                  </w:tcMar>
                  <w:hideMark/>
                </w:tcPr>
                <w:p w14:paraId="60447DFA" w14:textId="77777777" w:rsidR="0084485F" w:rsidRDefault="0084485F" w:rsidP="0084485F">
                  <w:pPr>
                    <w:rPr>
                      <w:lang w:eastAsia="en-US"/>
                    </w:rPr>
                  </w:pPr>
                  <w:r>
                    <w:rPr>
                      <w:sz w:val="20"/>
                      <w:szCs w:val="20"/>
                      <w:lang w:eastAsia="en-US"/>
                    </w:rPr>
                    <w:t>2021</w:t>
                  </w:r>
                </w:p>
              </w:tc>
              <w:tc>
                <w:tcPr>
                  <w:tcW w:w="566" w:type="dxa"/>
                  <w:tcMar>
                    <w:top w:w="15" w:type="dxa"/>
                    <w:left w:w="15" w:type="dxa"/>
                    <w:bottom w:w="15" w:type="dxa"/>
                    <w:right w:w="15" w:type="dxa"/>
                  </w:tcMar>
                  <w:hideMark/>
                </w:tcPr>
                <w:p w14:paraId="3EA1D4DC" w14:textId="77777777" w:rsidR="0084485F" w:rsidRDefault="0084485F" w:rsidP="0084485F">
                  <w:pPr>
                    <w:rPr>
                      <w:lang w:eastAsia="en-US"/>
                    </w:rPr>
                  </w:pPr>
                  <w:r>
                    <w:rPr>
                      <w:sz w:val="20"/>
                      <w:szCs w:val="20"/>
                      <w:lang w:eastAsia="en-US"/>
                    </w:rPr>
                    <w:t>2025</w:t>
                  </w:r>
                </w:p>
              </w:tc>
              <w:tc>
                <w:tcPr>
                  <w:tcW w:w="318" w:type="dxa"/>
                  <w:tcMar>
                    <w:top w:w="15" w:type="dxa"/>
                    <w:left w:w="15" w:type="dxa"/>
                    <w:bottom w:w="15" w:type="dxa"/>
                    <w:right w:w="15" w:type="dxa"/>
                  </w:tcMar>
                  <w:hideMark/>
                </w:tcPr>
                <w:p w14:paraId="616FCB1F" w14:textId="77777777" w:rsidR="0084485F" w:rsidRDefault="0084485F" w:rsidP="0084485F">
                  <w:pPr>
                    <w:rPr>
                      <w:lang w:eastAsia="en-US"/>
                    </w:rPr>
                  </w:pPr>
                  <w:r>
                    <w:rPr>
                      <w:sz w:val="20"/>
                      <w:szCs w:val="20"/>
                      <w:lang w:eastAsia="en-US"/>
                    </w:rPr>
                    <w:t>LM</w:t>
                  </w:r>
                </w:p>
              </w:tc>
              <w:tc>
                <w:tcPr>
                  <w:tcW w:w="2059" w:type="dxa"/>
                  <w:tcMar>
                    <w:top w:w="15" w:type="dxa"/>
                    <w:left w:w="15" w:type="dxa"/>
                    <w:bottom w:w="15" w:type="dxa"/>
                    <w:right w:w="15" w:type="dxa"/>
                  </w:tcMar>
                  <w:hideMark/>
                </w:tcPr>
                <w:p w14:paraId="18D03DE1" w14:textId="77777777" w:rsidR="0084485F" w:rsidRDefault="0084485F" w:rsidP="0084485F">
                  <w:pPr>
                    <w:rPr>
                      <w:lang w:eastAsia="en-US"/>
                    </w:rPr>
                  </w:pPr>
                  <w:r>
                    <w:rPr>
                      <w:sz w:val="20"/>
                      <w:szCs w:val="20"/>
                      <w:lang w:eastAsia="en-US"/>
                    </w:rPr>
                    <w:t>Pašvaldības, komersanti, kas sniedz sociālos pakalpojumus</w:t>
                  </w:r>
                </w:p>
              </w:tc>
            </w:tr>
            <w:tr w:rsidR="0084485F" w14:paraId="315B1162" w14:textId="77777777" w:rsidTr="0084485F">
              <w:trPr>
                <w:tblCellSpacing w:w="15" w:type="dxa"/>
              </w:trPr>
              <w:tc>
                <w:tcPr>
                  <w:tcW w:w="623" w:type="dxa"/>
                  <w:tcMar>
                    <w:top w:w="15" w:type="dxa"/>
                    <w:left w:w="15" w:type="dxa"/>
                    <w:bottom w:w="15" w:type="dxa"/>
                    <w:right w:w="15" w:type="dxa"/>
                  </w:tcMar>
                  <w:hideMark/>
                </w:tcPr>
                <w:p w14:paraId="1BC1439E" w14:textId="77777777" w:rsidR="0084485F" w:rsidRDefault="0084485F" w:rsidP="0084485F">
                  <w:pPr>
                    <w:rPr>
                      <w:lang w:eastAsia="en-US"/>
                    </w:rPr>
                  </w:pPr>
                  <w:r>
                    <w:rPr>
                      <w:sz w:val="20"/>
                      <w:szCs w:val="20"/>
                      <w:lang w:eastAsia="en-US"/>
                    </w:rPr>
                    <w:t>4.4.6.-6</w:t>
                  </w:r>
                </w:p>
              </w:tc>
              <w:tc>
                <w:tcPr>
                  <w:tcW w:w="4112" w:type="dxa"/>
                  <w:tcMar>
                    <w:top w:w="15" w:type="dxa"/>
                    <w:left w:w="15" w:type="dxa"/>
                    <w:bottom w:w="15" w:type="dxa"/>
                    <w:right w:w="15" w:type="dxa"/>
                  </w:tcMar>
                  <w:hideMark/>
                </w:tcPr>
                <w:p w14:paraId="604BD17F" w14:textId="77777777" w:rsidR="0084485F" w:rsidRDefault="0084485F" w:rsidP="0084485F">
                  <w:pPr>
                    <w:rPr>
                      <w:lang w:eastAsia="en-US"/>
                    </w:rPr>
                  </w:pPr>
                  <w:r>
                    <w:rPr>
                      <w:sz w:val="20"/>
                      <w:szCs w:val="20"/>
                      <w:lang w:eastAsia="en-US"/>
                    </w:rPr>
                    <w:t>Sociālās aprūpes personu un sociālo darbinieku digitālo prasmju pilnveide, digitālo rīku izmantošanā darbā ar klientiem, profesionālās kompetences pilnveidei.</w:t>
                  </w:r>
                </w:p>
              </w:tc>
              <w:tc>
                <w:tcPr>
                  <w:tcW w:w="752" w:type="dxa"/>
                  <w:tcMar>
                    <w:top w:w="15" w:type="dxa"/>
                    <w:left w:w="15" w:type="dxa"/>
                    <w:bottom w:w="15" w:type="dxa"/>
                    <w:right w:w="15" w:type="dxa"/>
                  </w:tcMar>
                  <w:hideMark/>
                </w:tcPr>
                <w:p w14:paraId="57B0F1D1" w14:textId="77777777" w:rsidR="0084485F" w:rsidRDefault="0084485F" w:rsidP="0084485F">
                  <w:pPr>
                    <w:rPr>
                      <w:lang w:eastAsia="en-US"/>
                    </w:rPr>
                  </w:pPr>
                  <w:r>
                    <w:rPr>
                      <w:sz w:val="20"/>
                      <w:szCs w:val="20"/>
                      <w:lang w:eastAsia="en-US"/>
                    </w:rPr>
                    <w:t>2021</w:t>
                  </w:r>
                </w:p>
              </w:tc>
              <w:tc>
                <w:tcPr>
                  <w:tcW w:w="566" w:type="dxa"/>
                  <w:tcMar>
                    <w:top w:w="15" w:type="dxa"/>
                    <w:left w:w="15" w:type="dxa"/>
                    <w:bottom w:w="15" w:type="dxa"/>
                    <w:right w:w="15" w:type="dxa"/>
                  </w:tcMar>
                  <w:hideMark/>
                </w:tcPr>
                <w:p w14:paraId="3A39C25B" w14:textId="77777777" w:rsidR="0084485F" w:rsidRDefault="0084485F" w:rsidP="0084485F">
                  <w:pPr>
                    <w:rPr>
                      <w:lang w:eastAsia="en-US"/>
                    </w:rPr>
                  </w:pPr>
                  <w:r>
                    <w:rPr>
                      <w:sz w:val="20"/>
                      <w:szCs w:val="20"/>
                      <w:lang w:eastAsia="en-US"/>
                    </w:rPr>
                    <w:t>2027</w:t>
                  </w:r>
                </w:p>
              </w:tc>
              <w:tc>
                <w:tcPr>
                  <w:tcW w:w="318" w:type="dxa"/>
                  <w:tcMar>
                    <w:top w:w="15" w:type="dxa"/>
                    <w:left w:w="15" w:type="dxa"/>
                    <w:bottom w:w="15" w:type="dxa"/>
                    <w:right w:w="15" w:type="dxa"/>
                  </w:tcMar>
                  <w:hideMark/>
                </w:tcPr>
                <w:p w14:paraId="54E1F852" w14:textId="77777777" w:rsidR="0084485F" w:rsidRDefault="0084485F" w:rsidP="0084485F">
                  <w:pPr>
                    <w:rPr>
                      <w:lang w:eastAsia="en-US"/>
                    </w:rPr>
                  </w:pPr>
                  <w:r>
                    <w:rPr>
                      <w:sz w:val="20"/>
                      <w:szCs w:val="20"/>
                      <w:lang w:eastAsia="en-US"/>
                    </w:rPr>
                    <w:t>LM</w:t>
                  </w:r>
                </w:p>
              </w:tc>
              <w:tc>
                <w:tcPr>
                  <w:tcW w:w="2059" w:type="dxa"/>
                  <w:tcMar>
                    <w:top w:w="15" w:type="dxa"/>
                    <w:left w:w="15" w:type="dxa"/>
                    <w:bottom w:w="15" w:type="dxa"/>
                    <w:right w:w="15" w:type="dxa"/>
                  </w:tcMar>
                  <w:hideMark/>
                </w:tcPr>
                <w:p w14:paraId="7C0044C4" w14:textId="77777777" w:rsidR="0084485F" w:rsidRDefault="0084485F" w:rsidP="0084485F">
                  <w:pPr>
                    <w:rPr>
                      <w:lang w:eastAsia="en-US"/>
                    </w:rPr>
                  </w:pPr>
                  <w:r>
                    <w:rPr>
                      <w:sz w:val="20"/>
                      <w:szCs w:val="20"/>
                      <w:lang w:eastAsia="en-US"/>
                    </w:rPr>
                    <w:t>Profesionālās asociācijas, profesionālās izglītības iestādes</w:t>
                  </w:r>
                </w:p>
              </w:tc>
            </w:tr>
          </w:tbl>
          <w:p w14:paraId="0DB6B1F3" w14:textId="77777777" w:rsidR="0084485F" w:rsidRPr="009841AB" w:rsidRDefault="0084485F" w:rsidP="00211100">
            <w:pPr>
              <w:rPr>
                <w:rFonts w:eastAsia="Calibri"/>
                <w:lang w:eastAsia="en-US"/>
              </w:rPr>
            </w:pPr>
          </w:p>
        </w:tc>
        <w:tc>
          <w:tcPr>
            <w:tcW w:w="2480" w:type="dxa"/>
            <w:tcBorders>
              <w:left w:val="single" w:sz="6" w:space="0" w:color="000000" w:themeColor="text1"/>
              <w:bottom w:val="single" w:sz="4" w:space="0" w:color="auto"/>
            </w:tcBorders>
            <w:shd w:val="clear" w:color="auto" w:fill="auto"/>
          </w:tcPr>
          <w:p w14:paraId="34D5667C" w14:textId="77777777" w:rsidR="00C857FC" w:rsidRDefault="00C857FC" w:rsidP="00C857FC">
            <w:pPr>
              <w:pStyle w:val="naisc"/>
              <w:spacing w:before="0" w:after="0"/>
              <w:jc w:val="left"/>
              <w:rPr>
                <w:b/>
                <w:bCs/>
              </w:rPr>
            </w:pPr>
            <w:r w:rsidRPr="0ED69FBF">
              <w:rPr>
                <w:b/>
                <w:bCs/>
              </w:rPr>
              <w:t>Ņemts vērā</w:t>
            </w:r>
          </w:p>
          <w:p w14:paraId="79C96727" w14:textId="77777777" w:rsidR="00C857FC" w:rsidRDefault="00C857FC" w:rsidP="00C857FC">
            <w:pPr>
              <w:pStyle w:val="naisc"/>
              <w:spacing w:before="0" w:after="0"/>
              <w:jc w:val="left"/>
              <w:rPr>
                <w:b/>
                <w:bCs/>
              </w:rPr>
            </w:pPr>
          </w:p>
          <w:p w14:paraId="3E8747A4" w14:textId="77777777" w:rsidR="00C857FC" w:rsidRPr="00952D56" w:rsidRDefault="00C857FC" w:rsidP="00C857FC">
            <w:pPr>
              <w:pStyle w:val="naisc"/>
              <w:spacing w:before="0" w:after="0"/>
              <w:jc w:val="left"/>
            </w:pPr>
            <w:r>
              <w:t xml:space="preserve">Neatbilstības izziņā bija izraisījušas tehniska kļūmes, kas saistītas ar pamatnostādņu satura struktūras izmaiņām (4. pielikums un 4.4.6. uzdevuma pārcelšana uz 4.1.6.).  Iebildumi ņemti vērā, cik to pieļauj jaunā – saīsinātā pamatnostādņu teksta struktūra. </w:t>
            </w:r>
          </w:p>
          <w:p w14:paraId="66D43DCF" w14:textId="77777777" w:rsidR="00C857FC" w:rsidRPr="00952D56" w:rsidRDefault="00C857FC" w:rsidP="00C857FC">
            <w:pPr>
              <w:pStyle w:val="naisc"/>
              <w:spacing w:before="0" w:after="0"/>
              <w:jc w:val="left"/>
            </w:pPr>
            <w:r>
              <w:t xml:space="preserve">Ir veikti labojumi arī izziņas 259., 260. un 261. punktos.   </w:t>
            </w:r>
          </w:p>
          <w:p w14:paraId="7754293A" w14:textId="77777777" w:rsidR="0084485F" w:rsidRPr="009841AB" w:rsidRDefault="0084485F" w:rsidP="00211100">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72BEA003" w14:textId="77777777" w:rsidR="0084485F" w:rsidRPr="009841AB" w:rsidRDefault="00C857FC" w:rsidP="00211100">
            <w:pPr>
              <w:pStyle w:val="naisc"/>
              <w:spacing w:before="0" w:after="0"/>
              <w:jc w:val="left"/>
            </w:pPr>
            <w:r w:rsidRPr="009841AB">
              <w:t xml:space="preserve">Lūdzam skatīt </w:t>
            </w:r>
            <w:r>
              <w:t>sadaļas</w:t>
            </w:r>
            <w:r w:rsidRPr="009841AB">
              <w:t xml:space="preserve"> </w:t>
            </w:r>
            <w:r>
              <w:t xml:space="preserve">4.4.6. saturu ar būtiski papildinātu (ievada daļā) “nepieciešamo rīcību”, uzdevuma U4.4.6-6 formulējumu, kā arī sadaļas </w:t>
            </w:r>
            <w:r w:rsidRPr="009841AB">
              <w:t>4.</w:t>
            </w:r>
            <w:r>
              <w:t>1</w:t>
            </w:r>
            <w:r w:rsidRPr="009841AB">
              <w:t>.6.</w:t>
            </w:r>
            <w:r>
              <w:t xml:space="preserve"> uzdevuma formulējumu. </w:t>
            </w:r>
            <w:r w:rsidRPr="009841AB">
              <w:t xml:space="preserve"> </w:t>
            </w:r>
          </w:p>
        </w:tc>
      </w:tr>
      <w:tr w:rsidR="0084485F" w:rsidRPr="009841AB" w14:paraId="4E62EE3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E68DD92" w14:textId="77777777" w:rsidR="0084485F" w:rsidRPr="009841AB" w:rsidRDefault="00B77A73" w:rsidP="00211100">
            <w:pPr>
              <w:pStyle w:val="naisc"/>
              <w:spacing w:before="0" w:after="0"/>
              <w:jc w:val="left"/>
            </w:pPr>
            <w:r>
              <w:lastRenderedPageBreak/>
              <w:t>329</w:t>
            </w:r>
          </w:p>
        </w:tc>
        <w:tc>
          <w:tcPr>
            <w:tcW w:w="2427" w:type="dxa"/>
            <w:tcBorders>
              <w:left w:val="single" w:sz="6" w:space="0" w:color="000000" w:themeColor="text1"/>
              <w:bottom w:val="single" w:sz="4" w:space="0" w:color="auto"/>
            </w:tcBorders>
            <w:shd w:val="clear" w:color="auto" w:fill="auto"/>
          </w:tcPr>
          <w:p w14:paraId="3808DF17" w14:textId="77777777" w:rsidR="0084485F" w:rsidRPr="009841AB" w:rsidRDefault="001F78DF" w:rsidP="00211100">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7633FE9" w14:textId="77777777" w:rsidR="0084485F" w:rsidRPr="001F78DF" w:rsidRDefault="001F78DF" w:rsidP="00211100">
            <w:pPr>
              <w:rPr>
                <w:rFonts w:eastAsia="Calibri"/>
                <w:lang w:eastAsia="en-US"/>
              </w:rPr>
            </w:pPr>
            <w:r w:rsidRPr="001F78DF">
              <w:rPr>
                <w:rFonts w:eastAsia="Calibri"/>
                <w:lang w:eastAsia="en-US"/>
              </w:rPr>
              <w:t xml:space="preserve">2. </w:t>
            </w:r>
            <w:r w:rsidRPr="001F78DF">
              <w:t xml:space="preserve">Lūdzam Pamatnostādņu projekta 4.4.6.sadaļas nepieciešamo rīcību uzskaitījuma 7.punktu izteikt šādā redakcijā: “Jārisina jautājums par resursu piesaisti veselības </w:t>
            </w:r>
            <w:r w:rsidRPr="001F78DF">
              <w:rPr>
                <w:b/>
                <w:bCs/>
              </w:rPr>
              <w:t>un labklājības</w:t>
            </w:r>
            <w:r w:rsidRPr="001F78DF">
              <w:t xml:space="preserve"> nozares informācijas sistēmu uzturēšanai, attīstībai un pieaugošā datu apjoma uzkrāšanai”</w:t>
            </w:r>
          </w:p>
        </w:tc>
        <w:tc>
          <w:tcPr>
            <w:tcW w:w="2480" w:type="dxa"/>
            <w:tcBorders>
              <w:left w:val="single" w:sz="6" w:space="0" w:color="000000" w:themeColor="text1"/>
              <w:bottom w:val="single" w:sz="4" w:space="0" w:color="auto"/>
            </w:tcBorders>
            <w:shd w:val="clear" w:color="auto" w:fill="auto"/>
          </w:tcPr>
          <w:p w14:paraId="45979D38" w14:textId="77777777" w:rsidR="0084485F" w:rsidRPr="009841AB" w:rsidRDefault="00C857FC" w:rsidP="00211100">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6477436F" w14:textId="77777777" w:rsidR="0084485F" w:rsidRPr="009841AB" w:rsidRDefault="00C857FC" w:rsidP="00211100">
            <w:pPr>
              <w:pStyle w:val="naisc"/>
              <w:spacing w:before="0" w:after="0"/>
              <w:jc w:val="left"/>
            </w:pPr>
            <w:r w:rsidRPr="006813BD">
              <w:t>Lūdzam skatīt sadaļu 4.4.</w:t>
            </w:r>
            <w:r>
              <w:t>6</w:t>
            </w:r>
            <w:r w:rsidRPr="006813BD">
              <w:t>.</w:t>
            </w:r>
          </w:p>
        </w:tc>
      </w:tr>
      <w:tr w:rsidR="00E0011B" w:rsidRPr="009841AB" w14:paraId="36F3AD61"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459753E" w14:textId="77777777" w:rsidR="00E0011B" w:rsidRPr="00E9166B" w:rsidRDefault="00E0011B" w:rsidP="00E0011B">
            <w:pPr>
              <w:widowControl w:val="0"/>
              <w:jc w:val="both"/>
              <w:rPr>
                <w:rFonts w:cstheme="minorHAnsi"/>
                <w:b/>
              </w:rPr>
            </w:pPr>
            <w:r w:rsidRPr="00507245">
              <w:rPr>
                <w:rFonts w:cstheme="minorHAnsi"/>
                <w:b/>
              </w:rPr>
              <w:t>Latvijas Tirdzniecības un rūpniecības kameras 01.02.2021. atzinums:</w:t>
            </w:r>
          </w:p>
        </w:tc>
      </w:tr>
      <w:tr w:rsidR="00E0011B" w:rsidRPr="009841AB" w14:paraId="78598BC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D4F449F" w14:textId="77777777" w:rsidR="00E0011B" w:rsidRPr="009841AB" w:rsidRDefault="00B77A73" w:rsidP="00E0011B">
            <w:pPr>
              <w:pStyle w:val="naisc"/>
              <w:spacing w:before="0" w:after="0"/>
            </w:pPr>
            <w:r>
              <w:t>330</w:t>
            </w:r>
          </w:p>
        </w:tc>
        <w:tc>
          <w:tcPr>
            <w:tcW w:w="2427" w:type="dxa"/>
            <w:tcBorders>
              <w:left w:val="single" w:sz="6" w:space="0" w:color="000000" w:themeColor="text1"/>
              <w:bottom w:val="single" w:sz="4" w:space="0" w:color="auto"/>
            </w:tcBorders>
            <w:shd w:val="clear" w:color="auto" w:fill="auto"/>
          </w:tcPr>
          <w:p w14:paraId="25084E32"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AACA41D" w14:textId="77777777" w:rsidR="00E0011B" w:rsidRPr="009841AB" w:rsidRDefault="00E0011B" w:rsidP="00E0011B">
            <w:pPr>
              <w:ind w:right="12"/>
              <w:jc w:val="both"/>
            </w:pPr>
            <w:r w:rsidRPr="009841AB">
              <w:t>1. Par sadaļu “4.4.1. Rīcības virziens: Pakalpojumu platformas”</w:t>
            </w:r>
          </w:p>
          <w:p w14:paraId="5C20BF1B" w14:textId="77777777" w:rsidR="00E0011B" w:rsidRPr="009841AB" w:rsidRDefault="00E0011B" w:rsidP="00E0011B">
            <w:pPr>
              <w:ind w:right="12"/>
              <w:jc w:val="both"/>
            </w:pPr>
            <w:r w:rsidRPr="009841AB">
              <w:t>•</w:t>
            </w:r>
            <w:r w:rsidRPr="009841AB">
              <w:tab/>
              <w:t xml:space="preserve">Izteikt: “Attīstītu valsts digitālo platformu pamatprincipi:” 1. apakšpunktu sekojošā redakcijā: </w:t>
            </w:r>
          </w:p>
          <w:p w14:paraId="6F504F17" w14:textId="77777777" w:rsidR="00E0011B" w:rsidRPr="009841AB" w:rsidRDefault="00E0011B" w:rsidP="00E0011B">
            <w:pPr>
              <w:ind w:right="12"/>
              <w:jc w:val="both"/>
            </w:pPr>
            <w:r w:rsidRPr="009841AB">
              <w:t>“1. Digitālās transformācijas un inovāciju prasmes - Prasmīgi un zinoši valsts pārvaldes darbinieki un komersanti platformu attīstībā, atvēršanā un inovatīvu sadarbības un pakalpojumu modeļu attīstībā, kur valsts pārvalde fokusējas uz augstas kvalitātes valsts digitālā pakalpojuma sniegšanu, maksimāli izmantojot komersantu sniegtos pakalpojumus tehnoloģisko risinājumu nodrošināšanā, minimizējot valsts tehnoloģiskās kapacitātes attīstīšanu, vai virzot to tikai tirgus nepilnību terminētai novēršanai.’’</w:t>
            </w:r>
          </w:p>
          <w:p w14:paraId="76F70EDA" w14:textId="77777777" w:rsidR="00E0011B" w:rsidRPr="009841AB" w:rsidRDefault="00E0011B" w:rsidP="00E0011B">
            <w:pPr>
              <w:ind w:right="12"/>
              <w:jc w:val="both"/>
            </w:pPr>
            <w:r w:rsidRPr="009841AB">
              <w:t>•</w:t>
            </w:r>
            <w:r w:rsidRPr="009841AB">
              <w:tab/>
              <w:t>“Privātā sektora platformas publisku funkciju īstenošanā – attīstās vietējo platformu ekosistēma” papildināt ar šādu teikumu: “Tomēr šai segmentā ir liels neizmantots potenciāls gan elektronisko rēķinu aprites nodrošināšanā, gan vērtējot iespēju izmantot sadalītās virsgrāmatas decentralizētās uzskaites (</w:t>
            </w:r>
            <w:proofErr w:type="spellStart"/>
            <w:r w:rsidRPr="009841AB">
              <w:t>blokķēžu</w:t>
            </w:r>
            <w:proofErr w:type="spellEnd"/>
            <w:r w:rsidRPr="009841AB">
              <w:t>) tehnoloģijas.”</w:t>
            </w:r>
          </w:p>
          <w:p w14:paraId="7F01B7CE" w14:textId="77777777" w:rsidR="00E0011B" w:rsidRPr="009841AB" w:rsidRDefault="00E0011B" w:rsidP="00E0011B">
            <w:pPr>
              <w:ind w:right="12"/>
              <w:jc w:val="both"/>
            </w:pPr>
            <w:r w:rsidRPr="009841AB">
              <w:t>•</w:t>
            </w:r>
            <w:r w:rsidRPr="009841AB">
              <w:tab/>
              <w:t xml:space="preserve">“Nepieciešamā rīcība” 8. apakšpunktu izteikt sekojošā redakcijā: “8. Jāparedz atbalsts komersantiem jaunu produktu un pakalpojumu attīstībai izmantojot (arī) pārvaldes digitālās platformas, integrējot tās ar esošiem biznesa risinājumiem (t.sk., elektronisko rēķinu apstrāde), kā arī radot priekšnoteikumus jaunu tehnoloģiju, t.sk., </w:t>
            </w:r>
            <w:r w:rsidRPr="009841AB">
              <w:lastRenderedPageBreak/>
              <w:t>sadalītās virsgrāmatas decentralizētās uzskaites (</w:t>
            </w:r>
            <w:proofErr w:type="spellStart"/>
            <w:r w:rsidRPr="009841AB">
              <w:t>blokķēžu</w:t>
            </w:r>
            <w:proofErr w:type="spellEnd"/>
            <w:r w:rsidRPr="009841AB">
              <w:t>), ienākšanai apritē starp valsts pārvaldi un komersantiem.”</w:t>
            </w:r>
          </w:p>
          <w:p w14:paraId="7FF5485A" w14:textId="77777777" w:rsidR="00E0011B" w:rsidRPr="009841AB" w:rsidRDefault="00E0011B" w:rsidP="00E0011B">
            <w:pPr>
              <w:ind w:right="12"/>
              <w:jc w:val="both"/>
            </w:pPr>
            <w:r w:rsidRPr="009841AB">
              <w:t>•</w:t>
            </w:r>
            <w:r w:rsidRPr="009841AB">
              <w:tab/>
              <w:t xml:space="preserve">“Sagaidāmie rezultāti” 4. punktu izteikt šādā redakcijā: “4. No 2021 izveidots atbalsta mehānisms komersantiem, kas paredzētu finansējuma iespējas integrācijai ar valsts platformām; veikti vismaz trīs nacionāla mēroga pilotprojekti </w:t>
            </w:r>
            <w:proofErr w:type="spellStart"/>
            <w:r w:rsidRPr="009841AB">
              <w:t>komercsistēmu</w:t>
            </w:r>
            <w:proofErr w:type="spellEnd"/>
            <w:r w:rsidRPr="009841AB">
              <w:t xml:space="preserve"> integrācijai valsts vai pašvaldību pārvaldes funkciju realizācijā”.</w:t>
            </w:r>
          </w:p>
        </w:tc>
        <w:tc>
          <w:tcPr>
            <w:tcW w:w="2480" w:type="dxa"/>
            <w:tcBorders>
              <w:left w:val="single" w:sz="6" w:space="0" w:color="000000" w:themeColor="text1"/>
              <w:bottom w:val="single" w:sz="4" w:space="0" w:color="auto"/>
            </w:tcBorders>
            <w:shd w:val="clear" w:color="auto" w:fill="auto"/>
          </w:tcPr>
          <w:p w14:paraId="4626B248"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lastRenderedPageBreak/>
              <w:t>Panākta vienošanās</w:t>
            </w:r>
          </w:p>
          <w:p w14:paraId="2780E27A" w14:textId="77777777" w:rsidR="003C4921" w:rsidRPr="009841AB" w:rsidRDefault="003C4921" w:rsidP="00E0011B">
            <w:pPr>
              <w:pStyle w:val="naisc"/>
              <w:spacing w:before="0" w:after="0"/>
              <w:jc w:val="left"/>
              <w:rPr>
                <w:bCs/>
              </w:rPr>
            </w:pPr>
            <w:r w:rsidRPr="009841AB">
              <w:rPr>
                <w:bCs/>
              </w:rPr>
              <w:t>Precizējumi iestrādāti 4.4.1. sadaļā vispārīgā formā, nenorādot uz konkrētu procesu vai tehnoloģiju specifiskiem lietojumiem, jo šāda detalizācijas neatbilst pamatnostādņu formai.</w:t>
            </w:r>
          </w:p>
          <w:p w14:paraId="167D27C8" w14:textId="77777777" w:rsidR="003C4921" w:rsidRPr="009841AB" w:rsidRDefault="003C4921" w:rsidP="00E0011B">
            <w:pPr>
              <w:pStyle w:val="naisc"/>
              <w:spacing w:before="0" w:after="0"/>
              <w:jc w:val="left"/>
              <w:rPr>
                <w:bCs/>
              </w:rPr>
            </w:pPr>
            <w:r w:rsidRPr="009841AB">
              <w:rPr>
                <w:bCs/>
              </w:rPr>
              <w:t xml:space="preserve">Punkts precizēts, tomēr uzdevums paredz publiskā sektora rīcību atverot publiskā sektora platformas. Pamatnostādnes neparedz uzdevumu izmantot </w:t>
            </w:r>
            <w:proofErr w:type="spellStart"/>
            <w:r w:rsidRPr="009841AB">
              <w:rPr>
                <w:bCs/>
              </w:rPr>
              <w:t>komercproduktus</w:t>
            </w:r>
            <w:proofErr w:type="spellEnd"/>
            <w:r w:rsidRPr="009841AB">
              <w:rPr>
                <w:bCs/>
              </w:rPr>
              <w:t xml:space="preserve"> noteiktu procesu nodrošināšanai, bet iezīmē to kā izvērtējamu scenāriju. Attiecīgi 4.4.1. sadaļa papildināts ar 6. principu un </w:t>
            </w:r>
            <w:r w:rsidRPr="009841AB">
              <w:rPr>
                <w:bCs/>
              </w:rPr>
              <w:lastRenderedPageBreak/>
              <w:t>Nepieciešamā rīcība ar 8. punktu.</w:t>
            </w:r>
          </w:p>
        </w:tc>
        <w:tc>
          <w:tcPr>
            <w:tcW w:w="3497" w:type="dxa"/>
            <w:tcBorders>
              <w:left w:val="single" w:sz="6" w:space="0" w:color="000000" w:themeColor="text1"/>
              <w:bottom w:val="single" w:sz="4" w:space="0" w:color="auto"/>
            </w:tcBorders>
            <w:shd w:val="clear" w:color="auto" w:fill="auto"/>
          </w:tcPr>
          <w:p w14:paraId="5A6BE5BE" w14:textId="77777777" w:rsidR="00E0011B" w:rsidRPr="009841AB" w:rsidRDefault="003C4921" w:rsidP="00FB69F6">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4.4.1.</w:t>
            </w:r>
          </w:p>
        </w:tc>
      </w:tr>
      <w:tr w:rsidR="00E0011B" w:rsidRPr="009841AB" w14:paraId="366099F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E553940" w14:textId="77777777" w:rsidR="00E0011B" w:rsidRPr="009841AB" w:rsidRDefault="00B77A73" w:rsidP="00E0011B">
            <w:pPr>
              <w:pStyle w:val="naisc"/>
              <w:spacing w:before="0" w:after="0"/>
            </w:pPr>
            <w:r>
              <w:t>331</w:t>
            </w:r>
          </w:p>
        </w:tc>
        <w:tc>
          <w:tcPr>
            <w:tcW w:w="2427" w:type="dxa"/>
            <w:tcBorders>
              <w:left w:val="single" w:sz="6" w:space="0" w:color="000000" w:themeColor="text1"/>
              <w:bottom w:val="single" w:sz="4" w:space="0" w:color="auto"/>
            </w:tcBorders>
            <w:shd w:val="clear" w:color="auto" w:fill="auto"/>
          </w:tcPr>
          <w:p w14:paraId="468216CE"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7B1AC6A" w14:textId="77777777" w:rsidR="00E0011B" w:rsidRPr="009841AB" w:rsidRDefault="00E0011B" w:rsidP="00E0011B">
            <w:pPr>
              <w:ind w:right="12"/>
              <w:jc w:val="both"/>
            </w:pPr>
            <w:r w:rsidRPr="009841AB">
              <w:t>2.</w:t>
            </w:r>
            <w:r w:rsidRPr="009841AB">
              <w:tab/>
              <w:t xml:space="preserve">4.4.3.2. Rīcības </w:t>
            </w:r>
            <w:proofErr w:type="spellStart"/>
            <w:r w:rsidRPr="009841AB">
              <w:t>apakšvirziens</w:t>
            </w:r>
            <w:proofErr w:type="spellEnd"/>
            <w:r w:rsidRPr="009841AB">
              <w:t xml:space="preserve">: Finanšu dokumentu </w:t>
            </w:r>
            <w:proofErr w:type="spellStart"/>
            <w:r w:rsidRPr="009841AB">
              <w:t>maiņvieta</w:t>
            </w:r>
            <w:proofErr w:type="spellEnd"/>
          </w:p>
          <w:p w14:paraId="46300E3D" w14:textId="77777777" w:rsidR="00E0011B" w:rsidRPr="009841AB" w:rsidRDefault="00E0011B" w:rsidP="00E0011B">
            <w:pPr>
              <w:ind w:right="12"/>
              <w:jc w:val="both"/>
            </w:pPr>
            <w:r w:rsidRPr="009841AB">
              <w:t xml:space="preserve">Sadaļā “Esošās situācijas apraksts” numurēto paragrāfu uzskaitījumu aiz vārdiem “Vairāki soļi šai virzienā ir sperti:” papildināt ar numurētu paragrāfu “Kopš 2020. gada būvniecības procesa virzība notiek tikai elektroniski </w:t>
            </w:r>
            <w:proofErr w:type="spellStart"/>
            <w:r w:rsidRPr="009841AB">
              <w:t>Buvniecības</w:t>
            </w:r>
            <w:proofErr w:type="spellEnd"/>
            <w:r w:rsidRPr="009841AB">
              <w:t xml:space="preserve"> informācijas sistēmā BIS”</w:t>
            </w:r>
          </w:p>
          <w:p w14:paraId="3C9F08AF" w14:textId="77777777" w:rsidR="00E0011B" w:rsidRPr="009841AB" w:rsidRDefault="00E0011B" w:rsidP="00E0011B">
            <w:pPr>
              <w:ind w:right="12"/>
              <w:jc w:val="both"/>
            </w:pPr>
            <w:r w:rsidRPr="009841AB">
              <w:t>Sadaļā “Nepieciešamā rīcība” 2. paragrāfa 1 teikumu izteikt šādā redakcijā: “Brīvprātīgas izvēles iespēju risinājuma ieviešanas gadījumā nodokļu maksātājiem ir jāpiedāvā valsts (t.sk. nodokļu administrācijas) vai konkursa kārtībā izvēlēti komersantu pakalpojumi, kuri motivētu nodokļu maksātājus iesaistīties elektronisku dokumentu aprites sistēmā, vienlaikus pieļaujot VID izmantot elektroniskos rēķinus un citus dokumentus nodokļu administrēšanas vajadzībām.”</w:t>
            </w:r>
          </w:p>
          <w:p w14:paraId="3C1D0933" w14:textId="77777777" w:rsidR="00E0011B" w:rsidRPr="009841AB" w:rsidRDefault="00E0011B" w:rsidP="00E0011B">
            <w:pPr>
              <w:ind w:right="12"/>
              <w:jc w:val="both"/>
            </w:pPr>
            <w:r w:rsidRPr="009841AB">
              <w:t>Sadaļā “Nepieciešamā rīcība” 3. paragrāfu papildināt ar teikumu: “Tai pat laikā kā bāze jāizmanto pozitīvā ekskluzīvi elektroniskā procesa lietošanas pieredze nodokļu administrēšanā VID un būvniecības procesa administrēšanā BVKB.”</w:t>
            </w:r>
          </w:p>
        </w:tc>
        <w:tc>
          <w:tcPr>
            <w:tcW w:w="2480" w:type="dxa"/>
            <w:tcBorders>
              <w:left w:val="single" w:sz="6" w:space="0" w:color="000000" w:themeColor="text1"/>
              <w:bottom w:val="single" w:sz="4" w:space="0" w:color="auto"/>
            </w:tcBorders>
            <w:shd w:val="clear" w:color="auto" w:fill="auto"/>
          </w:tcPr>
          <w:p w14:paraId="40F6CB62" w14:textId="77777777" w:rsidR="00E0011B" w:rsidRPr="009841AB" w:rsidRDefault="00E0011B" w:rsidP="00E0011B">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56E550FB" w14:textId="77777777" w:rsidR="00E0011B" w:rsidRPr="009841AB" w:rsidRDefault="00245617" w:rsidP="00E0011B">
            <w:pPr>
              <w:pStyle w:val="naisc"/>
              <w:spacing w:before="0" w:after="0"/>
              <w:jc w:val="both"/>
            </w:pPr>
            <w:r w:rsidRPr="009841AB">
              <w:t>“</w:t>
            </w:r>
            <w:r w:rsidR="001A4A05" w:rsidRPr="009841AB">
              <w:t xml:space="preserve">Kopš 2020. gada būvniecības procesa virzība notiek tikai elektroniski Būvniecības informācijas sistēmā (BIS).  </w:t>
            </w:r>
            <w:r w:rsidR="00E0011B" w:rsidRPr="009841AB">
              <w:t>Brīvprātīgas izvēles iespēju risinājuma ieviešanas gadījumā nodokļu maksātājiem ir jāpiedāvā valsts pakalpojumi (t.sk. nodokļu administrācijas) vai konkursa kārtībā izvēlēti komersantu pakalpojumi, kuri motivētu nodokļu maksātājus iesaistīties elektronisku dokumentu aprites sistēmā, vienlaikus pieļaujot VID izmantot elektroniskos rēķinus un citus dokumentus nodokļu administrēšanas vajadzībām.</w:t>
            </w:r>
            <w:r w:rsidR="00A91F42" w:rsidRPr="009841AB">
              <w:t xml:space="preserve"> Tai pat laikā kā bāze jāizmanto pozitīvā ekskluzīvi elektroniskā procesa lietošanas pieredze nodokļu administrēšanā VID un būvniecības procesa administrēšanā BVKB.</w:t>
            </w:r>
            <w:r w:rsidRPr="009841AB">
              <w:t>”</w:t>
            </w:r>
          </w:p>
        </w:tc>
      </w:tr>
      <w:tr w:rsidR="00E0011B" w:rsidRPr="009841AB" w14:paraId="685C366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3000222" w14:textId="77777777" w:rsidR="00E0011B" w:rsidRPr="009841AB" w:rsidRDefault="00B77A73" w:rsidP="00E0011B">
            <w:pPr>
              <w:pStyle w:val="naisc"/>
              <w:spacing w:before="0" w:after="0"/>
            </w:pPr>
            <w:r>
              <w:t>332</w:t>
            </w:r>
          </w:p>
        </w:tc>
        <w:tc>
          <w:tcPr>
            <w:tcW w:w="2427" w:type="dxa"/>
            <w:tcBorders>
              <w:left w:val="single" w:sz="6" w:space="0" w:color="000000" w:themeColor="text1"/>
              <w:bottom w:val="single" w:sz="4" w:space="0" w:color="auto"/>
            </w:tcBorders>
            <w:shd w:val="clear" w:color="auto" w:fill="auto"/>
          </w:tcPr>
          <w:p w14:paraId="225EA4ED"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3E9D205" w14:textId="77777777" w:rsidR="00E0011B" w:rsidRPr="009841AB" w:rsidRDefault="00E0011B" w:rsidP="00E0011B">
            <w:pPr>
              <w:ind w:right="12"/>
              <w:jc w:val="both"/>
            </w:pPr>
            <w:r w:rsidRPr="009841AB">
              <w:t>3.</w:t>
            </w:r>
            <w:r w:rsidRPr="009841AB">
              <w:tab/>
              <w:t>Par sadaļu 4.4.6. Sabiedrības sociālā labklājība un veselība</w:t>
            </w:r>
          </w:p>
          <w:p w14:paraId="5C2ACCF3" w14:textId="77777777" w:rsidR="00E0011B" w:rsidRPr="009841AB" w:rsidRDefault="00E0011B" w:rsidP="00E0011B">
            <w:pPr>
              <w:ind w:right="12"/>
              <w:jc w:val="both"/>
            </w:pPr>
            <w:r w:rsidRPr="009841AB">
              <w:lastRenderedPageBreak/>
              <w:t xml:space="preserve">Pirmkārt, vēršam uzmanību uz to, ka nav skaidrs, kāpēc sadaļai 4.4.6. ir mainīts nosaukums un līdz ar to fokuss no “Veselība un labklājība” uz “Sociālā labklājība un veselība”. Iebilstam pret šādu fokusa maiņu un lūdzam, tāpat kā iepriekš, sadaļu saukt “Veselība un labklājība”, jo, tostarp, tas precīzi atbilst sadaļas vīzijai un sadaļā ietvertie mērķi un rezultāti pēc būtības ir primāri saistīti ar veselību un labklājību, vairāk nekā tikai ar labklājības sociālajiem aspektiem. Bez tam, Latvijas valdības panākumi COVID-19 izraisītās krīzes vadībā apliecina to, cik liela loma ir tieši funkcionējošai veselības sistēmai, kas var nodrošināt datus un ekspertīzi uz pierādījumiem balstītiem lēmumiem, iespējai mobilizēt Latvijas universitātēs pieejamo zinātnisko ekspertīzi efektīvāko risinājumu izvēlei un integrācijai starptautiskos tīklos un infrastruktūrās. </w:t>
            </w:r>
          </w:p>
          <w:p w14:paraId="71057CE3" w14:textId="77777777" w:rsidR="00E0011B" w:rsidRPr="009841AB" w:rsidRDefault="00E0011B" w:rsidP="00E0011B">
            <w:pPr>
              <w:ind w:right="12"/>
              <w:jc w:val="both"/>
            </w:pPr>
            <w:r w:rsidRPr="009841AB">
              <w:t xml:space="preserve">Otrkārt, vēršam uzmanību uz to, ka tautsaimniecības digitālās transformācijas nepieciešams priekšnosacījums veselības jomā ir Latvijas datu atvēršana publiskā sektora pētniecībai un inovācijām publiskajā un privātajā sektorā. Izsakām neizpratni, kāpēc no situācijas apraksta ir dzēsts teksts par datu saturu un kvalitāti. Lūdzam 101. un 102. lpp. esošās situācijas pirmo punktu papildināt ar datu kvalitātes jautājumiem, pasakot arī to, ka veselības, medicīnas un sociālo datu pieraksta formāts nereti ir atšķirīgs un nav pārnesams starp dažādām sistēmām; nav paredzēta sistēmās ietvertās informācijas papildināšana ar jauniem datu laukiem, parādoties jaunām vajadzībām un funkcionālām iespējām. </w:t>
            </w:r>
          </w:p>
          <w:p w14:paraId="7A94FEE8" w14:textId="77777777" w:rsidR="00E0011B" w:rsidRPr="009841AB" w:rsidRDefault="00E0011B" w:rsidP="00E0011B">
            <w:pPr>
              <w:ind w:right="12"/>
              <w:jc w:val="both"/>
            </w:pPr>
            <w:r w:rsidRPr="009841AB">
              <w:t xml:space="preserve">Treškārt, iebilstam pret to, ka problēmas aprakstā nav ietverta informācija par to, ka Latvijā līdz šim nav izveidota personas datu drošības prasībām atbilstoša veselības aprūpes jomas datu atkārtotas izmantošanas </w:t>
            </w:r>
            <w:r w:rsidRPr="009841AB">
              <w:lastRenderedPageBreak/>
              <w:t xml:space="preserve">sistēma publiskajai pētniecībai un veselības aprūpes inovācijām, kā arī veselības aprūpes un medicīnas izglītībai. Rezultātā piedāvātie risinājumi ir tikai daļēji un nevar nodrošināt pamatnostādņu mērķu sasniegšanu. Medicīnas un veselības datu atvēršana un integrācija vienotajā Eiropas Savienības atvērto datu sistēmā jeb atvērto datu mākonī ir nepieciešama gan digitālās transformācijas nodrošināšanai medicīnā un veselībā, gan pētniecībai un inovācijām, gan arī, lai nodrošinātu Latvijai piekļuvi Eiropas Savienības digitālās stratēģijas īstenošanas programmu resursiem un dalībai programmas Apvārsnis Eiropa projektos. Tāpēc lūdzam papildināt esošās situācijas un problēmas aprakstu, mērķu un nepieciešamās rīcības ar informāciju un risinājumiem, kas ietver medicīnas un veselības datu atvēršanu, t.sk. </w:t>
            </w:r>
            <w:proofErr w:type="spellStart"/>
            <w:r w:rsidRPr="009841AB">
              <w:t>depersonalizāciju</w:t>
            </w:r>
            <w:proofErr w:type="spellEnd"/>
            <w:r w:rsidRPr="009841AB">
              <w:t xml:space="preserve">, sagatavošanu publiskošanai un integrāciju Eiropas atvērto datu mākonī. Lūdzam papildināt mērķu sadaļu ar atsevišķu mērķi šādā redakcijā: </w:t>
            </w:r>
          </w:p>
          <w:p w14:paraId="41040098" w14:textId="77777777" w:rsidR="00E0011B" w:rsidRPr="009841AB" w:rsidRDefault="00E0011B" w:rsidP="00E0011B">
            <w:pPr>
              <w:ind w:right="12"/>
              <w:jc w:val="both"/>
            </w:pPr>
            <w:r w:rsidRPr="009841AB">
              <w:t xml:space="preserve">Izveidots veselības un medicīnas atvērto datu mākonis, kurā ir publiskoti </w:t>
            </w:r>
            <w:proofErr w:type="spellStart"/>
            <w:r w:rsidRPr="009841AB">
              <w:t>depersonalizēti</w:t>
            </w:r>
            <w:proofErr w:type="spellEnd"/>
            <w:r w:rsidRPr="009841AB">
              <w:t xml:space="preserve"> dati lietošanai publiskā sektora pētniecībā un izglītībā un, kurš ir integrēts Eiropas atvērto datu mākonī. </w:t>
            </w:r>
          </w:p>
          <w:p w14:paraId="519799DD" w14:textId="77777777" w:rsidR="00E0011B" w:rsidRPr="009841AB" w:rsidRDefault="00E0011B" w:rsidP="00E0011B">
            <w:pPr>
              <w:ind w:right="12"/>
              <w:jc w:val="both"/>
            </w:pPr>
            <w:r w:rsidRPr="009841AB">
              <w:t xml:space="preserve">Iebilstam pret 4.4.6. sadaļā ietvertā 7.mērķa formulējumu, kas paredz vienas Nacionālās </w:t>
            </w:r>
            <w:proofErr w:type="spellStart"/>
            <w:r w:rsidRPr="009841AB">
              <w:t>biobankas</w:t>
            </w:r>
            <w:proofErr w:type="spellEnd"/>
            <w:r w:rsidRPr="009841AB">
              <w:t xml:space="preserve"> izveidi. No mērķa apraksta ir saprotams, ka ir runa par BMC valsts iedzīvotāju genoma datu bāzi, ko ir plānots paplašināt. Vēršam uzmanību uz to, ka šī ir tikai viena no zinātniskajās institūcijās un ārstniecības iestādēs esošajām </w:t>
            </w:r>
            <w:proofErr w:type="spellStart"/>
            <w:r w:rsidRPr="009841AB">
              <w:t>biobankām</w:t>
            </w:r>
            <w:proofErr w:type="spellEnd"/>
            <w:r w:rsidRPr="009841AB">
              <w:t xml:space="preserve">. Pamatnostādņu mērķu sasniegšanai ir būtiski apvienot pēc iespējas vairāk resursu un veidojot esošo </w:t>
            </w:r>
            <w:proofErr w:type="spellStart"/>
            <w:r w:rsidRPr="009841AB">
              <w:t>biobanku</w:t>
            </w:r>
            <w:proofErr w:type="spellEnd"/>
            <w:r w:rsidRPr="009841AB">
              <w:t xml:space="preserve"> tīklojumu, kas atbilst Eiropas digitālo infrastruktūru labajai praksei. </w:t>
            </w:r>
          </w:p>
          <w:p w14:paraId="3FF69A89" w14:textId="77777777" w:rsidR="00E0011B" w:rsidRPr="009841AB" w:rsidRDefault="00E0011B" w:rsidP="00E0011B">
            <w:pPr>
              <w:ind w:right="12"/>
              <w:jc w:val="both"/>
            </w:pPr>
            <w:r w:rsidRPr="009841AB">
              <w:t xml:space="preserve">Lūdzam precizēt 7. mērķi to izsakot šādā  redakcijā: </w:t>
            </w:r>
          </w:p>
          <w:p w14:paraId="72935F25" w14:textId="77777777" w:rsidR="00E0011B" w:rsidRPr="009841AB" w:rsidRDefault="00E0011B" w:rsidP="00E0011B">
            <w:pPr>
              <w:ind w:right="12"/>
              <w:jc w:val="both"/>
            </w:pPr>
            <w:r w:rsidRPr="009841AB">
              <w:lastRenderedPageBreak/>
              <w:t xml:space="preserve">Izveidots </w:t>
            </w:r>
            <w:proofErr w:type="spellStart"/>
            <w:r w:rsidRPr="009841AB">
              <w:t>biobanku</w:t>
            </w:r>
            <w:proofErr w:type="spellEnd"/>
            <w:r w:rsidRPr="009841AB">
              <w:t xml:space="preserve"> tīkls, kas, izmantojot valsts datu apmaiņas koplietošanas risinājumus, apvieno pēc iespējas lielāku skaitu </w:t>
            </w:r>
            <w:proofErr w:type="spellStart"/>
            <w:r w:rsidRPr="009841AB">
              <w:t>Lavijas</w:t>
            </w:r>
            <w:proofErr w:type="spellEnd"/>
            <w:r w:rsidRPr="009841AB">
              <w:t xml:space="preserve"> </w:t>
            </w:r>
            <w:proofErr w:type="spellStart"/>
            <w:r w:rsidRPr="009841AB">
              <w:t>biobanku</w:t>
            </w:r>
            <w:proofErr w:type="spellEnd"/>
            <w:r w:rsidRPr="009841AB">
              <w:t xml:space="preserve"> un tādējādi nodrošina iedzīvotāju medicīnas un veselības datu un genoma sekvenču datu izmantošanu medicīnas izglītībai, pētniecībai un inovācijām, kā arī personalizētās medicīnas attīstībai.</w:t>
            </w:r>
          </w:p>
          <w:p w14:paraId="1AB6056E" w14:textId="77777777" w:rsidR="00E0011B" w:rsidRPr="009841AB" w:rsidRDefault="00E0011B" w:rsidP="00E0011B">
            <w:pPr>
              <w:ind w:right="12"/>
              <w:jc w:val="both"/>
            </w:pPr>
            <w:r w:rsidRPr="009841AB">
              <w:t xml:space="preserve">Šī mērķa sasniegšanai lūdzam nepieciešamo rīcību papildināt ar atsevišķu punktu, kas paredz izveidot Eiropas atvērto datu mākonī integrētu Latvijas atvērto medicīnas un veselības datu mākoni. </w:t>
            </w:r>
          </w:p>
          <w:p w14:paraId="53FB1185" w14:textId="77777777" w:rsidR="00E0011B" w:rsidRPr="009841AB" w:rsidRDefault="00E0011B" w:rsidP="00E0011B">
            <w:pPr>
              <w:ind w:right="12"/>
              <w:jc w:val="both"/>
            </w:pPr>
            <w:r w:rsidRPr="009841AB">
              <w:t xml:space="preserve">Tāpat lūdzam papildināt nepieciešamās rīcības 5. punkta c apakšpunktu ar sekojošu tekstu “un personalizētās medicīnas attīstībai”. Personalizēto medicīnu attīsta privātais sektors un tāpēc ir nepieciešams skaidrs regulējums personas </w:t>
            </w:r>
            <w:proofErr w:type="spellStart"/>
            <w:r w:rsidRPr="009841AB">
              <w:t>sensitīvo</w:t>
            </w:r>
            <w:proofErr w:type="spellEnd"/>
            <w:r w:rsidRPr="009841AB">
              <w:t xml:space="preserve"> datu izmantošanai. </w:t>
            </w:r>
          </w:p>
        </w:tc>
        <w:tc>
          <w:tcPr>
            <w:tcW w:w="2480" w:type="dxa"/>
            <w:tcBorders>
              <w:left w:val="single" w:sz="6" w:space="0" w:color="000000" w:themeColor="text1"/>
              <w:bottom w:val="single" w:sz="4" w:space="0" w:color="auto"/>
            </w:tcBorders>
            <w:shd w:val="clear" w:color="auto" w:fill="auto"/>
          </w:tcPr>
          <w:p w14:paraId="4EDF3374"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lastRenderedPageBreak/>
              <w:t>Panākta vienošanās</w:t>
            </w:r>
          </w:p>
          <w:p w14:paraId="4F80E3E2" w14:textId="77777777" w:rsidR="00FB69F6" w:rsidRPr="009841AB" w:rsidRDefault="00FB69F6" w:rsidP="00FB69F6">
            <w:pPr>
              <w:pStyle w:val="naisc"/>
              <w:spacing w:before="0" w:after="0"/>
              <w:jc w:val="both"/>
            </w:pPr>
            <w:r w:rsidRPr="009841AB">
              <w:lastRenderedPageBreak/>
              <w:t xml:space="preserve">Sadaļas 4.4.6 saturs ir būtiski koriģēts, t.sk. mainot sadaļas nosaukumu. </w:t>
            </w:r>
          </w:p>
          <w:p w14:paraId="1EB32C05" w14:textId="77777777" w:rsidR="00FB69F6" w:rsidRPr="009841AB" w:rsidRDefault="00FB69F6" w:rsidP="00FB69F6">
            <w:pPr>
              <w:pStyle w:val="naisc"/>
              <w:spacing w:before="0" w:after="0"/>
              <w:jc w:val="both"/>
            </w:pPr>
          </w:p>
          <w:p w14:paraId="5AAC8A44" w14:textId="77777777" w:rsidR="00FB69F6" w:rsidRPr="009841AB" w:rsidRDefault="00FB69F6" w:rsidP="00FB69F6">
            <w:pPr>
              <w:pStyle w:val="naisc"/>
              <w:spacing w:before="0" w:after="0"/>
              <w:jc w:val="left"/>
              <w:rPr>
                <w:b/>
                <w:bCs/>
              </w:rPr>
            </w:pPr>
            <w:r w:rsidRPr="009841AB">
              <w:t xml:space="preserve">Koriģēti formulējumi par datu drošības prasībām, attiecībā uz </w:t>
            </w:r>
            <w:proofErr w:type="spellStart"/>
            <w:r w:rsidRPr="009841AB">
              <w:t>biobankām</w:t>
            </w:r>
            <w:proofErr w:type="spellEnd"/>
            <w:r w:rsidRPr="009841AB">
              <w:t xml:space="preserve"> u.c.</w:t>
            </w:r>
          </w:p>
        </w:tc>
        <w:tc>
          <w:tcPr>
            <w:tcW w:w="3497" w:type="dxa"/>
            <w:tcBorders>
              <w:left w:val="single" w:sz="6" w:space="0" w:color="000000" w:themeColor="text1"/>
              <w:bottom w:val="single" w:sz="4" w:space="0" w:color="auto"/>
            </w:tcBorders>
            <w:shd w:val="clear" w:color="auto" w:fill="auto"/>
          </w:tcPr>
          <w:p w14:paraId="2841335D" w14:textId="77777777" w:rsidR="00E0011B" w:rsidRPr="009841AB" w:rsidRDefault="00FB69F6" w:rsidP="00FB69F6">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4.4.6.</w:t>
            </w:r>
          </w:p>
        </w:tc>
      </w:tr>
      <w:tr w:rsidR="00E0011B" w:rsidRPr="009841AB" w14:paraId="1D4C4AC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49FC910" w14:textId="77777777" w:rsidR="00E0011B" w:rsidRPr="009841AB" w:rsidRDefault="00B77A73" w:rsidP="00E0011B">
            <w:pPr>
              <w:pStyle w:val="naisc"/>
              <w:spacing w:before="0" w:after="0"/>
            </w:pPr>
            <w:r>
              <w:lastRenderedPageBreak/>
              <w:t>333</w:t>
            </w:r>
          </w:p>
        </w:tc>
        <w:tc>
          <w:tcPr>
            <w:tcW w:w="2427" w:type="dxa"/>
            <w:tcBorders>
              <w:left w:val="single" w:sz="6" w:space="0" w:color="000000" w:themeColor="text1"/>
              <w:bottom w:val="single" w:sz="4" w:space="0" w:color="auto"/>
            </w:tcBorders>
            <w:shd w:val="clear" w:color="auto" w:fill="auto"/>
          </w:tcPr>
          <w:p w14:paraId="70F134C4"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08227C1" w14:textId="77777777" w:rsidR="00E0011B" w:rsidRPr="009841AB" w:rsidRDefault="00E0011B" w:rsidP="00E0011B">
            <w:pPr>
              <w:ind w:right="12"/>
              <w:jc w:val="both"/>
            </w:pPr>
            <w:r w:rsidRPr="009841AB">
              <w:t>4.</w:t>
            </w:r>
            <w:r w:rsidRPr="009841AB">
              <w:tab/>
              <w:t xml:space="preserve">Par sadaļu 4.4.10.2. Rīcības </w:t>
            </w:r>
            <w:proofErr w:type="spellStart"/>
            <w:r w:rsidRPr="009841AB">
              <w:t>apakšvirziens</w:t>
            </w:r>
            <w:proofErr w:type="spellEnd"/>
            <w:r w:rsidRPr="009841AB">
              <w:t>: Informācijas sistēmas (IS)</w:t>
            </w:r>
          </w:p>
          <w:p w14:paraId="4C3C0E53" w14:textId="77777777" w:rsidR="00E0011B" w:rsidRPr="009841AB" w:rsidRDefault="00E0011B" w:rsidP="00E0011B">
            <w:pPr>
              <w:ind w:right="12"/>
              <w:jc w:val="both"/>
            </w:pPr>
            <w:r w:rsidRPr="009841AB">
              <w:t xml:space="preserve">Sadaļā “Nepaciešamā rīcība” 1. paragrāfa 3. teikumu izteikt sekojošā redakcijā: “Arī šajos gadījumos, lai izvairītos no nepamatotas funkcionalitātes dublēšanas, risinājumu plānošanas fāzē ir jāizvērtē iespējas izmantot attiecīgajai jomai pieejamos un potenciāli koplietojamos vai atkārtoti izmantojamos risinājumus Latvijas valsts pārvaldē, privātajā sektorā, un arī  Eiropas Savienībā (EK </w:t>
            </w:r>
            <w:proofErr w:type="spellStart"/>
            <w:r w:rsidRPr="009841AB">
              <w:t>Joinup</w:t>
            </w:r>
            <w:proofErr w:type="spellEnd"/>
            <w:r w:rsidRPr="009841AB">
              <w:t xml:space="preserve"> repozitorijā un konsultējoties ar VARAM).”</w:t>
            </w:r>
          </w:p>
        </w:tc>
        <w:tc>
          <w:tcPr>
            <w:tcW w:w="2480" w:type="dxa"/>
            <w:tcBorders>
              <w:left w:val="single" w:sz="6" w:space="0" w:color="000000" w:themeColor="text1"/>
              <w:bottom w:val="single" w:sz="4" w:space="0" w:color="auto"/>
            </w:tcBorders>
            <w:shd w:val="clear" w:color="auto" w:fill="auto"/>
          </w:tcPr>
          <w:p w14:paraId="36FE5FB1" w14:textId="77777777" w:rsidR="00B8276A" w:rsidRPr="009841AB" w:rsidRDefault="00E0011B" w:rsidP="00E0011B">
            <w:pPr>
              <w:pStyle w:val="naisc"/>
              <w:spacing w:before="0" w:after="0"/>
              <w:jc w:val="left"/>
              <w:rPr>
                <w:b/>
                <w:bCs/>
              </w:rPr>
            </w:pPr>
            <w:r w:rsidRPr="009841AB">
              <w:rPr>
                <w:b/>
                <w:bCs/>
              </w:rPr>
              <w:t>Ņemts vērā</w:t>
            </w:r>
          </w:p>
          <w:p w14:paraId="57A9E576" w14:textId="77777777" w:rsidR="00B8276A" w:rsidRPr="009841AB" w:rsidRDefault="00B8276A" w:rsidP="00E0011B">
            <w:pPr>
              <w:pStyle w:val="naisc"/>
              <w:spacing w:before="0" w:after="0"/>
              <w:jc w:val="left"/>
              <w:rPr>
                <w:b/>
                <w:bCs/>
              </w:rPr>
            </w:pPr>
            <w:r w:rsidRPr="009841AB">
              <w:t>Formulējums ir precizēts atbilstoši LIKTA un LTRK piedāvātajam.</w:t>
            </w:r>
          </w:p>
        </w:tc>
        <w:tc>
          <w:tcPr>
            <w:tcW w:w="3497" w:type="dxa"/>
            <w:tcBorders>
              <w:left w:val="single" w:sz="6" w:space="0" w:color="000000" w:themeColor="text1"/>
              <w:bottom w:val="single" w:sz="4" w:space="0" w:color="auto"/>
            </w:tcBorders>
            <w:shd w:val="clear" w:color="auto" w:fill="auto"/>
          </w:tcPr>
          <w:p w14:paraId="2BD4C9BE" w14:textId="77777777" w:rsidR="00E0011B" w:rsidRPr="009841AB" w:rsidRDefault="00B8276A" w:rsidP="00B8276A">
            <w:pPr>
              <w:pStyle w:val="naisc"/>
              <w:spacing w:before="0" w:after="0"/>
              <w:jc w:val="left"/>
            </w:pPr>
            <w:r w:rsidRPr="009841AB">
              <w:t xml:space="preserve">Lūdzam skatīt </w:t>
            </w:r>
            <w:proofErr w:type="spellStart"/>
            <w:r w:rsidRPr="009841AB">
              <w:t>apakšsadaļu</w:t>
            </w:r>
            <w:proofErr w:type="spellEnd"/>
            <w:r w:rsidRPr="009841AB">
              <w:t xml:space="preserve"> 4.4.10.2.</w:t>
            </w:r>
          </w:p>
        </w:tc>
      </w:tr>
      <w:tr w:rsidR="00E0011B" w:rsidRPr="009841AB" w14:paraId="01C2AA7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2DC8198" w14:textId="77777777" w:rsidR="00E0011B" w:rsidRPr="009841AB" w:rsidRDefault="00DE3695" w:rsidP="00E0011B">
            <w:pPr>
              <w:pStyle w:val="naisc"/>
              <w:spacing w:before="0" w:after="0"/>
            </w:pPr>
            <w:r>
              <w:t>334</w:t>
            </w:r>
          </w:p>
        </w:tc>
        <w:tc>
          <w:tcPr>
            <w:tcW w:w="2427" w:type="dxa"/>
            <w:tcBorders>
              <w:left w:val="single" w:sz="6" w:space="0" w:color="000000" w:themeColor="text1"/>
              <w:bottom w:val="single" w:sz="4" w:space="0" w:color="auto"/>
            </w:tcBorders>
            <w:shd w:val="clear" w:color="auto" w:fill="auto"/>
          </w:tcPr>
          <w:p w14:paraId="30644F87"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34BC76F" w14:textId="77777777" w:rsidR="00E0011B" w:rsidRPr="009841AB" w:rsidRDefault="00E0011B" w:rsidP="00E0011B">
            <w:pPr>
              <w:ind w:right="12"/>
              <w:jc w:val="both"/>
            </w:pPr>
            <w:r w:rsidRPr="009841AB">
              <w:t>5.</w:t>
            </w:r>
            <w:r w:rsidRPr="009841AB">
              <w:tab/>
              <w:t xml:space="preserve">Par sadaļu 4.4.10.3. Rīcības </w:t>
            </w:r>
            <w:proofErr w:type="spellStart"/>
            <w:r w:rsidRPr="009841AB">
              <w:t>apakšvirziens</w:t>
            </w:r>
            <w:proofErr w:type="spellEnd"/>
            <w:r w:rsidRPr="009841AB">
              <w:t>: Infrastruktūra</w:t>
            </w:r>
          </w:p>
          <w:p w14:paraId="5D2EBB8C" w14:textId="77777777" w:rsidR="00E0011B" w:rsidRPr="009841AB" w:rsidRDefault="00E0011B" w:rsidP="00E0011B">
            <w:pPr>
              <w:ind w:right="12"/>
              <w:jc w:val="both"/>
            </w:pPr>
            <w:r w:rsidRPr="009841AB">
              <w:t xml:space="preserve">Sadaļā “Nepieciešamā rīcība” 2. paragrāfā 1. teikumu izteikt sekojošā redakcijā: “Lai panāktu straujākus skaitļošanas infrastruktūras sniedzēju pakalpojumu kvalitātes un </w:t>
            </w:r>
            <w:proofErr w:type="spellStart"/>
            <w:r w:rsidRPr="009841AB">
              <w:t>sadarbspējas</w:t>
            </w:r>
            <w:proofErr w:type="spellEnd"/>
            <w:r w:rsidRPr="009841AB">
              <w:t xml:space="preserve"> un resursu konsolidācijas uzlabojumus, kā arī nodrošinātu valsts pārvaldes </w:t>
            </w:r>
            <w:r w:rsidRPr="009841AB">
              <w:lastRenderedPageBreak/>
              <w:t xml:space="preserve">koplietošanas pakalpojumu </w:t>
            </w:r>
            <w:proofErr w:type="spellStart"/>
            <w:r w:rsidRPr="009841AB">
              <w:t>papildināmību</w:t>
            </w:r>
            <w:proofErr w:type="spellEnd"/>
            <w:r w:rsidRPr="009841AB">
              <w:t xml:space="preserve"> ar akadēmisko institūciju, vietējo komersantu un ES topošās </w:t>
            </w:r>
            <w:proofErr w:type="spellStart"/>
            <w:r w:rsidRPr="009841AB">
              <w:t>mākoņdatošanas</w:t>
            </w:r>
            <w:proofErr w:type="spellEnd"/>
            <w:r w:rsidRPr="009841AB">
              <w:t xml:space="preserve"> federācijas pakalpojumiem, ir izvērtējama iespēja konkursa kārtībā attīstīt skaitļošanas  infrastruktūras pakalpojumu sagādes vidutāju, jeb brokeri, kam būtu potenciāls kļūt par Latvijas nacionālā “</w:t>
            </w:r>
            <w:proofErr w:type="spellStart"/>
            <w:r w:rsidRPr="009841AB">
              <w:t>supermākoņa</w:t>
            </w:r>
            <w:proofErr w:type="spellEnd"/>
            <w:r w:rsidRPr="009841AB">
              <w:t xml:space="preserve">” resursu piekļuves funkcionālo vārteju, vienlaicīgi nodrošinot Latvijas nacionālo resursu sasaisti ar ES topošās </w:t>
            </w:r>
            <w:proofErr w:type="spellStart"/>
            <w:r w:rsidRPr="009841AB">
              <w:t>mākoņdatošanas</w:t>
            </w:r>
            <w:proofErr w:type="spellEnd"/>
            <w:r w:rsidRPr="009841AB">
              <w:t xml:space="preserve"> federācijas pakalpojumiem un topošo EU </w:t>
            </w:r>
            <w:proofErr w:type="spellStart"/>
            <w:r w:rsidRPr="009841AB">
              <w:t>Supercloud</w:t>
            </w:r>
            <w:proofErr w:type="spellEnd"/>
            <w:r w:rsidRPr="009841AB">
              <w:t xml:space="preserve"> resursu kopu.”, un aiz 4. paragrāfa pievienot jaunu paragrāfu sekojošā redakcijā: “Lai nodrošinātu pēc iespējas efektīvu datu pārraides infrastruktūras un datorizēto darba vietu pārvaldību, šīs darbības maksimāli jācentralizē, cenšoties maksimizēt viena speciālista apkalpojamu iekārtu skaitu, kā arī maksimāli izmantojot ārpakalpojumus zemākas pievienotās vērtības darbību veikšanai.”</w:t>
            </w:r>
          </w:p>
          <w:p w14:paraId="64DDDBF9" w14:textId="77777777" w:rsidR="00E0011B" w:rsidRPr="009841AB" w:rsidRDefault="00E0011B" w:rsidP="00E0011B">
            <w:pPr>
              <w:ind w:right="12"/>
              <w:jc w:val="both"/>
            </w:pPr>
            <w:r w:rsidRPr="009841AB">
              <w:t>Sadaļu “Sagaidāmie rezultāti “ papildināt ar vēl vienu punktu: “</w:t>
            </w:r>
            <w:proofErr w:type="spellStart"/>
            <w:r w:rsidRPr="009841AB">
              <w:t>Maksimiziēts</w:t>
            </w:r>
            <w:proofErr w:type="spellEnd"/>
            <w:r w:rsidRPr="009841AB">
              <w:t xml:space="preserve"> viena speciālista apkalpoto datortehnikas un sakaru tehnikas vienību skaits”</w:t>
            </w:r>
          </w:p>
          <w:p w14:paraId="2E4CD1CD" w14:textId="77777777" w:rsidR="00E0011B" w:rsidRPr="009841AB" w:rsidRDefault="00E0011B" w:rsidP="00E0011B">
            <w:pPr>
              <w:ind w:right="12"/>
              <w:jc w:val="both"/>
            </w:pPr>
            <w:r w:rsidRPr="009841AB">
              <w:t>Sadaļu “Uzdevumi (U)” papildināt ar uzdevumu: “Veikt normatīvu aktu izstrādi informācijas tehnoloģiju infrastruktūras uzturēšanas normēšanai valsts pārvaldē un pašvaldībās”.</w:t>
            </w:r>
          </w:p>
        </w:tc>
        <w:tc>
          <w:tcPr>
            <w:tcW w:w="2480" w:type="dxa"/>
            <w:tcBorders>
              <w:left w:val="single" w:sz="6" w:space="0" w:color="000000" w:themeColor="text1"/>
              <w:bottom w:val="single" w:sz="4" w:space="0" w:color="auto"/>
            </w:tcBorders>
            <w:shd w:val="clear" w:color="auto" w:fill="auto"/>
          </w:tcPr>
          <w:p w14:paraId="3A86CDB3"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lastRenderedPageBreak/>
              <w:t>Panākta vienošanās</w:t>
            </w:r>
          </w:p>
          <w:p w14:paraId="6C8467CA" w14:textId="77777777" w:rsidR="00E0011B" w:rsidRPr="009841AB" w:rsidRDefault="00E0011B" w:rsidP="00E0011B">
            <w:pPr>
              <w:pStyle w:val="naisc"/>
              <w:spacing w:before="0" w:after="0"/>
              <w:jc w:val="left"/>
              <w:rPr>
                <w:color w:val="000000"/>
              </w:rPr>
            </w:pPr>
            <w:r w:rsidRPr="009841AB">
              <w:t xml:space="preserve">Pamatojums, kāpēc nav ņemts vērā LTRK priekšlikums par apkalpojamo tehnikas vienību apjomu, kā </w:t>
            </w:r>
            <w:r w:rsidRPr="009841AB">
              <w:lastRenderedPageBreak/>
              <w:t xml:space="preserve">prioritāru mērķi: </w:t>
            </w:r>
            <w:r w:rsidRPr="009841AB">
              <w:rPr>
                <w:color w:val="000000"/>
              </w:rPr>
              <w:t>Piekrītot LTRK viedoklim par piedāvātā veida metrikas lietderību, VARAM šobrīd nepiekrīt tās ieviešanai prioritāra uzdevuma formā, jo valsts pārvaldes institūcijās jau šobrīd ir novērojami pārspīlējumi šajā virzienā - upurējot pakalpojumu pievienoto vērtību un kvalitāti par labu darbinieku skaita samazināšanai, kā vienīgajai metrikai. Datorizēto darba vietu gadījumā pakalpojuma sniegšanā iesaistīto darbinieku skaits ir jāvērtē kontekstā ar pakalpojuma pievienoto vērtību (atbalstu lietotājiem) un pakalpojuma kopējām izmaksām, ieskaitot aparatūras un programmatūras izmaksas.</w:t>
            </w:r>
          </w:p>
          <w:p w14:paraId="2E8EAC64" w14:textId="77777777" w:rsidR="00B8276A" w:rsidRPr="009841AB" w:rsidRDefault="00B8276A" w:rsidP="00E0011B">
            <w:pPr>
              <w:pStyle w:val="naisc"/>
              <w:spacing w:before="0" w:after="0"/>
              <w:jc w:val="left"/>
              <w:rPr>
                <w:color w:val="000000"/>
              </w:rPr>
            </w:pPr>
          </w:p>
          <w:p w14:paraId="3278437B" w14:textId="77777777" w:rsidR="00B8276A" w:rsidRPr="009841AB" w:rsidRDefault="00B8276A" w:rsidP="00B8276A">
            <w:pPr>
              <w:rPr>
                <w:color w:val="000000"/>
              </w:rPr>
            </w:pPr>
            <w:r w:rsidRPr="009841AB">
              <w:rPr>
                <w:color w:val="000000"/>
              </w:rPr>
              <w:lastRenderedPageBreak/>
              <w:t>Formulējums par vidutāja lomu ir precizēts, lai uzsvērtu, ka vidutāja, jeb brokera loma pirmkārt ir fokusēta uz valsts pašas rīcībā esošo resursu efektīvu izmantošanu, izeju uz Latvijas komersantiem un citu ES dalībvalstu pakalpojumiem nodrošinot kā būtisku, bet tikai papildus iespēju. Tāpēc nav iedomājams, ka šo lomu varētu pildīt kāds cits nekā valsts institūcija - potenciāli VRAA. Tehniskā risinājuma izstrādei ekspertīze, protams, tiks piesaistīta konkursa kārtībā.</w:t>
            </w:r>
          </w:p>
          <w:p w14:paraId="4AC1A6A4" w14:textId="77777777" w:rsidR="00B8276A" w:rsidRPr="009841AB" w:rsidRDefault="00B8276A" w:rsidP="00B8276A">
            <w:pPr>
              <w:rPr>
                <w:color w:val="000000"/>
              </w:rPr>
            </w:pPr>
            <w:r w:rsidRPr="009841AB">
              <w:rPr>
                <w:color w:val="000000"/>
              </w:rPr>
              <w:t xml:space="preserve"> </w:t>
            </w:r>
          </w:p>
          <w:p w14:paraId="0222BD12" w14:textId="77777777" w:rsidR="00B8276A" w:rsidRPr="009841AB" w:rsidRDefault="00B8276A" w:rsidP="00B8276A">
            <w:pPr>
              <w:rPr>
                <w:color w:val="000000"/>
              </w:rPr>
            </w:pPr>
            <w:r w:rsidRPr="009841AB">
              <w:rPr>
                <w:color w:val="000000"/>
              </w:rPr>
              <w:t>4.4.10.3. teksts ir papildināts atbilstoši piedāvātajam, apstiprinot atbalstu IKT atbalsta produktivitātes celšanas mērķim.</w:t>
            </w:r>
          </w:p>
          <w:p w14:paraId="09BC06B4" w14:textId="77777777" w:rsidR="00B8276A" w:rsidRPr="009841AB" w:rsidRDefault="00B8276A" w:rsidP="00B8276A">
            <w:pPr>
              <w:rPr>
                <w:color w:val="000000"/>
              </w:rPr>
            </w:pPr>
          </w:p>
          <w:p w14:paraId="0D59CC7C" w14:textId="77777777" w:rsidR="00B8276A" w:rsidRPr="009841AB" w:rsidRDefault="00B8276A" w:rsidP="00B8276A">
            <w:pPr>
              <w:rPr>
                <w:color w:val="000000"/>
              </w:rPr>
            </w:pPr>
            <w:r w:rsidRPr="009841AB">
              <w:rPr>
                <w:color w:val="000000"/>
              </w:rPr>
              <w:t xml:space="preserve">Par apkalpojamo iekārtu skaita normu – </w:t>
            </w:r>
            <w:r w:rsidRPr="009841AB">
              <w:rPr>
                <w:color w:val="000000"/>
              </w:rPr>
              <w:lastRenderedPageBreak/>
              <w:t>uzdevumu -  skat. blakus kolonā.</w:t>
            </w:r>
          </w:p>
          <w:p w14:paraId="49067825" w14:textId="77777777" w:rsidR="00B8276A" w:rsidRPr="009841AB" w:rsidRDefault="00B8276A" w:rsidP="00B8276A">
            <w:pPr>
              <w:rPr>
                <w:color w:val="000000"/>
              </w:rPr>
            </w:pPr>
          </w:p>
          <w:p w14:paraId="183BFC7F" w14:textId="77777777" w:rsidR="00B8276A" w:rsidRPr="00D264F6" w:rsidRDefault="00B8276A" w:rsidP="00D264F6">
            <w:pPr>
              <w:rPr>
                <w:color w:val="000000"/>
              </w:rPr>
            </w:pPr>
            <w:r w:rsidRPr="009841AB">
              <w:rPr>
                <w:color w:val="000000"/>
              </w:rPr>
              <w:t>4.4.10.3. uzdevumi ir papildināti ar citu uzdevumu datorizēto darba vietu pārvaldības un pakalpojumu jomā.</w:t>
            </w:r>
          </w:p>
        </w:tc>
        <w:tc>
          <w:tcPr>
            <w:tcW w:w="3497" w:type="dxa"/>
            <w:tcBorders>
              <w:left w:val="single" w:sz="6" w:space="0" w:color="000000" w:themeColor="text1"/>
              <w:bottom w:val="single" w:sz="4" w:space="0" w:color="auto"/>
            </w:tcBorders>
            <w:shd w:val="clear" w:color="auto" w:fill="auto"/>
          </w:tcPr>
          <w:p w14:paraId="50525639" w14:textId="77777777" w:rsidR="00E0011B" w:rsidRPr="009841AB" w:rsidRDefault="00B8276A" w:rsidP="00B8276A">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4.4.10.3.</w:t>
            </w:r>
          </w:p>
        </w:tc>
      </w:tr>
      <w:tr w:rsidR="00E0011B" w:rsidRPr="009841AB" w14:paraId="4870970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41358D3" w14:textId="77777777" w:rsidR="00E0011B" w:rsidRPr="009841AB" w:rsidRDefault="00DE3695" w:rsidP="00E0011B">
            <w:pPr>
              <w:pStyle w:val="naisc"/>
              <w:spacing w:before="0" w:after="0"/>
            </w:pPr>
            <w:r>
              <w:lastRenderedPageBreak/>
              <w:t>335</w:t>
            </w:r>
          </w:p>
        </w:tc>
        <w:tc>
          <w:tcPr>
            <w:tcW w:w="2427" w:type="dxa"/>
            <w:tcBorders>
              <w:left w:val="single" w:sz="6" w:space="0" w:color="000000" w:themeColor="text1"/>
              <w:bottom w:val="single" w:sz="4" w:space="0" w:color="auto"/>
            </w:tcBorders>
            <w:shd w:val="clear" w:color="auto" w:fill="auto"/>
          </w:tcPr>
          <w:p w14:paraId="15436136"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4F514D4" w14:textId="77777777" w:rsidR="00E0011B" w:rsidRPr="009841AB" w:rsidRDefault="00E0011B" w:rsidP="00E0011B">
            <w:pPr>
              <w:ind w:right="12"/>
              <w:jc w:val="both"/>
            </w:pPr>
            <w:r w:rsidRPr="009841AB">
              <w:t>6.</w:t>
            </w:r>
            <w:r w:rsidRPr="009841AB">
              <w:tab/>
              <w:t xml:space="preserve">Par sadaļu 4.4.11. Rīcības virziens: Komercdarbības </w:t>
            </w:r>
            <w:proofErr w:type="spellStart"/>
            <w:r w:rsidRPr="009841AB">
              <w:t>digitalizācijas</w:t>
            </w:r>
            <w:proofErr w:type="spellEnd"/>
            <w:r w:rsidRPr="009841AB">
              <w:t xml:space="preserve"> veicināšana</w:t>
            </w:r>
          </w:p>
          <w:p w14:paraId="592CFC67" w14:textId="77777777" w:rsidR="00E0011B" w:rsidRPr="009841AB" w:rsidRDefault="00E0011B" w:rsidP="00E0011B">
            <w:pPr>
              <w:ind w:right="12"/>
              <w:jc w:val="both"/>
            </w:pPr>
            <w:r w:rsidRPr="009841AB">
              <w:t>Sadaļā “Nepieciešamā rīcība”, paragrāfā, kas sākas ar vārdiem “Lai veicinātu mērķtiecīgu digitālo transformāciju, ir nepieciešams izveidot vienotu platformu/ digitālās ekselences centru”, 2. teikumu izteikt sekojošā redakcijā: “Apzinot privātajā, valsts un pašvaldību sektorā lietotās digitālās tehnoloģijas, palīdzot tās ieviest un piemērot, nodrošinot piekļuvi tehniskajām kompetencēm un radot vidi risinājumu testēšanai pirms ieviešanas ražošanā.”</w:t>
            </w:r>
          </w:p>
        </w:tc>
        <w:tc>
          <w:tcPr>
            <w:tcW w:w="2480" w:type="dxa"/>
            <w:tcBorders>
              <w:left w:val="single" w:sz="6" w:space="0" w:color="000000" w:themeColor="text1"/>
              <w:bottom w:val="single" w:sz="4" w:space="0" w:color="auto"/>
            </w:tcBorders>
            <w:shd w:val="clear" w:color="auto" w:fill="auto"/>
          </w:tcPr>
          <w:p w14:paraId="2DDBF122" w14:textId="77777777" w:rsidR="00E0011B" w:rsidRPr="009841AB" w:rsidRDefault="007912D7" w:rsidP="00E0011B">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69BE6689" w14:textId="77777777" w:rsidR="00E0011B" w:rsidRPr="009841AB" w:rsidRDefault="007912D7" w:rsidP="007912D7">
            <w:pPr>
              <w:pStyle w:val="naisc"/>
              <w:spacing w:before="0" w:after="0"/>
              <w:jc w:val="left"/>
            </w:pPr>
            <w:r w:rsidRPr="009841AB">
              <w:t xml:space="preserve">Lūdzam skatīt </w:t>
            </w:r>
            <w:proofErr w:type="spellStart"/>
            <w:r w:rsidRPr="009841AB">
              <w:t>apakšsadaļu</w:t>
            </w:r>
            <w:proofErr w:type="spellEnd"/>
            <w:r w:rsidRPr="009841AB">
              <w:t xml:space="preserve"> 4.4.11.</w:t>
            </w:r>
          </w:p>
        </w:tc>
      </w:tr>
      <w:tr w:rsidR="00E0011B" w:rsidRPr="009841AB" w14:paraId="1CC08B6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25E8152" w14:textId="77777777" w:rsidR="00E0011B" w:rsidRPr="009841AB" w:rsidRDefault="00DE3695" w:rsidP="00E0011B">
            <w:pPr>
              <w:pStyle w:val="naisc"/>
              <w:spacing w:before="0" w:after="0"/>
            </w:pPr>
            <w:r>
              <w:t>336</w:t>
            </w:r>
          </w:p>
        </w:tc>
        <w:tc>
          <w:tcPr>
            <w:tcW w:w="2427" w:type="dxa"/>
            <w:tcBorders>
              <w:left w:val="single" w:sz="6" w:space="0" w:color="000000" w:themeColor="text1"/>
              <w:bottom w:val="single" w:sz="4" w:space="0" w:color="auto"/>
            </w:tcBorders>
            <w:shd w:val="clear" w:color="auto" w:fill="auto"/>
          </w:tcPr>
          <w:p w14:paraId="1E93ECD9"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BF2144E" w14:textId="77777777" w:rsidR="00E0011B" w:rsidRPr="009841AB" w:rsidRDefault="00E0011B" w:rsidP="00E0011B">
            <w:pPr>
              <w:ind w:right="12"/>
              <w:jc w:val="both"/>
            </w:pPr>
            <w:r w:rsidRPr="009841AB">
              <w:t>7.</w:t>
            </w:r>
            <w:r w:rsidRPr="009841AB">
              <w:tab/>
              <w:t xml:space="preserve">Par sadaļu 4.4.13 Izglītības procesu </w:t>
            </w:r>
            <w:proofErr w:type="spellStart"/>
            <w:r w:rsidRPr="009841AB">
              <w:t>digitalizācija</w:t>
            </w:r>
            <w:proofErr w:type="spellEnd"/>
          </w:p>
          <w:p w14:paraId="0101B527" w14:textId="77777777" w:rsidR="00E0011B" w:rsidRPr="009841AB" w:rsidRDefault="00E0011B" w:rsidP="00E0011B">
            <w:pPr>
              <w:ind w:right="12"/>
              <w:jc w:val="both"/>
            </w:pPr>
            <w:r w:rsidRPr="009841AB">
              <w:t xml:space="preserve">LTRK iebilst pret to, ka Izglītības procesu </w:t>
            </w:r>
            <w:proofErr w:type="spellStart"/>
            <w:r w:rsidRPr="009841AB">
              <w:t>digitalizācija</w:t>
            </w:r>
            <w:proofErr w:type="spellEnd"/>
            <w:r w:rsidRPr="009841AB">
              <w:t xml:space="preserve"> nav attiecināta uz augstāko izglītību. Augstākās izglītības </w:t>
            </w:r>
            <w:proofErr w:type="spellStart"/>
            <w:r w:rsidRPr="009841AB">
              <w:t>digitalizācija</w:t>
            </w:r>
            <w:proofErr w:type="spellEnd"/>
            <w:r w:rsidRPr="009841AB">
              <w:t xml:space="preserve"> ir prioritāri risināma, jo augstskolu beidzēji nonāks darba tirgū visātrāk, tādējādi nodrošinot pamatnostādnēs paredzēto transformāciju. Tāpēc lūdzam precizēt sadaļu, attiecinot arī uz augstāko izglītību, tādejādi paredzot pilnībā </w:t>
            </w:r>
            <w:proofErr w:type="spellStart"/>
            <w:r w:rsidRPr="009841AB">
              <w:t>digitalizēt</w:t>
            </w:r>
            <w:proofErr w:type="spellEnd"/>
            <w:r w:rsidRPr="009841AB">
              <w:t xml:space="preserve"> studiju procesa administrēšanu. Bez tam, lūdzam rīcības virzienu “Mācību procesa </w:t>
            </w:r>
            <w:proofErr w:type="spellStart"/>
            <w:r w:rsidRPr="009841AB">
              <w:t>digitalizācija</w:t>
            </w:r>
            <w:proofErr w:type="spellEnd"/>
            <w:r w:rsidRPr="009841AB">
              <w:t>” attiecināt ne tikai uz skolām, bet arī uz augstāko izglītību, nodrošinot studiju programmu digitālo transformāciju un starptautisko konkurētspēju.</w:t>
            </w:r>
          </w:p>
        </w:tc>
        <w:tc>
          <w:tcPr>
            <w:tcW w:w="2480" w:type="dxa"/>
            <w:tcBorders>
              <w:left w:val="single" w:sz="6" w:space="0" w:color="000000" w:themeColor="text1"/>
              <w:bottom w:val="single" w:sz="4" w:space="0" w:color="auto"/>
            </w:tcBorders>
            <w:shd w:val="clear" w:color="auto" w:fill="auto"/>
          </w:tcPr>
          <w:p w14:paraId="4B6856E2"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t>Panākta vienošanās</w:t>
            </w:r>
          </w:p>
          <w:p w14:paraId="4A2B7FBA" w14:textId="77777777" w:rsidR="00E0011B" w:rsidRPr="009841AB" w:rsidRDefault="00E0011B" w:rsidP="00E0011B">
            <w:pPr>
              <w:pStyle w:val="naisc"/>
              <w:spacing w:before="0" w:after="0"/>
              <w:jc w:val="left"/>
            </w:pPr>
            <w:r w:rsidRPr="009841AB">
              <w:t>Sadaļā ir attiecināma uz augstskolām un augstskolas tika pieminētas. Veikti precizējumi, lai norāde ir nepārprotama.</w:t>
            </w:r>
          </w:p>
        </w:tc>
        <w:tc>
          <w:tcPr>
            <w:tcW w:w="3497" w:type="dxa"/>
            <w:tcBorders>
              <w:left w:val="single" w:sz="6" w:space="0" w:color="000000" w:themeColor="text1"/>
              <w:bottom w:val="single" w:sz="4" w:space="0" w:color="auto"/>
            </w:tcBorders>
            <w:shd w:val="clear" w:color="auto" w:fill="auto"/>
          </w:tcPr>
          <w:p w14:paraId="01CFD239" w14:textId="77777777" w:rsidR="00E0011B" w:rsidRPr="009841AB" w:rsidRDefault="00282B56" w:rsidP="00B163DB">
            <w:pPr>
              <w:pStyle w:val="naisc"/>
              <w:spacing w:before="0" w:after="0"/>
              <w:jc w:val="left"/>
            </w:pPr>
            <w:r w:rsidRPr="009841AB">
              <w:t xml:space="preserve">Lūdzam skatīt </w:t>
            </w:r>
            <w:proofErr w:type="spellStart"/>
            <w:r w:rsidRPr="009841AB">
              <w:t>apakšsadaļu</w:t>
            </w:r>
            <w:proofErr w:type="spellEnd"/>
            <w:r w:rsidRPr="009841AB">
              <w:t xml:space="preserve"> 4.4.13.</w:t>
            </w:r>
          </w:p>
        </w:tc>
      </w:tr>
      <w:tr w:rsidR="00E0011B" w:rsidRPr="009841AB" w14:paraId="2C86224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1B0DF31" w14:textId="77777777" w:rsidR="00E0011B" w:rsidRPr="009841AB" w:rsidRDefault="00DE3695" w:rsidP="00E0011B">
            <w:pPr>
              <w:pStyle w:val="naisc"/>
              <w:spacing w:before="0" w:after="0"/>
            </w:pPr>
            <w:r>
              <w:lastRenderedPageBreak/>
              <w:t>337</w:t>
            </w:r>
          </w:p>
        </w:tc>
        <w:tc>
          <w:tcPr>
            <w:tcW w:w="2427" w:type="dxa"/>
            <w:tcBorders>
              <w:left w:val="single" w:sz="6" w:space="0" w:color="000000" w:themeColor="text1"/>
              <w:bottom w:val="single" w:sz="4" w:space="0" w:color="auto"/>
            </w:tcBorders>
            <w:shd w:val="clear" w:color="auto" w:fill="auto"/>
          </w:tcPr>
          <w:p w14:paraId="196F0D15"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4558D88" w14:textId="77777777" w:rsidR="00E0011B" w:rsidRPr="009841AB" w:rsidRDefault="00A12F2A" w:rsidP="00E0011B">
            <w:pPr>
              <w:ind w:right="12"/>
              <w:jc w:val="both"/>
            </w:pPr>
            <w:r>
              <w:t xml:space="preserve">8. </w:t>
            </w:r>
            <w:r w:rsidR="00E0011B" w:rsidRPr="009841AB">
              <w:t xml:space="preserve">Tāpat lūdzam virzienu “Administratīvo procesu (izglītības pārvaldības) </w:t>
            </w:r>
            <w:proofErr w:type="spellStart"/>
            <w:r w:rsidR="00E0011B" w:rsidRPr="009841AB">
              <w:t>digitalizācija</w:t>
            </w:r>
            <w:proofErr w:type="spellEnd"/>
            <w:r w:rsidR="00E0011B" w:rsidRPr="009841AB">
              <w:t>” papildināt ar sekojošām aktivitātēm, kas vērstas uz augstākās izglītības institūciju pārvaldības pilnveidi:</w:t>
            </w:r>
          </w:p>
          <w:p w14:paraId="71238F5E" w14:textId="77777777" w:rsidR="00E0011B" w:rsidRPr="009841AB" w:rsidRDefault="00E0011B" w:rsidP="00E0011B">
            <w:pPr>
              <w:ind w:right="12"/>
              <w:jc w:val="both"/>
            </w:pPr>
            <w:r w:rsidRPr="009841AB">
              <w:t>Pāreja uz elektronisko studējošo lietu (līgums, iesniegumi, rīkojumi, sekmju izraksti, diplomi, u.c.) un elektronisku datu apmaiņa starp ES un EEZ valstu augstākās izglītības iestādēm;</w:t>
            </w:r>
          </w:p>
        </w:tc>
        <w:tc>
          <w:tcPr>
            <w:tcW w:w="2480" w:type="dxa"/>
            <w:tcBorders>
              <w:left w:val="single" w:sz="6" w:space="0" w:color="000000" w:themeColor="text1"/>
              <w:bottom w:val="single" w:sz="4" w:space="0" w:color="auto"/>
            </w:tcBorders>
            <w:shd w:val="clear" w:color="auto" w:fill="auto"/>
          </w:tcPr>
          <w:p w14:paraId="7C3FF7BD" w14:textId="77777777" w:rsidR="00E0011B" w:rsidRPr="009841AB" w:rsidRDefault="00E0011B" w:rsidP="00E0011B">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6E73E485" w14:textId="3961EC3E" w:rsidR="00DD2DF9" w:rsidRDefault="00DD2DF9" w:rsidP="00E0011B">
            <w:pPr>
              <w:pStyle w:val="naisc"/>
              <w:spacing w:before="0" w:after="0"/>
              <w:jc w:val="both"/>
            </w:pPr>
            <w:r w:rsidRPr="009841AB">
              <w:t>Lūdzam skatīt sadaļu 4.</w:t>
            </w:r>
            <w:r>
              <w:t>4.</w:t>
            </w:r>
          </w:p>
          <w:p w14:paraId="3D1011C2" w14:textId="70C5C718" w:rsidR="00E0011B" w:rsidRPr="009841AB" w:rsidRDefault="00282B56" w:rsidP="00E0011B">
            <w:pPr>
              <w:pStyle w:val="naisc"/>
              <w:spacing w:before="0" w:after="0"/>
              <w:jc w:val="both"/>
              <w:rPr>
                <w:b/>
                <w:highlight w:val="red"/>
              </w:rPr>
            </w:pPr>
            <w:r w:rsidRPr="00DD67CA">
              <w:t>“</w:t>
            </w:r>
            <w:r w:rsidR="00E0011B" w:rsidRPr="003640F2">
              <w:t>Pāreja uz elektronisko studējošo lietu (līgums, iesniegumi, rīkojumi, sekmju izraksti, diplomi, u.c.) un elektronisku datu apmaiņa starp ES un EEZ valstu augstākās izglītības iestādēm. Pāreja uz elektronisko studējošo lietu (līgums, iesniegumi, rīkojumi, sekmju izraksti, diplomi, u.c.) un elektronisku datu apmaiņa starp ES un EEZ valstu augstākās izglītības iestādēm.</w:t>
            </w:r>
            <w:r w:rsidRPr="003640F2">
              <w:t>”</w:t>
            </w:r>
          </w:p>
        </w:tc>
      </w:tr>
      <w:tr w:rsidR="00E0011B" w:rsidRPr="009841AB" w14:paraId="5E4C63D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0DEFA94" w14:textId="77777777" w:rsidR="00E0011B" w:rsidRPr="009841AB" w:rsidRDefault="00DE3695" w:rsidP="00E0011B">
            <w:pPr>
              <w:pStyle w:val="naisc"/>
              <w:spacing w:before="0" w:after="0"/>
            </w:pPr>
            <w:r>
              <w:t>338</w:t>
            </w:r>
          </w:p>
        </w:tc>
        <w:tc>
          <w:tcPr>
            <w:tcW w:w="2427" w:type="dxa"/>
            <w:tcBorders>
              <w:left w:val="single" w:sz="6" w:space="0" w:color="000000" w:themeColor="text1"/>
              <w:bottom w:val="single" w:sz="4" w:space="0" w:color="auto"/>
            </w:tcBorders>
            <w:shd w:val="clear" w:color="auto" w:fill="auto"/>
          </w:tcPr>
          <w:p w14:paraId="753FDD59"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E1B9A84" w14:textId="77777777" w:rsidR="00E0011B" w:rsidRPr="009841AB" w:rsidRDefault="00A12F2A" w:rsidP="00E0011B">
            <w:pPr>
              <w:ind w:right="12"/>
              <w:jc w:val="both"/>
            </w:pPr>
            <w:r>
              <w:t xml:space="preserve">9. </w:t>
            </w:r>
            <w:r w:rsidR="00E0011B" w:rsidRPr="009841AB">
              <w:t>Apgūstamo prasmju klasifikācija (piemēram, atbilstoši ESCO https://ec.europa.eu/esco/portal), vērtēšana un iekļaušana izglītību apliecinošos dokumentos.</w:t>
            </w:r>
          </w:p>
        </w:tc>
        <w:tc>
          <w:tcPr>
            <w:tcW w:w="2480" w:type="dxa"/>
            <w:tcBorders>
              <w:left w:val="single" w:sz="6" w:space="0" w:color="000000" w:themeColor="text1"/>
              <w:bottom w:val="single" w:sz="4" w:space="0" w:color="auto"/>
            </w:tcBorders>
            <w:shd w:val="clear" w:color="auto" w:fill="auto"/>
          </w:tcPr>
          <w:p w14:paraId="7403851A" w14:textId="77777777" w:rsidR="00E0011B" w:rsidRPr="009841AB" w:rsidRDefault="00E0011B" w:rsidP="00E0011B">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46163DC4" w14:textId="77777777" w:rsidR="00E0011B" w:rsidRPr="009841AB" w:rsidRDefault="00282B56" w:rsidP="00E0011B">
            <w:pPr>
              <w:pStyle w:val="naisc"/>
              <w:spacing w:before="0" w:after="0"/>
              <w:jc w:val="both"/>
              <w:rPr>
                <w:highlight w:val="red"/>
              </w:rPr>
            </w:pPr>
            <w:r w:rsidRPr="003640F2">
              <w:t>“</w:t>
            </w:r>
            <w:r w:rsidR="00E0011B" w:rsidRPr="003640F2">
              <w:t>Apgūstamo prasmju klasifikācija (piemēram, atbilstoši ESCO https://ec.europa.eu/esco/portal), vērtēšana un iekļaušana izglītību apliecinošos dokumentos.</w:t>
            </w:r>
            <w:r w:rsidRPr="003640F2">
              <w:t>”</w:t>
            </w:r>
          </w:p>
        </w:tc>
      </w:tr>
      <w:tr w:rsidR="00E0011B" w:rsidRPr="009841AB" w14:paraId="77FE93E2"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39F0E91" w14:textId="77777777" w:rsidR="00E0011B" w:rsidRPr="00E9166B" w:rsidRDefault="00E0011B" w:rsidP="00E0011B">
            <w:pPr>
              <w:widowControl w:val="0"/>
              <w:jc w:val="both"/>
              <w:rPr>
                <w:rFonts w:cstheme="minorHAnsi"/>
                <w:b/>
              </w:rPr>
            </w:pPr>
            <w:proofErr w:type="spellStart"/>
            <w:r>
              <w:rPr>
                <w:rFonts w:cstheme="minorHAnsi"/>
                <w:b/>
              </w:rPr>
              <w:t>Pārresoru</w:t>
            </w:r>
            <w:proofErr w:type="spellEnd"/>
            <w:r>
              <w:rPr>
                <w:rFonts w:cstheme="minorHAnsi"/>
                <w:b/>
              </w:rPr>
              <w:t xml:space="preserve"> koordinācijas centra</w:t>
            </w:r>
            <w:r w:rsidRPr="00507245">
              <w:rPr>
                <w:rFonts w:cstheme="minorHAnsi"/>
                <w:b/>
              </w:rPr>
              <w:t xml:space="preserve"> 0</w:t>
            </w:r>
            <w:r>
              <w:rPr>
                <w:rFonts w:cstheme="minorHAnsi"/>
                <w:b/>
              </w:rPr>
              <w:t>2</w:t>
            </w:r>
            <w:r w:rsidRPr="00507245">
              <w:rPr>
                <w:rFonts w:cstheme="minorHAnsi"/>
                <w:b/>
              </w:rPr>
              <w:t>.02.2021. atzinums:</w:t>
            </w:r>
          </w:p>
        </w:tc>
      </w:tr>
      <w:tr w:rsidR="00E0011B" w:rsidRPr="009841AB" w14:paraId="0522929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C7C42AE" w14:textId="77777777" w:rsidR="00E0011B" w:rsidRPr="009841AB" w:rsidRDefault="00E44A87" w:rsidP="00E0011B">
            <w:pPr>
              <w:pStyle w:val="naisc"/>
              <w:spacing w:before="0" w:after="0"/>
            </w:pPr>
            <w:r>
              <w:t>339</w:t>
            </w:r>
          </w:p>
        </w:tc>
        <w:tc>
          <w:tcPr>
            <w:tcW w:w="2427" w:type="dxa"/>
            <w:tcBorders>
              <w:left w:val="single" w:sz="6" w:space="0" w:color="000000" w:themeColor="text1"/>
              <w:bottom w:val="single" w:sz="4" w:space="0" w:color="auto"/>
            </w:tcBorders>
            <w:shd w:val="clear" w:color="auto" w:fill="auto"/>
          </w:tcPr>
          <w:p w14:paraId="4616F789" w14:textId="77777777" w:rsidR="00E0011B" w:rsidRPr="009841AB" w:rsidRDefault="00E0011B" w:rsidP="00E0011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A231304" w14:textId="77777777" w:rsidR="00E0011B" w:rsidRPr="009841AB" w:rsidRDefault="00E0011B" w:rsidP="00E0011B">
            <w:pPr>
              <w:ind w:right="12"/>
              <w:jc w:val="both"/>
            </w:pPr>
            <w:r w:rsidRPr="009841AB">
              <w:t xml:space="preserve">U 4.4.11. sadaļā “Komercdarbības </w:t>
            </w:r>
            <w:proofErr w:type="spellStart"/>
            <w:r w:rsidRPr="009841AB">
              <w:t>digitalizācijas</w:t>
            </w:r>
            <w:proofErr w:type="spellEnd"/>
            <w:r w:rsidRPr="009841AB">
              <w:t xml:space="preserve"> veicināšana”  kā nepieciešamā rīcība virzienā “Inovāciju ekosistēmas izveide” u.c. iekļauta informācija par elektroenerģijas tirgus digitālo infrastruktūru, veicamajām darbībām un sagaidāmo rezultātu, vienlaikus, uzdevumu līmenī  attiecīgās darbības un to finansējums/avoti nav nolasāmi.</w:t>
            </w:r>
          </w:p>
        </w:tc>
        <w:tc>
          <w:tcPr>
            <w:tcW w:w="2480" w:type="dxa"/>
            <w:tcBorders>
              <w:left w:val="single" w:sz="6" w:space="0" w:color="000000" w:themeColor="text1"/>
              <w:bottom w:val="single" w:sz="4" w:space="0" w:color="auto"/>
            </w:tcBorders>
            <w:shd w:val="clear" w:color="auto" w:fill="auto"/>
          </w:tcPr>
          <w:p w14:paraId="2E9D6EE6" w14:textId="77777777" w:rsidR="00B163DB" w:rsidRPr="009841AB" w:rsidRDefault="00B163DB" w:rsidP="00E0011B">
            <w:pPr>
              <w:pStyle w:val="naisc"/>
              <w:spacing w:before="0" w:after="0"/>
              <w:jc w:val="left"/>
              <w:rPr>
                <w:b/>
                <w:bCs/>
              </w:rPr>
            </w:pPr>
            <w:r w:rsidRPr="009841AB">
              <w:rPr>
                <w:b/>
                <w:bCs/>
              </w:rPr>
              <w:t>Ņemts vērā</w:t>
            </w:r>
          </w:p>
          <w:p w14:paraId="68B43D80" w14:textId="77777777" w:rsidR="00B163DB" w:rsidRPr="009841AB" w:rsidRDefault="00B163DB" w:rsidP="00E0011B">
            <w:pPr>
              <w:pStyle w:val="naisc"/>
              <w:spacing w:before="0" w:after="0"/>
              <w:jc w:val="left"/>
            </w:pPr>
            <w:r w:rsidRPr="009841AB">
              <w:t>Sadaļa precizēta, vienlaikus atbilstoši pamatnostādņu būtībai, nav paredzēta projektu līmeņa detalizācija specifiskām aktivitātēm.</w:t>
            </w:r>
          </w:p>
        </w:tc>
        <w:tc>
          <w:tcPr>
            <w:tcW w:w="3497" w:type="dxa"/>
            <w:tcBorders>
              <w:left w:val="single" w:sz="6" w:space="0" w:color="000000" w:themeColor="text1"/>
              <w:bottom w:val="single" w:sz="4" w:space="0" w:color="auto"/>
            </w:tcBorders>
            <w:shd w:val="clear" w:color="auto" w:fill="auto"/>
          </w:tcPr>
          <w:p w14:paraId="65A8506F" w14:textId="77777777" w:rsidR="00E0011B" w:rsidRPr="009841AB" w:rsidRDefault="00B163DB" w:rsidP="00B163DB">
            <w:pPr>
              <w:pStyle w:val="naisc"/>
              <w:spacing w:before="0" w:after="0"/>
              <w:jc w:val="left"/>
            </w:pPr>
            <w:r w:rsidRPr="009841AB">
              <w:t xml:space="preserve">Lūdzam skatīt </w:t>
            </w:r>
            <w:proofErr w:type="spellStart"/>
            <w:r w:rsidRPr="009841AB">
              <w:t>apakšsadaļu</w:t>
            </w:r>
            <w:proofErr w:type="spellEnd"/>
            <w:r w:rsidRPr="009841AB">
              <w:t xml:space="preserve"> 4.4.11.</w:t>
            </w:r>
          </w:p>
        </w:tc>
      </w:tr>
      <w:tr w:rsidR="00E0011B" w:rsidRPr="009841AB" w14:paraId="506D2E72"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A5F2DCF" w14:textId="77777777" w:rsidR="00E0011B" w:rsidRPr="009841AB" w:rsidRDefault="00E0011B" w:rsidP="00E0011B">
            <w:pPr>
              <w:tabs>
                <w:tab w:val="left" w:pos="720"/>
              </w:tabs>
              <w:contextualSpacing/>
              <w:jc w:val="both"/>
              <w:rPr>
                <w:b/>
                <w:bCs/>
                <w:lang w:eastAsia="en-US"/>
              </w:rPr>
            </w:pPr>
            <w:r w:rsidRPr="009841AB">
              <w:rPr>
                <w:b/>
                <w:bCs/>
                <w:lang w:eastAsia="en-US"/>
              </w:rPr>
              <w:t>Veselības ministrijas 07.02.2021. atzinums:</w:t>
            </w:r>
          </w:p>
        </w:tc>
      </w:tr>
      <w:tr w:rsidR="00C27D3F" w:rsidRPr="009841AB" w14:paraId="3E5A662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79BB9DD" w14:textId="77777777" w:rsidR="00C27D3F" w:rsidRPr="009841AB" w:rsidRDefault="00E44A87" w:rsidP="00C27D3F">
            <w:pPr>
              <w:pStyle w:val="naisc"/>
              <w:spacing w:before="0" w:after="0"/>
            </w:pPr>
            <w:r>
              <w:t>340</w:t>
            </w:r>
          </w:p>
        </w:tc>
        <w:tc>
          <w:tcPr>
            <w:tcW w:w="2427" w:type="dxa"/>
            <w:tcBorders>
              <w:left w:val="single" w:sz="6" w:space="0" w:color="000000" w:themeColor="text1"/>
              <w:bottom w:val="single" w:sz="4" w:space="0" w:color="auto"/>
            </w:tcBorders>
            <w:shd w:val="clear" w:color="auto" w:fill="auto"/>
          </w:tcPr>
          <w:p w14:paraId="7C35FCB8"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E2D09D7" w14:textId="77777777" w:rsidR="00C27D3F" w:rsidRPr="009841AB" w:rsidRDefault="00C27D3F" w:rsidP="00C27D3F">
            <w:pPr>
              <w:ind w:right="12"/>
              <w:jc w:val="both"/>
            </w:pPr>
            <w:r w:rsidRPr="009841AB">
              <w:t>1.</w:t>
            </w:r>
            <w:r w:rsidRPr="009841AB">
              <w:tab/>
              <w:t xml:space="preserve">Lūdzam papildināt 4.4.5.1. rīcības </w:t>
            </w:r>
            <w:proofErr w:type="spellStart"/>
            <w:r w:rsidRPr="009841AB">
              <w:t>apakšvirziena</w:t>
            </w:r>
            <w:proofErr w:type="spellEnd"/>
            <w:r w:rsidRPr="009841AB">
              <w:t xml:space="preserve"> “Izmeklēšanas un tiesvedības procesa tālāka </w:t>
            </w:r>
            <w:proofErr w:type="spellStart"/>
            <w:r w:rsidRPr="009841AB">
              <w:t>digitalizācija</w:t>
            </w:r>
            <w:proofErr w:type="spellEnd"/>
            <w:r w:rsidRPr="009841AB">
              <w:t xml:space="preserve">” sadaļas “Nepieciešamā rīcība” 2. punktu ar jaunu apakšpunktu šādā redakcijā “turpināt Valsts tiesu medicīnas ekspertīzes centra Tiesu medicīnas ekspertīžu informācijas sistēmas </w:t>
            </w:r>
            <w:r w:rsidRPr="009841AB">
              <w:lastRenderedPageBreak/>
              <w:t xml:space="preserve">pilnveidošanu, pielāgojot to e-lietas arhitektūrai un turpinot ekspertīzes un izpētes procesa </w:t>
            </w:r>
            <w:proofErr w:type="spellStart"/>
            <w:r w:rsidRPr="009841AB">
              <w:t>digitalizāciju</w:t>
            </w:r>
            <w:proofErr w:type="spellEnd"/>
            <w:r w:rsidRPr="009841AB">
              <w:t>”.</w:t>
            </w:r>
          </w:p>
        </w:tc>
        <w:tc>
          <w:tcPr>
            <w:tcW w:w="2480" w:type="dxa"/>
            <w:tcBorders>
              <w:left w:val="single" w:sz="6" w:space="0" w:color="000000" w:themeColor="text1"/>
              <w:bottom w:val="single" w:sz="4" w:space="0" w:color="auto"/>
            </w:tcBorders>
            <w:shd w:val="clear" w:color="auto" w:fill="auto"/>
          </w:tcPr>
          <w:p w14:paraId="60DF65A1" w14:textId="77777777" w:rsidR="00C27D3F" w:rsidRPr="009841AB" w:rsidRDefault="00C27D3F" w:rsidP="00C27D3F">
            <w:pPr>
              <w:pStyle w:val="naisc"/>
              <w:spacing w:before="0" w:after="0"/>
              <w:jc w:val="left"/>
              <w:rPr>
                <w:b/>
                <w:bCs/>
              </w:rPr>
            </w:pPr>
            <w:r w:rsidRPr="009841AB">
              <w:rPr>
                <w:b/>
                <w:bCs/>
              </w:rPr>
              <w:lastRenderedPageBreak/>
              <w:t>Ņemts vērā</w:t>
            </w:r>
          </w:p>
          <w:p w14:paraId="754ABA3C" w14:textId="77777777" w:rsidR="00C27D3F" w:rsidRPr="009841AB" w:rsidRDefault="00C27D3F" w:rsidP="00C27D3F">
            <w:pPr>
              <w:pStyle w:val="naisc"/>
              <w:spacing w:before="0" w:after="0"/>
              <w:jc w:val="left"/>
              <w:rPr>
                <w:b/>
                <w:highlight w:val="yellow"/>
              </w:rPr>
            </w:pPr>
          </w:p>
        </w:tc>
        <w:tc>
          <w:tcPr>
            <w:tcW w:w="3497" w:type="dxa"/>
            <w:tcBorders>
              <w:left w:val="single" w:sz="6" w:space="0" w:color="000000" w:themeColor="text1"/>
              <w:bottom w:val="single" w:sz="4" w:space="0" w:color="auto"/>
            </w:tcBorders>
            <w:shd w:val="clear" w:color="auto" w:fill="auto"/>
          </w:tcPr>
          <w:p w14:paraId="4ED78D73" w14:textId="77777777" w:rsidR="00C27D3F" w:rsidRPr="009841AB" w:rsidRDefault="00C27D3F" w:rsidP="0070789D">
            <w:pPr>
              <w:pStyle w:val="naisc"/>
              <w:spacing w:before="0" w:after="0"/>
              <w:jc w:val="left"/>
              <w:rPr>
                <w:highlight w:val="yellow"/>
              </w:rPr>
            </w:pPr>
            <w:r w:rsidRPr="009841AB">
              <w:t xml:space="preserve">Lūdzam skatīt </w:t>
            </w:r>
            <w:proofErr w:type="spellStart"/>
            <w:r w:rsidRPr="009841AB">
              <w:t>apakšsadaļu</w:t>
            </w:r>
            <w:proofErr w:type="spellEnd"/>
            <w:r w:rsidRPr="009841AB">
              <w:t xml:space="preserve"> 4.4.5.1.</w:t>
            </w:r>
          </w:p>
        </w:tc>
      </w:tr>
      <w:tr w:rsidR="00C27D3F" w:rsidRPr="009841AB" w14:paraId="0A73DC5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D0D6C77" w14:textId="77777777" w:rsidR="00C27D3F" w:rsidRPr="009841AB" w:rsidRDefault="00E44A87" w:rsidP="00C27D3F">
            <w:pPr>
              <w:pStyle w:val="naisc"/>
              <w:spacing w:before="0" w:after="0"/>
            </w:pPr>
            <w:r>
              <w:t>341</w:t>
            </w:r>
          </w:p>
        </w:tc>
        <w:tc>
          <w:tcPr>
            <w:tcW w:w="2427" w:type="dxa"/>
            <w:tcBorders>
              <w:left w:val="single" w:sz="6" w:space="0" w:color="000000" w:themeColor="text1"/>
              <w:bottom w:val="single" w:sz="4" w:space="0" w:color="auto"/>
            </w:tcBorders>
            <w:shd w:val="clear" w:color="auto" w:fill="auto"/>
          </w:tcPr>
          <w:p w14:paraId="7706CE98"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B30945A" w14:textId="77777777" w:rsidR="00C27D3F" w:rsidRPr="009841AB" w:rsidRDefault="00C27D3F" w:rsidP="00C27D3F">
            <w:pPr>
              <w:ind w:right="12"/>
              <w:jc w:val="both"/>
            </w:pPr>
            <w:r w:rsidRPr="009841AB">
              <w:t>2.</w:t>
            </w:r>
            <w:r w:rsidRPr="009841AB">
              <w:tab/>
              <w:t xml:space="preserve">Lūdzam precizēt šobrīd nesaprotami noformulēto 4.4.6. rīcības virziena ”Sabiedrības sociālā labklājība un veselība” nepieciešamo rīcību “2. Īstenota stacionārās un ambulatorās aprūpes procesu </w:t>
            </w:r>
            <w:proofErr w:type="spellStart"/>
            <w:r w:rsidRPr="009841AB">
              <w:t>digitalizācija</w:t>
            </w:r>
            <w:proofErr w:type="spellEnd"/>
            <w:r w:rsidRPr="009841AB">
              <w:t xml:space="preserve"> un plānošana, uz vērtību un pacienta labsajūtu orientētas veselības aprūpes nodrošināšana, pielietojot modernās digitālās tehnoloģijas”. </w:t>
            </w:r>
          </w:p>
        </w:tc>
        <w:tc>
          <w:tcPr>
            <w:tcW w:w="2480" w:type="dxa"/>
            <w:tcBorders>
              <w:left w:val="single" w:sz="6" w:space="0" w:color="000000" w:themeColor="text1"/>
              <w:bottom w:val="single" w:sz="4" w:space="0" w:color="auto"/>
            </w:tcBorders>
            <w:shd w:val="clear" w:color="auto" w:fill="auto"/>
          </w:tcPr>
          <w:p w14:paraId="71B839B4" w14:textId="77777777" w:rsidR="00C27D3F" w:rsidRPr="00D264F6" w:rsidRDefault="00C27D3F" w:rsidP="00C27D3F">
            <w:pPr>
              <w:pStyle w:val="naisc"/>
              <w:spacing w:before="0" w:after="0"/>
              <w:jc w:val="left"/>
              <w:rPr>
                <w:b/>
                <w:bCs/>
              </w:rPr>
            </w:pPr>
            <w:r w:rsidRPr="009841AB">
              <w:rPr>
                <w:b/>
                <w:bCs/>
              </w:rPr>
              <w:t>Ņemts vērā</w:t>
            </w:r>
          </w:p>
          <w:p w14:paraId="438A95A4" w14:textId="77777777" w:rsidR="00C27D3F" w:rsidRPr="009841AB" w:rsidRDefault="00C27D3F" w:rsidP="00C27D3F">
            <w:pPr>
              <w:pStyle w:val="naisc"/>
              <w:spacing w:before="0" w:after="0"/>
              <w:jc w:val="left"/>
            </w:pPr>
            <w:r w:rsidRPr="009841AB">
              <w:t>Nesaprotami formulētais punkts izslēgts no rīcības nolūku pārskaitījuma</w:t>
            </w:r>
          </w:p>
        </w:tc>
        <w:tc>
          <w:tcPr>
            <w:tcW w:w="3497" w:type="dxa"/>
            <w:tcBorders>
              <w:left w:val="single" w:sz="6" w:space="0" w:color="000000" w:themeColor="text1"/>
              <w:bottom w:val="single" w:sz="4" w:space="0" w:color="auto"/>
            </w:tcBorders>
            <w:shd w:val="clear" w:color="auto" w:fill="auto"/>
          </w:tcPr>
          <w:p w14:paraId="369B9A1B"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4.4.6.</w:t>
            </w:r>
          </w:p>
        </w:tc>
      </w:tr>
      <w:tr w:rsidR="00C27D3F" w:rsidRPr="009841AB" w14:paraId="56D8A62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9D9E4D5" w14:textId="77777777" w:rsidR="00C27D3F" w:rsidRPr="009841AB" w:rsidRDefault="00E44A87" w:rsidP="00C27D3F">
            <w:pPr>
              <w:pStyle w:val="naisc"/>
              <w:spacing w:before="0" w:after="0"/>
            </w:pPr>
            <w:r>
              <w:t>342</w:t>
            </w:r>
          </w:p>
        </w:tc>
        <w:tc>
          <w:tcPr>
            <w:tcW w:w="2427" w:type="dxa"/>
            <w:tcBorders>
              <w:left w:val="single" w:sz="6" w:space="0" w:color="000000" w:themeColor="text1"/>
              <w:bottom w:val="single" w:sz="4" w:space="0" w:color="auto"/>
            </w:tcBorders>
            <w:shd w:val="clear" w:color="auto" w:fill="auto"/>
          </w:tcPr>
          <w:p w14:paraId="572C7B52"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083DE9D" w14:textId="77777777" w:rsidR="00C27D3F" w:rsidRPr="009841AB" w:rsidRDefault="00C27D3F" w:rsidP="00C27D3F">
            <w:pPr>
              <w:ind w:right="12"/>
              <w:jc w:val="both"/>
            </w:pPr>
            <w:r w:rsidRPr="009841AB">
              <w:t>3.</w:t>
            </w:r>
            <w:r w:rsidRPr="009841AB">
              <w:tab/>
              <w:t xml:space="preserve">Lūdzam svītrot 4.4.6. rīcības virziena nepieciešamo rīcību “6. Ieviestas jaunas ārstniecības metodes, tai skaitā personalizētā medicīna, kas balstītas indivīda datu, tai skaitā personas genoma un personas </w:t>
            </w:r>
            <w:proofErr w:type="spellStart"/>
            <w:r w:rsidRPr="009841AB">
              <w:t>mikrobioma</w:t>
            </w:r>
            <w:proofErr w:type="spellEnd"/>
            <w:r w:rsidRPr="009841AB">
              <w:t xml:space="preserve"> genoma sekvenču datu, kā arī fizioloģisko, dzīvesveida un uztura datu padziļinātā analīzē, nodrošina iespēju precīzi izvēlēties konkrētai personai efektīvākos ārstniecības scenārijus un līdzekļus”, jo tās tvērums pārsniedz šo pamatnostādņu ietvaru.</w:t>
            </w:r>
          </w:p>
        </w:tc>
        <w:tc>
          <w:tcPr>
            <w:tcW w:w="2480" w:type="dxa"/>
            <w:tcBorders>
              <w:left w:val="single" w:sz="6" w:space="0" w:color="000000" w:themeColor="text1"/>
              <w:bottom w:val="single" w:sz="4" w:space="0" w:color="auto"/>
            </w:tcBorders>
            <w:shd w:val="clear" w:color="auto" w:fill="auto"/>
          </w:tcPr>
          <w:p w14:paraId="3E002778" w14:textId="77777777" w:rsidR="00C27D3F" w:rsidRPr="00D264F6" w:rsidRDefault="00C27D3F" w:rsidP="00C27D3F">
            <w:pPr>
              <w:pStyle w:val="naisc"/>
              <w:spacing w:before="0" w:after="0"/>
              <w:jc w:val="left"/>
              <w:rPr>
                <w:b/>
                <w:bCs/>
              </w:rPr>
            </w:pPr>
            <w:r w:rsidRPr="009841AB">
              <w:rPr>
                <w:b/>
                <w:bCs/>
              </w:rPr>
              <w:t>Ņemts vērā</w:t>
            </w:r>
          </w:p>
          <w:p w14:paraId="26F6F8CB" w14:textId="77777777" w:rsidR="00C27D3F" w:rsidRPr="009841AB" w:rsidRDefault="00C27D3F" w:rsidP="00C27D3F">
            <w:pPr>
              <w:pStyle w:val="naisc"/>
              <w:spacing w:before="0" w:after="0"/>
              <w:jc w:val="left"/>
            </w:pPr>
            <w:r w:rsidRPr="009841AB">
              <w:t>Punkts izslēgts no rīcības nolūku pārskaitījuma</w:t>
            </w:r>
          </w:p>
        </w:tc>
        <w:tc>
          <w:tcPr>
            <w:tcW w:w="3497" w:type="dxa"/>
            <w:tcBorders>
              <w:left w:val="single" w:sz="6" w:space="0" w:color="000000" w:themeColor="text1"/>
              <w:bottom w:val="single" w:sz="4" w:space="0" w:color="auto"/>
            </w:tcBorders>
            <w:shd w:val="clear" w:color="auto" w:fill="auto"/>
          </w:tcPr>
          <w:p w14:paraId="6BB3412F"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4.4.6.</w:t>
            </w:r>
          </w:p>
        </w:tc>
      </w:tr>
      <w:tr w:rsidR="00C27D3F" w:rsidRPr="009841AB" w14:paraId="1D81BA8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06C0129" w14:textId="77777777" w:rsidR="00C27D3F" w:rsidRPr="009841AB" w:rsidRDefault="00E44A87" w:rsidP="00C27D3F">
            <w:pPr>
              <w:pStyle w:val="naisc"/>
              <w:spacing w:before="0" w:after="0"/>
            </w:pPr>
            <w:r>
              <w:t>343</w:t>
            </w:r>
          </w:p>
        </w:tc>
        <w:tc>
          <w:tcPr>
            <w:tcW w:w="2427" w:type="dxa"/>
            <w:tcBorders>
              <w:left w:val="single" w:sz="6" w:space="0" w:color="000000" w:themeColor="text1"/>
              <w:bottom w:val="single" w:sz="4" w:space="0" w:color="auto"/>
            </w:tcBorders>
            <w:shd w:val="clear" w:color="auto" w:fill="auto"/>
          </w:tcPr>
          <w:p w14:paraId="5A75628D"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452A133" w14:textId="77777777" w:rsidR="00C27D3F" w:rsidRPr="009841AB" w:rsidRDefault="00C27D3F" w:rsidP="00C27D3F">
            <w:pPr>
              <w:ind w:right="12"/>
              <w:jc w:val="both"/>
            </w:pPr>
            <w:r w:rsidRPr="009841AB">
              <w:t>4.</w:t>
            </w:r>
            <w:r w:rsidRPr="009841AB">
              <w:tab/>
              <w:t>Lūdzam skaidrot, kas tiek saprasts ar 4.4.6. rīcības virziena 7.punktā minēto “ 7.</w:t>
            </w:r>
            <w:r w:rsidRPr="009841AB">
              <w:tab/>
              <w:t xml:space="preserve"> Izveidota nacionālā </w:t>
            </w:r>
            <w:proofErr w:type="spellStart"/>
            <w:r w:rsidRPr="009841AB">
              <w:t>Biobanka</w:t>
            </w:r>
            <w:proofErr w:type="spellEnd"/>
            <w:r w:rsidRPr="009841AB">
              <w:t xml:space="preserve"> kas, izmantojot valsts datu apmaiņas koplietošanas risinājumus, nodrošina iedzīvotāju genoma sekvenču datu kopīgu izmantošanu personalizētās medicīnas un medicīnas pētniecības un inovāciju attīstībai.” Vai tiek piedāvāts veidot jaunu nacionāla līmeņa </w:t>
            </w:r>
            <w:proofErr w:type="spellStart"/>
            <w:r w:rsidRPr="009841AB">
              <w:t>biobanku</w:t>
            </w:r>
            <w:proofErr w:type="spellEnd"/>
            <w:r w:rsidRPr="009841AB">
              <w:t xml:space="preserve">? Vēršam uzmanību, ka Valsts iedzīvotāju genoma datubāze ir nacionāla līmeņa </w:t>
            </w:r>
            <w:proofErr w:type="spellStart"/>
            <w:r w:rsidRPr="009841AB">
              <w:t>biobanka</w:t>
            </w:r>
            <w:proofErr w:type="spellEnd"/>
            <w:r w:rsidRPr="009841AB">
              <w:t>.</w:t>
            </w:r>
          </w:p>
        </w:tc>
        <w:tc>
          <w:tcPr>
            <w:tcW w:w="2480" w:type="dxa"/>
            <w:tcBorders>
              <w:left w:val="single" w:sz="6" w:space="0" w:color="000000" w:themeColor="text1"/>
              <w:bottom w:val="single" w:sz="4" w:space="0" w:color="auto"/>
            </w:tcBorders>
            <w:shd w:val="clear" w:color="auto" w:fill="auto"/>
          </w:tcPr>
          <w:p w14:paraId="50FF0388" w14:textId="77777777" w:rsidR="00C27D3F" w:rsidRPr="00D264F6" w:rsidRDefault="00C27D3F" w:rsidP="00C27D3F">
            <w:pPr>
              <w:pStyle w:val="naisc"/>
              <w:spacing w:before="0" w:after="0"/>
              <w:jc w:val="left"/>
              <w:rPr>
                <w:b/>
                <w:bCs/>
              </w:rPr>
            </w:pPr>
            <w:r w:rsidRPr="009841AB">
              <w:rPr>
                <w:b/>
                <w:bCs/>
              </w:rPr>
              <w:t>Ņemts vērā</w:t>
            </w:r>
          </w:p>
          <w:p w14:paraId="623768B9" w14:textId="77777777" w:rsidR="00C27D3F" w:rsidRPr="009841AB" w:rsidRDefault="00C27D3F" w:rsidP="00C27D3F">
            <w:pPr>
              <w:pStyle w:val="naisc"/>
              <w:spacing w:before="0" w:after="0"/>
              <w:jc w:val="left"/>
            </w:pPr>
            <w:r w:rsidRPr="009841AB">
              <w:t xml:space="preserve">Attiecīgā rīcības nolūka formulējums ir koriģēts, t.sk. lai novērstu bažas par nodomu veidot jaunu nacionālā līmeņa </w:t>
            </w:r>
            <w:proofErr w:type="spellStart"/>
            <w:r w:rsidRPr="009841AB">
              <w:t>biobanku</w:t>
            </w:r>
            <w:proofErr w:type="spellEnd"/>
            <w:r w:rsidRPr="009841AB">
              <w:t>.</w:t>
            </w:r>
          </w:p>
        </w:tc>
        <w:tc>
          <w:tcPr>
            <w:tcW w:w="3497" w:type="dxa"/>
            <w:tcBorders>
              <w:left w:val="single" w:sz="6" w:space="0" w:color="000000" w:themeColor="text1"/>
              <w:bottom w:val="single" w:sz="4" w:space="0" w:color="auto"/>
            </w:tcBorders>
            <w:shd w:val="clear" w:color="auto" w:fill="auto"/>
          </w:tcPr>
          <w:p w14:paraId="02B965C4" w14:textId="77777777" w:rsidR="00C27D3F" w:rsidRPr="009841AB" w:rsidRDefault="00C27D3F" w:rsidP="00C27D3F">
            <w:pPr>
              <w:pStyle w:val="naisc"/>
              <w:spacing w:before="0" w:after="0"/>
              <w:jc w:val="both"/>
            </w:pPr>
            <w:r w:rsidRPr="009841AB">
              <w:t xml:space="preserve">Lūdzam skatīt </w:t>
            </w:r>
            <w:proofErr w:type="spellStart"/>
            <w:r w:rsidRPr="009841AB">
              <w:t>apakšsadaļu</w:t>
            </w:r>
            <w:proofErr w:type="spellEnd"/>
            <w:r w:rsidRPr="009841AB">
              <w:t xml:space="preserve"> 4.4.6.</w:t>
            </w:r>
          </w:p>
        </w:tc>
      </w:tr>
      <w:tr w:rsidR="00C27D3F" w:rsidRPr="009841AB" w14:paraId="1321C05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4DE0BAA" w14:textId="77777777" w:rsidR="00C27D3F" w:rsidRPr="009841AB" w:rsidRDefault="00E44A87" w:rsidP="00C27D3F">
            <w:pPr>
              <w:pStyle w:val="naisc"/>
              <w:spacing w:before="0" w:after="0"/>
            </w:pPr>
            <w:r>
              <w:t>344</w:t>
            </w:r>
          </w:p>
        </w:tc>
        <w:tc>
          <w:tcPr>
            <w:tcW w:w="2427" w:type="dxa"/>
            <w:tcBorders>
              <w:left w:val="single" w:sz="6" w:space="0" w:color="000000" w:themeColor="text1"/>
              <w:bottom w:val="single" w:sz="4" w:space="0" w:color="auto"/>
            </w:tcBorders>
            <w:shd w:val="clear" w:color="auto" w:fill="auto"/>
          </w:tcPr>
          <w:p w14:paraId="257246D6"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C143D8F" w14:textId="77777777" w:rsidR="00C27D3F" w:rsidRPr="009841AB" w:rsidRDefault="00C27D3F" w:rsidP="00C27D3F">
            <w:pPr>
              <w:ind w:right="12"/>
              <w:jc w:val="both"/>
            </w:pPr>
            <w:r w:rsidRPr="009841AB">
              <w:t>5.</w:t>
            </w:r>
            <w:r w:rsidRPr="009841AB">
              <w:tab/>
              <w:t xml:space="preserve"> Lūdzam skaidrot 4.4.6. rīcības virziena nepieciešamās rīcības “3. Jānosaka vienotu datu klasifikatoru izmantošana veselības nozarē, lai veicinātu dažādu nozarē esošu datu bāzu savietojamību” būtību un precizēt šo rīcību. Lūdzam minēt klasifikatoru piemērus, un kuras veselības </w:t>
            </w:r>
            <w:r w:rsidRPr="009841AB">
              <w:lastRenderedPageBreak/>
              <w:t>nozarē esošās datu bāzes nav savietojamas klasifikatoru neesamības dēļ. Vai ir runa par valsts līmeņa datubāzēm/informācijas sistēmām?</w:t>
            </w:r>
          </w:p>
        </w:tc>
        <w:tc>
          <w:tcPr>
            <w:tcW w:w="2480" w:type="dxa"/>
            <w:tcBorders>
              <w:left w:val="single" w:sz="6" w:space="0" w:color="000000" w:themeColor="text1"/>
              <w:bottom w:val="single" w:sz="4" w:space="0" w:color="auto"/>
            </w:tcBorders>
            <w:shd w:val="clear" w:color="auto" w:fill="auto"/>
          </w:tcPr>
          <w:p w14:paraId="1F8A6B2C" w14:textId="77777777" w:rsidR="00C27D3F" w:rsidRPr="00D264F6" w:rsidRDefault="00C27D3F" w:rsidP="00C27D3F">
            <w:pPr>
              <w:pStyle w:val="naisc"/>
              <w:spacing w:before="0" w:after="0"/>
              <w:jc w:val="left"/>
              <w:rPr>
                <w:b/>
                <w:bCs/>
              </w:rPr>
            </w:pPr>
            <w:r w:rsidRPr="009841AB">
              <w:rPr>
                <w:b/>
                <w:bCs/>
              </w:rPr>
              <w:lastRenderedPageBreak/>
              <w:t>Ņemts vērā</w:t>
            </w:r>
          </w:p>
          <w:p w14:paraId="1C3E30C2" w14:textId="77777777" w:rsidR="00C27D3F" w:rsidRPr="009841AB" w:rsidRDefault="00C27D3F" w:rsidP="00C27D3F">
            <w:pPr>
              <w:pStyle w:val="naisc"/>
              <w:spacing w:before="0" w:after="0"/>
              <w:jc w:val="left"/>
            </w:pPr>
            <w:r w:rsidRPr="009841AB">
              <w:t xml:space="preserve">Nepieciešamās rīcības formulējumi, tāpat kā sadaļas teksts kopumā ir koriģēts saīsināšanas virzienā, pēc iespējas </w:t>
            </w:r>
            <w:r w:rsidRPr="009841AB">
              <w:lastRenderedPageBreak/>
              <w:t>izvairoties no pretrunīgi interpretējamiem apgalvojumiem par konkrētiem risinājumiem</w:t>
            </w:r>
          </w:p>
        </w:tc>
        <w:tc>
          <w:tcPr>
            <w:tcW w:w="3497" w:type="dxa"/>
            <w:tcBorders>
              <w:left w:val="single" w:sz="6" w:space="0" w:color="000000" w:themeColor="text1"/>
              <w:bottom w:val="single" w:sz="4" w:space="0" w:color="auto"/>
            </w:tcBorders>
            <w:shd w:val="clear" w:color="auto" w:fill="auto"/>
          </w:tcPr>
          <w:p w14:paraId="18E137AE" w14:textId="77777777" w:rsidR="00C27D3F" w:rsidRPr="009841AB" w:rsidRDefault="00C27D3F" w:rsidP="00C27D3F">
            <w:pPr>
              <w:pStyle w:val="naisc"/>
              <w:spacing w:before="0" w:after="0"/>
              <w:jc w:val="both"/>
            </w:pPr>
            <w:r w:rsidRPr="009841AB">
              <w:lastRenderedPageBreak/>
              <w:t xml:space="preserve">Lūdzam skatīt </w:t>
            </w:r>
            <w:proofErr w:type="spellStart"/>
            <w:r w:rsidRPr="009841AB">
              <w:t>apakšsadaļu</w:t>
            </w:r>
            <w:proofErr w:type="spellEnd"/>
            <w:r w:rsidRPr="009841AB">
              <w:t xml:space="preserve"> 4.4.6.</w:t>
            </w:r>
          </w:p>
        </w:tc>
      </w:tr>
      <w:tr w:rsidR="00C27D3F" w:rsidRPr="009841AB" w14:paraId="1DF8D8A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0DC90F1" w14:textId="77777777" w:rsidR="00C27D3F" w:rsidRPr="009841AB" w:rsidRDefault="00E44A87" w:rsidP="00C27D3F">
            <w:pPr>
              <w:pStyle w:val="naisc"/>
              <w:spacing w:before="0" w:after="0"/>
            </w:pPr>
            <w:r>
              <w:t>345</w:t>
            </w:r>
          </w:p>
        </w:tc>
        <w:tc>
          <w:tcPr>
            <w:tcW w:w="2427" w:type="dxa"/>
            <w:tcBorders>
              <w:left w:val="single" w:sz="6" w:space="0" w:color="000000" w:themeColor="text1"/>
              <w:bottom w:val="single" w:sz="4" w:space="0" w:color="auto"/>
            </w:tcBorders>
            <w:shd w:val="clear" w:color="auto" w:fill="auto"/>
          </w:tcPr>
          <w:p w14:paraId="78B11E07"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DD9E063" w14:textId="77777777" w:rsidR="00C27D3F" w:rsidRPr="009841AB" w:rsidRDefault="00C27D3F" w:rsidP="00C27D3F">
            <w:pPr>
              <w:ind w:right="12"/>
              <w:jc w:val="both"/>
            </w:pPr>
            <w:r w:rsidRPr="009841AB">
              <w:t>6.</w:t>
            </w:r>
            <w:r w:rsidRPr="009841AB">
              <w:tab/>
              <w:t xml:space="preserve">Lūdzam skaidrot 4.4.6. rīcības virziena nepieciešamās rīcības “Jāizstrādā tiesiskais regulējums: nosakot redzot sadarbības modeli medicīnisko datu savstarpējai apmaiņai un uzkrāšanai starp komerciālām un valsts informācijas sistēmām” būtību un mērķi un precizēt to. Datu apmaiņas kārtība starp e-veselības sistēmu un ārstniecības iestāžu un aptieku informācijas sistēmām noteikta Ministru kabineta 2014.gada 11.marta noteikumos Nr.134. </w:t>
            </w:r>
          </w:p>
        </w:tc>
        <w:tc>
          <w:tcPr>
            <w:tcW w:w="2480" w:type="dxa"/>
            <w:tcBorders>
              <w:left w:val="single" w:sz="6" w:space="0" w:color="000000" w:themeColor="text1"/>
              <w:bottom w:val="single" w:sz="4" w:space="0" w:color="auto"/>
            </w:tcBorders>
            <w:shd w:val="clear" w:color="auto" w:fill="auto"/>
          </w:tcPr>
          <w:p w14:paraId="6A821AE4" w14:textId="77777777" w:rsidR="00C27D3F" w:rsidRPr="00D264F6" w:rsidRDefault="00C27D3F" w:rsidP="00C27D3F">
            <w:pPr>
              <w:pStyle w:val="naisc"/>
              <w:spacing w:before="0" w:after="0"/>
              <w:jc w:val="left"/>
              <w:rPr>
                <w:b/>
                <w:bCs/>
              </w:rPr>
            </w:pPr>
            <w:r w:rsidRPr="009841AB">
              <w:rPr>
                <w:b/>
                <w:bCs/>
              </w:rPr>
              <w:t>Ņemts vērā</w:t>
            </w:r>
          </w:p>
          <w:p w14:paraId="1C4E905F" w14:textId="77777777" w:rsidR="00C27D3F" w:rsidRPr="009841AB" w:rsidRDefault="00C27D3F" w:rsidP="00C27D3F">
            <w:pPr>
              <w:pStyle w:val="naisc"/>
              <w:spacing w:before="0" w:after="0"/>
              <w:jc w:val="left"/>
            </w:pPr>
            <w:r w:rsidRPr="009841AB">
              <w:t>Nepieciešamās rīcības formulējums attiecībā uz tiesiskā regulējuma pilnveidojumiem ir precizēts, skaidri norādot, ka ir runa par regulējuma (tāpat kā tehnisko risinājumu) pilnveidojumiem, ne izstrādi no jauna.</w:t>
            </w:r>
          </w:p>
        </w:tc>
        <w:tc>
          <w:tcPr>
            <w:tcW w:w="3497" w:type="dxa"/>
            <w:tcBorders>
              <w:left w:val="single" w:sz="6" w:space="0" w:color="000000" w:themeColor="text1"/>
              <w:bottom w:val="single" w:sz="4" w:space="0" w:color="auto"/>
            </w:tcBorders>
            <w:shd w:val="clear" w:color="auto" w:fill="auto"/>
          </w:tcPr>
          <w:p w14:paraId="0D054370"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4.4.6.</w:t>
            </w:r>
          </w:p>
        </w:tc>
      </w:tr>
      <w:tr w:rsidR="00C27D3F" w:rsidRPr="009841AB" w14:paraId="5C3D73F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E9B9A7D" w14:textId="77777777" w:rsidR="00C27D3F" w:rsidRPr="009841AB" w:rsidRDefault="00E44A87" w:rsidP="00C27D3F">
            <w:pPr>
              <w:pStyle w:val="naisc"/>
              <w:spacing w:before="0" w:after="0"/>
            </w:pPr>
            <w:r>
              <w:t>346</w:t>
            </w:r>
          </w:p>
        </w:tc>
        <w:tc>
          <w:tcPr>
            <w:tcW w:w="2427" w:type="dxa"/>
            <w:tcBorders>
              <w:left w:val="single" w:sz="6" w:space="0" w:color="000000" w:themeColor="text1"/>
              <w:bottom w:val="single" w:sz="4" w:space="0" w:color="auto"/>
            </w:tcBorders>
            <w:shd w:val="clear" w:color="auto" w:fill="auto"/>
          </w:tcPr>
          <w:p w14:paraId="62828CDE"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5630A5F" w14:textId="77777777" w:rsidR="00C27D3F" w:rsidRPr="009841AB" w:rsidRDefault="00C27D3F" w:rsidP="00C27D3F">
            <w:pPr>
              <w:ind w:right="12"/>
              <w:jc w:val="both"/>
            </w:pPr>
            <w:r w:rsidRPr="009841AB">
              <w:t>7.</w:t>
            </w:r>
            <w:r w:rsidRPr="009841AB">
              <w:tab/>
              <w:t xml:space="preserve">Lūdzam precizēt 4.4.6. rīcības virziena nepieciešamo rīcību “Jāizstrādā tiesiskais regulējums: mūsdienīgs regulējums ir nepieciešams gan datu izmantošanai un </w:t>
            </w:r>
            <w:proofErr w:type="spellStart"/>
            <w:r w:rsidRPr="009841AB">
              <w:t>atkalizmantošanai</w:t>
            </w:r>
            <w:proofErr w:type="spellEnd"/>
            <w:r w:rsidRPr="009841AB">
              <w:t xml:space="preserve">, gan arī pētniecības un attīstības nodrošināšanai. Papildus nepieciešams valsts pārvaldē ieviest funkciju, kas nodrošina sekundāro veselības datu izmantošanas pieprasījumu izskatīšanu un datu izsniegšanu.” Kas tiek saprasts ar “mūsdienīgs regulējums ir nepieciešams gan datu izmantošanai un </w:t>
            </w:r>
            <w:proofErr w:type="spellStart"/>
            <w:r w:rsidRPr="009841AB">
              <w:t>atkalizmantošanai</w:t>
            </w:r>
            <w:proofErr w:type="spellEnd"/>
            <w:r w:rsidRPr="009841AB">
              <w:t xml:space="preserve"> …”</w:t>
            </w:r>
          </w:p>
        </w:tc>
        <w:tc>
          <w:tcPr>
            <w:tcW w:w="2480" w:type="dxa"/>
            <w:tcBorders>
              <w:left w:val="single" w:sz="6" w:space="0" w:color="000000" w:themeColor="text1"/>
              <w:bottom w:val="single" w:sz="4" w:space="0" w:color="auto"/>
            </w:tcBorders>
            <w:shd w:val="clear" w:color="auto" w:fill="auto"/>
          </w:tcPr>
          <w:p w14:paraId="0391C3AB" w14:textId="77777777" w:rsidR="00C27D3F" w:rsidRPr="00D264F6" w:rsidRDefault="00C27D3F" w:rsidP="00C27D3F">
            <w:pPr>
              <w:pStyle w:val="naisc"/>
              <w:spacing w:before="0" w:after="0"/>
              <w:jc w:val="left"/>
              <w:rPr>
                <w:b/>
                <w:bCs/>
              </w:rPr>
            </w:pPr>
            <w:r w:rsidRPr="009841AB">
              <w:rPr>
                <w:b/>
                <w:bCs/>
              </w:rPr>
              <w:t>Ņemts vērā</w:t>
            </w:r>
          </w:p>
          <w:p w14:paraId="0A0C32D8" w14:textId="77777777" w:rsidR="00C27D3F" w:rsidRPr="009841AB" w:rsidRDefault="00C27D3F" w:rsidP="00C27D3F">
            <w:pPr>
              <w:pStyle w:val="naisc"/>
              <w:spacing w:before="0" w:after="0"/>
              <w:jc w:val="left"/>
            </w:pPr>
            <w:r w:rsidRPr="009841AB">
              <w:t>Nepieciešamā rīcības virziena formulējums ir koriģēts, lai novērstu pārpratumus. Nodoms ir vērst uzmanību uz to, ka atbilstības ES jaunajam regulējumam datu (t.sk. veselības nozares) pārvaldībai var prasīt gan tiesiskā regulējuma, gan, visticamāk, arī institucionālās organizācijas attīstību.</w:t>
            </w:r>
          </w:p>
        </w:tc>
        <w:tc>
          <w:tcPr>
            <w:tcW w:w="3497" w:type="dxa"/>
            <w:tcBorders>
              <w:left w:val="single" w:sz="6" w:space="0" w:color="000000" w:themeColor="text1"/>
              <w:bottom w:val="single" w:sz="4" w:space="0" w:color="auto"/>
            </w:tcBorders>
            <w:shd w:val="clear" w:color="auto" w:fill="auto"/>
          </w:tcPr>
          <w:p w14:paraId="11073308"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4.4.6.</w:t>
            </w:r>
          </w:p>
        </w:tc>
      </w:tr>
      <w:tr w:rsidR="00C27D3F" w:rsidRPr="009841AB" w14:paraId="349B132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C970EE5" w14:textId="77777777" w:rsidR="00C27D3F" w:rsidRPr="009841AB" w:rsidRDefault="00E44A87" w:rsidP="00C27D3F">
            <w:pPr>
              <w:pStyle w:val="naisc"/>
              <w:spacing w:before="0" w:after="0"/>
            </w:pPr>
            <w:r>
              <w:t>347</w:t>
            </w:r>
          </w:p>
        </w:tc>
        <w:tc>
          <w:tcPr>
            <w:tcW w:w="2427" w:type="dxa"/>
            <w:tcBorders>
              <w:left w:val="single" w:sz="6" w:space="0" w:color="000000" w:themeColor="text1"/>
              <w:bottom w:val="single" w:sz="4" w:space="0" w:color="auto"/>
            </w:tcBorders>
            <w:shd w:val="clear" w:color="auto" w:fill="auto"/>
          </w:tcPr>
          <w:p w14:paraId="0A232F33"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2D6805D" w14:textId="77777777" w:rsidR="00C27D3F" w:rsidRPr="009841AB" w:rsidRDefault="00C27D3F" w:rsidP="00C27D3F">
            <w:pPr>
              <w:ind w:right="12"/>
              <w:jc w:val="both"/>
            </w:pPr>
            <w:r w:rsidRPr="009841AB">
              <w:t>8.</w:t>
            </w:r>
            <w:r w:rsidRPr="009841AB">
              <w:tab/>
              <w:t xml:space="preserve">Lūdzam skaidrot 4.4.6. rīcības virziena nepieciešamās rīcības “Jāizstrādā tiesiskais regulējums: nodrošinot savu datu pārvaldības iespējas </w:t>
            </w:r>
            <w:r w:rsidRPr="009841AB">
              <w:lastRenderedPageBreak/>
              <w:t xml:space="preserve">personai e-veselības elektroniskajā veselības kartē” būtību un precizēt to.  Datu pārvaldības iespējas personas elektroniskajā veselības kartē e-veselībās noteiktas Ministru kabineta 2014.gada 11.marta noteikumos Nr.134. </w:t>
            </w:r>
          </w:p>
        </w:tc>
        <w:tc>
          <w:tcPr>
            <w:tcW w:w="2480" w:type="dxa"/>
            <w:tcBorders>
              <w:left w:val="single" w:sz="6" w:space="0" w:color="000000" w:themeColor="text1"/>
              <w:bottom w:val="single" w:sz="4" w:space="0" w:color="auto"/>
            </w:tcBorders>
            <w:shd w:val="clear" w:color="auto" w:fill="auto"/>
          </w:tcPr>
          <w:p w14:paraId="7A07122D" w14:textId="77777777" w:rsidR="00C27D3F" w:rsidRPr="00D264F6" w:rsidRDefault="00C27D3F" w:rsidP="00C27D3F">
            <w:pPr>
              <w:pStyle w:val="naisc"/>
              <w:spacing w:before="0" w:after="0"/>
              <w:jc w:val="left"/>
              <w:rPr>
                <w:b/>
                <w:bCs/>
              </w:rPr>
            </w:pPr>
            <w:r w:rsidRPr="009841AB">
              <w:rPr>
                <w:b/>
                <w:bCs/>
              </w:rPr>
              <w:lastRenderedPageBreak/>
              <w:t>Ņemts vērā</w:t>
            </w:r>
          </w:p>
          <w:p w14:paraId="7C51307F" w14:textId="77777777" w:rsidR="00C27D3F" w:rsidRPr="009841AB" w:rsidRDefault="00C27D3F" w:rsidP="00C27D3F">
            <w:pPr>
              <w:pStyle w:val="naisc"/>
              <w:spacing w:before="0" w:after="0"/>
              <w:jc w:val="both"/>
            </w:pPr>
            <w:r w:rsidRPr="009841AB">
              <w:t xml:space="preserve">Formulējumi par nepieciešamo rīcību </w:t>
            </w:r>
            <w:r w:rsidRPr="009841AB">
              <w:lastRenderedPageBreak/>
              <w:t>tiesiskā regulējuma pilnveidošanas jomā ir būtiski koriģēti.</w:t>
            </w:r>
          </w:p>
          <w:p w14:paraId="51BE7B7C" w14:textId="77777777" w:rsidR="00C27D3F" w:rsidRPr="009841AB" w:rsidRDefault="00C27D3F" w:rsidP="00C27D3F">
            <w:pPr>
              <w:pStyle w:val="naisc"/>
              <w:spacing w:before="0" w:after="0"/>
              <w:jc w:val="both"/>
            </w:pPr>
          </w:p>
          <w:p w14:paraId="13942DEC" w14:textId="77777777" w:rsidR="00C27D3F" w:rsidRPr="009841AB" w:rsidRDefault="00C27D3F" w:rsidP="00C27D3F">
            <w:pPr>
              <w:pStyle w:val="naisc"/>
              <w:spacing w:before="0" w:after="0"/>
              <w:jc w:val="both"/>
            </w:pPr>
            <w:r w:rsidRPr="009841AB">
              <w:t>(skat. arī atbildes uz iepriekšējiem iebildumiem)</w:t>
            </w:r>
          </w:p>
          <w:p w14:paraId="36B28376" w14:textId="77777777" w:rsidR="00C27D3F" w:rsidRPr="009841AB" w:rsidRDefault="00C27D3F" w:rsidP="00C27D3F">
            <w:pPr>
              <w:pStyle w:val="naisc"/>
              <w:spacing w:before="0" w:after="0"/>
              <w:jc w:val="left"/>
            </w:pPr>
          </w:p>
        </w:tc>
        <w:tc>
          <w:tcPr>
            <w:tcW w:w="3497" w:type="dxa"/>
            <w:tcBorders>
              <w:left w:val="single" w:sz="6" w:space="0" w:color="000000" w:themeColor="text1"/>
              <w:bottom w:val="single" w:sz="4" w:space="0" w:color="auto"/>
            </w:tcBorders>
            <w:shd w:val="clear" w:color="auto" w:fill="auto"/>
          </w:tcPr>
          <w:p w14:paraId="796A1FB4" w14:textId="77777777" w:rsidR="00C27D3F" w:rsidRPr="009841AB" w:rsidRDefault="00C27D3F" w:rsidP="00C27D3F">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4.4.6.</w:t>
            </w:r>
          </w:p>
          <w:p w14:paraId="774F346C" w14:textId="77777777" w:rsidR="00C27D3F" w:rsidRPr="009841AB" w:rsidRDefault="00C27D3F" w:rsidP="00C27D3F">
            <w:pPr>
              <w:pStyle w:val="naisc"/>
              <w:spacing w:before="0" w:after="0"/>
              <w:jc w:val="both"/>
            </w:pPr>
            <w:r w:rsidRPr="009841AB">
              <w:t xml:space="preserve"> </w:t>
            </w:r>
          </w:p>
        </w:tc>
      </w:tr>
      <w:tr w:rsidR="00C27D3F" w:rsidRPr="009841AB" w14:paraId="178A535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C3A01F4" w14:textId="77777777" w:rsidR="00C27D3F" w:rsidRPr="009841AB" w:rsidRDefault="00E44A87" w:rsidP="00C27D3F">
            <w:pPr>
              <w:pStyle w:val="naisc"/>
              <w:spacing w:before="0" w:after="0"/>
            </w:pPr>
            <w:r>
              <w:t>348</w:t>
            </w:r>
          </w:p>
        </w:tc>
        <w:tc>
          <w:tcPr>
            <w:tcW w:w="2427" w:type="dxa"/>
            <w:tcBorders>
              <w:left w:val="single" w:sz="6" w:space="0" w:color="000000" w:themeColor="text1"/>
              <w:bottom w:val="single" w:sz="4" w:space="0" w:color="auto"/>
            </w:tcBorders>
            <w:shd w:val="clear" w:color="auto" w:fill="auto"/>
          </w:tcPr>
          <w:p w14:paraId="1869B81F"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AC945DE" w14:textId="77777777" w:rsidR="00C27D3F" w:rsidRPr="009841AB" w:rsidRDefault="00C27D3F" w:rsidP="00C27D3F">
            <w:pPr>
              <w:ind w:right="12"/>
              <w:jc w:val="both"/>
            </w:pPr>
            <w:r w:rsidRPr="009841AB">
              <w:t>9.</w:t>
            </w:r>
            <w:r w:rsidRPr="009841AB">
              <w:tab/>
              <w:t>Lūdzam skaidrot un precizēt 4.4.6. rīcības virziena uzdevumu: “U4.4.6.-1. Noteikt harmonizētu datu standartu, kas būtu kvalitatīvs un mūsdienu prasībām atbilstošs, t.sk. integrējams ar Eiropas Veselības datu telpas ietvaros apmaināmiem datiem. Šim standartam jāparedz pieejamo datu kvalitātes un apjoma pieaugums, jo esošajā e-veselības sistēmā pieejamie dati nav pietiekami pilnvērtīgas ārstniecības, veselības aprūpes kvalitātes un veselības politikas plānošanas nodrošināšanai.” Kas tiek saprasts ar harmonizēta, kvalitatīva un mūsdienu prasībām atbilstošu datu standartu? Vai ir domāts kāds konkrēts standarts?</w:t>
            </w:r>
          </w:p>
        </w:tc>
        <w:tc>
          <w:tcPr>
            <w:tcW w:w="2480" w:type="dxa"/>
            <w:tcBorders>
              <w:left w:val="single" w:sz="6" w:space="0" w:color="000000" w:themeColor="text1"/>
              <w:bottom w:val="single" w:sz="4" w:space="0" w:color="auto"/>
            </w:tcBorders>
            <w:shd w:val="clear" w:color="auto" w:fill="auto"/>
          </w:tcPr>
          <w:p w14:paraId="068A2FDE" w14:textId="77777777" w:rsidR="00C27D3F" w:rsidRPr="009841AB" w:rsidRDefault="00C27D3F" w:rsidP="00C27D3F">
            <w:pPr>
              <w:pStyle w:val="naisc"/>
              <w:spacing w:before="0" w:after="0"/>
              <w:jc w:val="left"/>
              <w:rPr>
                <w:b/>
                <w:bCs/>
              </w:rPr>
            </w:pPr>
            <w:r w:rsidRPr="009841AB">
              <w:rPr>
                <w:b/>
                <w:bCs/>
              </w:rPr>
              <w:t>Ņemts vērā</w:t>
            </w:r>
          </w:p>
          <w:p w14:paraId="7E5AFF6F" w14:textId="77777777" w:rsidR="00C27D3F" w:rsidRPr="009841AB" w:rsidRDefault="00C27D3F" w:rsidP="00C27D3F">
            <w:pPr>
              <w:pStyle w:val="naisc"/>
              <w:spacing w:before="0" w:after="0"/>
              <w:jc w:val="left"/>
              <w:rPr>
                <w:b/>
                <w:bCs/>
              </w:rPr>
            </w:pPr>
            <w:r w:rsidRPr="009841AB">
              <w:t>U4.4.6.-1. formulējums ir mainīts.</w:t>
            </w:r>
          </w:p>
        </w:tc>
        <w:tc>
          <w:tcPr>
            <w:tcW w:w="3497" w:type="dxa"/>
            <w:tcBorders>
              <w:left w:val="single" w:sz="6" w:space="0" w:color="000000" w:themeColor="text1"/>
              <w:bottom w:val="single" w:sz="4" w:space="0" w:color="auto"/>
            </w:tcBorders>
            <w:shd w:val="clear" w:color="auto" w:fill="auto"/>
          </w:tcPr>
          <w:p w14:paraId="0406307A"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4.4.6.</w:t>
            </w:r>
          </w:p>
          <w:p w14:paraId="7C7E6234" w14:textId="77777777" w:rsidR="00C27D3F" w:rsidRPr="009841AB" w:rsidRDefault="00C27D3F" w:rsidP="00C27D3F">
            <w:pPr>
              <w:pStyle w:val="naisc"/>
              <w:spacing w:before="0" w:after="0"/>
              <w:jc w:val="both"/>
            </w:pPr>
          </w:p>
        </w:tc>
      </w:tr>
      <w:tr w:rsidR="00C27D3F" w:rsidRPr="009841AB" w14:paraId="16D7344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0ABDA31" w14:textId="77777777" w:rsidR="00C27D3F" w:rsidRPr="009841AB" w:rsidRDefault="00E44A87" w:rsidP="00C27D3F">
            <w:pPr>
              <w:pStyle w:val="naisc"/>
              <w:spacing w:before="0" w:after="0"/>
            </w:pPr>
            <w:r>
              <w:t>349</w:t>
            </w:r>
          </w:p>
        </w:tc>
        <w:tc>
          <w:tcPr>
            <w:tcW w:w="2427" w:type="dxa"/>
            <w:tcBorders>
              <w:left w:val="single" w:sz="6" w:space="0" w:color="000000" w:themeColor="text1"/>
              <w:bottom w:val="single" w:sz="4" w:space="0" w:color="auto"/>
            </w:tcBorders>
            <w:shd w:val="clear" w:color="auto" w:fill="auto"/>
          </w:tcPr>
          <w:p w14:paraId="4BDE5C5F"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C8A88CC" w14:textId="77777777" w:rsidR="00C27D3F" w:rsidRPr="009841AB" w:rsidRDefault="00C27D3F" w:rsidP="00C27D3F">
            <w:pPr>
              <w:ind w:right="12"/>
              <w:jc w:val="both"/>
            </w:pPr>
            <w:r w:rsidRPr="009841AB">
              <w:t>10.</w:t>
            </w:r>
            <w:r w:rsidRPr="009841AB">
              <w:tab/>
              <w:t xml:space="preserve">Lūdzam svītrot 4.4.6. rīcības virziena uzdevumu:  “U4.4.6.-6. Veikt  ārstniecības iestādēs izmantojamo komersantu informācijas sistēmu integrāciju ar e-veselības sistēmu”, jo ārstniecības iestādēs izmantojamo komersantu informācijas sistēmu integrāciju ar e-veselības sistēmu nodrošina komersanti, sadarbībā ar ārstniecības iestādēm. </w:t>
            </w:r>
          </w:p>
        </w:tc>
        <w:tc>
          <w:tcPr>
            <w:tcW w:w="2480" w:type="dxa"/>
            <w:tcBorders>
              <w:left w:val="single" w:sz="6" w:space="0" w:color="000000" w:themeColor="text1"/>
              <w:bottom w:val="single" w:sz="4" w:space="0" w:color="auto"/>
            </w:tcBorders>
            <w:shd w:val="clear" w:color="auto" w:fill="auto"/>
          </w:tcPr>
          <w:p w14:paraId="59AEBD3E" w14:textId="77777777" w:rsidR="00C27D3F" w:rsidRPr="00D264F6" w:rsidRDefault="00C27D3F" w:rsidP="00C27D3F">
            <w:pPr>
              <w:pStyle w:val="naisc"/>
              <w:spacing w:before="0" w:after="0"/>
              <w:jc w:val="left"/>
              <w:rPr>
                <w:b/>
                <w:bCs/>
              </w:rPr>
            </w:pPr>
            <w:r w:rsidRPr="009841AB">
              <w:rPr>
                <w:b/>
                <w:bCs/>
              </w:rPr>
              <w:t>Ņemts vērā</w:t>
            </w:r>
          </w:p>
          <w:p w14:paraId="1F9EEA23" w14:textId="77777777" w:rsidR="00C27D3F" w:rsidRPr="009841AB" w:rsidRDefault="00C27D3F" w:rsidP="00C27D3F">
            <w:pPr>
              <w:pStyle w:val="naisc"/>
              <w:spacing w:before="0" w:after="0"/>
              <w:jc w:val="left"/>
            </w:pPr>
            <w:r w:rsidRPr="009841AB">
              <w:t>Attiecīgais uzdevums izslēgts no sadaļas teksta</w:t>
            </w:r>
          </w:p>
        </w:tc>
        <w:tc>
          <w:tcPr>
            <w:tcW w:w="3497" w:type="dxa"/>
            <w:tcBorders>
              <w:left w:val="single" w:sz="6" w:space="0" w:color="000000" w:themeColor="text1"/>
              <w:bottom w:val="single" w:sz="4" w:space="0" w:color="auto"/>
            </w:tcBorders>
            <w:shd w:val="clear" w:color="auto" w:fill="auto"/>
          </w:tcPr>
          <w:p w14:paraId="2E8908CC"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4.4.6.</w:t>
            </w:r>
          </w:p>
          <w:p w14:paraId="5A2349E8" w14:textId="77777777" w:rsidR="00C27D3F" w:rsidRPr="009841AB" w:rsidRDefault="00C27D3F" w:rsidP="00C27D3F">
            <w:pPr>
              <w:pStyle w:val="naisc"/>
              <w:spacing w:before="0" w:after="0"/>
              <w:jc w:val="both"/>
            </w:pPr>
          </w:p>
        </w:tc>
      </w:tr>
      <w:tr w:rsidR="00C27D3F" w:rsidRPr="009841AB" w14:paraId="12DAA9A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8FD7051" w14:textId="77777777" w:rsidR="00C27D3F" w:rsidRPr="009841AB" w:rsidRDefault="00E44A87" w:rsidP="00C27D3F">
            <w:pPr>
              <w:pStyle w:val="naisc"/>
              <w:spacing w:before="0" w:after="0"/>
            </w:pPr>
            <w:r>
              <w:t>350</w:t>
            </w:r>
          </w:p>
        </w:tc>
        <w:tc>
          <w:tcPr>
            <w:tcW w:w="2427" w:type="dxa"/>
            <w:tcBorders>
              <w:left w:val="single" w:sz="6" w:space="0" w:color="000000" w:themeColor="text1"/>
              <w:bottom w:val="single" w:sz="4" w:space="0" w:color="auto"/>
            </w:tcBorders>
            <w:shd w:val="clear" w:color="auto" w:fill="auto"/>
          </w:tcPr>
          <w:p w14:paraId="0DCABC2E"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5A1E1A4" w14:textId="77777777" w:rsidR="00C27D3F" w:rsidRPr="009841AB" w:rsidRDefault="00C27D3F" w:rsidP="00C27D3F">
            <w:pPr>
              <w:ind w:right="12"/>
              <w:jc w:val="both"/>
            </w:pPr>
            <w:r w:rsidRPr="009841AB">
              <w:t>11.</w:t>
            </w:r>
            <w:r w:rsidRPr="009841AB">
              <w:tab/>
              <w:t>Lūdzam svītrot uzdevumu “U4.4.6.-2</w:t>
            </w:r>
            <w:r w:rsidRPr="009841AB">
              <w:tab/>
              <w:t xml:space="preserve">Nodrošināt pilnvērtīgu pacientu elektroniskās veselības kartes darbību”, jo tas ir pārāk nekonkrēts.  </w:t>
            </w:r>
          </w:p>
        </w:tc>
        <w:tc>
          <w:tcPr>
            <w:tcW w:w="2480" w:type="dxa"/>
            <w:tcBorders>
              <w:left w:val="single" w:sz="6" w:space="0" w:color="000000" w:themeColor="text1"/>
              <w:bottom w:val="single" w:sz="4" w:space="0" w:color="auto"/>
            </w:tcBorders>
            <w:shd w:val="clear" w:color="auto" w:fill="auto"/>
          </w:tcPr>
          <w:p w14:paraId="1E5A1B82" w14:textId="77777777" w:rsidR="00C27D3F" w:rsidRPr="00D264F6" w:rsidRDefault="00C27D3F" w:rsidP="00C27D3F">
            <w:pPr>
              <w:pStyle w:val="naisc"/>
              <w:spacing w:before="0" w:after="0"/>
              <w:jc w:val="left"/>
              <w:rPr>
                <w:b/>
                <w:bCs/>
              </w:rPr>
            </w:pPr>
            <w:r w:rsidRPr="009841AB">
              <w:rPr>
                <w:b/>
                <w:bCs/>
              </w:rPr>
              <w:t>Ņemts vērā</w:t>
            </w:r>
          </w:p>
          <w:p w14:paraId="01DE1648" w14:textId="77777777" w:rsidR="00C27D3F" w:rsidRPr="009841AB" w:rsidRDefault="00C27D3F" w:rsidP="00C27D3F">
            <w:pPr>
              <w:pStyle w:val="naisc"/>
              <w:spacing w:before="0" w:after="0"/>
              <w:jc w:val="left"/>
            </w:pPr>
            <w:r w:rsidRPr="009841AB">
              <w:t>Uzdevuma U4.4.6.-3 (pēc jaunās numerācijas) formulējums ir labots, to papildinot.</w:t>
            </w:r>
          </w:p>
        </w:tc>
        <w:tc>
          <w:tcPr>
            <w:tcW w:w="3497" w:type="dxa"/>
            <w:tcBorders>
              <w:left w:val="single" w:sz="6" w:space="0" w:color="000000" w:themeColor="text1"/>
              <w:bottom w:val="single" w:sz="4" w:space="0" w:color="auto"/>
            </w:tcBorders>
            <w:shd w:val="clear" w:color="auto" w:fill="auto"/>
          </w:tcPr>
          <w:p w14:paraId="400989A5"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4.4.6.</w:t>
            </w:r>
          </w:p>
          <w:p w14:paraId="48F24F57" w14:textId="77777777" w:rsidR="00C27D3F" w:rsidRPr="009841AB" w:rsidRDefault="00C27D3F" w:rsidP="00C27D3F">
            <w:pPr>
              <w:pStyle w:val="naisc"/>
              <w:spacing w:before="0" w:after="0"/>
              <w:jc w:val="both"/>
            </w:pPr>
          </w:p>
        </w:tc>
      </w:tr>
      <w:tr w:rsidR="00C27D3F" w:rsidRPr="009841AB" w14:paraId="30FE3E3C" w14:textId="77777777" w:rsidTr="00DC72A3">
        <w:trPr>
          <w:gridAfter w:val="1"/>
          <w:wAfter w:w="7" w:type="dxa"/>
          <w:trHeight w:val="2214"/>
        </w:trPr>
        <w:tc>
          <w:tcPr>
            <w:tcW w:w="613" w:type="dxa"/>
            <w:tcBorders>
              <w:left w:val="single" w:sz="6" w:space="0" w:color="000000" w:themeColor="text1"/>
              <w:bottom w:val="single" w:sz="4" w:space="0" w:color="auto"/>
            </w:tcBorders>
            <w:shd w:val="clear" w:color="auto" w:fill="auto"/>
          </w:tcPr>
          <w:p w14:paraId="69AA43FA" w14:textId="77777777" w:rsidR="00C27D3F" w:rsidRPr="009841AB" w:rsidRDefault="00E44A87" w:rsidP="00C27D3F">
            <w:pPr>
              <w:pStyle w:val="naisc"/>
              <w:spacing w:before="0" w:after="0"/>
            </w:pPr>
            <w:r>
              <w:lastRenderedPageBreak/>
              <w:t>351</w:t>
            </w:r>
          </w:p>
        </w:tc>
        <w:tc>
          <w:tcPr>
            <w:tcW w:w="2427" w:type="dxa"/>
            <w:tcBorders>
              <w:left w:val="single" w:sz="6" w:space="0" w:color="000000" w:themeColor="text1"/>
              <w:bottom w:val="single" w:sz="4" w:space="0" w:color="auto"/>
            </w:tcBorders>
            <w:shd w:val="clear" w:color="auto" w:fill="auto"/>
          </w:tcPr>
          <w:p w14:paraId="43FEBA64"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E416FBD" w14:textId="77777777" w:rsidR="00C27D3F" w:rsidRPr="009841AB" w:rsidRDefault="00C27D3F" w:rsidP="00C27D3F">
            <w:pPr>
              <w:ind w:right="12"/>
              <w:jc w:val="both"/>
            </w:pPr>
            <w:r w:rsidRPr="009841AB">
              <w:t>12.</w:t>
            </w:r>
            <w:r w:rsidRPr="009841AB">
              <w:tab/>
              <w:t xml:space="preserve">Lūdzam skaidrot un precizēt 4.4.6. rīcības virziena nepieciešamo rīcību “Potenciāli </w:t>
            </w:r>
            <w:proofErr w:type="spellStart"/>
            <w:r w:rsidRPr="009841AB">
              <w:t>MedTech</w:t>
            </w:r>
            <w:proofErr w:type="spellEnd"/>
            <w:r w:rsidRPr="009841AB">
              <w:t xml:space="preserve"> attīstības veicināšana”.</w:t>
            </w:r>
          </w:p>
        </w:tc>
        <w:tc>
          <w:tcPr>
            <w:tcW w:w="2480" w:type="dxa"/>
            <w:tcBorders>
              <w:left w:val="single" w:sz="6" w:space="0" w:color="000000" w:themeColor="text1"/>
              <w:bottom w:val="single" w:sz="4" w:space="0" w:color="auto"/>
            </w:tcBorders>
            <w:shd w:val="clear" w:color="auto" w:fill="auto"/>
          </w:tcPr>
          <w:p w14:paraId="4F685E3B" w14:textId="77777777" w:rsidR="00C27D3F" w:rsidRPr="00D264F6" w:rsidRDefault="00C27D3F" w:rsidP="00C27D3F">
            <w:pPr>
              <w:pStyle w:val="naisc"/>
              <w:spacing w:before="0" w:after="0"/>
              <w:jc w:val="left"/>
              <w:rPr>
                <w:b/>
                <w:bCs/>
              </w:rPr>
            </w:pPr>
            <w:r w:rsidRPr="0035463E">
              <w:rPr>
                <w:b/>
                <w:bCs/>
              </w:rPr>
              <w:t xml:space="preserve">Ņemts vērā </w:t>
            </w:r>
          </w:p>
          <w:p w14:paraId="71F3DC97" w14:textId="77777777" w:rsidR="00C27D3F" w:rsidRPr="009841AB" w:rsidRDefault="00C27D3F" w:rsidP="00C27D3F">
            <w:pPr>
              <w:pStyle w:val="naisc"/>
              <w:spacing w:before="0" w:after="0"/>
              <w:jc w:val="left"/>
            </w:pPr>
            <w:r w:rsidRPr="009841AB">
              <w:t xml:space="preserve">Nepieciešamo rīcību formulējumi ir pārstrukturēti, t.sk. mainot formulējumu arī punktam, kur dota norāde par </w:t>
            </w:r>
            <w:proofErr w:type="spellStart"/>
            <w:r w:rsidRPr="009841AB">
              <w:t>MedTech</w:t>
            </w:r>
            <w:proofErr w:type="spellEnd"/>
            <w:r w:rsidRPr="009841AB">
              <w:t xml:space="preserve"> attīstības veicināšanu.  </w:t>
            </w:r>
          </w:p>
        </w:tc>
        <w:tc>
          <w:tcPr>
            <w:tcW w:w="3497" w:type="dxa"/>
            <w:tcBorders>
              <w:left w:val="single" w:sz="6" w:space="0" w:color="000000" w:themeColor="text1"/>
              <w:bottom w:val="single" w:sz="4" w:space="0" w:color="auto"/>
            </w:tcBorders>
            <w:shd w:val="clear" w:color="auto" w:fill="auto"/>
          </w:tcPr>
          <w:p w14:paraId="336280EC"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4.4.6.</w:t>
            </w:r>
          </w:p>
          <w:p w14:paraId="64F89F25" w14:textId="77777777" w:rsidR="00C27D3F" w:rsidRPr="009841AB" w:rsidRDefault="00C27D3F" w:rsidP="00C27D3F">
            <w:pPr>
              <w:pStyle w:val="naisc"/>
              <w:spacing w:before="0" w:after="0"/>
              <w:jc w:val="both"/>
            </w:pPr>
          </w:p>
        </w:tc>
      </w:tr>
      <w:tr w:rsidR="00C27D3F" w:rsidRPr="009841AB" w14:paraId="62EF476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4A65DF0" w14:textId="77777777" w:rsidR="00C27D3F" w:rsidRPr="009841AB" w:rsidRDefault="00E44A87" w:rsidP="00C27D3F">
            <w:pPr>
              <w:pStyle w:val="naisc"/>
              <w:spacing w:before="0" w:after="0"/>
            </w:pPr>
            <w:r>
              <w:t>352</w:t>
            </w:r>
          </w:p>
        </w:tc>
        <w:tc>
          <w:tcPr>
            <w:tcW w:w="2427" w:type="dxa"/>
            <w:tcBorders>
              <w:left w:val="single" w:sz="6" w:space="0" w:color="000000" w:themeColor="text1"/>
              <w:bottom w:val="single" w:sz="4" w:space="0" w:color="auto"/>
            </w:tcBorders>
            <w:shd w:val="clear" w:color="auto" w:fill="auto"/>
          </w:tcPr>
          <w:p w14:paraId="1D6E875F"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44C106B" w14:textId="77777777" w:rsidR="00C27D3F" w:rsidRPr="009841AB" w:rsidRDefault="00C27D3F" w:rsidP="00C27D3F">
            <w:pPr>
              <w:ind w:right="12"/>
              <w:jc w:val="both"/>
            </w:pPr>
            <w:r w:rsidRPr="009841AB">
              <w:t>13.</w:t>
            </w:r>
            <w:r w:rsidRPr="009841AB">
              <w:tab/>
              <w:t xml:space="preserve">Lūdzam pilnveidot 4.4.6. rīcības virziena esošās situācijas aprakstu, padarot saprotamāku aprakstu par pacienta elektronisko veselības karti un novēršot teksta dublēšanos. </w:t>
            </w:r>
          </w:p>
          <w:p w14:paraId="651EA898" w14:textId="77777777" w:rsidR="00C27D3F" w:rsidRPr="009841AB" w:rsidRDefault="00C27D3F" w:rsidP="00C27D3F">
            <w:pPr>
              <w:ind w:right="12"/>
              <w:jc w:val="both"/>
            </w:pPr>
          </w:p>
          <w:p w14:paraId="6436B33F" w14:textId="77777777" w:rsidR="00C27D3F" w:rsidRPr="009841AB" w:rsidRDefault="00C27D3F" w:rsidP="00C27D3F">
            <w:pPr>
              <w:ind w:right="12"/>
              <w:jc w:val="both"/>
            </w:pPr>
            <w:r w:rsidRPr="009841AB">
              <w:t>13.1.</w:t>
            </w:r>
            <w:r w:rsidRPr="009841AB">
              <w:tab/>
              <w:t xml:space="preserve">Lūdzam situācijas apraksta 1.punktu attiecībā uz veselības nozares datiem un daļēji arī uz sociālās nozares datiem, izteikt šādā redakcijā (tika iesniegts VARAM arī 2020.gada augustā pamatnostādņu izstrādes laikā): </w:t>
            </w:r>
          </w:p>
          <w:p w14:paraId="21876489" w14:textId="77777777" w:rsidR="00C27D3F" w:rsidRPr="009841AB" w:rsidRDefault="00C27D3F" w:rsidP="00C27D3F">
            <w:pPr>
              <w:ind w:right="12"/>
              <w:jc w:val="both"/>
            </w:pPr>
            <w:r w:rsidRPr="009841AB">
              <w:t>“1. Nepilnīga pacientu un sociālās aprūpes klientu medicīnisko un sociālo datu uzkrāšana un to centralizētas pieejamības trūkums</w:t>
            </w:r>
          </w:p>
          <w:p w14:paraId="62289DC8" w14:textId="77777777" w:rsidR="00C27D3F" w:rsidRPr="009841AB" w:rsidRDefault="00C27D3F" w:rsidP="00C27D3F">
            <w:pPr>
              <w:ind w:right="12"/>
              <w:jc w:val="both"/>
            </w:pPr>
            <w:r w:rsidRPr="009841AB">
              <w:t xml:space="preserve">Valsts pārvaldes funkciju un uzdevumu nodrošināšanai sabiedrības veselībā un veselības aprūpē, tai skaitā veselības aprūpes pakalpojumu administrēšanai, pakalpojumu, uzraudzības un kontroles nodrošināšanai, epidemioloģiskajai uzraudzībai, kā arī statistikas nolūkiem dati tiek iegūti gan no ārstniecības iestādēm, gan izglītības iestādēm, gan ārstniecības personu sertifikācijas institūcijām, gan no personām. Valsts pārvaldē veselības nozares dati galvenokārt tiek uzkrāti dažādās informācijas sistēmās , tomēr joprojām ir biznesa procesi, kuri ir vai nu pilnībā, vai daļēji balstīti papīra dokumentācijā, kā rezultātā informācijas aprite ir neefektīva, lēna un </w:t>
            </w:r>
            <w:r w:rsidRPr="009841AB">
              <w:lastRenderedPageBreak/>
              <w:t>palielina administratīvo slogu gan iedzīvotājiem, gan pārvaldes institūcijām.</w:t>
            </w:r>
          </w:p>
          <w:p w14:paraId="4B39DC78" w14:textId="77777777" w:rsidR="00C27D3F" w:rsidRPr="009841AB" w:rsidRDefault="00C27D3F" w:rsidP="00C27D3F">
            <w:pPr>
              <w:ind w:right="12"/>
              <w:jc w:val="both"/>
            </w:pPr>
            <w:r w:rsidRPr="009841AB">
              <w:t xml:space="preserve">Pastāvīgs un ilgstošs resursu trūkums valsts pārvaldē veselības nozarē informācijas sistēmu uzturēšanai, radījis situāciju, kad pieejamais finansējums tiek tērēts tikai akūtu problēmu risināšanai, nevis stratēģiskai informācijas sistēmu attīstībai. Datu nodošana, saņemšana no citām institūcijām vai apkopošana ir lēna, nepilnīga un neefektīva, nereti tiek veikta atkārtota vai manuāla informācijas ievade. Uzkrātie dati nevar tikt pilnvērtīgi izmantoti veselības politikas plānošanā, novērtēšanā, veselības aprūpes kvalitātes un efektivitātes uzlabošanai, statistikas pārskatu sagatavošanai, kā arī pētniecībai, jo nesatur nepieciešamo informāciju vai ir pieejami ar laika nobīdi. </w:t>
            </w:r>
          </w:p>
          <w:p w14:paraId="05CBC722" w14:textId="77777777" w:rsidR="00C27D3F" w:rsidRPr="009841AB" w:rsidRDefault="00C27D3F" w:rsidP="00C27D3F">
            <w:pPr>
              <w:ind w:right="12"/>
              <w:jc w:val="both"/>
            </w:pPr>
            <w:r w:rsidRPr="009841AB">
              <w:t>Lai veicinātu datu apstrādes efektivitāti, uzlabotu veselības nozares datu analīzes iespējas, mazinātu administratīvo slogu, gan pacientiem, gan ārstniecības iestādēm, gan publiskās pārvaldes institūcijām, nepieciešama valsts pārvaldes funkciju nodrošināšanai nepieciešamo datu un datu apmaiņas procesu pārskatīšana, veselības nozares valsts informāciju sistēmu attīstīšana, tai skaitā datu analīzes iespēju attīstīšana, izmantojot mākslīgā intelekta risinājumus, kā arī jaunu datu apstrādes platformu izveide.</w:t>
            </w:r>
          </w:p>
          <w:p w14:paraId="75A3072A" w14:textId="77777777" w:rsidR="00C27D3F" w:rsidRPr="009841AB" w:rsidRDefault="00C27D3F" w:rsidP="00C27D3F">
            <w:pPr>
              <w:ind w:right="12"/>
              <w:jc w:val="both"/>
            </w:pPr>
            <w:r w:rsidRPr="009841AB">
              <w:t xml:space="preserve">Lai nodrošinātu katra Latvijas iedzīvotāja elektroniskās veselības kartes centralizētu uzturēšanu, tika izveidota vienotā veselības nozares elektroniskā informācijas sistēma (turpmāk –  e-veselība). Tās izveide tika uzsākta 2009.-2010.gadā, bet tās izmantošana produkcijas vidē tika uzsākta 2016.gadā. E-veselības sistēmā pieejami vairāki medicīniskie dokumenti: e-darbnespējas lapa, e-recepte, e-nosūtījums un e-rezultāti, neatliekamās medicīniskās </w:t>
            </w:r>
            <w:r w:rsidRPr="009841AB">
              <w:lastRenderedPageBreak/>
              <w:t xml:space="preserve">palīdzības izsaukuma kartes informācija, </w:t>
            </w:r>
            <w:proofErr w:type="spellStart"/>
            <w:r w:rsidRPr="009841AB">
              <w:t>radioloģisko</w:t>
            </w:r>
            <w:proofErr w:type="spellEnd"/>
            <w:r w:rsidRPr="009841AB">
              <w:t xml:space="preserve"> izmeklējumu apraksti, e-potēšanas pase un ar noteiktām slimībām slimojošo pacientu reģistra kartes. Tāpat pacienta elektroniskajā veselības aprūpes kartē ir pacienta galveno veselības datu apkopojums. E-veselībā pacients var piekļūt saviem datiem, pieteikt Eiropas Veselības apdrošināšanas karti un veikt citas darbības. Bez minētajiem datu veidiem ir virkne veselības datu, kuri joprojām netiek uzkrāti centralizēti pacienta elektroniskajā veselības kartē, bet tiek uzkrāti vai saglabāti ārstniecības iestāžu lokālajās informācijas sistēmās vai papīrā. Piemēram, laboratorisko izmeklējumu rezultāti, zobārstniecības dati, </w:t>
            </w:r>
            <w:proofErr w:type="spellStart"/>
            <w:r w:rsidRPr="009841AB">
              <w:t>skrīninga</w:t>
            </w:r>
            <w:proofErr w:type="spellEnd"/>
            <w:r w:rsidRPr="009841AB">
              <w:t xml:space="preserve"> izmeklējumi un citi dati. Arī e-veselībā iekļautie noteikto slimību reģistru dati ir nepilnīgi,  trūkst informācijas, kas palīdzētu novērtēt saņemto ārstēšanu un ārstēšanas rezultātu. Tā rezultātā liela daļa no iestādēs uzkrātajiem datiem nevar tikt pilnvērtīgi izmantoti pacienta ārstniecības procesā, veselības aprūpes kvalitātes un efektivitātes uzlabošanai, kā arī pētniecībai un veselības politikas plānošanai un ieviešanai. </w:t>
            </w:r>
          </w:p>
          <w:p w14:paraId="0A56CFB8" w14:textId="77777777" w:rsidR="00C27D3F" w:rsidRPr="009841AB" w:rsidRDefault="00C27D3F" w:rsidP="00C27D3F">
            <w:pPr>
              <w:ind w:right="12"/>
              <w:jc w:val="both"/>
            </w:pPr>
            <w:r w:rsidRPr="009841AB">
              <w:t xml:space="preserve">Vienlaikus centralizētā datu apmaiņas platforma, kas nodrošina datu apmaiņu starp e-veselības sistēmas moduļiem, ir tehnoloģiski novecojusi. Sistēmas regulārie darbības traucējumi, kuru viens no iemesliem ir šīs platformas ierobežojumi vienlaicīgam pieprasījumu skaitam un liela apjoma datu apmaiņai, ievērojami apgrūtina gan ārstu, gan farmaceitu darbu, kā arī apgrūtina pakalpojumu saņemšanas iespējas iedzīvotājiem. Jaunu moduļu izstrāde e-veselības sistēmā ir tehnoloģiski sarežģīta ņemot vērā sistēmas uzbūves principus. Līdz ar to ir nepieciešams attīstīt jaunās tehnoloģijās balstītu e-veselības sistēmu, </w:t>
            </w:r>
            <w:r w:rsidRPr="009841AB">
              <w:lastRenderedPageBreak/>
              <w:t>maksimāli optimizējot gan tās uzturēšanas, gan  jaunu moduļu izveides, gan datu apstrādes iespējas.</w:t>
            </w:r>
          </w:p>
          <w:p w14:paraId="3F6B8A41" w14:textId="77777777" w:rsidR="00C27D3F" w:rsidRPr="009841AB" w:rsidRDefault="00C27D3F" w:rsidP="00C27D3F">
            <w:pPr>
              <w:ind w:right="12"/>
              <w:jc w:val="both"/>
            </w:pPr>
            <w:r w:rsidRPr="009841AB">
              <w:t xml:space="preserve">Datu uzkrāšanas problemātika attiecas arī uz sociālo pakalpojumu jomu, kur kvalitatīva klientu datu uzskaite ir viens no priekšnosacījumiem, lai nodrošinātu nepieciešamo sociālo palīdzību vai arī secīgi plānotu sociālo pakalpojumu saņemšanas procesu un nodrošinātu  procesu elektronisku uzraudzību un analīzi. </w:t>
            </w:r>
          </w:p>
          <w:p w14:paraId="1BA3B33C" w14:textId="77777777" w:rsidR="00C27D3F" w:rsidRPr="009841AB" w:rsidRDefault="00C27D3F" w:rsidP="00C27D3F">
            <w:pPr>
              <w:ind w:right="12"/>
              <w:jc w:val="both"/>
            </w:pPr>
            <w:r w:rsidRPr="009841AB">
              <w:t xml:space="preserve">Sociālās aprūpes dati netiek uzkrāti vai nav pieejami centralizēti - sociālās aprūpes kartē, bet tiek uzkrāti vai saglabāti sociālās aprūpes iestāžu lokālajās informācijas sistēmās vai papīrā. </w:t>
            </w:r>
          </w:p>
          <w:p w14:paraId="721FD38B" w14:textId="77777777" w:rsidR="00C27D3F" w:rsidRPr="009841AB" w:rsidRDefault="00C27D3F" w:rsidP="00C27D3F">
            <w:pPr>
              <w:ind w:right="12"/>
              <w:jc w:val="both"/>
            </w:pPr>
            <w:r w:rsidRPr="009841AB">
              <w:t>Ārstēšanas rezultātu informācija un tās sasaiste ar sniegto sociālo palīdzību, dotu iespēju novērtēt veikto pasākumu efektivitāti un nākotnē radītu iespējas veidot uz rezultātiem balstītu pakalpojumu apmaksas sistēmu. Tāpēc būtiski veidot integrācijas starp pacienta elektronisko veselības karti e-veselības sistēmā un labklājības nozares informācijas sistēmām. nodrošinot saikni starp iedzīvotāju sociālo dzīvi un veselības aprūpi. Veselības un labklājības jomas informācijas sistēmu savstarpējās integrācijas ierobežojumi, kā arī vienotas – centralizētas pakalpojumu platformas neesamība labklājības nozarē, rada izaicinājumus uzticamu datu ātrai iegūšanai lēmumu pieņemšanai. (..)”</w:t>
            </w:r>
          </w:p>
          <w:p w14:paraId="4A037807" w14:textId="77777777" w:rsidR="00C27D3F" w:rsidRPr="009841AB" w:rsidRDefault="00C27D3F" w:rsidP="00C27D3F">
            <w:pPr>
              <w:ind w:right="12"/>
              <w:jc w:val="both"/>
            </w:pPr>
          </w:p>
          <w:p w14:paraId="02207A31" w14:textId="77777777" w:rsidR="00C27D3F" w:rsidRPr="009841AB" w:rsidRDefault="00C27D3F" w:rsidP="00C27D3F">
            <w:pPr>
              <w:ind w:right="12"/>
              <w:jc w:val="both"/>
            </w:pPr>
            <w:r w:rsidRPr="009841AB">
              <w:t>13.2.</w:t>
            </w:r>
            <w:r w:rsidRPr="009841AB">
              <w:tab/>
              <w:t>Lūdzam apvienot situācijas apraksta 3.punktu “Nepietiekama pacientu un klientu datu apmaiņa starp veselības un labklājības nozarēm  un  nepietiekama personas datu drošība” ar situācijas apraksta 1.punktu.</w:t>
            </w:r>
          </w:p>
        </w:tc>
        <w:tc>
          <w:tcPr>
            <w:tcW w:w="2480" w:type="dxa"/>
            <w:tcBorders>
              <w:left w:val="single" w:sz="6" w:space="0" w:color="000000" w:themeColor="text1"/>
              <w:bottom w:val="single" w:sz="4" w:space="0" w:color="auto"/>
            </w:tcBorders>
            <w:shd w:val="clear" w:color="auto" w:fill="auto"/>
          </w:tcPr>
          <w:p w14:paraId="499C4293"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lastRenderedPageBreak/>
              <w:t>Panākta vienošanās</w:t>
            </w:r>
          </w:p>
          <w:p w14:paraId="145CF7F3" w14:textId="77777777" w:rsidR="00C27D3F" w:rsidRPr="009841AB" w:rsidRDefault="00C27D3F" w:rsidP="00C27D3F">
            <w:pPr>
              <w:pStyle w:val="naisc"/>
              <w:spacing w:before="0" w:after="0"/>
              <w:jc w:val="left"/>
            </w:pPr>
            <w:r w:rsidRPr="009841AB">
              <w:t>4.4.6. rīcības virziena esošās situācijas apraksta struktūra ir izmainīta atbilstoši VM ieteikumam un tekstā ir veiktas korekcijas</w:t>
            </w:r>
          </w:p>
        </w:tc>
        <w:tc>
          <w:tcPr>
            <w:tcW w:w="3497" w:type="dxa"/>
            <w:tcBorders>
              <w:left w:val="single" w:sz="6" w:space="0" w:color="000000" w:themeColor="text1"/>
              <w:bottom w:val="single" w:sz="4" w:space="0" w:color="auto"/>
            </w:tcBorders>
            <w:shd w:val="clear" w:color="auto" w:fill="auto"/>
          </w:tcPr>
          <w:p w14:paraId="4DA0CF29"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4.4.6.</w:t>
            </w:r>
          </w:p>
          <w:p w14:paraId="2D384657" w14:textId="77777777" w:rsidR="00C27D3F" w:rsidRPr="009841AB" w:rsidRDefault="00C27D3F" w:rsidP="00C27D3F">
            <w:pPr>
              <w:pStyle w:val="naisc"/>
              <w:spacing w:before="0" w:after="0"/>
              <w:jc w:val="both"/>
            </w:pPr>
          </w:p>
        </w:tc>
      </w:tr>
      <w:tr w:rsidR="00C857FC" w:rsidRPr="009841AB" w14:paraId="780F3C08"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093256B" w14:textId="77777777" w:rsidR="00C857FC" w:rsidRPr="009841AB" w:rsidRDefault="00C857FC" w:rsidP="00C857FC">
            <w:pPr>
              <w:pStyle w:val="naisc"/>
              <w:spacing w:before="0" w:after="0"/>
              <w:jc w:val="left"/>
            </w:pPr>
            <w:r w:rsidRPr="009841AB">
              <w:rPr>
                <w:b/>
                <w:bCs/>
                <w:lang w:eastAsia="en-US"/>
              </w:rPr>
              <w:lastRenderedPageBreak/>
              <w:t>Veselības ministrijas 0</w:t>
            </w:r>
            <w:r>
              <w:rPr>
                <w:b/>
                <w:bCs/>
                <w:lang w:eastAsia="en-US"/>
              </w:rPr>
              <w:t>5</w:t>
            </w:r>
            <w:r w:rsidRPr="009841AB">
              <w:rPr>
                <w:b/>
                <w:bCs/>
                <w:lang w:eastAsia="en-US"/>
              </w:rPr>
              <w:t>.0</w:t>
            </w:r>
            <w:r>
              <w:rPr>
                <w:b/>
                <w:bCs/>
                <w:lang w:eastAsia="en-US"/>
              </w:rPr>
              <w:t>5</w:t>
            </w:r>
            <w:r w:rsidRPr="009841AB">
              <w:rPr>
                <w:b/>
                <w:bCs/>
                <w:lang w:eastAsia="en-US"/>
              </w:rPr>
              <w:t>.2021. atzinums:</w:t>
            </w:r>
          </w:p>
        </w:tc>
      </w:tr>
      <w:tr w:rsidR="00C857FC" w:rsidRPr="009841AB" w14:paraId="01D4E32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B7EE7A7" w14:textId="77777777" w:rsidR="00C857FC" w:rsidRPr="009841AB" w:rsidRDefault="00C320FB" w:rsidP="00C857FC">
            <w:pPr>
              <w:pStyle w:val="naisc"/>
              <w:spacing w:before="0" w:after="0"/>
            </w:pPr>
            <w:r>
              <w:lastRenderedPageBreak/>
              <w:t>353</w:t>
            </w:r>
          </w:p>
        </w:tc>
        <w:tc>
          <w:tcPr>
            <w:tcW w:w="2427" w:type="dxa"/>
            <w:tcBorders>
              <w:left w:val="single" w:sz="6" w:space="0" w:color="000000" w:themeColor="text1"/>
              <w:bottom w:val="single" w:sz="4" w:space="0" w:color="auto"/>
            </w:tcBorders>
            <w:shd w:val="clear" w:color="auto" w:fill="auto"/>
          </w:tcPr>
          <w:p w14:paraId="4E89EF79"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CB4CDE6" w14:textId="77777777" w:rsidR="00C857FC" w:rsidRPr="009841AB" w:rsidRDefault="00C857FC" w:rsidP="00C857FC">
            <w:pPr>
              <w:ind w:right="12"/>
              <w:jc w:val="both"/>
            </w:pPr>
            <w:r>
              <w:t xml:space="preserve">1. </w:t>
            </w:r>
            <w:r w:rsidRPr="00D26828">
              <w:t>4.4.1. Rīcības virziena “Pakalpojumu platformas” vīzijas formulējumā aizstāt vārdus “datu aizsardzības tiesības” ar vārdiem “datu aizsardzību”.</w:t>
            </w:r>
          </w:p>
        </w:tc>
        <w:tc>
          <w:tcPr>
            <w:tcW w:w="2480" w:type="dxa"/>
            <w:tcBorders>
              <w:left w:val="single" w:sz="6" w:space="0" w:color="000000" w:themeColor="text1"/>
              <w:bottom w:val="single" w:sz="4" w:space="0" w:color="auto"/>
            </w:tcBorders>
            <w:shd w:val="clear" w:color="auto" w:fill="auto"/>
          </w:tcPr>
          <w:p w14:paraId="5F4BBB55"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775E905B" w14:textId="77777777" w:rsidR="00C857FC" w:rsidRPr="009841AB" w:rsidRDefault="00C857FC" w:rsidP="00C857FC">
            <w:pPr>
              <w:pStyle w:val="naisc"/>
              <w:spacing w:before="0" w:after="0"/>
              <w:jc w:val="left"/>
            </w:pPr>
            <w:r>
              <w:t xml:space="preserve">Lūdzu skatīt </w:t>
            </w:r>
            <w:proofErr w:type="spellStart"/>
            <w:r>
              <w:t>apakšsadaļu</w:t>
            </w:r>
            <w:proofErr w:type="spellEnd"/>
            <w:r>
              <w:t xml:space="preserve"> 4.4.1., vīzijas formulējumu</w:t>
            </w:r>
          </w:p>
        </w:tc>
      </w:tr>
      <w:tr w:rsidR="00C857FC" w:rsidRPr="009841AB" w14:paraId="3B2B06D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F1B1ED1" w14:textId="77777777" w:rsidR="00C857FC" w:rsidRPr="009841AB" w:rsidRDefault="00C320FB" w:rsidP="00C857FC">
            <w:pPr>
              <w:pStyle w:val="naisc"/>
              <w:spacing w:before="0" w:after="0"/>
            </w:pPr>
            <w:r>
              <w:t>354</w:t>
            </w:r>
          </w:p>
        </w:tc>
        <w:tc>
          <w:tcPr>
            <w:tcW w:w="2427" w:type="dxa"/>
            <w:tcBorders>
              <w:left w:val="single" w:sz="6" w:space="0" w:color="000000" w:themeColor="text1"/>
              <w:bottom w:val="single" w:sz="4" w:space="0" w:color="auto"/>
            </w:tcBorders>
            <w:shd w:val="clear" w:color="auto" w:fill="auto"/>
          </w:tcPr>
          <w:p w14:paraId="2E7A14FE"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C840F52" w14:textId="77777777" w:rsidR="00C857FC" w:rsidRPr="009841AB" w:rsidRDefault="00C857FC" w:rsidP="00C857FC">
            <w:pPr>
              <w:ind w:right="12"/>
              <w:jc w:val="both"/>
            </w:pPr>
            <w:r>
              <w:t xml:space="preserve">2. </w:t>
            </w:r>
            <w:r w:rsidRPr="00740DC6">
              <w:t xml:space="preserve">4.4.1. Rīcības virzienā “Pakalpojumu platformas” lūdzam skaidrot jēdzienus un apgalvojumus -“personas datu atļauju brokeris”, “praktiski neatver API” (55.lpp.), “ </w:t>
            </w:r>
            <w:proofErr w:type="spellStart"/>
            <w:r w:rsidRPr="00740DC6">
              <w:t>moderēt</w:t>
            </w:r>
            <w:proofErr w:type="spellEnd"/>
            <w:r w:rsidRPr="00740DC6">
              <w:t xml:space="preserve"> …ekosistēmas darbību”, “vienots personas konts”, “B-2-B un B-2-C scenāriji” (56.lpp.), “komersantiem </w:t>
            </w:r>
            <w:proofErr w:type="spellStart"/>
            <w:r w:rsidRPr="00740DC6">
              <w:t>komerclietojumu</w:t>
            </w:r>
            <w:proofErr w:type="spellEnd"/>
            <w:r w:rsidRPr="00740DC6">
              <w:t xml:space="preserve"> izvietošanai un attīstībai” (5.3. punkts 56.lapā) vai aprakstīt būtību, kas ar šiem apzīmējumiem vai vārdu savienojumiem tiek domāts.</w:t>
            </w:r>
          </w:p>
        </w:tc>
        <w:tc>
          <w:tcPr>
            <w:tcW w:w="2480" w:type="dxa"/>
            <w:tcBorders>
              <w:left w:val="single" w:sz="6" w:space="0" w:color="000000" w:themeColor="text1"/>
              <w:bottom w:val="single" w:sz="4" w:space="0" w:color="auto"/>
            </w:tcBorders>
            <w:shd w:val="clear" w:color="auto" w:fill="auto"/>
          </w:tcPr>
          <w:p w14:paraId="114C755D" w14:textId="77777777" w:rsidR="00C857FC" w:rsidRPr="009841AB" w:rsidRDefault="00C857FC" w:rsidP="00C857FC">
            <w:pPr>
              <w:pStyle w:val="naisc"/>
              <w:spacing w:before="0" w:after="0"/>
              <w:jc w:val="left"/>
              <w:rPr>
                <w:b/>
                <w:bCs/>
              </w:rPr>
            </w:pPr>
            <w:r>
              <w:rPr>
                <w:b/>
                <w:bCs/>
              </w:rPr>
              <w:t xml:space="preserve">Ņemts vērā </w:t>
            </w:r>
          </w:p>
        </w:tc>
        <w:tc>
          <w:tcPr>
            <w:tcW w:w="3497" w:type="dxa"/>
            <w:tcBorders>
              <w:left w:val="single" w:sz="6" w:space="0" w:color="000000" w:themeColor="text1"/>
              <w:bottom w:val="single" w:sz="4" w:space="0" w:color="auto"/>
            </w:tcBorders>
            <w:shd w:val="clear" w:color="auto" w:fill="auto"/>
          </w:tcPr>
          <w:p w14:paraId="3D3F2995" w14:textId="77777777" w:rsidR="00C857FC" w:rsidRPr="009841AB" w:rsidRDefault="00C857FC" w:rsidP="00C857FC">
            <w:pPr>
              <w:pStyle w:val="naisc"/>
              <w:spacing w:before="0" w:after="0"/>
              <w:jc w:val="left"/>
            </w:pPr>
            <w:r>
              <w:t xml:space="preserve">Lūdzu skatīt </w:t>
            </w:r>
            <w:proofErr w:type="spellStart"/>
            <w:r>
              <w:t>apakšsadaļu</w:t>
            </w:r>
            <w:proofErr w:type="spellEnd"/>
            <w:r>
              <w:t xml:space="preserve"> 4.4.1</w:t>
            </w:r>
          </w:p>
        </w:tc>
      </w:tr>
      <w:tr w:rsidR="00C857FC" w:rsidRPr="009841AB" w14:paraId="0D7419A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CB1DAB7" w14:textId="77777777" w:rsidR="00C857FC" w:rsidRPr="009841AB" w:rsidRDefault="00C320FB" w:rsidP="00C857FC">
            <w:pPr>
              <w:pStyle w:val="naisc"/>
              <w:spacing w:before="0" w:after="0"/>
            </w:pPr>
            <w:r>
              <w:t>355</w:t>
            </w:r>
          </w:p>
        </w:tc>
        <w:tc>
          <w:tcPr>
            <w:tcW w:w="2427" w:type="dxa"/>
            <w:tcBorders>
              <w:left w:val="single" w:sz="6" w:space="0" w:color="000000" w:themeColor="text1"/>
              <w:bottom w:val="single" w:sz="4" w:space="0" w:color="auto"/>
            </w:tcBorders>
            <w:shd w:val="clear" w:color="auto" w:fill="auto"/>
          </w:tcPr>
          <w:p w14:paraId="4E20874E"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0F399AC" w14:textId="77777777" w:rsidR="00C857FC" w:rsidRPr="009841AB" w:rsidRDefault="00C857FC" w:rsidP="00C857FC">
            <w:pPr>
              <w:ind w:right="12"/>
              <w:jc w:val="both"/>
            </w:pPr>
            <w:r>
              <w:t xml:space="preserve">3. </w:t>
            </w:r>
            <w:r w:rsidRPr="0019036B">
              <w:t>Lūdzam Pamatnostādnēs skaidrot, kas 4.4.1. Rīcības virzienā 5.4.punktā (57.lpp.) tiek saprast ar vārdiem “komersantu attīstīti valsts un pašvaldību pakalpojumi”.</w:t>
            </w:r>
          </w:p>
        </w:tc>
        <w:tc>
          <w:tcPr>
            <w:tcW w:w="2480" w:type="dxa"/>
            <w:tcBorders>
              <w:left w:val="single" w:sz="6" w:space="0" w:color="000000" w:themeColor="text1"/>
              <w:bottom w:val="single" w:sz="4" w:space="0" w:color="auto"/>
            </w:tcBorders>
            <w:shd w:val="clear" w:color="auto" w:fill="auto"/>
          </w:tcPr>
          <w:p w14:paraId="2C5B2943"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404AB7A5" w14:textId="77777777" w:rsidR="00C857FC" w:rsidRPr="009841AB" w:rsidRDefault="00C857FC" w:rsidP="00C857FC">
            <w:pPr>
              <w:pStyle w:val="naisc"/>
              <w:spacing w:before="0" w:after="0"/>
              <w:jc w:val="left"/>
            </w:pPr>
            <w:r>
              <w:t xml:space="preserve">Lūdzu skatīt </w:t>
            </w:r>
            <w:proofErr w:type="spellStart"/>
            <w:r>
              <w:t>apakšsadaļu</w:t>
            </w:r>
            <w:proofErr w:type="spellEnd"/>
            <w:r>
              <w:t xml:space="preserve"> 4.4.1</w:t>
            </w:r>
          </w:p>
        </w:tc>
      </w:tr>
      <w:tr w:rsidR="00C857FC" w:rsidRPr="009841AB" w14:paraId="7B1A3A0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A08AD94" w14:textId="77777777" w:rsidR="00C857FC" w:rsidRPr="009841AB" w:rsidRDefault="00C320FB" w:rsidP="00C857FC">
            <w:pPr>
              <w:pStyle w:val="naisc"/>
              <w:spacing w:before="0" w:after="0"/>
            </w:pPr>
            <w:r>
              <w:t>356</w:t>
            </w:r>
          </w:p>
        </w:tc>
        <w:tc>
          <w:tcPr>
            <w:tcW w:w="2427" w:type="dxa"/>
            <w:tcBorders>
              <w:left w:val="single" w:sz="6" w:space="0" w:color="000000" w:themeColor="text1"/>
              <w:bottom w:val="single" w:sz="4" w:space="0" w:color="auto"/>
            </w:tcBorders>
            <w:shd w:val="clear" w:color="auto" w:fill="auto"/>
          </w:tcPr>
          <w:p w14:paraId="79F7CA0C"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20F32E9" w14:textId="77777777" w:rsidR="00C857FC" w:rsidRPr="009841AB" w:rsidRDefault="00C857FC" w:rsidP="00C857FC">
            <w:pPr>
              <w:ind w:right="12"/>
              <w:jc w:val="both"/>
            </w:pPr>
            <w:r>
              <w:t xml:space="preserve">4. </w:t>
            </w:r>
            <w:r w:rsidRPr="000E572C">
              <w:t>4.4.1. Rīcības virzienā “Pakalpojumu platformas” 5.4.punktā (57.lpp.) nav saprotams teikums un līdz ar to iecere, tāpēc lūdzam novērst nepilnības formulējumā “Vienlaikus pakalpojumu platformas attīstība paredzētu Latvija.lv kā personas vienotā profila, saziņas prioritāšu un atļauju pārvaldības centra attīstība vienlaikus nodrošinot koplietojamu e-pakalpojumu platformu kā valsts, tā pašvaldību iestādēm. Platformas atvēršana trešo pušu datu glabāšanas pakalpojumu nodrošinātājiem un lietotņu attīstītājiem“.</w:t>
            </w:r>
          </w:p>
        </w:tc>
        <w:tc>
          <w:tcPr>
            <w:tcW w:w="2480" w:type="dxa"/>
            <w:tcBorders>
              <w:left w:val="single" w:sz="6" w:space="0" w:color="000000" w:themeColor="text1"/>
              <w:bottom w:val="single" w:sz="4" w:space="0" w:color="auto"/>
            </w:tcBorders>
            <w:shd w:val="clear" w:color="auto" w:fill="auto"/>
          </w:tcPr>
          <w:p w14:paraId="0C20D490"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62874977" w14:textId="77777777" w:rsidR="00C857FC" w:rsidRPr="009841AB" w:rsidRDefault="00C857FC" w:rsidP="00C857FC">
            <w:pPr>
              <w:pStyle w:val="naisc"/>
              <w:spacing w:before="0" w:after="0"/>
              <w:jc w:val="left"/>
            </w:pPr>
            <w:r>
              <w:t xml:space="preserve">Lūdzu skatīt </w:t>
            </w:r>
            <w:proofErr w:type="spellStart"/>
            <w:r>
              <w:t>apakšsadaļu</w:t>
            </w:r>
            <w:proofErr w:type="spellEnd"/>
            <w:r>
              <w:t xml:space="preserve"> 4.4.1</w:t>
            </w:r>
          </w:p>
        </w:tc>
      </w:tr>
      <w:tr w:rsidR="00C857FC" w:rsidRPr="009841AB" w14:paraId="4155585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8325DDE" w14:textId="77777777" w:rsidR="00C857FC" w:rsidRPr="009841AB" w:rsidRDefault="00C320FB" w:rsidP="00C857FC">
            <w:pPr>
              <w:pStyle w:val="naisc"/>
              <w:spacing w:before="0" w:after="0"/>
            </w:pPr>
            <w:r>
              <w:t>357</w:t>
            </w:r>
          </w:p>
        </w:tc>
        <w:tc>
          <w:tcPr>
            <w:tcW w:w="2427" w:type="dxa"/>
            <w:tcBorders>
              <w:left w:val="single" w:sz="6" w:space="0" w:color="000000" w:themeColor="text1"/>
              <w:bottom w:val="single" w:sz="4" w:space="0" w:color="auto"/>
            </w:tcBorders>
            <w:shd w:val="clear" w:color="auto" w:fill="auto"/>
          </w:tcPr>
          <w:p w14:paraId="7F47D068"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1131FEB" w14:textId="77777777" w:rsidR="00C857FC" w:rsidRPr="009841AB" w:rsidRDefault="00C857FC" w:rsidP="00C857FC">
            <w:pPr>
              <w:ind w:right="12"/>
              <w:jc w:val="both"/>
            </w:pPr>
            <w:r>
              <w:t xml:space="preserve">5. </w:t>
            </w:r>
            <w:r w:rsidRPr="00D2370C">
              <w:t>U4.4.1.-1 uzdevuma līdzatbildīgo institūciju sarakstu lūdzu papildināt ar “par platformām atbildīgās iestādes”.</w:t>
            </w:r>
          </w:p>
        </w:tc>
        <w:tc>
          <w:tcPr>
            <w:tcW w:w="2480" w:type="dxa"/>
            <w:tcBorders>
              <w:left w:val="single" w:sz="6" w:space="0" w:color="000000" w:themeColor="text1"/>
              <w:bottom w:val="single" w:sz="4" w:space="0" w:color="auto"/>
            </w:tcBorders>
            <w:shd w:val="clear" w:color="auto" w:fill="auto"/>
          </w:tcPr>
          <w:p w14:paraId="55BC30D8"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2FAAAA55" w14:textId="77777777" w:rsidR="00C857FC" w:rsidRPr="009841AB" w:rsidRDefault="00C857FC" w:rsidP="00C857FC">
            <w:pPr>
              <w:pStyle w:val="naisc"/>
              <w:spacing w:before="0" w:after="0"/>
              <w:jc w:val="left"/>
            </w:pPr>
            <w:r>
              <w:t xml:space="preserve">Lūdzu skatīt </w:t>
            </w:r>
            <w:proofErr w:type="spellStart"/>
            <w:r>
              <w:t>apakšsadaļu</w:t>
            </w:r>
            <w:proofErr w:type="spellEnd"/>
            <w:r>
              <w:t xml:space="preserve"> 4.4.1 un 3. pielikumu</w:t>
            </w:r>
          </w:p>
        </w:tc>
      </w:tr>
      <w:tr w:rsidR="00C857FC" w:rsidRPr="009841AB" w14:paraId="73E24DB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22AFD2B" w14:textId="77777777" w:rsidR="00C857FC" w:rsidRPr="009841AB" w:rsidRDefault="00C320FB" w:rsidP="00C857FC">
            <w:pPr>
              <w:pStyle w:val="naisc"/>
              <w:spacing w:before="0" w:after="0"/>
            </w:pPr>
            <w:r>
              <w:t>358</w:t>
            </w:r>
          </w:p>
        </w:tc>
        <w:tc>
          <w:tcPr>
            <w:tcW w:w="2427" w:type="dxa"/>
            <w:tcBorders>
              <w:left w:val="single" w:sz="6" w:space="0" w:color="000000" w:themeColor="text1"/>
              <w:bottom w:val="single" w:sz="4" w:space="0" w:color="auto"/>
            </w:tcBorders>
            <w:shd w:val="clear" w:color="auto" w:fill="auto"/>
          </w:tcPr>
          <w:p w14:paraId="463EFBE4"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952262E" w14:textId="77777777" w:rsidR="00C857FC" w:rsidRPr="009841AB" w:rsidRDefault="00C857FC" w:rsidP="00C857FC">
            <w:pPr>
              <w:ind w:right="12"/>
              <w:jc w:val="both"/>
            </w:pPr>
            <w:r>
              <w:t xml:space="preserve">6. </w:t>
            </w:r>
            <w:r w:rsidRPr="009F6994">
              <w:t xml:space="preserve">Lūdzu papildināt Pamatnostādnes ar 4.4.2.1. Rīcības </w:t>
            </w:r>
            <w:proofErr w:type="spellStart"/>
            <w:r w:rsidRPr="009F6994">
              <w:t>apakšvirzienā</w:t>
            </w:r>
            <w:proofErr w:type="spellEnd"/>
            <w:r w:rsidRPr="009F6994">
              <w:t xml:space="preserve"> minētā jēdziena “digitālie dvīņi” skaidrojumu.</w:t>
            </w:r>
          </w:p>
        </w:tc>
        <w:tc>
          <w:tcPr>
            <w:tcW w:w="2480" w:type="dxa"/>
            <w:tcBorders>
              <w:left w:val="single" w:sz="6" w:space="0" w:color="000000" w:themeColor="text1"/>
              <w:bottom w:val="single" w:sz="4" w:space="0" w:color="auto"/>
            </w:tcBorders>
            <w:shd w:val="clear" w:color="auto" w:fill="auto"/>
          </w:tcPr>
          <w:p w14:paraId="5F8FA713"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25096131" w14:textId="77777777" w:rsidR="00C857FC" w:rsidRPr="009841AB" w:rsidRDefault="00C857FC" w:rsidP="00C857FC">
            <w:pPr>
              <w:pStyle w:val="naisc"/>
              <w:spacing w:before="0" w:after="0"/>
              <w:jc w:val="left"/>
            </w:pPr>
            <w:r>
              <w:t xml:space="preserve">Lūdzu skatīt </w:t>
            </w:r>
            <w:proofErr w:type="spellStart"/>
            <w:r>
              <w:t>apakšsadaļu</w:t>
            </w:r>
            <w:proofErr w:type="spellEnd"/>
            <w:r>
              <w:t xml:space="preserve"> 4.4.2.1.</w:t>
            </w:r>
          </w:p>
        </w:tc>
      </w:tr>
      <w:tr w:rsidR="00C857FC" w:rsidRPr="009841AB" w14:paraId="181469D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BCD7406" w14:textId="77777777" w:rsidR="00C857FC" w:rsidRPr="009841AB" w:rsidRDefault="00C320FB" w:rsidP="00C857FC">
            <w:pPr>
              <w:pStyle w:val="naisc"/>
              <w:spacing w:before="0" w:after="0"/>
            </w:pPr>
            <w:r>
              <w:t>359</w:t>
            </w:r>
          </w:p>
        </w:tc>
        <w:tc>
          <w:tcPr>
            <w:tcW w:w="2427" w:type="dxa"/>
            <w:tcBorders>
              <w:left w:val="single" w:sz="6" w:space="0" w:color="000000" w:themeColor="text1"/>
              <w:bottom w:val="single" w:sz="4" w:space="0" w:color="auto"/>
            </w:tcBorders>
            <w:shd w:val="clear" w:color="auto" w:fill="auto"/>
          </w:tcPr>
          <w:p w14:paraId="23E8E9B7"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95ADBA9" w14:textId="77777777" w:rsidR="00C857FC" w:rsidRPr="009841AB" w:rsidRDefault="00C857FC" w:rsidP="00C857FC">
            <w:pPr>
              <w:ind w:right="12"/>
              <w:jc w:val="both"/>
            </w:pPr>
            <w:r>
              <w:t xml:space="preserve">7. </w:t>
            </w:r>
            <w:r w:rsidRPr="000A58B9">
              <w:t xml:space="preserve">Precizēt uzdevumu U4.4.4.-5 “Pilnveidot vai nacionālās platformas vides pārvaldības procesiem, </w:t>
            </w:r>
            <w:r w:rsidRPr="000A58B9">
              <w:lastRenderedPageBreak/>
              <w:t>sabiedrības un komersantu iesaistei un integrēšanai vides pārvaldības procesos”.</w:t>
            </w:r>
          </w:p>
        </w:tc>
        <w:tc>
          <w:tcPr>
            <w:tcW w:w="2480" w:type="dxa"/>
            <w:tcBorders>
              <w:left w:val="single" w:sz="6" w:space="0" w:color="000000" w:themeColor="text1"/>
              <w:bottom w:val="single" w:sz="4" w:space="0" w:color="auto"/>
            </w:tcBorders>
            <w:shd w:val="clear" w:color="auto" w:fill="auto"/>
          </w:tcPr>
          <w:p w14:paraId="6DA9B57D" w14:textId="77777777" w:rsidR="00C857FC" w:rsidRPr="009841AB" w:rsidRDefault="00C857FC" w:rsidP="00C857FC">
            <w:pPr>
              <w:pStyle w:val="naisc"/>
              <w:spacing w:before="0" w:after="0"/>
              <w:jc w:val="left"/>
              <w:rPr>
                <w:b/>
                <w:bCs/>
              </w:rPr>
            </w:pPr>
            <w:r>
              <w:rPr>
                <w:b/>
                <w:bCs/>
              </w:rPr>
              <w:lastRenderedPageBreak/>
              <w:t xml:space="preserve">Ņemts vērā </w:t>
            </w:r>
          </w:p>
        </w:tc>
        <w:tc>
          <w:tcPr>
            <w:tcW w:w="3497" w:type="dxa"/>
            <w:tcBorders>
              <w:left w:val="single" w:sz="6" w:space="0" w:color="000000" w:themeColor="text1"/>
              <w:bottom w:val="single" w:sz="4" w:space="0" w:color="auto"/>
            </w:tcBorders>
            <w:shd w:val="clear" w:color="auto" w:fill="auto"/>
          </w:tcPr>
          <w:p w14:paraId="22A4671C" w14:textId="77777777" w:rsidR="00C857FC" w:rsidRPr="009841AB" w:rsidRDefault="00C857FC" w:rsidP="00C857FC">
            <w:pPr>
              <w:pStyle w:val="naisc"/>
              <w:spacing w:before="0" w:after="0"/>
              <w:jc w:val="left"/>
            </w:pPr>
            <w:r>
              <w:t xml:space="preserve">Lūdzu skatīt </w:t>
            </w:r>
            <w:proofErr w:type="spellStart"/>
            <w:r>
              <w:t>apakšsadaļu</w:t>
            </w:r>
            <w:proofErr w:type="spellEnd"/>
            <w:r>
              <w:t xml:space="preserve"> 4.4.4 un 3. pielikumu</w:t>
            </w:r>
          </w:p>
        </w:tc>
      </w:tr>
      <w:tr w:rsidR="00C857FC" w:rsidRPr="009841AB" w14:paraId="40CFFC5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22C9685" w14:textId="77777777" w:rsidR="00C857FC" w:rsidRPr="009841AB" w:rsidRDefault="00C320FB" w:rsidP="00C857FC">
            <w:pPr>
              <w:pStyle w:val="naisc"/>
              <w:spacing w:before="0" w:after="0"/>
            </w:pPr>
            <w:r>
              <w:t>360</w:t>
            </w:r>
          </w:p>
        </w:tc>
        <w:tc>
          <w:tcPr>
            <w:tcW w:w="2427" w:type="dxa"/>
            <w:tcBorders>
              <w:left w:val="single" w:sz="6" w:space="0" w:color="000000" w:themeColor="text1"/>
              <w:bottom w:val="single" w:sz="4" w:space="0" w:color="auto"/>
            </w:tcBorders>
            <w:shd w:val="clear" w:color="auto" w:fill="auto"/>
          </w:tcPr>
          <w:p w14:paraId="63976879"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28FC2F9" w14:textId="77777777" w:rsidR="00C857FC" w:rsidRPr="009841AB" w:rsidRDefault="00C857FC" w:rsidP="00C857FC">
            <w:pPr>
              <w:ind w:right="12"/>
              <w:jc w:val="both"/>
            </w:pPr>
            <w:r>
              <w:t xml:space="preserve">8. </w:t>
            </w:r>
            <w:r w:rsidRPr="006A5A91">
              <w:t xml:space="preserve">4.4.5.1. Rīcības </w:t>
            </w:r>
            <w:proofErr w:type="spellStart"/>
            <w:r w:rsidRPr="006A5A91">
              <w:t>apakšvirzienā</w:t>
            </w:r>
            <w:proofErr w:type="spellEnd"/>
            <w:r w:rsidRPr="006A5A91">
              <w:t xml:space="preserve"> “Izmeklēšanas un tiesvedības procesa tālāka </w:t>
            </w:r>
            <w:proofErr w:type="spellStart"/>
            <w:r w:rsidRPr="006A5A91">
              <w:t>digitalizācija</w:t>
            </w:r>
            <w:proofErr w:type="spellEnd"/>
            <w:r w:rsidRPr="006A5A91">
              <w:t>” nepieciešamās rīcības 2.5.8. apakšpunktu izdalīt kā atsevišķu 2. punkta apakšpunktu, jo Valsts tiesu medicīnas ekspertīzes centra Tiesu medicīnas ekspertīžu informācijas sistēma neietilpst Valsts Probācijas dienesta (turpmāk - VPD) informācijas sistēmā “Probācijas klientu lietas uzskaites sistēma”.</w:t>
            </w:r>
          </w:p>
        </w:tc>
        <w:tc>
          <w:tcPr>
            <w:tcW w:w="2480" w:type="dxa"/>
            <w:tcBorders>
              <w:left w:val="single" w:sz="6" w:space="0" w:color="000000" w:themeColor="text1"/>
              <w:bottom w:val="single" w:sz="4" w:space="0" w:color="auto"/>
            </w:tcBorders>
            <w:shd w:val="clear" w:color="auto" w:fill="auto"/>
          </w:tcPr>
          <w:p w14:paraId="20379C35"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10705740" w14:textId="77777777" w:rsidR="00C857FC" w:rsidRPr="009841AB" w:rsidRDefault="00C857FC" w:rsidP="00C857FC">
            <w:pPr>
              <w:pStyle w:val="naisc"/>
              <w:spacing w:before="0" w:after="0"/>
              <w:jc w:val="left"/>
            </w:pPr>
            <w:r>
              <w:t xml:space="preserve">Lūdzu skatīt </w:t>
            </w:r>
            <w:proofErr w:type="spellStart"/>
            <w:r>
              <w:t>apakšsadaļu</w:t>
            </w:r>
            <w:proofErr w:type="spellEnd"/>
            <w:r>
              <w:t xml:space="preserve"> 4.4.5.1.</w:t>
            </w:r>
          </w:p>
        </w:tc>
      </w:tr>
      <w:tr w:rsidR="00C857FC" w:rsidRPr="009841AB" w14:paraId="2EE725E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610FB31" w14:textId="77777777" w:rsidR="00C857FC" w:rsidRPr="009841AB" w:rsidRDefault="00C320FB" w:rsidP="00C857FC">
            <w:pPr>
              <w:pStyle w:val="naisc"/>
              <w:spacing w:before="0" w:after="0"/>
            </w:pPr>
            <w:r>
              <w:t>361</w:t>
            </w:r>
          </w:p>
        </w:tc>
        <w:tc>
          <w:tcPr>
            <w:tcW w:w="2427" w:type="dxa"/>
            <w:tcBorders>
              <w:left w:val="single" w:sz="6" w:space="0" w:color="000000" w:themeColor="text1"/>
              <w:bottom w:val="single" w:sz="4" w:space="0" w:color="auto"/>
            </w:tcBorders>
            <w:shd w:val="clear" w:color="auto" w:fill="auto"/>
          </w:tcPr>
          <w:p w14:paraId="548128E4"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A0AA577" w14:textId="77777777" w:rsidR="00C857FC" w:rsidRPr="009841AB" w:rsidRDefault="00C857FC" w:rsidP="00C857FC">
            <w:pPr>
              <w:ind w:right="12"/>
              <w:jc w:val="both"/>
            </w:pPr>
            <w:r>
              <w:t xml:space="preserve">9. </w:t>
            </w:r>
            <w:r w:rsidRPr="0021193B">
              <w:t xml:space="preserve">4.4.6. Rīcības virziena “Sabiedrības veselība un sociālā labklājība” vīziju lūdzu izteikt šādā redakcijā: “Indivīda veselības un dzīves kvalitātes saglabāšanu, atjaunošanu un uzlabošanu </w:t>
            </w:r>
            <w:proofErr w:type="spellStart"/>
            <w:r w:rsidRPr="0021193B">
              <w:t>proaktīvi</w:t>
            </w:r>
            <w:proofErr w:type="spellEnd"/>
            <w:r w:rsidRPr="0021193B">
              <w:t xml:space="preserve"> un visaptveroši veicina datos un to </w:t>
            </w:r>
            <w:proofErr w:type="spellStart"/>
            <w:r w:rsidRPr="0021193B">
              <w:t>digitalizācijā</w:t>
            </w:r>
            <w:proofErr w:type="spellEnd"/>
            <w:r w:rsidRPr="0021193B">
              <w:t xml:space="preserve"> balstīta valsts un privāto pakalpojumu ekosistēma, kas vienlaicīgi nodrošina iespēju personai piedalīties savas veselības un dzīves kvalitātes saglabāšanā, atjaunošanā un uzlabošanā un pilnvērtīgi pārvaldīt un kontrolēt savu datu izmantošanu”.</w:t>
            </w:r>
          </w:p>
        </w:tc>
        <w:tc>
          <w:tcPr>
            <w:tcW w:w="2480" w:type="dxa"/>
            <w:tcBorders>
              <w:left w:val="single" w:sz="6" w:space="0" w:color="000000" w:themeColor="text1"/>
              <w:bottom w:val="single" w:sz="4" w:space="0" w:color="auto"/>
            </w:tcBorders>
            <w:shd w:val="clear" w:color="auto" w:fill="auto"/>
          </w:tcPr>
          <w:p w14:paraId="057AC2FD"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51972805" w14:textId="77777777" w:rsidR="00C857FC" w:rsidRPr="009841AB" w:rsidRDefault="00C857FC" w:rsidP="00C857FC">
            <w:pPr>
              <w:pStyle w:val="naisc"/>
              <w:spacing w:before="0" w:after="0"/>
              <w:jc w:val="left"/>
            </w:pPr>
            <w:r>
              <w:t>Sadaļas 4.4.6. vīzijas formulējums atbilstoši precizēts.</w:t>
            </w:r>
          </w:p>
        </w:tc>
      </w:tr>
      <w:tr w:rsidR="00C857FC" w:rsidRPr="009841AB" w14:paraId="0607F78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4A6D454" w14:textId="77777777" w:rsidR="00C857FC" w:rsidRPr="009841AB" w:rsidRDefault="00C320FB" w:rsidP="00C857FC">
            <w:pPr>
              <w:pStyle w:val="naisc"/>
              <w:spacing w:before="0" w:after="0"/>
            </w:pPr>
            <w:r>
              <w:t>362</w:t>
            </w:r>
          </w:p>
        </w:tc>
        <w:tc>
          <w:tcPr>
            <w:tcW w:w="2427" w:type="dxa"/>
            <w:tcBorders>
              <w:left w:val="single" w:sz="6" w:space="0" w:color="000000" w:themeColor="text1"/>
              <w:bottom w:val="single" w:sz="4" w:space="0" w:color="auto"/>
            </w:tcBorders>
            <w:shd w:val="clear" w:color="auto" w:fill="auto"/>
          </w:tcPr>
          <w:p w14:paraId="3F2C958C"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C71FF97" w14:textId="77777777" w:rsidR="00C857FC" w:rsidRDefault="00C857FC" w:rsidP="00C857FC">
            <w:pPr>
              <w:ind w:right="12"/>
              <w:jc w:val="both"/>
            </w:pPr>
            <w:r>
              <w:t xml:space="preserve">10. Izteikt 4.4.6. Rīcības virziena nepieciešamās rīcības 1.2.apakšpunktu šādā redakcijā: </w:t>
            </w:r>
          </w:p>
          <w:p w14:paraId="2C6714A1" w14:textId="77777777" w:rsidR="00C857FC" w:rsidRDefault="00C857FC" w:rsidP="00C857FC">
            <w:pPr>
              <w:ind w:right="12"/>
              <w:jc w:val="both"/>
            </w:pPr>
            <w:r>
              <w:t>“1.2.</w:t>
            </w:r>
            <w:r>
              <w:tab/>
              <w:t>nosakot pacienta elektronisko veselības karti e-veselības sistēmā par centrālo vietu, kur uzkrājami medicīniskie dati, pilnveidojot pacientiem savu datu pārvaldības iespējas elektroniskajā veselības kartē, kā arī nosakot saprātīgu pārejas periodu pārejai no papīra uz pilnībā elektronisku datu apstrādi.”</w:t>
            </w:r>
          </w:p>
        </w:tc>
        <w:tc>
          <w:tcPr>
            <w:tcW w:w="2480" w:type="dxa"/>
            <w:tcBorders>
              <w:left w:val="single" w:sz="6" w:space="0" w:color="000000" w:themeColor="text1"/>
              <w:bottom w:val="single" w:sz="4" w:space="0" w:color="auto"/>
            </w:tcBorders>
            <w:shd w:val="clear" w:color="auto" w:fill="auto"/>
          </w:tcPr>
          <w:p w14:paraId="098F36FD"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563D3ADC" w14:textId="77777777" w:rsidR="00C857FC" w:rsidRPr="009841AB" w:rsidRDefault="00C857FC" w:rsidP="00C857FC">
            <w:pPr>
              <w:pStyle w:val="naisc"/>
              <w:spacing w:before="0" w:after="0"/>
              <w:jc w:val="left"/>
            </w:pPr>
            <w:r>
              <w:t>Sadaļas 4.4.6. saturs atbilstoši precizēts.</w:t>
            </w:r>
          </w:p>
        </w:tc>
      </w:tr>
      <w:tr w:rsidR="00C857FC" w:rsidRPr="009841AB" w14:paraId="152BC79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AB05F5E" w14:textId="77777777" w:rsidR="00C857FC" w:rsidRPr="009841AB" w:rsidRDefault="00C320FB" w:rsidP="00C857FC">
            <w:pPr>
              <w:pStyle w:val="naisc"/>
              <w:spacing w:before="0" w:after="0"/>
            </w:pPr>
            <w:r>
              <w:t>363</w:t>
            </w:r>
          </w:p>
        </w:tc>
        <w:tc>
          <w:tcPr>
            <w:tcW w:w="2427" w:type="dxa"/>
            <w:tcBorders>
              <w:left w:val="single" w:sz="6" w:space="0" w:color="000000" w:themeColor="text1"/>
              <w:bottom w:val="single" w:sz="4" w:space="0" w:color="auto"/>
            </w:tcBorders>
            <w:shd w:val="clear" w:color="auto" w:fill="auto"/>
          </w:tcPr>
          <w:p w14:paraId="5B478B1D"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2B0BC03" w14:textId="77777777" w:rsidR="00C857FC" w:rsidRDefault="00C857FC" w:rsidP="00C857FC">
            <w:pPr>
              <w:ind w:right="12"/>
              <w:jc w:val="both"/>
            </w:pPr>
            <w:r>
              <w:t xml:space="preserve">11. </w:t>
            </w:r>
            <w:r w:rsidRPr="00C11D4C">
              <w:t>Lūdzam paskaidrot 4.4.6. rīcības virziena nepieciešamās rīcības 1.3. punktā ietverto, ka nepieciešams noteikt mūsdienīgu regulējumu datu izmantošanai ārstniecības procesos. Kādas izmaiņas normatīvajā regulējumā ar šo punktu ir domātas?</w:t>
            </w:r>
          </w:p>
        </w:tc>
        <w:tc>
          <w:tcPr>
            <w:tcW w:w="2480" w:type="dxa"/>
            <w:tcBorders>
              <w:left w:val="single" w:sz="6" w:space="0" w:color="000000" w:themeColor="text1"/>
              <w:bottom w:val="single" w:sz="4" w:space="0" w:color="auto"/>
            </w:tcBorders>
            <w:shd w:val="clear" w:color="auto" w:fill="auto"/>
          </w:tcPr>
          <w:p w14:paraId="27326DBA" w14:textId="3A6A31DC" w:rsidR="00C857FC" w:rsidRDefault="00C857FC" w:rsidP="00C857FC">
            <w:pPr>
              <w:pStyle w:val="naisc"/>
              <w:spacing w:before="0" w:after="0"/>
              <w:jc w:val="left"/>
              <w:rPr>
                <w:b/>
                <w:bCs/>
              </w:rPr>
            </w:pPr>
            <w:r w:rsidRPr="0ED69FBF">
              <w:rPr>
                <w:b/>
                <w:bCs/>
              </w:rPr>
              <w:t>Ņemts vērā</w:t>
            </w:r>
          </w:p>
          <w:p w14:paraId="54A82F44" w14:textId="77777777" w:rsidR="00C857FC" w:rsidRPr="00700108" w:rsidRDefault="00C857FC" w:rsidP="00C857FC">
            <w:pPr>
              <w:pStyle w:val="naisc"/>
              <w:spacing w:before="0" w:after="0"/>
              <w:jc w:val="left"/>
            </w:pPr>
            <w:r>
              <w:t xml:space="preserve">Nepieciešamo izmaiņu būtības skaidrojums ir iekļauts formulējumā. Datu pārvaldības tiesiskais regulējums atbilstoši ES un </w:t>
            </w:r>
            <w:r>
              <w:lastRenderedPageBreak/>
              <w:t xml:space="preserve">Latvijas nacionālā datu pārvaldības regulējuma prasībām, var radīt nepieciešamību pēc papildus regulējuma un arī datu pārvaldības organizācijas attīstību veselības nozares ietvaros.   </w:t>
            </w:r>
          </w:p>
        </w:tc>
        <w:tc>
          <w:tcPr>
            <w:tcW w:w="3497" w:type="dxa"/>
            <w:tcBorders>
              <w:left w:val="single" w:sz="6" w:space="0" w:color="000000" w:themeColor="text1"/>
              <w:bottom w:val="single" w:sz="4" w:space="0" w:color="auto"/>
            </w:tcBorders>
            <w:shd w:val="clear" w:color="auto" w:fill="auto"/>
          </w:tcPr>
          <w:p w14:paraId="532A3478" w14:textId="77777777" w:rsidR="00C857FC" w:rsidRPr="009841AB" w:rsidRDefault="00C857FC" w:rsidP="00C857FC">
            <w:pPr>
              <w:pStyle w:val="naisc"/>
              <w:spacing w:before="0" w:after="0"/>
              <w:jc w:val="left"/>
            </w:pPr>
            <w:r>
              <w:lastRenderedPageBreak/>
              <w:t xml:space="preserve">Skat. sadaļu 4.4.6. </w:t>
            </w:r>
          </w:p>
        </w:tc>
      </w:tr>
      <w:tr w:rsidR="00C857FC" w:rsidRPr="009841AB" w14:paraId="5EB0B64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B94F08E" w14:textId="77777777" w:rsidR="00C857FC" w:rsidRPr="009841AB" w:rsidRDefault="00C320FB" w:rsidP="00C857FC">
            <w:pPr>
              <w:pStyle w:val="naisc"/>
              <w:spacing w:before="0" w:after="0"/>
            </w:pPr>
            <w:r>
              <w:t>364</w:t>
            </w:r>
          </w:p>
        </w:tc>
        <w:tc>
          <w:tcPr>
            <w:tcW w:w="2427" w:type="dxa"/>
            <w:tcBorders>
              <w:left w:val="single" w:sz="6" w:space="0" w:color="000000" w:themeColor="text1"/>
              <w:bottom w:val="single" w:sz="4" w:space="0" w:color="auto"/>
            </w:tcBorders>
            <w:shd w:val="clear" w:color="auto" w:fill="auto"/>
          </w:tcPr>
          <w:p w14:paraId="2BDD455D"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2BAC917" w14:textId="77777777" w:rsidR="00C857FC" w:rsidRDefault="00C857FC" w:rsidP="00C857FC">
            <w:pPr>
              <w:ind w:right="12"/>
              <w:jc w:val="both"/>
            </w:pPr>
            <w:r>
              <w:t>12. Izteikt 4.4.6. Rīcības virziena nepieciešamās rīcības 2.1., 2.2., 2.3.apakšpunktu, 5. punktu šādā redakcijā:</w:t>
            </w:r>
          </w:p>
          <w:p w14:paraId="32C15C0F" w14:textId="77777777" w:rsidR="00C857FC" w:rsidRDefault="00C857FC" w:rsidP="00C857FC">
            <w:pPr>
              <w:ind w:right="12"/>
              <w:jc w:val="both"/>
            </w:pPr>
            <w:r>
              <w:t>“2.1. Nepieciešams turpināt attīstīt e-veselības sistēmas un ārstniecības iestāžu informācijas sistēmu savstarpējo integrāciju, nodrošinot drošu datu apmaiņu.</w:t>
            </w:r>
          </w:p>
          <w:p w14:paraId="3EF58A16" w14:textId="77777777" w:rsidR="00C857FC" w:rsidRDefault="00C857FC" w:rsidP="00C857FC">
            <w:pPr>
              <w:ind w:right="12"/>
              <w:jc w:val="both"/>
            </w:pPr>
            <w:r>
              <w:t xml:space="preserve">2.2. Jānodrošina ārstniecības iestādēs un aptiekās apstrādāto pacienta datu (t.sk. vizuālās diagnostikas un laboratorijas izmeklējumu) pieejamība pacienta elektroniskajās veselības kartē e-veselības sistēmā, ievērojot </w:t>
            </w:r>
            <w:proofErr w:type="spellStart"/>
            <w:r>
              <w:t>vienreizes</w:t>
            </w:r>
            <w:proofErr w:type="spellEnd"/>
            <w:r>
              <w:t xml:space="preserve"> principu.</w:t>
            </w:r>
          </w:p>
          <w:p w14:paraId="6CBF3147" w14:textId="77777777" w:rsidR="00C857FC" w:rsidRDefault="00C857FC" w:rsidP="00C857FC">
            <w:pPr>
              <w:ind w:right="12"/>
              <w:jc w:val="both"/>
            </w:pPr>
            <w:r>
              <w:t>2.3. Jānodrošina Latvijas iekļaušanās Eiropas vienotajā veselības datu telpā, kas ietver gan pacientu datu apmaiņu ārstniecības mērķiem, gan veselības datu otrreizēju izmantošanu.</w:t>
            </w:r>
          </w:p>
          <w:p w14:paraId="7DD24EF9" w14:textId="77777777" w:rsidR="00C857FC" w:rsidRDefault="00C857FC" w:rsidP="00C857FC">
            <w:pPr>
              <w:ind w:right="12"/>
              <w:jc w:val="both"/>
            </w:pPr>
            <w:r>
              <w:t xml:space="preserve">5. Veselības aprūpē jāievieš mūsdienīgi digitālie risinājumi, t.sk. </w:t>
            </w:r>
            <w:proofErr w:type="spellStart"/>
            <w:r>
              <w:t>telemedicīnas</w:t>
            </w:r>
            <w:proofErr w:type="spellEnd"/>
            <w:r>
              <w:t xml:space="preserve"> risinājumi, nodrošinot vienotu un drošu platformu gan saziņai ar pacientu un attālinātu konsultāciju sniegšanai, gan medicīnas profesionāļu savstarpējai viedokļu apmaiņai, jāveicina mākslīgā intelekta izmantošana veselības aprūpē.”</w:t>
            </w:r>
          </w:p>
        </w:tc>
        <w:tc>
          <w:tcPr>
            <w:tcW w:w="2480" w:type="dxa"/>
            <w:tcBorders>
              <w:left w:val="single" w:sz="6" w:space="0" w:color="000000" w:themeColor="text1"/>
              <w:bottom w:val="single" w:sz="4" w:space="0" w:color="auto"/>
            </w:tcBorders>
            <w:shd w:val="clear" w:color="auto" w:fill="auto"/>
          </w:tcPr>
          <w:p w14:paraId="082CB31A"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35DF9DAD" w14:textId="77777777" w:rsidR="00C857FC" w:rsidRPr="009841AB" w:rsidRDefault="00C857FC" w:rsidP="00C857FC">
            <w:pPr>
              <w:pStyle w:val="naisc"/>
              <w:spacing w:before="0" w:after="0"/>
              <w:jc w:val="left"/>
            </w:pPr>
            <w:r>
              <w:t>Skat. sadaļu 4.4.6.</w:t>
            </w:r>
          </w:p>
        </w:tc>
      </w:tr>
      <w:tr w:rsidR="00C857FC" w:rsidRPr="009841AB" w14:paraId="3DCBDC1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C4DF074" w14:textId="77777777" w:rsidR="00C857FC" w:rsidRPr="009841AB" w:rsidRDefault="00C320FB" w:rsidP="00C857FC">
            <w:pPr>
              <w:pStyle w:val="naisc"/>
              <w:spacing w:before="0" w:after="0"/>
            </w:pPr>
            <w:r>
              <w:t>365</w:t>
            </w:r>
          </w:p>
        </w:tc>
        <w:tc>
          <w:tcPr>
            <w:tcW w:w="2427" w:type="dxa"/>
            <w:tcBorders>
              <w:left w:val="single" w:sz="6" w:space="0" w:color="000000" w:themeColor="text1"/>
              <w:bottom w:val="single" w:sz="4" w:space="0" w:color="auto"/>
            </w:tcBorders>
            <w:shd w:val="clear" w:color="auto" w:fill="auto"/>
          </w:tcPr>
          <w:p w14:paraId="150E5521"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1E4954C" w14:textId="77777777" w:rsidR="00C857FC" w:rsidRDefault="00C857FC" w:rsidP="00C857FC">
            <w:pPr>
              <w:ind w:right="12"/>
              <w:jc w:val="both"/>
            </w:pPr>
            <w:r>
              <w:t xml:space="preserve">13. </w:t>
            </w:r>
            <w:r w:rsidRPr="007B67E8">
              <w:t>4.4.6. Rīcības virziena nepieciešamās rīcības 9. punktā (81.lpp.) aizstāt vārdu “indivīdiem” ar “indivīdam”.</w:t>
            </w:r>
          </w:p>
        </w:tc>
        <w:tc>
          <w:tcPr>
            <w:tcW w:w="2480" w:type="dxa"/>
            <w:tcBorders>
              <w:left w:val="single" w:sz="6" w:space="0" w:color="000000" w:themeColor="text1"/>
              <w:bottom w:val="single" w:sz="4" w:space="0" w:color="auto"/>
            </w:tcBorders>
            <w:shd w:val="clear" w:color="auto" w:fill="auto"/>
          </w:tcPr>
          <w:p w14:paraId="19407B4C"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59C6E1A8" w14:textId="77777777" w:rsidR="00C857FC" w:rsidRPr="009841AB" w:rsidRDefault="00C857FC" w:rsidP="00C857FC">
            <w:pPr>
              <w:pStyle w:val="naisc"/>
              <w:spacing w:before="0" w:after="0"/>
              <w:jc w:val="left"/>
            </w:pPr>
            <w:r>
              <w:t>Skat. sadaļu 4.4.6.</w:t>
            </w:r>
          </w:p>
        </w:tc>
      </w:tr>
      <w:tr w:rsidR="00C857FC" w:rsidRPr="009841AB" w14:paraId="46695B7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0C689E9" w14:textId="77777777" w:rsidR="00C857FC" w:rsidRPr="009841AB" w:rsidRDefault="00C320FB" w:rsidP="00C857FC">
            <w:pPr>
              <w:pStyle w:val="naisc"/>
              <w:spacing w:before="0" w:after="0"/>
            </w:pPr>
            <w:r>
              <w:lastRenderedPageBreak/>
              <w:t>366</w:t>
            </w:r>
          </w:p>
        </w:tc>
        <w:tc>
          <w:tcPr>
            <w:tcW w:w="2427" w:type="dxa"/>
            <w:tcBorders>
              <w:left w:val="single" w:sz="6" w:space="0" w:color="000000" w:themeColor="text1"/>
              <w:bottom w:val="single" w:sz="4" w:space="0" w:color="auto"/>
            </w:tcBorders>
            <w:shd w:val="clear" w:color="auto" w:fill="auto"/>
          </w:tcPr>
          <w:p w14:paraId="6BA594A5"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A447873" w14:textId="77777777" w:rsidR="00C857FC" w:rsidRDefault="00C857FC" w:rsidP="00C857FC">
            <w:pPr>
              <w:ind w:right="12"/>
              <w:jc w:val="both"/>
            </w:pPr>
            <w:r>
              <w:t>14. 4.4.6. Rīcības virziena Sagaidāmos rezultātus 1., 2., 4., 6. punktu (81.lpp.) izteikt šādā redakcijā:</w:t>
            </w:r>
          </w:p>
          <w:p w14:paraId="3FCDAD04" w14:textId="77777777" w:rsidR="00C857FC" w:rsidRDefault="00C857FC" w:rsidP="00C857FC">
            <w:pPr>
              <w:ind w:right="12"/>
              <w:jc w:val="both"/>
            </w:pPr>
            <w:r>
              <w:t>“1. Nodrošināta pilnvērtīga iespēja līdz 2027. gadam veikt ārstniecības iestādēs izmantoto informācijas sistēmu integrāciju ar e-veselības sistēmu.</w:t>
            </w:r>
          </w:p>
          <w:p w14:paraId="5073591B" w14:textId="77777777" w:rsidR="00C857FC" w:rsidRDefault="00C857FC" w:rsidP="00C857FC">
            <w:pPr>
              <w:ind w:right="12"/>
              <w:jc w:val="both"/>
            </w:pPr>
            <w:r>
              <w:t>2. Līdz 2024. gadam noteikti vienoti datu apmaiņas standarti un klasifikatori, vai to pielietošanas principi informācijas uzkrāšanai un apmaiņai starp veselības aprūpē un veselības nozarē izmantojamām informācijas sistēmām un datu bāzēm.</w:t>
            </w:r>
          </w:p>
          <w:p w14:paraId="742E34CD" w14:textId="77777777" w:rsidR="00C857FC" w:rsidRDefault="00C857FC" w:rsidP="00C857FC">
            <w:pPr>
              <w:ind w:right="12"/>
              <w:jc w:val="both"/>
            </w:pPr>
            <w:r>
              <w:t>4. Līdz 2026. gadam nodrošināt pilnvērtīgu pacienta elektroniskās veselības kartes darbību un slimību reģistru atbilstošu kvalitāti pilnvērtīgai ārstniecības procesa nodrošināšanai un veselības politikas īstenošanai.</w:t>
            </w:r>
          </w:p>
          <w:p w14:paraId="2BAC8E11" w14:textId="77777777" w:rsidR="00C857FC" w:rsidRDefault="00C857FC" w:rsidP="00C857FC">
            <w:pPr>
              <w:ind w:right="12"/>
              <w:jc w:val="both"/>
            </w:pPr>
            <w:r>
              <w:t>6. Līdz 2027. gadam nodrošināta datu apmaiņa vienotā platformā starp e-veselības sistēmu un labklājības nozares informācijas sistēmām, lai nodrošinātu iedzīvotāju sociālo pakalpojumu un veselības aprūpes pakalpojumu sniegšanai savstarpēji nepieciešamās informācijas elektronisku apriti.”</w:t>
            </w:r>
          </w:p>
        </w:tc>
        <w:tc>
          <w:tcPr>
            <w:tcW w:w="2480" w:type="dxa"/>
            <w:tcBorders>
              <w:left w:val="single" w:sz="6" w:space="0" w:color="000000" w:themeColor="text1"/>
              <w:bottom w:val="single" w:sz="4" w:space="0" w:color="auto"/>
            </w:tcBorders>
            <w:shd w:val="clear" w:color="auto" w:fill="auto"/>
          </w:tcPr>
          <w:p w14:paraId="15D2E3BE"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5677A107" w14:textId="77777777" w:rsidR="00C857FC" w:rsidRPr="009841AB" w:rsidRDefault="00C857FC" w:rsidP="00C857FC">
            <w:pPr>
              <w:pStyle w:val="naisc"/>
              <w:spacing w:before="0" w:after="0"/>
              <w:jc w:val="left"/>
            </w:pPr>
            <w:r>
              <w:t>Skat. sadaļu 4.4.6.</w:t>
            </w:r>
          </w:p>
        </w:tc>
      </w:tr>
      <w:tr w:rsidR="00C857FC" w:rsidRPr="009841AB" w14:paraId="6CBC717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2E5C5FB" w14:textId="77777777" w:rsidR="00C857FC" w:rsidRPr="009841AB" w:rsidRDefault="00C320FB" w:rsidP="00C857FC">
            <w:pPr>
              <w:pStyle w:val="naisc"/>
              <w:spacing w:before="0" w:after="0"/>
            </w:pPr>
            <w:r>
              <w:t>367</w:t>
            </w:r>
          </w:p>
        </w:tc>
        <w:tc>
          <w:tcPr>
            <w:tcW w:w="2427" w:type="dxa"/>
            <w:tcBorders>
              <w:left w:val="single" w:sz="6" w:space="0" w:color="000000" w:themeColor="text1"/>
              <w:bottom w:val="single" w:sz="4" w:space="0" w:color="auto"/>
            </w:tcBorders>
            <w:shd w:val="clear" w:color="auto" w:fill="auto"/>
          </w:tcPr>
          <w:p w14:paraId="53E91668"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00D8706" w14:textId="77777777" w:rsidR="00C857FC" w:rsidRDefault="00C857FC" w:rsidP="00C857FC">
            <w:pPr>
              <w:ind w:right="12"/>
              <w:jc w:val="both"/>
            </w:pPr>
            <w:r>
              <w:t>15. Lūdzam izteikt uzdevumu 4.4.6.-2 (82.lpp.) šādā redakcijā, sadalot atsevišķos uzdevumos, kā arī atbilstoši koriģējot atbildīgo un līdzatbildīgos:</w:t>
            </w:r>
          </w:p>
          <w:p w14:paraId="1201B298" w14:textId="77777777" w:rsidR="00C857FC" w:rsidRDefault="00C857FC" w:rsidP="00C857FC">
            <w:pPr>
              <w:ind w:right="12"/>
              <w:jc w:val="both"/>
            </w:pPr>
            <w:r>
              <w:t>“Nodrošināt veselības un labklājības nozares datu pieejamību koplietošanai, t.sk. nodrošinot vienotā platformā iedzīvotāju sociālo pakalpojumu un veselības aprūpes pakalpojumu sniegšanai savstarpēji nepieciešamās informācijas elektronisku apriti.”</w:t>
            </w:r>
          </w:p>
          <w:p w14:paraId="662D3AA5" w14:textId="77777777" w:rsidR="00C857FC" w:rsidRDefault="00C857FC" w:rsidP="00C857FC">
            <w:pPr>
              <w:ind w:right="12"/>
              <w:jc w:val="both"/>
            </w:pPr>
            <w:r>
              <w:t>Atbildīgais: VM, LM</w:t>
            </w:r>
          </w:p>
          <w:p w14:paraId="702FCC71" w14:textId="77777777" w:rsidR="00C857FC" w:rsidRDefault="00C857FC" w:rsidP="00C857FC">
            <w:pPr>
              <w:ind w:right="12"/>
              <w:jc w:val="both"/>
            </w:pPr>
            <w:r>
              <w:t xml:space="preserve">Līdzatbildīgie: VARAM, EM, pašvaldības, ārstniecības iestādes </w:t>
            </w:r>
          </w:p>
          <w:p w14:paraId="74C2F898" w14:textId="77777777" w:rsidR="00C857FC" w:rsidRDefault="00C857FC" w:rsidP="00C857FC">
            <w:pPr>
              <w:ind w:right="12"/>
              <w:jc w:val="both"/>
            </w:pPr>
            <w:r>
              <w:t xml:space="preserve">“Nodrošināt pilnvērtīgu pacientu elektroniskās veselības kartes darbību un pacientu slimību reģistru </w:t>
            </w:r>
            <w:r>
              <w:lastRenderedPageBreak/>
              <w:t>atbilstošu kvalitāti pilnvērtīgai ārstniecības procesa nodrošināšanai un veselības politikas īstenošanai.”</w:t>
            </w:r>
          </w:p>
          <w:p w14:paraId="76C7CEA2" w14:textId="77777777" w:rsidR="00C857FC" w:rsidRDefault="00C857FC" w:rsidP="00C857FC">
            <w:pPr>
              <w:ind w:right="12"/>
              <w:jc w:val="both"/>
            </w:pPr>
            <w:r>
              <w:t>Atbildīgais: VM</w:t>
            </w:r>
          </w:p>
          <w:p w14:paraId="6A4F20F3" w14:textId="77777777" w:rsidR="00C857FC" w:rsidRDefault="00C857FC" w:rsidP="00C857FC">
            <w:pPr>
              <w:ind w:right="12"/>
              <w:jc w:val="both"/>
            </w:pPr>
            <w:r>
              <w:t>Līdzatbildīgie: ārstniecības iestādes</w:t>
            </w:r>
          </w:p>
        </w:tc>
        <w:tc>
          <w:tcPr>
            <w:tcW w:w="2480" w:type="dxa"/>
            <w:tcBorders>
              <w:left w:val="single" w:sz="6" w:space="0" w:color="000000" w:themeColor="text1"/>
              <w:bottom w:val="single" w:sz="4" w:space="0" w:color="auto"/>
            </w:tcBorders>
            <w:shd w:val="clear" w:color="auto" w:fill="auto"/>
          </w:tcPr>
          <w:p w14:paraId="78AFED1B" w14:textId="77777777" w:rsidR="00C857FC" w:rsidRPr="009841AB" w:rsidRDefault="00C857FC" w:rsidP="00C857FC">
            <w:pPr>
              <w:pStyle w:val="naisc"/>
              <w:spacing w:before="0" w:after="0"/>
              <w:jc w:val="left"/>
              <w:rPr>
                <w:b/>
                <w:bCs/>
              </w:rPr>
            </w:pPr>
            <w:r>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1028150E" w14:textId="77777777" w:rsidR="00C857FC" w:rsidRPr="009841AB" w:rsidRDefault="00C857FC" w:rsidP="00C857FC">
            <w:pPr>
              <w:pStyle w:val="naisc"/>
              <w:spacing w:before="0" w:after="0"/>
              <w:jc w:val="left"/>
            </w:pPr>
            <w:r w:rsidRPr="001710A6">
              <w:t>Skat. sadaļu 4.4.6.</w:t>
            </w:r>
            <w:r>
              <w:t>, 3. pielikumu</w:t>
            </w:r>
          </w:p>
        </w:tc>
      </w:tr>
      <w:tr w:rsidR="00C857FC" w:rsidRPr="009841AB" w14:paraId="1330400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4597843" w14:textId="77777777" w:rsidR="00C857FC" w:rsidRPr="009841AB" w:rsidRDefault="00C320FB" w:rsidP="00C857FC">
            <w:pPr>
              <w:pStyle w:val="naisc"/>
              <w:spacing w:before="0" w:after="0"/>
            </w:pPr>
            <w:r>
              <w:t>368</w:t>
            </w:r>
          </w:p>
        </w:tc>
        <w:tc>
          <w:tcPr>
            <w:tcW w:w="2427" w:type="dxa"/>
            <w:tcBorders>
              <w:left w:val="single" w:sz="6" w:space="0" w:color="000000" w:themeColor="text1"/>
              <w:bottom w:val="single" w:sz="4" w:space="0" w:color="auto"/>
            </w:tcBorders>
            <w:shd w:val="clear" w:color="auto" w:fill="auto"/>
          </w:tcPr>
          <w:p w14:paraId="47676567" w14:textId="77777777" w:rsidR="00C857FC" w:rsidRPr="009841AB" w:rsidRDefault="00C857FC" w:rsidP="00C857F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4A9E9B2" w14:textId="77777777" w:rsidR="00C857FC" w:rsidRDefault="00C2116F" w:rsidP="00C857FC">
            <w:pPr>
              <w:ind w:right="12"/>
              <w:jc w:val="both"/>
            </w:pPr>
            <w:r>
              <w:t>1</w:t>
            </w:r>
            <w:r w:rsidR="00C320FB">
              <w:t>6</w:t>
            </w:r>
            <w:r w:rsidR="00C857FC">
              <w:t>. Lūdzam izteikt 4.4.6.-3. uzdevumu šādā redakcijā:</w:t>
            </w:r>
          </w:p>
          <w:p w14:paraId="6577443A" w14:textId="77777777" w:rsidR="00C857FC" w:rsidRDefault="00C857FC" w:rsidP="00C857FC">
            <w:pPr>
              <w:ind w:right="12"/>
              <w:jc w:val="both"/>
            </w:pPr>
            <w:r>
              <w:t xml:space="preserve">“Veicināt mūsdienīgu, uz pacientu orientētu digitālo risinājumu, t.sk. </w:t>
            </w:r>
            <w:proofErr w:type="spellStart"/>
            <w:r>
              <w:t>telemedicīnas</w:t>
            </w:r>
            <w:proofErr w:type="spellEnd"/>
            <w:r>
              <w:t xml:space="preserve"> risinājumu, ieviešanu, veselības aprūpē.”</w:t>
            </w:r>
          </w:p>
        </w:tc>
        <w:tc>
          <w:tcPr>
            <w:tcW w:w="2480" w:type="dxa"/>
            <w:tcBorders>
              <w:left w:val="single" w:sz="6" w:space="0" w:color="000000" w:themeColor="text1"/>
              <w:bottom w:val="single" w:sz="4" w:space="0" w:color="auto"/>
            </w:tcBorders>
            <w:shd w:val="clear" w:color="auto" w:fill="auto"/>
          </w:tcPr>
          <w:p w14:paraId="2B815ADC"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1C877215" w14:textId="77777777" w:rsidR="00C857FC" w:rsidRPr="009841AB" w:rsidRDefault="00C857FC" w:rsidP="00C857FC">
            <w:pPr>
              <w:pStyle w:val="naisc"/>
              <w:spacing w:before="0" w:after="0"/>
              <w:jc w:val="left"/>
            </w:pPr>
            <w:r w:rsidRPr="001710A6">
              <w:t>Skat. sadaļu 4.4.6.</w:t>
            </w:r>
          </w:p>
        </w:tc>
      </w:tr>
      <w:tr w:rsidR="00C27D3F" w:rsidRPr="009841AB" w14:paraId="7722368E"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D1559C9" w14:textId="77777777" w:rsidR="00C27D3F" w:rsidRPr="009841AB" w:rsidRDefault="00C27D3F" w:rsidP="00C27D3F">
            <w:pPr>
              <w:tabs>
                <w:tab w:val="left" w:pos="720"/>
              </w:tabs>
              <w:contextualSpacing/>
              <w:jc w:val="both"/>
              <w:rPr>
                <w:b/>
                <w:bCs/>
                <w:lang w:eastAsia="en-US"/>
              </w:rPr>
            </w:pPr>
            <w:r w:rsidRPr="009841AB">
              <w:rPr>
                <w:b/>
                <w:bCs/>
                <w:lang w:eastAsia="en-US"/>
              </w:rPr>
              <w:t>Valsts kancelejas 05.02.2021. atzinums:</w:t>
            </w:r>
          </w:p>
        </w:tc>
      </w:tr>
      <w:tr w:rsidR="00C27D3F" w:rsidRPr="009841AB" w14:paraId="7478DA0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693CAD0" w14:textId="77777777" w:rsidR="00C27D3F" w:rsidRPr="009841AB" w:rsidRDefault="00C320FB" w:rsidP="00C27D3F">
            <w:pPr>
              <w:pStyle w:val="naisc"/>
              <w:spacing w:before="0" w:after="0"/>
            </w:pPr>
            <w:r>
              <w:t>369</w:t>
            </w:r>
          </w:p>
        </w:tc>
        <w:tc>
          <w:tcPr>
            <w:tcW w:w="2427" w:type="dxa"/>
            <w:tcBorders>
              <w:left w:val="single" w:sz="6" w:space="0" w:color="000000" w:themeColor="text1"/>
              <w:bottom w:val="single" w:sz="4" w:space="0" w:color="auto"/>
            </w:tcBorders>
            <w:shd w:val="clear" w:color="auto" w:fill="auto"/>
          </w:tcPr>
          <w:p w14:paraId="1ED876B0"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14E11C8" w14:textId="77777777" w:rsidR="00C27D3F" w:rsidRPr="009841AB" w:rsidRDefault="00C27D3F" w:rsidP="00C27D3F">
            <w:pPr>
              <w:widowControl w:val="0"/>
              <w:ind w:right="126"/>
              <w:jc w:val="both"/>
              <w:rPr>
                <w:color w:val="212121"/>
              </w:rPr>
            </w:pPr>
            <w:r w:rsidRPr="009841AB">
              <w:rPr>
                <w:color w:val="212121"/>
              </w:rPr>
              <w:t xml:space="preserve">1. Aicinām precizēt 92. </w:t>
            </w:r>
            <w:proofErr w:type="spellStart"/>
            <w:r w:rsidRPr="009841AB">
              <w:rPr>
                <w:color w:val="212121"/>
              </w:rPr>
              <w:t>lpp</w:t>
            </w:r>
            <w:proofErr w:type="spellEnd"/>
            <w:r w:rsidRPr="009841AB">
              <w:rPr>
                <w:color w:val="212121"/>
              </w:rPr>
              <w:t xml:space="preserve"> formulēto 5. sagaidāmo rezultātu “</w:t>
            </w:r>
            <w:r w:rsidRPr="009841AB">
              <w:rPr>
                <w:rStyle w:val="normaltextrun"/>
                <w:color w:val="000000" w:themeColor="text1"/>
              </w:rPr>
              <w:t>No 2021</w:t>
            </w:r>
            <w:r w:rsidRPr="009841AB">
              <w:rPr>
                <w:rStyle w:val="normaltextrun"/>
                <w:color w:val="881798"/>
                <w:u w:val="single"/>
              </w:rPr>
              <w:t xml:space="preserve"> </w:t>
            </w:r>
            <w:r w:rsidRPr="009841AB">
              <w:rPr>
                <w:rStyle w:val="normaltextrun"/>
                <w:color w:val="000000" w:themeColor="text1"/>
              </w:rPr>
              <w:t>nodrošināt</w:t>
            </w:r>
            <w:r w:rsidRPr="009841AB">
              <w:rPr>
                <w:rStyle w:val="normaltextrun"/>
                <w:strike/>
                <w:color w:val="881798"/>
              </w:rPr>
              <w:t>a</w:t>
            </w:r>
            <w:r w:rsidRPr="009841AB">
              <w:rPr>
                <w:rStyle w:val="normaltextrun"/>
                <w:color w:val="000000" w:themeColor="text1"/>
              </w:rPr>
              <w:t xml:space="preserve">s valsts pārvaldes speciālistu </w:t>
            </w:r>
            <w:r w:rsidRPr="009841AB">
              <w:rPr>
                <w:rStyle w:val="normaltextrun"/>
              </w:rPr>
              <w:t>Atbalsts nodarbināto pieaugušo </w:t>
            </w:r>
            <w:r w:rsidRPr="009841AB">
              <w:rPr>
                <w:rStyle w:val="normaltextrun"/>
                <w:color w:val="000000" w:themeColor="text1"/>
              </w:rPr>
              <w:t>digitālo prasmju attīstībai, digitālo prasmju un pakalpojumu modeļu kompetences pilnveidei un realizētas izglītošanas un veicināšanas aktivitātes platformu izmantošanas sekmēšanai” tā,</w:t>
            </w:r>
            <w:r w:rsidRPr="009841AB">
              <w:rPr>
                <w:color w:val="212121"/>
              </w:rPr>
              <w:t xml:space="preserve"> lai ir nepārprotami skaidrs, kas, kam, kāda veida un kādā apjomā sniegs atbalstu. </w:t>
            </w:r>
          </w:p>
        </w:tc>
        <w:tc>
          <w:tcPr>
            <w:tcW w:w="2480" w:type="dxa"/>
            <w:tcBorders>
              <w:left w:val="single" w:sz="6" w:space="0" w:color="000000" w:themeColor="text1"/>
              <w:bottom w:val="single" w:sz="4" w:space="0" w:color="auto"/>
            </w:tcBorders>
            <w:shd w:val="clear" w:color="auto" w:fill="auto"/>
          </w:tcPr>
          <w:p w14:paraId="5B0D094F" w14:textId="77777777" w:rsidR="00C27D3F" w:rsidRPr="009841AB" w:rsidRDefault="49A753C3" w:rsidP="00C27D3F">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1E2B0C05" w14:textId="77777777" w:rsidR="00C27D3F" w:rsidRPr="009841AB" w:rsidRDefault="49A753C3" w:rsidP="00C27D3F">
            <w:pPr>
              <w:pStyle w:val="naisc"/>
              <w:spacing w:before="0" w:after="0"/>
              <w:jc w:val="both"/>
            </w:pPr>
            <w:r w:rsidRPr="009841AB">
              <w:t>Skat. 4.4.1. sadaļu</w:t>
            </w:r>
          </w:p>
        </w:tc>
      </w:tr>
      <w:tr w:rsidR="00C27D3F" w:rsidRPr="009841AB" w14:paraId="59F887D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B504F6C" w14:textId="77777777" w:rsidR="00C27D3F" w:rsidRPr="009841AB" w:rsidRDefault="00C320FB" w:rsidP="00C27D3F">
            <w:pPr>
              <w:pStyle w:val="naisc"/>
              <w:spacing w:before="0" w:after="0"/>
            </w:pPr>
            <w:r>
              <w:t>370</w:t>
            </w:r>
          </w:p>
        </w:tc>
        <w:tc>
          <w:tcPr>
            <w:tcW w:w="2427" w:type="dxa"/>
            <w:tcBorders>
              <w:left w:val="single" w:sz="6" w:space="0" w:color="000000" w:themeColor="text1"/>
              <w:bottom w:val="single" w:sz="4" w:space="0" w:color="auto"/>
            </w:tcBorders>
            <w:shd w:val="clear" w:color="auto" w:fill="auto"/>
          </w:tcPr>
          <w:p w14:paraId="3303D434"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4F08CEF" w14:textId="77777777" w:rsidR="00C27D3F" w:rsidRPr="009841AB" w:rsidRDefault="00C27D3F" w:rsidP="00C27D3F">
            <w:pPr>
              <w:widowControl w:val="0"/>
              <w:ind w:right="126"/>
              <w:jc w:val="both"/>
              <w:rPr>
                <w:shd w:val="clear" w:color="auto" w:fill="FFFFFF"/>
              </w:rPr>
            </w:pPr>
            <w:r w:rsidRPr="009841AB">
              <w:rPr>
                <w:shd w:val="clear" w:color="auto" w:fill="FFFFFF"/>
              </w:rPr>
              <w:t xml:space="preserve">2. Aicinām 4.4.1. Rīcības virziena “Pakalpojumu platformas” sadaļas </w:t>
            </w:r>
            <w:r w:rsidRPr="009841AB">
              <w:rPr>
                <w:i/>
                <w:shd w:val="clear" w:color="auto" w:fill="FFFFFF"/>
              </w:rPr>
              <w:t>Nepieciešamā rīcība</w:t>
            </w:r>
            <w:r w:rsidRPr="009841AB">
              <w:rPr>
                <w:shd w:val="clear" w:color="auto" w:fill="FFFFFF"/>
              </w:rPr>
              <w:t xml:space="preserve"> 9.punktu papildināt ar </w:t>
            </w:r>
            <w:proofErr w:type="spellStart"/>
            <w:r w:rsidRPr="009841AB">
              <w:rPr>
                <w:shd w:val="clear" w:color="auto" w:fill="FFFFFF"/>
              </w:rPr>
              <w:t>inovētspēju</w:t>
            </w:r>
            <w:proofErr w:type="spellEnd"/>
            <w:r w:rsidRPr="009841AB">
              <w:rPr>
                <w:shd w:val="clear" w:color="auto" w:fill="FFFFFF"/>
              </w:rPr>
              <w:t>, uzsverot, ka to ir nepieciešams attīstīt.</w:t>
            </w:r>
          </w:p>
        </w:tc>
        <w:tc>
          <w:tcPr>
            <w:tcW w:w="2480" w:type="dxa"/>
            <w:tcBorders>
              <w:left w:val="single" w:sz="6" w:space="0" w:color="000000" w:themeColor="text1"/>
              <w:bottom w:val="single" w:sz="4" w:space="0" w:color="auto"/>
            </w:tcBorders>
            <w:shd w:val="clear" w:color="auto" w:fill="auto"/>
          </w:tcPr>
          <w:p w14:paraId="0B5B6F97" w14:textId="77777777" w:rsidR="00C27D3F" w:rsidRPr="009841AB" w:rsidRDefault="00C27D3F" w:rsidP="00C27D3F">
            <w:pPr>
              <w:pStyle w:val="naisc"/>
              <w:spacing w:before="0" w:after="0"/>
              <w:jc w:val="left"/>
              <w:rPr>
                <w:b/>
                <w:bCs/>
              </w:rPr>
            </w:pPr>
            <w:r w:rsidRPr="009841AB">
              <w:rPr>
                <w:b/>
                <w:bCs/>
              </w:rPr>
              <w:t>Ņemts vērā</w:t>
            </w:r>
          </w:p>
          <w:p w14:paraId="4DD4A143" w14:textId="77777777" w:rsidR="00C27D3F" w:rsidRPr="009841AB" w:rsidRDefault="00C27D3F" w:rsidP="00C27D3F">
            <w:pPr>
              <w:pStyle w:val="naisc"/>
              <w:spacing w:before="0" w:after="0"/>
              <w:jc w:val="left"/>
            </w:pPr>
            <w:r w:rsidRPr="009841AB">
              <w:t>Papildināts ar atsauci uz "</w:t>
            </w:r>
            <w:proofErr w:type="spellStart"/>
            <w:r w:rsidRPr="009841AB">
              <w:t>inovētspēju</w:t>
            </w:r>
            <w:proofErr w:type="spellEnd"/>
            <w:r w:rsidRPr="009841AB">
              <w:t>".</w:t>
            </w:r>
          </w:p>
        </w:tc>
        <w:tc>
          <w:tcPr>
            <w:tcW w:w="3497" w:type="dxa"/>
            <w:tcBorders>
              <w:left w:val="single" w:sz="6" w:space="0" w:color="000000" w:themeColor="text1"/>
              <w:bottom w:val="single" w:sz="4" w:space="0" w:color="auto"/>
            </w:tcBorders>
            <w:shd w:val="clear" w:color="auto" w:fill="auto"/>
          </w:tcPr>
          <w:p w14:paraId="713B6406"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4.4.1.</w:t>
            </w:r>
          </w:p>
          <w:p w14:paraId="0E792E79" w14:textId="77777777" w:rsidR="00C27D3F" w:rsidRPr="009841AB" w:rsidRDefault="00C27D3F" w:rsidP="00C27D3F">
            <w:pPr>
              <w:pStyle w:val="naisc"/>
              <w:spacing w:before="0" w:after="0"/>
              <w:jc w:val="both"/>
            </w:pPr>
          </w:p>
        </w:tc>
      </w:tr>
      <w:tr w:rsidR="00C27D3F" w:rsidRPr="009841AB" w14:paraId="122C06F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E7FF935" w14:textId="77777777" w:rsidR="00C27D3F" w:rsidRPr="009841AB" w:rsidRDefault="00C320FB" w:rsidP="00C27D3F">
            <w:pPr>
              <w:pStyle w:val="naisc"/>
              <w:spacing w:before="0" w:after="0"/>
            </w:pPr>
            <w:r>
              <w:t>371</w:t>
            </w:r>
          </w:p>
        </w:tc>
        <w:tc>
          <w:tcPr>
            <w:tcW w:w="2427" w:type="dxa"/>
            <w:tcBorders>
              <w:left w:val="single" w:sz="6" w:space="0" w:color="000000" w:themeColor="text1"/>
              <w:bottom w:val="single" w:sz="4" w:space="0" w:color="auto"/>
            </w:tcBorders>
            <w:shd w:val="clear" w:color="auto" w:fill="auto"/>
          </w:tcPr>
          <w:p w14:paraId="7E881F45"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724A309" w14:textId="77777777" w:rsidR="00C27D3F" w:rsidRPr="009841AB" w:rsidRDefault="00C27D3F" w:rsidP="00C27D3F">
            <w:pPr>
              <w:widowControl w:val="0"/>
              <w:ind w:right="126"/>
              <w:jc w:val="both"/>
              <w:rPr>
                <w:shd w:val="clear" w:color="auto" w:fill="FFFFFF"/>
              </w:rPr>
            </w:pPr>
            <w:r w:rsidRPr="009841AB">
              <w:rPr>
                <w:shd w:val="clear" w:color="auto" w:fill="FFFFFF"/>
              </w:rPr>
              <w:t xml:space="preserve">3. Lūdzam 4.4.1. Rīcības virziena “Pakalpojumu platformas” sadaļu </w:t>
            </w:r>
            <w:r w:rsidRPr="009841AB">
              <w:rPr>
                <w:i/>
                <w:shd w:val="clear" w:color="auto" w:fill="FFFFFF"/>
              </w:rPr>
              <w:t>Nepieciešamā rīcība</w:t>
            </w:r>
            <w:r w:rsidRPr="009841AB">
              <w:rPr>
                <w:shd w:val="clear" w:color="auto" w:fill="FFFFFF"/>
              </w:rPr>
              <w:t xml:space="preserve"> papildināt ar jaunu punktu: “Ir jānodrošina augstākā līmeņa vadītāju digitālās līderības kompetences attīstība un pārmaiņu vadības prasmes digitālās transformācijas jomā”. Ir svarīgi, ka Augstākā līmeņa vadītāji ir stratēģiskie līderi digitālās transformācijas jomā un ar savu rīcību veicina digitālo pakalpojumu attīstību. </w:t>
            </w:r>
          </w:p>
        </w:tc>
        <w:tc>
          <w:tcPr>
            <w:tcW w:w="2480" w:type="dxa"/>
            <w:tcBorders>
              <w:left w:val="single" w:sz="6" w:space="0" w:color="000000" w:themeColor="text1"/>
              <w:bottom w:val="single" w:sz="4" w:space="0" w:color="auto"/>
            </w:tcBorders>
            <w:shd w:val="clear" w:color="auto" w:fill="auto"/>
          </w:tcPr>
          <w:p w14:paraId="638F6B9B" w14:textId="77777777" w:rsidR="00C27D3F" w:rsidRPr="009841AB" w:rsidRDefault="00C27D3F" w:rsidP="00C27D3F">
            <w:pPr>
              <w:pStyle w:val="naisc"/>
              <w:spacing w:before="0" w:after="0"/>
              <w:jc w:val="left"/>
              <w:rPr>
                <w:b/>
                <w:bCs/>
              </w:rPr>
            </w:pPr>
            <w:r w:rsidRPr="009841AB">
              <w:rPr>
                <w:b/>
                <w:bCs/>
              </w:rPr>
              <w:t>Ņemts vērā</w:t>
            </w:r>
          </w:p>
          <w:p w14:paraId="10200343" w14:textId="77777777" w:rsidR="00C27D3F" w:rsidRPr="009841AB" w:rsidRDefault="00C27D3F" w:rsidP="00C27D3F">
            <w:pPr>
              <w:pStyle w:val="naisc"/>
              <w:spacing w:before="0" w:after="0"/>
              <w:jc w:val="left"/>
              <w:rPr>
                <w:b/>
                <w:bCs/>
              </w:rPr>
            </w:pPr>
            <w:r w:rsidRPr="009841AB">
              <w:t>Papildināta nepieciešamā rīcība 4.41. sadaļā.</w:t>
            </w:r>
          </w:p>
        </w:tc>
        <w:tc>
          <w:tcPr>
            <w:tcW w:w="3497" w:type="dxa"/>
            <w:tcBorders>
              <w:left w:val="single" w:sz="6" w:space="0" w:color="000000" w:themeColor="text1"/>
              <w:bottom w:val="single" w:sz="4" w:space="0" w:color="auto"/>
            </w:tcBorders>
            <w:shd w:val="clear" w:color="auto" w:fill="auto"/>
          </w:tcPr>
          <w:p w14:paraId="3729CEAC"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4.4.1.</w:t>
            </w:r>
          </w:p>
          <w:p w14:paraId="59EA7233" w14:textId="77777777" w:rsidR="00C27D3F" w:rsidRPr="009841AB" w:rsidRDefault="00C27D3F" w:rsidP="00C27D3F">
            <w:pPr>
              <w:pStyle w:val="naisc"/>
              <w:spacing w:before="0" w:after="0"/>
              <w:jc w:val="both"/>
            </w:pPr>
          </w:p>
        </w:tc>
      </w:tr>
      <w:tr w:rsidR="00C27D3F" w:rsidRPr="009841AB" w14:paraId="765E7C8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E12FB0E" w14:textId="77777777" w:rsidR="00C27D3F" w:rsidRPr="009841AB" w:rsidRDefault="00C320FB" w:rsidP="00C27D3F">
            <w:pPr>
              <w:pStyle w:val="naisc"/>
              <w:spacing w:before="0" w:after="0"/>
            </w:pPr>
            <w:r>
              <w:t>372</w:t>
            </w:r>
          </w:p>
        </w:tc>
        <w:tc>
          <w:tcPr>
            <w:tcW w:w="2427" w:type="dxa"/>
            <w:tcBorders>
              <w:left w:val="single" w:sz="6" w:space="0" w:color="000000" w:themeColor="text1"/>
              <w:bottom w:val="single" w:sz="4" w:space="0" w:color="auto"/>
            </w:tcBorders>
            <w:shd w:val="clear" w:color="auto" w:fill="auto"/>
          </w:tcPr>
          <w:p w14:paraId="79362811"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DAC082B" w14:textId="77777777" w:rsidR="00C27D3F" w:rsidRPr="009841AB" w:rsidRDefault="00C27D3F" w:rsidP="00C27D3F">
            <w:pPr>
              <w:widowControl w:val="0"/>
              <w:ind w:right="126"/>
              <w:jc w:val="both"/>
              <w:rPr>
                <w:rFonts w:eastAsiaTheme="minorEastAsia"/>
              </w:rPr>
            </w:pPr>
            <w:r w:rsidRPr="009841AB">
              <w:t xml:space="preserve">4. Aicinām papildināt 4.4.1. Rīcības virziena </w:t>
            </w:r>
            <w:r w:rsidRPr="009841AB">
              <w:rPr>
                <w:shd w:val="clear" w:color="auto" w:fill="FFFFFF"/>
              </w:rPr>
              <w:t xml:space="preserve">“Pakalpojumu platformas” </w:t>
            </w:r>
            <w:r w:rsidRPr="009841AB">
              <w:t>uzdevumus papildināt ar jaunu uzdevumu, izsakot to šādā redakcijā:</w:t>
            </w:r>
          </w:p>
          <w:p w14:paraId="3BC213FE" w14:textId="77777777" w:rsidR="00C27D3F" w:rsidRPr="009841AB" w:rsidRDefault="00C27D3F" w:rsidP="00C27D3F">
            <w:pPr>
              <w:widowControl w:val="0"/>
              <w:ind w:right="126"/>
              <w:jc w:val="both"/>
              <w:rPr>
                <w:color w:val="212121"/>
              </w:rPr>
            </w:pPr>
          </w:p>
        </w:tc>
        <w:tc>
          <w:tcPr>
            <w:tcW w:w="2480" w:type="dxa"/>
            <w:tcBorders>
              <w:left w:val="single" w:sz="6" w:space="0" w:color="000000" w:themeColor="text1"/>
              <w:bottom w:val="single" w:sz="4" w:space="0" w:color="auto"/>
            </w:tcBorders>
            <w:shd w:val="clear" w:color="auto" w:fill="auto"/>
          </w:tcPr>
          <w:p w14:paraId="1F85BDDC" w14:textId="77777777" w:rsidR="00C27D3F" w:rsidRPr="009841AB" w:rsidRDefault="00C27D3F" w:rsidP="00C27D3F">
            <w:pPr>
              <w:pStyle w:val="naisc"/>
              <w:spacing w:before="0" w:after="0"/>
              <w:jc w:val="left"/>
              <w:rPr>
                <w:b/>
                <w:bCs/>
              </w:rPr>
            </w:pPr>
            <w:r w:rsidRPr="009841AB">
              <w:rPr>
                <w:b/>
                <w:bCs/>
              </w:rPr>
              <w:t>Ņemts vērā</w:t>
            </w:r>
          </w:p>
          <w:p w14:paraId="68D15871" w14:textId="77777777" w:rsidR="00C27D3F" w:rsidRPr="009841AB" w:rsidRDefault="00C27D3F" w:rsidP="00C27D3F">
            <w:pPr>
              <w:pStyle w:val="naisc"/>
              <w:spacing w:before="0" w:after="0"/>
              <w:jc w:val="left"/>
            </w:pPr>
            <w:r w:rsidRPr="009841AB">
              <w:t>Precizēts sagaidāmais rezultāts un 4.4.1.-2. uzdevums.</w:t>
            </w:r>
          </w:p>
        </w:tc>
        <w:tc>
          <w:tcPr>
            <w:tcW w:w="3497" w:type="dxa"/>
            <w:tcBorders>
              <w:left w:val="single" w:sz="6" w:space="0" w:color="000000" w:themeColor="text1"/>
              <w:bottom w:val="single" w:sz="4" w:space="0" w:color="auto"/>
            </w:tcBorders>
            <w:shd w:val="clear" w:color="auto" w:fill="auto"/>
          </w:tcPr>
          <w:p w14:paraId="423AD7BE"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4.4.1</w:t>
            </w:r>
          </w:p>
          <w:p w14:paraId="6673750E" w14:textId="77777777" w:rsidR="00C27D3F" w:rsidRPr="009841AB" w:rsidRDefault="00C27D3F" w:rsidP="00C27D3F">
            <w:pPr>
              <w:pStyle w:val="naisc"/>
              <w:spacing w:before="0" w:after="0"/>
              <w:jc w:val="both"/>
            </w:pPr>
          </w:p>
        </w:tc>
      </w:tr>
      <w:tr w:rsidR="00C27D3F" w:rsidRPr="009841AB" w14:paraId="0EB92CAF" w14:textId="77777777" w:rsidTr="15B1D617">
        <w:trPr>
          <w:gridAfter w:val="1"/>
          <w:wAfter w:w="7" w:type="dxa"/>
        </w:trPr>
        <w:tc>
          <w:tcPr>
            <w:tcW w:w="613" w:type="dxa"/>
            <w:tcBorders>
              <w:left w:val="single" w:sz="6" w:space="0" w:color="000000" w:themeColor="text1"/>
              <w:bottom w:val="single" w:sz="4" w:space="0" w:color="auto"/>
            </w:tcBorders>
            <w:shd w:val="clear" w:color="auto" w:fill="auto"/>
          </w:tcPr>
          <w:p w14:paraId="21DCADE6" w14:textId="77777777" w:rsidR="00C27D3F" w:rsidRPr="009841AB" w:rsidRDefault="008A535A" w:rsidP="00C27D3F">
            <w:pPr>
              <w:pStyle w:val="naisc"/>
              <w:spacing w:before="0" w:after="0"/>
            </w:pPr>
            <w:r>
              <w:lastRenderedPageBreak/>
              <w:t>372</w:t>
            </w:r>
          </w:p>
        </w:tc>
        <w:tc>
          <w:tcPr>
            <w:tcW w:w="13831" w:type="dxa"/>
            <w:gridSpan w:val="4"/>
            <w:tcBorders>
              <w:left w:val="single" w:sz="6" w:space="0" w:color="000000" w:themeColor="text1"/>
              <w:bottom w:val="single" w:sz="4" w:space="0" w:color="auto"/>
            </w:tcBorders>
            <w:shd w:val="clear" w:color="auto" w:fill="auto"/>
          </w:tcPr>
          <w:tbl>
            <w:tblPr>
              <w:tblW w:w="8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6"/>
              <w:gridCol w:w="2525"/>
              <w:gridCol w:w="805"/>
              <w:gridCol w:w="851"/>
              <w:gridCol w:w="1134"/>
              <w:gridCol w:w="2134"/>
            </w:tblGrid>
            <w:tr w:rsidR="00C27D3F" w:rsidRPr="009841AB" w14:paraId="7E769F60" w14:textId="77777777" w:rsidTr="00C76577">
              <w:tc>
                <w:tcPr>
                  <w:tcW w:w="1206" w:type="dxa"/>
                  <w:shd w:val="clear" w:color="auto" w:fill="auto"/>
                  <w:vAlign w:val="center"/>
                  <w:hideMark/>
                </w:tcPr>
                <w:p w14:paraId="2A081C75" w14:textId="77777777" w:rsidR="00C27D3F" w:rsidRPr="009841AB" w:rsidRDefault="00C27D3F" w:rsidP="00C27D3F">
                  <w:pPr>
                    <w:jc w:val="center"/>
                    <w:textAlignment w:val="baseline"/>
                  </w:pPr>
                  <w:r w:rsidRPr="009841AB">
                    <w:rPr>
                      <w:color w:val="000000"/>
                    </w:rPr>
                    <w:t>Identifikators </w:t>
                  </w:r>
                </w:p>
              </w:tc>
              <w:tc>
                <w:tcPr>
                  <w:tcW w:w="2525" w:type="dxa"/>
                  <w:shd w:val="clear" w:color="auto" w:fill="auto"/>
                  <w:vAlign w:val="center"/>
                  <w:hideMark/>
                </w:tcPr>
                <w:p w14:paraId="14388E6C" w14:textId="77777777" w:rsidR="00C27D3F" w:rsidRPr="009841AB" w:rsidRDefault="00C27D3F" w:rsidP="00C27D3F">
                  <w:pPr>
                    <w:jc w:val="center"/>
                    <w:textAlignment w:val="baseline"/>
                  </w:pPr>
                  <w:r w:rsidRPr="009841AB">
                    <w:rPr>
                      <w:color w:val="000000"/>
                    </w:rPr>
                    <w:t>Uzdevums </w:t>
                  </w:r>
                </w:p>
              </w:tc>
              <w:tc>
                <w:tcPr>
                  <w:tcW w:w="805" w:type="dxa"/>
                  <w:shd w:val="clear" w:color="auto" w:fill="auto"/>
                  <w:vAlign w:val="center"/>
                  <w:hideMark/>
                </w:tcPr>
                <w:p w14:paraId="58BC7783" w14:textId="77777777" w:rsidR="00C27D3F" w:rsidRPr="009841AB" w:rsidRDefault="00C27D3F" w:rsidP="00C27D3F">
                  <w:pPr>
                    <w:jc w:val="center"/>
                    <w:textAlignment w:val="baseline"/>
                  </w:pPr>
                  <w:r w:rsidRPr="009841AB">
                    <w:t>Sākuma termiņš </w:t>
                  </w:r>
                </w:p>
              </w:tc>
              <w:tc>
                <w:tcPr>
                  <w:tcW w:w="851" w:type="dxa"/>
                  <w:shd w:val="clear" w:color="auto" w:fill="auto"/>
                  <w:vAlign w:val="center"/>
                  <w:hideMark/>
                </w:tcPr>
                <w:p w14:paraId="5141B1DC" w14:textId="77777777" w:rsidR="00C27D3F" w:rsidRPr="009841AB" w:rsidRDefault="00C27D3F" w:rsidP="00C27D3F">
                  <w:pPr>
                    <w:jc w:val="center"/>
                    <w:textAlignment w:val="baseline"/>
                  </w:pPr>
                  <w:r w:rsidRPr="009841AB">
                    <w:t>Beigu termiņš </w:t>
                  </w:r>
                </w:p>
              </w:tc>
              <w:tc>
                <w:tcPr>
                  <w:tcW w:w="1134" w:type="dxa"/>
                  <w:shd w:val="clear" w:color="auto" w:fill="auto"/>
                  <w:vAlign w:val="center"/>
                  <w:hideMark/>
                </w:tcPr>
                <w:p w14:paraId="60511385" w14:textId="77777777" w:rsidR="00C27D3F" w:rsidRPr="009841AB" w:rsidRDefault="00C27D3F" w:rsidP="00C27D3F">
                  <w:pPr>
                    <w:jc w:val="center"/>
                    <w:textAlignment w:val="baseline"/>
                  </w:pPr>
                  <w:r w:rsidRPr="009841AB">
                    <w:rPr>
                      <w:color w:val="000000"/>
                    </w:rPr>
                    <w:t>Atbildīgais </w:t>
                  </w:r>
                </w:p>
              </w:tc>
              <w:tc>
                <w:tcPr>
                  <w:tcW w:w="2134" w:type="dxa"/>
                  <w:shd w:val="clear" w:color="auto" w:fill="auto"/>
                  <w:vAlign w:val="center"/>
                  <w:hideMark/>
                </w:tcPr>
                <w:p w14:paraId="2166C3EA" w14:textId="77777777" w:rsidR="00C27D3F" w:rsidRPr="009841AB" w:rsidRDefault="00C27D3F" w:rsidP="00C27D3F">
                  <w:pPr>
                    <w:jc w:val="center"/>
                    <w:textAlignment w:val="baseline"/>
                  </w:pPr>
                  <w:r w:rsidRPr="009841AB">
                    <w:rPr>
                      <w:color w:val="000000"/>
                    </w:rPr>
                    <w:t>Līdzatbildīgie </w:t>
                  </w:r>
                </w:p>
              </w:tc>
            </w:tr>
            <w:tr w:rsidR="00C27D3F" w:rsidRPr="009841AB" w14:paraId="3DA1D878" w14:textId="77777777" w:rsidTr="00C76577">
              <w:tc>
                <w:tcPr>
                  <w:tcW w:w="1206" w:type="dxa"/>
                  <w:shd w:val="clear" w:color="auto" w:fill="auto"/>
                  <w:vAlign w:val="center"/>
                  <w:hideMark/>
                </w:tcPr>
                <w:p w14:paraId="27CD2EFF" w14:textId="77777777" w:rsidR="00C27D3F" w:rsidRPr="009841AB" w:rsidRDefault="00C27D3F" w:rsidP="00C27D3F">
                  <w:pPr>
                    <w:jc w:val="both"/>
                    <w:textAlignment w:val="baseline"/>
                  </w:pPr>
                  <w:r w:rsidRPr="009841AB">
                    <w:t>U4.4.1.-4 </w:t>
                  </w:r>
                </w:p>
              </w:tc>
              <w:tc>
                <w:tcPr>
                  <w:tcW w:w="2525" w:type="dxa"/>
                  <w:shd w:val="clear" w:color="auto" w:fill="auto"/>
                  <w:vAlign w:val="center"/>
                </w:tcPr>
                <w:p w14:paraId="0590AFB4" w14:textId="77777777" w:rsidR="00C27D3F" w:rsidRPr="009841AB" w:rsidRDefault="00C27D3F" w:rsidP="00C27D3F">
                  <w:pPr>
                    <w:textAlignment w:val="baseline"/>
                    <w:rPr>
                      <w:color w:val="000000"/>
                    </w:rPr>
                  </w:pPr>
                  <w:r w:rsidRPr="009841AB">
                    <w:t xml:space="preserve">Izstrādāt valsts pārvaldes atbalsta funkciju un to atbalstošo digitālo risinājumu centralizācijas sistēmas izveides rīcības plānu </w:t>
                  </w:r>
                </w:p>
              </w:tc>
              <w:tc>
                <w:tcPr>
                  <w:tcW w:w="805" w:type="dxa"/>
                  <w:shd w:val="clear" w:color="auto" w:fill="auto"/>
                  <w:vAlign w:val="center"/>
                </w:tcPr>
                <w:p w14:paraId="1AB12F4F" w14:textId="77777777" w:rsidR="00C27D3F" w:rsidRPr="009841AB" w:rsidRDefault="00C27D3F" w:rsidP="00C27D3F">
                  <w:pPr>
                    <w:jc w:val="center"/>
                    <w:textAlignment w:val="baseline"/>
                  </w:pPr>
                  <w:r w:rsidRPr="009841AB">
                    <w:t>2021</w:t>
                  </w:r>
                </w:p>
              </w:tc>
              <w:tc>
                <w:tcPr>
                  <w:tcW w:w="851" w:type="dxa"/>
                  <w:shd w:val="clear" w:color="auto" w:fill="auto"/>
                  <w:vAlign w:val="center"/>
                </w:tcPr>
                <w:p w14:paraId="1A70B5E7" w14:textId="77777777" w:rsidR="00C27D3F" w:rsidRPr="009841AB" w:rsidRDefault="00C27D3F" w:rsidP="00C27D3F">
                  <w:pPr>
                    <w:jc w:val="center"/>
                    <w:textAlignment w:val="baseline"/>
                  </w:pPr>
                  <w:r w:rsidRPr="009841AB">
                    <w:t>2023</w:t>
                  </w:r>
                </w:p>
              </w:tc>
              <w:tc>
                <w:tcPr>
                  <w:tcW w:w="1134" w:type="dxa"/>
                  <w:shd w:val="clear" w:color="auto" w:fill="auto"/>
                  <w:vAlign w:val="center"/>
                </w:tcPr>
                <w:p w14:paraId="70FF2E57" w14:textId="77777777" w:rsidR="00C27D3F" w:rsidRPr="009841AB" w:rsidRDefault="00C27D3F" w:rsidP="00C27D3F">
                  <w:pPr>
                    <w:jc w:val="center"/>
                    <w:textAlignment w:val="baseline"/>
                  </w:pPr>
                  <w:r w:rsidRPr="009841AB">
                    <w:t>VK, FM, VARAM</w:t>
                  </w:r>
                </w:p>
              </w:tc>
              <w:tc>
                <w:tcPr>
                  <w:tcW w:w="2134" w:type="dxa"/>
                  <w:shd w:val="clear" w:color="auto" w:fill="auto"/>
                  <w:vAlign w:val="center"/>
                </w:tcPr>
                <w:p w14:paraId="08A1AE21" w14:textId="77777777" w:rsidR="00C27D3F" w:rsidRPr="009841AB" w:rsidRDefault="00C27D3F" w:rsidP="00C27D3F">
                  <w:pPr>
                    <w:jc w:val="center"/>
                    <w:textAlignment w:val="baseline"/>
                    <w:rPr>
                      <w:color w:val="000000"/>
                    </w:rPr>
                  </w:pPr>
                  <w:r w:rsidRPr="009841AB">
                    <w:t>Visas iesaistītās ministrijas</w:t>
                  </w:r>
                </w:p>
              </w:tc>
            </w:tr>
          </w:tbl>
          <w:p w14:paraId="04FA3B14" w14:textId="77777777" w:rsidR="00C27D3F" w:rsidRPr="009841AB" w:rsidRDefault="00C27D3F" w:rsidP="00C27D3F">
            <w:pPr>
              <w:pStyle w:val="naisc"/>
              <w:spacing w:before="0" w:after="0"/>
              <w:jc w:val="both"/>
            </w:pPr>
          </w:p>
        </w:tc>
      </w:tr>
      <w:tr w:rsidR="00C27D3F" w:rsidRPr="009841AB" w14:paraId="4F609E4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0F3F4D0" w14:textId="77777777" w:rsidR="00C27D3F" w:rsidRPr="009841AB" w:rsidRDefault="008A535A" w:rsidP="00C27D3F">
            <w:pPr>
              <w:pStyle w:val="naisc"/>
              <w:spacing w:before="0" w:after="0"/>
            </w:pPr>
            <w:r>
              <w:t>373</w:t>
            </w:r>
          </w:p>
        </w:tc>
        <w:tc>
          <w:tcPr>
            <w:tcW w:w="2427" w:type="dxa"/>
            <w:tcBorders>
              <w:left w:val="single" w:sz="6" w:space="0" w:color="000000" w:themeColor="text1"/>
              <w:bottom w:val="single" w:sz="4" w:space="0" w:color="auto"/>
            </w:tcBorders>
            <w:shd w:val="clear" w:color="auto" w:fill="auto"/>
          </w:tcPr>
          <w:p w14:paraId="5A03B517"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B4711FD" w14:textId="77777777" w:rsidR="00C27D3F" w:rsidRPr="009841AB" w:rsidRDefault="00C27D3F" w:rsidP="00C27D3F">
            <w:pPr>
              <w:widowControl w:val="0"/>
              <w:ind w:right="126"/>
              <w:jc w:val="both"/>
              <w:rPr>
                <w:shd w:val="clear" w:color="auto" w:fill="FFFFFF"/>
              </w:rPr>
            </w:pPr>
            <w:r w:rsidRPr="009841AB">
              <w:rPr>
                <w:shd w:val="clear" w:color="auto" w:fill="FFFFFF"/>
              </w:rPr>
              <w:t xml:space="preserve">5. Lūdzam precizēt 4.4.1. Rīcības virziena “Pakalpojumu platformas” sadaļas </w:t>
            </w:r>
            <w:r w:rsidRPr="009841AB">
              <w:rPr>
                <w:i/>
                <w:shd w:val="clear" w:color="auto" w:fill="FFFFFF"/>
              </w:rPr>
              <w:t>Sagaidāmie rezultāti</w:t>
            </w:r>
            <w:r w:rsidRPr="009841AB">
              <w:rPr>
                <w:shd w:val="clear" w:color="auto" w:fill="FFFFFF"/>
              </w:rPr>
              <w:t xml:space="preserve"> 5.</w:t>
            </w:r>
            <w:r w:rsidRPr="009841AB">
              <w:t> </w:t>
            </w:r>
            <w:r w:rsidRPr="009841AB">
              <w:rPr>
                <w:shd w:val="clear" w:color="auto" w:fill="FFFFFF"/>
              </w:rPr>
              <w:t>punktu “</w:t>
            </w:r>
            <w:r w:rsidRPr="009841AB">
              <w:t>No 2021 nodrošināts atbalsts valsts pārvaldes speciālistiem digitālo prasmju attīstībai, digitālo prasmju un pakalpojumu modeļu kompetences pilnveidei un realizētas izglītošanas un veicināšanas aktivitātes platformu izmantošanas sekmēšanai”</w:t>
            </w:r>
            <w:r w:rsidRPr="009841AB">
              <w:rPr>
                <w:shd w:val="clear" w:color="auto" w:fill="FFFFFF"/>
              </w:rPr>
              <w:t xml:space="preserve">, norādot, kas tiek saprast ar vārdiem “nodrošināts atbalsts” un kas būs šī punkta īstenotājs.  </w:t>
            </w:r>
          </w:p>
        </w:tc>
        <w:tc>
          <w:tcPr>
            <w:tcW w:w="2480" w:type="dxa"/>
            <w:tcBorders>
              <w:left w:val="single" w:sz="6" w:space="0" w:color="000000" w:themeColor="text1"/>
              <w:bottom w:val="single" w:sz="4" w:space="0" w:color="auto"/>
            </w:tcBorders>
            <w:shd w:val="clear" w:color="auto" w:fill="auto"/>
          </w:tcPr>
          <w:p w14:paraId="508A008F" w14:textId="77777777" w:rsidR="00C27D3F" w:rsidRPr="009841AB" w:rsidRDefault="00C27D3F" w:rsidP="00C27D3F">
            <w:pPr>
              <w:pStyle w:val="naisc"/>
              <w:spacing w:before="0" w:after="0"/>
              <w:jc w:val="left"/>
              <w:rPr>
                <w:b/>
                <w:bCs/>
              </w:rPr>
            </w:pPr>
            <w:r w:rsidRPr="009841AB">
              <w:rPr>
                <w:b/>
                <w:bCs/>
              </w:rPr>
              <w:t>Ņemts vērā</w:t>
            </w:r>
          </w:p>
          <w:p w14:paraId="59444C22" w14:textId="77777777" w:rsidR="00C27D3F" w:rsidRPr="009841AB" w:rsidRDefault="00C27D3F" w:rsidP="00C27D3F">
            <w:pPr>
              <w:pStyle w:val="naisc"/>
              <w:spacing w:before="0" w:after="0"/>
              <w:jc w:val="left"/>
              <w:rPr>
                <w:b/>
                <w:bCs/>
              </w:rPr>
            </w:pPr>
            <w:r w:rsidRPr="009841AB">
              <w:t>Precizēts sagaidāmais rezultāts un 4.4.1.-2. uzdevums.</w:t>
            </w:r>
          </w:p>
        </w:tc>
        <w:tc>
          <w:tcPr>
            <w:tcW w:w="3497" w:type="dxa"/>
            <w:tcBorders>
              <w:left w:val="single" w:sz="6" w:space="0" w:color="000000" w:themeColor="text1"/>
              <w:bottom w:val="single" w:sz="4" w:space="0" w:color="auto"/>
            </w:tcBorders>
            <w:shd w:val="clear" w:color="auto" w:fill="auto"/>
          </w:tcPr>
          <w:p w14:paraId="2C299A8E"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4.4.1</w:t>
            </w:r>
          </w:p>
          <w:p w14:paraId="531B0A22" w14:textId="77777777" w:rsidR="00C27D3F" w:rsidRPr="009841AB" w:rsidRDefault="00C27D3F" w:rsidP="00C27D3F">
            <w:pPr>
              <w:pStyle w:val="naisc"/>
              <w:spacing w:before="0" w:after="0"/>
              <w:jc w:val="both"/>
            </w:pPr>
          </w:p>
        </w:tc>
      </w:tr>
      <w:tr w:rsidR="00C27D3F" w:rsidRPr="009841AB" w14:paraId="2053ECF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8A5FC03" w14:textId="77777777" w:rsidR="00C27D3F" w:rsidRPr="009841AB" w:rsidRDefault="008A535A" w:rsidP="00C27D3F">
            <w:pPr>
              <w:pStyle w:val="naisc"/>
              <w:spacing w:before="0" w:after="0"/>
            </w:pPr>
            <w:r>
              <w:t>374</w:t>
            </w:r>
          </w:p>
        </w:tc>
        <w:tc>
          <w:tcPr>
            <w:tcW w:w="2427" w:type="dxa"/>
            <w:tcBorders>
              <w:left w:val="single" w:sz="6" w:space="0" w:color="000000" w:themeColor="text1"/>
              <w:bottom w:val="single" w:sz="4" w:space="0" w:color="auto"/>
            </w:tcBorders>
            <w:shd w:val="clear" w:color="auto" w:fill="auto"/>
          </w:tcPr>
          <w:p w14:paraId="22C1EB97"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477B3EF" w14:textId="77777777" w:rsidR="00C27D3F" w:rsidRPr="009841AB" w:rsidRDefault="00C27D3F" w:rsidP="00C27D3F">
            <w:pPr>
              <w:widowControl w:val="0"/>
              <w:ind w:right="126"/>
              <w:jc w:val="both"/>
              <w:rPr>
                <w:shd w:val="clear" w:color="auto" w:fill="FFFFFF"/>
              </w:rPr>
            </w:pPr>
            <w:r w:rsidRPr="009841AB">
              <w:t xml:space="preserve">6. Aicinām 4.4.9. </w:t>
            </w:r>
            <w:r w:rsidRPr="009841AB">
              <w:rPr>
                <w:rStyle w:val="normaltextrun"/>
                <w:shd w:val="clear" w:color="auto" w:fill="FFFFFF"/>
              </w:rPr>
              <w:t>Rīcības virziena “Moderna un atvērta valsts pārvalde” sadaļas</w:t>
            </w:r>
            <w:r w:rsidRPr="009841AB">
              <w:rPr>
                <w:rStyle w:val="eop"/>
                <w:shd w:val="clear" w:color="auto" w:fill="FFFFFF"/>
              </w:rPr>
              <w:t> </w:t>
            </w:r>
            <w:r w:rsidRPr="009841AB">
              <w:rPr>
                <w:rStyle w:val="eop"/>
                <w:i/>
                <w:shd w:val="clear" w:color="auto" w:fill="FFFFFF"/>
              </w:rPr>
              <w:t xml:space="preserve">Vīzija </w:t>
            </w:r>
            <w:r w:rsidRPr="009841AB">
              <w:rPr>
                <w:rStyle w:val="eop"/>
                <w:shd w:val="clear" w:color="auto" w:fill="FFFFFF"/>
              </w:rPr>
              <w:t xml:space="preserve">(149. </w:t>
            </w:r>
            <w:proofErr w:type="spellStart"/>
            <w:r w:rsidRPr="009841AB">
              <w:rPr>
                <w:rStyle w:val="eop"/>
                <w:shd w:val="clear" w:color="auto" w:fill="FFFFFF"/>
              </w:rPr>
              <w:t>lpp</w:t>
            </w:r>
            <w:proofErr w:type="spellEnd"/>
            <w:r w:rsidRPr="009841AB">
              <w:rPr>
                <w:rStyle w:val="eop"/>
                <w:shd w:val="clear" w:color="auto" w:fill="FFFFFF"/>
              </w:rPr>
              <w:t>)</w:t>
            </w:r>
            <w:r w:rsidRPr="009841AB">
              <w:rPr>
                <w:rStyle w:val="eop"/>
                <w:i/>
                <w:shd w:val="clear" w:color="auto" w:fill="FFFFFF"/>
              </w:rPr>
              <w:t xml:space="preserve"> </w:t>
            </w:r>
            <w:r w:rsidRPr="009841AB">
              <w:rPr>
                <w:rStyle w:val="eop"/>
                <w:shd w:val="clear" w:color="auto" w:fill="FFFFFF"/>
              </w:rPr>
              <w:t>trešo un ceturto teikumu izteikt šādā redakcijā: “</w:t>
            </w:r>
            <w:r w:rsidRPr="009841AB">
              <w:rPr>
                <w:rStyle w:val="normaltextrun"/>
                <w:shd w:val="clear" w:color="auto" w:fill="FFFFFF"/>
              </w:rPr>
              <w:t>Valsts pārvaldes digitālā telpa ir viegli pieejama un ērti lietojama, tā atbilst lietotāju vajadzībām un atvieglo, nevis </w:t>
            </w:r>
            <w:r w:rsidRPr="009841AB">
              <w:rPr>
                <w:rStyle w:val="spellingerror"/>
                <w:shd w:val="clear" w:color="auto" w:fill="FFFFFF"/>
              </w:rPr>
              <w:t>sarežģi</w:t>
            </w:r>
            <w:r w:rsidRPr="009841AB">
              <w:rPr>
                <w:rStyle w:val="normaltextrun"/>
                <w:shd w:val="clear" w:color="auto" w:fill="FFFFFF"/>
              </w:rPr>
              <w:t xml:space="preserve"> to darbu. </w:t>
            </w:r>
            <w:proofErr w:type="spellStart"/>
            <w:r w:rsidRPr="009841AB">
              <w:rPr>
                <w:rStyle w:val="spellingerror"/>
                <w:shd w:val="clear" w:color="auto" w:fill="FFFFFF"/>
              </w:rPr>
              <w:t>Digitalizācija</w:t>
            </w:r>
            <w:proofErr w:type="spellEnd"/>
            <w:r w:rsidRPr="009841AB">
              <w:rPr>
                <w:rStyle w:val="normaltextrun"/>
                <w:shd w:val="clear" w:color="auto" w:fill="FFFFFF"/>
              </w:rPr>
              <w:t> veicina valsts pārvaldes </w:t>
            </w:r>
            <w:proofErr w:type="spellStart"/>
            <w:r w:rsidRPr="009841AB">
              <w:rPr>
                <w:rStyle w:val="spellingerror"/>
                <w:shd w:val="clear" w:color="auto" w:fill="FFFFFF"/>
              </w:rPr>
              <w:t>atvērtību</w:t>
            </w:r>
            <w:proofErr w:type="spellEnd"/>
            <w:r w:rsidRPr="009841AB">
              <w:rPr>
                <w:rStyle w:val="normaltextrun"/>
                <w:shd w:val="clear" w:color="auto" w:fill="FFFFFF"/>
              </w:rPr>
              <w:t> – ir lielāka atklātība par valsts pārvaldes darbu,  tai ir vieglāk īstenot atbildību sabiedrības priekšā un aug sabiedrības līdzdalības iespējas.</w:t>
            </w:r>
            <w:r w:rsidRPr="009841AB">
              <w:rPr>
                <w:rStyle w:val="eop"/>
                <w:shd w:val="clear" w:color="auto" w:fill="FFFFFF"/>
              </w:rPr>
              <w:t>”</w:t>
            </w:r>
          </w:p>
        </w:tc>
        <w:tc>
          <w:tcPr>
            <w:tcW w:w="2480" w:type="dxa"/>
            <w:tcBorders>
              <w:left w:val="single" w:sz="6" w:space="0" w:color="000000" w:themeColor="text1"/>
              <w:bottom w:val="single" w:sz="4" w:space="0" w:color="auto"/>
            </w:tcBorders>
            <w:shd w:val="clear" w:color="auto" w:fill="auto"/>
          </w:tcPr>
          <w:p w14:paraId="7F3E9483" w14:textId="77777777" w:rsidR="00C27D3F" w:rsidRPr="009841AB" w:rsidRDefault="00C27D3F" w:rsidP="00C27D3F">
            <w:pPr>
              <w:pStyle w:val="naisc"/>
              <w:spacing w:before="0" w:after="0"/>
              <w:jc w:val="left"/>
              <w:rPr>
                <w:b/>
                <w:bCs/>
              </w:rPr>
            </w:pPr>
            <w:r w:rsidRPr="009841AB">
              <w:rPr>
                <w:b/>
                <w:bCs/>
              </w:rPr>
              <w:t>Ņemts vērā</w:t>
            </w:r>
          </w:p>
          <w:p w14:paraId="1ED46ABD" w14:textId="77777777" w:rsidR="00C27D3F" w:rsidRPr="009841AB" w:rsidRDefault="00C27D3F" w:rsidP="00C27D3F">
            <w:pPr>
              <w:pStyle w:val="naisc"/>
              <w:spacing w:before="0" w:after="0"/>
              <w:jc w:val="left"/>
              <w:rPr>
                <w:b/>
                <w:bCs/>
              </w:rPr>
            </w:pPr>
          </w:p>
          <w:p w14:paraId="560FA5F5" w14:textId="77777777" w:rsidR="00C27D3F" w:rsidRPr="009841AB" w:rsidRDefault="00C27D3F" w:rsidP="00C27D3F">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315E84EB"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4.4.9.</w:t>
            </w:r>
          </w:p>
          <w:p w14:paraId="121DE7D7" w14:textId="77777777" w:rsidR="00C27D3F" w:rsidRPr="009841AB" w:rsidRDefault="00C27D3F" w:rsidP="00C27D3F">
            <w:pPr>
              <w:pStyle w:val="naisc"/>
              <w:spacing w:before="0" w:after="0"/>
              <w:jc w:val="both"/>
            </w:pPr>
          </w:p>
        </w:tc>
      </w:tr>
      <w:tr w:rsidR="00C27D3F" w:rsidRPr="009841AB" w14:paraId="5947E4D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EB75D22" w14:textId="77777777" w:rsidR="00C27D3F" w:rsidRPr="009841AB" w:rsidRDefault="008A535A" w:rsidP="00C27D3F">
            <w:pPr>
              <w:pStyle w:val="naisc"/>
              <w:spacing w:before="0" w:after="0"/>
            </w:pPr>
            <w:r>
              <w:t>375</w:t>
            </w:r>
          </w:p>
        </w:tc>
        <w:tc>
          <w:tcPr>
            <w:tcW w:w="2427" w:type="dxa"/>
            <w:tcBorders>
              <w:left w:val="single" w:sz="6" w:space="0" w:color="000000" w:themeColor="text1"/>
              <w:bottom w:val="single" w:sz="4" w:space="0" w:color="auto"/>
            </w:tcBorders>
            <w:shd w:val="clear" w:color="auto" w:fill="auto"/>
          </w:tcPr>
          <w:p w14:paraId="6B7CB62B"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A658124" w14:textId="77777777" w:rsidR="00C27D3F" w:rsidRPr="009841AB" w:rsidRDefault="00C27D3F" w:rsidP="00C27D3F">
            <w:pPr>
              <w:widowControl w:val="0"/>
              <w:ind w:right="126"/>
              <w:jc w:val="both"/>
              <w:rPr>
                <w:color w:val="000000"/>
                <w:shd w:val="clear" w:color="auto" w:fill="FFFFFF"/>
              </w:rPr>
            </w:pPr>
            <w:r w:rsidRPr="009841AB">
              <w:t xml:space="preserve">7. Aicinām precizēt </w:t>
            </w:r>
            <w:r w:rsidRPr="009841AB">
              <w:rPr>
                <w:rStyle w:val="eop"/>
                <w:shd w:val="clear" w:color="auto" w:fill="FFFFFF"/>
              </w:rPr>
              <w:t>sadaļas “Jaunā e-pārvalde” (</w:t>
            </w:r>
            <w:r w:rsidRPr="009841AB">
              <w:t>151. </w:t>
            </w:r>
            <w:proofErr w:type="spellStart"/>
            <w:r w:rsidRPr="009841AB">
              <w:rPr>
                <w:rStyle w:val="eop"/>
                <w:shd w:val="clear" w:color="auto" w:fill="FFFFFF"/>
              </w:rPr>
              <w:t>lpp</w:t>
            </w:r>
            <w:proofErr w:type="spellEnd"/>
            <w:r w:rsidRPr="009841AB">
              <w:rPr>
                <w:rStyle w:val="eop"/>
                <w:shd w:val="clear" w:color="auto" w:fill="FFFFFF"/>
              </w:rPr>
              <w:t>) teikumu “</w:t>
            </w:r>
            <w:r w:rsidRPr="009841AB">
              <w:rPr>
                <w:rStyle w:val="normaltextrun"/>
                <w:color w:val="000000"/>
                <w:shd w:val="clear" w:color="auto" w:fill="FFFFFF"/>
              </w:rPr>
              <w:t>Tādai pieejai nes līdzi vairākus izaicinājumus - nepieciešama augsta procesu standartizācija un izmaksu efektīvi parasti iespējams </w:t>
            </w:r>
            <w:proofErr w:type="spellStart"/>
            <w:r w:rsidRPr="009841AB">
              <w:rPr>
                <w:rStyle w:val="spellingerror"/>
                <w:color w:val="000000"/>
                <w:shd w:val="clear" w:color="auto" w:fill="FFFFFF"/>
              </w:rPr>
              <w:t>digitalizēt</w:t>
            </w:r>
            <w:proofErr w:type="spellEnd"/>
            <w:r w:rsidRPr="009841AB">
              <w:rPr>
                <w:rStyle w:val="normaltextrun"/>
                <w:color w:val="000000"/>
                <w:shd w:val="clear" w:color="auto" w:fill="FFFFFF"/>
              </w:rPr>
              <w:t> tikai “</w:t>
            </w:r>
            <w:proofErr w:type="spellStart"/>
            <w:r w:rsidRPr="009841AB">
              <w:rPr>
                <w:rStyle w:val="spellingerror"/>
                <w:color w:val="000000"/>
                <w:shd w:val="clear" w:color="auto" w:fill="FFFFFF"/>
              </w:rPr>
              <w:t>pamatscenārijus</w:t>
            </w:r>
            <w:proofErr w:type="spellEnd"/>
            <w:r w:rsidRPr="009841AB">
              <w:rPr>
                <w:rStyle w:val="normaltextrun"/>
                <w:color w:val="000000"/>
                <w:shd w:val="clear" w:color="auto" w:fill="FFFFFF"/>
              </w:rPr>
              <w:t>””, jo pašlaik tā domu nav iespējams uztvert.</w:t>
            </w:r>
          </w:p>
        </w:tc>
        <w:tc>
          <w:tcPr>
            <w:tcW w:w="2480" w:type="dxa"/>
            <w:tcBorders>
              <w:left w:val="single" w:sz="6" w:space="0" w:color="000000" w:themeColor="text1"/>
              <w:bottom w:val="single" w:sz="4" w:space="0" w:color="auto"/>
            </w:tcBorders>
            <w:shd w:val="clear" w:color="auto" w:fill="auto"/>
          </w:tcPr>
          <w:p w14:paraId="1317FCC0" w14:textId="77777777" w:rsidR="00C27D3F" w:rsidRPr="009841AB" w:rsidRDefault="00EF6FB4" w:rsidP="00C27D3F">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1A480DD8" w14:textId="77777777" w:rsidR="00C27D3F" w:rsidRPr="009841AB" w:rsidRDefault="00EF6FB4" w:rsidP="00C27D3F">
            <w:pPr>
              <w:pStyle w:val="naisc"/>
              <w:spacing w:before="0" w:after="0"/>
              <w:jc w:val="both"/>
            </w:pPr>
            <w:r w:rsidRPr="009841AB">
              <w:t xml:space="preserve">"Jaunā e-pārvalde - līdz šim pārvaldes digitālā pieejamība lielā mērā tika saistīta ar atsevišķu, fragmentētu pārvaldes procedūru (transakciju) digitālo pieejamību, vēlams pašapkalpošanās režīmā. Tādai pieejai nes līdzi vairākus izaicinājumus - nepieciešama </w:t>
            </w:r>
            <w:r w:rsidRPr="009841AB">
              <w:lastRenderedPageBreak/>
              <w:t xml:space="preserve">augsta procesu standartizācija un izmaksu efektīvi parasti iespējams </w:t>
            </w:r>
            <w:proofErr w:type="spellStart"/>
            <w:r w:rsidRPr="009841AB">
              <w:t>digitalizēt</w:t>
            </w:r>
            <w:proofErr w:type="spellEnd"/>
            <w:r w:rsidRPr="009841AB">
              <w:t xml:space="preserve"> tikai “procesu pamata scenārijus”, izslēdzot no </w:t>
            </w:r>
            <w:proofErr w:type="spellStart"/>
            <w:r w:rsidRPr="009841AB">
              <w:t>digitalizācijas</w:t>
            </w:r>
            <w:proofErr w:type="spellEnd"/>
            <w:r w:rsidRPr="009841AB">
              <w:t xml:space="preserve"> sfēras atkāpes no biežāk sastopamajiem, ikdienas scenārijiem(80/20 princips)”</w:t>
            </w:r>
          </w:p>
        </w:tc>
      </w:tr>
      <w:tr w:rsidR="00C27D3F" w:rsidRPr="009841AB" w14:paraId="1D1BF16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6240AD7" w14:textId="77777777" w:rsidR="00C27D3F" w:rsidRPr="009841AB" w:rsidRDefault="008A535A" w:rsidP="00C27D3F">
            <w:pPr>
              <w:pStyle w:val="naisc"/>
              <w:spacing w:before="0" w:after="0"/>
            </w:pPr>
            <w:r>
              <w:lastRenderedPageBreak/>
              <w:t>376</w:t>
            </w:r>
          </w:p>
        </w:tc>
        <w:tc>
          <w:tcPr>
            <w:tcW w:w="2427" w:type="dxa"/>
            <w:tcBorders>
              <w:left w:val="single" w:sz="6" w:space="0" w:color="000000" w:themeColor="text1"/>
              <w:bottom w:val="single" w:sz="4" w:space="0" w:color="auto"/>
            </w:tcBorders>
            <w:shd w:val="clear" w:color="auto" w:fill="auto"/>
          </w:tcPr>
          <w:p w14:paraId="1FC0AD0E"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DBBA87C" w14:textId="77777777" w:rsidR="00C27D3F" w:rsidRPr="009841AB" w:rsidRDefault="00C27D3F" w:rsidP="00C27D3F">
            <w:pPr>
              <w:widowControl w:val="0"/>
              <w:ind w:right="126"/>
              <w:jc w:val="both"/>
              <w:rPr>
                <w:shd w:val="clear" w:color="auto" w:fill="FFFFFF"/>
              </w:rPr>
            </w:pPr>
            <w:r w:rsidRPr="009841AB">
              <w:t xml:space="preserve">8. Lūdzam 4.4.9. </w:t>
            </w:r>
            <w:r w:rsidRPr="009841AB">
              <w:rPr>
                <w:rStyle w:val="normaltextrun"/>
                <w:shd w:val="clear" w:color="auto" w:fill="FFFFFF"/>
              </w:rPr>
              <w:t xml:space="preserve">Rīcības virziena “Moderna un atvērta valsts pārvalde” </w:t>
            </w:r>
            <w:r w:rsidRPr="009841AB">
              <w:t xml:space="preserve">sadaļu </w:t>
            </w:r>
            <w:r w:rsidRPr="009841AB">
              <w:rPr>
                <w:i/>
              </w:rPr>
              <w:t>Esošās situācijas apraksts</w:t>
            </w:r>
            <w:r w:rsidRPr="009841AB">
              <w:t xml:space="preserve"> </w:t>
            </w:r>
            <w:proofErr w:type="spellStart"/>
            <w:r w:rsidRPr="009841AB">
              <w:t>apakšsadaļu</w:t>
            </w:r>
            <w:proofErr w:type="spellEnd"/>
            <w:r w:rsidRPr="009841AB">
              <w:t xml:space="preserve"> “Jaunā e-pārvalde” papildināt ar otro, trešo un ceturto rindkopu šādā redakcijā: </w:t>
            </w:r>
          </w:p>
          <w:p w14:paraId="633B71F0" w14:textId="77777777" w:rsidR="00C27D3F" w:rsidRPr="009841AB" w:rsidRDefault="00C27D3F" w:rsidP="00C27D3F">
            <w:pPr>
              <w:jc w:val="both"/>
              <w:textAlignment w:val="baseline"/>
            </w:pPr>
            <w:r w:rsidRPr="009841AB">
              <w:rPr>
                <w:b/>
                <w:bCs/>
              </w:rPr>
              <w:t>“Digitālās vides iespējas var būt virzītājspēks atvērtai pārvaldībai - lielākai valsts institūciju atklātībai, atbildībai un sabiedrības iesaistīšanai.</w:t>
            </w:r>
            <w:r w:rsidRPr="009841AB">
              <w:t> Digitālā vide dod jaunas iespējas valsts institūcijām veidot vērtībās un dialogā ar iedzīvotājiem balstītu pārvaldību, kuras centrā ir cilvēks un dažādu sabiedrības grupu vajadzību apzināšana. Interneta vietnes un attālinātās saziņas iespējas ļauj ātrāk un efektīvāk informēt iedzīvotājus, skaidrot lēmumus, uzklausīt un saņemt atgriezenisko saiti. E-vide ļauj vieglāk uzrunāt daudz plašākas sabiedrības grupas, aicinot uz dialogu, lūdzot sniegt viedokli par sabiedrībai aktuāliem jautājumiem.  </w:t>
            </w:r>
          </w:p>
          <w:p w14:paraId="7A8EFCAB" w14:textId="77777777" w:rsidR="00C27D3F" w:rsidRPr="009841AB" w:rsidRDefault="00C27D3F" w:rsidP="00C27D3F">
            <w:pPr>
              <w:jc w:val="both"/>
              <w:textAlignment w:val="baseline"/>
            </w:pPr>
            <w:r w:rsidRPr="009841AB">
              <w:t>Digitālajā vidē lēmumu pieņemšanas procesi var kļūt caurskatāmāki un vieglāk izsekojami, bet lēmumu izstrādes process var kļūt sabiedrībai pieejamāks. Tādi nozīmīgi projekti kā Vienotais tiesību aktu projektu izstrādes un saskaņošanas portāls un Valsts un pašvaldības iestāžu tīmekļvietņu vienotā platforma vai Atvērto datu portāls ir piemēri, kā tiek ielikts pamats modernai un atvērtai valsts pārvaldei.  </w:t>
            </w:r>
          </w:p>
          <w:p w14:paraId="5A802F52" w14:textId="77777777" w:rsidR="00C27D3F" w:rsidRPr="009841AB" w:rsidRDefault="00C27D3F" w:rsidP="00C27D3F">
            <w:pPr>
              <w:jc w:val="both"/>
              <w:textAlignment w:val="baseline"/>
            </w:pPr>
            <w:proofErr w:type="spellStart"/>
            <w:r w:rsidRPr="009841AB">
              <w:lastRenderedPageBreak/>
              <w:t>Digitalizācija</w:t>
            </w:r>
            <w:proofErr w:type="spellEnd"/>
            <w:r w:rsidRPr="009841AB">
              <w:t> sniedz iespējas stiprināt publiskā sektora atbildību sabiedrības priekšā. Publiskām organizācijām ir jaunas iespējas sniegt informāciju par savu darbību, pieņemtiem lēmumiem, publisku līdzekļu ieguldījumiem, skaidrot savus lēmumus, vairojot sabiedrības izpratni un uzticēšanos. Šis gan ir </w:t>
            </w:r>
            <w:proofErr w:type="spellStart"/>
            <w:r w:rsidRPr="009841AB">
              <w:t>divvirzienu</w:t>
            </w:r>
            <w:proofErr w:type="spellEnd"/>
            <w:r w:rsidRPr="009841AB">
              <w:t> process, kur iedzīvotāji, pilsoniskā sabiedrība, mediji lieto šo informāciju, īstenojot uzraudzību un demokrātisko kontroli.” </w:t>
            </w:r>
          </w:p>
        </w:tc>
        <w:tc>
          <w:tcPr>
            <w:tcW w:w="2480" w:type="dxa"/>
            <w:tcBorders>
              <w:left w:val="single" w:sz="6" w:space="0" w:color="000000" w:themeColor="text1"/>
              <w:bottom w:val="single" w:sz="4" w:space="0" w:color="auto"/>
            </w:tcBorders>
            <w:shd w:val="clear" w:color="auto" w:fill="auto"/>
          </w:tcPr>
          <w:p w14:paraId="02A438BB" w14:textId="77777777" w:rsidR="00C27D3F" w:rsidRPr="009841AB" w:rsidRDefault="0023350A" w:rsidP="00C27D3F">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71210C89" w14:textId="77777777" w:rsidR="0023350A" w:rsidRPr="009841AB" w:rsidRDefault="0023350A" w:rsidP="0023350A">
            <w:pPr>
              <w:pStyle w:val="naisc"/>
              <w:spacing w:before="0" w:after="0"/>
              <w:jc w:val="left"/>
            </w:pPr>
            <w:r w:rsidRPr="009841AB">
              <w:t xml:space="preserve">Lūdzam skatīt </w:t>
            </w:r>
            <w:proofErr w:type="spellStart"/>
            <w:r w:rsidRPr="009841AB">
              <w:t>apakšsadaļu</w:t>
            </w:r>
            <w:proofErr w:type="spellEnd"/>
            <w:r w:rsidRPr="009841AB">
              <w:t xml:space="preserve"> 4.4.9.</w:t>
            </w:r>
          </w:p>
          <w:p w14:paraId="1BEAE33A" w14:textId="77777777" w:rsidR="00C27D3F" w:rsidRPr="009841AB" w:rsidRDefault="00C27D3F" w:rsidP="00C27D3F">
            <w:pPr>
              <w:pStyle w:val="naisc"/>
              <w:spacing w:before="0" w:after="0"/>
              <w:jc w:val="both"/>
            </w:pPr>
          </w:p>
        </w:tc>
      </w:tr>
      <w:tr w:rsidR="003D0BC9" w:rsidRPr="009841AB" w14:paraId="295745E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409B5C4" w14:textId="77777777" w:rsidR="003D0BC9" w:rsidRPr="009841AB" w:rsidRDefault="008A535A" w:rsidP="003D0BC9">
            <w:pPr>
              <w:pStyle w:val="naisc"/>
              <w:spacing w:before="0" w:after="0"/>
            </w:pPr>
            <w:r>
              <w:t>377</w:t>
            </w:r>
          </w:p>
        </w:tc>
        <w:tc>
          <w:tcPr>
            <w:tcW w:w="2427" w:type="dxa"/>
            <w:tcBorders>
              <w:left w:val="single" w:sz="6" w:space="0" w:color="000000" w:themeColor="text1"/>
              <w:bottom w:val="single" w:sz="4" w:space="0" w:color="auto"/>
            </w:tcBorders>
            <w:shd w:val="clear" w:color="auto" w:fill="auto"/>
          </w:tcPr>
          <w:p w14:paraId="138F11DF" w14:textId="77777777" w:rsidR="003D0BC9" w:rsidRPr="009841AB" w:rsidRDefault="003D0BC9" w:rsidP="003D0BC9">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2AD608A" w14:textId="77777777" w:rsidR="003D0BC9" w:rsidRPr="009841AB" w:rsidRDefault="003D0BC9" w:rsidP="003D0BC9">
            <w:pPr>
              <w:widowControl w:val="0"/>
              <w:ind w:right="126"/>
              <w:jc w:val="both"/>
              <w:rPr>
                <w:shd w:val="clear" w:color="auto" w:fill="FFFFFF"/>
              </w:rPr>
            </w:pPr>
            <w:r w:rsidRPr="009841AB">
              <w:rPr>
                <w:rStyle w:val="eop"/>
                <w:shd w:val="clear" w:color="auto" w:fill="FFFFFF"/>
              </w:rPr>
              <w:t xml:space="preserve">9. Aicinām </w:t>
            </w:r>
            <w:r w:rsidRPr="009841AB">
              <w:t xml:space="preserve">4.4.9. </w:t>
            </w:r>
            <w:r w:rsidRPr="009841AB">
              <w:rPr>
                <w:rStyle w:val="normaltextrun"/>
                <w:shd w:val="clear" w:color="auto" w:fill="FFFFFF"/>
              </w:rPr>
              <w:t xml:space="preserve">Rīcības virziena “Moderna un atvērta valsts pārvalde” </w:t>
            </w:r>
            <w:r w:rsidRPr="009841AB">
              <w:t xml:space="preserve">sadaļas </w:t>
            </w:r>
            <w:r w:rsidRPr="009841AB">
              <w:rPr>
                <w:i/>
              </w:rPr>
              <w:t>Esošās situācijas apraksts</w:t>
            </w:r>
            <w:r w:rsidRPr="009841AB">
              <w:t xml:space="preserve"> </w:t>
            </w:r>
            <w:proofErr w:type="spellStart"/>
            <w:r w:rsidRPr="009841AB">
              <w:t>apakšsadaļas</w:t>
            </w:r>
            <w:proofErr w:type="spellEnd"/>
            <w:r w:rsidRPr="009841AB">
              <w:t xml:space="preserve"> “</w:t>
            </w:r>
            <w:r w:rsidRPr="009841AB">
              <w:rPr>
                <w:bCs/>
              </w:rPr>
              <w:t>Sabiedrības iesaiste pārvaldes procesos</w:t>
            </w:r>
            <w:r w:rsidRPr="009841AB">
              <w:t>” (</w:t>
            </w:r>
            <w:r w:rsidRPr="009841AB">
              <w:rPr>
                <w:rStyle w:val="eop"/>
                <w:shd w:val="clear" w:color="auto" w:fill="FFFFFF"/>
              </w:rPr>
              <w:t>152. </w:t>
            </w:r>
            <w:proofErr w:type="spellStart"/>
            <w:r w:rsidRPr="009841AB">
              <w:rPr>
                <w:rStyle w:val="eop"/>
                <w:shd w:val="clear" w:color="auto" w:fill="FFFFFF"/>
              </w:rPr>
              <w:t>lpp</w:t>
            </w:r>
            <w:proofErr w:type="spellEnd"/>
            <w:r w:rsidRPr="009841AB">
              <w:rPr>
                <w:rStyle w:val="eop"/>
                <w:shd w:val="clear" w:color="auto" w:fill="FFFFFF"/>
              </w:rPr>
              <w:t xml:space="preserve">) trešo rindkopu izteikt šādā redakcijā: </w:t>
            </w:r>
            <w:r w:rsidRPr="009841AB">
              <w:t>“</w:t>
            </w:r>
            <w:r w:rsidRPr="009841AB">
              <w:rPr>
                <w:rStyle w:val="normaltextrun"/>
                <w:shd w:val="clear" w:color="auto" w:fill="FFFFFF"/>
              </w:rPr>
              <w:t>Digitālās tehnoloģijas un jaunu metožu – </w:t>
            </w:r>
            <w:proofErr w:type="spellStart"/>
            <w:r w:rsidRPr="009841AB">
              <w:rPr>
                <w:rStyle w:val="spellingerror"/>
                <w:shd w:val="clear" w:color="auto" w:fill="FFFFFF"/>
              </w:rPr>
              <w:t>koprade</w:t>
            </w:r>
            <w:proofErr w:type="spellEnd"/>
            <w:r w:rsidRPr="009841AB">
              <w:rPr>
                <w:rStyle w:val="normaltextrun"/>
                <w:shd w:val="clear" w:color="auto" w:fill="FFFFFF"/>
              </w:rPr>
              <w:t>, </w:t>
            </w:r>
            <w:proofErr w:type="spellStart"/>
            <w:r w:rsidRPr="009841AB">
              <w:rPr>
                <w:rStyle w:val="spellingerror"/>
                <w:shd w:val="clear" w:color="auto" w:fill="FFFFFF"/>
              </w:rPr>
              <w:t>deliberatīvās</w:t>
            </w:r>
            <w:proofErr w:type="spellEnd"/>
            <w:r w:rsidRPr="009841AB">
              <w:rPr>
                <w:rStyle w:val="normaltextrun"/>
                <w:shd w:val="clear" w:color="auto" w:fill="FFFFFF"/>
              </w:rPr>
              <w:t> metodes, pūļa aptaujas (</w:t>
            </w:r>
            <w:proofErr w:type="spellStart"/>
            <w:r w:rsidRPr="009841AB">
              <w:rPr>
                <w:rStyle w:val="spellingerror"/>
                <w:i/>
                <w:iCs/>
                <w:shd w:val="clear" w:color="auto" w:fill="FFFFFF"/>
              </w:rPr>
              <w:t>crowdsourcing</w:t>
            </w:r>
            <w:proofErr w:type="spellEnd"/>
            <w:r w:rsidRPr="009841AB">
              <w:rPr>
                <w:rStyle w:val="normaltextrun"/>
                <w:shd w:val="clear" w:color="auto" w:fill="FFFFFF"/>
              </w:rPr>
              <w:t>) izmantošana ļauj īstenot sabiedrības iesaisti un līdzdalību efektīvi, racionāli un līdz šim nepieredzēti augstā kvalitātē. Tādēļ tehnoloģiju potenciāls, tostarp dažādas šobrīd pasaulē plaši pieejamas tiešsaistes saziņas un informācijas aprites platformas un rīki ir jāizmanto, lai uzturētu dzīvu saikni starp valsts pārvaldi un sabiedrību un sabiedrības iesaiste un līdzdalība kļūtu par jauno publisko līgumu starp sabiedrību un pārvaldi.”</w:t>
            </w:r>
          </w:p>
        </w:tc>
        <w:tc>
          <w:tcPr>
            <w:tcW w:w="2480" w:type="dxa"/>
            <w:tcBorders>
              <w:left w:val="single" w:sz="6" w:space="0" w:color="000000" w:themeColor="text1"/>
              <w:bottom w:val="single" w:sz="4" w:space="0" w:color="auto"/>
            </w:tcBorders>
            <w:shd w:val="clear" w:color="auto" w:fill="auto"/>
          </w:tcPr>
          <w:p w14:paraId="005D87BF" w14:textId="77777777" w:rsidR="003D0BC9" w:rsidRPr="009841AB" w:rsidRDefault="003D0BC9" w:rsidP="003D0BC9">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1F2D565F" w14:textId="77777777" w:rsidR="003D0BC9" w:rsidRPr="009841AB" w:rsidRDefault="003D0BC9" w:rsidP="003D0BC9">
            <w:pPr>
              <w:pStyle w:val="naisc"/>
              <w:spacing w:before="0" w:after="0"/>
              <w:jc w:val="left"/>
            </w:pPr>
            <w:r w:rsidRPr="009841AB">
              <w:t xml:space="preserve">Lūdzam skatīt </w:t>
            </w:r>
            <w:proofErr w:type="spellStart"/>
            <w:r w:rsidRPr="009841AB">
              <w:t>apakšsadaļu</w:t>
            </w:r>
            <w:proofErr w:type="spellEnd"/>
            <w:r w:rsidRPr="009841AB">
              <w:t xml:space="preserve"> 4.4.9.</w:t>
            </w:r>
          </w:p>
        </w:tc>
      </w:tr>
      <w:tr w:rsidR="005A38E4" w:rsidRPr="009841AB" w14:paraId="36B2B54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42119B7" w14:textId="77777777" w:rsidR="005A38E4" w:rsidRPr="009841AB" w:rsidRDefault="008A535A" w:rsidP="005A38E4">
            <w:pPr>
              <w:pStyle w:val="naisc"/>
              <w:spacing w:before="0" w:after="0"/>
            </w:pPr>
            <w:r>
              <w:t>378</w:t>
            </w:r>
          </w:p>
        </w:tc>
        <w:tc>
          <w:tcPr>
            <w:tcW w:w="2427" w:type="dxa"/>
            <w:tcBorders>
              <w:left w:val="single" w:sz="6" w:space="0" w:color="000000" w:themeColor="text1"/>
              <w:bottom w:val="single" w:sz="4" w:space="0" w:color="auto"/>
            </w:tcBorders>
            <w:shd w:val="clear" w:color="auto" w:fill="auto"/>
          </w:tcPr>
          <w:p w14:paraId="54E44BCF" w14:textId="77777777" w:rsidR="005A38E4" w:rsidRPr="009841AB" w:rsidRDefault="005A38E4" w:rsidP="005A38E4">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53D253B" w14:textId="77777777" w:rsidR="005A38E4" w:rsidRPr="009841AB" w:rsidRDefault="005A38E4" w:rsidP="005A38E4">
            <w:pPr>
              <w:widowControl w:val="0"/>
              <w:ind w:right="126"/>
              <w:jc w:val="both"/>
              <w:rPr>
                <w:shd w:val="clear" w:color="auto" w:fill="FFFFFF"/>
              </w:rPr>
            </w:pPr>
            <w:r w:rsidRPr="009841AB">
              <w:rPr>
                <w:rStyle w:val="normaltextrun"/>
                <w:shd w:val="clear" w:color="auto" w:fill="FFFFFF"/>
              </w:rPr>
              <w:t xml:space="preserve">10. Lūdzam </w:t>
            </w:r>
            <w:r w:rsidRPr="009841AB">
              <w:t xml:space="preserve">4.4.9. </w:t>
            </w:r>
            <w:r w:rsidRPr="009841AB">
              <w:rPr>
                <w:rStyle w:val="normaltextrun"/>
                <w:shd w:val="clear" w:color="auto" w:fill="FFFFFF"/>
              </w:rPr>
              <w:t xml:space="preserve">Rīcības virziena “Moderna un atvērta valsts pārvalde” </w:t>
            </w:r>
            <w:r w:rsidRPr="009841AB">
              <w:t xml:space="preserve">sadaļā </w:t>
            </w:r>
            <w:r w:rsidRPr="009841AB">
              <w:rPr>
                <w:i/>
              </w:rPr>
              <w:t>Esošās situācijas apraksts</w:t>
            </w:r>
            <w:r w:rsidRPr="009841AB">
              <w:t xml:space="preserve"> </w:t>
            </w:r>
            <w:r w:rsidRPr="009841AB">
              <w:rPr>
                <w:rStyle w:val="normaltextrun"/>
                <w:shd w:val="clear" w:color="auto" w:fill="FFFFFF"/>
              </w:rPr>
              <w:t>154. </w:t>
            </w:r>
            <w:proofErr w:type="spellStart"/>
            <w:r w:rsidRPr="009841AB">
              <w:rPr>
                <w:rStyle w:val="normaltextrun"/>
                <w:shd w:val="clear" w:color="auto" w:fill="FFFFFF"/>
              </w:rPr>
              <w:t>lpp</w:t>
            </w:r>
            <w:proofErr w:type="spellEnd"/>
            <w:r w:rsidRPr="009841AB">
              <w:rPr>
                <w:rStyle w:val="normaltextrun"/>
                <w:shd w:val="clear" w:color="auto" w:fill="FFFFFF"/>
              </w:rPr>
              <w:t xml:space="preserve"> papildināt otro izaicinājumu ar teikumu: </w:t>
            </w:r>
            <w:r w:rsidRPr="009841AB">
              <w:t>“</w:t>
            </w:r>
            <w:r w:rsidRPr="009841AB">
              <w:rPr>
                <w:rStyle w:val="normaltextrun"/>
                <w:shd w:val="clear" w:color="auto" w:fill="FFFFFF"/>
              </w:rPr>
              <w:t>Iestādēm un resoriem trūkst rīku un prasmju digitālajā vidē pildīt valsts pārvaldes uzdevumus un sadarboties”. </w:t>
            </w:r>
          </w:p>
        </w:tc>
        <w:tc>
          <w:tcPr>
            <w:tcW w:w="2480" w:type="dxa"/>
            <w:tcBorders>
              <w:left w:val="single" w:sz="6" w:space="0" w:color="000000" w:themeColor="text1"/>
              <w:bottom w:val="single" w:sz="4" w:space="0" w:color="auto"/>
            </w:tcBorders>
            <w:shd w:val="clear" w:color="auto" w:fill="auto"/>
          </w:tcPr>
          <w:p w14:paraId="25CA2AE4" w14:textId="77777777" w:rsidR="005A38E4" w:rsidRPr="009841AB" w:rsidRDefault="005A38E4" w:rsidP="005A38E4">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57DC3A3A" w14:textId="77777777" w:rsidR="005A38E4" w:rsidRPr="009841AB" w:rsidRDefault="005A38E4" w:rsidP="005A38E4">
            <w:pPr>
              <w:pStyle w:val="naisc"/>
              <w:spacing w:before="0" w:after="0"/>
              <w:jc w:val="left"/>
            </w:pPr>
            <w:r w:rsidRPr="009841AB">
              <w:t xml:space="preserve">Lūdzam skatīt </w:t>
            </w:r>
            <w:proofErr w:type="spellStart"/>
            <w:r w:rsidRPr="009841AB">
              <w:t>apakšsadaļu</w:t>
            </w:r>
            <w:proofErr w:type="spellEnd"/>
            <w:r w:rsidRPr="009841AB">
              <w:t xml:space="preserve"> 4.4.9.</w:t>
            </w:r>
          </w:p>
        </w:tc>
      </w:tr>
      <w:tr w:rsidR="00AD6DCC" w:rsidRPr="009841AB" w14:paraId="7D3BE67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0E09E4A" w14:textId="77777777" w:rsidR="00AD6DCC" w:rsidRPr="009841AB" w:rsidRDefault="008A535A" w:rsidP="00AD6DCC">
            <w:pPr>
              <w:pStyle w:val="naisc"/>
              <w:spacing w:before="0" w:after="0"/>
            </w:pPr>
            <w:r>
              <w:t>379</w:t>
            </w:r>
          </w:p>
        </w:tc>
        <w:tc>
          <w:tcPr>
            <w:tcW w:w="2427" w:type="dxa"/>
            <w:tcBorders>
              <w:left w:val="single" w:sz="6" w:space="0" w:color="000000" w:themeColor="text1"/>
              <w:bottom w:val="single" w:sz="4" w:space="0" w:color="auto"/>
            </w:tcBorders>
            <w:shd w:val="clear" w:color="auto" w:fill="auto"/>
          </w:tcPr>
          <w:p w14:paraId="44253348" w14:textId="77777777" w:rsidR="00AD6DCC" w:rsidRPr="009841AB" w:rsidRDefault="00AD6DCC" w:rsidP="00AD6DCC">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22D260D" w14:textId="77777777" w:rsidR="00AD6DCC" w:rsidRPr="009841AB" w:rsidRDefault="00AD6DCC" w:rsidP="00AD6DCC">
            <w:pPr>
              <w:widowControl w:val="0"/>
              <w:ind w:right="126"/>
              <w:jc w:val="both"/>
              <w:rPr>
                <w:color w:val="212121"/>
              </w:rPr>
            </w:pPr>
            <w:r w:rsidRPr="009841AB">
              <w:rPr>
                <w:rStyle w:val="normaltextrun"/>
                <w:shd w:val="clear" w:color="auto" w:fill="FFFFFF"/>
              </w:rPr>
              <w:t xml:space="preserve">11. Lūdzam </w:t>
            </w:r>
            <w:r w:rsidRPr="009841AB">
              <w:t xml:space="preserve">4.4.9. </w:t>
            </w:r>
            <w:r w:rsidRPr="009841AB">
              <w:rPr>
                <w:rStyle w:val="normaltextrun"/>
                <w:shd w:val="clear" w:color="auto" w:fill="FFFFFF"/>
              </w:rPr>
              <w:t xml:space="preserve">Rīcības virziena “Moderna un atvērta valsts pārvalde” </w:t>
            </w:r>
            <w:r w:rsidRPr="009841AB">
              <w:t xml:space="preserve">sadaļā </w:t>
            </w:r>
            <w:r w:rsidRPr="009841AB">
              <w:rPr>
                <w:i/>
              </w:rPr>
              <w:t xml:space="preserve">Esošās situācijas </w:t>
            </w:r>
            <w:r w:rsidRPr="009841AB">
              <w:rPr>
                <w:i/>
              </w:rPr>
              <w:lastRenderedPageBreak/>
              <w:t>apraksts</w:t>
            </w:r>
            <w:r w:rsidRPr="009841AB">
              <w:t xml:space="preserve"> (</w:t>
            </w:r>
            <w:r w:rsidRPr="009841AB">
              <w:rPr>
                <w:rStyle w:val="normaltextrun"/>
                <w:shd w:val="clear" w:color="auto" w:fill="FFFFFF"/>
              </w:rPr>
              <w:t>154. </w:t>
            </w:r>
            <w:proofErr w:type="spellStart"/>
            <w:r w:rsidRPr="009841AB">
              <w:rPr>
                <w:rStyle w:val="normaltextrun"/>
                <w:shd w:val="clear" w:color="auto" w:fill="FFFFFF"/>
              </w:rPr>
              <w:t>lpp</w:t>
            </w:r>
            <w:proofErr w:type="spellEnd"/>
            <w:r w:rsidRPr="009841AB">
              <w:rPr>
                <w:rStyle w:val="normaltextrun"/>
                <w:shd w:val="clear" w:color="auto" w:fill="FFFFFF"/>
              </w:rPr>
              <w:t>) papildināt otro izaicinājumu ar b) apakšpunktu šādā redakcijā :</w:t>
            </w:r>
            <w:r w:rsidRPr="009841AB">
              <w:rPr>
                <w:color w:val="212121"/>
              </w:rPr>
              <w:t xml:space="preserve"> “Attīstot kopīgas e-koplietošanas platformas valsts pārvaldē nodarbinātajiem un vajadzības gadījumā to sadarbības partneriem, var nodrošināt operatīvu un plašāku informācijas apriti,  caurskatāmību un iespēju visiem ērti strādāt </w:t>
            </w:r>
            <w:proofErr w:type="spellStart"/>
            <w:r w:rsidRPr="009841AB">
              <w:rPr>
                <w:color w:val="212121"/>
              </w:rPr>
              <w:t>kopradē</w:t>
            </w:r>
            <w:proofErr w:type="spellEnd"/>
            <w:r w:rsidRPr="009841AB">
              <w:rPr>
                <w:color w:val="212121"/>
              </w:rPr>
              <w:t xml:space="preserve">, ikreiz nedomājot par platformu un risinājumu, kuru lietot, un arī ietaupot valsts līdzekļus. Šādas koplietošanas platformas var izmantot politiku ieviesēji, </w:t>
            </w:r>
            <w:proofErr w:type="spellStart"/>
            <w:r w:rsidRPr="009841AB">
              <w:rPr>
                <w:color w:val="212121"/>
              </w:rPr>
              <w:t>starpinstitucionālu</w:t>
            </w:r>
            <w:proofErr w:type="spellEnd"/>
            <w:r w:rsidRPr="009841AB">
              <w:rPr>
                <w:color w:val="212121"/>
              </w:rPr>
              <w:t xml:space="preserve">  jautājumu risināšanā, darba grupās u.c. Piemēram, šādu koplietošanas vidi 2020. gada pavasarī līdz ar COVID-19 krīzi izveidoja Valsts kanceleja informācijas apritei par Latvijas Ceturtā nacionālā atvērtās pārvaldības rīcības plāna 2020.-2021. gadam īstenošanu. Tomēr visai pārvaldei vienota vide būtu nākamais līmenis. Šajā  vidē valsts pārvaldē nodarbinātais vienu reizi izveido lietotāja kontu un turpmāk var ērti veidot koplietošanas grupas ar citu iestāžu pārstāvjiem vai tādās iesaistīties.”</w:t>
            </w:r>
          </w:p>
        </w:tc>
        <w:tc>
          <w:tcPr>
            <w:tcW w:w="2480" w:type="dxa"/>
            <w:tcBorders>
              <w:left w:val="single" w:sz="6" w:space="0" w:color="000000" w:themeColor="text1"/>
              <w:bottom w:val="single" w:sz="4" w:space="0" w:color="auto"/>
            </w:tcBorders>
            <w:shd w:val="clear" w:color="auto" w:fill="auto"/>
          </w:tcPr>
          <w:p w14:paraId="79199E4E" w14:textId="77777777" w:rsidR="00AD6DCC" w:rsidRPr="009841AB" w:rsidRDefault="00AD6DCC" w:rsidP="00AD6DCC">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66DB1184" w14:textId="77777777" w:rsidR="00AD6DCC" w:rsidRPr="009841AB" w:rsidRDefault="00AD6DCC" w:rsidP="00AD6DCC">
            <w:pPr>
              <w:pStyle w:val="naisc"/>
              <w:spacing w:before="0" w:after="0"/>
              <w:jc w:val="left"/>
            </w:pPr>
            <w:r w:rsidRPr="009841AB">
              <w:t xml:space="preserve">Lūdzam skatīt </w:t>
            </w:r>
            <w:proofErr w:type="spellStart"/>
            <w:r w:rsidRPr="009841AB">
              <w:t>apakšsadaļu</w:t>
            </w:r>
            <w:proofErr w:type="spellEnd"/>
            <w:r w:rsidRPr="009841AB">
              <w:t xml:space="preserve"> 4.4.9.</w:t>
            </w:r>
          </w:p>
        </w:tc>
      </w:tr>
      <w:tr w:rsidR="000F6BBE" w:rsidRPr="009841AB" w14:paraId="305159D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E056A8C" w14:textId="77777777" w:rsidR="000F6BBE" w:rsidRPr="009841AB" w:rsidRDefault="008A535A" w:rsidP="000F6BBE">
            <w:pPr>
              <w:pStyle w:val="naisc"/>
              <w:spacing w:before="0" w:after="0"/>
              <w:jc w:val="left"/>
            </w:pPr>
            <w:r>
              <w:t>380</w:t>
            </w:r>
          </w:p>
        </w:tc>
        <w:tc>
          <w:tcPr>
            <w:tcW w:w="2427" w:type="dxa"/>
            <w:tcBorders>
              <w:left w:val="single" w:sz="6" w:space="0" w:color="000000" w:themeColor="text1"/>
              <w:bottom w:val="single" w:sz="4" w:space="0" w:color="auto"/>
            </w:tcBorders>
            <w:shd w:val="clear" w:color="auto" w:fill="auto"/>
          </w:tcPr>
          <w:p w14:paraId="30D57EDC" w14:textId="77777777" w:rsidR="000F6BBE" w:rsidRPr="009841AB" w:rsidRDefault="000F6BBE" w:rsidP="000F6BBE">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9709D76" w14:textId="77777777" w:rsidR="000F6BBE" w:rsidRPr="009841AB" w:rsidRDefault="000F6BBE" w:rsidP="000F6BBE">
            <w:pPr>
              <w:widowControl w:val="0"/>
              <w:ind w:right="126"/>
            </w:pPr>
            <w:r w:rsidRPr="009841AB">
              <w:rPr>
                <w:shd w:val="clear" w:color="auto" w:fill="FFFFFF"/>
              </w:rPr>
              <w:t xml:space="preserve">12. Lūdzam </w:t>
            </w:r>
            <w:r w:rsidRPr="009841AB">
              <w:rPr>
                <w:rStyle w:val="normaltextrun"/>
                <w:shd w:val="clear" w:color="auto" w:fill="FFFFFF"/>
              </w:rPr>
              <w:t>4.4.9.4. Rīcības </w:t>
            </w:r>
            <w:proofErr w:type="spellStart"/>
            <w:r w:rsidRPr="009841AB">
              <w:rPr>
                <w:rStyle w:val="spellingerror"/>
                <w:shd w:val="clear" w:color="auto" w:fill="FFFFFF"/>
              </w:rPr>
              <w:t>apakšvirziena</w:t>
            </w:r>
            <w:proofErr w:type="spellEnd"/>
            <w:r w:rsidRPr="009841AB">
              <w:rPr>
                <w:rStyle w:val="spellingerror"/>
                <w:shd w:val="clear" w:color="auto" w:fill="FFFFFF"/>
              </w:rPr>
              <w:t xml:space="preserve"> “</w:t>
            </w:r>
            <w:r w:rsidRPr="009841AB">
              <w:rPr>
                <w:rStyle w:val="normaltextrun"/>
                <w:shd w:val="clear" w:color="auto" w:fill="FFFFFF"/>
              </w:rPr>
              <w:t>Produktīva valsts pārvaldes darbinieku darba vide”</w:t>
            </w:r>
            <w:r w:rsidRPr="009841AB">
              <w:rPr>
                <w:rStyle w:val="eop"/>
                <w:shd w:val="clear" w:color="auto" w:fill="FFFFFF"/>
              </w:rPr>
              <w:t xml:space="preserve"> sadaļas </w:t>
            </w:r>
            <w:r w:rsidRPr="009841AB">
              <w:rPr>
                <w:rStyle w:val="eop"/>
                <w:i/>
                <w:shd w:val="clear" w:color="auto" w:fill="FFFFFF"/>
              </w:rPr>
              <w:t>Sagaidāmie rezultāti</w:t>
            </w:r>
            <w:r w:rsidRPr="009841AB">
              <w:rPr>
                <w:rStyle w:val="eop"/>
                <w:shd w:val="clear" w:color="auto" w:fill="FFFFFF"/>
              </w:rPr>
              <w:t xml:space="preserve"> 2. punktu papildināt ar to, ka līdz 2027.gadam</w:t>
            </w:r>
            <w:r w:rsidRPr="009841AB">
              <w:t xml:space="preserve"> 80% no valsts pārvaldes nodarbinātajiem ir iespēja strādāt attālināti, tādējādi nevis nosakot, ka pāriet uz primāri attālināto darbu valsts pārvaldē, bet gan to, ka 80% valsts pārvaldes darbiniekiem </w:t>
            </w:r>
            <w:r w:rsidRPr="009841AB">
              <w:rPr>
                <w:u w:val="single"/>
              </w:rPr>
              <w:t>ir iespēja</w:t>
            </w:r>
            <w:r w:rsidRPr="009841AB">
              <w:t xml:space="preserve"> strādāt attālināti. </w:t>
            </w:r>
          </w:p>
        </w:tc>
        <w:tc>
          <w:tcPr>
            <w:tcW w:w="2480" w:type="dxa"/>
            <w:tcBorders>
              <w:left w:val="single" w:sz="6" w:space="0" w:color="000000" w:themeColor="text1"/>
              <w:bottom w:val="single" w:sz="4" w:space="0" w:color="auto"/>
            </w:tcBorders>
            <w:shd w:val="clear" w:color="auto" w:fill="auto"/>
          </w:tcPr>
          <w:p w14:paraId="40555BAF" w14:textId="77777777" w:rsidR="000F6BBE" w:rsidRPr="009841AB" w:rsidRDefault="000F6BBE" w:rsidP="000F6BBE">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25AB1BAC" w14:textId="77777777" w:rsidR="000F6BBE" w:rsidRPr="009841AB" w:rsidRDefault="000F6BBE" w:rsidP="000F6BBE">
            <w:pPr>
              <w:pStyle w:val="naisc"/>
              <w:spacing w:before="0" w:after="0"/>
              <w:jc w:val="left"/>
            </w:pPr>
            <w:r w:rsidRPr="009841AB">
              <w:t xml:space="preserve">Lūdzam skatīt </w:t>
            </w:r>
            <w:proofErr w:type="spellStart"/>
            <w:r w:rsidRPr="009841AB">
              <w:t>apakšsadaļu</w:t>
            </w:r>
            <w:proofErr w:type="spellEnd"/>
            <w:r w:rsidRPr="009841AB">
              <w:t xml:space="preserve"> 4.4.9.4.</w:t>
            </w:r>
          </w:p>
        </w:tc>
      </w:tr>
      <w:tr w:rsidR="00C27D3F" w:rsidRPr="009841AB" w14:paraId="43325F9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BEF99F1" w14:textId="77777777" w:rsidR="00C27D3F" w:rsidRPr="009841AB" w:rsidRDefault="008A535A" w:rsidP="00C27D3F">
            <w:pPr>
              <w:pStyle w:val="naisc"/>
              <w:spacing w:before="0" w:after="0"/>
            </w:pPr>
            <w:r>
              <w:t>381</w:t>
            </w:r>
          </w:p>
        </w:tc>
        <w:tc>
          <w:tcPr>
            <w:tcW w:w="2427" w:type="dxa"/>
            <w:tcBorders>
              <w:left w:val="single" w:sz="6" w:space="0" w:color="000000" w:themeColor="text1"/>
              <w:bottom w:val="single" w:sz="4" w:space="0" w:color="auto"/>
            </w:tcBorders>
            <w:shd w:val="clear" w:color="auto" w:fill="auto"/>
          </w:tcPr>
          <w:p w14:paraId="71F1856B"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9985607" w14:textId="77777777" w:rsidR="00C27D3F" w:rsidRPr="009841AB" w:rsidRDefault="00C27D3F" w:rsidP="00C27D3F">
            <w:pPr>
              <w:widowControl w:val="0"/>
              <w:ind w:right="126"/>
              <w:jc w:val="both"/>
            </w:pPr>
            <w:r w:rsidRPr="009841AB">
              <w:t>13. Aicinām precizēt uzdevuma U4.4.9.3.-2 (167.lpp) saturu, to konkretizējot, kā arī pārvērtēt atbildīgos.</w:t>
            </w:r>
          </w:p>
        </w:tc>
        <w:tc>
          <w:tcPr>
            <w:tcW w:w="2480" w:type="dxa"/>
            <w:tcBorders>
              <w:left w:val="single" w:sz="6" w:space="0" w:color="000000" w:themeColor="text1"/>
              <w:bottom w:val="single" w:sz="4" w:space="0" w:color="auto"/>
            </w:tcBorders>
            <w:shd w:val="clear" w:color="auto" w:fill="auto"/>
          </w:tcPr>
          <w:p w14:paraId="3C652668" w14:textId="77777777" w:rsidR="00991034" w:rsidRPr="009841AB" w:rsidRDefault="00991034" w:rsidP="00991034">
            <w:pPr>
              <w:pStyle w:val="naisc"/>
              <w:jc w:val="left"/>
              <w:rPr>
                <w:b/>
                <w:bCs/>
                <w:color w:val="000000"/>
                <w:shd w:val="clear" w:color="auto" w:fill="FFFFFF"/>
              </w:rPr>
            </w:pPr>
            <w:r>
              <w:rPr>
                <w:b/>
                <w:bCs/>
                <w:color w:val="000000"/>
                <w:shd w:val="clear" w:color="auto" w:fill="FFFFFF"/>
              </w:rPr>
              <w:t>Panākta vienošanās</w:t>
            </w:r>
          </w:p>
          <w:p w14:paraId="7948D690" w14:textId="77777777" w:rsidR="00C27D3F" w:rsidRPr="009841AB" w:rsidRDefault="008B4136" w:rsidP="008B4136">
            <w:pPr>
              <w:pStyle w:val="naisc"/>
              <w:spacing w:before="0" w:after="0"/>
              <w:jc w:val="left"/>
            </w:pPr>
            <w:r w:rsidRPr="009841AB">
              <w:t xml:space="preserve">Pamatnostādņu dokumenta detalizācijas līmenī uzskatām, ka nav </w:t>
            </w:r>
            <w:r w:rsidRPr="009841AB">
              <w:lastRenderedPageBreak/>
              <w:t>nepieciešams konkretizēt šo uzdevumu, tas tiks darīts izstrādājot pamatnostādņu īstenošanas plānu</w:t>
            </w:r>
          </w:p>
        </w:tc>
        <w:tc>
          <w:tcPr>
            <w:tcW w:w="3497" w:type="dxa"/>
            <w:tcBorders>
              <w:left w:val="single" w:sz="6" w:space="0" w:color="000000" w:themeColor="text1"/>
              <w:bottom w:val="single" w:sz="4" w:space="0" w:color="auto"/>
            </w:tcBorders>
            <w:shd w:val="clear" w:color="auto" w:fill="auto"/>
          </w:tcPr>
          <w:p w14:paraId="7A5C54E9" w14:textId="77777777" w:rsidR="00C27D3F" w:rsidRPr="009841AB" w:rsidRDefault="00C27D3F" w:rsidP="00C27D3F">
            <w:pPr>
              <w:pStyle w:val="naisc"/>
              <w:spacing w:before="0" w:after="0"/>
              <w:jc w:val="both"/>
            </w:pPr>
          </w:p>
        </w:tc>
      </w:tr>
      <w:tr w:rsidR="00DB7FEB" w:rsidRPr="009841AB" w14:paraId="52A0DEC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E88E6F5" w14:textId="77777777" w:rsidR="00DB7FEB" w:rsidRPr="009841AB" w:rsidRDefault="008A535A" w:rsidP="00DB7FEB">
            <w:pPr>
              <w:pStyle w:val="naisc"/>
              <w:spacing w:before="0" w:after="0"/>
            </w:pPr>
            <w:r>
              <w:t>382</w:t>
            </w:r>
          </w:p>
        </w:tc>
        <w:tc>
          <w:tcPr>
            <w:tcW w:w="2427" w:type="dxa"/>
            <w:tcBorders>
              <w:left w:val="single" w:sz="6" w:space="0" w:color="000000" w:themeColor="text1"/>
              <w:bottom w:val="single" w:sz="4" w:space="0" w:color="auto"/>
            </w:tcBorders>
            <w:shd w:val="clear" w:color="auto" w:fill="auto"/>
          </w:tcPr>
          <w:p w14:paraId="6511486D" w14:textId="77777777" w:rsidR="00DB7FEB" w:rsidRPr="009841AB" w:rsidRDefault="00DB7FEB" w:rsidP="00DB7FEB">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3146E83" w14:textId="77777777" w:rsidR="00DB7FEB" w:rsidRPr="009841AB" w:rsidRDefault="00DB7FEB" w:rsidP="00DB7FEB">
            <w:pPr>
              <w:widowControl w:val="0"/>
              <w:ind w:right="126"/>
              <w:jc w:val="both"/>
              <w:rPr>
                <w:shd w:val="clear" w:color="auto" w:fill="FFFFFF"/>
              </w:rPr>
            </w:pPr>
            <w:r w:rsidRPr="009841AB">
              <w:t xml:space="preserve">14. Lūdzam papildināt </w:t>
            </w:r>
            <w:r w:rsidRPr="009841AB">
              <w:rPr>
                <w:rStyle w:val="normaltextrun"/>
                <w:shd w:val="clear" w:color="auto" w:fill="FFFFFF"/>
              </w:rPr>
              <w:t>4.4.9.4. Rīcības </w:t>
            </w:r>
            <w:proofErr w:type="spellStart"/>
            <w:r w:rsidRPr="009841AB">
              <w:rPr>
                <w:rStyle w:val="spellingerror"/>
                <w:shd w:val="clear" w:color="auto" w:fill="FFFFFF"/>
              </w:rPr>
              <w:t>apakšvirziena</w:t>
            </w:r>
            <w:proofErr w:type="spellEnd"/>
            <w:r w:rsidRPr="009841AB">
              <w:rPr>
                <w:rStyle w:val="normaltextrun"/>
                <w:shd w:val="clear" w:color="auto" w:fill="FFFFFF"/>
              </w:rPr>
              <w:t xml:space="preserve"> “Produktīva valsts pārvaldes darbinieku darba vide” (171.lpp)</w:t>
            </w:r>
            <w:r w:rsidRPr="009841AB">
              <w:rPr>
                <w:rStyle w:val="eop"/>
                <w:shd w:val="clear" w:color="auto" w:fill="FFFFFF"/>
              </w:rPr>
              <w:t xml:space="preserve"> uzdevumus ar jaunu pirmo uzdevumu un otro pārstrādāt, izsakot šādā redakcijā (izmaiņas izceltas ar </w:t>
            </w:r>
            <w:proofErr w:type="spellStart"/>
            <w:r w:rsidRPr="009841AB">
              <w:rPr>
                <w:rStyle w:val="eop"/>
                <w:shd w:val="clear" w:color="auto" w:fill="FFFFFF"/>
              </w:rPr>
              <w:t>bold</w:t>
            </w:r>
            <w:proofErr w:type="spellEnd"/>
            <w:r w:rsidRPr="009841AB">
              <w:rPr>
                <w:rStyle w:val="eop"/>
                <w:shd w:val="clear" w:color="auto" w:fill="FFFFFF"/>
              </w:rPr>
              <w:t xml:space="preserve">): </w:t>
            </w:r>
          </w:p>
          <w:p w14:paraId="21E08D87" w14:textId="77777777" w:rsidR="00DB7FEB" w:rsidRPr="009841AB" w:rsidRDefault="00DB7FEB" w:rsidP="00DB7FEB">
            <w:pPr>
              <w:widowControl w:val="0"/>
              <w:ind w:right="126"/>
              <w:jc w:val="both"/>
              <w:rPr>
                <w:color w:val="212121"/>
              </w:rPr>
            </w:pPr>
          </w:p>
        </w:tc>
        <w:tc>
          <w:tcPr>
            <w:tcW w:w="2480" w:type="dxa"/>
            <w:tcBorders>
              <w:left w:val="single" w:sz="6" w:space="0" w:color="000000" w:themeColor="text1"/>
              <w:bottom w:val="single" w:sz="4" w:space="0" w:color="auto"/>
            </w:tcBorders>
            <w:shd w:val="clear" w:color="auto" w:fill="auto"/>
          </w:tcPr>
          <w:p w14:paraId="3EA24A23" w14:textId="77777777" w:rsidR="00DB7FEB" w:rsidRPr="009841AB" w:rsidRDefault="00DB7FEB" w:rsidP="00DB7FEB">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7302EF3D" w14:textId="77777777" w:rsidR="00DB7FEB" w:rsidRPr="009841AB" w:rsidRDefault="00DB7FEB" w:rsidP="00DB7FEB">
            <w:pPr>
              <w:pStyle w:val="naisc"/>
              <w:spacing w:before="0" w:after="0"/>
              <w:jc w:val="left"/>
            </w:pPr>
            <w:r w:rsidRPr="009841AB">
              <w:t xml:space="preserve">Lūdzam skatīt </w:t>
            </w:r>
            <w:proofErr w:type="spellStart"/>
            <w:r w:rsidRPr="009841AB">
              <w:t>apakšsadaļu</w:t>
            </w:r>
            <w:proofErr w:type="spellEnd"/>
            <w:r w:rsidRPr="009841AB">
              <w:t xml:space="preserve"> 4.4.9.4.</w:t>
            </w:r>
          </w:p>
        </w:tc>
      </w:tr>
      <w:tr w:rsidR="00C27D3F" w:rsidRPr="009841AB" w14:paraId="5B48BDE7" w14:textId="77777777" w:rsidTr="15B1D617">
        <w:trPr>
          <w:gridAfter w:val="1"/>
          <w:wAfter w:w="7" w:type="dxa"/>
        </w:trPr>
        <w:tc>
          <w:tcPr>
            <w:tcW w:w="613" w:type="dxa"/>
            <w:tcBorders>
              <w:left w:val="single" w:sz="6" w:space="0" w:color="000000" w:themeColor="text1"/>
              <w:bottom w:val="single" w:sz="4" w:space="0" w:color="auto"/>
            </w:tcBorders>
            <w:shd w:val="clear" w:color="auto" w:fill="auto"/>
          </w:tcPr>
          <w:p w14:paraId="008FA6F4" w14:textId="77777777" w:rsidR="00C27D3F" w:rsidRPr="009841AB" w:rsidRDefault="00A25204" w:rsidP="00C27D3F">
            <w:pPr>
              <w:pStyle w:val="naisc"/>
              <w:spacing w:before="0" w:after="0"/>
            </w:pPr>
            <w:r>
              <w:t>382</w:t>
            </w:r>
          </w:p>
        </w:tc>
        <w:tc>
          <w:tcPr>
            <w:tcW w:w="13831" w:type="dxa"/>
            <w:gridSpan w:val="4"/>
            <w:tcBorders>
              <w:left w:val="single" w:sz="6" w:space="0" w:color="000000" w:themeColor="text1"/>
              <w:bottom w:val="single" w:sz="4" w:space="0" w:color="auto"/>
            </w:tcBorders>
            <w:shd w:val="clear" w:color="auto" w:fill="auto"/>
          </w:tcPr>
          <w:tbl>
            <w:tblPr>
              <w:tblW w:w="8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6"/>
              <w:gridCol w:w="2525"/>
              <w:gridCol w:w="805"/>
              <w:gridCol w:w="851"/>
              <w:gridCol w:w="1134"/>
              <w:gridCol w:w="2134"/>
            </w:tblGrid>
            <w:tr w:rsidR="00C27D3F" w:rsidRPr="009841AB" w14:paraId="05CC3054" w14:textId="77777777" w:rsidTr="00C76577">
              <w:tc>
                <w:tcPr>
                  <w:tcW w:w="1206" w:type="dxa"/>
                  <w:shd w:val="clear" w:color="auto" w:fill="auto"/>
                  <w:vAlign w:val="center"/>
                  <w:hideMark/>
                </w:tcPr>
                <w:p w14:paraId="2204A1A1" w14:textId="77777777" w:rsidR="00C27D3F" w:rsidRPr="009841AB" w:rsidRDefault="00C27D3F" w:rsidP="00C27D3F">
                  <w:pPr>
                    <w:jc w:val="center"/>
                    <w:textAlignment w:val="baseline"/>
                  </w:pPr>
                  <w:bookmarkStart w:id="4" w:name="OLE_LINK1"/>
                  <w:r w:rsidRPr="009841AB">
                    <w:rPr>
                      <w:color w:val="000000"/>
                    </w:rPr>
                    <w:t>Identifikators </w:t>
                  </w:r>
                </w:p>
              </w:tc>
              <w:tc>
                <w:tcPr>
                  <w:tcW w:w="2525" w:type="dxa"/>
                  <w:shd w:val="clear" w:color="auto" w:fill="auto"/>
                  <w:vAlign w:val="center"/>
                  <w:hideMark/>
                </w:tcPr>
                <w:p w14:paraId="26B95FCE" w14:textId="77777777" w:rsidR="00C27D3F" w:rsidRPr="009841AB" w:rsidRDefault="00C27D3F" w:rsidP="00C27D3F">
                  <w:pPr>
                    <w:jc w:val="center"/>
                    <w:textAlignment w:val="baseline"/>
                  </w:pPr>
                  <w:r w:rsidRPr="009841AB">
                    <w:rPr>
                      <w:color w:val="000000"/>
                    </w:rPr>
                    <w:t>Uzdevums </w:t>
                  </w:r>
                </w:p>
              </w:tc>
              <w:tc>
                <w:tcPr>
                  <w:tcW w:w="805" w:type="dxa"/>
                  <w:shd w:val="clear" w:color="auto" w:fill="auto"/>
                  <w:vAlign w:val="center"/>
                  <w:hideMark/>
                </w:tcPr>
                <w:p w14:paraId="309D174C" w14:textId="77777777" w:rsidR="00C27D3F" w:rsidRPr="009841AB" w:rsidRDefault="00C27D3F" w:rsidP="00C27D3F">
                  <w:pPr>
                    <w:jc w:val="center"/>
                    <w:textAlignment w:val="baseline"/>
                  </w:pPr>
                  <w:r w:rsidRPr="009841AB">
                    <w:t>Sākuma termiņš </w:t>
                  </w:r>
                </w:p>
              </w:tc>
              <w:tc>
                <w:tcPr>
                  <w:tcW w:w="851" w:type="dxa"/>
                  <w:shd w:val="clear" w:color="auto" w:fill="auto"/>
                  <w:vAlign w:val="center"/>
                  <w:hideMark/>
                </w:tcPr>
                <w:p w14:paraId="15939C4F" w14:textId="77777777" w:rsidR="00C27D3F" w:rsidRPr="009841AB" w:rsidRDefault="00C27D3F" w:rsidP="00C27D3F">
                  <w:pPr>
                    <w:jc w:val="center"/>
                    <w:textAlignment w:val="baseline"/>
                  </w:pPr>
                  <w:r w:rsidRPr="009841AB">
                    <w:t>Beigu termiņš </w:t>
                  </w:r>
                </w:p>
              </w:tc>
              <w:tc>
                <w:tcPr>
                  <w:tcW w:w="1134" w:type="dxa"/>
                  <w:shd w:val="clear" w:color="auto" w:fill="auto"/>
                  <w:vAlign w:val="center"/>
                  <w:hideMark/>
                </w:tcPr>
                <w:p w14:paraId="5AE04ECA" w14:textId="77777777" w:rsidR="00C27D3F" w:rsidRPr="009841AB" w:rsidRDefault="00C27D3F" w:rsidP="00C27D3F">
                  <w:pPr>
                    <w:jc w:val="center"/>
                    <w:textAlignment w:val="baseline"/>
                  </w:pPr>
                  <w:r w:rsidRPr="009841AB">
                    <w:rPr>
                      <w:color w:val="000000"/>
                    </w:rPr>
                    <w:t>Atbildīgais </w:t>
                  </w:r>
                </w:p>
              </w:tc>
              <w:tc>
                <w:tcPr>
                  <w:tcW w:w="2134" w:type="dxa"/>
                  <w:shd w:val="clear" w:color="auto" w:fill="auto"/>
                  <w:vAlign w:val="center"/>
                  <w:hideMark/>
                </w:tcPr>
                <w:p w14:paraId="6A3B7389" w14:textId="77777777" w:rsidR="00C27D3F" w:rsidRPr="009841AB" w:rsidRDefault="00C27D3F" w:rsidP="00C27D3F">
                  <w:pPr>
                    <w:jc w:val="center"/>
                    <w:textAlignment w:val="baseline"/>
                  </w:pPr>
                  <w:r w:rsidRPr="009841AB">
                    <w:rPr>
                      <w:color w:val="000000"/>
                    </w:rPr>
                    <w:t>Līdzatbildīgie </w:t>
                  </w:r>
                </w:p>
              </w:tc>
            </w:tr>
            <w:tr w:rsidR="00C27D3F" w:rsidRPr="009841AB" w14:paraId="51863948" w14:textId="77777777" w:rsidTr="00C76577">
              <w:tc>
                <w:tcPr>
                  <w:tcW w:w="1206" w:type="dxa"/>
                  <w:shd w:val="clear" w:color="auto" w:fill="auto"/>
                  <w:vAlign w:val="center"/>
                </w:tcPr>
                <w:p w14:paraId="0566CD07" w14:textId="77777777" w:rsidR="00C27D3F" w:rsidRPr="009841AB" w:rsidRDefault="00C27D3F" w:rsidP="00C27D3F">
                  <w:pPr>
                    <w:jc w:val="both"/>
                    <w:textAlignment w:val="baseline"/>
                    <w:rPr>
                      <w:b/>
                    </w:rPr>
                  </w:pPr>
                  <w:r w:rsidRPr="009841AB">
                    <w:rPr>
                      <w:b/>
                    </w:rPr>
                    <w:t>4.4.9.4.-1 </w:t>
                  </w:r>
                </w:p>
              </w:tc>
              <w:tc>
                <w:tcPr>
                  <w:tcW w:w="2525" w:type="dxa"/>
                  <w:shd w:val="clear" w:color="auto" w:fill="auto"/>
                  <w:vAlign w:val="center"/>
                </w:tcPr>
                <w:p w14:paraId="53D43618" w14:textId="77777777" w:rsidR="00C27D3F" w:rsidRPr="009841AB" w:rsidRDefault="00C27D3F" w:rsidP="00C27D3F">
                  <w:pPr>
                    <w:textAlignment w:val="baseline"/>
                    <w:rPr>
                      <w:b/>
                    </w:rPr>
                  </w:pPr>
                  <w:r w:rsidRPr="009841AB">
                    <w:rPr>
                      <w:b/>
                    </w:rPr>
                    <w:t>Nākotnes biroja koncepcijas izstrāde, nodrošinot kā 80% darbinieku ir iespēja to izmantot </w:t>
                  </w:r>
                </w:p>
              </w:tc>
              <w:tc>
                <w:tcPr>
                  <w:tcW w:w="805" w:type="dxa"/>
                  <w:shd w:val="clear" w:color="auto" w:fill="auto"/>
                  <w:vAlign w:val="center"/>
                </w:tcPr>
                <w:p w14:paraId="0F2C2B89" w14:textId="77777777" w:rsidR="00C27D3F" w:rsidRPr="009841AB" w:rsidRDefault="00C27D3F" w:rsidP="00C27D3F">
                  <w:pPr>
                    <w:jc w:val="center"/>
                    <w:textAlignment w:val="baseline"/>
                    <w:rPr>
                      <w:b/>
                    </w:rPr>
                  </w:pPr>
                  <w:r w:rsidRPr="009841AB">
                    <w:rPr>
                      <w:b/>
                    </w:rPr>
                    <w:t>2021</w:t>
                  </w:r>
                </w:p>
              </w:tc>
              <w:tc>
                <w:tcPr>
                  <w:tcW w:w="851" w:type="dxa"/>
                  <w:shd w:val="clear" w:color="auto" w:fill="auto"/>
                  <w:vAlign w:val="center"/>
                </w:tcPr>
                <w:p w14:paraId="2C8EE111" w14:textId="77777777" w:rsidR="00C27D3F" w:rsidRPr="009841AB" w:rsidRDefault="00C27D3F" w:rsidP="00C27D3F">
                  <w:pPr>
                    <w:jc w:val="center"/>
                    <w:textAlignment w:val="baseline"/>
                    <w:rPr>
                      <w:b/>
                    </w:rPr>
                  </w:pPr>
                  <w:r w:rsidRPr="009841AB">
                    <w:rPr>
                      <w:b/>
                    </w:rPr>
                    <w:t>2027</w:t>
                  </w:r>
                </w:p>
              </w:tc>
              <w:tc>
                <w:tcPr>
                  <w:tcW w:w="1134" w:type="dxa"/>
                  <w:shd w:val="clear" w:color="auto" w:fill="auto"/>
                  <w:vAlign w:val="center"/>
                </w:tcPr>
                <w:p w14:paraId="005D08CB" w14:textId="77777777" w:rsidR="00C27D3F" w:rsidRPr="009841AB" w:rsidRDefault="00C27D3F" w:rsidP="00C27D3F">
                  <w:pPr>
                    <w:jc w:val="center"/>
                    <w:textAlignment w:val="baseline"/>
                    <w:rPr>
                      <w:b/>
                    </w:rPr>
                  </w:pPr>
                  <w:r w:rsidRPr="009841AB">
                    <w:rPr>
                      <w:b/>
                    </w:rPr>
                    <w:t>VK, VARAM</w:t>
                  </w:r>
                </w:p>
              </w:tc>
              <w:tc>
                <w:tcPr>
                  <w:tcW w:w="2134" w:type="dxa"/>
                  <w:shd w:val="clear" w:color="auto" w:fill="auto"/>
                  <w:vAlign w:val="center"/>
                </w:tcPr>
                <w:p w14:paraId="0C270F64" w14:textId="77777777" w:rsidR="00C27D3F" w:rsidRPr="009841AB" w:rsidRDefault="00C27D3F" w:rsidP="00C27D3F">
                  <w:pPr>
                    <w:jc w:val="center"/>
                    <w:textAlignment w:val="baseline"/>
                    <w:rPr>
                      <w:b/>
                    </w:rPr>
                  </w:pPr>
                  <w:r w:rsidRPr="009841AB">
                    <w:rPr>
                      <w:b/>
                    </w:rPr>
                    <w:t>Visas ministrijas </w:t>
                  </w:r>
                </w:p>
              </w:tc>
            </w:tr>
            <w:tr w:rsidR="00C27D3F" w:rsidRPr="009841AB" w14:paraId="4F1A2B86" w14:textId="77777777" w:rsidTr="00C76577">
              <w:tc>
                <w:tcPr>
                  <w:tcW w:w="1206" w:type="dxa"/>
                  <w:shd w:val="clear" w:color="auto" w:fill="auto"/>
                  <w:vAlign w:val="center"/>
                </w:tcPr>
                <w:p w14:paraId="25507217" w14:textId="77777777" w:rsidR="00C27D3F" w:rsidRPr="009841AB" w:rsidRDefault="00C27D3F" w:rsidP="00C27D3F">
                  <w:pPr>
                    <w:jc w:val="both"/>
                    <w:textAlignment w:val="baseline"/>
                    <w:rPr>
                      <w:b/>
                    </w:rPr>
                  </w:pPr>
                  <w:r w:rsidRPr="009841AB">
                    <w:t>4.4.9.4.-2 </w:t>
                  </w:r>
                </w:p>
              </w:tc>
              <w:tc>
                <w:tcPr>
                  <w:tcW w:w="2525" w:type="dxa"/>
                  <w:shd w:val="clear" w:color="auto" w:fill="auto"/>
                  <w:vAlign w:val="center"/>
                </w:tcPr>
                <w:p w14:paraId="1A3598FA" w14:textId="77777777" w:rsidR="00C27D3F" w:rsidRPr="009841AB" w:rsidRDefault="00C27D3F" w:rsidP="00C27D3F">
                  <w:pPr>
                    <w:textAlignment w:val="baseline"/>
                    <w:rPr>
                      <w:b/>
                    </w:rPr>
                  </w:pPr>
                  <w:r w:rsidRPr="009841AB">
                    <w:rPr>
                      <w:b/>
                      <w:color w:val="000000"/>
                    </w:rPr>
                    <w:t>Pāriet uz</w:t>
                  </w:r>
                  <w:r w:rsidRPr="009841AB">
                    <w:rPr>
                      <w:b/>
                      <w:color w:val="881798"/>
                      <w:u w:val="single"/>
                    </w:rPr>
                    <w:t> </w:t>
                  </w:r>
                  <w:r w:rsidRPr="009841AB">
                    <w:rPr>
                      <w:b/>
                      <w:color w:val="000000"/>
                    </w:rPr>
                    <w:t>elastīgo - uz </w:t>
                  </w:r>
                  <w:r w:rsidRPr="009841AB">
                    <w:rPr>
                      <w:b/>
                    </w:rPr>
                    <w:t>aktivitāšu</w:t>
                  </w:r>
                  <w:r w:rsidRPr="009841AB">
                    <w:rPr>
                      <w:b/>
                      <w:color w:val="000000"/>
                    </w:rPr>
                    <w:t xml:space="preserve"> balstīto darba vietu izveidi valsts pārvaldē </w:t>
                  </w:r>
                </w:p>
              </w:tc>
              <w:tc>
                <w:tcPr>
                  <w:tcW w:w="805" w:type="dxa"/>
                  <w:shd w:val="clear" w:color="auto" w:fill="auto"/>
                  <w:vAlign w:val="center"/>
                </w:tcPr>
                <w:p w14:paraId="153A6047" w14:textId="77777777" w:rsidR="00C27D3F" w:rsidRPr="009841AB" w:rsidRDefault="00C27D3F" w:rsidP="00C27D3F">
                  <w:pPr>
                    <w:jc w:val="center"/>
                    <w:textAlignment w:val="baseline"/>
                    <w:rPr>
                      <w:b/>
                    </w:rPr>
                  </w:pPr>
                  <w:r w:rsidRPr="009841AB">
                    <w:t>2021</w:t>
                  </w:r>
                </w:p>
              </w:tc>
              <w:tc>
                <w:tcPr>
                  <w:tcW w:w="851" w:type="dxa"/>
                  <w:shd w:val="clear" w:color="auto" w:fill="auto"/>
                  <w:vAlign w:val="center"/>
                </w:tcPr>
                <w:p w14:paraId="7B8C32C5" w14:textId="77777777" w:rsidR="00C27D3F" w:rsidRPr="009841AB" w:rsidRDefault="00C27D3F" w:rsidP="00C27D3F">
                  <w:pPr>
                    <w:jc w:val="center"/>
                    <w:textAlignment w:val="baseline"/>
                    <w:rPr>
                      <w:b/>
                    </w:rPr>
                  </w:pPr>
                  <w:r w:rsidRPr="009841AB">
                    <w:t>2027</w:t>
                  </w:r>
                </w:p>
              </w:tc>
              <w:tc>
                <w:tcPr>
                  <w:tcW w:w="1134" w:type="dxa"/>
                  <w:shd w:val="clear" w:color="auto" w:fill="auto"/>
                  <w:vAlign w:val="center"/>
                </w:tcPr>
                <w:p w14:paraId="4C84AB7F" w14:textId="77777777" w:rsidR="00C27D3F" w:rsidRPr="009841AB" w:rsidRDefault="00C27D3F" w:rsidP="00C27D3F">
                  <w:pPr>
                    <w:jc w:val="center"/>
                    <w:textAlignment w:val="baseline"/>
                    <w:rPr>
                      <w:b/>
                    </w:rPr>
                  </w:pPr>
                  <w:r w:rsidRPr="009841AB">
                    <w:t>VK, VARAM </w:t>
                  </w:r>
                </w:p>
              </w:tc>
              <w:tc>
                <w:tcPr>
                  <w:tcW w:w="2134" w:type="dxa"/>
                  <w:shd w:val="clear" w:color="auto" w:fill="auto"/>
                  <w:vAlign w:val="center"/>
                </w:tcPr>
                <w:p w14:paraId="18B411C3" w14:textId="77777777" w:rsidR="00C27D3F" w:rsidRPr="009841AB" w:rsidRDefault="00C27D3F" w:rsidP="00C27D3F">
                  <w:pPr>
                    <w:jc w:val="center"/>
                    <w:textAlignment w:val="baseline"/>
                    <w:rPr>
                      <w:b/>
                      <w:shd w:val="clear" w:color="auto" w:fill="FFFF00"/>
                    </w:rPr>
                  </w:pPr>
                  <w:r w:rsidRPr="009841AB">
                    <w:rPr>
                      <w:color w:val="000000"/>
                    </w:rPr>
                    <w:t>Visas ministrijas </w:t>
                  </w:r>
                </w:p>
              </w:tc>
            </w:tr>
            <w:bookmarkEnd w:id="4"/>
          </w:tbl>
          <w:p w14:paraId="3A048AAC" w14:textId="77777777" w:rsidR="00C27D3F" w:rsidRPr="009841AB" w:rsidRDefault="00C27D3F" w:rsidP="00C27D3F">
            <w:pPr>
              <w:pStyle w:val="naisc"/>
              <w:spacing w:before="0" w:after="0"/>
              <w:jc w:val="both"/>
            </w:pPr>
          </w:p>
        </w:tc>
      </w:tr>
      <w:tr w:rsidR="00C27D3F" w:rsidRPr="009841AB" w14:paraId="39350CA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0AA2375" w14:textId="77777777" w:rsidR="00C27D3F" w:rsidRPr="009841AB" w:rsidRDefault="00A25204" w:rsidP="00C27D3F">
            <w:pPr>
              <w:pStyle w:val="naisc"/>
              <w:spacing w:before="0" w:after="0"/>
            </w:pPr>
            <w:r>
              <w:t>383</w:t>
            </w:r>
          </w:p>
        </w:tc>
        <w:tc>
          <w:tcPr>
            <w:tcW w:w="2427" w:type="dxa"/>
            <w:tcBorders>
              <w:left w:val="single" w:sz="6" w:space="0" w:color="000000" w:themeColor="text1"/>
              <w:bottom w:val="single" w:sz="4" w:space="0" w:color="auto"/>
            </w:tcBorders>
            <w:shd w:val="clear" w:color="auto" w:fill="auto"/>
          </w:tcPr>
          <w:p w14:paraId="6A1EFF7E"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23C6342" w14:textId="77777777" w:rsidR="00C27D3F" w:rsidRPr="009841AB" w:rsidRDefault="00C27D3F" w:rsidP="00C27D3F">
            <w:pPr>
              <w:widowControl w:val="0"/>
              <w:jc w:val="both"/>
              <w:rPr>
                <w:rStyle w:val="eop"/>
              </w:rPr>
            </w:pPr>
            <w:r w:rsidRPr="009841AB">
              <w:t xml:space="preserve">15. Aicinām izteikt </w:t>
            </w:r>
            <w:r w:rsidRPr="009841AB">
              <w:rPr>
                <w:rStyle w:val="normaltextrun"/>
                <w:shd w:val="clear" w:color="auto" w:fill="FFFFFF"/>
              </w:rPr>
              <w:t>4.4.9.5. Rīcības </w:t>
            </w:r>
            <w:proofErr w:type="spellStart"/>
            <w:r w:rsidRPr="009841AB">
              <w:rPr>
                <w:rStyle w:val="spellingerror"/>
                <w:shd w:val="clear" w:color="auto" w:fill="FFFFFF"/>
              </w:rPr>
              <w:t>apakšvirziena</w:t>
            </w:r>
            <w:proofErr w:type="spellEnd"/>
            <w:r w:rsidRPr="009841AB">
              <w:rPr>
                <w:rStyle w:val="normaltextrun"/>
                <w:shd w:val="clear" w:color="auto" w:fill="FFFFFF"/>
              </w:rPr>
              <w:t>: “Inovācija valsts pārvaldē, dizaina domāšana, valsts pārvaldes pakalpojumu digitālās transformācijas kompetences” </w:t>
            </w:r>
            <w:r w:rsidRPr="009841AB">
              <w:t xml:space="preserve">uzdevumus šādā redakcijā </w:t>
            </w:r>
            <w:r w:rsidRPr="009841AB">
              <w:rPr>
                <w:rStyle w:val="eop"/>
                <w:shd w:val="clear" w:color="auto" w:fill="FFFFFF"/>
              </w:rPr>
              <w:t xml:space="preserve">(izmaiņas izceltas ar </w:t>
            </w:r>
            <w:proofErr w:type="spellStart"/>
            <w:r w:rsidRPr="009841AB">
              <w:rPr>
                <w:rStyle w:val="eop"/>
                <w:shd w:val="clear" w:color="auto" w:fill="FFFFFF"/>
              </w:rPr>
              <w:t>bold</w:t>
            </w:r>
            <w:proofErr w:type="spellEnd"/>
            <w:r w:rsidRPr="009841AB">
              <w:rPr>
                <w:rStyle w:val="eop"/>
                <w:shd w:val="clear" w:color="auto" w:fill="FFFFFF"/>
              </w:rPr>
              <w:t>):</w:t>
            </w:r>
          </w:p>
          <w:p w14:paraId="21B8B6B1" w14:textId="77777777" w:rsidR="00C27D3F" w:rsidRPr="009841AB" w:rsidRDefault="00C27D3F" w:rsidP="00C27D3F">
            <w:pPr>
              <w:widowControl w:val="0"/>
              <w:ind w:right="126"/>
              <w:jc w:val="both"/>
              <w:rPr>
                <w:color w:val="212121"/>
              </w:rPr>
            </w:pPr>
          </w:p>
        </w:tc>
        <w:tc>
          <w:tcPr>
            <w:tcW w:w="2480" w:type="dxa"/>
            <w:tcBorders>
              <w:left w:val="single" w:sz="6" w:space="0" w:color="000000" w:themeColor="text1"/>
              <w:bottom w:val="single" w:sz="4" w:space="0" w:color="auto"/>
            </w:tcBorders>
            <w:shd w:val="clear" w:color="auto" w:fill="auto"/>
          </w:tcPr>
          <w:p w14:paraId="01DEC193" w14:textId="77777777" w:rsidR="002069BB" w:rsidRPr="009841AB" w:rsidRDefault="002069BB" w:rsidP="002069BB">
            <w:pPr>
              <w:pStyle w:val="naisc"/>
              <w:jc w:val="left"/>
              <w:rPr>
                <w:b/>
                <w:bCs/>
                <w:color w:val="000000"/>
                <w:shd w:val="clear" w:color="auto" w:fill="FFFFFF"/>
              </w:rPr>
            </w:pPr>
            <w:r>
              <w:rPr>
                <w:b/>
                <w:bCs/>
                <w:color w:val="000000"/>
                <w:shd w:val="clear" w:color="auto" w:fill="FFFFFF"/>
              </w:rPr>
              <w:t>Panākta vienošanās</w:t>
            </w:r>
          </w:p>
          <w:p w14:paraId="6F28293C" w14:textId="77777777" w:rsidR="00C27D3F" w:rsidRPr="009841AB" w:rsidRDefault="00DB7FEB" w:rsidP="00DB7FEB">
            <w:pPr>
              <w:pStyle w:val="naisc"/>
              <w:spacing w:before="0" w:after="0"/>
              <w:jc w:val="left"/>
            </w:pPr>
            <w:r w:rsidRPr="009841AB">
              <w:t xml:space="preserve">Uzdevuma priekšlikums attiecībā uz valsts pārvaldes modernizācijas plānu nav iekļauts, ņemot vērā, ka sadaļa 4.4.9.1. paredz izstrādāt un ieviest vienotu valsts pakalpojumu </w:t>
            </w:r>
            <w:r w:rsidRPr="009841AB">
              <w:lastRenderedPageBreak/>
              <w:t>pilnveides stratēģisko plānu</w:t>
            </w:r>
          </w:p>
        </w:tc>
        <w:tc>
          <w:tcPr>
            <w:tcW w:w="3497" w:type="dxa"/>
            <w:tcBorders>
              <w:left w:val="single" w:sz="6" w:space="0" w:color="000000" w:themeColor="text1"/>
              <w:bottom w:val="single" w:sz="4" w:space="0" w:color="auto"/>
            </w:tcBorders>
            <w:shd w:val="clear" w:color="auto" w:fill="auto"/>
          </w:tcPr>
          <w:p w14:paraId="72C2E0C0" w14:textId="77777777" w:rsidR="00C27D3F" w:rsidRPr="009841AB" w:rsidRDefault="00C27D3F" w:rsidP="00C27D3F">
            <w:pPr>
              <w:pStyle w:val="naisc"/>
              <w:spacing w:before="0" w:after="0"/>
              <w:jc w:val="both"/>
            </w:pPr>
          </w:p>
        </w:tc>
      </w:tr>
      <w:tr w:rsidR="00C27D3F" w:rsidRPr="009841AB" w14:paraId="16DC6D1B" w14:textId="77777777" w:rsidTr="15B1D617">
        <w:trPr>
          <w:gridAfter w:val="1"/>
          <w:wAfter w:w="7" w:type="dxa"/>
        </w:trPr>
        <w:tc>
          <w:tcPr>
            <w:tcW w:w="613" w:type="dxa"/>
            <w:tcBorders>
              <w:left w:val="single" w:sz="6" w:space="0" w:color="000000" w:themeColor="text1"/>
              <w:bottom w:val="single" w:sz="4" w:space="0" w:color="auto"/>
            </w:tcBorders>
            <w:shd w:val="clear" w:color="auto" w:fill="auto"/>
          </w:tcPr>
          <w:p w14:paraId="43323F1A" w14:textId="77777777" w:rsidR="00C27D3F" w:rsidRPr="009841AB" w:rsidRDefault="009D44C8" w:rsidP="00C27D3F">
            <w:pPr>
              <w:pStyle w:val="naisc"/>
              <w:spacing w:before="0" w:after="0"/>
            </w:pPr>
            <w:r>
              <w:t>383</w:t>
            </w:r>
          </w:p>
        </w:tc>
        <w:tc>
          <w:tcPr>
            <w:tcW w:w="13831" w:type="dxa"/>
            <w:gridSpan w:val="4"/>
            <w:tcBorders>
              <w:left w:val="single" w:sz="6" w:space="0" w:color="000000" w:themeColor="text1"/>
              <w:bottom w:val="single" w:sz="4" w:space="0" w:color="auto"/>
            </w:tcBorders>
            <w:shd w:val="clear" w:color="auto" w:fill="auto"/>
          </w:tcPr>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2024"/>
              <w:gridCol w:w="1134"/>
              <w:gridCol w:w="1276"/>
              <w:gridCol w:w="1130"/>
              <w:gridCol w:w="1571"/>
            </w:tblGrid>
            <w:tr w:rsidR="00C27D3F" w:rsidRPr="009841AB" w14:paraId="255A9F81" w14:textId="77777777" w:rsidTr="00C76577">
              <w:tc>
                <w:tcPr>
                  <w:tcW w:w="1520" w:type="dxa"/>
                  <w:shd w:val="clear" w:color="auto" w:fill="auto"/>
                  <w:vAlign w:val="center"/>
                </w:tcPr>
                <w:p w14:paraId="79AB8E46" w14:textId="77777777" w:rsidR="00C27D3F" w:rsidRPr="009841AB" w:rsidRDefault="00C27D3F" w:rsidP="00C27D3F">
                  <w:pPr>
                    <w:jc w:val="center"/>
                  </w:pPr>
                  <w:bookmarkStart w:id="5" w:name="OLE_LINK2"/>
                  <w:r w:rsidRPr="009841AB">
                    <w:rPr>
                      <w:color w:val="000000" w:themeColor="text1"/>
                    </w:rPr>
                    <w:t>Identifikators </w:t>
                  </w:r>
                </w:p>
              </w:tc>
              <w:tc>
                <w:tcPr>
                  <w:tcW w:w="2024" w:type="dxa"/>
                  <w:shd w:val="clear" w:color="auto" w:fill="auto"/>
                  <w:vAlign w:val="center"/>
                </w:tcPr>
                <w:p w14:paraId="457E1EB9" w14:textId="77777777" w:rsidR="00C27D3F" w:rsidRPr="009841AB" w:rsidRDefault="00C27D3F" w:rsidP="00C27D3F">
                  <w:pPr>
                    <w:jc w:val="center"/>
                  </w:pPr>
                  <w:r w:rsidRPr="009841AB">
                    <w:rPr>
                      <w:color w:val="000000" w:themeColor="text1"/>
                    </w:rPr>
                    <w:t>Uzdevums </w:t>
                  </w:r>
                </w:p>
              </w:tc>
              <w:tc>
                <w:tcPr>
                  <w:tcW w:w="1134" w:type="dxa"/>
                  <w:shd w:val="clear" w:color="auto" w:fill="auto"/>
                  <w:vAlign w:val="center"/>
                </w:tcPr>
                <w:p w14:paraId="126D6C76" w14:textId="77777777" w:rsidR="00C27D3F" w:rsidRPr="009841AB" w:rsidRDefault="00C27D3F" w:rsidP="00C27D3F">
                  <w:pPr>
                    <w:jc w:val="center"/>
                  </w:pPr>
                  <w:r w:rsidRPr="009841AB">
                    <w:t>Sākuma termiņš </w:t>
                  </w:r>
                </w:p>
              </w:tc>
              <w:tc>
                <w:tcPr>
                  <w:tcW w:w="1276" w:type="dxa"/>
                  <w:shd w:val="clear" w:color="auto" w:fill="auto"/>
                  <w:vAlign w:val="center"/>
                </w:tcPr>
                <w:p w14:paraId="0AE6A8C3" w14:textId="77777777" w:rsidR="00C27D3F" w:rsidRPr="009841AB" w:rsidRDefault="00C27D3F" w:rsidP="00C27D3F">
                  <w:pPr>
                    <w:jc w:val="center"/>
                  </w:pPr>
                  <w:r w:rsidRPr="009841AB">
                    <w:t>Beigu termiņš </w:t>
                  </w:r>
                </w:p>
              </w:tc>
              <w:tc>
                <w:tcPr>
                  <w:tcW w:w="1130" w:type="dxa"/>
                  <w:shd w:val="clear" w:color="auto" w:fill="auto"/>
                  <w:vAlign w:val="center"/>
                </w:tcPr>
                <w:p w14:paraId="4DE4F5AA" w14:textId="77777777" w:rsidR="00C27D3F" w:rsidRPr="009841AB" w:rsidRDefault="00C27D3F" w:rsidP="00C27D3F">
                  <w:pPr>
                    <w:jc w:val="center"/>
                  </w:pPr>
                  <w:r w:rsidRPr="009841AB">
                    <w:rPr>
                      <w:color w:val="000000" w:themeColor="text1"/>
                    </w:rPr>
                    <w:t>Atbildīgais </w:t>
                  </w:r>
                </w:p>
              </w:tc>
              <w:tc>
                <w:tcPr>
                  <w:tcW w:w="1571" w:type="dxa"/>
                  <w:shd w:val="clear" w:color="auto" w:fill="auto"/>
                  <w:vAlign w:val="center"/>
                </w:tcPr>
                <w:p w14:paraId="63B156C5" w14:textId="77777777" w:rsidR="00C27D3F" w:rsidRPr="009841AB" w:rsidRDefault="00C27D3F" w:rsidP="00C27D3F">
                  <w:pPr>
                    <w:jc w:val="center"/>
                  </w:pPr>
                  <w:r w:rsidRPr="009841AB">
                    <w:rPr>
                      <w:color w:val="000000" w:themeColor="text1"/>
                    </w:rPr>
                    <w:t>Līdzatbildīgie </w:t>
                  </w:r>
                </w:p>
              </w:tc>
            </w:tr>
            <w:tr w:rsidR="00C27D3F" w:rsidRPr="009841AB" w14:paraId="38B578F4" w14:textId="77777777" w:rsidTr="00C76577">
              <w:tc>
                <w:tcPr>
                  <w:tcW w:w="1520" w:type="dxa"/>
                  <w:shd w:val="clear" w:color="auto" w:fill="auto"/>
                  <w:vAlign w:val="center"/>
                </w:tcPr>
                <w:p w14:paraId="20A5ECD6" w14:textId="77777777" w:rsidR="00C27D3F" w:rsidRPr="009841AB" w:rsidRDefault="00C27D3F" w:rsidP="00C27D3F">
                  <w:pPr>
                    <w:spacing w:line="256" w:lineRule="auto"/>
                    <w:jc w:val="both"/>
                    <w:rPr>
                      <w:color w:val="000000" w:themeColor="text1"/>
                    </w:rPr>
                  </w:pPr>
                  <w:r w:rsidRPr="009841AB">
                    <w:rPr>
                      <w:color w:val="000000" w:themeColor="text1"/>
                    </w:rPr>
                    <w:t>4.4.9.5.-1</w:t>
                  </w:r>
                </w:p>
                <w:p w14:paraId="187B8079" w14:textId="77777777" w:rsidR="00C27D3F" w:rsidRPr="009841AB" w:rsidRDefault="00C27D3F" w:rsidP="00C27D3F">
                  <w:pPr>
                    <w:jc w:val="both"/>
                    <w:rPr>
                      <w:b/>
                    </w:rPr>
                  </w:pPr>
                </w:p>
              </w:tc>
              <w:tc>
                <w:tcPr>
                  <w:tcW w:w="2024" w:type="dxa"/>
                  <w:shd w:val="clear" w:color="auto" w:fill="auto"/>
                  <w:vAlign w:val="center"/>
                </w:tcPr>
                <w:p w14:paraId="54FC544F" w14:textId="77777777" w:rsidR="00C27D3F" w:rsidRPr="009841AB" w:rsidRDefault="00C27D3F" w:rsidP="00C27D3F">
                  <w:pPr>
                    <w:rPr>
                      <w:b/>
                    </w:rPr>
                  </w:pPr>
                  <w:r w:rsidRPr="009841AB">
                    <w:rPr>
                      <w:b/>
                    </w:rPr>
                    <w:t>Valsts pārvaldes inovācijas ekosistēmas ietvara izstrāde </w:t>
                  </w:r>
                </w:p>
              </w:tc>
              <w:tc>
                <w:tcPr>
                  <w:tcW w:w="1134" w:type="dxa"/>
                  <w:shd w:val="clear" w:color="auto" w:fill="auto"/>
                  <w:vAlign w:val="center"/>
                </w:tcPr>
                <w:p w14:paraId="6F3B36EF" w14:textId="77777777" w:rsidR="00C27D3F" w:rsidRPr="009841AB" w:rsidRDefault="00C27D3F" w:rsidP="00C27D3F">
                  <w:pPr>
                    <w:jc w:val="center"/>
                    <w:rPr>
                      <w:b/>
                    </w:rPr>
                  </w:pPr>
                  <w:r w:rsidRPr="009841AB">
                    <w:rPr>
                      <w:b/>
                    </w:rPr>
                    <w:t>2021</w:t>
                  </w:r>
                </w:p>
              </w:tc>
              <w:tc>
                <w:tcPr>
                  <w:tcW w:w="1276" w:type="dxa"/>
                  <w:shd w:val="clear" w:color="auto" w:fill="auto"/>
                  <w:vAlign w:val="center"/>
                </w:tcPr>
                <w:p w14:paraId="4DB75FAA" w14:textId="77777777" w:rsidR="00C27D3F" w:rsidRPr="009841AB" w:rsidRDefault="00C27D3F" w:rsidP="00C27D3F">
                  <w:pPr>
                    <w:jc w:val="center"/>
                    <w:rPr>
                      <w:b/>
                    </w:rPr>
                  </w:pPr>
                  <w:r w:rsidRPr="009841AB">
                    <w:rPr>
                      <w:b/>
                    </w:rPr>
                    <w:t>2027</w:t>
                  </w:r>
                </w:p>
              </w:tc>
              <w:tc>
                <w:tcPr>
                  <w:tcW w:w="1130" w:type="dxa"/>
                  <w:shd w:val="clear" w:color="auto" w:fill="auto"/>
                  <w:vAlign w:val="center"/>
                </w:tcPr>
                <w:p w14:paraId="0EDDEBE1" w14:textId="77777777" w:rsidR="00C27D3F" w:rsidRPr="009841AB" w:rsidRDefault="00C27D3F" w:rsidP="00C27D3F">
                  <w:pPr>
                    <w:jc w:val="center"/>
                    <w:rPr>
                      <w:b/>
                    </w:rPr>
                  </w:pPr>
                  <w:r w:rsidRPr="009841AB">
                    <w:rPr>
                      <w:b/>
                    </w:rPr>
                    <w:t>VK</w:t>
                  </w:r>
                </w:p>
              </w:tc>
              <w:tc>
                <w:tcPr>
                  <w:tcW w:w="1571" w:type="dxa"/>
                  <w:shd w:val="clear" w:color="auto" w:fill="auto"/>
                  <w:vAlign w:val="center"/>
                </w:tcPr>
                <w:p w14:paraId="72AED886" w14:textId="77777777" w:rsidR="00C27D3F" w:rsidRPr="009841AB" w:rsidRDefault="00C27D3F" w:rsidP="00C27D3F">
                  <w:pPr>
                    <w:jc w:val="center"/>
                    <w:rPr>
                      <w:b/>
                    </w:rPr>
                  </w:pPr>
                  <w:r w:rsidRPr="009841AB">
                    <w:rPr>
                      <w:b/>
                    </w:rPr>
                    <w:t>Visas ministrijas </w:t>
                  </w:r>
                </w:p>
              </w:tc>
            </w:tr>
            <w:tr w:rsidR="00C27D3F" w:rsidRPr="009841AB" w14:paraId="03A66057" w14:textId="77777777" w:rsidTr="00C76577">
              <w:trPr>
                <w:trHeight w:val="1470"/>
              </w:trPr>
              <w:tc>
                <w:tcPr>
                  <w:tcW w:w="1520" w:type="dxa"/>
                  <w:shd w:val="clear" w:color="auto" w:fill="auto"/>
                  <w:vAlign w:val="center"/>
                </w:tcPr>
                <w:p w14:paraId="24EDEE40" w14:textId="77777777" w:rsidR="00C27D3F" w:rsidRPr="009841AB" w:rsidRDefault="00C27D3F" w:rsidP="00C27D3F">
                  <w:pPr>
                    <w:jc w:val="both"/>
                    <w:rPr>
                      <w:color w:val="000000" w:themeColor="text1"/>
                    </w:rPr>
                  </w:pPr>
                  <w:r w:rsidRPr="009841AB">
                    <w:rPr>
                      <w:color w:val="000000" w:themeColor="text1"/>
                    </w:rPr>
                    <w:t>4.4.9.5.-2</w:t>
                  </w:r>
                </w:p>
              </w:tc>
              <w:tc>
                <w:tcPr>
                  <w:tcW w:w="2024" w:type="dxa"/>
                  <w:shd w:val="clear" w:color="auto" w:fill="auto"/>
                  <w:vAlign w:val="center"/>
                </w:tcPr>
                <w:p w14:paraId="56D9DD46" w14:textId="77777777" w:rsidR="00C27D3F" w:rsidRPr="009841AB" w:rsidRDefault="00C27D3F" w:rsidP="00C27D3F">
                  <w:pPr>
                    <w:rPr>
                      <w:b/>
                    </w:rPr>
                  </w:pPr>
                  <w:r w:rsidRPr="009841AB">
                    <w:rPr>
                      <w:b/>
                    </w:rPr>
                    <w:t>Valsts pārvaldes modernizācijas plāna izstrāde un ieviešana</w:t>
                  </w:r>
                </w:p>
              </w:tc>
              <w:tc>
                <w:tcPr>
                  <w:tcW w:w="1134" w:type="dxa"/>
                  <w:shd w:val="clear" w:color="auto" w:fill="auto"/>
                  <w:vAlign w:val="center"/>
                </w:tcPr>
                <w:p w14:paraId="7F0A9FF7" w14:textId="77777777" w:rsidR="00C27D3F" w:rsidRPr="009841AB" w:rsidRDefault="00C27D3F" w:rsidP="00C27D3F">
                  <w:pPr>
                    <w:jc w:val="center"/>
                    <w:rPr>
                      <w:b/>
                    </w:rPr>
                  </w:pPr>
                  <w:r w:rsidRPr="009841AB">
                    <w:rPr>
                      <w:b/>
                    </w:rPr>
                    <w:t>2021</w:t>
                  </w:r>
                </w:p>
              </w:tc>
              <w:tc>
                <w:tcPr>
                  <w:tcW w:w="1276" w:type="dxa"/>
                  <w:shd w:val="clear" w:color="auto" w:fill="auto"/>
                  <w:vAlign w:val="center"/>
                </w:tcPr>
                <w:p w14:paraId="55A7C941" w14:textId="77777777" w:rsidR="00C27D3F" w:rsidRPr="009841AB" w:rsidRDefault="00C27D3F" w:rsidP="00C27D3F">
                  <w:pPr>
                    <w:jc w:val="center"/>
                    <w:rPr>
                      <w:b/>
                    </w:rPr>
                  </w:pPr>
                  <w:r w:rsidRPr="009841AB">
                    <w:rPr>
                      <w:b/>
                    </w:rPr>
                    <w:t>2027</w:t>
                  </w:r>
                </w:p>
              </w:tc>
              <w:tc>
                <w:tcPr>
                  <w:tcW w:w="1130" w:type="dxa"/>
                  <w:shd w:val="clear" w:color="auto" w:fill="auto"/>
                  <w:vAlign w:val="center"/>
                </w:tcPr>
                <w:p w14:paraId="20E0ACA4" w14:textId="77777777" w:rsidR="00C27D3F" w:rsidRPr="009841AB" w:rsidRDefault="00C27D3F" w:rsidP="00C27D3F">
                  <w:pPr>
                    <w:jc w:val="center"/>
                    <w:rPr>
                      <w:b/>
                    </w:rPr>
                  </w:pPr>
                  <w:r w:rsidRPr="009841AB">
                    <w:rPr>
                      <w:b/>
                    </w:rPr>
                    <w:t>VK</w:t>
                  </w:r>
                </w:p>
              </w:tc>
              <w:tc>
                <w:tcPr>
                  <w:tcW w:w="1571" w:type="dxa"/>
                  <w:shd w:val="clear" w:color="auto" w:fill="auto"/>
                  <w:vAlign w:val="center"/>
                </w:tcPr>
                <w:p w14:paraId="664BC3E0" w14:textId="77777777" w:rsidR="00C27D3F" w:rsidRPr="009841AB" w:rsidRDefault="00C27D3F" w:rsidP="00C27D3F">
                  <w:pPr>
                    <w:jc w:val="center"/>
                    <w:rPr>
                      <w:b/>
                    </w:rPr>
                  </w:pPr>
                  <w:r w:rsidRPr="009841AB">
                    <w:rPr>
                      <w:b/>
                    </w:rPr>
                    <w:t>Visas ministrijas </w:t>
                  </w:r>
                </w:p>
              </w:tc>
            </w:tr>
            <w:bookmarkEnd w:id="5"/>
          </w:tbl>
          <w:p w14:paraId="20CA95AA" w14:textId="77777777" w:rsidR="00C27D3F" w:rsidRPr="009841AB" w:rsidRDefault="00C27D3F" w:rsidP="00C27D3F">
            <w:pPr>
              <w:pStyle w:val="naisc"/>
              <w:spacing w:before="0" w:after="0"/>
              <w:jc w:val="both"/>
            </w:pPr>
          </w:p>
        </w:tc>
      </w:tr>
      <w:tr w:rsidR="003E3135" w:rsidRPr="009841AB" w14:paraId="717B8B9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1527030" w14:textId="77777777" w:rsidR="003E3135" w:rsidRPr="009841AB" w:rsidRDefault="003E3135" w:rsidP="003E3135">
            <w:pPr>
              <w:pStyle w:val="naisc"/>
              <w:spacing w:before="0" w:after="0"/>
            </w:pPr>
            <w:r w:rsidRPr="009841AB">
              <w:t>3</w:t>
            </w:r>
            <w:r w:rsidR="009D44C8">
              <w:t>84</w:t>
            </w:r>
          </w:p>
        </w:tc>
        <w:tc>
          <w:tcPr>
            <w:tcW w:w="2427" w:type="dxa"/>
            <w:tcBorders>
              <w:left w:val="single" w:sz="6" w:space="0" w:color="000000" w:themeColor="text1"/>
              <w:bottom w:val="single" w:sz="4" w:space="0" w:color="auto"/>
            </w:tcBorders>
            <w:shd w:val="clear" w:color="auto" w:fill="auto"/>
          </w:tcPr>
          <w:p w14:paraId="72A6B0EF" w14:textId="77777777" w:rsidR="003E3135" w:rsidRPr="009841AB" w:rsidRDefault="003E3135" w:rsidP="003E3135">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FDEB64F" w14:textId="77777777" w:rsidR="003E3135" w:rsidRPr="009841AB" w:rsidRDefault="003E3135" w:rsidP="003E3135">
            <w:pPr>
              <w:widowControl w:val="0"/>
              <w:spacing w:before="120" w:after="120"/>
              <w:jc w:val="both"/>
              <w:outlineLvl w:val="3"/>
            </w:pPr>
            <w:r w:rsidRPr="009841AB">
              <w:t xml:space="preserve">16. Lūdzam 4.4.9.6. rīcības </w:t>
            </w:r>
            <w:proofErr w:type="spellStart"/>
            <w:r w:rsidRPr="009841AB">
              <w:t>apakšvirziena</w:t>
            </w:r>
            <w:proofErr w:type="spellEnd"/>
            <w:r w:rsidRPr="009841AB">
              <w:t xml:space="preserve"> “Sabiedrības informēšana un iesaiste, izmantojot digitālās vides iespējas”</w:t>
            </w:r>
            <w:r w:rsidRPr="009841AB">
              <w:rPr>
                <w:b/>
                <w:color w:val="C00000"/>
              </w:rPr>
              <w:t xml:space="preserve"> </w:t>
            </w:r>
            <w:r w:rsidRPr="009841AB">
              <w:t xml:space="preserve">aprakstā iekļaut sasaisti ar sabiedrības līdzdalības iespējām pašvaldībās, kas ir Vides aizsardzības un reģionālās attīstības ministrijas kompetencē. Sabiedrības pārstāvju līdzdalības iespēju attīstīšana un nodrošināšana vietējo pašvaldību līmenī ir tikpat aktuāla kā nacionālā līmenī. </w:t>
            </w:r>
          </w:p>
        </w:tc>
        <w:tc>
          <w:tcPr>
            <w:tcW w:w="2480" w:type="dxa"/>
            <w:tcBorders>
              <w:left w:val="single" w:sz="6" w:space="0" w:color="000000" w:themeColor="text1"/>
              <w:bottom w:val="single" w:sz="4" w:space="0" w:color="auto"/>
            </w:tcBorders>
            <w:shd w:val="clear" w:color="auto" w:fill="auto"/>
          </w:tcPr>
          <w:p w14:paraId="1E04EDB6" w14:textId="77777777" w:rsidR="003E3135" w:rsidRPr="009841AB" w:rsidRDefault="003E3135" w:rsidP="003E3135">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3E202015" w14:textId="77777777" w:rsidR="003E3135" w:rsidRPr="009841AB" w:rsidRDefault="003E3135" w:rsidP="003E3135">
            <w:pPr>
              <w:pStyle w:val="naisc"/>
              <w:spacing w:before="0" w:after="0"/>
              <w:jc w:val="left"/>
            </w:pPr>
            <w:r w:rsidRPr="009841AB">
              <w:t xml:space="preserve">Lūdzam skatīt </w:t>
            </w:r>
            <w:proofErr w:type="spellStart"/>
            <w:r w:rsidRPr="009841AB">
              <w:t>apakšsadaļu</w:t>
            </w:r>
            <w:proofErr w:type="spellEnd"/>
            <w:r w:rsidRPr="009841AB">
              <w:t xml:space="preserve"> 4.4.9.6.</w:t>
            </w:r>
          </w:p>
        </w:tc>
      </w:tr>
      <w:tr w:rsidR="00C27D3F" w:rsidRPr="009841AB" w14:paraId="58769AE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BA7D28A" w14:textId="77777777" w:rsidR="00C27D3F" w:rsidRPr="009841AB" w:rsidRDefault="00C27D3F" w:rsidP="00C27D3F">
            <w:pPr>
              <w:pStyle w:val="naisc"/>
              <w:spacing w:before="0" w:after="0"/>
            </w:pPr>
            <w:r w:rsidRPr="009841AB">
              <w:t>3</w:t>
            </w:r>
            <w:r w:rsidR="009D44C8">
              <w:t>85</w:t>
            </w:r>
          </w:p>
        </w:tc>
        <w:tc>
          <w:tcPr>
            <w:tcW w:w="2427" w:type="dxa"/>
            <w:tcBorders>
              <w:left w:val="single" w:sz="6" w:space="0" w:color="000000" w:themeColor="text1"/>
              <w:bottom w:val="single" w:sz="4" w:space="0" w:color="auto"/>
            </w:tcBorders>
            <w:shd w:val="clear" w:color="auto" w:fill="auto"/>
          </w:tcPr>
          <w:p w14:paraId="6044BD24"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818F315" w14:textId="77777777" w:rsidR="00C27D3F" w:rsidRPr="009841AB" w:rsidRDefault="00C27D3F" w:rsidP="00C27D3F">
            <w:pPr>
              <w:widowControl w:val="0"/>
              <w:ind w:right="126"/>
              <w:jc w:val="both"/>
              <w:rPr>
                <w:color w:val="212121"/>
              </w:rPr>
            </w:pPr>
            <w:r w:rsidRPr="009841AB">
              <w:rPr>
                <w:iCs/>
              </w:rPr>
              <w:t xml:space="preserve">17. Ņemot vērā, ka pašlaik Valsts kancelejas vēl strādā pie uzdevumiem, kas jāparedz </w:t>
            </w:r>
            <w:r w:rsidRPr="009841AB">
              <w:rPr>
                <w:rStyle w:val="normaltextrun"/>
                <w:iCs/>
                <w:shd w:val="clear" w:color="auto" w:fill="FFFFFF"/>
              </w:rPr>
              <w:t>4.4.9.6. Rīcības </w:t>
            </w:r>
            <w:proofErr w:type="spellStart"/>
            <w:r w:rsidRPr="009841AB">
              <w:rPr>
                <w:rStyle w:val="spellingerror"/>
                <w:iCs/>
                <w:shd w:val="clear" w:color="auto" w:fill="FFFFFF"/>
              </w:rPr>
              <w:t>apakšvirziena</w:t>
            </w:r>
            <w:proofErr w:type="spellEnd"/>
            <w:r w:rsidRPr="009841AB">
              <w:rPr>
                <w:rStyle w:val="normaltextrun"/>
                <w:iCs/>
                <w:shd w:val="clear" w:color="auto" w:fill="FFFFFF"/>
              </w:rPr>
              <w:t xml:space="preserve"> “Sabiedrības informēšana un iesaiste, izmantojot digitālās vides iespējas”</w:t>
            </w:r>
            <w:r w:rsidRPr="009841AB">
              <w:rPr>
                <w:rStyle w:val="eop"/>
                <w:iCs/>
                <w:shd w:val="clear" w:color="auto" w:fill="FFFFFF"/>
              </w:rPr>
              <w:t xml:space="preserve"> īstenošanai, informējam, ka precīza uzdevumu </w:t>
            </w:r>
            <w:r w:rsidRPr="009841AB">
              <w:t>U4.4.9.6.-1 un U4.4.9.6.-2</w:t>
            </w:r>
            <w:r w:rsidRPr="009841AB">
              <w:rPr>
                <w:rStyle w:val="eop"/>
                <w:iCs/>
                <w:shd w:val="clear" w:color="auto" w:fill="FFFFFF"/>
              </w:rPr>
              <w:t xml:space="preserve"> redakcija tiks iesniegta vēlāk pamatnostādņu saskaņošanas laikā.</w:t>
            </w:r>
          </w:p>
        </w:tc>
        <w:tc>
          <w:tcPr>
            <w:tcW w:w="2480" w:type="dxa"/>
            <w:tcBorders>
              <w:left w:val="single" w:sz="6" w:space="0" w:color="000000" w:themeColor="text1"/>
              <w:bottom w:val="single" w:sz="4" w:space="0" w:color="auto"/>
            </w:tcBorders>
            <w:shd w:val="clear" w:color="auto" w:fill="auto"/>
          </w:tcPr>
          <w:p w14:paraId="0961F2A4" w14:textId="77777777" w:rsidR="002069BB" w:rsidRPr="009841AB" w:rsidRDefault="002069BB" w:rsidP="002069BB">
            <w:pPr>
              <w:pStyle w:val="naisc"/>
              <w:jc w:val="left"/>
              <w:rPr>
                <w:b/>
                <w:bCs/>
                <w:color w:val="000000"/>
                <w:shd w:val="clear" w:color="auto" w:fill="FFFFFF"/>
              </w:rPr>
            </w:pPr>
            <w:r>
              <w:rPr>
                <w:b/>
                <w:bCs/>
                <w:color w:val="000000"/>
                <w:shd w:val="clear" w:color="auto" w:fill="FFFFFF"/>
              </w:rPr>
              <w:t>Panākta vienošanās</w:t>
            </w:r>
          </w:p>
          <w:p w14:paraId="22EBC519" w14:textId="77777777" w:rsidR="003E3135" w:rsidRPr="009841AB" w:rsidRDefault="003E3135" w:rsidP="00C27D3F">
            <w:pPr>
              <w:pStyle w:val="naisc"/>
              <w:spacing w:before="0" w:after="0"/>
              <w:jc w:val="left"/>
            </w:pPr>
            <w:r w:rsidRPr="009841AB">
              <w:t>Neesam saņēmuši papildus informāciju</w:t>
            </w:r>
          </w:p>
        </w:tc>
        <w:tc>
          <w:tcPr>
            <w:tcW w:w="3497" w:type="dxa"/>
            <w:tcBorders>
              <w:left w:val="single" w:sz="6" w:space="0" w:color="000000" w:themeColor="text1"/>
              <w:bottom w:val="single" w:sz="4" w:space="0" w:color="auto"/>
            </w:tcBorders>
            <w:shd w:val="clear" w:color="auto" w:fill="auto"/>
          </w:tcPr>
          <w:p w14:paraId="49F50967" w14:textId="77777777" w:rsidR="00C27D3F" w:rsidRPr="009841AB" w:rsidRDefault="00C27D3F" w:rsidP="00C27D3F">
            <w:pPr>
              <w:pStyle w:val="naisc"/>
              <w:spacing w:before="0" w:after="0"/>
              <w:jc w:val="both"/>
            </w:pPr>
          </w:p>
        </w:tc>
      </w:tr>
      <w:tr w:rsidR="00C27D3F" w:rsidRPr="009841AB" w14:paraId="0BAAE038"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592215CB" w14:textId="77777777" w:rsidR="00C27D3F" w:rsidRPr="009841AB" w:rsidRDefault="00C27D3F" w:rsidP="00C27D3F">
            <w:pPr>
              <w:tabs>
                <w:tab w:val="left" w:pos="720"/>
              </w:tabs>
              <w:contextualSpacing/>
              <w:jc w:val="both"/>
              <w:rPr>
                <w:b/>
                <w:bCs/>
                <w:lang w:eastAsia="en-US"/>
              </w:rPr>
            </w:pPr>
            <w:r w:rsidRPr="009841AB">
              <w:rPr>
                <w:b/>
                <w:bCs/>
                <w:lang w:eastAsia="en-US"/>
              </w:rPr>
              <w:t>Tieslietu ministrijas 05.02.2021. atzinums:</w:t>
            </w:r>
          </w:p>
        </w:tc>
      </w:tr>
      <w:tr w:rsidR="00C27D3F" w:rsidRPr="009841AB" w14:paraId="70E8F73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5688528" w14:textId="77777777" w:rsidR="00C27D3F" w:rsidRPr="009841AB" w:rsidRDefault="00C27D3F" w:rsidP="00C27D3F">
            <w:pPr>
              <w:pStyle w:val="naisc"/>
              <w:spacing w:before="0" w:after="0"/>
            </w:pPr>
            <w:r w:rsidRPr="009841AB">
              <w:t>3</w:t>
            </w:r>
            <w:r w:rsidR="009D44C8">
              <w:t>86</w:t>
            </w:r>
          </w:p>
        </w:tc>
        <w:tc>
          <w:tcPr>
            <w:tcW w:w="2427" w:type="dxa"/>
            <w:tcBorders>
              <w:left w:val="single" w:sz="6" w:space="0" w:color="000000" w:themeColor="text1"/>
              <w:bottom w:val="single" w:sz="4" w:space="0" w:color="auto"/>
            </w:tcBorders>
            <w:shd w:val="clear" w:color="auto" w:fill="auto"/>
          </w:tcPr>
          <w:p w14:paraId="05C92DF2"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1F44B4C" w14:textId="77777777" w:rsidR="00C27D3F" w:rsidRPr="009841AB" w:rsidRDefault="00C27D3F" w:rsidP="00C27D3F">
            <w:pPr>
              <w:ind w:right="12"/>
              <w:jc w:val="both"/>
            </w:pPr>
            <w:r w:rsidRPr="009841AB">
              <w:t xml:space="preserve">1. Pamatnostādņu projekta 4.4.1. Rīcības virziena “Pakalpojumu platformas” sadaļā "Esošās situācijas apraksts" (86.lp.) norādīts, ka "[..]Lai nodrošinātu nācijas visaptverošu un iekļaujošu attīstību un digitālo </w:t>
            </w:r>
            <w:r w:rsidRPr="009841AB">
              <w:lastRenderedPageBreak/>
              <w:t xml:space="preserve">transformāciju ir stratēģiski svarīga visu sabiedrības pušu sadarbība, integrācija un savstarpēja spēju izmantošana. Valsts pārvaldei tajā ir izšķiroša loma, jo jau tagad valsts nodrošina būtiskākās platformas sabiedrisko un ekonomisko procesu funkcionēšanai (finanšu sistēma, veselības aprūpe, izglītības procesi, personu uzticama identifikācija digitālā vidē, </w:t>
            </w:r>
            <w:proofErr w:type="spellStart"/>
            <w:r w:rsidRPr="009841AB">
              <w:t>u.tml</w:t>
            </w:r>
            <w:proofErr w:type="spellEnd"/>
            <w:r w:rsidRPr="009841AB">
              <w:t>). Papildus tam, valsts rīcībā ir būtiski datu (personu un ne-personu) resursi kas tiek izmantoti kā pakalpojumu sniegšanai, tā politikas plānošanai.” Lai neradītu dažādas interpretācijas iespējas, ierosinām pamatnostādņu projektā nelietot terminu "ne-personu dati", aizstājot to ar Datu regulā lietoto terminu – dati, kas nav personas dati. Vēršam uzmanību, ka attiecībā uz to, ka “valsts nodrošina būtiskākās platformas sabiedrisko un ekonomisko procesu funkcionēšanai" kontekstā arī ar jaunu platformu uzsākšanu (atvēršanu), vienlaikus ir jānodrošina, ka netiek mazināta ierobežotas pieejamības informācijas, tostarp, personas datu aizsardzība. Ievērojot minēto, lūdzam pamatnostādņu projektu atbilstoši papildināt.</w:t>
            </w:r>
          </w:p>
        </w:tc>
        <w:tc>
          <w:tcPr>
            <w:tcW w:w="2480" w:type="dxa"/>
            <w:tcBorders>
              <w:left w:val="single" w:sz="6" w:space="0" w:color="000000" w:themeColor="text1"/>
              <w:bottom w:val="single" w:sz="4" w:space="0" w:color="auto"/>
            </w:tcBorders>
            <w:shd w:val="clear" w:color="auto" w:fill="auto"/>
          </w:tcPr>
          <w:p w14:paraId="63F966CB" w14:textId="77777777" w:rsidR="00C27D3F" w:rsidRPr="009841AB" w:rsidRDefault="00C27D3F" w:rsidP="00C27D3F">
            <w:pPr>
              <w:pStyle w:val="naisc"/>
              <w:spacing w:before="0" w:after="0"/>
              <w:jc w:val="left"/>
              <w:rPr>
                <w:b/>
                <w:bCs/>
              </w:rPr>
            </w:pPr>
            <w:r w:rsidRPr="009841AB">
              <w:rPr>
                <w:b/>
                <w:bCs/>
              </w:rPr>
              <w:lastRenderedPageBreak/>
              <w:t>Ņemts vērā</w:t>
            </w:r>
          </w:p>
          <w:p w14:paraId="71E95ED2" w14:textId="77777777" w:rsidR="00C27D3F" w:rsidRPr="009841AB" w:rsidRDefault="00C27D3F" w:rsidP="00C27D3F">
            <w:pPr>
              <w:pStyle w:val="naisc"/>
              <w:spacing w:before="0" w:after="0"/>
              <w:jc w:val="left"/>
            </w:pPr>
            <w:r w:rsidRPr="009841AB">
              <w:t xml:space="preserve">Esošās situācijas apraksts papildināts, atbilstoši TM </w:t>
            </w:r>
            <w:r w:rsidRPr="009841AB">
              <w:lastRenderedPageBreak/>
              <w:t>priekšlikumam. Vienlaikus norādām, ka sadaļā Nepieciešamā rīcība jau iekļautas atsauces uz personas datu aizsardzību.</w:t>
            </w:r>
          </w:p>
        </w:tc>
        <w:tc>
          <w:tcPr>
            <w:tcW w:w="3497" w:type="dxa"/>
            <w:tcBorders>
              <w:left w:val="single" w:sz="6" w:space="0" w:color="000000" w:themeColor="text1"/>
              <w:bottom w:val="single" w:sz="4" w:space="0" w:color="auto"/>
            </w:tcBorders>
            <w:shd w:val="clear" w:color="auto" w:fill="auto"/>
          </w:tcPr>
          <w:p w14:paraId="20E79FC4" w14:textId="77777777" w:rsidR="00C27D3F" w:rsidRPr="009841AB" w:rsidRDefault="00C27D3F" w:rsidP="00C27D3F">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4.4.1.</w:t>
            </w:r>
          </w:p>
        </w:tc>
      </w:tr>
      <w:tr w:rsidR="00C27D3F" w:rsidRPr="009841AB" w14:paraId="5C49ECD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4620BF2" w14:textId="77777777" w:rsidR="00C27D3F" w:rsidRPr="009841AB" w:rsidRDefault="00C27D3F" w:rsidP="00C27D3F">
            <w:pPr>
              <w:pStyle w:val="naisc"/>
              <w:spacing w:before="0" w:after="0"/>
            </w:pPr>
            <w:r w:rsidRPr="009841AB">
              <w:t>3</w:t>
            </w:r>
            <w:r w:rsidR="009D44C8">
              <w:t>87</w:t>
            </w:r>
          </w:p>
        </w:tc>
        <w:tc>
          <w:tcPr>
            <w:tcW w:w="2427" w:type="dxa"/>
            <w:tcBorders>
              <w:left w:val="single" w:sz="6" w:space="0" w:color="000000" w:themeColor="text1"/>
              <w:bottom w:val="single" w:sz="4" w:space="0" w:color="auto"/>
            </w:tcBorders>
            <w:shd w:val="clear" w:color="auto" w:fill="auto"/>
          </w:tcPr>
          <w:p w14:paraId="307117A9"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DA57293" w14:textId="77777777" w:rsidR="00C27D3F" w:rsidRPr="009841AB" w:rsidRDefault="00C27D3F" w:rsidP="00C27D3F">
            <w:pPr>
              <w:ind w:right="12"/>
              <w:jc w:val="both"/>
            </w:pPr>
            <w:r w:rsidRPr="009841AB">
              <w:t xml:space="preserve">2. Pamatnostādņu projekta 4.4.1. Rīcības virziena “Pakalpojumu platformas" sadaļā "Esošās situācijas apraksts" (89.lp.) pirmajā rindkopā norādīts, ka "[..] Kā piemēram, pārvaldības līmenī ir jānodrošina iespējas uz vienlīdzīgām iespējām tirgū darboties vairākiem pakalpojumu sniedzējiem, savukārt no iedzīvotāju tiesību pārstāvības viedokļa ir būtiski nodrošināt, ka šādās cieši saistītās privātās platformās uzkrātie dati ir atgriezeniski pieejami arī valsts pārvaldei - politikas plānošanai un pārvaldībai, kā arī tiek nodrošināta personas datu pārnesamība – iespēju mainīt pakalpojumu sniedzējus nezaudējot savus datus, </w:t>
            </w:r>
            <w:proofErr w:type="spellStart"/>
            <w:r w:rsidRPr="009841AB">
              <w:t>u.tml</w:t>
            </w:r>
            <w:proofErr w:type="spellEnd"/>
            <w:r w:rsidRPr="009841AB">
              <w:t xml:space="preserve"> ". Attiecībā uz minēto personas datu pārnesamību, lūdzam precizēt, ka personas datu </w:t>
            </w:r>
            <w:r w:rsidRPr="009841AB">
              <w:lastRenderedPageBreak/>
              <w:t xml:space="preserve">pārnesamība ir iespējama, tikai pastāvot attiecīgam tiesiskajam pamatam. Attiecībā uz rindkopā lietoto "un tamlīdzīgi" ("u.tml.") saīsinājumu, lūdzam precizēt, kas ar to ir domāts, konkrēti norādot, kādas datu pārnesamības iespējas bez minētajām vēl ir iespējamas. </w:t>
            </w:r>
          </w:p>
          <w:p w14:paraId="4F297CD8" w14:textId="77777777" w:rsidR="00C27D3F" w:rsidRPr="009841AB" w:rsidRDefault="00C27D3F" w:rsidP="00C27D3F">
            <w:pPr>
              <w:ind w:right="12"/>
              <w:jc w:val="both"/>
            </w:pPr>
            <w:r w:rsidRPr="009841AB">
              <w:t xml:space="preserve">Vienlaikus piedāvājām šādu redakciju: "[..] Kā piemēram, pārvaldības līmenī ir jānodrošina iespējas uz vienlīdzīgām iespējām tirgū darboties vairākiem pakalpojumu sniedzējiem, savukārt no iedzīvotāju tiesību pārstāvības viedokļa ir būtiski nodrošināt, ka šādās cieši saistītās privātās platformās uzkrātie dati ir atgriezeniski pieejami arī valsts pārvaldei - politikas plānošanai un pārvaldībai, kā arī, pastāvot attiecīgajam tiesiskajam pamatam, tiek nodrošināta personas datu pārnesamība – iespēju mainīt pakalpojumu sniedzējus nezaudējot savus datus, </w:t>
            </w:r>
            <w:proofErr w:type="spellStart"/>
            <w:r w:rsidRPr="009841AB">
              <w:t>u.tml</w:t>
            </w:r>
            <w:proofErr w:type="spellEnd"/>
            <w:r w:rsidRPr="009841AB">
              <w:t xml:space="preserve"> ".</w:t>
            </w:r>
          </w:p>
        </w:tc>
        <w:tc>
          <w:tcPr>
            <w:tcW w:w="2480" w:type="dxa"/>
            <w:tcBorders>
              <w:left w:val="single" w:sz="6" w:space="0" w:color="000000" w:themeColor="text1"/>
              <w:bottom w:val="single" w:sz="4" w:space="0" w:color="auto"/>
            </w:tcBorders>
            <w:shd w:val="clear" w:color="auto" w:fill="auto"/>
          </w:tcPr>
          <w:p w14:paraId="05A745A9" w14:textId="77777777" w:rsidR="00C27D3F" w:rsidRPr="009841AB" w:rsidRDefault="00C27D3F" w:rsidP="00C27D3F">
            <w:pPr>
              <w:pStyle w:val="naisc"/>
              <w:spacing w:before="0" w:after="0"/>
              <w:jc w:val="left"/>
              <w:rPr>
                <w:b/>
                <w:bCs/>
              </w:rPr>
            </w:pPr>
            <w:r w:rsidRPr="009841AB">
              <w:rPr>
                <w:b/>
                <w:bCs/>
              </w:rPr>
              <w:lastRenderedPageBreak/>
              <w:t>Ņemts vērā</w:t>
            </w:r>
          </w:p>
          <w:p w14:paraId="7D281A0A" w14:textId="77777777" w:rsidR="00C27D3F" w:rsidRPr="009841AB" w:rsidRDefault="00C27D3F" w:rsidP="00C27D3F">
            <w:pPr>
              <w:pStyle w:val="naisc"/>
              <w:spacing w:before="0" w:after="0"/>
              <w:jc w:val="left"/>
              <w:rPr>
                <w:b/>
                <w:bCs/>
              </w:rPr>
            </w:pPr>
            <w:r w:rsidRPr="009841AB">
              <w:t>Precizēts ar atsauci uz Datu regulu.</w:t>
            </w:r>
          </w:p>
        </w:tc>
        <w:tc>
          <w:tcPr>
            <w:tcW w:w="3497" w:type="dxa"/>
            <w:tcBorders>
              <w:left w:val="single" w:sz="6" w:space="0" w:color="000000" w:themeColor="text1"/>
              <w:bottom w:val="single" w:sz="4" w:space="0" w:color="auto"/>
            </w:tcBorders>
            <w:shd w:val="clear" w:color="auto" w:fill="auto"/>
          </w:tcPr>
          <w:p w14:paraId="067BF3F0" w14:textId="77777777" w:rsidR="00C27D3F" w:rsidRPr="009841AB" w:rsidRDefault="00C27D3F" w:rsidP="00C27D3F">
            <w:pPr>
              <w:pStyle w:val="naisc"/>
              <w:spacing w:before="0" w:after="0"/>
              <w:jc w:val="both"/>
            </w:pPr>
            <w:r w:rsidRPr="009841AB">
              <w:t xml:space="preserve">Lūdzam skatīt </w:t>
            </w:r>
            <w:proofErr w:type="spellStart"/>
            <w:r w:rsidRPr="009841AB">
              <w:t>apakšsadaļu</w:t>
            </w:r>
            <w:proofErr w:type="spellEnd"/>
            <w:r w:rsidRPr="009841AB">
              <w:t xml:space="preserve"> 4.4.1.</w:t>
            </w:r>
          </w:p>
        </w:tc>
      </w:tr>
      <w:tr w:rsidR="00C27D3F" w:rsidRPr="009841AB" w14:paraId="08A93B5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B10E0B6" w14:textId="77777777" w:rsidR="00C27D3F" w:rsidRPr="009841AB" w:rsidRDefault="00C27D3F" w:rsidP="00C27D3F">
            <w:pPr>
              <w:pStyle w:val="naisc"/>
              <w:spacing w:before="0" w:after="0"/>
            </w:pPr>
            <w:r w:rsidRPr="009841AB">
              <w:t>3</w:t>
            </w:r>
            <w:r w:rsidR="009D44C8">
              <w:t>88</w:t>
            </w:r>
          </w:p>
        </w:tc>
        <w:tc>
          <w:tcPr>
            <w:tcW w:w="2427" w:type="dxa"/>
            <w:tcBorders>
              <w:left w:val="single" w:sz="6" w:space="0" w:color="000000" w:themeColor="text1"/>
              <w:bottom w:val="single" w:sz="4" w:space="0" w:color="auto"/>
            </w:tcBorders>
            <w:shd w:val="clear" w:color="auto" w:fill="auto"/>
          </w:tcPr>
          <w:p w14:paraId="71895458"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C75B6F2" w14:textId="77777777" w:rsidR="00C27D3F" w:rsidRPr="009841AB" w:rsidRDefault="00C27D3F" w:rsidP="00C27D3F">
            <w:pPr>
              <w:ind w:right="12"/>
              <w:jc w:val="both"/>
            </w:pPr>
            <w:r w:rsidRPr="009841AB">
              <w:t xml:space="preserve">3. Pamatnostādņu projekta 4.4.1. Rīcības virziena “Pakalpojumu platformas" sadaļā "Nepieciešamā rīcība" 6.punktā, (91.lp.) norādīts, ka "Platformu vienotai valsts un pašvaldību piešķirto atvieglojumu un subsīdiju pārvaldībai (AVIS). Nodrošinās vienotu platformu atlaižu, atvieglojumu un subsīdiju pārvaldībai valsts un pašvaldību iestādēm, vienlaikus sniegs iespēju komersantiem integrēt savus risinājumus efektīvai subsidētu pakalpojumu (piemēram, sabiedriskā transporta, ēdināšanas skolās u.c. pakalpojumu sniegšanu ar diferencētām atlaidēm – subsīdijām dažādām sabiedrības grupām) administrēšanai, kā arī atbalstīs komersantu atlaižu (t.sk. lojalitātes programmu) risinājumus. Platformā iedzīvotājiem būs pieejama informācija par visiem personai pieejamajiem un sniegtajiem pakalpojumiem/atvieglojumiem." Attiecībā uz minēto lūdzam precizēt, ka, nodrošinot vienotu platformu </w:t>
            </w:r>
            <w:r w:rsidRPr="009841AB">
              <w:lastRenderedPageBreak/>
              <w:t>atlaižu, atvieglojumu un subsīdiju pārvaldībai, vienlaikus ir jāatrod saprātīgs līdzsvars starp datu pieejamību un personas datu aizsardzību.  Proti, piekļuve datiem nedrīkstētu notikt, ja tādējādi būtiski tiek ierobežotas personas tiesības uz savu personas datu aizsardzību.</w:t>
            </w:r>
          </w:p>
        </w:tc>
        <w:tc>
          <w:tcPr>
            <w:tcW w:w="2480" w:type="dxa"/>
            <w:tcBorders>
              <w:left w:val="single" w:sz="6" w:space="0" w:color="000000" w:themeColor="text1"/>
              <w:bottom w:val="single" w:sz="4" w:space="0" w:color="auto"/>
            </w:tcBorders>
            <w:shd w:val="clear" w:color="auto" w:fill="auto"/>
          </w:tcPr>
          <w:p w14:paraId="0AF828E0" w14:textId="77777777" w:rsidR="00C27D3F" w:rsidRPr="00D264F6" w:rsidRDefault="00C27D3F" w:rsidP="00C27D3F">
            <w:pPr>
              <w:pStyle w:val="naisc"/>
              <w:spacing w:before="0" w:after="0"/>
              <w:jc w:val="left"/>
              <w:rPr>
                <w:b/>
                <w:bCs/>
              </w:rPr>
            </w:pPr>
            <w:r w:rsidRPr="009841AB">
              <w:rPr>
                <w:b/>
                <w:bCs/>
              </w:rPr>
              <w:lastRenderedPageBreak/>
              <w:t>Ņemts vērā</w:t>
            </w:r>
          </w:p>
          <w:p w14:paraId="6D44CD5F" w14:textId="77777777" w:rsidR="00C27D3F" w:rsidRPr="009841AB" w:rsidRDefault="00C27D3F" w:rsidP="00C27D3F">
            <w:pPr>
              <w:pStyle w:val="naisc"/>
              <w:spacing w:before="0" w:after="0"/>
              <w:jc w:val="left"/>
              <w:rPr>
                <w:b/>
                <w:bCs/>
              </w:rPr>
            </w:pPr>
            <w:r w:rsidRPr="009841AB">
              <w:t>Platformas apraksts papildināts ar atsauci uz personas datu aizsardzību.</w:t>
            </w:r>
          </w:p>
        </w:tc>
        <w:tc>
          <w:tcPr>
            <w:tcW w:w="3497" w:type="dxa"/>
            <w:tcBorders>
              <w:left w:val="single" w:sz="6" w:space="0" w:color="000000" w:themeColor="text1"/>
              <w:bottom w:val="single" w:sz="4" w:space="0" w:color="auto"/>
            </w:tcBorders>
            <w:shd w:val="clear" w:color="auto" w:fill="auto"/>
          </w:tcPr>
          <w:p w14:paraId="0387B7F7" w14:textId="77777777" w:rsidR="00C27D3F" w:rsidRPr="009841AB" w:rsidRDefault="00C27D3F" w:rsidP="00C27D3F">
            <w:pPr>
              <w:pStyle w:val="naisc"/>
              <w:spacing w:before="0" w:after="0"/>
              <w:jc w:val="both"/>
            </w:pPr>
            <w:r w:rsidRPr="009841AB">
              <w:t xml:space="preserve">Lūdzam skatīt </w:t>
            </w:r>
            <w:proofErr w:type="spellStart"/>
            <w:r w:rsidRPr="009841AB">
              <w:t>apakšsadaļu</w:t>
            </w:r>
            <w:proofErr w:type="spellEnd"/>
            <w:r w:rsidRPr="009841AB">
              <w:t xml:space="preserve"> 4.4.1. </w:t>
            </w:r>
          </w:p>
        </w:tc>
      </w:tr>
      <w:tr w:rsidR="00C27D3F" w:rsidRPr="009841AB" w14:paraId="1E82933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F569D25" w14:textId="77777777" w:rsidR="00C27D3F" w:rsidRPr="009841AB" w:rsidRDefault="00C27D3F" w:rsidP="00C27D3F">
            <w:pPr>
              <w:pStyle w:val="naisc"/>
              <w:spacing w:before="0" w:after="0"/>
            </w:pPr>
            <w:r w:rsidRPr="009841AB">
              <w:t>3</w:t>
            </w:r>
            <w:r w:rsidR="009D44C8">
              <w:t>89</w:t>
            </w:r>
          </w:p>
        </w:tc>
        <w:tc>
          <w:tcPr>
            <w:tcW w:w="2427" w:type="dxa"/>
            <w:tcBorders>
              <w:left w:val="single" w:sz="6" w:space="0" w:color="000000" w:themeColor="text1"/>
              <w:bottom w:val="single" w:sz="4" w:space="0" w:color="auto"/>
            </w:tcBorders>
            <w:shd w:val="clear" w:color="auto" w:fill="auto"/>
          </w:tcPr>
          <w:p w14:paraId="18D79027"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0C1D760" w14:textId="77777777" w:rsidR="00C27D3F" w:rsidRPr="009841AB" w:rsidRDefault="00C27D3F" w:rsidP="00C27D3F">
            <w:pPr>
              <w:ind w:right="12"/>
              <w:jc w:val="both"/>
            </w:pPr>
            <w:r w:rsidRPr="009841AB">
              <w:t xml:space="preserve">4. Pamatnostādņu projekta 4.4.1. Rīcības virziena “Pakalpojumu platformas” sadaļā "Nepieciešamā rīcība" 6.punktā, (92.lp.) otrajā rindkopā norādīts, ka "Datu pārvaldības platforma kalpos komersantu digitālo pakalpojumu un darba procesu </w:t>
            </w:r>
            <w:proofErr w:type="spellStart"/>
            <w:r w:rsidRPr="009841AB">
              <w:t>digitalizācijai</w:t>
            </w:r>
            <w:proofErr w:type="spellEnd"/>
            <w:r w:rsidRPr="009841AB">
              <w:t xml:space="preserve">, nodrošinot personu datu apstrādes atļauju efektīvu pārvaldību. Papildus tam, ka komersanti varēs izmantot platformu valsts pārvaldes rīcībā esošo datu iegūšanas atļauju saņemšanai no privātpersonām, tā būs izmantojama arī datu apstrādes atļauju pārvaldībai arī bez tiešas saistības ar valsts pārvaldes datiem. " Lūdzam precizēt otrajā rindkopā izmantoto terminoloģiju precizējot, kas ir saprotams ar "datu iegūšanas atļauju". </w:t>
            </w:r>
          </w:p>
          <w:p w14:paraId="477041FC" w14:textId="77777777" w:rsidR="00C27D3F" w:rsidRPr="009841AB" w:rsidRDefault="00C27D3F" w:rsidP="00C27D3F">
            <w:pPr>
              <w:ind w:right="12"/>
              <w:jc w:val="both"/>
            </w:pPr>
            <w:r w:rsidRPr="009841AB">
              <w:t>Tāpat lūdzam precizēt piekrišanas momentu, par cik to var veidot tad, ja persona piekrīt būt šādas platformas dalībnieks. Kā arī uzskatām, ka nepieciešams skaidrot Datu pārvaldības platformas mērķi, jo redakcija par šo platformu ir pārāk vispārīga un nekonkrēta, kā arī  nav skaidrs ne valsts, ne privāto partneru lomu sadalījums ar platformu saistītu datu apstrādē.</w:t>
            </w:r>
          </w:p>
        </w:tc>
        <w:tc>
          <w:tcPr>
            <w:tcW w:w="2480" w:type="dxa"/>
            <w:tcBorders>
              <w:left w:val="single" w:sz="6" w:space="0" w:color="000000" w:themeColor="text1"/>
              <w:bottom w:val="single" w:sz="4" w:space="0" w:color="auto"/>
            </w:tcBorders>
            <w:shd w:val="clear" w:color="auto" w:fill="auto"/>
          </w:tcPr>
          <w:p w14:paraId="38A03EA8" w14:textId="77777777" w:rsidR="00C27D3F" w:rsidRPr="009841AB" w:rsidRDefault="00C27D3F" w:rsidP="00C27D3F">
            <w:pPr>
              <w:pStyle w:val="naisc"/>
              <w:spacing w:before="0" w:after="0"/>
              <w:jc w:val="left"/>
              <w:rPr>
                <w:b/>
                <w:bCs/>
              </w:rPr>
            </w:pPr>
            <w:r w:rsidRPr="009841AB">
              <w:rPr>
                <w:b/>
                <w:bCs/>
              </w:rPr>
              <w:t>Ņemts vērā</w:t>
            </w:r>
          </w:p>
          <w:p w14:paraId="76909243" w14:textId="77777777" w:rsidR="00C27D3F" w:rsidRPr="009841AB" w:rsidRDefault="00C27D3F" w:rsidP="00C27D3F">
            <w:pPr>
              <w:pStyle w:val="naisc"/>
              <w:spacing w:before="0" w:after="0"/>
              <w:jc w:val="left"/>
              <w:rPr>
                <w:b/>
                <w:bCs/>
              </w:rPr>
            </w:pPr>
            <w:r w:rsidRPr="009841AB">
              <w:t>Punkts redakcionāli precizēts. Precizēts Datu pārvaldības platformas apraksts. Detalizēts platformas regulējums vēl taps, kur tiks arī atrunātas visu iesaistīto pušu tiesības un pienākumi.</w:t>
            </w:r>
          </w:p>
        </w:tc>
        <w:tc>
          <w:tcPr>
            <w:tcW w:w="3497" w:type="dxa"/>
            <w:tcBorders>
              <w:left w:val="single" w:sz="6" w:space="0" w:color="000000" w:themeColor="text1"/>
              <w:bottom w:val="single" w:sz="4" w:space="0" w:color="auto"/>
            </w:tcBorders>
            <w:shd w:val="clear" w:color="auto" w:fill="auto"/>
          </w:tcPr>
          <w:p w14:paraId="23480F60"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4.4.1.</w:t>
            </w:r>
          </w:p>
        </w:tc>
      </w:tr>
      <w:tr w:rsidR="00C27D3F" w:rsidRPr="009841AB" w14:paraId="3765632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257824D" w14:textId="77777777" w:rsidR="00C27D3F" w:rsidRPr="009841AB" w:rsidRDefault="00C27D3F" w:rsidP="00C27D3F">
            <w:pPr>
              <w:pStyle w:val="naisc"/>
              <w:spacing w:before="0" w:after="0"/>
            </w:pPr>
            <w:r w:rsidRPr="009841AB">
              <w:t>3</w:t>
            </w:r>
            <w:r w:rsidR="009D44C8">
              <w:t>90</w:t>
            </w:r>
          </w:p>
        </w:tc>
        <w:tc>
          <w:tcPr>
            <w:tcW w:w="2427" w:type="dxa"/>
            <w:tcBorders>
              <w:left w:val="single" w:sz="6" w:space="0" w:color="000000" w:themeColor="text1"/>
              <w:bottom w:val="single" w:sz="4" w:space="0" w:color="auto"/>
            </w:tcBorders>
            <w:shd w:val="clear" w:color="auto" w:fill="auto"/>
          </w:tcPr>
          <w:p w14:paraId="422E701B"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A8F9520" w14:textId="77777777" w:rsidR="00D459DE" w:rsidRDefault="00D459DE" w:rsidP="00C27D3F">
            <w:pPr>
              <w:ind w:right="12"/>
              <w:jc w:val="both"/>
            </w:pPr>
            <w:r w:rsidRPr="00D030E7">
              <w:rPr>
                <w:lang w:eastAsia="en-US"/>
              </w:rPr>
              <w:t xml:space="preserve">(Iepriekš izziņas </w:t>
            </w:r>
            <w:r>
              <w:rPr>
                <w:lang w:eastAsia="en-US"/>
              </w:rPr>
              <w:t>306</w:t>
            </w:r>
            <w:r w:rsidRPr="00D030E7">
              <w:rPr>
                <w:lang w:eastAsia="en-US"/>
              </w:rPr>
              <w:t>. punkts)</w:t>
            </w:r>
          </w:p>
          <w:p w14:paraId="4158B3E2" w14:textId="77777777" w:rsidR="00C27D3F" w:rsidRPr="009841AB" w:rsidRDefault="00C27D3F" w:rsidP="00C27D3F">
            <w:pPr>
              <w:ind w:right="12"/>
              <w:jc w:val="both"/>
            </w:pPr>
            <w:r w:rsidRPr="009841AB">
              <w:t xml:space="preserve">5. Pamatnostādņu projekta 4.4.2. Rīcības virzienā “Datu pārvaldība, atvēršana un analīze” kā viens no izaicinājumiem kvalitatīvai datu pārvaldībai ir minēta datu pārvaldība un pieejamība privātajam sektoram. Pamatnostādņu projekta izstrādes laikā esam vairākkārt vērsuši uzmanību datu atvēršanas problemātikai. Publiskā sektora izpratnes trūkums nav </w:t>
            </w:r>
            <w:r w:rsidRPr="009841AB">
              <w:lastRenderedPageBreak/>
              <w:t xml:space="preserve">vienīgais iemesls, kāpēc publiskajā sektorā veidotie dati neaktīvi tiek publicēti Atvērto datu portālā. Izstrādājot arī Nacionālo attīstības plānu 2021.-2027. gadam, esam vērsuši uzmanību, ka līdztekus aicinājumiem publiskās pārvaldes datu atvēršanai ir jāmeklē atbilstoši kompensējoši risinājumi. Jebkura atvērto datu (brīvi pieejama bezmaksas informācija bez </w:t>
            </w:r>
            <w:proofErr w:type="spellStart"/>
            <w:r w:rsidRPr="009841AB">
              <w:t>atkalizmantošanas</w:t>
            </w:r>
            <w:proofErr w:type="spellEnd"/>
            <w:r w:rsidRPr="009841AB">
              <w:t xml:space="preserve"> ierobežojumiem) iniciatīva nevar tikt vērtēta šķirti no nepieciešamības horizontāli risināt publisko reģistru finansēšanas jautājumu, visticamāk nodrošinot to finansēšanu no valsts budžeta, kam jāaizstāj esošie finansēšanas modeļi no pašu ieņēmumiem.</w:t>
            </w:r>
          </w:p>
        </w:tc>
        <w:tc>
          <w:tcPr>
            <w:tcW w:w="2480" w:type="dxa"/>
            <w:tcBorders>
              <w:left w:val="single" w:sz="6" w:space="0" w:color="000000" w:themeColor="text1"/>
              <w:bottom w:val="single" w:sz="4" w:space="0" w:color="auto"/>
            </w:tcBorders>
            <w:shd w:val="clear" w:color="auto" w:fill="auto"/>
          </w:tcPr>
          <w:p w14:paraId="02F9B4FB" w14:textId="77777777" w:rsidR="00C27D3F" w:rsidRPr="009841AB" w:rsidRDefault="00C27D3F" w:rsidP="00C27D3F">
            <w:pPr>
              <w:pStyle w:val="naisc"/>
              <w:spacing w:before="0" w:after="0"/>
              <w:jc w:val="left"/>
              <w:rPr>
                <w:b/>
                <w:bCs/>
              </w:rPr>
            </w:pPr>
            <w:r w:rsidRPr="009841AB">
              <w:rPr>
                <w:b/>
                <w:bCs/>
              </w:rPr>
              <w:lastRenderedPageBreak/>
              <w:t>Ņemts vērā</w:t>
            </w:r>
          </w:p>
          <w:p w14:paraId="40A0A66C" w14:textId="77777777" w:rsidR="00C27D3F" w:rsidRPr="009841AB" w:rsidRDefault="00C27D3F" w:rsidP="00C27D3F">
            <w:pPr>
              <w:pStyle w:val="naisc"/>
              <w:spacing w:before="0" w:after="0"/>
              <w:jc w:val="left"/>
              <w:rPr>
                <w:b/>
                <w:bCs/>
              </w:rPr>
            </w:pPr>
          </w:p>
          <w:p w14:paraId="6E1D61A3" w14:textId="77777777" w:rsidR="00C27D3F" w:rsidRPr="009841AB" w:rsidRDefault="00C27D3F" w:rsidP="00C27D3F">
            <w:pPr>
              <w:pStyle w:val="naisc"/>
              <w:spacing w:before="0" w:after="0"/>
              <w:jc w:val="left"/>
              <w:rPr>
                <w:b/>
                <w:bCs/>
              </w:rPr>
            </w:pPr>
          </w:p>
          <w:p w14:paraId="7837AA57" w14:textId="77777777" w:rsidR="00C27D3F" w:rsidRPr="009841AB" w:rsidRDefault="00C27D3F" w:rsidP="00C27D3F">
            <w:pPr>
              <w:pStyle w:val="naisc"/>
              <w:spacing w:before="0" w:after="0"/>
              <w:jc w:val="left"/>
              <w:rPr>
                <w:b/>
                <w:bCs/>
              </w:rPr>
            </w:pPr>
          </w:p>
          <w:p w14:paraId="0A8EBCD3" w14:textId="77777777" w:rsidR="00C27D3F" w:rsidRPr="009841AB" w:rsidRDefault="00C27D3F" w:rsidP="00C27D3F">
            <w:pPr>
              <w:pStyle w:val="naisc"/>
              <w:spacing w:before="0" w:after="0"/>
              <w:jc w:val="left"/>
              <w:rPr>
                <w:b/>
                <w:bCs/>
              </w:rPr>
            </w:pPr>
          </w:p>
          <w:p w14:paraId="20EEAFD0" w14:textId="77777777" w:rsidR="00C27D3F" w:rsidRPr="009841AB" w:rsidRDefault="00C27D3F" w:rsidP="00C27D3F">
            <w:pPr>
              <w:pStyle w:val="naisc"/>
              <w:spacing w:before="0" w:after="0"/>
              <w:jc w:val="left"/>
              <w:rPr>
                <w:b/>
                <w:bCs/>
              </w:rPr>
            </w:pPr>
          </w:p>
          <w:p w14:paraId="7FDB8B23" w14:textId="77777777" w:rsidR="00C27D3F" w:rsidRPr="009841AB" w:rsidRDefault="00C27D3F" w:rsidP="00C27D3F">
            <w:pPr>
              <w:pStyle w:val="naisc"/>
              <w:spacing w:before="0" w:after="0"/>
              <w:jc w:val="left"/>
              <w:rPr>
                <w:b/>
                <w:bCs/>
              </w:rPr>
            </w:pPr>
          </w:p>
          <w:p w14:paraId="2475AFFC" w14:textId="77777777" w:rsidR="00C27D3F" w:rsidRPr="009841AB" w:rsidRDefault="00C27D3F" w:rsidP="00C27D3F">
            <w:pPr>
              <w:pStyle w:val="naisc"/>
              <w:spacing w:before="0" w:after="0"/>
              <w:jc w:val="left"/>
              <w:rPr>
                <w:b/>
                <w:bCs/>
              </w:rPr>
            </w:pPr>
          </w:p>
          <w:p w14:paraId="51ED0A2C" w14:textId="77777777" w:rsidR="00C27D3F" w:rsidRPr="009841AB" w:rsidRDefault="00C27D3F" w:rsidP="00C27D3F">
            <w:pPr>
              <w:pStyle w:val="naisc"/>
              <w:spacing w:before="0" w:after="0"/>
              <w:jc w:val="left"/>
              <w:rPr>
                <w:b/>
                <w:bCs/>
              </w:rPr>
            </w:pPr>
          </w:p>
          <w:p w14:paraId="0DAC1999" w14:textId="77777777" w:rsidR="00C27D3F" w:rsidRPr="009841AB" w:rsidRDefault="00C27D3F" w:rsidP="00C27D3F">
            <w:pPr>
              <w:pStyle w:val="naisc"/>
              <w:spacing w:before="0" w:after="0"/>
              <w:jc w:val="left"/>
              <w:rPr>
                <w:b/>
                <w:bCs/>
              </w:rPr>
            </w:pPr>
          </w:p>
          <w:p w14:paraId="1E5EAD5E" w14:textId="77777777" w:rsidR="00C27D3F" w:rsidRPr="009841AB" w:rsidRDefault="00C27D3F" w:rsidP="00C27D3F">
            <w:pPr>
              <w:pStyle w:val="naisc"/>
              <w:spacing w:before="0" w:after="0"/>
              <w:jc w:val="left"/>
              <w:rPr>
                <w:b/>
                <w:bCs/>
              </w:rPr>
            </w:pPr>
          </w:p>
          <w:p w14:paraId="312DBE20" w14:textId="77777777" w:rsidR="00C27D3F" w:rsidRPr="009841AB" w:rsidRDefault="00C27D3F" w:rsidP="00C27D3F">
            <w:pPr>
              <w:pStyle w:val="naisc"/>
              <w:spacing w:before="0" w:after="0"/>
              <w:jc w:val="left"/>
              <w:rPr>
                <w:b/>
                <w:bCs/>
              </w:rPr>
            </w:pPr>
          </w:p>
          <w:p w14:paraId="42E39656" w14:textId="77777777" w:rsidR="00C27D3F" w:rsidRPr="009841AB" w:rsidRDefault="00C27D3F" w:rsidP="00C27D3F">
            <w:pPr>
              <w:pStyle w:val="naisc"/>
              <w:spacing w:before="0" w:after="0"/>
              <w:jc w:val="left"/>
            </w:pPr>
          </w:p>
        </w:tc>
        <w:tc>
          <w:tcPr>
            <w:tcW w:w="3497" w:type="dxa"/>
            <w:tcBorders>
              <w:left w:val="single" w:sz="6" w:space="0" w:color="000000" w:themeColor="text1"/>
              <w:bottom w:val="single" w:sz="4" w:space="0" w:color="auto"/>
            </w:tcBorders>
            <w:shd w:val="clear" w:color="auto" w:fill="auto"/>
          </w:tcPr>
          <w:p w14:paraId="300B2A60" w14:textId="77777777" w:rsidR="00C27D3F" w:rsidRPr="009841AB" w:rsidRDefault="00C27D3F" w:rsidP="00C27D3F">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4.4.2.</w:t>
            </w:r>
          </w:p>
        </w:tc>
      </w:tr>
      <w:tr w:rsidR="00C27D3F" w:rsidRPr="009841AB" w14:paraId="1C2AD81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79933BE" w14:textId="77777777" w:rsidR="00C27D3F" w:rsidRPr="009841AB" w:rsidRDefault="00C27D3F" w:rsidP="00C27D3F">
            <w:pPr>
              <w:pStyle w:val="naisc"/>
              <w:spacing w:before="0" w:after="0"/>
            </w:pPr>
            <w:r w:rsidRPr="009841AB">
              <w:t>3</w:t>
            </w:r>
            <w:r w:rsidR="009D44C8">
              <w:t>91</w:t>
            </w:r>
          </w:p>
        </w:tc>
        <w:tc>
          <w:tcPr>
            <w:tcW w:w="2427" w:type="dxa"/>
            <w:tcBorders>
              <w:left w:val="single" w:sz="6" w:space="0" w:color="000000" w:themeColor="text1"/>
              <w:bottom w:val="single" w:sz="4" w:space="0" w:color="auto"/>
            </w:tcBorders>
            <w:shd w:val="clear" w:color="auto" w:fill="auto"/>
          </w:tcPr>
          <w:p w14:paraId="5B62EDCB"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D49628E" w14:textId="77777777" w:rsidR="00C27D3F" w:rsidRPr="009841AB" w:rsidRDefault="00C27D3F" w:rsidP="00C27D3F">
            <w:pPr>
              <w:ind w:right="12"/>
              <w:jc w:val="both"/>
            </w:pPr>
            <w:r w:rsidRPr="009841AB">
              <w:t xml:space="preserve">6. Ņemot vērā to, ka ieslodzītajām personām normatīvajos aktos ir noteikti tiesību un pienākumu ierobežojumi, tajā skaitā ierobežota piekļuve personas datiem, ierosinām pamatnostādņu projekta 4.4.2.4. Rīcības </w:t>
            </w:r>
            <w:proofErr w:type="spellStart"/>
            <w:r w:rsidRPr="009841AB">
              <w:t>apakšvirziena</w:t>
            </w:r>
            <w:proofErr w:type="spellEnd"/>
            <w:r w:rsidRPr="009841AB">
              <w:t xml:space="preserve"> “Digitālais “Es”” sadaļu "Esošās situācijas apraksts" papildināt ar teikumu šādā redakcijā: “Personas tiesības piekļūt saviem personas datiem, saņemt savu datu kopiju, kā arī saņemt no iestādēm informāciju par datu apstrādes nolūkiem, personas datu saņēmējiem un citu regulējumā noteikto informāciju nodrošina ne tikai saskaņā ar Datu regulas prasībām, bet arī likuma "Par fizisko personu datu apstrādi kriminālprocesā un administratīvā pārkāpuma procesā" un speciālajos normatīvajos aktos noteiktajā kārtībā.”</w:t>
            </w:r>
          </w:p>
        </w:tc>
        <w:tc>
          <w:tcPr>
            <w:tcW w:w="2480" w:type="dxa"/>
            <w:tcBorders>
              <w:left w:val="single" w:sz="6" w:space="0" w:color="000000" w:themeColor="text1"/>
              <w:bottom w:val="single" w:sz="4" w:space="0" w:color="auto"/>
            </w:tcBorders>
            <w:shd w:val="clear" w:color="auto" w:fill="auto"/>
          </w:tcPr>
          <w:p w14:paraId="0356CB50" w14:textId="77777777" w:rsidR="00C27D3F" w:rsidRPr="009841AB" w:rsidRDefault="00C27D3F" w:rsidP="00C27D3F">
            <w:pPr>
              <w:pStyle w:val="naisc"/>
              <w:spacing w:before="0" w:after="0"/>
              <w:jc w:val="left"/>
              <w:rPr>
                <w:b/>
                <w:bCs/>
              </w:rPr>
            </w:pPr>
            <w:r w:rsidRPr="009841AB">
              <w:rPr>
                <w:b/>
                <w:bCs/>
              </w:rPr>
              <w:t>Ņemts vērā</w:t>
            </w:r>
          </w:p>
          <w:p w14:paraId="33C27AEE" w14:textId="77777777" w:rsidR="00C27D3F" w:rsidRPr="009841AB" w:rsidRDefault="00C27D3F" w:rsidP="00C27D3F">
            <w:pPr>
              <w:pStyle w:val="naisc"/>
              <w:spacing w:before="0" w:after="0"/>
              <w:jc w:val="left"/>
              <w:rPr>
                <w:b/>
                <w:bCs/>
              </w:rPr>
            </w:pPr>
          </w:p>
          <w:p w14:paraId="46F2BF26" w14:textId="77777777" w:rsidR="00C27D3F" w:rsidRPr="009841AB" w:rsidRDefault="00C27D3F" w:rsidP="00C27D3F">
            <w:pPr>
              <w:pStyle w:val="naisc"/>
              <w:spacing w:before="0" w:after="0"/>
              <w:jc w:val="left"/>
            </w:pPr>
          </w:p>
        </w:tc>
        <w:tc>
          <w:tcPr>
            <w:tcW w:w="3497" w:type="dxa"/>
            <w:tcBorders>
              <w:left w:val="single" w:sz="6" w:space="0" w:color="000000" w:themeColor="text1"/>
              <w:bottom w:val="single" w:sz="4" w:space="0" w:color="auto"/>
            </w:tcBorders>
            <w:shd w:val="clear" w:color="auto" w:fill="auto"/>
          </w:tcPr>
          <w:p w14:paraId="699BE19B"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4.4.2.4.</w:t>
            </w:r>
          </w:p>
        </w:tc>
      </w:tr>
      <w:tr w:rsidR="00C27D3F" w:rsidRPr="009841AB" w14:paraId="2B8A1B7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2B1C473" w14:textId="77777777" w:rsidR="00C27D3F" w:rsidRPr="009841AB" w:rsidRDefault="00C27D3F" w:rsidP="00C27D3F">
            <w:pPr>
              <w:pStyle w:val="naisc"/>
              <w:spacing w:before="0" w:after="0"/>
            </w:pPr>
            <w:r w:rsidRPr="009841AB">
              <w:t>3</w:t>
            </w:r>
            <w:r w:rsidR="009D44C8">
              <w:t>92</w:t>
            </w:r>
          </w:p>
        </w:tc>
        <w:tc>
          <w:tcPr>
            <w:tcW w:w="2427" w:type="dxa"/>
            <w:tcBorders>
              <w:left w:val="single" w:sz="6" w:space="0" w:color="000000" w:themeColor="text1"/>
              <w:bottom w:val="single" w:sz="4" w:space="0" w:color="auto"/>
            </w:tcBorders>
            <w:shd w:val="clear" w:color="auto" w:fill="auto"/>
          </w:tcPr>
          <w:p w14:paraId="68CA498A"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3742433" w14:textId="77777777" w:rsidR="00C27D3F" w:rsidRPr="009841AB" w:rsidRDefault="00C27D3F" w:rsidP="00C27D3F">
            <w:pPr>
              <w:ind w:right="12"/>
              <w:jc w:val="both"/>
            </w:pPr>
            <w:r w:rsidRPr="009841AB">
              <w:t xml:space="preserve">7. Pamatnostādņu projekta (110.lp.) definēts 4.4.3.2. Rīcības </w:t>
            </w:r>
            <w:proofErr w:type="spellStart"/>
            <w:r w:rsidRPr="009841AB">
              <w:t>apakšvirziens</w:t>
            </w:r>
            <w:proofErr w:type="spellEnd"/>
            <w:r w:rsidRPr="009841AB">
              <w:t xml:space="preserve"> “Finanšu dokumentu </w:t>
            </w:r>
            <w:proofErr w:type="spellStart"/>
            <w:r w:rsidRPr="009841AB">
              <w:t>maiņvieta</w:t>
            </w:r>
            <w:proofErr w:type="spellEnd"/>
            <w:r w:rsidRPr="009841AB">
              <w:t xml:space="preserve">” kura 2.punktā lietots termins "notarizēts" iekavās paskaidrojot, ka tas nozīmē nav starpnieka, kas apliecinātu patiesumu. Attiecīgi šim </w:t>
            </w:r>
            <w:proofErr w:type="spellStart"/>
            <w:r w:rsidRPr="009841AB">
              <w:t>apakšvirzienam</w:t>
            </w:r>
            <w:proofErr w:type="spellEnd"/>
            <w:r w:rsidRPr="009841AB">
              <w:t xml:space="preserve"> (112.lp.) definēts uzdevums “U4.4.3.2.-1” - Izveidot notarizēto </w:t>
            </w:r>
            <w:proofErr w:type="spellStart"/>
            <w:r w:rsidRPr="009841AB">
              <w:t>maiņvietu</w:t>
            </w:r>
            <w:proofErr w:type="spellEnd"/>
            <w:r w:rsidRPr="009841AB">
              <w:t xml:space="preserve"> strukturētajiem finanšu </w:t>
            </w:r>
            <w:r w:rsidRPr="009841AB">
              <w:lastRenderedPageBreak/>
              <w:t xml:space="preserve">dokumentiem un izstrādāt nepieciešamo normatīvo regulējumu. Šāds uzdevums iekļauts arī pamatnostādņu projekta 2.pielikumā. Vēršam uzmanību, ka normatīvajos aktos termins "notariāls" tiek lietots, apzīmējot zvērināta notāra darbības attiecīgā jautājuma ietvaros. </w:t>
            </w:r>
          </w:p>
          <w:p w14:paraId="099D960B" w14:textId="77777777" w:rsidR="00C27D3F" w:rsidRPr="009841AB" w:rsidRDefault="00C27D3F" w:rsidP="00C27D3F">
            <w:pPr>
              <w:ind w:right="12"/>
              <w:jc w:val="both"/>
            </w:pPr>
            <w:r w:rsidRPr="009841AB">
              <w:t xml:space="preserve">Vienlaikus šī pamatnostādnēs definētā uzdevuma ietvaros zvērināta notāra iesaiste nav paredzēta. Tādējādi termins "notarizēts" var maldināt, liekot noprast, ka zvērināta notāra iesaiste tomēr ir paredzēta.  Ņemot vērā minēto, lūdzam svītrot termina "notarizēts" lietojumu pamatnostādņu projektā un tā pielikumā, nepieciešamības gadījumā to aizstājot ar citu terminu.  </w:t>
            </w:r>
          </w:p>
        </w:tc>
        <w:tc>
          <w:tcPr>
            <w:tcW w:w="2480" w:type="dxa"/>
            <w:tcBorders>
              <w:left w:val="single" w:sz="6" w:space="0" w:color="000000" w:themeColor="text1"/>
              <w:bottom w:val="single" w:sz="4" w:space="0" w:color="auto"/>
            </w:tcBorders>
            <w:shd w:val="clear" w:color="auto" w:fill="auto"/>
          </w:tcPr>
          <w:p w14:paraId="5A1A0F99" w14:textId="77777777" w:rsidR="002069BB" w:rsidRPr="009841AB" w:rsidRDefault="002069BB" w:rsidP="002069BB">
            <w:pPr>
              <w:pStyle w:val="naisc"/>
              <w:jc w:val="left"/>
              <w:rPr>
                <w:b/>
                <w:bCs/>
                <w:color w:val="000000"/>
                <w:shd w:val="clear" w:color="auto" w:fill="FFFFFF"/>
              </w:rPr>
            </w:pPr>
            <w:r>
              <w:rPr>
                <w:b/>
                <w:bCs/>
                <w:color w:val="000000"/>
                <w:shd w:val="clear" w:color="auto" w:fill="FFFFFF"/>
              </w:rPr>
              <w:lastRenderedPageBreak/>
              <w:t>Panākta vienošanās</w:t>
            </w:r>
          </w:p>
          <w:p w14:paraId="5D382352" w14:textId="77777777" w:rsidR="00C27D3F" w:rsidRPr="009841AB" w:rsidRDefault="00C27D3F" w:rsidP="00C27D3F">
            <w:pPr>
              <w:pStyle w:val="naisc"/>
              <w:spacing w:before="0" w:after="0"/>
              <w:jc w:val="left"/>
            </w:pPr>
            <w:r w:rsidRPr="009841AB">
              <w:t xml:space="preserve">“Notarizēts” ir tehnisks termins, kas plaši starptautiski tiek izmantots, lai apzīmētu kāda starpnieka (ne </w:t>
            </w:r>
            <w:r w:rsidRPr="009841AB">
              <w:lastRenderedPageBreak/>
              <w:t>obligāti notāra Notariāta likuma izpratnē) dalību procesā. Starpnieks var būt arī pilnībā automatizēts, bez fiziskas personas iesaistes. Ja ir priekšlikums citam terminam, lūdzu to piedāvāt.</w:t>
            </w:r>
          </w:p>
          <w:p w14:paraId="4DAFE185" w14:textId="77777777" w:rsidR="00C27D3F" w:rsidRPr="009841AB" w:rsidRDefault="00C27D3F" w:rsidP="00C27D3F">
            <w:pPr>
              <w:pStyle w:val="naisc"/>
              <w:spacing w:before="0" w:after="0"/>
              <w:jc w:val="left"/>
            </w:pPr>
            <w:r w:rsidRPr="009841AB">
              <w:t>Papildināts ar:</w:t>
            </w:r>
          </w:p>
          <w:p w14:paraId="6F6B9842" w14:textId="77777777" w:rsidR="00C27D3F" w:rsidRPr="009841AB" w:rsidRDefault="00C27D3F" w:rsidP="00C27D3F">
            <w:pPr>
              <w:pStyle w:val="naisc"/>
              <w:spacing w:before="0" w:after="0"/>
              <w:jc w:val="left"/>
              <w:rPr>
                <w:b/>
              </w:rPr>
            </w:pPr>
            <w:r w:rsidRPr="009841AB">
              <w:t xml:space="preserve">Ar </w:t>
            </w:r>
            <w:proofErr w:type="spellStart"/>
            <w:r w:rsidRPr="009841AB">
              <w:t>notarizāciju</w:t>
            </w:r>
            <w:proofErr w:type="spellEnd"/>
            <w:r w:rsidRPr="009841AB">
              <w:t xml:space="preserve"> šeit tiek saprasta starpnieka esamība, kas apliecina kādu faktu. </w:t>
            </w:r>
            <w:proofErr w:type="spellStart"/>
            <w:r w:rsidRPr="009841AB">
              <w:t>Notarizācija</w:t>
            </w:r>
            <w:proofErr w:type="spellEnd"/>
            <w:r w:rsidRPr="009841AB">
              <w:t xml:space="preserve"> ir plašāks jēdziens nekā Notariāta likumā noteiktais. Piemēram, banka apliecina finanšu darījuma esamību, tātad arī notarizē to. Ierakstītās vēstules gadījumā pasts nodrošina piegādes fakta </w:t>
            </w:r>
            <w:proofErr w:type="spellStart"/>
            <w:r w:rsidRPr="009841AB">
              <w:t>notarizāciju</w:t>
            </w:r>
            <w:proofErr w:type="spellEnd"/>
            <w:r w:rsidRPr="009841AB">
              <w:t xml:space="preserve"> (apliecināšanu), bet pasts nevar notarizēt (apliecināt) dokumenta saturu. Finanšu dokumentu </w:t>
            </w:r>
            <w:proofErr w:type="spellStart"/>
            <w:r w:rsidRPr="009841AB">
              <w:t>maiņvieta</w:t>
            </w:r>
            <w:proofErr w:type="spellEnd"/>
            <w:r w:rsidRPr="009841AB">
              <w:t xml:space="preserve"> varētu būt šis starpnieks, kas nodrošinās gan </w:t>
            </w:r>
            <w:r w:rsidRPr="009841AB">
              <w:lastRenderedPageBreak/>
              <w:t xml:space="preserve">dokumenta satura, gan saņemšanas fakta </w:t>
            </w:r>
            <w:proofErr w:type="spellStart"/>
            <w:r w:rsidRPr="009841AB">
              <w:t>notarizāciju</w:t>
            </w:r>
            <w:proofErr w:type="spellEnd"/>
            <w:r w:rsidRPr="009841AB">
              <w:t xml:space="preserve"> (apliecināšanu) Ar </w:t>
            </w:r>
            <w:proofErr w:type="spellStart"/>
            <w:r w:rsidRPr="009841AB">
              <w:t>maiņvietu</w:t>
            </w:r>
            <w:proofErr w:type="spellEnd"/>
            <w:r w:rsidRPr="009841AB">
              <w:t xml:space="preserve"> šeit jāsaprot programmatūras un aparatūras komplekss, kas nodrošina finanšu dokumentu saņemšanu, uzglabāšanu un nodošanu adresātam.</w:t>
            </w:r>
          </w:p>
        </w:tc>
        <w:tc>
          <w:tcPr>
            <w:tcW w:w="3497" w:type="dxa"/>
            <w:tcBorders>
              <w:left w:val="single" w:sz="6" w:space="0" w:color="000000" w:themeColor="text1"/>
              <w:bottom w:val="single" w:sz="4" w:space="0" w:color="auto"/>
            </w:tcBorders>
            <w:shd w:val="clear" w:color="auto" w:fill="auto"/>
          </w:tcPr>
          <w:p w14:paraId="0DBD203A" w14:textId="77777777" w:rsidR="00C27D3F" w:rsidRPr="009841AB" w:rsidRDefault="00C27D3F" w:rsidP="00C27D3F">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4.4.3.2.</w:t>
            </w:r>
          </w:p>
        </w:tc>
      </w:tr>
      <w:tr w:rsidR="00C27D3F" w:rsidRPr="009841AB" w14:paraId="75074AB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C4CD8F5" w14:textId="77777777" w:rsidR="00C27D3F" w:rsidRPr="009841AB" w:rsidRDefault="00C27D3F" w:rsidP="00C27D3F">
            <w:pPr>
              <w:pStyle w:val="naisc"/>
              <w:spacing w:before="0" w:after="0"/>
            </w:pPr>
            <w:r w:rsidRPr="009841AB">
              <w:lastRenderedPageBreak/>
              <w:t>3</w:t>
            </w:r>
            <w:r w:rsidR="009D44C8">
              <w:t>93</w:t>
            </w:r>
          </w:p>
        </w:tc>
        <w:tc>
          <w:tcPr>
            <w:tcW w:w="2427" w:type="dxa"/>
            <w:tcBorders>
              <w:left w:val="single" w:sz="6" w:space="0" w:color="000000" w:themeColor="text1"/>
              <w:bottom w:val="single" w:sz="4" w:space="0" w:color="auto"/>
            </w:tcBorders>
            <w:shd w:val="clear" w:color="auto" w:fill="auto"/>
          </w:tcPr>
          <w:p w14:paraId="5B2C0D56"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4089075" w14:textId="77777777" w:rsidR="00C27D3F" w:rsidRPr="009841AB" w:rsidRDefault="00C27D3F" w:rsidP="00C27D3F">
            <w:pPr>
              <w:spacing w:line="276" w:lineRule="auto"/>
            </w:pPr>
            <w:r w:rsidRPr="009841AB">
              <w:t>8. Lūdzam svītrot pamatnostādņu projekta 113.lp. iekavu atsaucē “Uzņēmumu reģistrs”, jo no piedāvātās redakcijas nav saprotams, par kāda veida pakalpojumu apmaksu tiek runāts. Ja ir domāts, ka minētais risinājums attiecināms uz klātienes pakalpojumiem, tad Uzņēmumu reģistra kā piemēra norādīšana nav korekta, jo iestāde kopš šī gada marta vairs nesniedz klātienes pakalpojumus un arī turpmāk neplāno sniegt klātienes pakalpojumus. Ņemot vērā minēto, arī pamatnostādņu projekta 114.lp. būtu veicams attiecīgs labojums.</w:t>
            </w:r>
          </w:p>
        </w:tc>
        <w:tc>
          <w:tcPr>
            <w:tcW w:w="2480" w:type="dxa"/>
            <w:tcBorders>
              <w:left w:val="single" w:sz="6" w:space="0" w:color="000000" w:themeColor="text1"/>
              <w:bottom w:val="single" w:sz="4" w:space="0" w:color="auto"/>
            </w:tcBorders>
            <w:shd w:val="clear" w:color="auto" w:fill="auto"/>
          </w:tcPr>
          <w:p w14:paraId="179AA7C8" w14:textId="77777777" w:rsidR="00C27D3F" w:rsidRPr="00D264F6" w:rsidRDefault="00C27D3F" w:rsidP="00C27D3F">
            <w:pPr>
              <w:pStyle w:val="naisc"/>
              <w:spacing w:before="0" w:after="0"/>
              <w:jc w:val="left"/>
              <w:rPr>
                <w:b/>
                <w:bCs/>
              </w:rPr>
            </w:pPr>
            <w:r w:rsidRPr="009841AB">
              <w:rPr>
                <w:b/>
                <w:bCs/>
              </w:rPr>
              <w:t>Ņemts vērā</w:t>
            </w:r>
          </w:p>
          <w:p w14:paraId="23235DE1" w14:textId="77777777" w:rsidR="00C27D3F" w:rsidRPr="009841AB" w:rsidRDefault="00C27D3F" w:rsidP="00C27D3F">
            <w:pPr>
              <w:pStyle w:val="naisc"/>
              <w:spacing w:before="0" w:after="0"/>
              <w:jc w:val="left"/>
            </w:pPr>
            <w:r w:rsidRPr="009841AB">
              <w:t xml:space="preserve">Atsauce uz Uzņēmumu reģistru svītrota. </w:t>
            </w:r>
          </w:p>
        </w:tc>
        <w:tc>
          <w:tcPr>
            <w:tcW w:w="3497" w:type="dxa"/>
            <w:tcBorders>
              <w:left w:val="single" w:sz="6" w:space="0" w:color="000000" w:themeColor="text1"/>
              <w:bottom w:val="single" w:sz="4" w:space="0" w:color="auto"/>
            </w:tcBorders>
            <w:shd w:val="clear" w:color="auto" w:fill="auto"/>
          </w:tcPr>
          <w:p w14:paraId="1ED53963"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C27D3F" w:rsidRPr="009841AB" w14:paraId="0EC246E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3CAB184" w14:textId="77777777" w:rsidR="00C27D3F" w:rsidRPr="009841AB" w:rsidRDefault="00C27D3F" w:rsidP="00C27D3F">
            <w:pPr>
              <w:pStyle w:val="naisc"/>
              <w:spacing w:before="0" w:after="0"/>
            </w:pPr>
            <w:r w:rsidRPr="009841AB">
              <w:t>3</w:t>
            </w:r>
            <w:r w:rsidR="009D44C8">
              <w:t>94</w:t>
            </w:r>
          </w:p>
        </w:tc>
        <w:tc>
          <w:tcPr>
            <w:tcW w:w="2427" w:type="dxa"/>
            <w:tcBorders>
              <w:left w:val="single" w:sz="6" w:space="0" w:color="000000" w:themeColor="text1"/>
              <w:bottom w:val="single" w:sz="4" w:space="0" w:color="auto"/>
            </w:tcBorders>
            <w:shd w:val="clear" w:color="auto" w:fill="auto"/>
          </w:tcPr>
          <w:p w14:paraId="0208D6D2"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825DCCE" w14:textId="77777777" w:rsidR="00C27D3F" w:rsidRPr="009841AB" w:rsidRDefault="00C27D3F" w:rsidP="00C27D3F">
            <w:pPr>
              <w:spacing w:line="276" w:lineRule="auto"/>
            </w:pPr>
            <w:r w:rsidRPr="009841AB">
              <w:t xml:space="preserve">9. No pamatnostādņu projekta izriet, ka Tieslietu ministrijai paredzēts uzdevums izveidot viedo līgumu izveides, apstrādes un uzglabāšanas tiesisko regulējumu un tehnoloģisko platformu un to pielietojumu ieviešanas plānu. Norādām, ka tuvākajā laikā nav plānots šādu regulējumu izstrādāt. Vēršam uzmanību, ka viedie līgumi ir tehniskais izpildījums, nevis normatīvais regulējums. Līdz ar to viedie līgumi var skart normatīvo regulējumu, ja, izstrādājot tehnoloģiju, tās izstrādātāji saprot, ka, piemēram, </w:t>
            </w:r>
            <w:r w:rsidRPr="009841AB">
              <w:lastRenderedPageBreak/>
              <w:t xml:space="preserve">Civillikuma vai cita normatīvajā akta ir noteikumi, kas traucē viedā līguma darbībai praksē. Tikai šādā gadījumā ir uzsākama diskusija par tiesību aktu grozījumu nepieciešamību. Ņemot vērā minēto, </w:t>
            </w:r>
            <w:r w:rsidRPr="009841AB">
              <w:rPr>
                <w:u w:val="single"/>
              </w:rPr>
              <w:t>lūdzam svītrot no pamatnostādņu projekta uzdevumu (identifikators U4.4.3.4.-1) “Izveidot viedo līgumu izveides, apstrādes un uzglabāšanas tiesisko regulējumu un tehnoloģisko platformu un to pielietojumu ieviešanas plānu”, kur kā atbildīgais ir norādīta Tieslietu ministrija</w:t>
            </w:r>
            <w:r w:rsidRPr="009841AB">
              <w:t xml:space="preserve">. </w:t>
            </w:r>
          </w:p>
          <w:p w14:paraId="4F948C40" w14:textId="77777777" w:rsidR="00C27D3F" w:rsidRPr="009841AB" w:rsidRDefault="00C27D3F" w:rsidP="00C27D3F">
            <w:pPr>
              <w:spacing w:line="276" w:lineRule="auto"/>
              <w:ind w:firstLine="709"/>
            </w:pPr>
            <w:r w:rsidRPr="009841AB">
              <w:t>Papildus norādāms, ka atbilstoši Ministru kabineta 2019. gada 7. maija rīkojuma Nr. 210 “Par Valdības rīcības plānu Deklarācijas par Artura Krišjāņa Kariņa vadītā Ministru kabineta iecerēto darbību īstenošanai” iekļautajam pasākumu Nr. 35.2. Rīcības plāna pasākumam “Nodrošināt komercdarbībai draudzīgu un stabilu tiesisko vidi, īpašu uzmanību pievēršot akciju sabiedrību tiesiskā regulējuma modernizēšanai un moderno komercdarbības formu un finansēšanas iespēju attīstīšanai” Tieslietu ministrija strādā pie akciju reģistrācijas reformas ar mērķi noteikt, ka akcijām ir jābūt iegrāmatotām finanšu instrumentu kontos. Reforma noslēgsies 2023.-2024. gadā. Ņemot vērā minēto, Tieslietu ministrijas ieskatā nebūtu vēlamas krasas izmaiņas atbalstītajā tiesību politikas attīstības virzienā, vienlaikus neiebilstam, ja tehnoloģijas, tajā skaitā, viedie līgumi tiek izmantoti kā papildus līdzeklis tiesību instrumentu pielietojumā.</w:t>
            </w:r>
          </w:p>
        </w:tc>
        <w:tc>
          <w:tcPr>
            <w:tcW w:w="2480" w:type="dxa"/>
            <w:tcBorders>
              <w:left w:val="single" w:sz="6" w:space="0" w:color="000000" w:themeColor="text1"/>
              <w:bottom w:val="single" w:sz="4" w:space="0" w:color="auto"/>
            </w:tcBorders>
            <w:shd w:val="clear" w:color="auto" w:fill="auto"/>
          </w:tcPr>
          <w:p w14:paraId="10D553B0" w14:textId="77777777" w:rsidR="00C27D3F" w:rsidRPr="00D264F6" w:rsidRDefault="00C27D3F" w:rsidP="00C27D3F">
            <w:pPr>
              <w:pStyle w:val="naisc"/>
              <w:spacing w:before="0" w:after="0"/>
              <w:jc w:val="left"/>
              <w:rPr>
                <w:b/>
                <w:bCs/>
              </w:rPr>
            </w:pPr>
            <w:r w:rsidRPr="009841AB">
              <w:rPr>
                <w:b/>
                <w:bCs/>
              </w:rPr>
              <w:lastRenderedPageBreak/>
              <w:t xml:space="preserve">Ņemts vērā </w:t>
            </w:r>
          </w:p>
          <w:p w14:paraId="62F831A5" w14:textId="77777777" w:rsidR="00C27D3F" w:rsidRPr="009841AB" w:rsidRDefault="00C27D3F" w:rsidP="00C27D3F">
            <w:pPr>
              <w:pStyle w:val="naisc"/>
              <w:spacing w:before="0" w:after="0"/>
              <w:jc w:val="left"/>
              <w:rPr>
                <w:b/>
              </w:rPr>
            </w:pPr>
            <w:r w:rsidRPr="009841AB">
              <w:t xml:space="preserve">Rīcības </w:t>
            </w:r>
            <w:proofErr w:type="spellStart"/>
            <w:r w:rsidRPr="009841AB">
              <w:t>apakšvirziens</w:t>
            </w:r>
            <w:proofErr w:type="spellEnd"/>
            <w:r w:rsidRPr="009841AB">
              <w:t xml:space="preserve"> svītrots.</w:t>
            </w:r>
          </w:p>
        </w:tc>
        <w:tc>
          <w:tcPr>
            <w:tcW w:w="3497" w:type="dxa"/>
            <w:tcBorders>
              <w:left w:val="single" w:sz="6" w:space="0" w:color="000000" w:themeColor="text1"/>
              <w:bottom w:val="single" w:sz="4" w:space="0" w:color="auto"/>
            </w:tcBorders>
            <w:shd w:val="clear" w:color="auto" w:fill="auto"/>
          </w:tcPr>
          <w:p w14:paraId="6695754F"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C27D3F" w:rsidRPr="009841AB" w14:paraId="1E63F05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E2687F2" w14:textId="77777777" w:rsidR="00C27D3F" w:rsidRPr="009841AB" w:rsidRDefault="00C27D3F" w:rsidP="00C27D3F">
            <w:pPr>
              <w:pStyle w:val="naisc"/>
              <w:spacing w:before="0" w:after="0"/>
            </w:pPr>
            <w:r w:rsidRPr="009841AB">
              <w:lastRenderedPageBreak/>
              <w:t>3</w:t>
            </w:r>
            <w:r w:rsidR="009D44C8">
              <w:t>95</w:t>
            </w:r>
          </w:p>
        </w:tc>
        <w:tc>
          <w:tcPr>
            <w:tcW w:w="2427" w:type="dxa"/>
            <w:tcBorders>
              <w:left w:val="single" w:sz="6" w:space="0" w:color="000000" w:themeColor="text1"/>
              <w:bottom w:val="single" w:sz="4" w:space="0" w:color="auto"/>
            </w:tcBorders>
            <w:shd w:val="clear" w:color="auto" w:fill="auto"/>
          </w:tcPr>
          <w:p w14:paraId="373A3711"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F5F4D15" w14:textId="77777777" w:rsidR="00C27D3F" w:rsidRPr="009841AB" w:rsidRDefault="00C27D3F" w:rsidP="00C27D3F">
            <w:pPr>
              <w:spacing w:line="276" w:lineRule="auto"/>
            </w:pPr>
            <w:r w:rsidRPr="009841AB">
              <w:t xml:space="preserve">10. Pamatnostādņu projektā (115.lp.) definēts 4.4.3.4. Rīcības </w:t>
            </w:r>
            <w:proofErr w:type="spellStart"/>
            <w:r w:rsidRPr="009841AB">
              <w:t>apakšvirziens</w:t>
            </w:r>
            <w:proofErr w:type="spellEnd"/>
            <w:r w:rsidRPr="009841AB">
              <w:t xml:space="preserve"> “Viedie līgumi”, kura sadaļā "Nepieciešamā rīcība" iekļauts teikums - </w:t>
            </w:r>
            <w:r w:rsidRPr="009841AB">
              <w:rPr>
                <w:u w:val="single"/>
              </w:rPr>
              <w:t>Valsts pārvaldē šādu viedo līgumu platformu veidošana būtu lietderīga, ja civiltiesiska līguma izpildes centrālais elements ir ierakstu izmaiņa valsts uzturētajos reģistros</w:t>
            </w:r>
            <w:r w:rsidRPr="009841AB">
              <w:t xml:space="preserve">. Norādām, ka valsts uzturētie reģistri var būt reģistri, kuros esošie ieraksti ir publiski ticami, proti, tādā nozīmē, ka tie ir saistoši </w:t>
            </w:r>
            <w:proofErr w:type="spellStart"/>
            <w:r w:rsidRPr="009841AB">
              <w:t>trešām</w:t>
            </w:r>
            <w:proofErr w:type="spellEnd"/>
            <w:r w:rsidRPr="009841AB">
              <w:t xml:space="preserve"> personām un tādējādi ierakstiem ir </w:t>
            </w:r>
            <w:proofErr w:type="spellStart"/>
            <w:r w:rsidRPr="009841AB">
              <w:t>konstitutīvas</w:t>
            </w:r>
            <w:proofErr w:type="spellEnd"/>
            <w:r w:rsidRPr="009841AB">
              <w:t xml:space="preserve"> sekas. Proti, publiskā ticamība ir nošķirama no datu pareizības un precizitātes. Publiskā ticamība neapšauba, piemēram, citās informācijas sistēmās esošo datu pareizību, precizitāti, bet nosaka atsevišķās informācijas sistēmās (piemēram, Valsts vienotajā datorizētā zemesgrāmatā, komercreģistrā) esošiem ierakstiem īpašu statusu trešo personu aizsardzībai un civiltiesiskās apgrozības veicināšanai, aizsargājot labticīgu trešo personu. Tādejādi, speciālajos likumos var un ir noteiktas speciālas prasības dokumenta, uz kā pamata tiek veikti ieraksti valsts uzturētajos reģistros, kuriem likums ir piešķīris publisku ticamību, prasības. Šīs prasības, kas ir stingrākas un, piemēram, paredz, ka reģistra iestādē ir jāiesniedz publiski dokumenti, ir noteiktas, lai nodrošinātu ierakstu publisko ticamību. Ievērojot minēto, norādām uz nepieciešamību, attiecīgo teikumu precizēt, norādot, ka “</w:t>
            </w:r>
            <w:r w:rsidRPr="009841AB">
              <w:rPr>
                <w:u w:val="single"/>
              </w:rPr>
              <w:t xml:space="preserve">Valsts pārvaldē šādu viedo līgumu platformu veidošana būtu lietderīga, ja civiltiesiska līguma izpildes centrālais elements ir </w:t>
            </w:r>
            <w:r w:rsidRPr="009841AB">
              <w:rPr>
                <w:u w:val="single"/>
              </w:rPr>
              <w:lastRenderedPageBreak/>
              <w:t>ierakstu izmaiņa valsts uzturētajos reģistros</w:t>
            </w:r>
            <w:r w:rsidRPr="009841AB">
              <w:t xml:space="preserve"> un speciālie likumi nenoteic speciālu iesniedzamo dokumentu formu – publisku dokumentu iesniegšanu”. Vienlaikus šim </w:t>
            </w:r>
            <w:proofErr w:type="spellStart"/>
            <w:r w:rsidRPr="009841AB">
              <w:t>apakšvirzienam</w:t>
            </w:r>
            <w:proofErr w:type="spellEnd"/>
            <w:r w:rsidRPr="009841AB">
              <w:t xml:space="preserve"> definēti uzdevumi – “</w:t>
            </w:r>
            <w:r w:rsidRPr="009841AB">
              <w:rPr>
                <w:u w:val="single"/>
              </w:rPr>
              <w:t>U4.4.3.4.-1” - Izveidot viedo līgumu izveides, apstrādes un uzglabāšanas tiesisko regulējumu un tehnoloģisko platformu un to pielietojumu ieviešanas plānu</w:t>
            </w:r>
            <w:r w:rsidRPr="009841AB">
              <w:t xml:space="preserve"> un “</w:t>
            </w:r>
            <w:r w:rsidRPr="009841AB">
              <w:rPr>
                <w:u w:val="single"/>
              </w:rPr>
              <w:t xml:space="preserve">U4.4.3.4.-2” - Nodrošināt, ka valsts informācijas sistēmas, kuru darbības jomā ir paredzams plašs viedo līgumu pielietojums, ir savietojamas ar viedo līgumu risinājumiem. </w:t>
            </w:r>
            <w:r w:rsidRPr="009841AB">
              <w:t xml:space="preserve">Šādi uzdevumi iekļauti arī pamatnostādņu projekta 2.pielikumā. Vēršam uzmanību, ka 2020.gada jūnijā Vides aizsardzības un reģionālās attīstības ministrija organizēja vairākas Digitālās transformācijas pamatnostādņu izstrādes darba grupas, Finanses un nodokļi (viedie līgumi) sēdes, kurās dalībai tika aicināti arī pārstāvji no Ekonomikas ministrijas. Minētajā darba grupā, uzklausot Tieslietu ministrijas un Latvijas Zvērinātu notāru padomes viedokļus, ņemot vērā Latvijas tiesību sistēmu, </w:t>
            </w:r>
            <w:r w:rsidRPr="009841AB">
              <w:rPr>
                <w:u w:val="single"/>
              </w:rPr>
              <w:t>tika secināts un nolemts, ka viedie līgumi nav attiecināmi uz nekustamo īpašumu darījumiem</w:t>
            </w:r>
            <w:r w:rsidRPr="009841AB">
              <w:t xml:space="preserve">. Uzskatām, ka pamatnostādņu projekta (115.lp.) definētā </w:t>
            </w:r>
            <w:r w:rsidRPr="009841AB">
              <w:rPr>
                <w:u w:val="single"/>
              </w:rPr>
              <w:t xml:space="preserve">4.4.3.4. Rīcības </w:t>
            </w:r>
            <w:proofErr w:type="spellStart"/>
            <w:r w:rsidRPr="009841AB">
              <w:rPr>
                <w:u w:val="single"/>
              </w:rPr>
              <w:t>apakšvirziena</w:t>
            </w:r>
            <w:proofErr w:type="spellEnd"/>
            <w:r w:rsidRPr="009841AB">
              <w:rPr>
                <w:u w:val="single"/>
              </w:rPr>
              <w:t xml:space="preserve"> “Viedie līgumi”</w:t>
            </w:r>
            <w:r w:rsidRPr="009841AB">
              <w:t xml:space="preserve"> sadaļā "Nepieciešamā rīcība" iekļautais minētais teikums varētu būt pārprotams un nav skaidrs, par kādiem reģistriem tajā ir runa.  Ņemot vērā minēto, kā arī to, ka no pamatnostādņu projekta apraksta izriet, ka viedie </w:t>
            </w:r>
            <w:r w:rsidRPr="009841AB">
              <w:lastRenderedPageBreak/>
              <w:t>līgumi faktiski var būt ļoti plašās jomās, lūdzam paredzēt, ka viedie līgumi var tikt attiecināti kaut kādās noteiktās sfērās (ne zemesgrāmata), proti, lūdzam vismaz uzskaitīt jomas, kurās viedie līgumi varētu tikt ieviesti sākotnēji. </w:t>
            </w:r>
          </w:p>
          <w:p w14:paraId="161D0A87" w14:textId="77777777" w:rsidR="00C27D3F" w:rsidRPr="009841AB" w:rsidRDefault="00C27D3F" w:rsidP="00C27D3F">
            <w:pPr>
              <w:spacing w:line="276" w:lineRule="auto"/>
              <w:ind w:firstLine="720"/>
            </w:pPr>
            <w:r w:rsidRPr="009841AB">
              <w:t xml:space="preserve">Vienlaikus norādām, ka pamatnostādņu projekta (115.lp.) 4.4.3.4. Rīcības </w:t>
            </w:r>
            <w:proofErr w:type="spellStart"/>
            <w:r w:rsidRPr="009841AB">
              <w:t>apakšvirziena</w:t>
            </w:r>
            <w:proofErr w:type="spellEnd"/>
            <w:r w:rsidRPr="009841AB">
              <w:t xml:space="preserve"> “Viedie līgumi” sadaļā "Nepieciešamā rīcība" iekļautais pamatojums ir pārāk īss un nekonkrēts. No minētās sadaļas nav saprotams </w:t>
            </w:r>
            <w:r w:rsidRPr="009841AB">
              <w:rPr>
                <w:u w:val="single"/>
              </w:rPr>
              <w:t xml:space="preserve">uzdevuma “U4.4.3.4.-1” – Izveidot viedo līgumu izveides, apstrādes un uzglabāšanas tiesisko regulējumu un tehnoloģisko platformu un to pielietojumu ieviešanas plānu </w:t>
            </w:r>
            <w:r w:rsidRPr="009841AB">
              <w:t xml:space="preserve">mērķis un būtība. Tāpat ņemot vērā minētajā sadaļā norādīto, ka “šobrīd iecere ir agrīnā stadijā”, nav saprotams, kā norādītajā termiņā (t.i. 2024.gads) tiks izveidota viedo līgumu tehnoloģisko platformu. </w:t>
            </w:r>
          </w:p>
        </w:tc>
        <w:tc>
          <w:tcPr>
            <w:tcW w:w="2480" w:type="dxa"/>
            <w:tcBorders>
              <w:left w:val="single" w:sz="6" w:space="0" w:color="000000" w:themeColor="text1"/>
              <w:bottom w:val="single" w:sz="4" w:space="0" w:color="auto"/>
            </w:tcBorders>
            <w:shd w:val="clear" w:color="auto" w:fill="auto"/>
          </w:tcPr>
          <w:p w14:paraId="7329A618" w14:textId="77777777" w:rsidR="00C27D3F" w:rsidRPr="00D264F6" w:rsidRDefault="00C27D3F" w:rsidP="00C27D3F">
            <w:pPr>
              <w:pStyle w:val="naisc"/>
              <w:spacing w:before="0" w:after="0"/>
              <w:jc w:val="left"/>
              <w:rPr>
                <w:b/>
                <w:bCs/>
              </w:rPr>
            </w:pPr>
            <w:r w:rsidRPr="009841AB">
              <w:rPr>
                <w:b/>
                <w:bCs/>
              </w:rPr>
              <w:lastRenderedPageBreak/>
              <w:t xml:space="preserve">Ņemts vērā </w:t>
            </w:r>
          </w:p>
          <w:p w14:paraId="1FD5EABF" w14:textId="77777777" w:rsidR="00C27D3F" w:rsidRPr="009841AB" w:rsidRDefault="00C27D3F" w:rsidP="00C27D3F">
            <w:pPr>
              <w:pStyle w:val="naisc"/>
              <w:spacing w:before="0" w:after="0"/>
              <w:jc w:val="left"/>
              <w:rPr>
                <w:b/>
                <w:bCs/>
              </w:rPr>
            </w:pPr>
            <w:r w:rsidRPr="009841AB">
              <w:t xml:space="preserve">Rīcības </w:t>
            </w:r>
            <w:proofErr w:type="spellStart"/>
            <w:r w:rsidRPr="009841AB">
              <w:t>apakšvirziens</w:t>
            </w:r>
            <w:proofErr w:type="spellEnd"/>
            <w:r w:rsidRPr="009841AB">
              <w:t xml:space="preserve"> svītrots.</w:t>
            </w:r>
          </w:p>
        </w:tc>
        <w:tc>
          <w:tcPr>
            <w:tcW w:w="3497" w:type="dxa"/>
            <w:tcBorders>
              <w:left w:val="single" w:sz="6" w:space="0" w:color="000000" w:themeColor="text1"/>
              <w:bottom w:val="single" w:sz="4" w:space="0" w:color="auto"/>
            </w:tcBorders>
            <w:shd w:val="clear" w:color="auto" w:fill="auto"/>
          </w:tcPr>
          <w:p w14:paraId="6C9B56F5" w14:textId="77777777" w:rsidR="00C27D3F" w:rsidRPr="009841AB" w:rsidRDefault="00C27D3F" w:rsidP="00C27D3F">
            <w:pPr>
              <w:pStyle w:val="naisc"/>
              <w:spacing w:before="0" w:after="0"/>
              <w:jc w:val="both"/>
            </w:pPr>
            <w:r w:rsidRPr="009841AB">
              <w:t xml:space="preserve">Lūdzam skatīt </w:t>
            </w:r>
            <w:proofErr w:type="spellStart"/>
            <w:r w:rsidRPr="009841AB">
              <w:t>apakšsadaļu</w:t>
            </w:r>
            <w:proofErr w:type="spellEnd"/>
            <w:r w:rsidRPr="009841AB">
              <w:t xml:space="preserve"> 4.4.</w:t>
            </w:r>
          </w:p>
        </w:tc>
      </w:tr>
      <w:tr w:rsidR="00C27D3F" w:rsidRPr="009841AB" w14:paraId="400B3D0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B07EC7A" w14:textId="77777777" w:rsidR="00C27D3F" w:rsidRPr="009841AB" w:rsidRDefault="00C27D3F" w:rsidP="00C27D3F">
            <w:pPr>
              <w:pStyle w:val="naisc"/>
              <w:spacing w:before="0" w:after="0"/>
            </w:pPr>
            <w:r w:rsidRPr="009841AB">
              <w:lastRenderedPageBreak/>
              <w:t>3</w:t>
            </w:r>
            <w:r w:rsidR="009D44C8">
              <w:t>96</w:t>
            </w:r>
          </w:p>
        </w:tc>
        <w:tc>
          <w:tcPr>
            <w:tcW w:w="2427" w:type="dxa"/>
            <w:tcBorders>
              <w:left w:val="single" w:sz="6" w:space="0" w:color="000000" w:themeColor="text1"/>
              <w:bottom w:val="single" w:sz="4" w:space="0" w:color="auto"/>
            </w:tcBorders>
            <w:shd w:val="clear" w:color="auto" w:fill="auto"/>
          </w:tcPr>
          <w:p w14:paraId="7A081155"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28DE464" w14:textId="77777777" w:rsidR="00C27D3F" w:rsidRPr="009841AB" w:rsidRDefault="00C27D3F" w:rsidP="00C27D3F">
            <w:pPr>
              <w:spacing w:line="276" w:lineRule="auto"/>
            </w:pPr>
            <w:r w:rsidRPr="009841AB">
              <w:t xml:space="preserve">11. Lūdzam 4.4.4. Rīcības virzienu “Vides pārvaldības un attīstības plānošanas </w:t>
            </w:r>
            <w:proofErr w:type="spellStart"/>
            <w:r w:rsidRPr="009841AB">
              <w:t>digitalizācija</w:t>
            </w:r>
            <w:proofErr w:type="spellEnd"/>
            <w:r w:rsidRPr="009841AB">
              <w:t>” izteikt jaunā redakcija: “Telpisko digitālo risinājumu specifika un to izmantošanas potenciāls”. Pašlaik vārds “vide” sabiedrībā asociējas ar šaurāko jautājumu loku, kas neietver daudzos gadījumos infrastruktūras pārvaldības jautājumus, satiksmes jautājumus un daļēji ietver būves un inženierbūves jautājumu risināšanu. Jāatceras, ka būtisks jautājums ir arī kultūrmantojuma pārvaldība. Jautājumu loku, kas sabiedrībai ir skaidroti caur  “vides jautājumiem” atspoguļo CSP (</w:t>
            </w:r>
            <w:r w:rsidRPr="009841AB">
              <w:rPr>
                <w:i/>
                <w:iCs/>
              </w:rPr>
              <w:t>skat. https://www.csb.gov.lv/lv/statistika/statistikas-</w:t>
            </w:r>
            <w:r w:rsidRPr="009841AB">
              <w:rPr>
                <w:i/>
                <w:iCs/>
              </w:rPr>
              <w:lastRenderedPageBreak/>
              <w:t>temas/vide-energetika/laika-apstakli/meklet-tema/428-latvijas-vide-skaitlos-2019-gada-klimata</w:t>
            </w:r>
            <w:r w:rsidRPr="009841AB">
              <w:t>) pārskats.</w:t>
            </w:r>
          </w:p>
        </w:tc>
        <w:tc>
          <w:tcPr>
            <w:tcW w:w="2480" w:type="dxa"/>
            <w:tcBorders>
              <w:left w:val="single" w:sz="6" w:space="0" w:color="000000" w:themeColor="text1"/>
              <w:bottom w:val="single" w:sz="4" w:space="0" w:color="auto"/>
            </w:tcBorders>
            <w:shd w:val="clear" w:color="auto" w:fill="auto"/>
          </w:tcPr>
          <w:p w14:paraId="387F8335" w14:textId="77777777" w:rsidR="00C27D3F" w:rsidRPr="00D264F6" w:rsidRDefault="00C27D3F" w:rsidP="00C27D3F">
            <w:pPr>
              <w:pStyle w:val="naisc"/>
              <w:spacing w:before="0" w:after="0"/>
              <w:jc w:val="left"/>
              <w:rPr>
                <w:b/>
                <w:bCs/>
              </w:rPr>
            </w:pPr>
            <w:r w:rsidRPr="009841AB">
              <w:rPr>
                <w:b/>
                <w:bCs/>
              </w:rPr>
              <w:lastRenderedPageBreak/>
              <w:t xml:space="preserve">Ņemts vērā </w:t>
            </w:r>
          </w:p>
          <w:p w14:paraId="0ED9488C" w14:textId="77777777" w:rsidR="00C27D3F" w:rsidRPr="009841AB" w:rsidRDefault="00C27D3F" w:rsidP="00C27D3F">
            <w:pPr>
              <w:pStyle w:val="naisc"/>
              <w:spacing w:before="0" w:after="0"/>
              <w:jc w:val="left"/>
              <w:rPr>
                <w:b/>
                <w:bCs/>
              </w:rPr>
            </w:pPr>
            <w:r w:rsidRPr="009841AB">
              <w:t>Atbilstoši kontekstam jēdziens "vides pārvaldība" aizstāts ar jēdzienu "fiziskās telpas pārvaldība".</w:t>
            </w:r>
          </w:p>
        </w:tc>
        <w:tc>
          <w:tcPr>
            <w:tcW w:w="3497" w:type="dxa"/>
            <w:tcBorders>
              <w:left w:val="single" w:sz="6" w:space="0" w:color="000000" w:themeColor="text1"/>
              <w:bottom w:val="single" w:sz="4" w:space="0" w:color="auto"/>
            </w:tcBorders>
            <w:shd w:val="clear" w:color="auto" w:fill="auto"/>
          </w:tcPr>
          <w:p w14:paraId="40C0D07E"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4.4.4.</w:t>
            </w:r>
          </w:p>
        </w:tc>
      </w:tr>
      <w:tr w:rsidR="00C27D3F" w:rsidRPr="009841AB" w14:paraId="610E6C7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A3010EE" w14:textId="77777777" w:rsidR="00C27D3F" w:rsidRPr="009841AB" w:rsidRDefault="00C27D3F" w:rsidP="00C27D3F">
            <w:pPr>
              <w:pStyle w:val="naisc"/>
              <w:spacing w:before="0" w:after="0"/>
            </w:pPr>
            <w:r w:rsidRPr="009841AB">
              <w:t>3</w:t>
            </w:r>
            <w:r w:rsidR="0059371A">
              <w:t>97</w:t>
            </w:r>
          </w:p>
        </w:tc>
        <w:tc>
          <w:tcPr>
            <w:tcW w:w="2427" w:type="dxa"/>
            <w:tcBorders>
              <w:left w:val="single" w:sz="6" w:space="0" w:color="000000" w:themeColor="text1"/>
              <w:bottom w:val="single" w:sz="4" w:space="0" w:color="auto"/>
            </w:tcBorders>
            <w:shd w:val="clear" w:color="auto" w:fill="auto"/>
          </w:tcPr>
          <w:p w14:paraId="71062B76"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4BE4621" w14:textId="77777777" w:rsidR="00C27D3F" w:rsidRPr="009841AB" w:rsidRDefault="00C27D3F" w:rsidP="00C27D3F">
            <w:pPr>
              <w:spacing w:line="276" w:lineRule="auto"/>
            </w:pPr>
            <w:r w:rsidRPr="009841AB">
              <w:t xml:space="preserve">12. Lūdzam visā 4.4.4 Rīcības virzienā “Vides pārvaldības un attīstības plānošanas </w:t>
            </w:r>
            <w:proofErr w:type="spellStart"/>
            <w:r w:rsidRPr="009841AB">
              <w:t>digitalizācija</w:t>
            </w:r>
            <w:proofErr w:type="spellEnd"/>
            <w:r w:rsidRPr="009841AB">
              <w:t xml:space="preserve">” vārdus “vides pārvaldība” aizstāt ar citiem atbilstošākiem vārdiem, piemēram “telpas pārvaldība”, “teritorijas pārvaldība”. Ja skatāmies ar nākotnes perspektīvu būtu jālieto terminoloģiju, kas ievirza 3Dimensiju vai pat 4Dimensiju domāšanu, jo kartes klasiskajā izpratnē ir 2Dimensiju domāšana. Domāšanas kartes līmeņi ir obligātais minimums, bet īsta nākotnē ir telpiskā domāšanā, tas ir strādāt ar visam trim dimensijām  un izmantot faktu, notikumu un  vēstures dimensijas, jo tāda līmeņa datu apstrāde dos iespēju pāriet no statistikas pieejas uz analītisko, atvērot iespēju veidot prognozēšanas modeļus un mākslīgā intelekta priekšrocību izmantošanas iespējas. Aicinām dokumentā iestrādāt vīziju par ģeotelpiskas analīzes dimensijas izmantošanu sabiedrības procesos plašākā apjomā, nekā datu </w:t>
            </w:r>
            <w:proofErr w:type="spellStart"/>
            <w:r w:rsidRPr="009841AB">
              <w:t>vizualizācija</w:t>
            </w:r>
            <w:proofErr w:type="spellEnd"/>
            <w:r w:rsidRPr="009841AB">
              <w:t xml:space="preserve"> kartēs.</w:t>
            </w:r>
          </w:p>
        </w:tc>
        <w:tc>
          <w:tcPr>
            <w:tcW w:w="2480" w:type="dxa"/>
            <w:tcBorders>
              <w:left w:val="single" w:sz="6" w:space="0" w:color="000000" w:themeColor="text1"/>
              <w:bottom w:val="single" w:sz="4" w:space="0" w:color="auto"/>
            </w:tcBorders>
            <w:shd w:val="clear" w:color="auto" w:fill="auto"/>
          </w:tcPr>
          <w:p w14:paraId="629527FE" w14:textId="77777777" w:rsidR="00C27D3F" w:rsidRPr="00D264F6" w:rsidRDefault="00C27D3F" w:rsidP="00C27D3F">
            <w:pPr>
              <w:pStyle w:val="naisc"/>
              <w:spacing w:before="0" w:after="0"/>
              <w:jc w:val="left"/>
              <w:rPr>
                <w:b/>
                <w:bCs/>
              </w:rPr>
            </w:pPr>
            <w:r w:rsidRPr="009841AB">
              <w:rPr>
                <w:b/>
                <w:bCs/>
              </w:rPr>
              <w:t xml:space="preserve">Ņemts vērā </w:t>
            </w:r>
          </w:p>
          <w:p w14:paraId="0F2C2A78" w14:textId="77777777" w:rsidR="00C27D3F" w:rsidRPr="009841AB" w:rsidRDefault="00C27D3F" w:rsidP="00C27D3F">
            <w:pPr>
              <w:pStyle w:val="naisc"/>
              <w:spacing w:before="0" w:after="0"/>
              <w:jc w:val="left"/>
              <w:rPr>
                <w:b/>
                <w:bCs/>
              </w:rPr>
            </w:pPr>
            <w:r w:rsidRPr="009841AB">
              <w:t>Rīcības nolūks papildināts.</w:t>
            </w:r>
          </w:p>
        </w:tc>
        <w:tc>
          <w:tcPr>
            <w:tcW w:w="3497" w:type="dxa"/>
            <w:tcBorders>
              <w:left w:val="single" w:sz="6" w:space="0" w:color="000000" w:themeColor="text1"/>
              <w:bottom w:val="single" w:sz="4" w:space="0" w:color="auto"/>
            </w:tcBorders>
            <w:shd w:val="clear" w:color="auto" w:fill="auto"/>
          </w:tcPr>
          <w:p w14:paraId="2C66065A" w14:textId="77777777" w:rsidR="00C27D3F" w:rsidRPr="009841AB" w:rsidRDefault="00C27D3F" w:rsidP="00C27D3F">
            <w:pPr>
              <w:pStyle w:val="naisc"/>
              <w:spacing w:before="0" w:after="0"/>
              <w:jc w:val="both"/>
            </w:pPr>
            <w:r w:rsidRPr="009841AB">
              <w:t xml:space="preserve">Lūdzam skatīt </w:t>
            </w:r>
            <w:proofErr w:type="spellStart"/>
            <w:r w:rsidRPr="009841AB">
              <w:t>apakšsadaļu</w:t>
            </w:r>
            <w:proofErr w:type="spellEnd"/>
            <w:r w:rsidRPr="009841AB">
              <w:t xml:space="preserve"> 4.4.4.</w:t>
            </w:r>
          </w:p>
        </w:tc>
      </w:tr>
      <w:tr w:rsidR="00C27D3F" w:rsidRPr="009841AB" w14:paraId="1C21967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16496F6" w14:textId="77777777" w:rsidR="00C27D3F" w:rsidRPr="009841AB" w:rsidRDefault="00C27D3F" w:rsidP="00C27D3F">
            <w:pPr>
              <w:pStyle w:val="naisc"/>
              <w:spacing w:before="0" w:after="0"/>
            </w:pPr>
            <w:r w:rsidRPr="009841AB">
              <w:t>3</w:t>
            </w:r>
            <w:r w:rsidR="0059371A">
              <w:t>98</w:t>
            </w:r>
          </w:p>
        </w:tc>
        <w:tc>
          <w:tcPr>
            <w:tcW w:w="2427" w:type="dxa"/>
            <w:tcBorders>
              <w:left w:val="single" w:sz="6" w:space="0" w:color="000000" w:themeColor="text1"/>
              <w:bottom w:val="single" w:sz="4" w:space="0" w:color="auto"/>
            </w:tcBorders>
            <w:shd w:val="clear" w:color="auto" w:fill="auto"/>
          </w:tcPr>
          <w:p w14:paraId="0AFFFA8A"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93B4931" w14:textId="77777777" w:rsidR="00C27D3F" w:rsidRPr="009841AB" w:rsidRDefault="00C27D3F" w:rsidP="00C27D3F">
            <w:pPr>
              <w:spacing w:line="276" w:lineRule="auto"/>
            </w:pPr>
            <w:r w:rsidRPr="009841AB">
              <w:t xml:space="preserve">13. Lūdzam izteikt 4.4.4 Rīcības virziena “Vides pārvaldības un attīstības plānošanas </w:t>
            </w:r>
            <w:proofErr w:type="spellStart"/>
            <w:r w:rsidRPr="009841AB">
              <w:t>digitalizācija</w:t>
            </w:r>
            <w:proofErr w:type="spellEnd"/>
            <w:r w:rsidRPr="009841AB">
              <w:t xml:space="preserve">” vīzijas sadaļu šādā redakcijā: “Sabiedrība un komersanti apzinās savu iesaisti un atbildību ilgtspējīgas Latvijas teritorijas un telpas pārvaldīšanā un attīstībā, vides saglabāšanā un attīstībā, piedaloties teritorijas un to datu pārvaldības procesos. Digitālās tehnoloģijas veicina būtisku telpas, vides pārvaldības </w:t>
            </w:r>
            <w:r w:rsidRPr="009841AB">
              <w:lastRenderedPageBreak/>
              <w:t>un teritoriju plānošanas attīstības progresu. Izmantojot digitālos risinājumus, Latvijas telpas pārvaldībā maksimāli samazināts manuāla un klātienes darba apjoms, uzlabota informācijas kvalitāte situācijas novērtēšanai un datos balstītu lēmumu pieņemšanai.”</w:t>
            </w:r>
          </w:p>
        </w:tc>
        <w:tc>
          <w:tcPr>
            <w:tcW w:w="2480" w:type="dxa"/>
            <w:tcBorders>
              <w:left w:val="single" w:sz="6" w:space="0" w:color="000000" w:themeColor="text1"/>
              <w:bottom w:val="single" w:sz="4" w:space="0" w:color="auto"/>
            </w:tcBorders>
            <w:shd w:val="clear" w:color="auto" w:fill="auto"/>
          </w:tcPr>
          <w:p w14:paraId="12739F9A" w14:textId="77777777" w:rsidR="00C27D3F" w:rsidRPr="00D264F6" w:rsidRDefault="00C27D3F" w:rsidP="00C27D3F">
            <w:pPr>
              <w:pStyle w:val="naisc"/>
              <w:spacing w:before="0" w:after="0"/>
              <w:jc w:val="left"/>
              <w:rPr>
                <w:b/>
                <w:bCs/>
              </w:rPr>
            </w:pPr>
            <w:r w:rsidRPr="009841AB">
              <w:rPr>
                <w:b/>
                <w:bCs/>
              </w:rPr>
              <w:lastRenderedPageBreak/>
              <w:t xml:space="preserve">Ņemts vērā </w:t>
            </w:r>
          </w:p>
          <w:p w14:paraId="78BE9B04" w14:textId="77777777" w:rsidR="00C27D3F" w:rsidRPr="009841AB" w:rsidRDefault="00C27D3F" w:rsidP="00C27D3F">
            <w:pPr>
              <w:pStyle w:val="naisc"/>
              <w:spacing w:before="0" w:after="0"/>
              <w:jc w:val="left"/>
              <w:rPr>
                <w:b/>
                <w:bCs/>
              </w:rPr>
            </w:pPr>
            <w:r w:rsidRPr="009841AB">
              <w:t>Precizēta vīzija</w:t>
            </w:r>
          </w:p>
        </w:tc>
        <w:tc>
          <w:tcPr>
            <w:tcW w:w="3497" w:type="dxa"/>
            <w:tcBorders>
              <w:left w:val="single" w:sz="6" w:space="0" w:color="000000" w:themeColor="text1"/>
              <w:bottom w:val="single" w:sz="4" w:space="0" w:color="auto"/>
            </w:tcBorders>
            <w:shd w:val="clear" w:color="auto" w:fill="auto"/>
          </w:tcPr>
          <w:p w14:paraId="434DD643"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4.4.4.</w:t>
            </w:r>
          </w:p>
        </w:tc>
      </w:tr>
      <w:tr w:rsidR="00C27D3F" w:rsidRPr="009841AB" w14:paraId="2F77B71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F97248F" w14:textId="77777777" w:rsidR="00C27D3F" w:rsidRPr="009841AB" w:rsidRDefault="00C27D3F" w:rsidP="00C27D3F">
            <w:pPr>
              <w:pStyle w:val="naisc"/>
              <w:spacing w:before="0" w:after="0"/>
            </w:pPr>
            <w:r w:rsidRPr="009841AB">
              <w:t>3</w:t>
            </w:r>
            <w:r w:rsidR="0059371A">
              <w:t>99</w:t>
            </w:r>
          </w:p>
        </w:tc>
        <w:tc>
          <w:tcPr>
            <w:tcW w:w="2427" w:type="dxa"/>
            <w:tcBorders>
              <w:left w:val="single" w:sz="6" w:space="0" w:color="000000" w:themeColor="text1"/>
              <w:bottom w:val="single" w:sz="4" w:space="0" w:color="auto"/>
            </w:tcBorders>
            <w:shd w:val="clear" w:color="auto" w:fill="auto"/>
          </w:tcPr>
          <w:p w14:paraId="7462520B" w14:textId="77777777" w:rsidR="00C27D3F" w:rsidRPr="009841AB" w:rsidRDefault="00C27D3F" w:rsidP="00C27D3F">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AF276DD" w14:textId="77777777" w:rsidR="00C27D3F" w:rsidRPr="009841AB" w:rsidRDefault="00C27D3F" w:rsidP="00C27D3F">
            <w:pPr>
              <w:spacing w:line="276" w:lineRule="auto"/>
            </w:pPr>
            <w:r w:rsidRPr="009841AB">
              <w:t xml:space="preserve">14. Lūdzam 4.4.4. Rīcības virziena “Vides pārvaldības un attīstības plānošanas </w:t>
            </w:r>
            <w:proofErr w:type="spellStart"/>
            <w:r w:rsidRPr="009841AB">
              <w:t>digitalizācija</w:t>
            </w:r>
            <w:proofErr w:type="spellEnd"/>
            <w:r w:rsidRPr="009841AB">
              <w:t xml:space="preserve">” sadaļā “Ģeotelpisko datu pieejamība” svītrot 5.punktu: </w:t>
            </w:r>
            <w:r w:rsidRPr="009841AB">
              <w:rPr>
                <w:i/>
                <w:iCs/>
              </w:rPr>
              <w:t>“Valsts neiegūst, piemēram, dividendēs finansējumu, ko valsts īpašumā esošās kapitālsabiedrības novirza ģeotelpisko datu iegādei no valsts institūcijām.”</w:t>
            </w:r>
            <w:r w:rsidRPr="009841AB">
              <w:t xml:space="preserve"> Vēršam uzmanību, ka pazīme par kapitāla piederību valstij rāda iespēju konkurences kropļošanai, jo visiem tirgus dalībniekiem ir jābūt vienādiem nosacījumiem.</w:t>
            </w:r>
          </w:p>
        </w:tc>
        <w:tc>
          <w:tcPr>
            <w:tcW w:w="2480" w:type="dxa"/>
            <w:tcBorders>
              <w:left w:val="single" w:sz="6" w:space="0" w:color="000000" w:themeColor="text1"/>
              <w:bottom w:val="single" w:sz="4" w:space="0" w:color="auto"/>
            </w:tcBorders>
            <w:shd w:val="clear" w:color="auto" w:fill="auto"/>
          </w:tcPr>
          <w:p w14:paraId="42C6FAB0" w14:textId="77777777" w:rsidR="00C27D3F" w:rsidRPr="00D264F6" w:rsidRDefault="00C27D3F" w:rsidP="00C27D3F">
            <w:pPr>
              <w:pStyle w:val="naisc"/>
              <w:spacing w:before="0" w:after="0"/>
              <w:jc w:val="left"/>
              <w:rPr>
                <w:b/>
                <w:bCs/>
              </w:rPr>
            </w:pPr>
            <w:r w:rsidRPr="009841AB">
              <w:rPr>
                <w:b/>
                <w:bCs/>
              </w:rPr>
              <w:t xml:space="preserve">Ņemts vērā </w:t>
            </w:r>
          </w:p>
          <w:p w14:paraId="668C1C42" w14:textId="77777777" w:rsidR="00C27D3F" w:rsidRPr="009841AB" w:rsidRDefault="00C27D3F" w:rsidP="00C27D3F">
            <w:pPr>
              <w:pStyle w:val="naisc"/>
              <w:spacing w:before="0" w:after="0"/>
              <w:jc w:val="left"/>
              <w:rPr>
                <w:b/>
                <w:bCs/>
              </w:rPr>
            </w:pPr>
            <w:r w:rsidRPr="009841AB">
              <w:t>Punkts dzēsts.</w:t>
            </w:r>
          </w:p>
        </w:tc>
        <w:tc>
          <w:tcPr>
            <w:tcW w:w="3497" w:type="dxa"/>
            <w:tcBorders>
              <w:left w:val="single" w:sz="6" w:space="0" w:color="000000" w:themeColor="text1"/>
              <w:bottom w:val="single" w:sz="4" w:space="0" w:color="auto"/>
            </w:tcBorders>
            <w:shd w:val="clear" w:color="auto" w:fill="auto"/>
          </w:tcPr>
          <w:p w14:paraId="28250684" w14:textId="77777777" w:rsidR="00C27D3F" w:rsidRPr="009841AB" w:rsidRDefault="00C27D3F" w:rsidP="00C27D3F">
            <w:pPr>
              <w:pStyle w:val="naisc"/>
              <w:spacing w:before="0" w:after="0"/>
              <w:jc w:val="left"/>
            </w:pPr>
            <w:r w:rsidRPr="009841AB">
              <w:t xml:space="preserve">Lūdzam skatīt </w:t>
            </w:r>
            <w:proofErr w:type="spellStart"/>
            <w:r w:rsidRPr="009841AB">
              <w:t>apakšsadaļu</w:t>
            </w:r>
            <w:proofErr w:type="spellEnd"/>
            <w:r w:rsidRPr="009841AB">
              <w:t xml:space="preserve"> 4.4.4.</w:t>
            </w:r>
          </w:p>
        </w:tc>
      </w:tr>
      <w:tr w:rsidR="003E3135" w:rsidRPr="009841AB" w14:paraId="3712901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EB6DB19" w14:textId="77777777" w:rsidR="003E3135" w:rsidRPr="009841AB" w:rsidRDefault="0059371A" w:rsidP="003E3135">
            <w:pPr>
              <w:pStyle w:val="naisc"/>
              <w:spacing w:before="0" w:after="0"/>
            </w:pPr>
            <w:r>
              <w:t>400</w:t>
            </w:r>
          </w:p>
        </w:tc>
        <w:tc>
          <w:tcPr>
            <w:tcW w:w="2427" w:type="dxa"/>
            <w:tcBorders>
              <w:left w:val="single" w:sz="6" w:space="0" w:color="000000" w:themeColor="text1"/>
              <w:bottom w:val="single" w:sz="4" w:space="0" w:color="auto"/>
            </w:tcBorders>
            <w:shd w:val="clear" w:color="auto" w:fill="auto"/>
          </w:tcPr>
          <w:p w14:paraId="68001257" w14:textId="77777777" w:rsidR="003E3135" w:rsidRPr="009841AB" w:rsidRDefault="003E3135" w:rsidP="003E3135">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5CC7FA6" w14:textId="77777777" w:rsidR="003E3135" w:rsidRPr="009841AB" w:rsidRDefault="003E3135" w:rsidP="003E3135">
            <w:pPr>
              <w:spacing w:line="276" w:lineRule="auto"/>
            </w:pPr>
            <w:r w:rsidRPr="009841AB">
              <w:t xml:space="preserve">15. Lūdzam 4.4.4. Rīcības virziena “Vides pārvaldības un attīstības plānošanas </w:t>
            </w:r>
            <w:proofErr w:type="spellStart"/>
            <w:r w:rsidRPr="009841AB">
              <w:t>digitalizācija</w:t>
            </w:r>
            <w:proofErr w:type="spellEnd"/>
            <w:r w:rsidRPr="009841AB">
              <w:t xml:space="preserve">” sadaļu “Ģeotelpisko datu pieejamība” papildināt ar jaunu punktu: “Ģeotelpisko datu </w:t>
            </w:r>
            <w:proofErr w:type="spellStart"/>
            <w:r w:rsidRPr="009841AB">
              <w:t>digitalizācijas</w:t>
            </w:r>
            <w:proofErr w:type="spellEnd"/>
            <w:r w:rsidRPr="009841AB">
              <w:t xml:space="preserve"> un apstrādes esošie procesi nav veidoti, lai varētu izmantot efektīvi vienlaikus ar teksta datiem, datu uzkrāšana nenotiek laika dimensijā, kas būtiski samazina datu izmantošanas potenciālo analītikas un prognozēšanas vajadzībām nākotnē.”</w:t>
            </w:r>
          </w:p>
        </w:tc>
        <w:tc>
          <w:tcPr>
            <w:tcW w:w="2480" w:type="dxa"/>
            <w:tcBorders>
              <w:left w:val="single" w:sz="6" w:space="0" w:color="000000" w:themeColor="text1"/>
              <w:bottom w:val="single" w:sz="4" w:space="0" w:color="auto"/>
            </w:tcBorders>
            <w:shd w:val="clear" w:color="auto" w:fill="auto"/>
          </w:tcPr>
          <w:p w14:paraId="714A00A8" w14:textId="77777777" w:rsidR="003E3135" w:rsidRPr="009841AB" w:rsidRDefault="003E3135" w:rsidP="003E3135">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3F0828D0" w14:textId="77777777" w:rsidR="003E3135" w:rsidRPr="009841AB" w:rsidRDefault="003E3135" w:rsidP="003E3135">
            <w:pPr>
              <w:pStyle w:val="naisc"/>
              <w:spacing w:before="0" w:after="0"/>
              <w:jc w:val="left"/>
            </w:pPr>
            <w:r w:rsidRPr="009841AB">
              <w:t xml:space="preserve">Lūdzam skatīt </w:t>
            </w:r>
            <w:proofErr w:type="spellStart"/>
            <w:r w:rsidRPr="009841AB">
              <w:t>apakšsadaļu</w:t>
            </w:r>
            <w:proofErr w:type="spellEnd"/>
            <w:r w:rsidRPr="009841AB">
              <w:t xml:space="preserve"> 4.4.4.</w:t>
            </w:r>
          </w:p>
        </w:tc>
      </w:tr>
      <w:tr w:rsidR="003E3135" w:rsidRPr="009841AB" w14:paraId="78F48CD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E2EF56F" w14:textId="77777777" w:rsidR="003E3135" w:rsidRPr="009841AB" w:rsidRDefault="0059371A" w:rsidP="003E3135">
            <w:pPr>
              <w:pStyle w:val="naisc"/>
              <w:spacing w:before="0" w:after="0"/>
            </w:pPr>
            <w:r>
              <w:t>401</w:t>
            </w:r>
          </w:p>
        </w:tc>
        <w:tc>
          <w:tcPr>
            <w:tcW w:w="2427" w:type="dxa"/>
            <w:tcBorders>
              <w:left w:val="single" w:sz="6" w:space="0" w:color="000000" w:themeColor="text1"/>
              <w:bottom w:val="single" w:sz="4" w:space="0" w:color="auto"/>
            </w:tcBorders>
            <w:shd w:val="clear" w:color="auto" w:fill="auto"/>
          </w:tcPr>
          <w:p w14:paraId="4A8A81CF" w14:textId="77777777" w:rsidR="003E3135" w:rsidRPr="009841AB" w:rsidRDefault="003E3135" w:rsidP="003E3135">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EA2BDE9" w14:textId="77777777" w:rsidR="003E3135" w:rsidRPr="009841AB" w:rsidRDefault="003E3135" w:rsidP="003E3135">
            <w:pPr>
              <w:spacing w:line="276" w:lineRule="auto"/>
            </w:pPr>
            <w:r w:rsidRPr="009841AB">
              <w:t xml:space="preserve">16. Lūdzam 4.4.4. Rīcības virziena “Vides pārvaldības un attīstības plānošanas </w:t>
            </w:r>
            <w:proofErr w:type="spellStart"/>
            <w:r w:rsidRPr="009841AB">
              <w:t>digitalizācija</w:t>
            </w:r>
            <w:proofErr w:type="spellEnd"/>
            <w:r w:rsidRPr="009841AB">
              <w:t xml:space="preserve">” sadaļu “Ģeotelpisko datu pieejamība” papildināt ar jaunu punktu: “Teritorijas raksturojošo un ģeotelpisko datu uzkrāšanā un apstrādē nav pilnībā ieviesta datu </w:t>
            </w:r>
            <w:r w:rsidRPr="009841AB">
              <w:lastRenderedPageBreak/>
              <w:t xml:space="preserve">piekļuves politika, kas balstās uz nacionālo drošības risku </w:t>
            </w:r>
            <w:proofErr w:type="spellStart"/>
            <w:r w:rsidRPr="009841AB">
              <w:t>izvērtējumu</w:t>
            </w:r>
            <w:proofErr w:type="spellEnd"/>
            <w:r w:rsidRPr="009841AB">
              <w:t>.”</w:t>
            </w:r>
          </w:p>
        </w:tc>
        <w:tc>
          <w:tcPr>
            <w:tcW w:w="2480" w:type="dxa"/>
            <w:tcBorders>
              <w:left w:val="single" w:sz="6" w:space="0" w:color="000000" w:themeColor="text1"/>
              <w:bottom w:val="single" w:sz="4" w:space="0" w:color="auto"/>
            </w:tcBorders>
            <w:shd w:val="clear" w:color="auto" w:fill="auto"/>
          </w:tcPr>
          <w:p w14:paraId="045C7A13" w14:textId="77777777" w:rsidR="003E3135" w:rsidRPr="009841AB" w:rsidRDefault="003E3135" w:rsidP="003E3135">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6AC3E9FD" w14:textId="77777777" w:rsidR="003E3135" w:rsidRPr="009841AB" w:rsidRDefault="003E3135" w:rsidP="003E3135">
            <w:pPr>
              <w:pStyle w:val="naisc"/>
              <w:spacing w:before="0" w:after="0"/>
              <w:jc w:val="left"/>
            </w:pPr>
            <w:r w:rsidRPr="009841AB">
              <w:t xml:space="preserve">Lūdzam skatīt </w:t>
            </w:r>
            <w:proofErr w:type="spellStart"/>
            <w:r w:rsidRPr="009841AB">
              <w:t>apakšsadaļu</w:t>
            </w:r>
            <w:proofErr w:type="spellEnd"/>
            <w:r w:rsidRPr="009841AB">
              <w:t xml:space="preserve"> 4.4.4.</w:t>
            </w:r>
          </w:p>
        </w:tc>
      </w:tr>
      <w:tr w:rsidR="0018109A" w:rsidRPr="009841AB" w14:paraId="2F21C58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8CCE116" w14:textId="77777777" w:rsidR="0018109A" w:rsidRPr="009841AB" w:rsidRDefault="0059371A" w:rsidP="0018109A">
            <w:pPr>
              <w:pStyle w:val="naisc"/>
              <w:spacing w:before="0" w:after="0"/>
            </w:pPr>
            <w:r>
              <w:t>402</w:t>
            </w:r>
          </w:p>
        </w:tc>
        <w:tc>
          <w:tcPr>
            <w:tcW w:w="2427" w:type="dxa"/>
            <w:tcBorders>
              <w:left w:val="single" w:sz="6" w:space="0" w:color="000000" w:themeColor="text1"/>
              <w:bottom w:val="single" w:sz="4" w:space="0" w:color="auto"/>
            </w:tcBorders>
            <w:shd w:val="clear" w:color="auto" w:fill="auto"/>
          </w:tcPr>
          <w:p w14:paraId="46E3EAEC"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0B84916" w14:textId="77777777" w:rsidR="0018109A" w:rsidRPr="009841AB" w:rsidRDefault="0018109A" w:rsidP="0018109A">
            <w:pPr>
              <w:spacing w:line="276" w:lineRule="auto"/>
            </w:pPr>
            <w:r w:rsidRPr="009841AB">
              <w:t xml:space="preserve">17. Lūdzam 4.4.4. Rīcības virziena “Vides pārvaldības un attīstības plānošanas </w:t>
            </w:r>
            <w:proofErr w:type="spellStart"/>
            <w:r w:rsidRPr="009841AB">
              <w:t>digitalizācija</w:t>
            </w:r>
            <w:proofErr w:type="spellEnd"/>
            <w:r w:rsidRPr="009841AB">
              <w:t xml:space="preserve">” sadaļas “Nepieciešamā rīcība” 1. un 2.punktu izteikt šādā redakcijā: </w:t>
            </w:r>
          </w:p>
          <w:p w14:paraId="28D8934E" w14:textId="77777777" w:rsidR="0018109A" w:rsidRPr="009841AB" w:rsidRDefault="0018109A" w:rsidP="0018109A">
            <w:pPr>
              <w:spacing w:line="276" w:lineRule="auto"/>
              <w:ind w:left="720"/>
            </w:pPr>
            <w:r w:rsidRPr="009841AB">
              <w:t xml:space="preserve">1. </w:t>
            </w:r>
            <w:r w:rsidRPr="009841AB">
              <w:rPr>
                <w:b/>
                <w:bCs/>
              </w:rPr>
              <w:t>Vienotas ģeotelpisko risinājumu arhitektūras</w:t>
            </w:r>
            <w:r w:rsidRPr="009841AB">
              <w:t xml:space="preserve"> un katra ģeotelpiskā risinājuma  izveides un ieviešanas modeļa izveide atbilstoši vienotajai arhitektūrai: </w:t>
            </w:r>
          </w:p>
          <w:p w14:paraId="1797E7A9" w14:textId="77777777" w:rsidR="0018109A" w:rsidRPr="009841AB" w:rsidRDefault="0018109A" w:rsidP="0018109A">
            <w:pPr>
              <w:spacing w:line="276" w:lineRule="auto"/>
              <w:ind w:left="1440"/>
            </w:pPr>
            <w:r w:rsidRPr="009841AB">
              <w:t>a. jāapzina valstī esošie teritorijas raksturojošie un ģeotelpiskie risinājumi, to arhitektūra un integrēšanas iespējas ar esošajiem risinājumiem un platformām;</w:t>
            </w:r>
          </w:p>
          <w:p w14:paraId="399F0D72" w14:textId="77777777" w:rsidR="0018109A" w:rsidRPr="009841AB" w:rsidRDefault="0018109A" w:rsidP="0018109A">
            <w:pPr>
              <w:spacing w:line="276" w:lineRule="auto"/>
              <w:ind w:left="1440"/>
            </w:pPr>
            <w:r w:rsidRPr="009841AB">
              <w:t xml:space="preserve">b. jādefinē teritorijas raksturojošo un ģeotelpisko datu risinājumiem nepieciešamā infrastruktūra; </w:t>
            </w:r>
          </w:p>
          <w:p w14:paraId="25D39A18" w14:textId="77777777" w:rsidR="0018109A" w:rsidRPr="009841AB" w:rsidRDefault="0018109A" w:rsidP="0018109A">
            <w:pPr>
              <w:spacing w:line="276" w:lineRule="auto"/>
              <w:ind w:left="1440"/>
            </w:pPr>
            <w:r w:rsidRPr="009841AB">
              <w:t>c. jānodrošina integrēta arhitektūras modeļa ieviešanas un uzturēšanas vadība un pārraudzība, nosakot par to atbildīgo organizāciju.</w:t>
            </w:r>
          </w:p>
          <w:p w14:paraId="41CB4FBA" w14:textId="77777777" w:rsidR="0018109A" w:rsidRPr="009841AB" w:rsidRDefault="0018109A" w:rsidP="0018109A">
            <w:pPr>
              <w:spacing w:line="276" w:lineRule="auto"/>
              <w:ind w:left="720"/>
            </w:pPr>
            <w:r w:rsidRPr="009841AB">
              <w:t xml:space="preserve">2. Vienotas teritorijas raksturojošo un </w:t>
            </w:r>
            <w:r w:rsidRPr="009841AB">
              <w:rPr>
                <w:b/>
                <w:bCs/>
              </w:rPr>
              <w:t>ģeotelpisko datu apmaiņas un izplatīšanas telpas izveide</w:t>
            </w:r>
            <w:r w:rsidRPr="009841AB">
              <w:t xml:space="preserve">, kurā pieejami kvalitatīvi, </w:t>
            </w:r>
            <w:proofErr w:type="spellStart"/>
            <w:r w:rsidRPr="009841AB">
              <w:t>digitalizēti</w:t>
            </w:r>
            <w:proofErr w:type="spellEnd"/>
            <w:r w:rsidRPr="009841AB">
              <w:t>, savietojami kartogrāfiskie un teksta dati:</w:t>
            </w:r>
          </w:p>
          <w:p w14:paraId="2FBE7793" w14:textId="77777777" w:rsidR="0018109A" w:rsidRPr="009841AB" w:rsidRDefault="0018109A" w:rsidP="0018109A">
            <w:pPr>
              <w:spacing w:line="276" w:lineRule="auto"/>
              <w:ind w:left="1440"/>
            </w:pPr>
            <w:r w:rsidRPr="009841AB">
              <w:t xml:space="preserve">a. jāveic valstī esošo vides un ģeotelpisko datu apzināšana (arī dati, kas nav </w:t>
            </w:r>
            <w:proofErr w:type="spellStart"/>
            <w:r w:rsidRPr="009841AB">
              <w:t>digitalizēti</w:t>
            </w:r>
            <w:proofErr w:type="spellEnd"/>
            <w:r w:rsidRPr="009841AB">
              <w:t>);</w:t>
            </w:r>
          </w:p>
          <w:p w14:paraId="38FE168C" w14:textId="77777777" w:rsidR="0018109A" w:rsidRPr="009841AB" w:rsidRDefault="0018109A" w:rsidP="0018109A">
            <w:pPr>
              <w:spacing w:line="276" w:lineRule="auto"/>
              <w:ind w:left="1440"/>
            </w:pPr>
            <w:r w:rsidRPr="009841AB">
              <w:lastRenderedPageBreak/>
              <w:t xml:space="preserve">b. atbilstoši 4.4.1. sadaļā “Pakalpojumu platformas” definētajiem principiem izveidojama vai attīstāma ģeotelpisko datu izplatīšanas platforma.  </w:t>
            </w:r>
          </w:p>
          <w:p w14:paraId="06B3D207" w14:textId="77777777" w:rsidR="0018109A" w:rsidRPr="009841AB" w:rsidRDefault="0018109A" w:rsidP="0018109A">
            <w:pPr>
              <w:spacing w:line="276" w:lineRule="auto"/>
              <w:ind w:left="1440"/>
            </w:pPr>
            <w:r w:rsidRPr="009841AB">
              <w:t>c. Teritorijas raksturojošo un ģeotelpisko datu uzkrāšanā un apstrādē ir jāievieš datu piekļuves politika, kas balstās uz nacionālo drošības risku invertējumu. “</w:t>
            </w:r>
          </w:p>
          <w:p w14:paraId="3B8D0FDD" w14:textId="77777777" w:rsidR="0018109A" w:rsidRPr="009841AB" w:rsidRDefault="0018109A" w:rsidP="0018109A">
            <w:pPr>
              <w:spacing w:line="276" w:lineRule="auto"/>
            </w:pPr>
            <w:r w:rsidRPr="009841AB">
              <w:t xml:space="preserve">Vienlaikus vēršam uzmanību, ka virkne risinājumi, kas uzskaitīti sadaļas “Nepieciešamā rīcība” 6.punktā “Izveidot sabiedrības iesaistes platformu vides pārvaldībā, nodrošinot </w:t>
            </w:r>
            <w:proofErr w:type="spellStart"/>
            <w:r w:rsidRPr="009841AB">
              <w:t>proaktīvu</w:t>
            </w:r>
            <w:proofErr w:type="spellEnd"/>
            <w:r w:rsidRPr="009841AB">
              <w:t>, vizuālu informācijas komunikāciju un apmaiņu” jau ir ieviesti, izmantojot Eiropas fondu līdzekļus.</w:t>
            </w:r>
          </w:p>
        </w:tc>
        <w:tc>
          <w:tcPr>
            <w:tcW w:w="2480" w:type="dxa"/>
            <w:tcBorders>
              <w:left w:val="single" w:sz="6" w:space="0" w:color="000000" w:themeColor="text1"/>
              <w:bottom w:val="single" w:sz="4" w:space="0" w:color="auto"/>
            </w:tcBorders>
            <w:shd w:val="clear" w:color="auto" w:fill="auto"/>
          </w:tcPr>
          <w:p w14:paraId="2DA66967" w14:textId="77777777" w:rsidR="0018109A" w:rsidRPr="009841AB" w:rsidRDefault="0018109A" w:rsidP="0018109A">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64265F45"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4.4.4.</w:t>
            </w:r>
          </w:p>
        </w:tc>
      </w:tr>
      <w:tr w:rsidR="0018109A" w:rsidRPr="009841AB" w14:paraId="7BDE7E4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DA31E90" w14:textId="77777777" w:rsidR="0018109A" w:rsidRPr="009841AB" w:rsidRDefault="0059371A" w:rsidP="0018109A">
            <w:pPr>
              <w:pStyle w:val="naisc"/>
              <w:spacing w:before="0" w:after="0"/>
            </w:pPr>
            <w:r>
              <w:t>403</w:t>
            </w:r>
          </w:p>
        </w:tc>
        <w:tc>
          <w:tcPr>
            <w:tcW w:w="2427" w:type="dxa"/>
            <w:tcBorders>
              <w:left w:val="single" w:sz="6" w:space="0" w:color="000000" w:themeColor="text1"/>
              <w:bottom w:val="single" w:sz="4" w:space="0" w:color="auto"/>
            </w:tcBorders>
            <w:shd w:val="clear" w:color="auto" w:fill="auto"/>
          </w:tcPr>
          <w:p w14:paraId="35D84A56"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5A89EC8" w14:textId="77777777" w:rsidR="0018109A" w:rsidRPr="009841AB" w:rsidRDefault="0018109A" w:rsidP="0018109A">
            <w:pPr>
              <w:spacing w:line="276" w:lineRule="auto"/>
            </w:pPr>
            <w:r w:rsidRPr="009841AB">
              <w:t xml:space="preserve">18. Lūdzam 4.4.4. Rīcības virziena “Vides pārvaldības un attīstības plānošanas </w:t>
            </w:r>
            <w:proofErr w:type="spellStart"/>
            <w:r w:rsidRPr="009841AB">
              <w:t>digitalizācija</w:t>
            </w:r>
            <w:proofErr w:type="spellEnd"/>
            <w:r w:rsidRPr="009841AB">
              <w:t>” sadaļā “Sagaidāmie rezultāti” izteikt 4.punktu šādā redakcijā: “Līdz 2027. gadam izveidots organizatoriskais un tiesiskais ietvars visu  valsts pārvaldē radīto un uzturēto bezmaksas ģeotelpisko datu apmaiņai, ievērojot nacionālas drošības intereses.”</w:t>
            </w:r>
          </w:p>
        </w:tc>
        <w:tc>
          <w:tcPr>
            <w:tcW w:w="2480" w:type="dxa"/>
            <w:tcBorders>
              <w:left w:val="single" w:sz="6" w:space="0" w:color="000000" w:themeColor="text1"/>
              <w:bottom w:val="single" w:sz="4" w:space="0" w:color="auto"/>
            </w:tcBorders>
            <w:shd w:val="clear" w:color="auto" w:fill="auto"/>
          </w:tcPr>
          <w:p w14:paraId="70E03AD1" w14:textId="77777777" w:rsidR="0018109A" w:rsidRPr="009841AB" w:rsidRDefault="0018109A" w:rsidP="0018109A">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653D4DCC"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4.4.4.</w:t>
            </w:r>
          </w:p>
        </w:tc>
      </w:tr>
      <w:tr w:rsidR="0018109A" w:rsidRPr="009841AB" w14:paraId="6AC4BBD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19F243D" w14:textId="77777777" w:rsidR="0018109A" w:rsidRPr="009841AB" w:rsidRDefault="0059371A" w:rsidP="0018109A">
            <w:pPr>
              <w:pStyle w:val="naisc"/>
              <w:spacing w:before="0" w:after="0"/>
            </w:pPr>
            <w:r>
              <w:t>404</w:t>
            </w:r>
          </w:p>
        </w:tc>
        <w:tc>
          <w:tcPr>
            <w:tcW w:w="2427" w:type="dxa"/>
            <w:tcBorders>
              <w:left w:val="single" w:sz="6" w:space="0" w:color="000000" w:themeColor="text1"/>
              <w:bottom w:val="single" w:sz="4" w:space="0" w:color="auto"/>
            </w:tcBorders>
            <w:shd w:val="clear" w:color="auto" w:fill="auto"/>
          </w:tcPr>
          <w:p w14:paraId="713E05B5"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36DF0E1" w14:textId="77777777" w:rsidR="0018109A" w:rsidRPr="009841AB" w:rsidRDefault="0018109A" w:rsidP="0018109A">
            <w:pPr>
              <w:spacing w:line="276" w:lineRule="auto"/>
            </w:pPr>
            <w:r w:rsidRPr="009841AB">
              <w:t>19. Lūdzam izteikt uzdevumu “U4.4.4.-4”, šādā redakcijā: “Izveidot teritorijas raksturojošo teksta un ģeotelpisko datu apmaiņas un izplatīšanas platformu, ieviešot datu piekļuves vadību atbilstoši nacionālās drošības interesēm.”</w:t>
            </w:r>
          </w:p>
        </w:tc>
        <w:tc>
          <w:tcPr>
            <w:tcW w:w="2480" w:type="dxa"/>
            <w:tcBorders>
              <w:left w:val="single" w:sz="6" w:space="0" w:color="000000" w:themeColor="text1"/>
              <w:bottom w:val="single" w:sz="4" w:space="0" w:color="auto"/>
            </w:tcBorders>
            <w:shd w:val="clear" w:color="auto" w:fill="auto"/>
          </w:tcPr>
          <w:p w14:paraId="5BBED8F4" w14:textId="77777777" w:rsidR="0018109A" w:rsidRPr="009841AB" w:rsidRDefault="0018109A" w:rsidP="0018109A">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4395F42A"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4.4.4.</w:t>
            </w:r>
          </w:p>
        </w:tc>
      </w:tr>
      <w:tr w:rsidR="0018109A" w:rsidRPr="009841AB" w14:paraId="3105331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866CCA6" w14:textId="77777777" w:rsidR="0018109A" w:rsidRPr="009841AB" w:rsidRDefault="0059371A" w:rsidP="0018109A">
            <w:pPr>
              <w:pStyle w:val="naisc"/>
              <w:spacing w:before="0" w:after="0"/>
            </w:pPr>
            <w:r>
              <w:t>405</w:t>
            </w:r>
          </w:p>
        </w:tc>
        <w:tc>
          <w:tcPr>
            <w:tcW w:w="2427" w:type="dxa"/>
            <w:tcBorders>
              <w:left w:val="single" w:sz="6" w:space="0" w:color="000000" w:themeColor="text1"/>
              <w:bottom w:val="single" w:sz="4" w:space="0" w:color="auto"/>
            </w:tcBorders>
            <w:shd w:val="clear" w:color="auto" w:fill="auto"/>
          </w:tcPr>
          <w:p w14:paraId="3AC5AFEE"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CFB1D12" w14:textId="77777777" w:rsidR="00A00A21" w:rsidRDefault="00A00A21" w:rsidP="0018109A">
            <w:pPr>
              <w:spacing w:line="276" w:lineRule="auto"/>
            </w:pPr>
            <w:r w:rsidRPr="00D030E7">
              <w:rPr>
                <w:lang w:eastAsia="en-US"/>
              </w:rPr>
              <w:t xml:space="preserve">(Iepriekš izziņas </w:t>
            </w:r>
            <w:r>
              <w:rPr>
                <w:lang w:eastAsia="en-US"/>
              </w:rPr>
              <w:t>321</w:t>
            </w:r>
            <w:r w:rsidRPr="00D030E7">
              <w:rPr>
                <w:lang w:eastAsia="en-US"/>
              </w:rPr>
              <w:t>. punkts)</w:t>
            </w:r>
          </w:p>
          <w:p w14:paraId="58970CAF" w14:textId="77777777" w:rsidR="0018109A" w:rsidRPr="009841AB" w:rsidRDefault="0018109A" w:rsidP="0018109A">
            <w:pPr>
              <w:spacing w:line="276" w:lineRule="auto"/>
            </w:pPr>
            <w:r w:rsidRPr="009841AB">
              <w:lastRenderedPageBreak/>
              <w:t xml:space="preserve">20. Vēršam uzmanību, ka pamatnostādņu projekta 4.4.4. Rīcības virziena “Vides pārvaldības un attīstības plānošanas </w:t>
            </w:r>
            <w:proofErr w:type="spellStart"/>
            <w:r w:rsidRPr="009841AB">
              <w:t>digitalizācija</w:t>
            </w:r>
            <w:proofErr w:type="spellEnd"/>
            <w:r w:rsidRPr="009841AB">
              <w:t>” sadaļas “Nepieciešamā rīcība” aprakstā (119.lp.) norādīts, ka jāpārskata iestāžu finansēšanas modelis, izslēdzot savstarpēju finansējuma “apmaiņu” kopējā valsts ekonomikā, kas notiek, veicot datu iegādi vai dublējošas datu radīšanas  darbības. Vēršam uzmanību, ka iestāžu finansējuma modelis būtu pārskatāms ne vien ģeotelpisko datu apmaiņas ietvaros, bet arī pakalpojumu modernizācijas un atvērto datu kontekstā, jo iestāžu finansēšanas modelis ir būtisks apstāklis, kas kavē šos procesus. Papildus minētajam jānorāda, ka pamatnostādņu projekta 2. pielikumā nav ietverts uzdevums - pārskatīt iestāžu finansēšanas modeli. Līdz ar to nav noteikts ne šāda uzdevuma izpildes termiņš, ne atbildīgā institūcija.  Ņemot vērā minēto, lūdzam papildināt pamatnostādņu projektu ar attiecīgu uzdevumu, kas uzskatāms par būtisku priekšnosacījumu pamatnostādņu projektā paredzēto iniciatīvu īstenošanai.</w:t>
            </w:r>
          </w:p>
        </w:tc>
        <w:tc>
          <w:tcPr>
            <w:tcW w:w="2480" w:type="dxa"/>
            <w:tcBorders>
              <w:left w:val="single" w:sz="6" w:space="0" w:color="000000" w:themeColor="text1"/>
              <w:bottom w:val="single" w:sz="4" w:space="0" w:color="auto"/>
            </w:tcBorders>
            <w:shd w:val="clear" w:color="auto" w:fill="auto"/>
          </w:tcPr>
          <w:p w14:paraId="5FC51E4E" w14:textId="77777777" w:rsidR="002069BB" w:rsidRPr="009841AB" w:rsidRDefault="002069BB" w:rsidP="002069BB">
            <w:pPr>
              <w:pStyle w:val="naisc"/>
              <w:jc w:val="left"/>
              <w:rPr>
                <w:b/>
                <w:bCs/>
                <w:color w:val="000000"/>
                <w:shd w:val="clear" w:color="auto" w:fill="FFFFFF"/>
              </w:rPr>
            </w:pPr>
            <w:r>
              <w:rPr>
                <w:b/>
                <w:bCs/>
                <w:color w:val="000000"/>
                <w:shd w:val="clear" w:color="auto" w:fill="FFFFFF"/>
              </w:rPr>
              <w:lastRenderedPageBreak/>
              <w:t>Panākta vienošanās</w:t>
            </w:r>
          </w:p>
          <w:p w14:paraId="4FB3F7B7" w14:textId="77777777" w:rsidR="0018109A" w:rsidRPr="009841AB" w:rsidRDefault="0018109A" w:rsidP="0018109A">
            <w:pPr>
              <w:pStyle w:val="naisc"/>
              <w:spacing w:before="0" w:after="0"/>
              <w:jc w:val="left"/>
            </w:pPr>
            <w:r w:rsidRPr="009841AB">
              <w:lastRenderedPageBreak/>
              <w:t>Uzdevums pārskatīt finansēšanas modeli jau ir noteikts Valsts kontroles 2017. gada revīzijas ziņojumā "Vai valsts pārvalde efektīvi rīkojas ar uzkrāto informāciju?", kas paredz uzdevumu VARAM iniciēt jautājumu par bezmaksas datu izplatīšanas veicināšanu un ar to saistītā finansējuma modeļa maiņu izskatīšanu starpnozaru līmenī Informācijas sabiedrības padomē, līdz 02.01.2022.</w:t>
            </w:r>
          </w:p>
        </w:tc>
        <w:tc>
          <w:tcPr>
            <w:tcW w:w="3497" w:type="dxa"/>
            <w:tcBorders>
              <w:left w:val="single" w:sz="6" w:space="0" w:color="000000" w:themeColor="text1"/>
              <w:bottom w:val="single" w:sz="4" w:space="0" w:color="auto"/>
            </w:tcBorders>
            <w:shd w:val="clear" w:color="auto" w:fill="auto"/>
          </w:tcPr>
          <w:p w14:paraId="463316F9" w14:textId="77777777" w:rsidR="0018109A" w:rsidRPr="009841AB" w:rsidRDefault="0018109A" w:rsidP="0018109A">
            <w:pPr>
              <w:pStyle w:val="naisc"/>
              <w:spacing w:before="0" w:after="0"/>
              <w:jc w:val="both"/>
            </w:pPr>
          </w:p>
        </w:tc>
      </w:tr>
      <w:tr w:rsidR="0018109A" w:rsidRPr="009841AB" w14:paraId="6FE39E9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F85AAA9" w14:textId="77777777" w:rsidR="0018109A" w:rsidRPr="009841AB" w:rsidRDefault="0059371A" w:rsidP="0018109A">
            <w:pPr>
              <w:pStyle w:val="naisc"/>
              <w:spacing w:before="0" w:after="0"/>
            </w:pPr>
            <w:r>
              <w:t>406</w:t>
            </w:r>
          </w:p>
        </w:tc>
        <w:tc>
          <w:tcPr>
            <w:tcW w:w="2427" w:type="dxa"/>
            <w:tcBorders>
              <w:left w:val="single" w:sz="6" w:space="0" w:color="000000" w:themeColor="text1"/>
              <w:bottom w:val="single" w:sz="4" w:space="0" w:color="auto"/>
            </w:tcBorders>
            <w:shd w:val="clear" w:color="auto" w:fill="auto"/>
          </w:tcPr>
          <w:p w14:paraId="35F0DCCD"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4538248" w14:textId="77777777" w:rsidR="0018109A" w:rsidRPr="009841AB" w:rsidRDefault="0018109A" w:rsidP="0018109A">
            <w:pPr>
              <w:spacing w:line="276" w:lineRule="auto"/>
            </w:pPr>
            <w:r w:rsidRPr="009841AB">
              <w:t>21. Pamatnostādņu projekta 121.lp. (ceturtais rezultāts) būtu jāprecizē, vai bezmaksas ģeotelpisko datu apmaiņa paredzēta tikai starp valsts pārvaldes iestādēm vai arī plānota bezmaksas datu nodošana uzņēmējiem un iedzīvotājiem.</w:t>
            </w:r>
          </w:p>
        </w:tc>
        <w:tc>
          <w:tcPr>
            <w:tcW w:w="2480" w:type="dxa"/>
            <w:tcBorders>
              <w:left w:val="single" w:sz="6" w:space="0" w:color="000000" w:themeColor="text1"/>
              <w:bottom w:val="single" w:sz="4" w:space="0" w:color="auto"/>
            </w:tcBorders>
            <w:shd w:val="clear" w:color="auto" w:fill="auto"/>
          </w:tcPr>
          <w:p w14:paraId="42B9EDE1" w14:textId="77777777" w:rsidR="00637D8F" w:rsidRPr="009841AB" w:rsidRDefault="00637D8F" w:rsidP="00637D8F">
            <w:pPr>
              <w:pStyle w:val="naisc"/>
              <w:spacing w:before="0" w:after="0"/>
              <w:jc w:val="left"/>
              <w:rPr>
                <w:b/>
                <w:bCs/>
              </w:rPr>
            </w:pPr>
            <w:r w:rsidRPr="009841AB">
              <w:rPr>
                <w:b/>
                <w:bCs/>
              </w:rPr>
              <w:t xml:space="preserve">Ņemts vērā </w:t>
            </w:r>
          </w:p>
          <w:p w14:paraId="71E7B5F7"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613CADC7" w14:textId="77777777" w:rsidR="0018109A" w:rsidRPr="009841AB" w:rsidRDefault="00637D8F" w:rsidP="00637D8F">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8109A" w:rsidRPr="009841AB" w14:paraId="001F329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A488F0E" w14:textId="77777777" w:rsidR="0018109A" w:rsidRPr="009841AB" w:rsidRDefault="0059371A" w:rsidP="0018109A">
            <w:pPr>
              <w:pStyle w:val="naisc"/>
              <w:spacing w:before="0" w:after="0"/>
            </w:pPr>
            <w:r>
              <w:t>407</w:t>
            </w:r>
          </w:p>
        </w:tc>
        <w:tc>
          <w:tcPr>
            <w:tcW w:w="2427" w:type="dxa"/>
            <w:tcBorders>
              <w:left w:val="single" w:sz="6" w:space="0" w:color="000000" w:themeColor="text1"/>
              <w:bottom w:val="single" w:sz="4" w:space="0" w:color="auto"/>
            </w:tcBorders>
            <w:shd w:val="clear" w:color="auto" w:fill="auto"/>
          </w:tcPr>
          <w:p w14:paraId="1CA4D18C"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A07A9F1" w14:textId="77777777" w:rsidR="0018109A" w:rsidRPr="009841AB" w:rsidRDefault="0018109A" w:rsidP="0018109A">
            <w:pPr>
              <w:ind w:right="12"/>
              <w:jc w:val="both"/>
            </w:pPr>
            <w:r w:rsidRPr="009841AB">
              <w:t xml:space="preserve">22. Pamatnostādņu projekta 4.4.5.2. Rīcības </w:t>
            </w:r>
            <w:proofErr w:type="spellStart"/>
            <w:r w:rsidRPr="009841AB">
              <w:t>apakšvirziens</w:t>
            </w:r>
            <w:proofErr w:type="spellEnd"/>
            <w:r w:rsidRPr="009841AB">
              <w:t xml:space="preserve"> “Nacionālās drošības un informācijas telpas stiprināšana" </w:t>
            </w:r>
            <w:proofErr w:type="spellStart"/>
            <w:r w:rsidRPr="009841AB">
              <w:t>apakšsadaļas</w:t>
            </w:r>
            <w:proofErr w:type="spellEnd"/>
            <w:r w:rsidRPr="009841AB">
              <w:t xml:space="preserve"> "Nepieciešamā rīcība" 3.punktā, (129.lp.) norādīts, ka " [..] </w:t>
            </w:r>
            <w:r w:rsidRPr="009841AB">
              <w:rPr>
                <w:i/>
                <w:iCs/>
              </w:rPr>
              <w:t xml:space="preserve">ņemot </w:t>
            </w:r>
            <w:r w:rsidRPr="009841AB">
              <w:rPr>
                <w:i/>
                <w:iCs/>
              </w:rPr>
              <w:lastRenderedPageBreak/>
              <w:t>vērā, ka Vispārīgo datu aizsardzības regulā tiek paredzēti lieli naudas sodi, datu apstrādātāji īsteno Regulā noteikto prasību veikt risku novērtējumu.</w:t>
            </w:r>
            <w:r w:rsidRPr="009841AB">
              <w:t>" Norādām, ka nevaram piekrist šādai minētajai teksta redakcijai, jo nevar apgalvot, ka datu apstrādātāji Datu regulā noteiktās prasības ievēro tikai tāpēc, ka Datu regulā tiek paredzēti lieli naudas sodi. Vēršam uzmanību uz to, ka datu apstrādātāju vai pārziņu sodīšana nav primārais mērķis. Līdz ar to lūdzam precizēt minētā punkta redakciju.</w:t>
            </w:r>
          </w:p>
        </w:tc>
        <w:tc>
          <w:tcPr>
            <w:tcW w:w="2480" w:type="dxa"/>
            <w:tcBorders>
              <w:left w:val="single" w:sz="6" w:space="0" w:color="000000" w:themeColor="text1"/>
              <w:bottom w:val="single" w:sz="4" w:space="0" w:color="auto"/>
            </w:tcBorders>
            <w:shd w:val="clear" w:color="auto" w:fill="auto"/>
          </w:tcPr>
          <w:p w14:paraId="130F8AB3" w14:textId="77777777" w:rsidR="0018109A" w:rsidRPr="009841AB" w:rsidRDefault="0018109A" w:rsidP="0018109A">
            <w:pPr>
              <w:pStyle w:val="naisc"/>
              <w:spacing w:before="0" w:after="0"/>
              <w:jc w:val="left"/>
              <w:rPr>
                <w:b/>
                <w:bCs/>
              </w:rPr>
            </w:pPr>
            <w:r w:rsidRPr="009841AB">
              <w:rPr>
                <w:b/>
                <w:bCs/>
              </w:rPr>
              <w:lastRenderedPageBreak/>
              <w:t xml:space="preserve">Ņemts vērā </w:t>
            </w:r>
          </w:p>
          <w:p w14:paraId="5648AA27" w14:textId="77777777" w:rsidR="0018109A" w:rsidRPr="009841AB" w:rsidRDefault="0018109A" w:rsidP="0018109A">
            <w:pPr>
              <w:pStyle w:val="naisc"/>
              <w:spacing w:before="0" w:after="0"/>
              <w:jc w:val="left"/>
            </w:pPr>
          </w:p>
          <w:p w14:paraId="3CB46BB1"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709430C0" w14:textId="77777777" w:rsidR="0018109A" w:rsidRPr="009841AB" w:rsidRDefault="00637D8F" w:rsidP="00637D8F">
            <w:pPr>
              <w:pStyle w:val="naisc"/>
              <w:spacing w:before="0" w:after="0"/>
              <w:jc w:val="left"/>
            </w:pPr>
            <w:r w:rsidRPr="009841AB">
              <w:t xml:space="preserve">Lūdzam skatīt </w:t>
            </w:r>
            <w:proofErr w:type="spellStart"/>
            <w:r w:rsidRPr="009841AB">
              <w:t>apakšsadaļu</w:t>
            </w:r>
            <w:proofErr w:type="spellEnd"/>
            <w:r w:rsidRPr="009841AB">
              <w:t xml:space="preserve"> 4.4.</w:t>
            </w:r>
            <w:r w:rsidR="0018109A" w:rsidRPr="009841AB">
              <w:t>5.2.</w:t>
            </w:r>
          </w:p>
        </w:tc>
      </w:tr>
      <w:tr w:rsidR="0018109A" w:rsidRPr="009841AB" w14:paraId="492F880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7E44948" w14:textId="77777777" w:rsidR="0018109A" w:rsidRPr="009841AB" w:rsidRDefault="0059371A" w:rsidP="0018109A">
            <w:pPr>
              <w:pStyle w:val="naisc"/>
              <w:spacing w:before="0" w:after="0"/>
            </w:pPr>
            <w:r>
              <w:t>408</w:t>
            </w:r>
          </w:p>
        </w:tc>
        <w:tc>
          <w:tcPr>
            <w:tcW w:w="2427" w:type="dxa"/>
            <w:tcBorders>
              <w:left w:val="single" w:sz="6" w:space="0" w:color="000000" w:themeColor="text1"/>
              <w:bottom w:val="single" w:sz="4" w:space="0" w:color="auto"/>
            </w:tcBorders>
            <w:shd w:val="clear" w:color="auto" w:fill="auto"/>
          </w:tcPr>
          <w:p w14:paraId="1BDC301E"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92EB268" w14:textId="77777777" w:rsidR="0018109A" w:rsidRPr="009841AB" w:rsidRDefault="0018109A" w:rsidP="0018109A">
            <w:pPr>
              <w:spacing w:line="276" w:lineRule="auto"/>
            </w:pPr>
            <w:r w:rsidRPr="009841AB">
              <w:t xml:space="preserve">23. Aicinām pamatnostādņu projekta 4.4.5. “Sabiedriskā drošība, kārtība un tieslietas” vai  4.4.6. Rīcības virzienu “Sabiedrības sociālā labklājība un veselība” papildināt ar šādu tekstu: “Lai veicinātu bērnu tiesību aizsardzību tikt nodrošinātiem ar nepieciešamajiem līdzekļiem to uzturam,  Uzturlīdzekļu garantiju fonda administrācija pēdējo piecu gadu laikā ir veikusi būtiskus pasākumus ar mērķi sekmēt uzturlīdzekļu piedziņu no personām, kuras neveic normatīvajos aktos noteiktos pienākumus attiecībā uz bērnu uztura nodrošināšanu. Vienlaikus Uzturlīdzekļu garantiju fonda administrācija ir identificējusi, ka arvien biežāk parādu piedziņas darbības ir veicamas ne tikai Latvijā, bet arī ārpus tās robežās. Lai sekmētu uzturlīdzekļu piedziņu, Eiropas Savienības ietvaros ir izveidota </w:t>
            </w:r>
            <w:proofErr w:type="spellStart"/>
            <w:r w:rsidRPr="009841AB">
              <w:t>iSupport</w:t>
            </w:r>
            <w:proofErr w:type="spellEnd"/>
            <w:r w:rsidRPr="009841AB">
              <w:t xml:space="preserve"> sistēma (https://www.hcch.net/en/instruments/conventions/specialised-sections/child-support/isupport1), kuras izmantošana nākotnē no Latvijas puses dotu iespēju veicināt uzturlīdzekļu parādu piedziņu no personām ārpus Latvijas teritorijas. Lai nodrošinātu attiecīgās </w:t>
            </w:r>
            <w:r w:rsidRPr="009841AB">
              <w:lastRenderedPageBreak/>
              <w:t>informācijas sistēmas sekmīgu ieviešanu Latvijas ietvaros būtu nepieciešams veikt ne vien pieslēgšanos attiecīgajai platformai, bet arī nodrošināt izmaiņu veikšanu Uzturlīdzekļu garantiju fonda administrācijas pārziņā esošajā valsts informācijas sistēmā “Uzturlīdzekļu garantiju fonda iesniedzēju un parādnieku reģistrs”, kuru mērķis būtu izveidot risinājumu, kas  balstītos uz iespējami automatizētas pieejas izmantošanas datu apstrādes, procesu virzības un lēmumu pieņemšanas ietvarā, tādā veidā uzlabojot visu uzturlīdzekļu pārvaldības procesu, no lēmuma pieņemšanas par uzturlīdzekļu izmaksu, līdz uzkrāto parādu piedziņai visu valstu ietvaros, kuras ir pievienojušās Hāgas 2007.gada 23.novembra Konvencijai par uzturlīdzekļu bērniem un cita veida ģimenes uzturēšanas līdzekļu pārrobežu piedziņu.”</w:t>
            </w:r>
          </w:p>
        </w:tc>
        <w:tc>
          <w:tcPr>
            <w:tcW w:w="2480" w:type="dxa"/>
            <w:tcBorders>
              <w:left w:val="single" w:sz="6" w:space="0" w:color="000000" w:themeColor="text1"/>
              <w:bottom w:val="single" w:sz="4" w:space="0" w:color="auto"/>
            </w:tcBorders>
            <w:shd w:val="clear" w:color="auto" w:fill="auto"/>
          </w:tcPr>
          <w:p w14:paraId="3F7F32DF" w14:textId="77777777" w:rsidR="0018109A" w:rsidRPr="00D264F6" w:rsidRDefault="0018109A" w:rsidP="0018109A">
            <w:pPr>
              <w:pStyle w:val="naisc"/>
              <w:spacing w:before="0" w:after="0"/>
              <w:jc w:val="left"/>
              <w:rPr>
                <w:b/>
                <w:bCs/>
              </w:rPr>
            </w:pPr>
            <w:r w:rsidRPr="009841AB">
              <w:rPr>
                <w:b/>
                <w:bCs/>
              </w:rPr>
              <w:lastRenderedPageBreak/>
              <w:t xml:space="preserve">Ņemts vērā </w:t>
            </w:r>
          </w:p>
          <w:p w14:paraId="0DCF6EDB" w14:textId="77777777" w:rsidR="0018109A" w:rsidRPr="009841AB" w:rsidRDefault="0018109A" w:rsidP="0018109A">
            <w:pPr>
              <w:pStyle w:val="naisc"/>
              <w:spacing w:before="0" w:after="0"/>
              <w:jc w:val="left"/>
            </w:pPr>
            <w:r w:rsidRPr="009841AB">
              <w:t xml:space="preserve">Uzturlīdzekļu  garantiju fonda pārvaldības procesu </w:t>
            </w:r>
            <w:proofErr w:type="spellStart"/>
            <w:r w:rsidRPr="009841AB">
              <w:t>digitalizācija</w:t>
            </w:r>
            <w:proofErr w:type="spellEnd"/>
            <w:r w:rsidRPr="009841AB">
              <w:t xml:space="preserve"> ir atbalstāma,  apzinot iespējamos  finansējuma avotus.  Var tikt izvērtēta nepieciešamība datu apmaiņai ar  E-lietā pieejamo informāciju vai darba vietas izveide TIS portālā un nepieciešamības gadījumā E-lietas programmas ietvaros nodrošināts nepieciešamā informācijas iegūšanas kanāls.</w:t>
            </w:r>
          </w:p>
        </w:tc>
        <w:tc>
          <w:tcPr>
            <w:tcW w:w="3497" w:type="dxa"/>
            <w:tcBorders>
              <w:left w:val="single" w:sz="6" w:space="0" w:color="000000" w:themeColor="text1"/>
              <w:bottom w:val="single" w:sz="4" w:space="0" w:color="auto"/>
            </w:tcBorders>
            <w:shd w:val="clear" w:color="auto" w:fill="auto"/>
          </w:tcPr>
          <w:p w14:paraId="69DC72DD" w14:textId="77777777" w:rsidR="0018109A" w:rsidRPr="009841AB" w:rsidRDefault="0018109A" w:rsidP="0018109A">
            <w:pPr>
              <w:pStyle w:val="naisc"/>
              <w:spacing w:before="0" w:after="0"/>
              <w:jc w:val="both"/>
            </w:pPr>
            <w:r w:rsidRPr="009841AB">
              <w:t xml:space="preserve">Lūdzam skatīt </w:t>
            </w:r>
            <w:proofErr w:type="spellStart"/>
            <w:r w:rsidRPr="009841AB">
              <w:t>apakšsadaļu</w:t>
            </w:r>
            <w:proofErr w:type="spellEnd"/>
            <w:r w:rsidRPr="009841AB">
              <w:t xml:space="preserve"> 4.4.5.</w:t>
            </w:r>
          </w:p>
        </w:tc>
      </w:tr>
      <w:tr w:rsidR="00222217" w:rsidRPr="002E4EFE" w14:paraId="79B4D71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F82B5DC" w14:textId="77777777" w:rsidR="00222217" w:rsidRPr="002E4EFE" w:rsidRDefault="0059371A" w:rsidP="00FF3E55">
            <w:pPr>
              <w:pStyle w:val="naisc"/>
              <w:spacing w:before="120" w:after="0"/>
            </w:pPr>
            <w:r w:rsidRPr="002E4EFE">
              <w:t>409</w:t>
            </w:r>
          </w:p>
        </w:tc>
        <w:tc>
          <w:tcPr>
            <w:tcW w:w="2427" w:type="dxa"/>
            <w:tcBorders>
              <w:left w:val="single" w:sz="6" w:space="0" w:color="000000" w:themeColor="text1"/>
              <w:bottom w:val="single" w:sz="4" w:space="0" w:color="auto"/>
            </w:tcBorders>
            <w:shd w:val="clear" w:color="auto" w:fill="auto"/>
          </w:tcPr>
          <w:p w14:paraId="148784AD" w14:textId="77777777" w:rsidR="00222217" w:rsidRPr="002E4EFE" w:rsidRDefault="00222217" w:rsidP="00FF3E55">
            <w:pPr>
              <w:pStyle w:val="naisc"/>
              <w:spacing w:before="120" w:after="0"/>
              <w:jc w:val="left"/>
            </w:pPr>
            <w:r w:rsidRPr="002E4EFE">
              <w:t>4.4. sadaļa</w:t>
            </w:r>
          </w:p>
        </w:tc>
        <w:tc>
          <w:tcPr>
            <w:tcW w:w="5427" w:type="dxa"/>
            <w:tcBorders>
              <w:left w:val="single" w:sz="6" w:space="0" w:color="000000" w:themeColor="text1"/>
              <w:bottom w:val="single" w:sz="4" w:space="0" w:color="auto"/>
            </w:tcBorders>
            <w:shd w:val="clear" w:color="auto" w:fill="auto"/>
          </w:tcPr>
          <w:p w14:paraId="2DF9ACD4" w14:textId="77777777" w:rsidR="00222217" w:rsidRPr="002E4EFE" w:rsidRDefault="00222217" w:rsidP="001E127E">
            <w:pPr>
              <w:spacing w:before="120"/>
            </w:pPr>
            <w:r w:rsidRPr="002E4EFE">
              <w:t>24. Lūdzam pamatnostādņu projekta 4.4.7. Rīcības virziena “</w:t>
            </w:r>
            <w:proofErr w:type="spellStart"/>
            <w:r w:rsidRPr="002E4EFE">
              <w:t>Mašīntulkošana</w:t>
            </w:r>
            <w:proofErr w:type="spellEnd"/>
            <w:r w:rsidRPr="002E4EFE">
              <w:t xml:space="preserve"> un valodu tehnoloģijas” sadaļas “Neieciešamā rīcībā” (142.lp.) 2.punkta iekavas izteikt šādā redakcijā: “(piemēram, tulkošanas atmiņu, skaņas, tekstu, terminu sarakstu un </w:t>
            </w:r>
            <w:proofErr w:type="spellStart"/>
            <w:r w:rsidRPr="002E4EFE">
              <w:t>datubāzu</w:t>
            </w:r>
            <w:proofErr w:type="spellEnd"/>
            <w:r w:rsidRPr="002E4EFE">
              <w:t xml:space="preserve"> un citu valodas datu)”, savukārt sadaļas “Sagaidāmie rezultāti” (143.lp.) 2.punktu lūdzam izteikt šādā redakcijā: “Visi publiskajā sektorā izstrādātie un publiski finansētie valodas un terminoloģijas resursi ir pieejami vienotā platformā, un tos var izmantot EK </w:t>
            </w:r>
            <w:proofErr w:type="spellStart"/>
            <w:r w:rsidRPr="002E4EFE">
              <w:t>mašīntulkošanas</w:t>
            </w:r>
            <w:proofErr w:type="spellEnd"/>
            <w:r w:rsidRPr="002E4EFE">
              <w:t xml:space="preserve"> sistēmā”.</w:t>
            </w:r>
          </w:p>
        </w:tc>
        <w:tc>
          <w:tcPr>
            <w:tcW w:w="2480" w:type="dxa"/>
            <w:tcBorders>
              <w:left w:val="single" w:sz="6" w:space="0" w:color="000000" w:themeColor="text1"/>
              <w:bottom w:val="single" w:sz="4" w:space="0" w:color="auto"/>
            </w:tcBorders>
            <w:shd w:val="clear" w:color="auto" w:fill="auto"/>
          </w:tcPr>
          <w:p w14:paraId="5E67FB88" w14:textId="77777777" w:rsidR="00222217" w:rsidRPr="002E4EFE" w:rsidRDefault="00222217" w:rsidP="008B74B4">
            <w:pPr>
              <w:pStyle w:val="naisc"/>
              <w:spacing w:before="120" w:after="0"/>
              <w:jc w:val="left"/>
              <w:rPr>
                <w:b/>
                <w:bCs/>
              </w:rPr>
            </w:pPr>
            <w:r w:rsidRPr="002E4EFE">
              <w:rPr>
                <w:b/>
                <w:bCs/>
              </w:rPr>
              <w:t>Ņemts vērā</w:t>
            </w:r>
          </w:p>
        </w:tc>
        <w:tc>
          <w:tcPr>
            <w:tcW w:w="3497" w:type="dxa"/>
            <w:tcBorders>
              <w:left w:val="single" w:sz="6" w:space="0" w:color="000000" w:themeColor="text1"/>
              <w:bottom w:val="single" w:sz="4" w:space="0" w:color="auto"/>
            </w:tcBorders>
            <w:shd w:val="clear" w:color="auto" w:fill="auto"/>
          </w:tcPr>
          <w:p w14:paraId="56298B4A" w14:textId="77777777" w:rsidR="00827D5C" w:rsidRDefault="00FF3E55" w:rsidP="00FF3E55">
            <w:pPr>
              <w:pStyle w:val="naisc"/>
              <w:spacing w:before="120" w:after="0"/>
              <w:jc w:val="left"/>
            </w:pPr>
            <w:proofErr w:type="spellStart"/>
            <w:r>
              <w:t>A</w:t>
            </w:r>
            <w:r w:rsidR="00222217" w:rsidRPr="002E4EFE">
              <w:t>pakšsadaļ</w:t>
            </w:r>
            <w:r>
              <w:t>a</w:t>
            </w:r>
            <w:proofErr w:type="spellEnd"/>
            <w:r w:rsidR="00222217" w:rsidRPr="002E4EFE">
              <w:t xml:space="preserve"> 4.4.7.</w:t>
            </w:r>
          </w:p>
          <w:p w14:paraId="12D16B87" w14:textId="77777777" w:rsidR="00222217" w:rsidRPr="002E4EFE" w:rsidRDefault="00FF3E55" w:rsidP="00FF3E55">
            <w:pPr>
              <w:pStyle w:val="naisc"/>
              <w:spacing w:before="120" w:after="0"/>
              <w:jc w:val="left"/>
            </w:pPr>
            <w:r w:rsidRPr="002E4EFE">
              <w:t>sadaļa “Neieciešamā rīcībā”</w:t>
            </w:r>
            <w:r>
              <w:t>:</w:t>
            </w:r>
          </w:p>
          <w:p w14:paraId="0716E520" w14:textId="77777777" w:rsidR="00525D33" w:rsidRDefault="00525D33" w:rsidP="001E127E">
            <w:pPr>
              <w:spacing w:before="120"/>
              <w:jc w:val="both"/>
            </w:pPr>
            <w:r w:rsidRPr="002E4EFE">
              <w:t xml:space="preserve">2. Jāpaplašina normatīvais regulējums valsts iestādēm attiecībā uz valodas resursu </w:t>
            </w:r>
            <w:r w:rsidRPr="0077453D">
              <w:t>(piemēram, tulkošanas atmiņu, skaņas, tekstu</w:t>
            </w:r>
            <w:r w:rsidR="002E4EFE" w:rsidRPr="0077453D">
              <w:t xml:space="preserve">, </w:t>
            </w:r>
            <w:r w:rsidR="002E4EFE" w:rsidRPr="00DD2DF9">
              <w:t xml:space="preserve">terminu sarakstu un </w:t>
            </w:r>
            <w:proofErr w:type="spellStart"/>
            <w:r w:rsidR="002E4EFE" w:rsidRPr="00DD2DF9">
              <w:t>datubāzu</w:t>
            </w:r>
            <w:proofErr w:type="spellEnd"/>
            <w:r w:rsidRPr="00FF3E55">
              <w:rPr>
                <w:color w:val="FF0000"/>
              </w:rPr>
              <w:t xml:space="preserve"> </w:t>
            </w:r>
            <w:r w:rsidRPr="0077453D">
              <w:t xml:space="preserve">un citu valodas datu) </w:t>
            </w:r>
            <w:r w:rsidRPr="002E4EFE">
              <w:t xml:space="preserve">nodošanu valodas tehnoloģiju platformai, t. sk. nodrošinot datu </w:t>
            </w:r>
            <w:proofErr w:type="spellStart"/>
            <w:r w:rsidRPr="002E4EFE">
              <w:t>anonimizēšanas</w:t>
            </w:r>
            <w:proofErr w:type="spellEnd"/>
            <w:r w:rsidRPr="002E4EFE">
              <w:t xml:space="preserve"> iespēju tehniskajā līmenī.</w:t>
            </w:r>
          </w:p>
          <w:p w14:paraId="1460B041" w14:textId="77777777" w:rsidR="001E127E" w:rsidRDefault="00827D5C" w:rsidP="001E127E">
            <w:pPr>
              <w:spacing w:before="120"/>
              <w:jc w:val="both"/>
            </w:pPr>
            <w:r w:rsidRPr="002E4EFE">
              <w:t>sadaļa “Sagaidāmie rezultāti”</w:t>
            </w:r>
            <w:r>
              <w:t>:</w:t>
            </w:r>
          </w:p>
          <w:p w14:paraId="5C5666DB" w14:textId="77777777" w:rsidR="00525D33" w:rsidRPr="002E4EFE" w:rsidRDefault="0077453D" w:rsidP="0077453D">
            <w:pPr>
              <w:spacing w:before="120"/>
              <w:jc w:val="both"/>
            </w:pPr>
            <w:r>
              <w:lastRenderedPageBreak/>
              <w:t>2. </w:t>
            </w:r>
            <w:r w:rsidRPr="002E4EFE">
              <w:t xml:space="preserve">Visi publiskajā sektorā izstrādātie un publiski finansētie valodas </w:t>
            </w:r>
            <w:r w:rsidRPr="00DD2DF9">
              <w:t xml:space="preserve">un terminoloģijas </w:t>
            </w:r>
            <w:r w:rsidRPr="002E4EFE">
              <w:t xml:space="preserve">resursi ir pieejami vienotā platformā, un tos var izmantot EK </w:t>
            </w:r>
            <w:proofErr w:type="spellStart"/>
            <w:r w:rsidRPr="002E4EFE">
              <w:t>mašīntulkošanas</w:t>
            </w:r>
            <w:proofErr w:type="spellEnd"/>
            <w:r w:rsidRPr="002E4EFE">
              <w:t xml:space="preserve"> sistēmā</w:t>
            </w:r>
            <w:r>
              <w:t>.</w:t>
            </w:r>
          </w:p>
        </w:tc>
      </w:tr>
      <w:tr w:rsidR="009E308A" w:rsidRPr="009841AB" w14:paraId="697465F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9AB9C84" w14:textId="77777777" w:rsidR="009E308A" w:rsidRPr="009841AB" w:rsidRDefault="0059371A" w:rsidP="009E308A">
            <w:pPr>
              <w:pStyle w:val="naisc"/>
              <w:spacing w:before="0" w:after="0"/>
            </w:pPr>
            <w:r>
              <w:lastRenderedPageBreak/>
              <w:t>410</w:t>
            </w:r>
          </w:p>
        </w:tc>
        <w:tc>
          <w:tcPr>
            <w:tcW w:w="2427" w:type="dxa"/>
            <w:tcBorders>
              <w:left w:val="single" w:sz="6" w:space="0" w:color="000000" w:themeColor="text1"/>
              <w:bottom w:val="single" w:sz="4" w:space="0" w:color="auto"/>
            </w:tcBorders>
            <w:shd w:val="clear" w:color="auto" w:fill="auto"/>
          </w:tcPr>
          <w:p w14:paraId="37A038D0" w14:textId="77777777" w:rsidR="009E308A" w:rsidRPr="009841AB" w:rsidRDefault="009E308A" w:rsidP="009E308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8B05AA2" w14:textId="77777777" w:rsidR="009E308A" w:rsidRPr="009841AB" w:rsidRDefault="009E308A" w:rsidP="009E308A">
            <w:pPr>
              <w:spacing w:line="276" w:lineRule="auto"/>
            </w:pPr>
            <w:r w:rsidRPr="009841AB">
              <w:t xml:space="preserve">25. Vēršam uzmanību uz </w:t>
            </w:r>
            <w:proofErr w:type="spellStart"/>
            <w:r w:rsidRPr="009841AB">
              <w:t>čatbotu</w:t>
            </w:r>
            <w:proofErr w:type="spellEnd"/>
            <w:r w:rsidRPr="009841AB">
              <w:t xml:space="preserve"> izcelšanu pie pamatnostādņu projekta 4.4.7. Rīcības virziena “</w:t>
            </w:r>
            <w:proofErr w:type="spellStart"/>
            <w:r w:rsidRPr="009841AB">
              <w:t>Mašīntulkošana</w:t>
            </w:r>
            <w:proofErr w:type="spellEnd"/>
            <w:r w:rsidRPr="009841AB">
              <w:t xml:space="preserve"> un valodu tehnoloģijas” vīzijas, kā arī rīcības nolūka. Norādām, ka konkrētas tehnoloģijas izcelšana sašaurina pamatnostādņu projekta 4.4.7. Rīcības virziena tvērumu, jo </w:t>
            </w:r>
            <w:proofErr w:type="spellStart"/>
            <w:r w:rsidRPr="009841AB">
              <w:t>čatboti</w:t>
            </w:r>
            <w:proofErr w:type="spellEnd"/>
            <w:r w:rsidRPr="009841AB">
              <w:t xml:space="preserve"> neiekļauj visas tehnoloģijas, kuras plānots attīstīt un nodrošināt ar valodas resursiem. Turklāt </w:t>
            </w:r>
            <w:proofErr w:type="spellStart"/>
            <w:r w:rsidRPr="009841AB">
              <w:t>čatboti</w:t>
            </w:r>
            <w:proofErr w:type="spellEnd"/>
            <w:r w:rsidRPr="009841AB">
              <w:t xml:space="preserve"> pēc 7 gadiem iespējams vairs nebūs aktuāli vai vispār negūs popularitāti. Piedāvājam rīcības virziena vīziju izteikt šādā redakcijā: “ES valstu digitālā telpa (vienotais digitālais tirgus) ir piekļūstama Latvijas iedzīvotājiem latviešu valodā drukātā, audio un vizuālā formā, kā arī Eiropas iedzīvotājs mijiedarbojas ar Latvijas digitālo telpu dzimtajā valodā. Latviešu valodai tiek nodrošināti svarīgākie valodas resursi ilgtspējīgai valodas attīstībai un plašam lietojumam digitālajos pakalpojumos.”</w:t>
            </w:r>
          </w:p>
        </w:tc>
        <w:tc>
          <w:tcPr>
            <w:tcW w:w="2480" w:type="dxa"/>
            <w:tcBorders>
              <w:left w:val="single" w:sz="6" w:space="0" w:color="000000" w:themeColor="text1"/>
              <w:bottom w:val="single" w:sz="4" w:space="0" w:color="auto"/>
            </w:tcBorders>
            <w:shd w:val="clear" w:color="auto" w:fill="auto"/>
          </w:tcPr>
          <w:p w14:paraId="4091AEE0" w14:textId="77777777" w:rsidR="009E308A" w:rsidRDefault="009E308A" w:rsidP="009E308A">
            <w:pPr>
              <w:pStyle w:val="naisc"/>
              <w:spacing w:before="0" w:after="0"/>
              <w:jc w:val="left"/>
              <w:rPr>
                <w:b/>
                <w:bCs/>
              </w:rPr>
            </w:pPr>
            <w:r w:rsidRPr="009841AB">
              <w:rPr>
                <w:b/>
                <w:bCs/>
              </w:rPr>
              <w:t xml:space="preserve">Ņemts vērā </w:t>
            </w:r>
          </w:p>
          <w:p w14:paraId="2FEE9FCB" w14:textId="77777777" w:rsidR="009E308A" w:rsidRPr="009841AB" w:rsidRDefault="00021135" w:rsidP="008B74B4">
            <w:pPr>
              <w:pStyle w:val="naisc"/>
              <w:spacing w:before="0" w:after="0"/>
              <w:jc w:val="left"/>
              <w:rPr>
                <w:b/>
                <w:bCs/>
              </w:rPr>
            </w:pPr>
            <w:r w:rsidRPr="00021135">
              <w:t>Vīzij</w:t>
            </w:r>
            <w:r>
              <w:t>as redakcija</w:t>
            </w:r>
            <w:r w:rsidR="00234939">
              <w:t xml:space="preserve"> precizēta. Teikums par </w:t>
            </w:r>
            <w:proofErr w:type="spellStart"/>
            <w:r w:rsidR="00234939">
              <w:t>sarunbotiem</w:t>
            </w:r>
            <w:proofErr w:type="spellEnd"/>
            <w:r w:rsidR="00234939">
              <w:t xml:space="preserve"> pievienots sadaļā “Papildus” 7.punktā.</w:t>
            </w:r>
          </w:p>
        </w:tc>
        <w:tc>
          <w:tcPr>
            <w:tcW w:w="3497" w:type="dxa"/>
            <w:tcBorders>
              <w:left w:val="single" w:sz="6" w:space="0" w:color="000000" w:themeColor="text1"/>
              <w:bottom w:val="single" w:sz="4" w:space="0" w:color="auto"/>
            </w:tcBorders>
            <w:shd w:val="clear" w:color="auto" w:fill="auto"/>
          </w:tcPr>
          <w:p w14:paraId="7074EF1B" w14:textId="77777777" w:rsidR="0081681E" w:rsidRPr="006B7455" w:rsidRDefault="006E0EAD" w:rsidP="006E0EAD">
            <w:pPr>
              <w:pStyle w:val="naisc"/>
              <w:spacing w:before="0" w:after="0"/>
              <w:jc w:val="left"/>
              <w:rPr>
                <w:b/>
                <w:color w:val="C00000"/>
                <w:lang w:val="lv"/>
              </w:rPr>
            </w:pPr>
            <w:proofErr w:type="spellStart"/>
            <w:r>
              <w:t>A</w:t>
            </w:r>
            <w:r w:rsidR="009E308A" w:rsidRPr="009841AB">
              <w:t>pakšsadaļ</w:t>
            </w:r>
            <w:r>
              <w:t>a</w:t>
            </w:r>
            <w:proofErr w:type="spellEnd"/>
            <w:r w:rsidR="009E308A" w:rsidRPr="009841AB">
              <w:t xml:space="preserve"> 4.4.7.</w:t>
            </w:r>
            <w:r>
              <w:t xml:space="preserve"> Vīzija.</w:t>
            </w:r>
          </w:p>
          <w:p w14:paraId="5105E022" w14:textId="77777777" w:rsidR="0081681E" w:rsidRPr="009841AB" w:rsidRDefault="0081681E" w:rsidP="00DE60CB">
            <w:pPr>
              <w:tabs>
                <w:tab w:val="left" w:pos="426"/>
              </w:tabs>
              <w:spacing w:before="120" w:after="120"/>
              <w:jc w:val="both"/>
            </w:pPr>
            <w:r w:rsidRPr="00F065EC">
              <w:rPr>
                <w:lang w:val="lv"/>
              </w:rPr>
              <w:t xml:space="preserve">ES valstu digitālā telpa (vienotais digitālais tirgus) ir piekļūstama Latvijas iedzīvotājiem latviešu valodā drukātā, audio un vizuālā formā, kā arī Eiropas iedzīvotājs mijiedarbojas ar Latvijas digitālo telpu dzimtajā valodā. </w:t>
            </w:r>
            <w:r w:rsidRPr="00D4536B">
              <w:rPr>
                <w:lang w:val="lv"/>
              </w:rPr>
              <w:t>Latviešu valodai tiek nodrošināti svarīgākie valodas resursi ilgtspējīgai valodas attīstībai un plašam lietojumam digitālajos pakalpojumos.</w:t>
            </w:r>
          </w:p>
        </w:tc>
      </w:tr>
      <w:tr w:rsidR="009E308A" w:rsidRPr="009841AB" w14:paraId="7DF35A8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178D155" w14:textId="77777777" w:rsidR="009E308A" w:rsidRPr="009841AB" w:rsidRDefault="00597E5E" w:rsidP="009E308A">
            <w:pPr>
              <w:pStyle w:val="naisc"/>
              <w:spacing w:before="0" w:after="0"/>
            </w:pPr>
            <w:r>
              <w:t>411</w:t>
            </w:r>
          </w:p>
        </w:tc>
        <w:tc>
          <w:tcPr>
            <w:tcW w:w="2427" w:type="dxa"/>
            <w:tcBorders>
              <w:left w:val="single" w:sz="6" w:space="0" w:color="000000" w:themeColor="text1"/>
              <w:bottom w:val="single" w:sz="4" w:space="0" w:color="auto"/>
            </w:tcBorders>
            <w:shd w:val="clear" w:color="auto" w:fill="auto"/>
          </w:tcPr>
          <w:p w14:paraId="0303757C" w14:textId="77777777" w:rsidR="009E308A" w:rsidRPr="009841AB" w:rsidRDefault="009E308A" w:rsidP="009E308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6BED417" w14:textId="77777777" w:rsidR="009A62A5" w:rsidRDefault="009A62A5" w:rsidP="009E308A">
            <w:pPr>
              <w:spacing w:line="276" w:lineRule="auto"/>
            </w:pPr>
            <w:r w:rsidRPr="00D030E7">
              <w:rPr>
                <w:lang w:eastAsia="en-US"/>
              </w:rPr>
              <w:t xml:space="preserve">(Iepriekš izziņas </w:t>
            </w:r>
            <w:r>
              <w:rPr>
                <w:lang w:eastAsia="en-US"/>
              </w:rPr>
              <w:t>3</w:t>
            </w:r>
            <w:r w:rsidR="009E318D">
              <w:rPr>
                <w:lang w:eastAsia="en-US"/>
              </w:rPr>
              <w:t>27</w:t>
            </w:r>
            <w:r w:rsidRPr="00D030E7">
              <w:rPr>
                <w:lang w:eastAsia="en-US"/>
              </w:rPr>
              <w:t>. punkts)</w:t>
            </w:r>
          </w:p>
          <w:p w14:paraId="51DB391E" w14:textId="77777777" w:rsidR="009E308A" w:rsidRPr="009841AB" w:rsidRDefault="009E308A" w:rsidP="009E308A">
            <w:pPr>
              <w:spacing w:line="276" w:lineRule="auto"/>
            </w:pPr>
            <w:r w:rsidRPr="009841AB">
              <w:t xml:space="preserve">26. Pamatnostādņu projekta 4.4.9. Rīcības virziena </w:t>
            </w:r>
            <w:r w:rsidRPr="009841AB">
              <w:rPr>
                <w:i/>
                <w:iCs/>
              </w:rPr>
              <w:t>“</w:t>
            </w:r>
            <w:r w:rsidRPr="009841AB">
              <w:rPr>
                <w:rStyle w:val="Emphasis"/>
              </w:rPr>
              <w:t xml:space="preserve">Moderna un atvērta valsts pārvalde” </w:t>
            </w:r>
            <w:r w:rsidRPr="009841AB">
              <w:t xml:space="preserve">aprakstā ir vairākkārt uzsvērts, ka valsts pārvaldes pakalpojumi ir atvērti, lai veidotu vienotu valsts un </w:t>
            </w:r>
            <w:proofErr w:type="spellStart"/>
            <w:r w:rsidRPr="009841AB">
              <w:t>komercsektora</w:t>
            </w:r>
            <w:proofErr w:type="spellEnd"/>
            <w:r w:rsidRPr="009841AB">
              <w:t xml:space="preserve"> pakalpojumu piedāvājuma kopumu personai; valsts pakalpojumi un privātā sektora pakalpojumi ir </w:t>
            </w:r>
            <w:r w:rsidRPr="009841AB">
              <w:lastRenderedPageBreak/>
              <w:t>integrējami. Ņemot vērā valsts un privātā sektora pakalpojumu sniegšanas mērķu atšķirības, kam pretnostatītas tiek sabiedrības būtiskās vajadzības un peļņas gūšanas mērķis,  lūdzam papildināt pamatnostādņu projektu ar detalizētāku skaidrojumu par minētās sadarbības pamatprincipiem un nosacījumiem.</w:t>
            </w:r>
          </w:p>
        </w:tc>
        <w:tc>
          <w:tcPr>
            <w:tcW w:w="2480" w:type="dxa"/>
            <w:tcBorders>
              <w:left w:val="single" w:sz="6" w:space="0" w:color="000000" w:themeColor="text1"/>
              <w:bottom w:val="single" w:sz="4" w:space="0" w:color="auto"/>
            </w:tcBorders>
            <w:shd w:val="clear" w:color="auto" w:fill="auto"/>
          </w:tcPr>
          <w:p w14:paraId="622B1EAB" w14:textId="77777777" w:rsidR="009E308A" w:rsidRPr="009841AB" w:rsidRDefault="009E308A" w:rsidP="009E308A">
            <w:pPr>
              <w:pStyle w:val="naisc"/>
              <w:spacing w:before="0" w:after="0"/>
              <w:jc w:val="left"/>
              <w:rPr>
                <w:b/>
                <w:bCs/>
              </w:rPr>
            </w:pPr>
            <w:r w:rsidRPr="009841AB">
              <w:rPr>
                <w:b/>
                <w:bCs/>
              </w:rPr>
              <w:lastRenderedPageBreak/>
              <w:t xml:space="preserve">Ņemts vērā </w:t>
            </w:r>
          </w:p>
        </w:tc>
        <w:tc>
          <w:tcPr>
            <w:tcW w:w="3497" w:type="dxa"/>
            <w:tcBorders>
              <w:left w:val="single" w:sz="6" w:space="0" w:color="000000" w:themeColor="text1"/>
              <w:bottom w:val="single" w:sz="4" w:space="0" w:color="auto"/>
            </w:tcBorders>
            <w:shd w:val="clear" w:color="auto" w:fill="auto"/>
          </w:tcPr>
          <w:p w14:paraId="2B44801B" w14:textId="77777777" w:rsidR="009E308A" w:rsidRPr="009841AB" w:rsidRDefault="009E308A" w:rsidP="009E308A">
            <w:pPr>
              <w:pStyle w:val="naisc"/>
              <w:spacing w:before="0" w:after="0"/>
              <w:jc w:val="left"/>
            </w:pPr>
            <w:r w:rsidRPr="009841AB">
              <w:t xml:space="preserve">Lūdzam skatīt </w:t>
            </w:r>
            <w:proofErr w:type="spellStart"/>
            <w:r w:rsidRPr="009841AB">
              <w:t>apakšsadaļu</w:t>
            </w:r>
            <w:proofErr w:type="spellEnd"/>
            <w:r w:rsidRPr="009841AB">
              <w:t xml:space="preserve"> 4.4.9.</w:t>
            </w:r>
            <w:r w:rsidR="79B356A9" w:rsidRPr="00E54893">
              <w:t>1</w:t>
            </w:r>
            <w:r w:rsidR="34A8B8F3" w:rsidRPr="00E54893">
              <w:t>.</w:t>
            </w:r>
          </w:p>
        </w:tc>
      </w:tr>
      <w:tr w:rsidR="0018109A" w:rsidRPr="009841AB" w14:paraId="4A593D6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BE5F61D" w14:textId="77777777" w:rsidR="0018109A" w:rsidRPr="009841AB" w:rsidRDefault="00597E5E" w:rsidP="0018109A">
            <w:pPr>
              <w:pStyle w:val="naisc"/>
              <w:spacing w:before="0" w:after="0"/>
            </w:pPr>
            <w:r>
              <w:t>412</w:t>
            </w:r>
          </w:p>
        </w:tc>
        <w:tc>
          <w:tcPr>
            <w:tcW w:w="2427" w:type="dxa"/>
            <w:tcBorders>
              <w:left w:val="single" w:sz="6" w:space="0" w:color="000000" w:themeColor="text1"/>
              <w:bottom w:val="single" w:sz="4" w:space="0" w:color="auto"/>
            </w:tcBorders>
            <w:shd w:val="clear" w:color="auto" w:fill="auto"/>
          </w:tcPr>
          <w:p w14:paraId="401FB28B"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B1149A7" w14:textId="77777777" w:rsidR="0018109A" w:rsidRPr="009841AB" w:rsidRDefault="0018109A" w:rsidP="0018109A">
            <w:pPr>
              <w:spacing w:line="276" w:lineRule="auto"/>
            </w:pPr>
            <w:r w:rsidRPr="009841AB">
              <w:t xml:space="preserve">27. Pamatnostādņu projekta 4.4.9.2. Rīcības </w:t>
            </w:r>
            <w:proofErr w:type="spellStart"/>
            <w:r w:rsidRPr="009841AB">
              <w:t>apakšvirziena</w:t>
            </w:r>
            <w:proofErr w:type="spellEnd"/>
            <w:r w:rsidRPr="009841AB">
              <w:t xml:space="preserve"> “Valsts pārvaldes pakalpojumu digitālā transformācija - </w:t>
            </w:r>
            <w:proofErr w:type="spellStart"/>
            <w:r w:rsidRPr="009841AB">
              <w:t>daudzkanālu</w:t>
            </w:r>
            <w:proofErr w:type="spellEnd"/>
            <w:r w:rsidRPr="009841AB">
              <w:t xml:space="preserve"> piegāde” sadaļā “Nepieciešamā rīcība” norādīts, ka valsts pakalpojumu </w:t>
            </w:r>
            <w:proofErr w:type="spellStart"/>
            <w:r w:rsidRPr="009841AB">
              <w:t>daudzkanālu</w:t>
            </w:r>
            <w:proofErr w:type="spellEnd"/>
            <w:r w:rsidRPr="009841AB">
              <w:t xml:space="preserve"> piegādes shēmā jāparedz un pakāpeniski ir jātransformē šādu pakalpojumu pieprasīšanas un piegādes kanālu atbalsts elektroniskajai videi: “iestādes elektronisko pakalpojumu sniegšanas risinājumi, pakāpeniski samazinot to lomu pakalpojumu sniegšanā ar stratēģisku mērķi radikāli samazināt vai pat pārtraukt šādu risinājumu uzturēšanu iestādēs” (161.lp.). Norādām, ka nav atbalstāms tāds rīcības virziens, atbilstoši kuram valsts pārvaldes iestāžu elektronisko pakalpojumu sniegšanas risinājumu uzturēšana varētu tikt pārtraukta pilnībā. Paskaidrojam, ka ne visus pakalpojumus iespējams izmitināt portālā Latvija.lv. Tādus pakalpojumus, kurus sniedz Uzņēmumu reģistrs un kuriem ir sarežģīta datu loģikas apstrāde un kuriem ir nepieciešamas specifiskas datu apmaiņas un integrācijas ar ārējām sistēmām/platformām, tajā skaitā Eiropas mērogā, var veidot un uzturēt tikai pati iestāde. Savukārt, lai varētu sasniegt pamatnostādņu </w:t>
            </w:r>
            <w:r w:rsidRPr="009841AB">
              <w:lastRenderedPageBreak/>
              <w:t xml:space="preserve">projektā izvirzītā uzdevuma “U4.4.9.2.-1”, kas noteic uzdevumu “Ieviest valsts pārvaldē vienotu </w:t>
            </w:r>
            <w:proofErr w:type="spellStart"/>
            <w:r w:rsidRPr="009841AB">
              <w:t>daudzkanālu</w:t>
            </w:r>
            <w:proofErr w:type="spellEnd"/>
            <w:r w:rsidRPr="009841AB">
              <w:t xml:space="preserve"> piegādi valsts pārvaldes pakalpojumiem” izpildi, lūdzam pamatnostādņu projektā paredzēt, ka iestādēm savus pakalpojumus jāveido modulārus un integrējamus caur API </w:t>
            </w:r>
            <w:proofErr w:type="spellStart"/>
            <w:r w:rsidRPr="009841AB">
              <w:t>saskarnēm</w:t>
            </w:r>
            <w:proofErr w:type="spellEnd"/>
            <w:r w:rsidRPr="009841AB">
              <w:t xml:space="preserve"> gan ar Latvijas, gan Eiropas Savienības koplietošanas risinājumiem u.c. sistēmām.</w:t>
            </w:r>
          </w:p>
          <w:p w14:paraId="01434644" w14:textId="77777777" w:rsidR="0018109A" w:rsidRPr="009841AB" w:rsidRDefault="0018109A" w:rsidP="0018109A">
            <w:pPr>
              <w:spacing w:line="276" w:lineRule="auto"/>
              <w:ind w:firstLine="709"/>
            </w:pPr>
            <w:r w:rsidRPr="009841AB">
              <w:t xml:space="preserve">Ņemot vērā minēto, lūdzam attiecīgo rindkopu izteikt šādā redakcijā: “Iestādes elektronisko pakalpojumu sniegšanas risinājumi, pakāpeniski samazinot to lomu pakalpojumu sniegšanā ar stratēģisku mērķi pēc iespējas samazināt vai pat pārtraukt šādu risinājumu uzturēšanu iestādēs, ja vienlīdz pilnvērtīgu un efektīvu pakalpojuma darbību iespējams nodrošināt, izmitinot portālā Latvija.lv. Iestādes, kuras turpina uzturēt savus risinājumus, nodrošina, ka to pakalpojumi ir modulāri, integrējami caur API </w:t>
            </w:r>
            <w:proofErr w:type="spellStart"/>
            <w:r w:rsidRPr="009841AB">
              <w:t>saskarnēm</w:t>
            </w:r>
            <w:proofErr w:type="spellEnd"/>
            <w:r w:rsidRPr="009841AB">
              <w:t xml:space="preserve"> gan ar Latvijas, gan Eiropas Savienības koplietošanas risinājumiem u.c. sistēmām.</w:t>
            </w:r>
          </w:p>
          <w:p w14:paraId="0CEB53D5" w14:textId="77777777" w:rsidR="0018109A" w:rsidRPr="009841AB" w:rsidRDefault="0018109A" w:rsidP="0018109A">
            <w:pPr>
              <w:spacing w:line="276" w:lineRule="auto"/>
              <w:ind w:firstLine="709"/>
            </w:pPr>
            <w:r w:rsidRPr="009841AB">
              <w:t xml:space="preserve">Papildus informējam, ka Uzņēmumu reģistrs šobrīd uzsācis darbu pie apjomīga projekta savu pakalpojumu un iekšējo procesu pilnīgai pārbūvei jeb to digitālai transformācijai. Uzņēmumu reģistra īstenotajā projektā definētie mērķi, uzdevumi un sasniedzamie rezultāti atbilst pamatnostādņu projektā izvirzītajiem uzstādījumiem. Jauno e-pakalpojumu nav plānots izmitināt portālā Latvija.lv, taču paredzētie risinājumi tiks izstrādāti tā, lai būtu integrējami un izmantojami arī sitās sistēmās – visas  </w:t>
            </w:r>
            <w:r w:rsidRPr="009841AB">
              <w:lastRenderedPageBreak/>
              <w:t>komponentes (kur tas iespējams), būs pieejamas caur API.</w:t>
            </w:r>
          </w:p>
        </w:tc>
        <w:tc>
          <w:tcPr>
            <w:tcW w:w="2480" w:type="dxa"/>
            <w:tcBorders>
              <w:left w:val="single" w:sz="6" w:space="0" w:color="000000" w:themeColor="text1"/>
              <w:bottom w:val="single" w:sz="4" w:space="0" w:color="auto"/>
            </w:tcBorders>
            <w:shd w:val="clear" w:color="auto" w:fill="auto"/>
          </w:tcPr>
          <w:p w14:paraId="0A05672D" w14:textId="77777777" w:rsidR="002069BB" w:rsidRPr="009841AB" w:rsidRDefault="002069BB" w:rsidP="002069BB">
            <w:pPr>
              <w:pStyle w:val="naisc"/>
              <w:jc w:val="left"/>
              <w:rPr>
                <w:b/>
                <w:bCs/>
                <w:color w:val="000000"/>
                <w:shd w:val="clear" w:color="auto" w:fill="FFFFFF"/>
              </w:rPr>
            </w:pPr>
            <w:r>
              <w:rPr>
                <w:b/>
                <w:bCs/>
                <w:color w:val="000000"/>
                <w:shd w:val="clear" w:color="auto" w:fill="FFFFFF"/>
              </w:rPr>
              <w:lastRenderedPageBreak/>
              <w:t>Panākta vienošanās</w:t>
            </w:r>
          </w:p>
          <w:p w14:paraId="66A32E16" w14:textId="77777777" w:rsidR="0018109A" w:rsidRPr="009841AB" w:rsidRDefault="003D0F69" w:rsidP="003D0F69">
            <w:pPr>
              <w:pStyle w:val="naisc"/>
              <w:spacing w:before="0" w:after="0"/>
              <w:jc w:val="left"/>
            </w:pPr>
            <w:r w:rsidRPr="009841AB">
              <w:t xml:space="preserve">Izvirzot par </w:t>
            </w:r>
            <w:proofErr w:type="spellStart"/>
            <w:r w:rsidRPr="009841AB">
              <w:t>virsmērķi</w:t>
            </w:r>
            <w:proofErr w:type="spellEnd"/>
            <w:r w:rsidRPr="009841AB">
              <w:t xml:space="preserve"> nodrošināt sabiedrības intereses pakalpojumu saņemšanā pēc vienas pieturas aģentūras principa digitālajā vidē un panāktu vienveidīgu, uz vienotiem lietojamības un funkcionālajiem principiem un scenārijiem balstītu valsts pārvaldes pakalpojumu izmantošanas pieredzi, kā arī maksimizētu kopējo valsts pārvaldes pakalpojumu sniegšanas risinājumu darbības efektivitāti, nav atbalstāma turpmāka uz plašu sabiedrību vērstu iestāžu individuālo pakalpojumu </w:t>
            </w:r>
            <w:r w:rsidRPr="009841AB">
              <w:lastRenderedPageBreak/>
              <w:t>sniegšanas vižu attīstība.</w:t>
            </w:r>
          </w:p>
          <w:p w14:paraId="1D2BE726" w14:textId="77777777" w:rsidR="003978F3" w:rsidRPr="009841AB" w:rsidRDefault="003978F3" w:rsidP="003D0F69">
            <w:pPr>
              <w:pStyle w:val="naisc"/>
              <w:spacing w:before="0" w:after="0"/>
              <w:jc w:val="left"/>
            </w:pPr>
          </w:p>
          <w:p w14:paraId="384F5886" w14:textId="77777777" w:rsidR="003978F3" w:rsidRPr="009841AB" w:rsidRDefault="003978F3" w:rsidP="003D0F69">
            <w:pPr>
              <w:pStyle w:val="naisc"/>
              <w:spacing w:before="0" w:after="0"/>
              <w:jc w:val="left"/>
            </w:pPr>
            <w:r w:rsidRPr="009841AB">
              <w:t>Pamatnostādnes definē jauno digitālās transformācijas vienoto politiku, tai skaitā valsts pārvaldes pakalpojumu organizēšanas jomā, tādēļ pats fakts, ka šobrīd tiek īstenotas aktivitātes, kas iespējams, vien daļēji atbilst jaunajai politikai, nevar būt par šķērsli noteikt jauno politiku. Vienlaikus, jāņem vērā, ka jaunās politikas ieviešana notiks pakāpeniski, nomainot esošo IKT risinājumu ekosistēmas elementus pakāpeniski saskaņā ar to dzīvesciklu</w:t>
            </w:r>
          </w:p>
        </w:tc>
        <w:tc>
          <w:tcPr>
            <w:tcW w:w="3497" w:type="dxa"/>
            <w:tcBorders>
              <w:left w:val="single" w:sz="6" w:space="0" w:color="000000" w:themeColor="text1"/>
              <w:bottom w:val="single" w:sz="4" w:space="0" w:color="auto"/>
            </w:tcBorders>
            <w:shd w:val="clear" w:color="auto" w:fill="auto"/>
          </w:tcPr>
          <w:p w14:paraId="5703DD9A" w14:textId="77777777" w:rsidR="0018109A" w:rsidRPr="009841AB" w:rsidRDefault="003978F3" w:rsidP="003978F3">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4.4.9.</w:t>
            </w:r>
          </w:p>
        </w:tc>
      </w:tr>
      <w:tr w:rsidR="0018109A" w:rsidRPr="009841AB" w14:paraId="5E0D242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C94834F" w14:textId="77777777" w:rsidR="0018109A" w:rsidRPr="009841AB" w:rsidRDefault="00597E5E" w:rsidP="0018109A">
            <w:pPr>
              <w:pStyle w:val="naisc"/>
              <w:spacing w:before="0" w:after="0"/>
            </w:pPr>
            <w:r>
              <w:lastRenderedPageBreak/>
              <w:t>413</w:t>
            </w:r>
          </w:p>
        </w:tc>
        <w:tc>
          <w:tcPr>
            <w:tcW w:w="2427" w:type="dxa"/>
            <w:tcBorders>
              <w:left w:val="single" w:sz="6" w:space="0" w:color="000000" w:themeColor="text1"/>
              <w:bottom w:val="single" w:sz="4" w:space="0" w:color="auto"/>
            </w:tcBorders>
            <w:shd w:val="clear" w:color="auto" w:fill="auto"/>
          </w:tcPr>
          <w:p w14:paraId="487E5C12"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29EE75F" w14:textId="77777777" w:rsidR="0018109A" w:rsidRPr="009841AB" w:rsidRDefault="0018109A" w:rsidP="0018109A">
            <w:pPr>
              <w:ind w:right="12"/>
              <w:jc w:val="both"/>
            </w:pPr>
            <w:r w:rsidRPr="009841AB">
              <w:t>28. Ņemot vērā Valsts valodas centra līdzšinējo sadarbību ar Kultūras informācijas sistēmu centru un pamatnostādņu darba grupā apspriesto, lūdzam kā līdzatbildīgo institūciju pie uzdevuma “U4.4.7.-2 norādīt” arī Tieslietu ministriju (tās padotības iestāde - Valsts valodas centrs).</w:t>
            </w:r>
          </w:p>
        </w:tc>
        <w:tc>
          <w:tcPr>
            <w:tcW w:w="2480" w:type="dxa"/>
            <w:tcBorders>
              <w:left w:val="single" w:sz="6" w:space="0" w:color="000000" w:themeColor="text1"/>
              <w:bottom w:val="single" w:sz="4" w:space="0" w:color="auto"/>
            </w:tcBorders>
            <w:shd w:val="clear" w:color="auto" w:fill="auto"/>
          </w:tcPr>
          <w:p w14:paraId="151EF045" w14:textId="77777777" w:rsidR="0018109A" w:rsidRPr="009841AB" w:rsidRDefault="0018109A" w:rsidP="008B74B4">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5EF448DA" w14:textId="77777777" w:rsidR="008B74B4" w:rsidRPr="009841AB" w:rsidRDefault="0018109A" w:rsidP="008B74B4">
            <w:pPr>
              <w:pStyle w:val="Default"/>
            </w:pPr>
            <w:r w:rsidRPr="009841AB">
              <w:t xml:space="preserve">Lūdzam skatīt </w:t>
            </w:r>
            <w:proofErr w:type="spellStart"/>
            <w:r w:rsidRPr="009841AB">
              <w:t>apakšsadaļu</w:t>
            </w:r>
            <w:proofErr w:type="spellEnd"/>
            <w:r w:rsidRPr="009841AB">
              <w:t xml:space="preserve"> 4.4.7.</w:t>
            </w:r>
            <w:r w:rsidR="008B74B4" w:rsidRPr="009841AB">
              <w:t xml:space="preserve"> U4.4.7.-2</w:t>
            </w:r>
          </w:p>
          <w:p w14:paraId="5C9BBF77" w14:textId="77777777" w:rsidR="0018109A" w:rsidRPr="009841AB" w:rsidRDefault="008B74B4" w:rsidP="008B74B4">
            <w:pPr>
              <w:pStyle w:val="Default"/>
            </w:pPr>
            <w:r w:rsidRPr="009841AB">
              <w:t>Līdzatbildīgie: IZM, TM (VVC)</w:t>
            </w:r>
          </w:p>
        </w:tc>
      </w:tr>
      <w:tr w:rsidR="0018109A" w:rsidRPr="009841AB" w14:paraId="01F1BB1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92FCF0B" w14:textId="77777777" w:rsidR="0018109A" w:rsidRPr="009841AB" w:rsidRDefault="0018109A" w:rsidP="0018109A">
            <w:pPr>
              <w:pStyle w:val="naisc"/>
              <w:spacing w:before="0" w:after="0"/>
            </w:pPr>
          </w:p>
        </w:tc>
        <w:tc>
          <w:tcPr>
            <w:tcW w:w="2427" w:type="dxa"/>
            <w:tcBorders>
              <w:left w:val="single" w:sz="6" w:space="0" w:color="000000" w:themeColor="text1"/>
              <w:bottom w:val="single" w:sz="4" w:space="0" w:color="auto"/>
            </w:tcBorders>
            <w:shd w:val="clear" w:color="auto" w:fill="auto"/>
          </w:tcPr>
          <w:p w14:paraId="7A26B6A7" w14:textId="77777777" w:rsidR="0018109A" w:rsidRPr="009841AB" w:rsidRDefault="0018109A" w:rsidP="0018109A">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3A3A26D2" w14:textId="77777777" w:rsidR="0018109A" w:rsidRPr="009841AB" w:rsidRDefault="0018109A" w:rsidP="0018109A">
            <w:pPr>
              <w:ind w:right="12"/>
              <w:jc w:val="both"/>
              <w:rPr>
                <w:b/>
                <w:bCs/>
              </w:rPr>
            </w:pPr>
            <w:r w:rsidRPr="009841AB">
              <w:rPr>
                <w:b/>
                <w:bCs/>
              </w:rPr>
              <w:t>Priekšlikumi:</w:t>
            </w:r>
          </w:p>
        </w:tc>
        <w:tc>
          <w:tcPr>
            <w:tcW w:w="2480" w:type="dxa"/>
            <w:tcBorders>
              <w:left w:val="single" w:sz="6" w:space="0" w:color="000000" w:themeColor="text1"/>
              <w:bottom w:val="single" w:sz="4" w:space="0" w:color="auto"/>
            </w:tcBorders>
            <w:shd w:val="clear" w:color="auto" w:fill="auto"/>
          </w:tcPr>
          <w:p w14:paraId="63F00D65"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0B3EC3FF" w14:textId="77777777" w:rsidR="0018109A" w:rsidRPr="009841AB" w:rsidRDefault="0018109A" w:rsidP="0018109A">
            <w:pPr>
              <w:pStyle w:val="naisc"/>
              <w:spacing w:before="0" w:after="0"/>
              <w:jc w:val="both"/>
            </w:pPr>
          </w:p>
        </w:tc>
      </w:tr>
      <w:tr w:rsidR="0018109A" w:rsidRPr="009841AB" w14:paraId="7DB51C1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1A4518E" w14:textId="77777777" w:rsidR="0018109A" w:rsidRPr="009841AB" w:rsidRDefault="00597E5E" w:rsidP="0018109A">
            <w:pPr>
              <w:pStyle w:val="naisc"/>
              <w:spacing w:before="0" w:after="0"/>
            </w:pPr>
            <w:r>
              <w:t>414</w:t>
            </w:r>
          </w:p>
        </w:tc>
        <w:tc>
          <w:tcPr>
            <w:tcW w:w="2427" w:type="dxa"/>
            <w:tcBorders>
              <w:left w:val="single" w:sz="6" w:space="0" w:color="000000" w:themeColor="text1"/>
              <w:bottom w:val="single" w:sz="4" w:space="0" w:color="auto"/>
            </w:tcBorders>
            <w:shd w:val="clear" w:color="auto" w:fill="auto"/>
          </w:tcPr>
          <w:p w14:paraId="07D97E65"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DD2AFF3" w14:textId="77777777" w:rsidR="009E318D" w:rsidRDefault="009E318D" w:rsidP="0018109A">
            <w:pPr>
              <w:spacing w:line="276" w:lineRule="auto"/>
              <w:rPr>
                <w:bCs/>
              </w:rPr>
            </w:pPr>
            <w:r w:rsidRPr="00D030E7">
              <w:rPr>
                <w:lang w:eastAsia="en-US"/>
              </w:rPr>
              <w:t xml:space="preserve">(Iepriekš izziņas </w:t>
            </w:r>
            <w:r>
              <w:rPr>
                <w:lang w:eastAsia="en-US"/>
              </w:rPr>
              <w:t>3</w:t>
            </w:r>
            <w:r w:rsidR="00D70832">
              <w:rPr>
                <w:lang w:eastAsia="en-US"/>
              </w:rPr>
              <w:t>30</w:t>
            </w:r>
            <w:r w:rsidRPr="00D030E7">
              <w:rPr>
                <w:lang w:eastAsia="en-US"/>
              </w:rPr>
              <w:t>. punkts)</w:t>
            </w:r>
          </w:p>
          <w:p w14:paraId="56B4CD26" w14:textId="77777777" w:rsidR="0018109A" w:rsidRPr="009841AB" w:rsidRDefault="0018109A" w:rsidP="0018109A">
            <w:pPr>
              <w:spacing w:line="276" w:lineRule="auto"/>
            </w:pPr>
            <w:r w:rsidRPr="009841AB">
              <w:rPr>
                <w:bCs/>
              </w:rPr>
              <w:t xml:space="preserve">1. Pamatnostādņu projekta 4.4.2.2. Rīcības </w:t>
            </w:r>
            <w:proofErr w:type="spellStart"/>
            <w:r w:rsidRPr="009841AB">
              <w:rPr>
                <w:bCs/>
              </w:rPr>
              <w:t>apakšvirzienā</w:t>
            </w:r>
            <w:proofErr w:type="spellEnd"/>
            <w:r w:rsidRPr="009841AB">
              <w:rPr>
                <w:bCs/>
              </w:rPr>
              <w:t xml:space="preserve"> “Fizisko personu datu aizsardzība” ir paredzēts uzdevums “U4.4.2.2.-1” - </w:t>
            </w:r>
            <w:r w:rsidRPr="009841AB">
              <w:rPr>
                <w:bCs/>
                <w:i/>
                <w:iCs/>
              </w:rPr>
              <w:t>Izveidot un ieviest plānu regulārai sabiedrības izpratnes veicināšanai par fizisko personu datu aizsardzību, it īpaši saistībā ar jauno digitālo tehnoloģiju izmantošanu, tajā skaitā mākslīgo intelektu un lietu internetu</w:t>
            </w:r>
            <w:r w:rsidRPr="009841AB">
              <w:rPr>
                <w:bCs/>
              </w:rPr>
              <w:t xml:space="preserve">, un uzdevums “U4.4.5.2.-3” - </w:t>
            </w:r>
            <w:r w:rsidRPr="009841AB">
              <w:rPr>
                <w:bCs/>
                <w:i/>
                <w:iCs/>
              </w:rPr>
              <w:t>Izstrādāt digitālu personas datu apstrādes pārkāpumu, drošības analīzes un pārvaldības risinājumu saistībā ar Vispārīgo datu aizsardzības regulu</w:t>
            </w:r>
            <w:r w:rsidRPr="009841AB">
              <w:rPr>
                <w:bCs/>
              </w:rPr>
              <w:t xml:space="preserve">, par ko kā atbildīgā institūcija ir noteikta Tieslietu ministrija. Norādām, ka saskaņā ar Datu regulas 57. panta 1. punkta “b” apakšpunktu uzraudzības iestāde veicina sabiedrības informētību un izpratni par riskiem, noteikumiem, garantijām un tiesībām saistībā ar apstrādi. Saskaņā ar Fizisko personu datu apstrādes likuma 4. panta pirmās daļas 11. punktu Datu valsts inspekcija veic pētījumus, analizē situāciju, sniedz ieteikumus un atzinumus, kā arī informē sabiedrību par aktuāliem jautājumiem savas kompetences jomās. </w:t>
            </w:r>
            <w:r w:rsidRPr="009841AB">
              <w:rPr>
                <w:bCs/>
              </w:rPr>
              <w:lastRenderedPageBreak/>
              <w:t>Ņemot vērā Datu valsts inspekcijas kompetenci, lūdzam par uzdevumu “U4.4.2.2.-1” tāpat arī uzdevumu “</w:t>
            </w:r>
            <w:r w:rsidRPr="009841AB">
              <w:t xml:space="preserve">U4.4.5.2.-3” </w:t>
            </w:r>
            <w:r w:rsidRPr="009841AB">
              <w:rPr>
                <w:bCs/>
              </w:rPr>
              <w:t>kā atbildīgo noteikt Datu valsts inspekciju. Tāpat l</w:t>
            </w:r>
            <w:r w:rsidRPr="009841AB">
              <w:t>ūdzam attiecīgi precizēt arī pamatnostādņu projekta pielikuma (2.pielikums "Rīcības virzieni un uzdevumi") 4.4.2.2.-1. sadaļas uzdevumu "Izveidot un ieviest plānu regulārai sabiedrības izpratnes veicināšanai par fizisko personu datu aizsardzību, it īpaši saistībā ar jauno digitālo tehnoloģiju izmantošanu, tajā skaitā mākslīgo intelektu un lietu internetu" sadaļu "Atbildīgās institūcijas", precizējot, ka atbildīgā institūcija ir Datu valsts inspekcija.</w:t>
            </w:r>
          </w:p>
        </w:tc>
        <w:tc>
          <w:tcPr>
            <w:tcW w:w="2480" w:type="dxa"/>
            <w:tcBorders>
              <w:left w:val="single" w:sz="6" w:space="0" w:color="000000" w:themeColor="text1"/>
              <w:bottom w:val="single" w:sz="4" w:space="0" w:color="auto"/>
            </w:tcBorders>
            <w:shd w:val="clear" w:color="auto" w:fill="auto"/>
          </w:tcPr>
          <w:p w14:paraId="712F1CC5" w14:textId="77777777" w:rsidR="0018109A" w:rsidRPr="009841AB" w:rsidRDefault="0018109A" w:rsidP="0018109A">
            <w:pPr>
              <w:pStyle w:val="naisc"/>
              <w:spacing w:before="0" w:after="0"/>
              <w:jc w:val="left"/>
              <w:rPr>
                <w:b/>
                <w:bCs/>
              </w:rPr>
            </w:pPr>
            <w:r w:rsidRPr="009841AB">
              <w:rPr>
                <w:b/>
                <w:bCs/>
              </w:rPr>
              <w:lastRenderedPageBreak/>
              <w:t>Ņemts vērā</w:t>
            </w:r>
          </w:p>
          <w:p w14:paraId="376F95F9" w14:textId="77777777" w:rsidR="0018109A" w:rsidRPr="009841AB" w:rsidRDefault="0018109A" w:rsidP="0018109A">
            <w:pPr>
              <w:pStyle w:val="naisc"/>
              <w:spacing w:before="0" w:after="0"/>
              <w:jc w:val="left"/>
            </w:pPr>
            <w:r w:rsidRPr="009841AB">
              <w:t>Precizēta atbildība nosakot DVI par atbildīgo saskaņā ar atzinumā norādīto.</w:t>
            </w:r>
          </w:p>
        </w:tc>
        <w:tc>
          <w:tcPr>
            <w:tcW w:w="3497" w:type="dxa"/>
            <w:tcBorders>
              <w:left w:val="single" w:sz="6" w:space="0" w:color="000000" w:themeColor="text1"/>
              <w:bottom w:val="single" w:sz="4" w:space="0" w:color="auto"/>
            </w:tcBorders>
            <w:shd w:val="clear" w:color="auto" w:fill="auto"/>
          </w:tcPr>
          <w:p w14:paraId="4ED93438"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4.4.2.2.</w:t>
            </w:r>
          </w:p>
        </w:tc>
      </w:tr>
      <w:tr w:rsidR="0018109A" w:rsidRPr="009841AB" w14:paraId="3649086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8046139" w14:textId="77777777" w:rsidR="0018109A" w:rsidRPr="009841AB" w:rsidRDefault="00633E6A" w:rsidP="0018109A">
            <w:pPr>
              <w:pStyle w:val="naisc"/>
              <w:spacing w:before="0" w:after="0"/>
            </w:pPr>
            <w:r>
              <w:t>415</w:t>
            </w:r>
          </w:p>
        </w:tc>
        <w:tc>
          <w:tcPr>
            <w:tcW w:w="2427" w:type="dxa"/>
            <w:tcBorders>
              <w:left w:val="single" w:sz="6" w:space="0" w:color="000000" w:themeColor="text1"/>
              <w:bottom w:val="single" w:sz="4" w:space="0" w:color="auto"/>
            </w:tcBorders>
            <w:shd w:val="clear" w:color="auto" w:fill="auto"/>
          </w:tcPr>
          <w:p w14:paraId="4B1295B5"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3061DF7" w14:textId="77777777" w:rsidR="0018109A" w:rsidRPr="009841AB" w:rsidRDefault="0018109A" w:rsidP="0018109A">
            <w:pPr>
              <w:spacing w:line="276" w:lineRule="auto"/>
            </w:pPr>
            <w:r w:rsidRPr="009841AB">
              <w:t>2. Vēršam uzmanību, ka pamatnostādņu projektā izvirzīto mērķu un uzdevumu izpilde lielā mērā ir atkarīga no Valsts zemes dienestam piešķirtā budžeta iespējām vai citu finanšu instrumentu piesaistīšanas un izmantošanas iespējām. Līdz ar to pamatnostādņu projekta realizācijā lūdzam ņemt vērā katras iesaistītās iestādes specifiku datu un pakalpojumu sniegšanas jomā. Nepiešķirot atbilstošus finanšu līdzekļus, piemēram, lai pielāgotu Valsts zemes dienesta uzturēto vispārpieejamo datu nodošanu caur integrētu tehnisko infrastruktūru, pastāv risks, ka to nebūs iespējams realizēt. Kā arī Valsts zemes dienestam nebūs iespējams nodrošināt, ka, piemēram, Valsts zemes dienesta rīcībā vispārpieejamā informācija varētu tikt publicēta Latvijas Atvērto datu portālā kā atvērtie dati.</w:t>
            </w:r>
          </w:p>
          <w:p w14:paraId="3CB86512" w14:textId="77777777" w:rsidR="0018109A" w:rsidRPr="009841AB" w:rsidRDefault="0018109A" w:rsidP="0018109A">
            <w:pPr>
              <w:spacing w:line="276" w:lineRule="auto"/>
              <w:ind w:firstLine="720"/>
            </w:pPr>
            <w:r w:rsidRPr="009841AB">
              <w:lastRenderedPageBreak/>
              <w:t xml:space="preserve">Norādām, ka ģeotelpisko datu izsniegšanas pakalpojumi, t.sk. ģeotelpiskie risinājumi, primāri jāsniedz digitāli, nodrošinot ģeotelpisko datu pieejamību un </w:t>
            </w:r>
            <w:proofErr w:type="spellStart"/>
            <w:r w:rsidRPr="009841AB">
              <w:t>atkalizmantošanu</w:t>
            </w:r>
            <w:proofErr w:type="spellEnd"/>
            <w:r w:rsidRPr="009841AB">
              <w:t xml:space="preserve">. Vienlaikus </w:t>
            </w:r>
            <w:bookmarkStart w:id="6" w:name="_Hlk63024110"/>
            <w:r w:rsidRPr="009841AB">
              <w:t>pamatnostādņu</w:t>
            </w:r>
            <w:bookmarkEnd w:id="6"/>
            <w:r w:rsidRPr="009841AB">
              <w:t xml:space="preserve"> projektā izvirzīto mērķu realizēšanai ir nepieciešams definēt ģeotelpisko datu apjomu, t.sk. ierobežotas pieejamības informācijas (personas datu) izmantošanu un aizsardzību, lai neapdraudētu sabiedrības un valsts drošības intereses. Kā arī, lai nodrošinātu pamatnostādņu projektā noteikto mērķu izpildi, būs jāveic normatīvo aktu </w:t>
            </w:r>
            <w:proofErr w:type="spellStart"/>
            <w:r w:rsidRPr="009841AB">
              <w:t>izvērtējums</w:t>
            </w:r>
            <w:proofErr w:type="spellEnd"/>
            <w:r w:rsidRPr="009841AB">
              <w:t xml:space="preserve"> un nepieciešamības gadījumā jāsniedz priekšlikumi grozījumiem. Papildus arī tika norādīts, ka būtu nepieciešams precizēt pamatnostādņu projekta 121.lp. 4. punktu, nosakot, vai bezmaksas ģeotelpisko datu apmaiņa paredzēta tikai starp valsts pārvaldes iestādēm vai arī plānota bezmaksas datu nodošana uzņēmējiem un iedzīvotājiem.</w:t>
            </w:r>
          </w:p>
        </w:tc>
        <w:tc>
          <w:tcPr>
            <w:tcW w:w="2480" w:type="dxa"/>
            <w:tcBorders>
              <w:left w:val="single" w:sz="6" w:space="0" w:color="000000" w:themeColor="text1"/>
              <w:bottom w:val="single" w:sz="4" w:space="0" w:color="auto"/>
            </w:tcBorders>
            <w:shd w:val="clear" w:color="auto" w:fill="auto"/>
          </w:tcPr>
          <w:p w14:paraId="090A434D" w14:textId="77777777" w:rsidR="0018109A" w:rsidRPr="009841AB" w:rsidRDefault="0018109A" w:rsidP="0018109A">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69C499B1" w14:textId="77777777" w:rsidR="0018109A" w:rsidRPr="009841AB" w:rsidRDefault="00BF09D1" w:rsidP="00BF09D1">
            <w:pPr>
              <w:spacing w:line="276" w:lineRule="auto"/>
            </w:pPr>
            <w:r w:rsidRPr="009841AB">
              <w:t xml:space="preserve">Lūdzam skatīt  </w:t>
            </w:r>
            <w:proofErr w:type="spellStart"/>
            <w:r w:rsidRPr="009841AB">
              <w:t>apakšsadaļu</w:t>
            </w:r>
            <w:proofErr w:type="spellEnd"/>
            <w:r w:rsidRPr="009841AB">
              <w:t xml:space="preserve"> 4.4.2.3.</w:t>
            </w:r>
          </w:p>
        </w:tc>
      </w:tr>
      <w:tr w:rsidR="0018109A" w:rsidRPr="009841AB" w14:paraId="024EFE9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AD3F684" w14:textId="77777777" w:rsidR="0018109A" w:rsidRPr="009841AB" w:rsidRDefault="00633E6A" w:rsidP="0018109A">
            <w:pPr>
              <w:pStyle w:val="naisc"/>
              <w:spacing w:before="0" w:after="0"/>
            </w:pPr>
            <w:r>
              <w:t>416</w:t>
            </w:r>
          </w:p>
        </w:tc>
        <w:tc>
          <w:tcPr>
            <w:tcW w:w="2427" w:type="dxa"/>
            <w:tcBorders>
              <w:left w:val="single" w:sz="6" w:space="0" w:color="000000" w:themeColor="text1"/>
              <w:bottom w:val="single" w:sz="4" w:space="0" w:color="auto"/>
            </w:tcBorders>
            <w:shd w:val="clear" w:color="auto" w:fill="auto"/>
          </w:tcPr>
          <w:p w14:paraId="20A4E80B"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166A969" w14:textId="77777777" w:rsidR="0018109A" w:rsidRPr="009841AB" w:rsidRDefault="0018109A" w:rsidP="0018109A">
            <w:pPr>
              <w:spacing w:line="276" w:lineRule="auto"/>
            </w:pPr>
            <w:r w:rsidRPr="009841AB">
              <w:t xml:space="preserve">3. Attiecībā par ģeotelpisko datu apmaiņas platformu, informējam, ka Valsts zemes dienests jau šobrīd atsevišķu ģeotelpisko datu izplatīšanai no Valsts zemes dienesta uzturētajām informācijas sistēmām izmanto Valsts vienoto ģeotelpiskās informācijas portālu GeoLatvija.lv un arī nākotnē ģeotelpiskos datus izplatīs, izmantojot vienotas ģeotelpisko datu apmaiņas platformas, neatsakoties arī no pakalpojumu sniegšanas un datu izplatīšanas Valsts zemes dienesta datu publicēšanas un e-pakalpojumu portālā Kadastrs.lv. Valsts zemes dienests strādā pie risinājumiem, lai nodrošinātu pēc iespējas </w:t>
            </w:r>
            <w:r w:rsidRPr="009841AB">
              <w:lastRenderedPageBreak/>
              <w:t xml:space="preserve">unificētākas izplatāmo ģeotelpisko datu struktūras, kas būtu arī viens no </w:t>
            </w:r>
            <w:proofErr w:type="spellStart"/>
            <w:r w:rsidRPr="009841AB">
              <w:t>digitalizācijas</w:t>
            </w:r>
            <w:proofErr w:type="spellEnd"/>
            <w:r w:rsidRPr="009841AB">
              <w:t xml:space="preserve"> pamatjautājumiem – apzināt valstī esošās datu (ne tikai ģeotelpisko datu) kopas un noteikt unificētas struktūras. Ģeotelpisko datu izsniegšanas pakalpojumi, t.sk. ģeotelpiskie risinājumi vides attīstības procesu pārvaldībai, primāri jāsniedz digitāli, nodrošinot ģeotelpisko datu pieejamību un </w:t>
            </w:r>
            <w:proofErr w:type="spellStart"/>
            <w:r w:rsidRPr="009841AB">
              <w:t>atkalizmantošanu</w:t>
            </w:r>
            <w:proofErr w:type="spellEnd"/>
            <w:r w:rsidRPr="009841AB">
              <w:t xml:space="preserve">. Vienlaikus pamatnostādņu projektā izvirzīto mērķu realizēšanai ir nepieciešams definēt ģeotelpisko datu apjomu, t.sk ierobežotas pieejamības informācijas (personas datu) izmantošanu un aizsardzību, lai neapdraudētu sabiedrības un valsts drošības intereses. Tāpat noteikto mērķu sasniegšana ir atkarīga no turpmākajām piešķirtā budžeta iespējām vai citu finanšu instrumentu piesaistīšanas un izmantošanas iespējām. Papildus tam, lai nodrošinātu noteikto mērķu izpildi, būs jāveic normatīvo aktu </w:t>
            </w:r>
            <w:proofErr w:type="spellStart"/>
            <w:r w:rsidRPr="009841AB">
              <w:t>izvērtējums</w:t>
            </w:r>
            <w:proofErr w:type="spellEnd"/>
            <w:r w:rsidRPr="009841AB">
              <w:t xml:space="preserve"> un nepieciešamības gadījumā jāsniedz priekšlikumi grozījumiem.</w:t>
            </w:r>
          </w:p>
        </w:tc>
        <w:tc>
          <w:tcPr>
            <w:tcW w:w="2480" w:type="dxa"/>
            <w:tcBorders>
              <w:left w:val="single" w:sz="6" w:space="0" w:color="000000" w:themeColor="text1"/>
              <w:bottom w:val="single" w:sz="4" w:space="0" w:color="auto"/>
            </w:tcBorders>
            <w:shd w:val="clear" w:color="auto" w:fill="auto"/>
          </w:tcPr>
          <w:p w14:paraId="51922659" w14:textId="77777777" w:rsidR="002069BB" w:rsidRPr="009841AB" w:rsidRDefault="002069BB" w:rsidP="002069BB">
            <w:pPr>
              <w:pStyle w:val="naisc"/>
              <w:jc w:val="left"/>
              <w:rPr>
                <w:b/>
                <w:bCs/>
                <w:color w:val="000000"/>
                <w:shd w:val="clear" w:color="auto" w:fill="FFFFFF"/>
              </w:rPr>
            </w:pPr>
            <w:r>
              <w:rPr>
                <w:b/>
                <w:bCs/>
                <w:color w:val="000000"/>
                <w:shd w:val="clear" w:color="auto" w:fill="FFFFFF"/>
              </w:rPr>
              <w:lastRenderedPageBreak/>
              <w:t>Panākta vienošanās</w:t>
            </w:r>
          </w:p>
          <w:p w14:paraId="240E824A" w14:textId="77777777" w:rsidR="0018109A" w:rsidRPr="009841AB" w:rsidRDefault="0018109A" w:rsidP="0018109A">
            <w:pPr>
              <w:pStyle w:val="naisc"/>
              <w:spacing w:before="0" w:after="0"/>
              <w:jc w:val="left"/>
              <w:rPr>
                <w:b/>
                <w:bCs/>
              </w:rPr>
            </w:pPr>
            <w:r w:rsidRPr="009841AB">
              <w:rPr>
                <w:color w:val="000000"/>
                <w:shd w:val="clear" w:color="auto" w:fill="FFFFFF"/>
              </w:rPr>
              <w:t>Pamatnostādnēs ietverta nepieciešamība uzlabot finansēšanas modeli datu atvēršanai, tostarp ģeotelpiskajiem datiem. Savukārt attiecībā uz datu vispārīgu klasifikāciju nav nepieciešams ietvert pamatnostādnēs, jo regulējums noteikts NA.</w:t>
            </w:r>
          </w:p>
        </w:tc>
        <w:tc>
          <w:tcPr>
            <w:tcW w:w="3497" w:type="dxa"/>
            <w:tcBorders>
              <w:left w:val="single" w:sz="6" w:space="0" w:color="000000" w:themeColor="text1"/>
              <w:bottom w:val="single" w:sz="4" w:space="0" w:color="auto"/>
            </w:tcBorders>
            <w:shd w:val="clear" w:color="auto" w:fill="auto"/>
          </w:tcPr>
          <w:p w14:paraId="5BA92075"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w:t>
            </w:r>
          </w:p>
        </w:tc>
      </w:tr>
      <w:tr w:rsidR="0018109A" w:rsidRPr="009841AB" w14:paraId="79F706B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B8A021C" w14:textId="77777777" w:rsidR="0018109A" w:rsidRPr="009841AB" w:rsidRDefault="00633E6A" w:rsidP="00633E6A">
            <w:pPr>
              <w:pStyle w:val="naisc"/>
              <w:spacing w:before="0" w:after="0"/>
              <w:jc w:val="left"/>
            </w:pPr>
            <w:r>
              <w:t>417</w:t>
            </w:r>
          </w:p>
        </w:tc>
        <w:tc>
          <w:tcPr>
            <w:tcW w:w="2427" w:type="dxa"/>
            <w:tcBorders>
              <w:left w:val="single" w:sz="6" w:space="0" w:color="000000" w:themeColor="text1"/>
              <w:bottom w:val="single" w:sz="4" w:space="0" w:color="auto"/>
            </w:tcBorders>
            <w:shd w:val="clear" w:color="auto" w:fill="auto"/>
          </w:tcPr>
          <w:p w14:paraId="687FAD6F"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52D7430" w14:textId="77777777" w:rsidR="0018109A" w:rsidRPr="009841AB" w:rsidRDefault="0018109A" w:rsidP="0018109A">
            <w:pPr>
              <w:spacing w:line="276" w:lineRule="auto"/>
            </w:pPr>
            <w:r w:rsidRPr="009841AB">
              <w:t>4. Lūdzam pamatnostādņu projekta 111.lp. skaidrot vārdu savienojumu “nodokļu administrācija”.</w:t>
            </w:r>
          </w:p>
        </w:tc>
        <w:tc>
          <w:tcPr>
            <w:tcW w:w="2480" w:type="dxa"/>
            <w:tcBorders>
              <w:left w:val="single" w:sz="6" w:space="0" w:color="000000" w:themeColor="text1"/>
              <w:bottom w:val="single" w:sz="4" w:space="0" w:color="auto"/>
            </w:tcBorders>
            <w:shd w:val="clear" w:color="auto" w:fill="auto"/>
          </w:tcPr>
          <w:p w14:paraId="3BCF0864" w14:textId="77777777" w:rsidR="0018109A" w:rsidRPr="00D264F6" w:rsidRDefault="0018109A" w:rsidP="0018109A">
            <w:pPr>
              <w:pStyle w:val="naisc"/>
              <w:spacing w:before="0" w:after="0"/>
              <w:jc w:val="left"/>
              <w:rPr>
                <w:b/>
                <w:bCs/>
              </w:rPr>
            </w:pPr>
            <w:r w:rsidRPr="009841AB">
              <w:rPr>
                <w:b/>
                <w:bCs/>
              </w:rPr>
              <w:t xml:space="preserve">Ņemts vērā </w:t>
            </w:r>
          </w:p>
          <w:p w14:paraId="1081AB97" w14:textId="77777777" w:rsidR="0018109A" w:rsidRPr="009841AB" w:rsidRDefault="0018109A" w:rsidP="0018109A">
            <w:pPr>
              <w:pStyle w:val="naisc"/>
              <w:spacing w:before="0" w:after="0"/>
              <w:jc w:val="left"/>
              <w:rPr>
                <w:b/>
                <w:bCs/>
              </w:rPr>
            </w:pPr>
            <w:r w:rsidRPr="009841AB">
              <w:t>Ar vārdu "nodokļu administrācija" bija domāta kompetenta iestādes, kas atbildīga par nodokļu iekasēšanu. Lai nebūtu pārpratumu, termins "nodokļu administrācija" aizvietots ar terminu "VID".</w:t>
            </w:r>
          </w:p>
        </w:tc>
        <w:tc>
          <w:tcPr>
            <w:tcW w:w="3497" w:type="dxa"/>
            <w:tcBorders>
              <w:left w:val="single" w:sz="6" w:space="0" w:color="000000" w:themeColor="text1"/>
              <w:bottom w:val="single" w:sz="4" w:space="0" w:color="auto"/>
            </w:tcBorders>
            <w:shd w:val="clear" w:color="auto" w:fill="auto"/>
          </w:tcPr>
          <w:p w14:paraId="59A0695D" w14:textId="77777777" w:rsidR="0018109A" w:rsidRPr="009841AB" w:rsidRDefault="0018109A" w:rsidP="0018109A">
            <w:pPr>
              <w:pStyle w:val="naisc"/>
              <w:spacing w:before="0" w:after="0"/>
              <w:jc w:val="both"/>
            </w:pPr>
            <w:r w:rsidRPr="009841AB">
              <w:t xml:space="preserve">“Brīvprātīgas izvēles iespēju risinājuma ieviešanas gadījumā nodokļu maksātājiem ir jāpiedāvā valsts (t.sk. VID) vai konkursa kārtībā izvēlēti komersantu pakalpojumi, kuri motivētu nodokļu maksātājus iesaistīties elektronisku dokumentu aprites sistēmā, vienlaikus pieļaujot VID izmantot elektroniskos rēķinus un citus dokumentus nodokļu administrēšanas vajadzībām.” </w:t>
            </w:r>
          </w:p>
        </w:tc>
      </w:tr>
      <w:tr w:rsidR="0018109A" w:rsidRPr="009841AB" w14:paraId="7973322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4CAD828" w14:textId="77777777" w:rsidR="0018109A" w:rsidRPr="009841AB" w:rsidRDefault="00633E6A" w:rsidP="0018109A">
            <w:pPr>
              <w:pStyle w:val="naisc"/>
              <w:spacing w:before="0" w:after="0"/>
            </w:pPr>
            <w:r>
              <w:lastRenderedPageBreak/>
              <w:t>418</w:t>
            </w:r>
          </w:p>
        </w:tc>
        <w:tc>
          <w:tcPr>
            <w:tcW w:w="2427" w:type="dxa"/>
            <w:tcBorders>
              <w:left w:val="single" w:sz="6" w:space="0" w:color="000000" w:themeColor="text1"/>
              <w:bottom w:val="single" w:sz="4" w:space="0" w:color="auto"/>
            </w:tcBorders>
            <w:shd w:val="clear" w:color="auto" w:fill="auto"/>
          </w:tcPr>
          <w:p w14:paraId="44D3394B"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649C603" w14:textId="77777777" w:rsidR="0018109A" w:rsidRPr="009841AB" w:rsidRDefault="0018109A" w:rsidP="0018109A">
            <w:pPr>
              <w:spacing w:line="276" w:lineRule="auto"/>
            </w:pPr>
            <w:r w:rsidRPr="009841AB">
              <w:t>5. Lūdzam 4.4.5. Rīcības virziena “Sabiedriskā drošība, kārtība un tieslietas” (122.lp.) sadaļas “Rīcības nolūks” 1.rindkopu izteikt šādā redakcijā: “</w:t>
            </w:r>
            <w:proofErr w:type="spellStart"/>
            <w:r w:rsidRPr="009841AB">
              <w:rPr>
                <w:i/>
                <w:iCs/>
              </w:rPr>
              <w:t>Digitalizēts</w:t>
            </w:r>
            <w:proofErr w:type="spellEnd"/>
            <w:r w:rsidRPr="009841AB">
              <w:rPr>
                <w:i/>
                <w:iCs/>
              </w:rPr>
              <w:t xml:space="preserve"> “Izmeklēšanas un tiesvedības process”, kas ietver </w:t>
            </w:r>
            <w:proofErr w:type="spellStart"/>
            <w:r w:rsidRPr="009841AB">
              <w:rPr>
                <w:i/>
                <w:iCs/>
              </w:rPr>
              <w:t>tiesībsargājošo</w:t>
            </w:r>
            <w:proofErr w:type="spellEnd"/>
            <w:r w:rsidRPr="009841AB">
              <w:rPr>
                <w:i/>
                <w:iCs/>
              </w:rPr>
              <w:t xml:space="preserve">, tiesu sistēmas un soda izpildes iestāžu pamatdarbības jomu pilnīgu procesu </w:t>
            </w:r>
            <w:proofErr w:type="spellStart"/>
            <w:r w:rsidRPr="009841AB">
              <w:rPr>
                <w:i/>
                <w:iCs/>
              </w:rPr>
              <w:t>digitalizāciju</w:t>
            </w:r>
            <w:proofErr w:type="spellEnd"/>
            <w:r w:rsidRPr="009841AB">
              <w:rPr>
                <w:i/>
                <w:iCs/>
              </w:rPr>
              <w:t xml:space="preserve">. Nodrošināta datu elektroniska apmaiņa izmantojot  valsts datu apmaiņas koplietošanas risinājumus. Administratīvā sloga samazinājums procesā iesaistītajām institūcijām, </w:t>
            </w:r>
            <w:r w:rsidRPr="009841AB">
              <w:rPr>
                <w:b/>
                <w:bCs/>
                <w:i/>
                <w:iCs/>
              </w:rPr>
              <w:t>brīvo juridisko profesiju pārstāvjiem</w:t>
            </w:r>
            <w:r w:rsidRPr="009841AB">
              <w:rPr>
                <w:i/>
                <w:iCs/>
              </w:rPr>
              <w:t xml:space="preserve"> un sabiedrībai kopumā, sabiedrības uzticības paaugstināšanās tiesām un </w:t>
            </w:r>
            <w:proofErr w:type="spellStart"/>
            <w:r w:rsidRPr="009841AB">
              <w:rPr>
                <w:i/>
                <w:iCs/>
              </w:rPr>
              <w:t>tiesībsargājošām</w:t>
            </w:r>
            <w:proofErr w:type="spellEnd"/>
            <w:r w:rsidRPr="009841AB">
              <w:rPr>
                <w:i/>
                <w:iCs/>
              </w:rPr>
              <w:t xml:space="preserve"> iestādēm, vienlaikus veicinot sabiedrības drošību, arī  kā arī radot uzņēmējdarbībai labvēlīgu vidi</w:t>
            </w:r>
            <w:r w:rsidRPr="009841AB">
              <w:t>.”</w:t>
            </w:r>
          </w:p>
        </w:tc>
        <w:tc>
          <w:tcPr>
            <w:tcW w:w="2480" w:type="dxa"/>
            <w:tcBorders>
              <w:left w:val="single" w:sz="6" w:space="0" w:color="000000" w:themeColor="text1"/>
              <w:bottom w:val="single" w:sz="4" w:space="0" w:color="auto"/>
            </w:tcBorders>
            <w:shd w:val="clear" w:color="auto" w:fill="auto"/>
          </w:tcPr>
          <w:p w14:paraId="073E6425" w14:textId="77777777" w:rsidR="0018109A" w:rsidRPr="009841AB" w:rsidRDefault="0018109A" w:rsidP="0018109A">
            <w:pPr>
              <w:pStyle w:val="naisc"/>
              <w:spacing w:before="0" w:after="0"/>
              <w:jc w:val="left"/>
              <w:rPr>
                <w:b/>
                <w:bCs/>
              </w:rPr>
            </w:pPr>
            <w:r w:rsidRPr="009841AB">
              <w:rPr>
                <w:b/>
                <w:bCs/>
              </w:rPr>
              <w:t>Ņemts vērā</w:t>
            </w:r>
          </w:p>
          <w:p w14:paraId="7F948713" w14:textId="77777777" w:rsidR="0018109A" w:rsidRPr="009841AB" w:rsidRDefault="0018109A" w:rsidP="0018109A">
            <w:pPr>
              <w:pStyle w:val="naisc"/>
              <w:spacing w:before="0" w:after="0"/>
              <w:jc w:val="left"/>
              <w:rPr>
                <w:b/>
                <w:bCs/>
              </w:rPr>
            </w:pPr>
          </w:p>
          <w:p w14:paraId="000EE77B"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56D30BA9"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4.4.5.</w:t>
            </w:r>
          </w:p>
        </w:tc>
      </w:tr>
      <w:tr w:rsidR="0018109A" w:rsidRPr="009841AB" w14:paraId="0BCE7F1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357EEE3" w14:textId="77777777" w:rsidR="0018109A" w:rsidRPr="009841AB" w:rsidRDefault="00633E6A" w:rsidP="0018109A">
            <w:pPr>
              <w:pStyle w:val="naisc"/>
              <w:spacing w:before="0" w:after="0"/>
            </w:pPr>
            <w:r>
              <w:t>419</w:t>
            </w:r>
          </w:p>
        </w:tc>
        <w:tc>
          <w:tcPr>
            <w:tcW w:w="2427" w:type="dxa"/>
            <w:tcBorders>
              <w:left w:val="single" w:sz="6" w:space="0" w:color="000000" w:themeColor="text1"/>
              <w:bottom w:val="single" w:sz="4" w:space="0" w:color="auto"/>
            </w:tcBorders>
            <w:shd w:val="clear" w:color="auto" w:fill="auto"/>
          </w:tcPr>
          <w:p w14:paraId="6F7469E1"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00EE0C3" w14:textId="77777777" w:rsidR="0018109A" w:rsidRPr="009841AB" w:rsidRDefault="0018109A" w:rsidP="0018109A">
            <w:pPr>
              <w:spacing w:line="276" w:lineRule="auto"/>
            </w:pPr>
            <w:r w:rsidRPr="009841AB">
              <w:t>6. Lūdzam 4.4.5. Rīcības virziena “Sabiedriskā drošība, kārtība un tieslietas” (122.lp.) sadaļas “Esošās situācijas apraksts” 3.punktu izteikt šādā redakcijā: “</w:t>
            </w:r>
            <w:r w:rsidRPr="009841AB">
              <w:rPr>
                <w:i/>
                <w:iCs/>
              </w:rPr>
              <w:t xml:space="preserve">E-lietas 1.posms neaptver visas izmeklēšanas un tiesvedības procesā iesaistītās iestādes, </w:t>
            </w:r>
            <w:r w:rsidRPr="009841AB">
              <w:rPr>
                <w:b/>
                <w:bCs/>
                <w:i/>
                <w:iCs/>
              </w:rPr>
              <w:t xml:space="preserve">kā arī citas tiesvedību un soda izpildi saistītas iestādes </w:t>
            </w:r>
            <w:r w:rsidRPr="009841AB">
              <w:rPr>
                <w:i/>
                <w:iCs/>
              </w:rPr>
              <w:t>un pilnībā nav apzināti to informācijas sistēmu nepieciešamie uzlabojumi (arī finansējums)</w:t>
            </w:r>
            <w:r w:rsidRPr="009841AB">
              <w:t>.”</w:t>
            </w:r>
          </w:p>
        </w:tc>
        <w:tc>
          <w:tcPr>
            <w:tcW w:w="2480" w:type="dxa"/>
            <w:tcBorders>
              <w:left w:val="single" w:sz="6" w:space="0" w:color="000000" w:themeColor="text1"/>
              <w:bottom w:val="single" w:sz="4" w:space="0" w:color="auto"/>
            </w:tcBorders>
            <w:shd w:val="clear" w:color="auto" w:fill="auto"/>
          </w:tcPr>
          <w:p w14:paraId="35D174C7" w14:textId="77777777" w:rsidR="0018109A" w:rsidRPr="009841AB" w:rsidRDefault="0018109A" w:rsidP="0018109A">
            <w:pPr>
              <w:pStyle w:val="naisc"/>
              <w:spacing w:before="0" w:after="0"/>
              <w:jc w:val="left"/>
              <w:rPr>
                <w:b/>
                <w:bCs/>
              </w:rPr>
            </w:pPr>
            <w:r w:rsidRPr="009841AB">
              <w:rPr>
                <w:b/>
                <w:bCs/>
              </w:rPr>
              <w:t>Ņemts vērā</w:t>
            </w:r>
          </w:p>
          <w:p w14:paraId="3F79CB43" w14:textId="77777777" w:rsidR="0018109A" w:rsidRPr="009841AB" w:rsidRDefault="0018109A" w:rsidP="0018109A">
            <w:pPr>
              <w:pStyle w:val="naisc"/>
              <w:spacing w:before="0" w:after="0"/>
              <w:jc w:val="left"/>
              <w:rPr>
                <w:b/>
                <w:bCs/>
              </w:rPr>
            </w:pPr>
          </w:p>
          <w:p w14:paraId="3E77A26E"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0E9F2EAE" w14:textId="77777777" w:rsidR="0018109A" w:rsidRPr="009841AB" w:rsidRDefault="0018109A" w:rsidP="0018109A">
            <w:pPr>
              <w:pStyle w:val="naisc"/>
              <w:spacing w:before="0" w:after="0"/>
              <w:jc w:val="both"/>
            </w:pPr>
            <w:r w:rsidRPr="009841AB">
              <w:t xml:space="preserve">Lūdzam skatīt </w:t>
            </w:r>
            <w:proofErr w:type="spellStart"/>
            <w:r w:rsidRPr="009841AB">
              <w:t>apakšsadaļu</w:t>
            </w:r>
            <w:proofErr w:type="spellEnd"/>
            <w:r w:rsidRPr="009841AB">
              <w:t xml:space="preserve"> 4.4.5.</w:t>
            </w:r>
          </w:p>
        </w:tc>
      </w:tr>
      <w:tr w:rsidR="0018109A" w:rsidRPr="009841AB" w14:paraId="48EB488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BEE3979" w14:textId="77777777" w:rsidR="0018109A" w:rsidRPr="009841AB" w:rsidRDefault="00633E6A" w:rsidP="0018109A">
            <w:pPr>
              <w:pStyle w:val="naisc"/>
              <w:spacing w:before="0" w:after="0"/>
            </w:pPr>
            <w:r>
              <w:t>420</w:t>
            </w:r>
          </w:p>
        </w:tc>
        <w:tc>
          <w:tcPr>
            <w:tcW w:w="2427" w:type="dxa"/>
            <w:tcBorders>
              <w:left w:val="single" w:sz="6" w:space="0" w:color="000000" w:themeColor="text1"/>
              <w:bottom w:val="single" w:sz="4" w:space="0" w:color="auto"/>
            </w:tcBorders>
            <w:shd w:val="clear" w:color="auto" w:fill="auto"/>
          </w:tcPr>
          <w:p w14:paraId="4D1F9F90"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1393187" w14:textId="77777777" w:rsidR="0018109A" w:rsidRPr="009841AB" w:rsidRDefault="0018109A" w:rsidP="0018109A">
            <w:pPr>
              <w:spacing w:line="276" w:lineRule="auto"/>
            </w:pPr>
            <w:r w:rsidRPr="009841AB">
              <w:t xml:space="preserve">7. Lūdzam 4.4.5.1. Rīcības </w:t>
            </w:r>
            <w:proofErr w:type="spellStart"/>
            <w:r w:rsidRPr="009841AB">
              <w:t>apakšvirziena</w:t>
            </w:r>
            <w:proofErr w:type="spellEnd"/>
            <w:r w:rsidRPr="009841AB">
              <w:t xml:space="preserve"> “Izmeklēšanas un tiesvedības procesa tālāka </w:t>
            </w:r>
            <w:proofErr w:type="spellStart"/>
            <w:r w:rsidRPr="009841AB">
              <w:t>digitalizācija</w:t>
            </w:r>
            <w:proofErr w:type="spellEnd"/>
            <w:r w:rsidRPr="009841AB">
              <w:t xml:space="preserve">” sadaļā “Rīcības nolūks” (122.lp.) aizstāt vārdus "E-lietas programmas attīstībā ietverti EK pārrobežu projektu rezultāti" ar vārdiem "E-lietas programmas attīstībā ietverti Eiropas e-tiesiskuma </w:t>
            </w:r>
            <w:r w:rsidRPr="009841AB">
              <w:lastRenderedPageBreak/>
              <w:t xml:space="preserve">jomas pasākumi, kas vērsti uz tiesas procesu </w:t>
            </w:r>
            <w:proofErr w:type="spellStart"/>
            <w:r w:rsidRPr="009841AB">
              <w:t>digitalizāciju</w:t>
            </w:r>
            <w:proofErr w:type="spellEnd"/>
            <w:r w:rsidRPr="009841AB">
              <w:t xml:space="preserve"> pārrobežu lietās".</w:t>
            </w:r>
          </w:p>
        </w:tc>
        <w:tc>
          <w:tcPr>
            <w:tcW w:w="2480" w:type="dxa"/>
            <w:tcBorders>
              <w:left w:val="single" w:sz="6" w:space="0" w:color="000000" w:themeColor="text1"/>
              <w:bottom w:val="single" w:sz="4" w:space="0" w:color="auto"/>
            </w:tcBorders>
            <w:shd w:val="clear" w:color="auto" w:fill="auto"/>
          </w:tcPr>
          <w:p w14:paraId="1A2DD632" w14:textId="77777777" w:rsidR="0018109A" w:rsidRPr="009841AB" w:rsidRDefault="0018109A" w:rsidP="0018109A">
            <w:pPr>
              <w:pStyle w:val="naisc"/>
              <w:spacing w:before="0" w:after="0"/>
              <w:jc w:val="left"/>
              <w:rPr>
                <w:b/>
                <w:bCs/>
              </w:rPr>
            </w:pPr>
            <w:r w:rsidRPr="009841AB">
              <w:rPr>
                <w:b/>
                <w:bCs/>
              </w:rPr>
              <w:lastRenderedPageBreak/>
              <w:t>Ņemts vērā</w:t>
            </w:r>
          </w:p>
          <w:p w14:paraId="6B7F00F2" w14:textId="77777777" w:rsidR="0018109A" w:rsidRPr="009841AB" w:rsidRDefault="0018109A" w:rsidP="0018109A">
            <w:pPr>
              <w:pStyle w:val="naisc"/>
              <w:spacing w:before="0" w:after="0"/>
              <w:jc w:val="left"/>
              <w:rPr>
                <w:b/>
                <w:bCs/>
              </w:rPr>
            </w:pPr>
          </w:p>
          <w:p w14:paraId="02543A61"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74505574" w14:textId="77777777" w:rsidR="0018109A" w:rsidRPr="009841AB" w:rsidRDefault="0018109A" w:rsidP="0018109A">
            <w:pPr>
              <w:pStyle w:val="naisc"/>
              <w:spacing w:before="0" w:after="0"/>
              <w:jc w:val="both"/>
            </w:pPr>
            <w:r w:rsidRPr="009841AB">
              <w:t xml:space="preserve">Lūdzam skatīt </w:t>
            </w:r>
            <w:proofErr w:type="spellStart"/>
            <w:r w:rsidRPr="009841AB">
              <w:t>apakšsadaļu</w:t>
            </w:r>
            <w:proofErr w:type="spellEnd"/>
            <w:r w:rsidRPr="009841AB">
              <w:t xml:space="preserve"> 4.4.5.1.</w:t>
            </w:r>
          </w:p>
        </w:tc>
      </w:tr>
      <w:tr w:rsidR="0018109A" w:rsidRPr="009841AB" w14:paraId="42F1328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549C6CD" w14:textId="77777777" w:rsidR="0018109A" w:rsidRPr="009841AB" w:rsidRDefault="00633E6A" w:rsidP="0018109A">
            <w:pPr>
              <w:pStyle w:val="naisc"/>
              <w:spacing w:before="0" w:after="0"/>
            </w:pPr>
            <w:r>
              <w:t>421</w:t>
            </w:r>
          </w:p>
        </w:tc>
        <w:tc>
          <w:tcPr>
            <w:tcW w:w="2427" w:type="dxa"/>
            <w:tcBorders>
              <w:left w:val="single" w:sz="6" w:space="0" w:color="000000" w:themeColor="text1"/>
              <w:bottom w:val="single" w:sz="4" w:space="0" w:color="auto"/>
            </w:tcBorders>
            <w:shd w:val="clear" w:color="auto" w:fill="auto"/>
          </w:tcPr>
          <w:p w14:paraId="7A5C4796"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13350A2" w14:textId="77777777" w:rsidR="0018109A" w:rsidRPr="009841AB" w:rsidRDefault="0018109A" w:rsidP="0018109A">
            <w:pPr>
              <w:spacing w:line="276" w:lineRule="auto"/>
            </w:pPr>
            <w:r w:rsidRPr="009841AB">
              <w:t xml:space="preserve">8. Lūdzam precizēt 4.4.5.1. Rīcības </w:t>
            </w:r>
            <w:proofErr w:type="spellStart"/>
            <w:r w:rsidRPr="009841AB">
              <w:t>apakšvirziena</w:t>
            </w:r>
            <w:proofErr w:type="spellEnd"/>
            <w:r w:rsidRPr="009841AB">
              <w:t xml:space="preserve"> “Izmeklēšanas un tiesvedības procesa tālāka </w:t>
            </w:r>
            <w:proofErr w:type="spellStart"/>
            <w:r w:rsidRPr="009841AB">
              <w:t>digitalizācija</w:t>
            </w:r>
            <w:proofErr w:type="spellEnd"/>
            <w:r w:rsidRPr="009841AB">
              <w:t xml:space="preserve">” sadaļas “Esošās situācijas apraksts” 2.punktu, tajā norādot arī par E-tiesiskuma jomas pasākumiem, tāpat iesakām norādīt, ka esošais Programmas dokuments neietver Eiropas e-tiesiskuma jomas pasākumus, kas vērsti uz tiesas procesu </w:t>
            </w:r>
            <w:proofErr w:type="spellStart"/>
            <w:r w:rsidRPr="009841AB">
              <w:t>digitalizāciju</w:t>
            </w:r>
            <w:proofErr w:type="spellEnd"/>
            <w:r w:rsidRPr="009841AB">
              <w:t xml:space="preserve"> pārrobežu lietās.</w:t>
            </w:r>
          </w:p>
          <w:p w14:paraId="68A93C87" w14:textId="77777777" w:rsidR="0018109A" w:rsidRPr="009841AB" w:rsidRDefault="0018109A" w:rsidP="0018109A">
            <w:pPr>
              <w:spacing w:line="276" w:lineRule="auto"/>
              <w:ind w:firstLine="720"/>
            </w:pPr>
            <w:r w:rsidRPr="009841AB">
              <w:t xml:space="preserve">Vienlaikus vēršam uzmanību, ka uzdevuma “U4.4.5.1.-2” formulējums imperatīvi paredz, ka datu apmaiņā izmantojami "valsts datu apmaiņas koplietošanas risinājumi" - norādām, ka E-lietas starptautiskās sadarbības funkcionalitātes attīstība varētu nozīmēt to, ka ir integrējamas </w:t>
            </w:r>
            <w:proofErr w:type="spellStart"/>
            <w:r w:rsidRPr="009841AB">
              <w:t>saskarnes</w:t>
            </w:r>
            <w:proofErr w:type="spellEnd"/>
            <w:r w:rsidRPr="009841AB">
              <w:t>, kas nodrošina datu apmaiņu ar citām ES dalībvalstīm, īstenojot starptautisko tiesisko sadarbību pārrobežu lietās. Šādā gadījumā būs problemātiski nodrošināt valsts koplietošanas risinājumu izmantošanu datu apmaiņā, jo tiek izmantoti citi tehniskie risinājumi (piemēram, e-CODEX).</w:t>
            </w:r>
          </w:p>
        </w:tc>
        <w:tc>
          <w:tcPr>
            <w:tcW w:w="2480" w:type="dxa"/>
            <w:tcBorders>
              <w:left w:val="single" w:sz="6" w:space="0" w:color="000000" w:themeColor="text1"/>
              <w:bottom w:val="single" w:sz="4" w:space="0" w:color="auto"/>
            </w:tcBorders>
            <w:shd w:val="clear" w:color="auto" w:fill="auto"/>
          </w:tcPr>
          <w:p w14:paraId="3F83F38A" w14:textId="77777777" w:rsidR="0018109A" w:rsidRPr="00D264F6" w:rsidRDefault="0018109A" w:rsidP="0018109A">
            <w:pPr>
              <w:pStyle w:val="naisc"/>
              <w:spacing w:before="0" w:after="0"/>
              <w:jc w:val="left"/>
              <w:rPr>
                <w:b/>
                <w:bCs/>
              </w:rPr>
            </w:pPr>
            <w:r w:rsidRPr="009841AB">
              <w:rPr>
                <w:b/>
                <w:bCs/>
              </w:rPr>
              <w:t>Ņemts vērā</w:t>
            </w:r>
          </w:p>
          <w:p w14:paraId="4422CF92" w14:textId="77777777" w:rsidR="0018109A" w:rsidRPr="009841AB" w:rsidRDefault="0018109A" w:rsidP="0018109A">
            <w:pPr>
              <w:pStyle w:val="naisc"/>
              <w:tabs>
                <w:tab w:val="left" w:pos="1260"/>
              </w:tabs>
              <w:spacing w:before="0" w:after="0"/>
              <w:jc w:val="both"/>
              <w:rPr>
                <w:b/>
                <w:bCs/>
              </w:rPr>
            </w:pPr>
            <w:r w:rsidRPr="009841AB">
              <w:t>U4.4.5.1-2 "Nodrošināt datu apmaiņu tikai elektroniskā formā izmantojot koplietošanas risinājumus"</w:t>
            </w:r>
          </w:p>
        </w:tc>
        <w:tc>
          <w:tcPr>
            <w:tcW w:w="3497" w:type="dxa"/>
            <w:tcBorders>
              <w:left w:val="single" w:sz="6" w:space="0" w:color="000000" w:themeColor="text1"/>
              <w:bottom w:val="single" w:sz="4" w:space="0" w:color="auto"/>
            </w:tcBorders>
            <w:shd w:val="clear" w:color="auto" w:fill="auto"/>
          </w:tcPr>
          <w:p w14:paraId="0681F719"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4.4.5.1.</w:t>
            </w:r>
          </w:p>
        </w:tc>
      </w:tr>
      <w:tr w:rsidR="0018109A" w:rsidRPr="009841AB" w14:paraId="20F2A9E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A2B5016" w14:textId="77777777" w:rsidR="0018109A" w:rsidRPr="009841AB" w:rsidRDefault="00633E6A" w:rsidP="00633E6A">
            <w:pPr>
              <w:pStyle w:val="naisc"/>
              <w:spacing w:before="0" w:after="0"/>
              <w:jc w:val="left"/>
            </w:pPr>
            <w:r>
              <w:t>422</w:t>
            </w:r>
          </w:p>
        </w:tc>
        <w:tc>
          <w:tcPr>
            <w:tcW w:w="2427" w:type="dxa"/>
            <w:tcBorders>
              <w:left w:val="single" w:sz="6" w:space="0" w:color="000000" w:themeColor="text1"/>
              <w:bottom w:val="single" w:sz="4" w:space="0" w:color="auto"/>
            </w:tcBorders>
            <w:shd w:val="clear" w:color="auto" w:fill="auto"/>
          </w:tcPr>
          <w:p w14:paraId="2AAC31F0"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B0484C7" w14:textId="77777777" w:rsidR="0018109A" w:rsidRPr="009841AB" w:rsidRDefault="0018109A" w:rsidP="0018109A">
            <w:pPr>
              <w:spacing w:line="276" w:lineRule="auto"/>
            </w:pPr>
            <w:r w:rsidRPr="009841AB">
              <w:t xml:space="preserve">9. Lūdzam 4.4.5. Rīcības virziena “Sabiedriskā drošība, kārtība un tieslietas” (124.lp.) sadaļas “Nepieciešamā rīcība” 2.punktu papildināt ar 2 apakšpunktiem šādā redakcijā: </w:t>
            </w:r>
          </w:p>
          <w:p w14:paraId="67668FCC" w14:textId="77777777" w:rsidR="0018109A" w:rsidRPr="009841AB" w:rsidRDefault="0018109A" w:rsidP="000C28AE">
            <w:pPr>
              <w:pStyle w:val="ListParagraph"/>
              <w:widowControl w:val="0"/>
              <w:numPr>
                <w:ilvl w:val="0"/>
                <w:numId w:val="2"/>
              </w:numPr>
              <w:spacing w:after="0"/>
              <w:jc w:val="both"/>
              <w:rPr>
                <w:rFonts w:ascii="Times New Roman" w:hAnsi="Times New Roman"/>
                <w:i/>
                <w:iCs/>
                <w:sz w:val="24"/>
                <w:szCs w:val="24"/>
              </w:rPr>
            </w:pPr>
            <w:r w:rsidRPr="009841AB">
              <w:rPr>
                <w:rFonts w:ascii="Times New Roman" w:hAnsi="Times New Roman"/>
                <w:i/>
                <w:iCs/>
                <w:sz w:val="24"/>
                <w:szCs w:val="24"/>
              </w:rPr>
              <w:t>izveidot risinājumu juridiskās palīdzības sniedzēju sniegto maksājuma dokumentu par valsts nodrošināto juridisko palīdzību elektroniskai apstrādei;</w:t>
            </w:r>
          </w:p>
          <w:p w14:paraId="64A76637" w14:textId="77777777" w:rsidR="0018109A" w:rsidRPr="009841AB" w:rsidRDefault="0018109A" w:rsidP="000C28AE">
            <w:pPr>
              <w:pStyle w:val="ListParagraph"/>
              <w:widowControl w:val="0"/>
              <w:numPr>
                <w:ilvl w:val="0"/>
                <w:numId w:val="2"/>
              </w:numPr>
              <w:spacing w:after="0"/>
              <w:jc w:val="both"/>
              <w:rPr>
                <w:rFonts w:ascii="Times New Roman" w:hAnsi="Times New Roman"/>
                <w:sz w:val="24"/>
                <w:szCs w:val="24"/>
              </w:rPr>
            </w:pPr>
            <w:r w:rsidRPr="009841AB">
              <w:rPr>
                <w:rFonts w:ascii="Times New Roman" w:hAnsi="Times New Roman"/>
                <w:i/>
                <w:iCs/>
                <w:sz w:val="24"/>
                <w:szCs w:val="24"/>
              </w:rPr>
              <w:lastRenderedPageBreak/>
              <w:t>datu pieejamību kriminālprocesa virzītājiem tiesu nolēmumu pieņemšanai par kaitējuma kompensācijas un tiesāšanas izdevumu piedziņu valsts budžetā, un tiesu nolēmumu izpildes monitoringu</w:t>
            </w:r>
            <w:r w:rsidRPr="009841AB">
              <w:rPr>
                <w:rFonts w:ascii="Times New Roman" w:hAnsi="Times New Roman"/>
                <w:sz w:val="24"/>
                <w:szCs w:val="24"/>
              </w:rPr>
              <w:t>.</w:t>
            </w:r>
          </w:p>
        </w:tc>
        <w:tc>
          <w:tcPr>
            <w:tcW w:w="2480" w:type="dxa"/>
            <w:tcBorders>
              <w:left w:val="single" w:sz="6" w:space="0" w:color="000000" w:themeColor="text1"/>
              <w:bottom w:val="single" w:sz="4" w:space="0" w:color="auto"/>
            </w:tcBorders>
            <w:shd w:val="clear" w:color="auto" w:fill="auto"/>
          </w:tcPr>
          <w:p w14:paraId="05093569" w14:textId="77777777" w:rsidR="0018109A" w:rsidRPr="009841AB" w:rsidRDefault="0018109A" w:rsidP="0018109A">
            <w:pPr>
              <w:pStyle w:val="naisc"/>
              <w:spacing w:before="0" w:after="0"/>
              <w:jc w:val="left"/>
              <w:rPr>
                <w:b/>
                <w:bCs/>
              </w:rPr>
            </w:pPr>
            <w:r w:rsidRPr="009841AB">
              <w:rPr>
                <w:b/>
                <w:bCs/>
              </w:rPr>
              <w:lastRenderedPageBreak/>
              <w:t>Ņemts vērā</w:t>
            </w:r>
          </w:p>
          <w:p w14:paraId="4D52A010" w14:textId="77777777" w:rsidR="0018109A" w:rsidRPr="009841AB" w:rsidRDefault="0018109A" w:rsidP="0018109A">
            <w:pPr>
              <w:pStyle w:val="naisc"/>
              <w:spacing w:before="0" w:after="0"/>
              <w:jc w:val="left"/>
              <w:rPr>
                <w:b/>
                <w:bCs/>
              </w:rPr>
            </w:pPr>
          </w:p>
          <w:p w14:paraId="75D35203"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46FE32E1"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4.4.5.</w:t>
            </w:r>
          </w:p>
        </w:tc>
      </w:tr>
      <w:tr w:rsidR="0018109A" w:rsidRPr="009841AB" w14:paraId="21CAA41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86C8CF6" w14:textId="77777777" w:rsidR="0018109A" w:rsidRPr="009841AB" w:rsidRDefault="00633E6A" w:rsidP="0018109A">
            <w:pPr>
              <w:pStyle w:val="naisc"/>
              <w:spacing w:before="0" w:after="0"/>
            </w:pPr>
            <w:r>
              <w:t>423</w:t>
            </w:r>
          </w:p>
        </w:tc>
        <w:tc>
          <w:tcPr>
            <w:tcW w:w="2427" w:type="dxa"/>
            <w:tcBorders>
              <w:left w:val="single" w:sz="6" w:space="0" w:color="000000" w:themeColor="text1"/>
              <w:bottom w:val="single" w:sz="4" w:space="0" w:color="auto"/>
            </w:tcBorders>
            <w:shd w:val="clear" w:color="auto" w:fill="auto"/>
          </w:tcPr>
          <w:p w14:paraId="176879E2"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E1895A4" w14:textId="77777777" w:rsidR="0018109A" w:rsidRPr="009841AB" w:rsidRDefault="0018109A" w:rsidP="0018109A">
            <w:pPr>
              <w:spacing w:line="276" w:lineRule="auto"/>
            </w:pPr>
            <w:r w:rsidRPr="009841AB">
              <w:t>10. Lūdzam 4.4.5. Rīcības virziena “Sabiedriskā drošība, kārtība un tieslietas” (125.lp.) sadaļas “Nepieciešamā rīcība” 4.punkta pirmo rindkopu izteikt šādā redakcijā: “</w:t>
            </w:r>
            <w:r w:rsidRPr="009841AB">
              <w:rPr>
                <w:i/>
                <w:iCs/>
              </w:rPr>
              <w:t xml:space="preserve">E-lietas programmas 2.posma ietvaros ir plānots attīstīt E-lietas koplietošanas komponentes (piemēram, elektronisko lietu katalogu, koplietošanas reģistrus, klasifikatorus, vienotos kalendārus, E-lietas portālu u.c.) tā, lai tos kā koplietošanas risinājumus varētu lietot arī izmeklēšanas iestādes, </w:t>
            </w:r>
            <w:r w:rsidRPr="009841AB">
              <w:rPr>
                <w:b/>
                <w:bCs/>
                <w:i/>
                <w:iCs/>
              </w:rPr>
              <w:t>citas ar tiesvedībām saistītās iestādes un brīvo juridisko profesiju pārstāvji.</w:t>
            </w:r>
            <w:r w:rsidRPr="009841AB">
              <w:rPr>
                <w:i/>
                <w:iCs/>
              </w:rPr>
              <w:t xml:space="preserve"> Tāpat arī pārrobežu  </w:t>
            </w:r>
            <w:proofErr w:type="spellStart"/>
            <w:r w:rsidRPr="009841AB">
              <w:rPr>
                <w:i/>
                <w:iCs/>
              </w:rPr>
              <w:t>digitalizācijas</w:t>
            </w:r>
            <w:proofErr w:type="spellEnd"/>
            <w:r w:rsidRPr="009841AB">
              <w:rPr>
                <w:i/>
                <w:iCs/>
              </w:rPr>
              <w:t xml:space="preserve"> sadarbības kontekstā EK izstrādātā E-pierādījumu apmaiņas risinājuma integrācija Kriminālprocesuālās sadarbības lūgumu sistēmas modulī, kurš tiks integrēts E-lietas portālā, kā arī nepieciešamo datu apmaiņu ar Kriminālprocesa informācijas sistēmu, nodrošinot E-pierādījumu apmaiņas risinājuma attīstību atbilstoši datu apmaiņas prasībām ar ES dalībvalstu kompetentajām iestādēm</w:t>
            </w:r>
            <w:r w:rsidRPr="009841AB">
              <w:t>.”</w:t>
            </w:r>
          </w:p>
        </w:tc>
        <w:tc>
          <w:tcPr>
            <w:tcW w:w="2480" w:type="dxa"/>
            <w:tcBorders>
              <w:left w:val="single" w:sz="6" w:space="0" w:color="000000" w:themeColor="text1"/>
              <w:bottom w:val="single" w:sz="4" w:space="0" w:color="auto"/>
            </w:tcBorders>
            <w:shd w:val="clear" w:color="auto" w:fill="auto"/>
          </w:tcPr>
          <w:p w14:paraId="30317372" w14:textId="77777777" w:rsidR="0018109A" w:rsidRPr="009841AB" w:rsidRDefault="0018109A" w:rsidP="0018109A">
            <w:pPr>
              <w:pStyle w:val="naisc"/>
              <w:spacing w:before="0" w:after="0"/>
              <w:jc w:val="left"/>
              <w:rPr>
                <w:b/>
                <w:bCs/>
              </w:rPr>
            </w:pPr>
            <w:r w:rsidRPr="009841AB">
              <w:rPr>
                <w:b/>
                <w:bCs/>
              </w:rPr>
              <w:t>Ņemts vērā</w:t>
            </w:r>
          </w:p>
          <w:p w14:paraId="74269F19" w14:textId="77777777" w:rsidR="0018109A" w:rsidRPr="009841AB" w:rsidRDefault="0018109A" w:rsidP="0018109A">
            <w:pPr>
              <w:pStyle w:val="naisc"/>
              <w:spacing w:before="0" w:after="0"/>
              <w:jc w:val="left"/>
              <w:rPr>
                <w:b/>
                <w:bCs/>
              </w:rPr>
            </w:pPr>
          </w:p>
          <w:p w14:paraId="08B27540"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4148D2C5" w14:textId="77777777" w:rsidR="0018109A" w:rsidRPr="009841AB" w:rsidRDefault="0018109A" w:rsidP="0018109A">
            <w:pPr>
              <w:pStyle w:val="naisc"/>
              <w:spacing w:before="0" w:after="0"/>
              <w:jc w:val="both"/>
            </w:pPr>
            <w:r w:rsidRPr="009841AB">
              <w:t xml:space="preserve">Lūdzam skatīt </w:t>
            </w:r>
            <w:proofErr w:type="spellStart"/>
            <w:r w:rsidRPr="009841AB">
              <w:t>apakšsadaļu</w:t>
            </w:r>
            <w:proofErr w:type="spellEnd"/>
            <w:r w:rsidRPr="009841AB">
              <w:t xml:space="preserve"> 4.4.5.</w:t>
            </w:r>
          </w:p>
        </w:tc>
      </w:tr>
      <w:tr w:rsidR="0018109A" w:rsidRPr="009841AB" w14:paraId="0454970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605B5A2" w14:textId="77777777" w:rsidR="0018109A" w:rsidRPr="009841AB" w:rsidRDefault="00633E6A" w:rsidP="0018109A">
            <w:pPr>
              <w:pStyle w:val="naisc"/>
              <w:spacing w:before="0" w:after="0"/>
            </w:pPr>
            <w:r>
              <w:t>424</w:t>
            </w:r>
          </w:p>
        </w:tc>
        <w:tc>
          <w:tcPr>
            <w:tcW w:w="2427" w:type="dxa"/>
            <w:tcBorders>
              <w:left w:val="single" w:sz="6" w:space="0" w:color="000000" w:themeColor="text1"/>
              <w:bottom w:val="single" w:sz="4" w:space="0" w:color="auto"/>
            </w:tcBorders>
            <w:shd w:val="clear" w:color="auto" w:fill="auto"/>
          </w:tcPr>
          <w:p w14:paraId="5415F94B"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A098C62" w14:textId="77777777" w:rsidR="0018109A" w:rsidRPr="009841AB" w:rsidRDefault="0018109A" w:rsidP="0018109A">
            <w:pPr>
              <w:spacing w:line="276" w:lineRule="auto"/>
            </w:pPr>
            <w:r w:rsidRPr="009841AB">
              <w:t xml:space="preserve">11. Pamatnostādņu projekta 4.4.5.2. Rīcības </w:t>
            </w:r>
            <w:proofErr w:type="spellStart"/>
            <w:r w:rsidRPr="009841AB">
              <w:t>apakšvirziens</w:t>
            </w:r>
            <w:proofErr w:type="spellEnd"/>
            <w:r w:rsidRPr="009841AB">
              <w:t xml:space="preserve"> “Nacionālās drošības un informācijas telpas stiprināšana” sadaļas “Esošās situācijas apraksts”, tiek norādīti pieejamie trīs kanāli iesniegumu iesniegšanai šobrīd - klātienē klientu </w:t>
            </w:r>
            <w:r w:rsidRPr="009841AB">
              <w:lastRenderedPageBreak/>
              <w:t xml:space="preserve">centrā; izmantojot pasta pakalpojumus; e-pastu (parakstītus ar drošu elektronisko parakstu). Lūdzam papildināt minētos pieejamos kanālus, iesniegumu iesniegšanai šobrīd, ar ceturto iespēju, iesniegumu iesniegt - </w:t>
            </w:r>
            <w:r w:rsidRPr="009841AB">
              <w:rPr>
                <w:b/>
                <w:bCs/>
              </w:rPr>
              <w:t>izmantojot e-adresi</w:t>
            </w:r>
            <w:r w:rsidRPr="009841AB">
              <w:t xml:space="preserve">. </w:t>
            </w:r>
          </w:p>
          <w:p w14:paraId="0B5B7926" w14:textId="77777777" w:rsidR="0018109A" w:rsidRPr="009841AB" w:rsidRDefault="0018109A" w:rsidP="0018109A">
            <w:pPr>
              <w:spacing w:line="276" w:lineRule="auto"/>
              <w:ind w:firstLine="720"/>
            </w:pPr>
            <w:r w:rsidRPr="009841AB">
              <w:t xml:space="preserve">Tāpat lūdzam precizēt minētajā sadaļā teikumu: </w:t>
            </w:r>
            <w:r w:rsidRPr="009841AB">
              <w:rPr>
                <w:i/>
                <w:iCs/>
              </w:rPr>
              <w:t xml:space="preserve">“Ņemot vērā, </w:t>
            </w:r>
            <w:r w:rsidRPr="009841AB">
              <w:rPr>
                <w:i/>
                <w:iCs/>
                <w:u w:val="single"/>
              </w:rPr>
              <w:t>ka iesniegumu iesniegšanas process nav digitāls</w:t>
            </w:r>
            <w:r w:rsidRPr="009841AB">
              <w:rPr>
                <w:i/>
                <w:iCs/>
              </w:rPr>
              <w:t>, to apstrāde ietver ietilpīgu manuālu administratīvo darbu,  komplicētu gala teksta saskaņošanu un klienta kļūdu labošanu”</w:t>
            </w:r>
            <w:r w:rsidRPr="009841AB">
              <w:t>, norādot to šādā redakcijā – “Ņemot vērā, ka iesniegumu</w:t>
            </w:r>
            <w:r w:rsidRPr="009841AB">
              <w:rPr>
                <w:b/>
                <w:bCs/>
              </w:rPr>
              <w:t xml:space="preserve"> iesniegšanas formas nav standartizētas</w:t>
            </w:r>
            <w:r w:rsidRPr="009841AB">
              <w:t xml:space="preserve">, to apstrāde ietver ietilpīgu manuālu administratīvo darbu, komplicētu gala teksta saskaņošanu un klienta kļūdu labošanu”. </w:t>
            </w:r>
          </w:p>
        </w:tc>
        <w:tc>
          <w:tcPr>
            <w:tcW w:w="2480" w:type="dxa"/>
            <w:tcBorders>
              <w:left w:val="single" w:sz="6" w:space="0" w:color="000000" w:themeColor="text1"/>
              <w:bottom w:val="single" w:sz="4" w:space="0" w:color="auto"/>
            </w:tcBorders>
            <w:shd w:val="clear" w:color="auto" w:fill="auto"/>
          </w:tcPr>
          <w:p w14:paraId="4F436FB6" w14:textId="77777777" w:rsidR="0018109A" w:rsidRPr="009841AB" w:rsidRDefault="0018109A" w:rsidP="0018109A">
            <w:pPr>
              <w:pStyle w:val="naisc"/>
              <w:spacing w:before="0" w:after="0"/>
              <w:jc w:val="left"/>
              <w:rPr>
                <w:b/>
                <w:bCs/>
              </w:rPr>
            </w:pPr>
            <w:r w:rsidRPr="009841AB">
              <w:rPr>
                <w:b/>
                <w:bCs/>
              </w:rPr>
              <w:lastRenderedPageBreak/>
              <w:t>Ņemts vērā</w:t>
            </w:r>
          </w:p>
          <w:p w14:paraId="692168D7" w14:textId="77777777" w:rsidR="0018109A" w:rsidRPr="009841AB" w:rsidRDefault="0018109A" w:rsidP="0018109A">
            <w:pPr>
              <w:pStyle w:val="naisc"/>
              <w:spacing w:before="0" w:after="0"/>
              <w:jc w:val="left"/>
              <w:rPr>
                <w:b/>
                <w:bCs/>
              </w:rPr>
            </w:pPr>
          </w:p>
          <w:p w14:paraId="41BFE423"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799FD8FF" w14:textId="77777777" w:rsidR="0018109A" w:rsidRPr="009841AB" w:rsidRDefault="0018109A" w:rsidP="0018109A">
            <w:pPr>
              <w:pStyle w:val="naisc"/>
              <w:spacing w:before="0" w:after="0"/>
              <w:jc w:val="both"/>
            </w:pPr>
            <w:r w:rsidRPr="009841AB">
              <w:t xml:space="preserve">Lūdzam skatīt </w:t>
            </w:r>
            <w:proofErr w:type="spellStart"/>
            <w:r w:rsidRPr="009841AB">
              <w:t>apakšsadaļu</w:t>
            </w:r>
            <w:proofErr w:type="spellEnd"/>
            <w:r w:rsidRPr="009841AB">
              <w:t xml:space="preserve"> 4.4.5.2.</w:t>
            </w:r>
          </w:p>
        </w:tc>
      </w:tr>
      <w:tr w:rsidR="0018109A" w:rsidRPr="009841AB" w14:paraId="7244E09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C3228FA" w14:textId="77777777" w:rsidR="0018109A" w:rsidRPr="009841AB" w:rsidRDefault="00633E6A" w:rsidP="00633E6A">
            <w:pPr>
              <w:pStyle w:val="naisc"/>
              <w:spacing w:before="0" w:after="0"/>
              <w:jc w:val="left"/>
            </w:pPr>
            <w:r>
              <w:t>425</w:t>
            </w:r>
          </w:p>
        </w:tc>
        <w:tc>
          <w:tcPr>
            <w:tcW w:w="2427" w:type="dxa"/>
            <w:tcBorders>
              <w:left w:val="single" w:sz="6" w:space="0" w:color="000000" w:themeColor="text1"/>
              <w:bottom w:val="single" w:sz="4" w:space="0" w:color="auto"/>
            </w:tcBorders>
            <w:shd w:val="clear" w:color="auto" w:fill="auto"/>
          </w:tcPr>
          <w:p w14:paraId="6B5AE552"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91C6737" w14:textId="77777777" w:rsidR="0018109A" w:rsidRPr="009841AB" w:rsidRDefault="0018109A" w:rsidP="0018109A">
            <w:pPr>
              <w:spacing w:line="276" w:lineRule="auto"/>
            </w:pPr>
            <w:r w:rsidRPr="009841AB">
              <w:t xml:space="preserve">12. Lūdzam precizēt pamatnostādņu projekta 4.4.5.2. Rīcības </w:t>
            </w:r>
            <w:proofErr w:type="spellStart"/>
            <w:r w:rsidRPr="009841AB">
              <w:t>apakšvirziena</w:t>
            </w:r>
            <w:proofErr w:type="spellEnd"/>
            <w:r w:rsidRPr="009841AB">
              <w:t xml:space="preserve"> “Nacionālās drošības un informācijas telpas stiprināšana” sadaļas “Esošās situācijas apraksts” 2. punktā norādīto teikumu “Institūcijas publicējamos dokumentus iesniedz izmantojot e-pastu” tā vietā norādot: “</w:t>
            </w:r>
            <w:r w:rsidRPr="009841AB">
              <w:rPr>
                <w:b/>
                <w:bCs/>
              </w:rPr>
              <w:t xml:space="preserve">Ministrijas un valsts iestādes </w:t>
            </w:r>
            <w:r w:rsidRPr="009841AB">
              <w:t xml:space="preserve">publicējamos dokumentus iesniedz izmantojot e-pastu”. </w:t>
            </w:r>
          </w:p>
        </w:tc>
        <w:tc>
          <w:tcPr>
            <w:tcW w:w="2480" w:type="dxa"/>
            <w:tcBorders>
              <w:left w:val="single" w:sz="6" w:space="0" w:color="000000" w:themeColor="text1"/>
              <w:bottom w:val="single" w:sz="4" w:space="0" w:color="auto"/>
            </w:tcBorders>
            <w:shd w:val="clear" w:color="auto" w:fill="auto"/>
          </w:tcPr>
          <w:p w14:paraId="71B05629" w14:textId="77777777" w:rsidR="0018109A" w:rsidRPr="009841AB" w:rsidRDefault="0018109A" w:rsidP="0018109A">
            <w:pPr>
              <w:pStyle w:val="naisc"/>
              <w:spacing w:before="0" w:after="0"/>
              <w:jc w:val="left"/>
              <w:rPr>
                <w:b/>
                <w:bCs/>
              </w:rPr>
            </w:pPr>
            <w:r w:rsidRPr="009841AB">
              <w:rPr>
                <w:b/>
                <w:bCs/>
              </w:rPr>
              <w:t>Ņemts vērā</w:t>
            </w:r>
          </w:p>
          <w:p w14:paraId="14E6510B" w14:textId="77777777" w:rsidR="0018109A" w:rsidRPr="009841AB" w:rsidRDefault="0018109A" w:rsidP="0018109A">
            <w:pPr>
              <w:pStyle w:val="naisc"/>
              <w:spacing w:before="0" w:after="0"/>
              <w:jc w:val="left"/>
            </w:pPr>
            <w:r w:rsidRPr="009841AB">
              <w:t>Valsts kancelejas projekta ietvaros ir izstrādāts risinājums automatizētai datu nodošanai.</w:t>
            </w:r>
          </w:p>
        </w:tc>
        <w:tc>
          <w:tcPr>
            <w:tcW w:w="3497" w:type="dxa"/>
            <w:tcBorders>
              <w:left w:val="single" w:sz="6" w:space="0" w:color="000000" w:themeColor="text1"/>
              <w:bottom w:val="single" w:sz="4" w:space="0" w:color="auto"/>
            </w:tcBorders>
            <w:shd w:val="clear" w:color="auto" w:fill="auto"/>
          </w:tcPr>
          <w:p w14:paraId="62BFC712"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4.4.5.2.</w:t>
            </w:r>
          </w:p>
        </w:tc>
      </w:tr>
      <w:tr w:rsidR="0018109A" w:rsidRPr="009841AB" w14:paraId="0CA306F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7690600" w14:textId="77777777" w:rsidR="0018109A" w:rsidRPr="009841AB" w:rsidRDefault="00633E6A" w:rsidP="0018109A">
            <w:pPr>
              <w:pStyle w:val="naisc"/>
              <w:spacing w:before="0" w:after="0"/>
            </w:pPr>
            <w:r>
              <w:t>426</w:t>
            </w:r>
          </w:p>
        </w:tc>
        <w:tc>
          <w:tcPr>
            <w:tcW w:w="2427" w:type="dxa"/>
            <w:tcBorders>
              <w:left w:val="single" w:sz="6" w:space="0" w:color="000000" w:themeColor="text1"/>
              <w:bottom w:val="single" w:sz="4" w:space="0" w:color="auto"/>
            </w:tcBorders>
            <w:shd w:val="clear" w:color="auto" w:fill="auto"/>
          </w:tcPr>
          <w:p w14:paraId="731825A8"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069A14F" w14:textId="77777777" w:rsidR="0018109A" w:rsidRPr="009841AB" w:rsidRDefault="0018109A" w:rsidP="0018109A">
            <w:pPr>
              <w:spacing w:line="276" w:lineRule="auto"/>
            </w:pPr>
            <w:r w:rsidRPr="009841AB">
              <w:t xml:space="preserve">13. Pamatnostādņu projekta 4.4.5.2. Rīcības </w:t>
            </w:r>
            <w:proofErr w:type="spellStart"/>
            <w:r w:rsidRPr="009841AB">
              <w:t>apakšvirziena</w:t>
            </w:r>
            <w:proofErr w:type="spellEnd"/>
            <w:r w:rsidRPr="009841AB">
              <w:t xml:space="preserve"> “Nacionālās drošības un informācijas telpas stiprināšana” sadaļas  “Nepieciešamā rīcība” 3. punktā – “Datu aizsardzības prasību ievērošana un  pārkāpumu identificēšana, kontrole”, analīze, tiek norādīts: “</w:t>
            </w:r>
            <w:r w:rsidRPr="009841AB">
              <w:rPr>
                <w:i/>
                <w:iCs/>
              </w:rPr>
              <w:t xml:space="preserve">finanšu risks – iestājas, ja netiek rasts risinājums VSIA “Latvijas Vēstnesis” pamatfunkciju </w:t>
            </w:r>
            <w:r w:rsidRPr="009841AB">
              <w:rPr>
                <w:i/>
                <w:iCs/>
              </w:rPr>
              <w:lastRenderedPageBreak/>
              <w:t>īstenošanai nepieciešamā budžeta nodrošināšanai, kā tas paredzēts informatīvā ziņojuma "Par oficiālās publikācijas un tiesiskās informācijas nodrošināšanas funkcijas izpildi" precizētajā projektā (TA-1865).”</w:t>
            </w:r>
            <w:r w:rsidRPr="009841AB">
              <w:t xml:space="preserve"> Lūdzam tekstā izņemt atsauci uz “Latvijas Vēstnesi”, jo paredzētā risinājuma izstrāde nav “Latvijas Vēstneša” projekts un nekādi nav saistāma ar “Latvijas Vēstneša” finansējumu.  Papildu informējam, ka kopš 2009. gada “Latvijas Vēstnesis” strādā saskaņā ar ISO 27001:2013 "Informācijas tehnoloģijas - Drošības tehnikas - Informācijas drošības vadības sistēmas - prasības" standarta prasībām. Ieviesto sistēmu ik gadus auditē ārējie auditori, un pēc viņu atzinuma “Latvijas Vēstnesī” ir nodrošinātas visas prasības personas datu aizsardzības ievērošanai. </w:t>
            </w:r>
          </w:p>
        </w:tc>
        <w:tc>
          <w:tcPr>
            <w:tcW w:w="2480" w:type="dxa"/>
            <w:tcBorders>
              <w:left w:val="single" w:sz="6" w:space="0" w:color="000000" w:themeColor="text1"/>
              <w:bottom w:val="single" w:sz="4" w:space="0" w:color="auto"/>
            </w:tcBorders>
            <w:shd w:val="clear" w:color="auto" w:fill="auto"/>
          </w:tcPr>
          <w:p w14:paraId="6F5E102A" w14:textId="77777777" w:rsidR="0018109A" w:rsidRPr="009841AB" w:rsidRDefault="0018109A" w:rsidP="0018109A">
            <w:pPr>
              <w:pStyle w:val="naisc"/>
              <w:spacing w:before="0" w:after="0"/>
              <w:jc w:val="left"/>
              <w:rPr>
                <w:b/>
                <w:bCs/>
              </w:rPr>
            </w:pPr>
            <w:r w:rsidRPr="009841AB">
              <w:rPr>
                <w:b/>
                <w:bCs/>
              </w:rPr>
              <w:lastRenderedPageBreak/>
              <w:t>Ņemts vērā</w:t>
            </w:r>
          </w:p>
          <w:p w14:paraId="069F0B81" w14:textId="77777777" w:rsidR="0018109A" w:rsidRPr="009841AB" w:rsidRDefault="0018109A" w:rsidP="0018109A">
            <w:pPr>
              <w:pStyle w:val="naisc"/>
              <w:spacing w:before="0" w:after="0"/>
              <w:jc w:val="left"/>
              <w:rPr>
                <w:b/>
                <w:bCs/>
              </w:rPr>
            </w:pPr>
            <w:r w:rsidRPr="009841AB">
              <w:t xml:space="preserve">Atbilstoši precizēta redakcija, kā arī punkts pārcelts uz 4.4.2.2. </w:t>
            </w:r>
            <w:proofErr w:type="spellStart"/>
            <w:r w:rsidRPr="009841AB">
              <w:t>apakšvirzienu</w:t>
            </w:r>
            <w:proofErr w:type="spellEnd"/>
            <w:r w:rsidRPr="009841AB">
              <w:t>.</w:t>
            </w:r>
          </w:p>
        </w:tc>
        <w:tc>
          <w:tcPr>
            <w:tcW w:w="3497" w:type="dxa"/>
            <w:tcBorders>
              <w:left w:val="single" w:sz="6" w:space="0" w:color="000000" w:themeColor="text1"/>
              <w:bottom w:val="single" w:sz="4" w:space="0" w:color="auto"/>
            </w:tcBorders>
            <w:shd w:val="clear" w:color="auto" w:fill="auto"/>
          </w:tcPr>
          <w:p w14:paraId="1E891979" w14:textId="77777777" w:rsidR="0018109A" w:rsidRPr="009841AB" w:rsidRDefault="0018109A" w:rsidP="0018109A">
            <w:pPr>
              <w:pStyle w:val="naisc"/>
              <w:spacing w:before="0" w:after="0"/>
              <w:jc w:val="both"/>
            </w:pPr>
            <w:r w:rsidRPr="009841AB">
              <w:t xml:space="preserve">Lūdzam skatīt </w:t>
            </w:r>
            <w:proofErr w:type="spellStart"/>
            <w:r w:rsidRPr="009841AB">
              <w:t>apakšsadaļu</w:t>
            </w:r>
            <w:proofErr w:type="spellEnd"/>
            <w:r w:rsidRPr="009841AB">
              <w:t xml:space="preserve"> 4.4.5.2. un 4.4.2.2.</w:t>
            </w:r>
          </w:p>
        </w:tc>
      </w:tr>
      <w:tr w:rsidR="0018109A" w:rsidRPr="009841AB" w14:paraId="0A2C9CF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54FA4B9" w14:textId="77777777" w:rsidR="0018109A" w:rsidRPr="009841AB" w:rsidRDefault="00633E6A" w:rsidP="0018109A">
            <w:pPr>
              <w:pStyle w:val="naisc"/>
              <w:spacing w:before="0" w:after="0"/>
            </w:pPr>
            <w:r>
              <w:t>427</w:t>
            </w:r>
          </w:p>
        </w:tc>
        <w:tc>
          <w:tcPr>
            <w:tcW w:w="2427" w:type="dxa"/>
            <w:tcBorders>
              <w:left w:val="single" w:sz="6" w:space="0" w:color="000000" w:themeColor="text1"/>
              <w:bottom w:val="single" w:sz="4" w:space="0" w:color="auto"/>
            </w:tcBorders>
            <w:shd w:val="clear" w:color="auto" w:fill="auto"/>
          </w:tcPr>
          <w:p w14:paraId="3B6F295F"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292E506" w14:textId="77777777" w:rsidR="0018109A" w:rsidRPr="009841AB" w:rsidRDefault="0018109A" w:rsidP="0018109A">
            <w:pPr>
              <w:ind w:right="12"/>
              <w:jc w:val="both"/>
            </w:pPr>
            <w:r w:rsidRPr="009841AB">
              <w:t>14. Lūdzam precizēt uzdevumu “U4.4.5.2.-2”, izsakot to šādā redakcijā: “Apvienot oficiālo publikāciju un sistematizētu normatīvo aktu piekļuves kanālus – ieviest vienas pieturas aģentūras principu attiecībā uz tiesiskās informācijas pieejamību, kā arī ieviest Eiropas tiesību aktu identifikatoru (</w:t>
            </w:r>
            <w:proofErr w:type="spellStart"/>
            <w:r w:rsidRPr="009841AB">
              <w:t>European</w:t>
            </w:r>
            <w:proofErr w:type="spellEnd"/>
            <w:r w:rsidRPr="009841AB">
              <w:t xml:space="preserve"> </w:t>
            </w:r>
            <w:proofErr w:type="spellStart"/>
            <w:r w:rsidRPr="009841AB">
              <w:t>Law</w:t>
            </w:r>
            <w:proofErr w:type="spellEnd"/>
            <w:r w:rsidRPr="009841AB">
              <w:t xml:space="preserve"> </w:t>
            </w:r>
            <w:proofErr w:type="spellStart"/>
            <w:r w:rsidRPr="009841AB">
              <w:t>Identifier</w:t>
            </w:r>
            <w:proofErr w:type="spellEnd"/>
            <w:r w:rsidRPr="009841AB">
              <w:t xml:space="preserve"> - ELI) Latvijas nacionālajiem tiesību aktiem”.</w:t>
            </w:r>
          </w:p>
        </w:tc>
        <w:tc>
          <w:tcPr>
            <w:tcW w:w="2480" w:type="dxa"/>
            <w:tcBorders>
              <w:left w:val="single" w:sz="6" w:space="0" w:color="000000" w:themeColor="text1"/>
              <w:bottom w:val="single" w:sz="4" w:space="0" w:color="auto"/>
            </w:tcBorders>
            <w:shd w:val="clear" w:color="auto" w:fill="auto"/>
          </w:tcPr>
          <w:p w14:paraId="4868E3E8" w14:textId="77777777" w:rsidR="0018109A" w:rsidRPr="009841AB" w:rsidRDefault="0018109A" w:rsidP="0018109A">
            <w:pPr>
              <w:pStyle w:val="naisc"/>
              <w:spacing w:before="0" w:after="0"/>
              <w:jc w:val="left"/>
              <w:rPr>
                <w:b/>
                <w:bCs/>
              </w:rPr>
            </w:pPr>
            <w:r w:rsidRPr="009841AB">
              <w:rPr>
                <w:b/>
                <w:bCs/>
              </w:rPr>
              <w:t>Ņemts vērā</w:t>
            </w:r>
          </w:p>
          <w:p w14:paraId="7AFC151E" w14:textId="77777777" w:rsidR="0018109A" w:rsidRPr="009841AB" w:rsidRDefault="0018109A" w:rsidP="0018109A">
            <w:pPr>
              <w:pStyle w:val="naisc"/>
              <w:spacing w:before="0" w:after="0"/>
              <w:jc w:val="left"/>
              <w:rPr>
                <w:b/>
                <w:bCs/>
              </w:rPr>
            </w:pPr>
          </w:p>
          <w:p w14:paraId="33C317EF"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5E7A055D" w14:textId="77777777" w:rsidR="0018109A" w:rsidRPr="009841AB" w:rsidRDefault="0018109A" w:rsidP="0018109A">
            <w:pPr>
              <w:pStyle w:val="naisc"/>
              <w:spacing w:before="0" w:after="0"/>
              <w:jc w:val="both"/>
            </w:pPr>
            <w:r w:rsidRPr="009841AB">
              <w:t xml:space="preserve">Lūdzam skatīt </w:t>
            </w:r>
            <w:proofErr w:type="spellStart"/>
            <w:r w:rsidRPr="009841AB">
              <w:t>apakšsadaļu</w:t>
            </w:r>
            <w:proofErr w:type="spellEnd"/>
            <w:r w:rsidRPr="009841AB">
              <w:t xml:space="preserve"> 4.4.5.2. </w:t>
            </w:r>
          </w:p>
        </w:tc>
      </w:tr>
      <w:tr w:rsidR="0018109A" w:rsidRPr="009841AB" w14:paraId="7A362D2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C8DD9C9" w14:textId="77777777" w:rsidR="0018109A" w:rsidRPr="009841AB" w:rsidRDefault="00633E6A" w:rsidP="0018109A">
            <w:pPr>
              <w:pStyle w:val="naisc"/>
              <w:spacing w:before="0" w:after="0"/>
            </w:pPr>
            <w:r>
              <w:t>428</w:t>
            </w:r>
          </w:p>
        </w:tc>
        <w:tc>
          <w:tcPr>
            <w:tcW w:w="2427" w:type="dxa"/>
            <w:tcBorders>
              <w:left w:val="single" w:sz="6" w:space="0" w:color="000000" w:themeColor="text1"/>
              <w:bottom w:val="single" w:sz="4" w:space="0" w:color="auto"/>
            </w:tcBorders>
            <w:shd w:val="clear" w:color="auto" w:fill="auto"/>
          </w:tcPr>
          <w:p w14:paraId="18E8E71D"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9F6F703" w14:textId="77777777" w:rsidR="0018109A" w:rsidRPr="009841AB" w:rsidRDefault="0018109A" w:rsidP="0018109A">
            <w:pPr>
              <w:spacing w:line="276" w:lineRule="auto"/>
            </w:pPr>
            <w:r w:rsidRPr="009841AB">
              <w:t xml:space="preserve">15. Vēršam uzmanību, ka pamatnostādņu projekta 130.lp. iespējams kļūdaini ir iekļauts uzdevums “U4.4.5.2.-3”, jo tas pēc satura atbilst 4.4.2.2. Rīcības </w:t>
            </w:r>
            <w:proofErr w:type="spellStart"/>
            <w:r w:rsidRPr="009841AB">
              <w:t>apakšvirzienam</w:t>
            </w:r>
            <w:proofErr w:type="spellEnd"/>
            <w:r w:rsidRPr="009841AB">
              <w:t>.</w:t>
            </w:r>
          </w:p>
        </w:tc>
        <w:tc>
          <w:tcPr>
            <w:tcW w:w="2480" w:type="dxa"/>
            <w:tcBorders>
              <w:left w:val="single" w:sz="6" w:space="0" w:color="000000" w:themeColor="text1"/>
              <w:bottom w:val="single" w:sz="4" w:space="0" w:color="auto"/>
            </w:tcBorders>
            <w:shd w:val="clear" w:color="auto" w:fill="auto"/>
          </w:tcPr>
          <w:p w14:paraId="526EFFC3" w14:textId="77777777" w:rsidR="0018109A" w:rsidRPr="009841AB" w:rsidRDefault="0018109A" w:rsidP="0018109A">
            <w:pPr>
              <w:pStyle w:val="naisc"/>
              <w:spacing w:before="0" w:after="0"/>
              <w:jc w:val="left"/>
              <w:rPr>
                <w:b/>
                <w:bCs/>
              </w:rPr>
            </w:pPr>
            <w:r w:rsidRPr="009841AB">
              <w:rPr>
                <w:b/>
                <w:bCs/>
              </w:rPr>
              <w:t>Ņemts vērā</w:t>
            </w:r>
          </w:p>
          <w:p w14:paraId="0756B53C" w14:textId="77777777" w:rsidR="0018109A" w:rsidRPr="009841AB" w:rsidRDefault="0018109A" w:rsidP="0018109A">
            <w:pPr>
              <w:pStyle w:val="naisc"/>
              <w:spacing w:before="0" w:after="0"/>
              <w:jc w:val="left"/>
            </w:pPr>
            <w:r w:rsidRPr="009841AB">
              <w:t xml:space="preserve">Uzdevums pārcelts uz 4.4.2.2.Rīcības </w:t>
            </w:r>
            <w:r w:rsidR="373074B6">
              <w:t>apakš virzienu</w:t>
            </w:r>
          </w:p>
        </w:tc>
        <w:tc>
          <w:tcPr>
            <w:tcW w:w="3497" w:type="dxa"/>
            <w:tcBorders>
              <w:left w:val="single" w:sz="6" w:space="0" w:color="000000" w:themeColor="text1"/>
              <w:bottom w:val="single" w:sz="4" w:space="0" w:color="auto"/>
            </w:tcBorders>
            <w:shd w:val="clear" w:color="auto" w:fill="auto"/>
          </w:tcPr>
          <w:p w14:paraId="247366A9" w14:textId="77777777" w:rsidR="0018109A" w:rsidRPr="009841AB" w:rsidRDefault="0018109A" w:rsidP="0018109A">
            <w:pPr>
              <w:pStyle w:val="naisc"/>
              <w:spacing w:before="0" w:after="0"/>
              <w:jc w:val="both"/>
            </w:pPr>
            <w:r w:rsidRPr="009841AB">
              <w:t xml:space="preserve">Lūdzam skatīt </w:t>
            </w:r>
            <w:proofErr w:type="spellStart"/>
            <w:r w:rsidRPr="009841AB">
              <w:t>apakšsadaļu</w:t>
            </w:r>
            <w:proofErr w:type="spellEnd"/>
            <w:r w:rsidRPr="009841AB">
              <w:t xml:space="preserve"> 4.4.2.2. </w:t>
            </w:r>
          </w:p>
        </w:tc>
      </w:tr>
      <w:tr w:rsidR="0018109A" w:rsidRPr="009841AB" w14:paraId="47F4159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B6ED6C9" w14:textId="77777777" w:rsidR="0018109A" w:rsidRPr="009841AB" w:rsidRDefault="00633E6A" w:rsidP="0018109A">
            <w:pPr>
              <w:pStyle w:val="naisc"/>
              <w:spacing w:before="0" w:after="0"/>
            </w:pPr>
            <w:r>
              <w:t>429</w:t>
            </w:r>
          </w:p>
        </w:tc>
        <w:tc>
          <w:tcPr>
            <w:tcW w:w="2427" w:type="dxa"/>
            <w:tcBorders>
              <w:left w:val="single" w:sz="6" w:space="0" w:color="000000" w:themeColor="text1"/>
              <w:bottom w:val="single" w:sz="4" w:space="0" w:color="auto"/>
            </w:tcBorders>
            <w:shd w:val="clear" w:color="auto" w:fill="auto"/>
          </w:tcPr>
          <w:p w14:paraId="363297B0"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DF21D65" w14:textId="77777777" w:rsidR="0018109A" w:rsidRPr="009841AB" w:rsidRDefault="0018109A" w:rsidP="0018109A">
            <w:pPr>
              <w:spacing w:line="276" w:lineRule="auto"/>
              <w:rPr>
                <w:i/>
                <w:iCs/>
                <w:u w:val="single"/>
              </w:rPr>
            </w:pPr>
            <w:r w:rsidRPr="009841AB">
              <w:t xml:space="preserve">16. Pamatnostādņu projekta 4.4.5.2. Rīcības </w:t>
            </w:r>
            <w:proofErr w:type="spellStart"/>
            <w:r w:rsidRPr="009841AB">
              <w:t>apakšvirziena</w:t>
            </w:r>
            <w:proofErr w:type="spellEnd"/>
            <w:r w:rsidRPr="009841AB">
              <w:t xml:space="preserve"> “Nacionālās drošības un informācijas telpas stiprināšana" sadaļas "Nepieciešamā rīcība" </w:t>
            </w:r>
            <w:r w:rsidRPr="009841AB">
              <w:lastRenderedPageBreak/>
              <w:t>3.punktā (129.lp.)  norādītais: “</w:t>
            </w:r>
            <w:r w:rsidRPr="009841AB">
              <w:rPr>
                <w:i/>
                <w:iCs/>
              </w:rPr>
              <w:t xml:space="preserve">[..] Lai atvieglotu un </w:t>
            </w:r>
            <w:proofErr w:type="spellStart"/>
            <w:r w:rsidRPr="009841AB">
              <w:rPr>
                <w:i/>
                <w:iCs/>
              </w:rPr>
              <w:t>efektivizētu</w:t>
            </w:r>
            <w:proofErr w:type="spellEnd"/>
            <w:r w:rsidRPr="009841AB">
              <w:rPr>
                <w:i/>
                <w:iCs/>
              </w:rPr>
              <w:t xml:space="preserve"> personas datu apstrādes pārkāpumu konstatēšanu, novēršanu, analizētu kļūdas un riskus, nepieciešams izstrādāt digitālu personas datu apstrādes pārkāpumu, drošības analīzes un pārvaldības risinājumu.” </w:t>
            </w:r>
            <w:r w:rsidRPr="009841AB">
              <w:t>Vēršam uzmanību uz to, ka precizējams jautājums par divu rīku "</w:t>
            </w:r>
            <w:proofErr w:type="spellStart"/>
            <w:r w:rsidRPr="009841AB">
              <w:t>Breach</w:t>
            </w:r>
            <w:proofErr w:type="spellEnd"/>
            <w:r w:rsidRPr="009841AB">
              <w:t xml:space="preserve"> </w:t>
            </w:r>
            <w:proofErr w:type="spellStart"/>
            <w:r w:rsidRPr="009841AB">
              <w:t>notification</w:t>
            </w:r>
            <w:proofErr w:type="spellEnd"/>
            <w:r w:rsidRPr="009841AB">
              <w:t>" (atbilstoši Datu regulas 33.pantam) (kā personas datu apstrādes pārkāpumu rīks) un "</w:t>
            </w:r>
            <w:proofErr w:type="spellStart"/>
            <w:r w:rsidRPr="009841AB">
              <w:t>Impact</w:t>
            </w:r>
            <w:proofErr w:type="spellEnd"/>
            <w:r w:rsidRPr="009841AB">
              <w:t xml:space="preserve"> </w:t>
            </w:r>
            <w:proofErr w:type="spellStart"/>
            <w:r w:rsidRPr="009841AB">
              <w:t>assessment</w:t>
            </w:r>
            <w:proofErr w:type="spellEnd"/>
            <w:r w:rsidRPr="009841AB">
              <w:t>" (kā drošības analīzes un pārvaldības rīks) sapludināšanu. Rīkam "</w:t>
            </w:r>
            <w:proofErr w:type="spellStart"/>
            <w:r w:rsidRPr="009841AB">
              <w:t>Breach</w:t>
            </w:r>
            <w:proofErr w:type="spellEnd"/>
            <w:r w:rsidRPr="009841AB">
              <w:t xml:space="preserve"> </w:t>
            </w:r>
            <w:proofErr w:type="spellStart"/>
            <w:r w:rsidRPr="009841AB">
              <w:t>notification</w:t>
            </w:r>
            <w:proofErr w:type="spellEnd"/>
            <w:r w:rsidRPr="009841AB">
              <w:t xml:space="preserve">" rindkopā ietvertais formulējums ir par plašu – tāda funkcionalitāte tam nepiemistu. Proti, </w:t>
            </w:r>
            <w:r w:rsidRPr="009841AB">
              <w:rPr>
                <w:color w:val="212529"/>
                <w:shd w:val="clear" w:color="auto" w:fill="FFFFFF"/>
              </w:rPr>
              <w:t xml:space="preserve">personas datu aizsardzības pārkāpums ir noticis </w:t>
            </w:r>
            <w:r w:rsidRPr="009841AB">
              <w:rPr>
                <w:color w:val="212529"/>
                <w:u w:val="single"/>
                <w:shd w:val="clear" w:color="auto" w:fill="FFFFFF"/>
              </w:rPr>
              <w:t>drošības pārkāpums,</w:t>
            </w:r>
            <w:r w:rsidRPr="009841AB">
              <w:rPr>
                <w:color w:val="212529"/>
                <w:shd w:val="clear" w:color="auto" w:fill="FFFFFF"/>
              </w:rPr>
              <w:t xml:space="preserve"> kura rezultātā notiek nejauša vai nelikumīga nosūtīto, uzglabāto vai citādi apstrādāto personas datu iznīcināšana, nozaudēšana, pārveidošana, neatļauta izpaušana vai piekļuve tiem (Datu regulas 4.panta 12.punkts).</w:t>
            </w:r>
            <w:r w:rsidRPr="009841AB">
              <w:t xml:space="preserve"> Uz "</w:t>
            </w:r>
            <w:proofErr w:type="spellStart"/>
            <w:r w:rsidRPr="009841AB">
              <w:t>Breach</w:t>
            </w:r>
            <w:proofErr w:type="spellEnd"/>
            <w:r w:rsidRPr="009841AB">
              <w:t xml:space="preserve"> </w:t>
            </w:r>
            <w:proofErr w:type="spellStart"/>
            <w:r w:rsidRPr="009841AB">
              <w:t>notification</w:t>
            </w:r>
            <w:proofErr w:type="spellEnd"/>
            <w:r w:rsidRPr="009841AB">
              <w:t xml:space="preserve">” rīku  attiecināma prasība, ka </w:t>
            </w:r>
            <w:r w:rsidRPr="009841AB">
              <w:rPr>
                <w:color w:val="212529"/>
                <w:shd w:val="clear" w:color="auto" w:fill="FFFFFF"/>
              </w:rPr>
              <w:t>personas datu aizsardzības pārkāpuma gadījumā datu pārzinis bez nepamatotas kavēšanās un, ja iespējams, ne vēlāk kā </w:t>
            </w:r>
            <w:r w:rsidRPr="009841AB">
              <w:rPr>
                <w:rStyle w:val="Strong"/>
                <w:color w:val="212529"/>
                <w:shd w:val="clear" w:color="auto" w:fill="FFFFFF"/>
              </w:rPr>
              <w:t>72 stundu laikā</w:t>
            </w:r>
            <w:r w:rsidRPr="009841AB">
              <w:rPr>
                <w:color w:val="212529"/>
                <w:shd w:val="clear" w:color="auto" w:fill="FFFFFF"/>
              </w:rPr>
              <w:t xml:space="preserve"> no brīža, kad pārkāpums tam kļuvis zināms kompetentai iestādei iesniedz  Personas datu apstrādes aizsardzības pārkāpuma paziņojumu, kuram jāatbilst Datu regulas 33.panta 3.punktā iekļautajām prasībām. </w:t>
            </w:r>
            <w:r w:rsidRPr="009841AB">
              <w:t xml:space="preserve">Līdz ar to uz notikušu </w:t>
            </w:r>
            <w:r w:rsidRPr="009841AB">
              <w:rPr>
                <w:color w:val="212529"/>
                <w:shd w:val="clear" w:color="auto" w:fill="FFFFFF"/>
              </w:rPr>
              <w:t>personas datu apstrādes pārkāpumu, ir attiecināmas stingras prasības, kas izpildāmas atbilstoši Vispārīgās datu aizsardzības prasībām.</w:t>
            </w:r>
            <w:r w:rsidRPr="009841AB">
              <w:t xml:space="preserve"> Izsakām ierosinājumu </w:t>
            </w:r>
            <w:r w:rsidRPr="009841AB">
              <w:lastRenderedPageBreak/>
              <w:t xml:space="preserve">precizēt, ka Datu regulā ir vairāki uzdevumi, kuru izpildi iespējams </w:t>
            </w:r>
            <w:proofErr w:type="spellStart"/>
            <w:r w:rsidRPr="009841AB">
              <w:t>digitalizēt</w:t>
            </w:r>
            <w:proofErr w:type="spellEnd"/>
            <w:r w:rsidRPr="009841AB">
              <w:t>, vienlaikus tas, vai mērķa sasniegšanai efektīvāka ir viena vai vairāku digitālu rīku izmantošana, pašlaik nav nosakāms. Līdz ar to tiek izteikts ierosinājums uzdevumā minēt vairāku rīku izstrādi, saglabājot iespēju noteiktās funkcionalitātes panākt ar viena vai vairāku, izstrādātu rīku palīdzību.</w:t>
            </w:r>
          </w:p>
          <w:p w14:paraId="5C5E7917" w14:textId="77777777" w:rsidR="0018109A" w:rsidRPr="009841AB" w:rsidRDefault="0018109A" w:rsidP="0018109A">
            <w:pPr>
              <w:spacing w:line="276" w:lineRule="auto"/>
              <w:ind w:firstLine="709"/>
            </w:pPr>
            <w:r w:rsidRPr="009841AB">
              <w:t xml:space="preserve">Vienlaikus piedāvājām šādu redakciju: "Lai atvieglotu un </w:t>
            </w:r>
            <w:proofErr w:type="spellStart"/>
            <w:r w:rsidRPr="009841AB">
              <w:t>efektivizētu</w:t>
            </w:r>
            <w:proofErr w:type="spellEnd"/>
            <w:r w:rsidRPr="009841AB">
              <w:t xml:space="preserve"> personas datu apstrādes pārkāpumu konstatēšanu, novēršanu, analizētu kļūdas un riskus, nepieciešams izstrādāt digitālus risinājumus  personas datu apstrādes pārkāpumu paziņošanai, drošības analīzei vai pārvaldības risinājumiem. Tas ļaus izstrādāt vairākus rīkus katra mērķa (funkcionalitātes) sasniegšanai, nevis padarīs kā sasniedzamo uzdevumu vienas lielas sistēmas ietvaros."</w:t>
            </w:r>
          </w:p>
        </w:tc>
        <w:tc>
          <w:tcPr>
            <w:tcW w:w="2480" w:type="dxa"/>
            <w:tcBorders>
              <w:left w:val="single" w:sz="6" w:space="0" w:color="000000" w:themeColor="text1"/>
              <w:bottom w:val="single" w:sz="4" w:space="0" w:color="auto"/>
            </w:tcBorders>
            <w:shd w:val="clear" w:color="auto" w:fill="auto"/>
          </w:tcPr>
          <w:p w14:paraId="2F58598C" w14:textId="77777777" w:rsidR="0018109A" w:rsidRPr="009841AB" w:rsidRDefault="5799EF36" w:rsidP="0018109A">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6B7022CD" w14:textId="77777777" w:rsidR="0018109A" w:rsidRPr="009841AB" w:rsidRDefault="009309E9" w:rsidP="0018109A">
            <w:pPr>
              <w:pStyle w:val="naisc"/>
              <w:spacing w:before="0" w:after="0"/>
              <w:jc w:val="both"/>
            </w:pPr>
            <w:r w:rsidRPr="009841AB">
              <w:t xml:space="preserve">Lūdzam skatīt </w:t>
            </w:r>
            <w:proofErr w:type="spellStart"/>
            <w:r w:rsidRPr="009841AB">
              <w:t>apakšsadaļu</w:t>
            </w:r>
            <w:proofErr w:type="spellEnd"/>
            <w:r w:rsidR="5799EF36" w:rsidRPr="009841AB">
              <w:t xml:space="preserve"> 4.4.5.2. </w:t>
            </w:r>
          </w:p>
        </w:tc>
      </w:tr>
      <w:tr w:rsidR="0018109A" w:rsidRPr="009841AB" w14:paraId="5ACAC6E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9ED639F" w14:textId="77777777" w:rsidR="0018109A" w:rsidRPr="009841AB" w:rsidRDefault="00633E6A" w:rsidP="00633E6A">
            <w:pPr>
              <w:pStyle w:val="naisc"/>
              <w:spacing w:before="0" w:after="0"/>
              <w:jc w:val="left"/>
            </w:pPr>
            <w:r>
              <w:lastRenderedPageBreak/>
              <w:t>430</w:t>
            </w:r>
          </w:p>
        </w:tc>
        <w:tc>
          <w:tcPr>
            <w:tcW w:w="2427" w:type="dxa"/>
            <w:tcBorders>
              <w:left w:val="single" w:sz="6" w:space="0" w:color="000000" w:themeColor="text1"/>
              <w:bottom w:val="single" w:sz="4" w:space="0" w:color="auto"/>
            </w:tcBorders>
            <w:shd w:val="clear" w:color="auto" w:fill="auto"/>
          </w:tcPr>
          <w:p w14:paraId="2313D12F"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A4CCCD1" w14:textId="77777777" w:rsidR="0018109A" w:rsidRPr="009841AB" w:rsidRDefault="0018109A" w:rsidP="0018109A">
            <w:pPr>
              <w:spacing w:line="276" w:lineRule="auto"/>
              <w:rPr>
                <w:bCs/>
              </w:rPr>
            </w:pPr>
            <w:r w:rsidRPr="009841AB">
              <w:t>17. Lūdzam p</w:t>
            </w:r>
            <w:r w:rsidRPr="009841AB">
              <w:rPr>
                <w:bCs/>
              </w:rPr>
              <w:t xml:space="preserve">apildināt pamatnostādņu projekta (125.lp) 4.4.5. Rīcības virziena “Sabiedrības drošība, kārtība un tieslietas” noteikto vīziju aiz vārdiem "tiesvedības procesa" ar vārdiem "sodu izpildes procesa", jo </w:t>
            </w:r>
            <w:proofErr w:type="spellStart"/>
            <w:r w:rsidRPr="009841AB">
              <w:rPr>
                <w:bCs/>
              </w:rPr>
              <w:t>digitalizācijas</w:t>
            </w:r>
            <w:proofErr w:type="spellEnd"/>
            <w:r w:rsidRPr="009841AB">
              <w:rPr>
                <w:bCs/>
              </w:rPr>
              <w:t xml:space="preserve"> process ietver pāreju uz e-lietu gan izmeklēšanas, gan tiesvedības, gan soda izpildes procesā. Jau tagad e-lietas izstrādes 1.posmā notiek darbs pie Valsts probācijas dienesta un Ieslodzījuma vietu pārvaldes ieslodzīto informācijas sistēmas pilnveidošanas un to ir paredzēts arī turpināt attīstīt e-lietas izstrādes nākamajā posmā. Soda izpilde kā e-lietā ietverams </w:t>
            </w:r>
            <w:proofErr w:type="spellStart"/>
            <w:r w:rsidRPr="009841AB">
              <w:rPr>
                <w:bCs/>
              </w:rPr>
              <w:t>digitalizācijas</w:t>
            </w:r>
            <w:proofErr w:type="spellEnd"/>
            <w:r w:rsidRPr="009841AB">
              <w:rPr>
                <w:bCs/>
              </w:rPr>
              <w:t xml:space="preserve"> process  </w:t>
            </w:r>
            <w:r w:rsidRPr="009841AB">
              <w:rPr>
                <w:bCs/>
              </w:rPr>
              <w:lastRenderedPageBreak/>
              <w:t>tiek skarts arī turpmākajā pamatnostādņu projekta tekstā par e-lietu.</w:t>
            </w:r>
          </w:p>
        </w:tc>
        <w:tc>
          <w:tcPr>
            <w:tcW w:w="2480" w:type="dxa"/>
            <w:tcBorders>
              <w:left w:val="single" w:sz="6" w:space="0" w:color="000000" w:themeColor="text1"/>
              <w:bottom w:val="single" w:sz="4" w:space="0" w:color="auto"/>
            </w:tcBorders>
            <w:shd w:val="clear" w:color="auto" w:fill="auto"/>
          </w:tcPr>
          <w:p w14:paraId="7F5A5878" w14:textId="77777777" w:rsidR="0018109A" w:rsidRPr="009841AB" w:rsidRDefault="0018109A" w:rsidP="0018109A">
            <w:pPr>
              <w:pStyle w:val="naisc"/>
              <w:spacing w:before="0" w:after="0"/>
              <w:jc w:val="left"/>
              <w:rPr>
                <w:b/>
                <w:bCs/>
              </w:rPr>
            </w:pPr>
            <w:r w:rsidRPr="009841AB">
              <w:rPr>
                <w:b/>
                <w:bCs/>
              </w:rPr>
              <w:lastRenderedPageBreak/>
              <w:t>Ņemts vērā</w:t>
            </w:r>
          </w:p>
          <w:p w14:paraId="4800FF09" w14:textId="77777777" w:rsidR="0018109A" w:rsidRPr="009841AB" w:rsidRDefault="0018109A" w:rsidP="0018109A">
            <w:pPr>
              <w:pStyle w:val="naisc"/>
              <w:spacing w:before="0" w:after="0"/>
              <w:jc w:val="left"/>
              <w:rPr>
                <w:b/>
                <w:bCs/>
              </w:rPr>
            </w:pPr>
          </w:p>
          <w:p w14:paraId="6944D774"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110A7F85" w14:textId="77777777" w:rsidR="0018109A" w:rsidRPr="009841AB" w:rsidRDefault="0018109A" w:rsidP="0018109A">
            <w:pPr>
              <w:pStyle w:val="naisc"/>
              <w:spacing w:before="0" w:after="0"/>
              <w:jc w:val="both"/>
            </w:pPr>
            <w:r w:rsidRPr="009841AB">
              <w:t xml:space="preserve">Lūdzam skatīt </w:t>
            </w:r>
            <w:proofErr w:type="spellStart"/>
            <w:r w:rsidRPr="009841AB">
              <w:t>apakšsadaļu</w:t>
            </w:r>
            <w:proofErr w:type="spellEnd"/>
            <w:r w:rsidRPr="009841AB">
              <w:t xml:space="preserve"> 4.4.5. </w:t>
            </w:r>
          </w:p>
        </w:tc>
      </w:tr>
      <w:tr w:rsidR="0018109A" w:rsidRPr="009841AB" w14:paraId="13FC513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03CEDCC" w14:textId="77777777" w:rsidR="0018109A" w:rsidRPr="009841AB" w:rsidRDefault="00633E6A" w:rsidP="0018109A">
            <w:pPr>
              <w:pStyle w:val="naisc"/>
              <w:spacing w:before="0" w:after="0"/>
            </w:pPr>
            <w:r>
              <w:t>431</w:t>
            </w:r>
          </w:p>
        </w:tc>
        <w:tc>
          <w:tcPr>
            <w:tcW w:w="2427" w:type="dxa"/>
            <w:tcBorders>
              <w:left w:val="single" w:sz="6" w:space="0" w:color="000000" w:themeColor="text1"/>
              <w:bottom w:val="single" w:sz="4" w:space="0" w:color="auto"/>
            </w:tcBorders>
            <w:shd w:val="clear" w:color="auto" w:fill="auto"/>
          </w:tcPr>
          <w:p w14:paraId="2C7B8433"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98B713F" w14:textId="77777777" w:rsidR="0018109A" w:rsidRPr="009841AB" w:rsidRDefault="0018109A" w:rsidP="0018109A">
            <w:pPr>
              <w:ind w:right="12"/>
              <w:jc w:val="both"/>
            </w:pPr>
            <w:r w:rsidRPr="009841AB">
              <w:rPr>
                <w:bCs/>
              </w:rPr>
              <w:t>1</w:t>
            </w:r>
            <w:r w:rsidRPr="009841AB">
              <w:t xml:space="preserve">8. Lūdzam izskatīt iespēju pamatnostādņu projekta (129.lp) 4.4.5.1. Rīcības </w:t>
            </w:r>
            <w:proofErr w:type="spellStart"/>
            <w:r w:rsidRPr="009841AB">
              <w:t>apakšvirzienā</w:t>
            </w:r>
            <w:proofErr w:type="spellEnd"/>
            <w:r w:rsidRPr="009841AB">
              <w:t xml:space="preserve"> “Izmeklēšanas un tiesvedības procesa tālāka </w:t>
            </w:r>
            <w:proofErr w:type="spellStart"/>
            <w:r w:rsidRPr="009841AB">
              <w:t>digitalizācija</w:t>
            </w:r>
            <w:proofErr w:type="spellEnd"/>
            <w:r w:rsidRPr="009841AB">
              <w:t>” izvirzītajos uzdevumos “</w:t>
            </w:r>
            <w:r w:rsidRPr="009841AB">
              <w:rPr>
                <w:u w:val="single"/>
              </w:rPr>
              <w:t>U4.4.5.1.-1” - Nodrošināt tiesību sargājošo, tiesu sistēmas un soda izpildes iestāžu pamatdarbības jomu pilnīgu procesu digitālu transformāciju,</w:t>
            </w:r>
            <w:r w:rsidRPr="009841AB">
              <w:t xml:space="preserve"> “</w:t>
            </w:r>
            <w:r w:rsidRPr="009841AB">
              <w:rPr>
                <w:u w:val="single"/>
              </w:rPr>
              <w:t xml:space="preserve">U4.4.5.1.-2” - Nodrošināt datu apmaiņu tikai elektroniskā formā,  izmantojot  valsts datu apmaiņas koplietošanas risinājumus un “U4.4.5.1.-3” - Nodrošināt personām elektronisku informācijas pieprasīšanu un saņemšanu, un centralizētu informācijas pieejamību E-lietas vienotajā publiskajā portālā </w:t>
            </w:r>
            <w:r w:rsidRPr="009841AB">
              <w:t>kā līdzatbildīgo iestādi noteikt arī Latvijas Republikas Prokuratūru, ņemot vērā, ka Latvijas Republikas Prokuratūra pati ir informācijas sistēmas pārzinis un turētājs saskaņā ar Prokuratūras likuma 51.</w:t>
            </w:r>
            <w:r w:rsidRPr="009841AB">
              <w:rPr>
                <w:vertAlign w:val="superscript"/>
              </w:rPr>
              <w:t xml:space="preserve">1 </w:t>
            </w:r>
            <w:r w:rsidRPr="009841AB">
              <w:t>panta otro daļu.</w:t>
            </w:r>
          </w:p>
        </w:tc>
        <w:tc>
          <w:tcPr>
            <w:tcW w:w="2480" w:type="dxa"/>
            <w:tcBorders>
              <w:left w:val="single" w:sz="6" w:space="0" w:color="000000" w:themeColor="text1"/>
              <w:bottom w:val="single" w:sz="4" w:space="0" w:color="auto"/>
            </w:tcBorders>
            <w:shd w:val="clear" w:color="auto" w:fill="auto"/>
          </w:tcPr>
          <w:p w14:paraId="158433C3" w14:textId="77777777" w:rsidR="0018109A" w:rsidRPr="009841AB" w:rsidRDefault="0018109A" w:rsidP="0018109A">
            <w:pPr>
              <w:pStyle w:val="naisc"/>
              <w:spacing w:before="0" w:after="0"/>
              <w:jc w:val="left"/>
              <w:rPr>
                <w:b/>
                <w:bCs/>
              </w:rPr>
            </w:pPr>
            <w:r w:rsidRPr="009841AB">
              <w:rPr>
                <w:b/>
                <w:bCs/>
              </w:rPr>
              <w:t>Ņemts vērā</w:t>
            </w:r>
          </w:p>
          <w:p w14:paraId="0BC28A52" w14:textId="77777777" w:rsidR="0018109A" w:rsidRPr="009841AB" w:rsidRDefault="0018109A" w:rsidP="0018109A">
            <w:pPr>
              <w:pStyle w:val="naisc"/>
              <w:spacing w:before="0" w:after="0"/>
              <w:jc w:val="left"/>
            </w:pPr>
            <w:r w:rsidRPr="009841AB">
              <w:t>Uzdevumu izpildē kā līdzatbildīgā norādīta LR Prokuratūra</w:t>
            </w:r>
          </w:p>
          <w:p w14:paraId="41413465" w14:textId="77777777" w:rsidR="0018109A" w:rsidRPr="009841AB" w:rsidRDefault="0018109A" w:rsidP="0018109A">
            <w:pPr>
              <w:pStyle w:val="naisc"/>
              <w:spacing w:before="0" w:after="0"/>
              <w:jc w:val="left"/>
              <w:rPr>
                <w:b/>
                <w:bCs/>
              </w:rPr>
            </w:pPr>
          </w:p>
          <w:p w14:paraId="7D83E0E7"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4757F26E"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4.4.5.1.</w:t>
            </w:r>
          </w:p>
        </w:tc>
      </w:tr>
      <w:tr w:rsidR="0018109A" w:rsidRPr="009841AB" w14:paraId="054CCC4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1C34F24" w14:textId="77777777" w:rsidR="0018109A" w:rsidRPr="009841AB" w:rsidRDefault="00633E6A" w:rsidP="0018109A">
            <w:pPr>
              <w:pStyle w:val="naisc"/>
              <w:spacing w:before="0" w:after="0"/>
            </w:pPr>
            <w:r>
              <w:t>432</w:t>
            </w:r>
          </w:p>
        </w:tc>
        <w:tc>
          <w:tcPr>
            <w:tcW w:w="2427" w:type="dxa"/>
            <w:tcBorders>
              <w:left w:val="single" w:sz="6" w:space="0" w:color="000000" w:themeColor="text1"/>
              <w:bottom w:val="single" w:sz="4" w:space="0" w:color="auto"/>
            </w:tcBorders>
            <w:shd w:val="clear" w:color="auto" w:fill="auto"/>
          </w:tcPr>
          <w:p w14:paraId="4CBFF477"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B1251A4" w14:textId="77777777" w:rsidR="0018109A" w:rsidRPr="009841AB" w:rsidRDefault="0018109A" w:rsidP="0018109A">
            <w:pPr>
              <w:spacing w:line="276" w:lineRule="auto"/>
            </w:pPr>
            <w:r w:rsidRPr="009841AB">
              <w:t>19. Lūdzam papildināt saīsinājuma rādītāju ar pamatnostādņu projekta 4.4.5.1.</w:t>
            </w:r>
            <w:r w:rsidRPr="009841AB">
              <w:rPr>
                <w:u w:val="single"/>
              </w:rPr>
              <w:t xml:space="preserve"> Rīcības </w:t>
            </w:r>
            <w:proofErr w:type="spellStart"/>
            <w:r w:rsidRPr="009841AB">
              <w:rPr>
                <w:u w:val="single"/>
              </w:rPr>
              <w:t>apakšvirzienā</w:t>
            </w:r>
            <w:proofErr w:type="spellEnd"/>
            <w:r w:rsidRPr="009841AB">
              <w:rPr>
                <w:u w:val="single"/>
              </w:rPr>
              <w:t xml:space="preserve"> “Izmeklēšanas un tiesvedības procesa tālāka </w:t>
            </w:r>
            <w:proofErr w:type="spellStart"/>
            <w:r w:rsidRPr="009841AB">
              <w:rPr>
                <w:u w:val="single"/>
              </w:rPr>
              <w:t>digitalizācija</w:t>
            </w:r>
            <w:proofErr w:type="spellEnd"/>
            <w:r w:rsidRPr="009841AB">
              <w:rPr>
                <w:u w:val="single"/>
              </w:rPr>
              <w:t>”</w:t>
            </w:r>
            <w:r w:rsidRPr="009841AB">
              <w:t xml:space="preserve"> lietotajiem saīsinājumiem: TIS, PROIS, PLUS, IIS, VPD.</w:t>
            </w:r>
          </w:p>
        </w:tc>
        <w:tc>
          <w:tcPr>
            <w:tcW w:w="2480" w:type="dxa"/>
            <w:tcBorders>
              <w:left w:val="single" w:sz="6" w:space="0" w:color="000000" w:themeColor="text1"/>
              <w:bottom w:val="single" w:sz="4" w:space="0" w:color="auto"/>
            </w:tcBorders>
            <w:shd w:val="clear" w:color="auto" w:fill="auto"/>
          </w:tcPr>
          <w:p w14:paraId="08D30DAC" w14:textId="77777777" w:rsidR="0018109A" w:rsidRPr="009841AB" w:rsidRDefault="0018109A" w:rsidP="0018109A">
            <w:pPr>
              <w:pStyle w:val="naisc"/>
              <w:spacing w:before="0" w:after="0"/>
              <w:jc w:val="left"/>
              <w:rPr>
                <w:b/>
                <w:bCs/>
              </w:rPr>
            </w:pPr>
            <w:r w:rsidRPr="009841AB">
              <w:rPr>
                <w:b/>
                <w:bCs/>
              </w:rPr>
              <w:t>Ņemts vērā</w:t>
            </w:r>
          </w:p>
          <w:p w14:paraId="23C03429" w14:textId="77777777" w:rsidR="0018109A" w:rsidRPr="009841AB" w:rsidRDefault="0018109A" w:rsidP="0018109A">
            <w:pPr>
              <w:pStyle w:val="naisc"/>
              <w:spacing w:before="0" w:after="0"/>
              <w:jc w:val="left"/>
              <w:rPr>
                <w:b/>
                <w:bCs/>
              </w:rPr>
            </w:pPr>
            <w:proofErr w:type="spellStart"/>
            <w:r w:rsidRPr="009841AB">
              <w:t>Apakšvirziena</w:t>
            </w:r>
            <w:proofErr w:type="spellEnd"/>
            <w:r w:rsidRPr="009841AB">
              <w:t xml:space="preserve"> sadaļā lietotajiem saīsinājumiem tekstā iekļauts pilns nosaukums</w:t>
            </w:r>
          </w:p>
        </w:tc>
        <w:tc>
          <w:tcPr>
            <w:tcW w:w="3497" w:type="dxa"/>
            <w:tcBorders>
              <w:left w:val="single" w:sz="6" w:space="0" w:color="000000" w:themeColor="text1"/>
              <w:bottom w:val="single" w:sz="4" w:space="0" w:color="auto"/>
            </w:tcBorders>
            <w:shd w:val="clear" w:color="auto" w:fill="auto"/>
          </w:tcPr>
          <w:p w14:paraId="1F9DD6F9" w14:textId="77777777" w:rsidR="0018109A" w:rsidRPr="009841AB" w:rsidRDefault="0018109A" w:rsidP="0018109A">
            <w:pPr>
              <w:pStyle w:val="naisc"/>
              <w:spacing w:before="0" w:after="0"/>
              <w:jc w:val="both"/>
            </w:pPr>
            <w:r w:rsidRPr="009841AB">
              <w:t xml:space="preserve">Lūdzam skatīt </w:t>
            </w:r>
            <w:proofErr w:type="spellStart"/>
            <w:r w:rsidRPr="009841AB">
              <w:t>apakšsadaļu</w:t>
            </w:r>
            <w:proofErr w:type="spellEnd"/>
            <w:r w:rsidRPr="009841AB">
              <w:t xml:space="preserve"> 4.4.5.1.</w:t>
            </w:r>
          </w:p>
        </w:tc>
      </w:tr>
      <w:tr w:rsidR="0018109A" w:rsidRPr="009841AB" w14:paraId="6F3B2B0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E456DA6" w14:textId="77777777" w:rsidR="0018109A" w:rsidRPr="009841AB" w:rsidRDefault="00633E6A" w:rsidP="0018109A">
            <w:pPr>
              <w:pStyle w:val="naisc"/>
              <w:spacing w:before="0" w:after="0"/>
            </w:pPr>
            <w:r>
              <w:t>433</w:t>
            </w:r>
          </w:p>
        </w:tc>
        <w:tc>
          <w:tcPr>
            <w:tcW w:w="2427" w:type="dxa"/>
            <w:tcBorders>
              <w:left w:val="single" w:sz="6" w:space="0" w:color="000000" w:themeColor="text1"/>
              <w:bottom w:val="single" w:sz="4" w:space="0" w:color="auto"/>
            </w:tcBorders>
            <w:shd w:val="clear" w:color="auto" w:fill="auto"/>
          </w:tcPr>
          <w:p w14:paraId="788C596F"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B4FF953" w14:textId="77777777" w:rsidR="0018109A" w:rsidRPr="009841AB" w:rsidRDefault="0018109A" w:rsidP="0018109A">
            <w:pPr>
              <w:spacing w:line="276" w:lineRule="auto"/>
            </w:pPr>
            <w:r w:rsidRPr="009841AB">
              <w:t xml:space="preserve">20. Pamatnostādņu projekta 134.lp. lietots saīsinājums "VDAR", iekļaujot 89.vēri </w:t>
            </w:r>
            <w:r w:rsidRPr="009841AB">
              <w:rPr>
                <w:i/>
                <w:iCs/>
              </w:rPr>
              <w:t>"EIROPAS PARLAMENTA UN PADOMES REGULA (ES) 2016/679 (2016. gada 27. aprīlis) par fizisku personu aizsardzību attiecībā uz personas datu apstrādi un šādu datu brīvu apriti un ar ko atceļ Direktīvu 95/46/EK (Vispārīgā datu aizsardzības regula)."</w:t>
            </w:r>
            <w:r w:rsidRPr="009841AB">
              <w:t xml:space="preserve"> Lūdzam precizēt (salāgot) vienotu Datu regulas pilna </w:t>
            </w:r>
            <w:r w:rsidRPr="009841AB">
              <w:lastRenderedPageBreak/>
              <w:t>nosaukuma, tās saīsinājuma lietošanas atkārtotu nepieciešamību, par cik jau iepriekš pamatnostādņu projektā pilns nosaukums jau ir ticis izmantots. Attiecīgi lūdzam pamatnostādņu projektā lietot vienveidīgu atsauci uz Datu regulu.</w:t>
            </w:r>
          </w:p>
        </w:tc>
        <w:tc>
          <w:tcPr>
            <w:tcW w:w="2480" w:type="dxa"/>
            <w:tcBorders>
              <w:left w:val="single" w:sz="6" w:space="0" w:color="000000" w:themeColor="text1"/>
              <w:bottom w:val="single" w:sz="4" w:space="0" w:color="auto"/>
            </w:tcBorders>
            <w:shd w:val="clear" w:color="auto" w:fill="auto"/>
          </w:tcPr>
          <w:p w14:paraId="061CC4B1" w14:textId="77777777" w:rsidR="0018109A" w:rsidRPr="009841AB" w:rsidRDefault="0015540D" w:rsidP="0018109A">
            <w:pPr>
              <w:pStyle w:val="naisc"/>
              <w:spacing w:before="0" w:after="0"/>
              <w:jc w:val="left"/>
              <w:rPr>
                <w:b/>
                <w:bCs/>
              </w:rPr>
            </w:pPr>
            <w:r w:rsidRPr="009841AB">
              <w:rPr>
                <w:b/>
                <w:bCs/>
              </w:rPr>
              <w:lastRenderedPageBreak/>
              <w:t>Ņemts vērā</w:t>
            </w:r>
          </w:p>
          <w:p w14:paraId="18B25E1F" w14:textId="77777777" w:rsidR="0018109A" w:rsidRPr="009841AB" w:rsidRDefault="0018109A" w:rsidP="0018109A">
            <w:pPr>
              <w:pStyle w:val="naisc"/>
              <w:spacing w:before="0" w:after="0"/>
              <w:jc w:val="left"/>
              <w:rPr>
                <w:b/>
                <w:bCs/>
              </w:rPr>
            </w:pPr>
          </w:p>
          <w:p w14:paraId="0DD177FF" w14:textId="77777777" w:rsidR="0018109A" w:rsidRPr="009841AB" w:rsidRDefault="0018109A" w:rsidP="0018109A">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37F535F9" w14:textId="77777777" w:rsidR="0018109A" w:rsidRPr="009841AB" w:rsidRDefault="0018109A" w:rsidP="0015540D">
            <w:pPr>
              <w:pStyle w:val="naisc"/>
              <w:spacing w:before="0" w:after="0"/>
              <w:jc w:val="left"/>
            </w:pPr>
            <w:r w:rsidRPr="009841AB">
              <w:t xml:space="preserve">Lūdzam skatīt </w:t>
            </w:r>
            <w:proofErr w:type="spellStart"/>
            <w:r w:rsidRPr="009841AB">
              <w:t>apakšsadaļu</w:t>
            </w:r>
            <w:proofErr w:type="spellEnd"/>
            <w:r w:rsidRPr="009841AB">
              <w:t xml:space="preserve"> 4.4</w:t>
            </w:r>
            <w:r w:rsidR="0015540D" w:rsidRPr="009841AB">
              <w:t>.</w:t>
            </w:r>
          </w:p>
          <w:p w14:paraId="55245E1C" w14:textId="77777777" w:rsidR="0018109A" w:rsidRPr="009841AB" w:rsidRDefault="0018109A" w:rsidP="0018109A">
            <w:pPr>
              <w:pStyle w:val="naisc"/>
              <w:spacing w:before="0" w:after="0"/>
              <w:jc w:val="both"/>
            </w:pPr>
          </w:p>
        </w:tc>
      </w:tr>
      <w:tr w:rsidR="0018109A" w:rsidRPr="009841AB" w14:paraId="7600A7A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BEF1ACA" w14:textId="77777777" w:rsidR="0018109A" w:rsidRPr="009841AB" w:rsidRDefault="00633E6A" w:rsidP="0018109A">
            <w:pPr>
              <w:pStyle w:val="naisc"/>
              <w:spacing w:before="0" w:after="0"/>
            </w:pPr>
            <w:r>
              <w:t>434</w:t>
            </w:r>
          </w:p>
        </w:tc>
        <w:tc>
          <w:tcPr>
            <w:tcW w:w="2427" w:type="dxa"/>
            <w:tcBorders>
              <w:left w:val="single" w:sz="6" w:space="0" w:color="000000" w:themeColor="text1"/>
              <w:bottom w:val="single" w:sz="4" w:space="0" w:color="auto"/>
            </w:tcBorders>
            <w:shd w:val="clear" w:color="auto" w:fill="auto"/>
          </w:tcPr>
          <w:p w14:paraId="2EE39079"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B2A4AAB" w14:textId="77777777" w:rsidR="0018109A" w:rsidRPr="009841AB" w:rsidRDefault="0018109A" w:rsidP="0018109A">
            <w:pPr>
              <w:spacing w:line="276" w:lineRule="auto"/>
              <w:rPr>
                <w:bCs/>
              </w:rPr>
            </w:pPr>
            <w:r w:rsidRPr="009841AB">
              <w:rPr>
                <w:bCs/>
              </w:rPr>
              <w:t xml:space="preserve">21. </w:t>
            </w:r>
            <w:bookmarkStart w:id="7" w:name="_Hlk62541776"/>
            <w:r w:rsidRPr="009841AB">
              <w:t xml:space="preserve">Ierosinām </w:t>
            </w:r>
            <w:r w:rsidRPr="009841AB">
              <w:rPr>
                <w:bCs/>
              </w:rPr>
              <w:t>pamatnostādņu</w:t>
            </w:r>
            <w:r w:rsidRPr="009841AB">
              <w:t xml:space="preserve"> projekta 4.4.5.1. Rīcības </w:t>
            </w:r>
            <w:proofErr w:type="spellStart"/>
            <w:r w:rsidRPr="009841AB">
              <w:t>apakšvirziena</w:t>
            </w:r>
            <w:proofErr w:type="spellEnd"/>
            <w:r w:rsidRPr="009841AB">
              <w:t xml:space="preserve"> “Izmeklēšanas un tiesvedības procesa tālāka </w:t>
            </w:r>
            <w:proofErr w:type="spellStart"/>
            <w:r w:rsidRPr="009841AB">
              <w:t>digitalizācija</w:t>
            </w:r>
            <w:proofErr w:type="spellEnd"/>
            <w:r w:rsidRPr="009841AB">
              <w:t xml:space="preserve">” sadaļu </w:t>
            </w:r>
            <w:r w:rsidRPr="009841AB">
              <w:rPr>
                <w:iCs/>
              </w:rPr>
              <w:t xml:space="preserve">“Nepieciešamā rīcība” </w:t>
            </w:r>
            <w:r w:rsidRPr="009841AB">
              <w:t>apakšpunktu:</w:t>
            </w:r>
          </w:p>
          <w:bookmarkEnd w:id="7"/>
          <w:p w14:paraId="507F84B8" w14:textId="77777777" w:rsidR="0018109A" w:rsidRPr="009841AB" w:rsidRDefault="0018109A" w:rsidP="000C28AE">
            <w:pPr>
              <w:pStyle w:val="ListParagraph"/>
              <w:numPr>
                <w:ilvl w:val="0"/>
                <w:numId w:val="3"/>
              </w:numPr>
              <w:spacing w:after="0"/>
              <w:jc w:val="both"/>
              <w:rPr>
                <w:rFonts w:ascii="Times New Roman" w:hAnsi="Times New Roman"/>
                <w:i/>
                <w:sz w:val="24"/>
                <w:szCs w:val="24"/>
              </w:rPr>
            </w:pPr>
            <w:r w:rsidRPr="009841AB">
              <w:rPr>
                <w:rFonts w:ascii="Times New Roman" w:hAnsi="Times New Roman"/>
                <w:i/>
                <w:sz w:val="24"/>
                <w:szCs w:val="24"/>
              </w:rPr>
              <w:t xml:space="preserve">“turpināt Valsts Probācijas dienesta informācijas sistēmas “ Probācijas klientu lietas uzskaites sistēma” pilnveidošanu: </w:t>
            </w:r>
          </w:p>
          <w:p w14:paraId="471377C3" w14:textId="77777777" w:rsidR="0018109A" w:rsidRPr="009841AB" w:rsidRDefault="0018109A" w:rsidP="000C28AE">
            <w:pPr>
              <w:pStyle w:val="ListParagraph"/>
              <w:numPr>
                <w:ilvl w:val="0"/>
                <w:numId w:val="4"/>
              </w:numPr>
              <w:spacing w:after="0"/>
              <w:jc w:val="both"/>
              <w:rPr>
                <w:rFonts w:ascii="Times New Roman" w:hAnsi="Times New Roman"/>
                <w:i/>
                <w:sz w:val="24"/>
                <w:szCs w:val="24"/>
              </w:rPr>
            </w:pPr>
            <w:r w:rsidRPr="009841AB">
              <w:rPr>
                <w:rFonts w:ascii="Times New Roman" w:hAnsi="Times New Roman"/>
                <w:i/>
                <w:sz w:val="24"/>
                <w:szCs w:val="24"/>
              </w:rPr>
              <w:t xml:space="preserve">izstrādāt Klātienes kontroles moduli (probācijas klientu piespieddarba uzraudzība); </w:t>
            </w:r>
          </w:p>
          <w:p w14:paraId="50E6436A" w14:textId="77777777" w:rsidR="0018109A" w:rsidRPr="009841AB" w:rsidRDefault="0018109A" w:rsidP="000C28AE">
            <w:pPr>
              <w:pStyle w:val="ListParagraph"/>
              <w:numPr>
                <w:ilvl w:val="0"/>
                <w:numId w:val="4"/>
              </w:numPr>
              <w:spacing w:after="0"/>
              <w:jc w:val="both"/>
              <w:rPr>
                <w:rFonts w:ascii="Times New Roman" w:hAnsi="Times New Roman"/>
                <w:i/>
                <w:sz w:val="24"/>
                <w:szCs w:val="24"/>
              </w:rPr>
            </w:pPr>
            <w:r w:rsidRPr="009841AB">
              <w:rPr>
                <w:rFonts w:ascii="Times New Roman" w:hAnsi="Times New Roman"/>
                <w:i/>
                <w:sz w:val="24"/>
                <w:szCs w:val="24"/>
              </w:rPr>
              <w:t xml:space="preserve">izveidot automātisku datu apmaiņu starp PROIS, TIS, PLUS un IIS, lai efektīvāk varētu piemērot atbilstošāko un efektīvāko sodu VPD klientiem, kas veicinātu efektīvāku atgriešanos sabiedrībā;”, </w:t>
            </w:r>
          </w:p>
          <w:p w14:paraId="2CB50F9A" w14:textId="77777777" w:rsidR="0018109A" w:rsidRPr="009841AB" w:rsidRDefault="0018109A" w:rsidP="0018109A">
            <w:pPr>
              <w:spacing w:line="276" w:lineRule="auto"/>
              <w:ind w:left="142"/>
            </w:pPr>
            <w:r w:rsidRPr="009841AB">
              <w:rPr>
                <w:b/>
              </w:rPr>
              <w:t>izteikt jaunā redakcijā</w:t>
            </w:r>
            <w:r w:rsidRPr="009841AB">
              <w:t>, atspoguļojot faktiskās attīstības ieceres:</w:t>
            </w:r>
          </w:p>
          <w:p w14:paraId="39245579" w14:textId="77777777" w:rsidR="0018109A" w:rsidRPr="009841AB" w:rsidRDefault="0018109A" w:rsidP="000C28AE">
            <w:pPr>
              <w:pStyle w:val="ListParagraph"/>
              <w:numPr>
                <w:ilvl w:val="0"/>
                <w:numId w:val="5"/>
              </w:numPr>
              <w:spacing w:after="0"/>
              <w:jc w:val="both"/>
              <w:rPr>
                <w:rFonts w:ascii="Times New Roman" w:hAnsi="Times New Roman"/>
                <w:i/>
                <w:sz w:val="24"/>
                <w:szCs w:val="24"/>
              </w:rPr>
            </w:pPr>
            <w:r w:rsidRPr="009841AB">
              <w:rPr>
                <w:rFonts w:ascii="Times New Roman" w:hAnsi="Times New Roman"/>
                <w:i/>
                <w:sz w:val="24"/>
                <w:szCs w:val="24"/>
              </w:rPr>
              <w:t xml:space="preserve">“turpināt Valsts probācijas dienesta e-pakalpojumu attīstību: </w:t>
            </w:r>
          </w:p>
          <w:p w14:paraId="41EFC438" w14:textId="77777777" w:rsidR="0018109A" w:rsidRPr="009841AB" w:rsidRDefault="0018109A" w:rsidP="000C28AE">
            <w:pPr>
              <w:pStyle w:val="ListParagraph"/>
              <w:numPr>
                <w:ilvl w:val="0"/>
                <w:numId w:val="6"/>
              </w:numPr>
              <w:spacing w:after="0"/>
              <w:jc w:val="both"/>
              <w:rPr>
                <w:rFonts w:ascii="Times New Roman" w:hAnsi="Times New Roman"/>
                <w:i/>
                <w:sz w:val="24"/>
                <w:szCs w:val="24"/>
              </w:rPr>
            </w:pPr>
            <w:r w:rsidRPr="009841AB">
              <w:rPr>
                <w:rFonts w:ascii="Times New Roman" w:hAnsi="Times New Roman"/>
                <w:i/>
                <w:sz w:val="24"/>
                <w:szCs w:val="24"/>
              </w:rPr>
              <w:t xml:space="preserve">izstrādāt informācijas sistēmas “Probācijas lietu uzskaites sistēma” (turpmāk – PLUS) Klātienes kontroles moduli (probācijas klientu piespiedu darba uzraudzība); </w:t>
            </w:r>
          </w:p>
          <w:p w14:paraId="26477A34" w14:textId="77777777" w:rsidR="0018109A" w:rsidRPr="009841AB" w:rsidRDefault="0018109A" w:rsidP="000C28AE">
            <w:pPr>
              <w:pStyle w:val="ListParagraph"/>
              <w:numPr>
                <w:ilvl w:val="0"/>
                <w:numId w:val="6"/>
              </w:numPr>
              <w:spacing w:after="0"/>
              <w:jc w:val="both"/>
              <w:rPr>
                <w:rFonts w:ascii="Times New Roman" w:hAnsi="Times New Roman"/>
                <w:i/>
                <w:sz w:val="24"/>
                <w:szCs w:val="24"/>
              </w:rPr>
            </w:pPr>
            <w:r w:rsidRPr="009841AB">
              <w:rPr>
                <w:rFonts w:ascii="Times New Roman" w:hAnsi="Times New Roman"/>
                <w:i/>
                <w:sz w:val="24"/>
                <w:szCs w:val="24"/>
              </w:rPr>
              <w:t xml:space="preserve">izveidot automātisku datu apmaiņu starp PROIS, TIS, PLUS un IIS, lai efektīvāk varētu </w:t>
            </w:r>
            <w:r w:rsidRPr="009841AB">
              <w:rPr>
                <w:rFonts w:ascii="Times New Roman" w:hAnsi="Times New Roman"/>
                <w:i/>
                <w:sz w:val="24"/>
                <w:szCs w:val="24"/>
              </w:rPr>
              <w:lastRenderedPageBreak/>
              <w:t>piemērot atbilstošāko un efektīvāko sodu VPD klientiem, kas veicinātu efektīvāku atgriešanos sabiedrībā;</w:t>
            </w:r>
          </w:p>
          <w:p w14:paraId="1F27D8E9" w14:textId="77777777" w:rsidR="0018109A" w:rsidRPr="009841AB" w:rsidRDefault="0018109A" w:rsidP="000C28AE">
            <w:pPr>
              <w:pStyle w:val="ListParagraph"/>
              <w:numPr>
                <w:ilvl w:val="0"/>
                <w:numId w:val="6"/>
              </w:numPr>
              <w:spacing w:after="0"/>
              <w:jc w:val="both"/>
              <w:rPr>
                <w:rFonts w:ascii="Times New Roman" w:hAnsi="Times New Roman"/>
                <w:i/>
                <w:sz w:val="24"/>
                <w:szCs w:val="24"/>
              </w:rPr>
            </w:pPr>
            <w:r w:rsidRPr="009841AB">
              <w:rPr>
                <w:rFonts w:ascii="Times New Roman" w:hAnsi="Times New Roman"/>
                <w:i/>
                <w:sz w:val="24"/>
                <w:szCs w:val="24"/>
              </w:rPr>
              <w:t>paplašināt PLUS pieejamību ārpus dienesta telpām;</w:t>
            </w:r>
          </w:p>
          <w:p w14:paraId="56B92913" w14:textId="77777777" w:rsidR="0018109A" w:rsidRPr="009841AB" w:rsidRDefault="0018109A" w:rsidP="000C28AE">
            <w:pPr>
              <w:pStyle w:val="ListParagraph"/>
              <w:numPr>
                <w:ilvl w:val="0"/>
                <w:numId w:val="6"/>
              </w:numPr>
              <w:spacing w:after="0"/>
              <w:jc w:val="both"/>
              <w:rPr>
                <w:rFonts w:ascii="Times New Roman" w:hAnsi="Times New Roman"/>
                <w:i/>
                <w:sz w:val="24"/>
                <w:szCs w:val="24"/>
              </w:rPr>
            </w:pPr>
            <w:r w:rsidRPr="009841AB">
              <w:rPr>
                <w:rFonts w:ascii="Times New Roman" w:hAnsi="Times New Roman"/>
                <w:i/>
                <w:sz w:val="24"/>
                <w:szCs w:val="24"/>
              </w:rPr>
              <w:t>ieviest e-lietas programmas 1.kārtas ietvaros neieviestās funkcionalitātes, tai skaitā audio/video protokolēšanas rīku;</w:t>
            </w:r>
          </w:p>
          <w:p w14:paraId="1869B438" w14:textId="77777777" w:rsidR="0018109A" w:rsidRPr="009841AB" w:rsidRDefault="0018109A" w:rsidP="000C28AE">
            <w:pPr>
              <w:pStyle w:val="ListParagraph"/>
              <w:numPr>
                <w:ilvl w:val="0"/>
                <w:numId w:val="6"/>
              </w:numPr>
              <w:spacing w:after="0"/>
              <w:jc w:val="both"/>
              <w:rPr>
                <w:rFonts w:ascii="Times New Roman" w:hAnsi="Times New Roman"/>
                <w:i/>
                <w:sz w:val="24"/>
                <w:szCs w:val="24"/>
              </w:rPr>
            </w:pPr>
            <w:r w:rsidRPr="009841AB">
              <w:rPr>
                <w:rFonts w:ascii="Times New Roman" w:hAnsi="Times New Roman"/>
                <w:i/>
                <w:sz w:val="24"/>
                <w:szCs w:val="24"/>
              </w:rPr>
              <w:t>automatizēt ar digitālās lietas vadību saistītos procesus un ieviest mākslīgā intelekta risinājumus datu apstrādei, t.sk biznesa inteliģences rīkus;</w:t>
            </w:r>
          </w:p>
          <w:p w14:paraId="2A33748E" w14:textId="77777777" w:rsidR="0018109A" w:rsidRPr="009841AB" w:rsidRDefault="0018109A" w:rsidP="000C28AE">
            <w:pPr>
              <w:pStyle w:val="ListParagraph"/>
              <w:numPr>
                <w:ilvl w:val="0"/>
                <w:numId w:val="6"/>
              </w:numPr>
              <w:spacing w:after="0"/>
              <w:jc w:val="both"/>
              <w:rPr>
                <w:rFonts w:ascii="Times New Roman" w:hAnsi="Times New Roman"/>
                <w:i/>
                <w:sz w:val="24"/>
                <w:szCs w:val="24"/>
              </w:rPr>
            </w:pPr>
            <w:r w:rsidRPr="009841AB">
              <w:rPr>
                <w:rFonts w:ascii="Times New Roman" w:hAnsi="Times New Roman"/>
                <w:i/>
                <w:sz w:val="24"/>
                <w:szCs w:val="24"/>
              </w:rPr>
              <w:t xml:space="preserve">attīstīt attālinātās saziņas ar probācijas klientiem iespējas un ieviest probācijas lietotni mobilajām </w:t>
            </w:r>
            <w:proofErr w:type="spellStart"/>
            <w:r w:rsidRPr="009841AB">
              <w:rPr>
                <w:rFonts w:ascii="Times New Roman" w:hAnsi="Times New Roman"/>
                <w:i/>
                <w:sz w:val="24"/>
                <w:szCs w:val="24"/>
              </w:rPr>
              <w:t>viedierīcēm</w:t>
            </w:r>
            <w:proofErr w:type="spellEnd"/>
            <w:r w:rsidRPr="009841AB">
              <w:rPr>
                <w:rFonts w:ascii="Times New Roman" w:hAnsi="Times New Roman"/>
                <w:i/>
                <w:sz w:val="24"/>
                <w:szCs w:val="24"/>
              </w:rPr>
              <w:t xml:space="preserve">, paplašinot probācijas e-pakalpojumu pieejamību un uzlabojot </w:t>
            </w:r>
            <w:proofErr w:type="spellStart"/>
            <w:r w:rsidRPr="009841AB">
              <w:rPr>
                <w:rFonts w:ascii="Times New Roman" w:hAnsi="Times New Roman"/>
                <w:i/>
                <w:sz w:val="24"/>
                <w:szCs w:val="24"/>
              </w:rPr>
              <w:t>resocializācijas</w:t>
            </w:r>
            <w:proofErr w:type="spellEnd"/>
            <w:r w:rsidRPr="009841AB">
              <w:rPr>
                <w:rFonts w:ascii="Times New Roman" w:hAnsi="Times New Roman"/>
                <w:i/>
                <w:sz w:val="24"/>
                <w:szCs w:val="24"/>
              </w:rPr>
              <w:t xml:space="preserve"> darba efektivitāti;</w:t>
            </w:r>
          </w:p>
          <w:p w14:paraId="130B2582" w14:textId="77777777" w:rsidR="0018109A" w:rsidRPr="009841AB" w:rsidRDefault="0018109A" w:rsidP="000C28AE">
            <w:pPr>
              <w:pStyle w:val="ListParagraph"/>
              <w:numPr>
                <w:ilvl w:val="0"/>
                <w:numId w:val="6"/>
              </w:numPr>
              <w:spacing w:after="0"/>
              <w:jc w:val="both"/>
              <w:rPr>
                <w:rFonts w:ascii="Times New Roman" w:hAnsi="Times New Roman"/>
                <w:i/>
                <w:sz w:val="24"/>
                <w:szCs w:val="24"/>
              </w:rPr>
            </w:pPr>
            <w:r w:rsidRPr="009841AB">
              <w:rPr>
                <w:rFonts w:ascii="Times New Roman" w:hAnsi="Times New Roman"/>
                <w:i/>
                <w:sz w:val="24"/>
                <w:szCs w:val="24"/>
              </w:rPr>
              <w:t xml:space="preserve">paplašināt elektroniskās uzraudzības kā brīvības atņemšanas alternatīvas un klientu </w:t>
            </w:r>
            <w:proofErr w:type="spellStart"/>
            <w:r w:rsidRPr="009841AB">
              <w:rPr>
                <w:rFonts w:ascii="Times New Roman" w:hAnsi="Times New Roman"/>
                <w:i/>
                <w:sz w:val="24"/>
                <w:szCs w:val="24"/>
              </w:rPr>
              <w:t>resocializācijā</w:t>
            </w:r>
            <w:proofErr w:type="spellEnd"/>
            <w:r w:rsidRPr="009841AB">
              <w:rPr>
                <w:rFonts w:ascii="Times New Roman" w:hAnsi="Times New Roman"/>
                <w:i/>
                <w:sz w:val="24"/>
                <w:szCs w:val="24"/>
              </w:rPr>
              <w:t xml:space="preserve"> izmantoto tehnoloģiju pielietojumu;</w:t>
            </w:r>
          </w:p>
          <w:p w14:paraId="2DAAAF5D" w14:textId="77777777" w:rsidR="0018109A" w:rsidRPr="009841AB" w:rsidRDefault="0018109A" w:rsidP="000C28AE">
            <w:pPr>
              <w:pStyle w:val="ListParagraph"/>
              <w:numPr>
                <w:ilvl w:val="0"/>
                <w:numId w:val="6"/>
              </w:numPr>
              <w:spacing w:after="0"/>
              <w:jc w:val="both"/>
              <w:rPr>
                <w:rFonts w:ascii="Times New Roman" w:hAnsi="Times New Roman"/>
                <w:i/>
                <w:sz w:val="24"/>
                <w:szCs w:val="24"/>
              </w:rPr>
            </w:pPr>
            <w:r w:rsidRPr="009841AB">
              <w:rPr>
                <w:rFonts w:ascii="Times New Roman" w:hAnsi="Times New Roman"/>
                <w:i/>
                <w:sz w:val="24"/>
                <w:szCs w:val="24"/>
              </w:rPr>
              <w:t>izveidot piekļuves punktus klientu pieņemšanas telpās Valsts probācijas dienesta piedāvātājiem digitālajiem resursiem.”</w:t>
            </w:r>
          </w:p>
          <w:p w14:paraId="08165309" w14:textId="77777777" w:rsidR="0018109A" w:rsidRPr="009841AB" w:rsidRDefault="0018109A" w:rsidP="0018109A">
            <w:pPr>
              <w:spacing w:line="276" w:lineRule="auto"/>
            </w:pPr>
            <w:r w:rsidRPr="009841AB">
              <w:t xml:space="preserve">Vienlaikus ierosinām </w:t>
            </w:r>
            <w:r w:rsidRPr="009841AB">
              <w:rPr>
                <w:bCs/>
              </w:rPr>
              <w:t>pamatnostādņu</w:t>
            </w:r>
            <w:r w:rsidRPr="009841AB">
              <w:t xml:space="preserve"> </w:t>
            </w:r>
            <w:bookmarkStart w:id="8" w:name="_Hlk62542548"/>
            <w:r w:rsidRPr="009841AB">
              <w:t xml:space="preserve">projekta 4.4.5.1. Rīcības </w:t>
            </w:r>
            <w:proofErr w:type="spellStart"/>
            <w:r w:rsidRPr="009841AB">
              <w:t>apakšvirziena</w:t>
            </w:r>
            <w:proofErr w:type="spellEnd"/>
            <w:r w:rsidRPr="009841AB">
              <w:t xml:space="preserve"> </w:t>
            </w:r>
            <w:r w:rsidRPr="009841AB">
              <w:rPr>
                <w:iCs/>
              </w:rPr>
              <w:t xml:space="preserve">“Izmeklēšanas un tiesvedības procesa tālāka </w:t>
            </w:r>
            <w:proofErr w:type="spellStart"/>
            <w:r w:rsidRPr="009841AB">
              <w:rPr>
                <w:iCs/>
              </w:rPr>
              <w:t>digitalizācija</w:t>
            </w:r>
            <w:proofErr w:type="spellEnd"/>
            <w:r w:rsidRPr="009841AB">
              <w:rPr>
                <w:iCs/>
              </w:rPr>
              <w:t xml:space="preserve">” sadaļu “Nepieciešamā rīcība” </w:t>
            </w:r>
            <w:r w:rsidRPr="009841AB">
              <w:t>apakšpunktu:</w:t>
            </w:r>
          </w:p>
          <w:p w14:paraId="5B7C4859" w14:textId="77777777" w:rsidR="0018109A" w:rsidRPr="009841AB" w:rsidRDefault="0018109A" w:rsidP="000C28AE">
            <w:pPr>
              <w:numPr>
                <w:ilvl w:val="0"/>
                <w:numId w:val="7"/>
              </w:numPr>
              <w:spacing w:line="276" w:lineRule="auto"/>
              <w:contextualSpacing/>
              <w:jc w:val="both"/>
              <w:rPr>
                <w:i/>
              </w:rPr>
            </w:pPr>
            <w:r w:rsidRPr="009841AB">
              <w:rPr>
                <w:i/>
              </w:rPr>
              <w:lastRenderedPageBreak/>
              <w:t>turpināt Ieslodzījuma vietu pārvaldes ieslodzīto informācijas sistēmas pilnveidošanu:</w:t>
            </w:r>
          </w:p>
          <w:p w14:paraId="49F0747E" w14:textId="77777777" w:rsidR="0018109A" w:rsidRPr="009841AB" w:rsidRDefault="0018109A" w:rsidP="000C28AE">
            <w:pPr>
              <w:numPr>
                <w:ilvl w:val="0"/>
                <w:numId w:val="8"/>
              </w:numPr>
              <w:spacing w:line="276" w:lineRule="auto"/>
              <w:contextualSpacing/>
              <w:jc w:val="both"/>
              <w:rPr>
                <w:i/>
              </w:rPr>
            </w:pPr>
            <w:r w:rsidRPr="009841AB">
              <w:rPr>
                <w:i/>
              </w:rPr>
              <w:t xml:space="preserve"> </w:t>
            </w:r>
            <w:proofErr w:type="spellStart"/>
            <w:r w:rsidRPr="009841AB">
              <w:rPr>
                <w:i/>
              </w:rPr>
              <w:t>digitalizēt</w:t>
            </w:r>
            <w:proofErr w:type="spellEnd"/>
            <w:r w:rsidRPr="009841AB">
              <w:rPr>
                <w:i/>
              </w:rPr>
              <w:t xml:space="preserve"> ieslodzītā lietas materiālus;</w:t>
            </w:r>
          </w:p>
          <w:p w14:paraId="28B1F0C6" w14:textId="77777777" w:rsidR="0018109A" w:rsidRPr="009841AB" w:rsidRDefault="0018109A" w:rsidP="000C28AE">
            <w:pPr>
              <w:numPr>
                <w:ilvl w:val="0"/>
                <w:numId w:val="8"/>
              </w:numPr>
              <w:spacing w:line="276" w:lineRule="auto"/>
              <w:contextualSpacing/>
              <w:jc w:val="both"/>
              <w:rPr>
                <w:i/>
              </w:rPr>
            </w:pPr>
            <w:r w:rsidRPr="009841AB">
              <w:rPr>
                <w:i/>
              </w:rPr>
              <w:t>nodrošināt e-</w:t>
            </w:r>
            <w:proofErr w:type="spellStart"/>
            <w:r w:rsidRPr="009841AB">
              <w:rPr>
                <w:i/>
              </w:rPr>
              <w:t>resocializāciju</w:t>
            </w:r>
            <w:proofErr w:type="spellEnd"/>
            <w:r w:rsidRPr="009841AB">
              <w:rPr>
                <w:i/>
              </w:rPr>
              <w:t xml:space="preserve"> un procesu automatizāciju;</w:t>
            </w:r>
          </w:p>
          <w:p w14:paraId="4D6E9E17" w14:textId="77777777" w:rsidR="0018109A" w:rsidRPr="009841AB" w:rsidRDefault="0018109A" w:rsidP="0018109A">
            <w:pPr>
              <w:spacing w:line="276" w:lineRule="auto"/>
              <w:rPr>
                <w:rFonts w:eastAsiaTheme="minorHAnsi"/>
              </w:rPr>
            </w:pPr>
            <w:r w:rsidRPr="009841AB">
              <w:rPr>
                <w:b/>
              </w:rPr>
              <w:t>papildināt ar sekojošiem apakšpunktiem</w:t>
            </w:r>
            <w:r w:rsidRPr="009841AB">
              <w:t>:</w:t>
            </w:r>
          </w:p>
          <w:p w14:paraId="27B3C11B" w14:textId="77777777" w:rsidR="0018109A" w:rsidRPr="009841AB" w:rsidRDefault="0018109A" w:rsidP="000C28AE">
            <w:pPr>
              <w:pStyle w:val="ListParagraph"/>
              <w:numPr>
                <w:ilvl w:val="0"/>
                <w:numId w:val="8"/>
              </w:numPr>
              <w:spacing w:after="0"/>
              <w:jc w:val="both"/>
              <w:rPr>
                <w:rFonts w:ascii="Times New Roman" w:hAnsi="Times New Roman"/>
                <w:i/>
                <w:sz w:val="24"/>
                <w:szCs w:val="24"/>
              </w:rPr>
            </w:pPr>
            <w:r w:rsidRPr="009841AB">
              <w:rPr>
                <w:rFonts w:ascii="Times New Roman" w:hAnsi="Times New Roman"/>
                <w:i/>
                <w:sz w:val="24"/>
                <w:szCs w:val="24"/>
              </w:rPr>
              <w:t>izstrādāt informācijas sistēmas “Ieslodzīto informācijas sistēma” saistīto moduli, ieslodzīto piekļuvei atbilstošajiem E-lietas materiāliem un elektroniskai saziņai ar valsts un pašvaldības iestādēm (tai skaitā iekšējā informācijas aprite ar ieslodzījuma vietu administrāciju);</w:t>
            </w:r>
          </w:p>
          <w:p w14:paraId="3604001A" w14:textId="77777777" w:rsidR="0018109A" w:rsidRPr="009841AB" w:rsidRDefault="0018109A" w:rsidP="000C28AE">
            <w:pPr>
              <w:pStyle w:val="ListParagraph"/>
              <w:numPr>
                <w:ilvl w:val="0"/>
                <w:numId w:val="8"/>
              </w:numPr>
              <w:spacing w:after="0"/>
              <w:jc w:val="both"/>
              <w:rPr>
                <w:rFonts w:ascii="Times New Roman" w:hAnsi="Times New Roman"/>
                <w:i/>
                <w:sz w:val="24"/>
                <w:szCs w:val="24"/>
              </w:rPr>
            </w:pPr>
            <w:r w:rsidRPr="009841AB">
              <w:rPr>
                <w:rFonts w:ascii="Times New Roman" w:hAnsi="Times New Roman"/>
                <w:i/>
                <w:sz w:val="24"/>
                <w:szCs w:val="24"/>
              </w:rPr>
              <w:t xml:space="preserve">ieviest ieslodzīto pašapkalpošanās kiosku/ </w:t>
            </w:r>
            <w:proofErr w:type="spellStart"/>
            <w:r w:rsidRPr="009841AB">
              <w:rPr>
                <w:rFonts w:ascii="Times New Roman" w:hAnsi="Times New Roman"/>
                <w:i/>
                <w:sz w:val="24"/>
                <w:szCs w:val="24"/>
              </w:rPr>
              <w:t>planšetu</w:t>
            </w:r>
            <w:proofErr w:type="spellEnd"/>
            <w:r w:rsidRPr="009841AB">
              <w:rPr>
                <w:rFonts w:ascii="Times New Roman" w:hAnsi="Times New Roman"/>
                <w:i/>
                <w:sz w:val="24"/>
                <w:szCs w:val="24"/>
              </w:rPr>
              <w:t xml:space="preserve"> sistēmu visās ieslodzījuma vietās;</w:t>
            </w:r>
          </w:p>
          <w:p w14:paraId="5284B05F" w14:textId="77777777" w:rsidR="0018109A" w:rsidRPr="009841AB" w:rsidRDefault="0018109A" w:rsidP="000C28AE">
            <w:pPr>
              <w:pStyle w:val="ListParagraph"/>
              <w:numPr>
                <w:ilvl w:val="0"/>
                <w:numId w:val="8"/>
              </w:numPr>
              <w:spacing w:after="0"/>
              <w:jc w:val="both"/>
              <w:rPr>
                <w:rFonts w:ascii="Times New Roman" w:hAnsi="Times New Roman"/>
                <w:i/>
                <w:sz w:val="24"/>
                <w:szCs w:val="24"/>
              </w:rPr>
            </w:pPr>
            <w:r w:rsidRPr="009841AB">
              <w:rPr>
                <w:rFonts w:ascii="Times New Roman" w:hAnsi="Times New Roman"/>
                <w:i/>
                <w:sz w:val="24"/>
                <w:szCs w:val="24"/>
              </w:rPr>
              <w:t>izstrādāt aplikāciju biometrijas datu integrēšanai Ieslodzīto informācijas sistēmā un datu apmaiņas nodrošināšanai ar Informācijas centru;</w:t>
            </w:r>
          </w:p>
          <w:p w14:paraId="476F1EED" w14:textId="77777777" w:rsidR="0018109A" w:rsidRPr="009841AB" w:rsidRDefault="0018109A" w:rsidP="000C28AE">
            <w:pPr>
              <w:pStyle w:val="ListParagraph"/>
              <w:numPr>
                <w:ilvl w:val="0"/>
                <w:numId w:val="8"/>
              </w:numPr>
              <w:spacing w:after="0"/>
              <w:jc w:val="both"/>
              <w:rPr>
                <w:rFonts w:ascii="Times New Roman" w:hAnsi="Times New Roman"/>
                <w:i/>
                <w:sz w:val="24"/>
                <w:szCs w:val="24"/>
              </w:rPr>
            </w:pPr>
            <w:r w:rsidRPr="009841AB">
              <w:rPr>
                <w:rFonts w:ascii="Times New Roman" w:hAnsi="Times New Roman"/>
                <w:i/>
                <w:sz w:val="24"/>
                <w:szCs w:val="24"/>
              </w:rPr>
              <w:t>nodrošināt interneta pieejamību visās ieslodzījuma vietu ēkās.</w:t>
            </w:r>
          </w:p>
          <w:p w14:paraId="0D0251F4" w14:textId="77777777" w:rsidR="0018109A" w:rsidRPr="009841AB" w:rsidRDefault="0018109A" w:rsidP="000C28AE">
            <w:pPr>
              <w:pStyle w:val="ListParagraph"/>
              <w:numPr>
                <w:ilvl w:val="0"/>
                <w:numId w:val="8"/>
              </w:numPr>
              <w:spacing w:after="0"/>
              <w:jc w:val="both"/>
              <w:rPr>
                <w:rFonts w:ascii="Times New Roman" w:hAnsi="Times New Roman"/>
                <w:i/>
                <w:sz w:val="24"/>
                <w:szCs w:val="24"/>
              </w:rPr>
            </w:pPr>
            <w:r w:rsidRPr="009841AB">
              <w:rPr>
                <w:rFonts w:ascii="Times New Roman" w:hAnsi="Times New Roman"/>
                <w:i/>
                <w:sz w:val="24"/>
                <w:szCs w:val="24"/>
              </w:rPr>
              <w:t>papildināt Ieslodzīto informācijas sistēmu ar “viesnīcas” moduli.</w:t>
            </w:r>
            <w:bookmarkEnd w:id="8"/>
          </w:p>
        </w:tc>
        <w:tc>
          <w:tcPr>
            <w:tcW w:w="2480" w:type="dxa"/>
            <w:tcBorders>
              <w:left w:val="single" w:sz="6" w:space="0" w:color="000000" w:themeColor="text1"/>
              <w:bottom w:val="single" w:sz="4" w:space="0" w:color="auto"/>
            </w:tcBorders>
            <w:shd w:val="clear" w:color="auto" w:fill="auto"/>
          </w:tcPr>
          <w:p w14:paraId="2D0EA7AD" w14:textId="07FF6161" w:rsidR="0018109A" w:rsidRPr="002069BB" w:rsidRDefault="002069BB" w:rsidP="002069BB">
            <w:pPr>
              <w:pStyle w:val="naisc"/>
              <w:jc w:val="left"/>
              <w:rPr>
                <w:b/>
                <w:bCs/>
                <w:color w:val="000000"/>
                <w:shd w:val="clear" w:color="auto" w:fill="FFFFFF"/>
              </w:rPr>
            </w:pPr>
            <w:r>
              <w:rPr>
                <w:b/>
                <w:bCs/>
                <w:color w:val="000000"/>
                <w:shd w:val="clear" w:color="auto" w:fill="FFFFFF"/>
              </w:rPr>
              <w:lastRenderedPageBreak/>
              <w:t>Panākta vienošanās</w:t>
            </w:r>
          </w:p>
          <w:p w14:paraId="26436DDE" w14:textId="77777777" w:rsidR="0018109A" w:rsidRPr="009841AB" w:rsidRDefault="0018109A" w:rsidP="0018109A">
            <w:pPr>
              <w:pStyle w:val="naisc"/>
              <w:spacing w:before="0" w:after="0"/>
              <w:jc w:val="left"/>
            </w:pPr>
            <w:r w:rsidRPr="009841AB">
              <w:t>Precizēts atbilstoši pamatnostādņu dokumenta līmenim</w:t>
            </w:r>
          </w:p>
        </w:tc>
        <w:tc>
          <w:tcPr>
            <w:tcW w:w="3497" w:type="dxa"/>
            <w:tcBorders>
              <w:left w:val="single" w:sz="6" w:space="0" w:color="000000" w:themeColor="text1"/>
              <w:bottom w:val="single" w:sz="4" w:space="0" w:color="auto"/>
            </w:tcBorders>
            <w:shd w:val="clear" w:color="auto" w:fill="auto"/>
          </w:tcPr>
          <w:p w14:paraId="03DAA535"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4.4.5.1.</w:t>
            </w:r>
          </w:p>
        </w:tc>
      </w:tr>
      <w:tr w:rsidR="0018109A" w:rsidRPr="009841AB" w14:paraId="62BF9E0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22BF9B3" w14:textId="77777777" w:rsidR="0018109A" w:rsidRPr="009841AB" w:rsidRDefault="00633E6A" w:rsidP="0018109A">
            <w:pPr>
              <w:pStyle w:val="naisc"/>
              <w:spacing w:before="0" w:after="0"/>
            </w:pPr>
            <w:r>
              <w:lastRenderedPageBreak/>
              <w:t>435</w:t>
            </w:r>
          </w:p>
        </w:tc>
        <w:tc>
          <w:tcPr>
            <w:tcW w:w="2427" w:type="dxa"/>
            <w:tcBorders>
              <w:left w:val="single" w:sz="6" w:space="0" w:color="000000" w:themeColor="text1"/>
              <w:bottom w:val="single" w:sz="4" w:space="0" w:color="auto"/>
            </w:tcBorders>
            <w:shd w:val="clear" w:color="auto" w:fill="auto"/>
          </w:tcPr>
          <w:p w14:paraId="3C1707A4"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A8D0095" w14:textId="77777777" w:rsidR="0018109A" w:rsidRPr="009841AB" w:rsidRDefault="0018109A" w:rsidP="0018109A">
            <w:pPr>
              <w:spacing w:line="276" w:lineRule="auto"/>
            </w:pPr>
            <w:r w:rsidRPr="009841AB">
              <w:t xml:space="preserve">22. Ņemot vērā to, ka pamatnostādņu projekta ietvaros tiek skarts datu pārvaldības jautājums, kas šobrīd zināmā mērā sasaucas arī ar Eiropas Komisijas iniciatīvu (priekšlikums Eiropas Parlamenta un padomes regula par Eiropas datu pārvaldību), aicinām Vides aizsardzības un reģionālās attīstības ministriju definēt jaunu politikas jomu - Datu pārvaldības </w:t>
            </w:r>
            <w:r w:rsidRPr="009841AB">
              <w:lastRenderedPageBreak/>
              <w:t>politika, par kuru Vides aizsardzības un reģionālās attīstības ministrija varētu būt atbildīgā ministrija.</w:t>
            </w:r>
          </w:p>
        </w:tc>
        <w:tc>
          <w:tcPr>
            <w:tcW w:w="2480" w:type="dxa"/>
            <w:tcBorders>
              <w:left w:val="single" w:sz="6" w:space="0" w:color="000000" w:themeColor="text1"/>
              <w:bottom w:val="single" w:sz="4" w:space="0" w:color="auto"/>
            </w:tcBorders>
            <w:shd w:val="clear" w:color="auto" w:fill="auto"/>
          </w:tcPr>
          <w:p w14:paraId="2479843F" w14:textId="77777777" w:rsidR="002069BB" w:rsidRPr="009841AB" w:rsidRDefault="002069BB" w:rsidP="002069BB">
            <w:pPr>
              <w:pStyle w:val="naisc"/>
              <w:jc w:val="left"/>
              <w:rPr>
                <w:b/>
                <w:bCs/>
                <w:color w:val="000000"/>
                <w:shd w:val="clear" w:color="auto" w:fill="FFFFFF"/>
              </w:rPr>
            </w:pPr>
            <w:r>
              <w:rPr>
                <w:b/>
                <w:bCs/>
                <w:color w:val="000000"/>
                <w:shd w:val="clear" w:color="auto" w:fill="FFFFFF"/>
              </w:rPr>
              <w:lastRenderedPageBreak/>
              <w:t>Panākta vienošanās</w:t>
            </w:r>
          </w:p>
          <w:p w14:paraId="64BAADF7" w14:textId="2DC2CDC6" w:rsidR="0018109A" w:rsidRPr="009841AB" w:rsidRDefault="0015540D" w:rsidP="0015540D">
            <w:pPr>
              <w:pStyle w:val="naisc"/>
              <w:spacing w:before="0" w:after="0"/>
              <w:jc w:val="left"/>
            </w:pPr>
            <w:r w:rsidRPr="009841AB">
              <w:rPr>
                <w:color w:val="000000"/>
                <w:shd w:val="clear" w:color="auto" w:fill="FFFFFF"/>
              </w:rPr>
              <w:t xml:space="preserve">DPA šobrīd ES ir izstrādes stadijā un vēl nav skaidri zināma tā gala redakcija, kā arī datums, kad tas stāsies spēkā. Līdz ar to jauna politikas jomas </w:t>
            </w:r>
            <w:r w:rsidRPr="009841AB">
              <w:rPr>
                <w:color w:val="000000"/>
                <w:shd w:val="clear" w:color="auto" w:fill="FFFFFF"/>
              </w:rPr>
              <w:lastRenderedPageBreak/>
              <w:t>definēšana un atbildīgā institūcija par to atbilstoši DPA var būt apspriesta tikai pēc š</w:t>
            </w:r>
            <w:r w:rsidR="004733F8">
              <w:rPr>
                <w:color w:val="000000"/>
                <w:shd w:val="clear" w:color="auto" w:fill="FFFFFF"/>
              </w:rPr>
              <w:t>ī</w:t>
            </w:r>
            <w:r w:rsidRPr="009841AB">
              <w:rPr>
                <w:color w:val="000000"/>
                <w:shd w:val="clear" w:color="auto" w:fill="FFFFFF"/>
              </w:rPr>
              <w:t xml:space="preserve"> dokumenta apstiprināšanas ES. Šobrīd VARAM strādā pie MP rezolūcijas izpildes, kurā dots uzdevums "izvērtēt </w:t>
            </w:r>
            <w:proofErr w:type="spellStart"/>
            <w:r w:rsidRPr="009841AB">
              <w:rPr>
                <w:color w:val="000000"/>
                <w:shd w:val="clear" w:color="auto" w:fill="FFFFFF"/>
              </w:rPr>
              <w:t>problēmjautājumus</w:t>
            </w:r>
            <w:proofErr w:type="spellEnd"/>
            <w:r w:rsidRPr="009841AB">
              <w:rPr>
                <w:color w:val="000000"/>
                <w:shd w:val="clear" w:color="auto" w:fill="FFFFFF"/>
              </w:rPr>
              <w:t>, kas saistīti ar tiesisko ietvaru valsts pārvaldes datu koplietošanas nodrošināšanai, un nepieciešamības gadījumā sešu mēnešu laikā iesniegt izskatīšanai Ministru kabinetā priekšlikumus tiesiskā ietvara pilnveidošanai".</w:t>
            </w:r>
          </w:p>
        </w:tc>
        <w:tc>
          <w:tcPr>
            <w:tcW w:w="3497" w:type="dxa"/>
            <w:tcBorders>
              <w:left w:val="single" w:sz="6" w:space="0" w:color="000000" w:themeColor="text1"/>
              <w:bottom w:val="single" w:sz="4" w:space="0" w:color="auto"/>
            </w:tcBorders>
            <w:shd w:val="clear" w:color="auto" w:fill="auto"/>
          </w:tcPr>
          <w:p w14:paraId="68B0D3F0" w14:textId="77777777" w:rsidR="0018109A" w:rsidRPr="009841AB" w:rsidRDefault="0018109A" w:rsidP="0018109A">
            <w:pPr>
              <w:pStyle w:val="naisc"/>
              <w:spacing w:before="0" w:after="0"/>
              <w:jc w:val="both"/>
            </w:pPr>
          </w:p>
        </w:tc>
      </w:tr>
      <w:tr w:rsidR="0018109A" w:rsidRPr="009841AB" w14:paraId="543AA6F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C1DD4A5" w14:textId="77777777" w:rsidR="0018109A" w:rsidRPr="009841AB" w:rsidRDefault="00633E6A" w:rsidP="0018109A">
            <w:pPr>
              <w:pStyle w:val="naisc"/>
              <w:spacing w:before="0" w:after="0"/>
            </w:pPr>
            <w:r>
              <w:t>436</w:t>
            </w:r>
          </w:p>
        </w:tc>
        <w:tc>
          <w:tcPr>
            <w:tcW w:w="2427" w:type="dxa"/>
            <w:tcBorders>
              <w:left w:val="single" w:sz="6" w:space="0" w:color="000000" w:themeColor="text1"/>
              <w:bottom w:val="single" w:sz="4" w:space="0" w:color="auto"/>
            </w:tcBorders>
            <w:shd w:val="clear" w:color="auto" w:fill="auto"/>
          </w:tcPr>
          <w:p w14:paraId="4F73ABEF"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397E28B" w14:textId="77777777" w:rsidR="0018109A" w:rsidRPr="009841AB" w:rsidRDefault="0018109A" w:rsidP="0018109A">
            <w:pPr>
              <w:spacing w:line="276" w:lineRule="auto"/>
            </w:pPr>
            <w:r w:rsidRPr="009841AB">
              <w:t xml:space="preserve">23. Lūdzam precizēt </w:t>
            </w:r>
            <w:r w:rsidRPr="009841AB">
              <w:rPr>
                <w:bCs/>
              </w:rPr>
              <w:t>pamatnostādņu</w:t>
            </w:r>
            <w:r w:rsidRPr="009841AB">
              <w:t xml:space="preserve"> projekta 4.4.7. Rīcības virziena “</w:t>
            </w:r>
            <w:proofErr w:type="spellStart"/>
            <w:r w:rsidRPr="009841AB">
              <w:t>Mašīntulkošana</w:t>
            </w:r>
            <w:proofErr w:type="spellEnd"/>
            <w:r w:rsidRPr="009841AB">
              <w:t xml:space="preserve"> un valodu tehnoloģijas” nosaukumā vārdus “valodu tehnoloģijas”, norādot “valod</w:t>
            </w:r>
            <w:r w:rsidRPr="009841AB">
              <w:rPr>
                <w:u w:val="single"/>
              </w:rPr>
              <w:t>as</w:t>
            </w:r>
            <w:r w:rsidRPr="009841AB">
              <w:t xml:space="preserve"> tehnoloģijas”, vienlaikus labojot minētos vārdus arī turpmāk pamatnostādņu projektā. Tāpat </w:t>
            </w:r>
            <w:r w:rsidRPr="009841AB">
              <w:rPr>
                <w:bCs/>
              </w:rPr>
              <w:t>pamatnostādņu</w:t>
            </w:r>
            <w:r w:rsidRPr="009841AB">
              <w:t xml:space="preserve"> projekta pilnveides nolūkā lūdzam minētajā rīcības virzienā precizēt vārdu “</w:t>
            </w:r>
            <w:proofErr w:type="spellStart"/>
            <w:r w:rsidRPr="009841AB">
              <w:t>audiālā</w:t>
            </w:r>
            <w:proofErr w:type="spellEnd"/>
            <w:r w:rsidRPr="009841AB">
              <w:t xml:space="preserve">” norādot vārdu “audio”, vienlaikus lūdzam precizēt minētajā rīcības virzienā vārdu “Papildu”, norādot vārdu “Papildus”. Tāpat lūdzam precizēt minētajā sadaļas teikumā </w:t>
            </w:r>
            <w:r w:rsidRPr="009841AB">
              <w:lastRenderedPageBreak/>
              <w:t>“Esam viena no vadošajām valstīm Eiropā valodu tehnoloģijās” vārdus “valodu tehnoloģijās” norādot vārdus “valod</w:t>
            </w:r>
            <w:r w:rsidRPr="009841AB">
              <w:rPr>
                <w:u w:val="single"/>
              </w:rPr>
              <w:t>as</w:t>
            </w:r>
            <w:r w:rsidRPr="009841AB">
              <w:t xml:space="preserve"> tehnoloģij</w:t>
            </w:r>
            <w:r w:rsidRPr="009841AB">
              <w:rPr>
                <w:u w:val="single"/>
              </w:rPr>
              <w:t>ās</w:t>
            </w:r>
            <w:r w:rsidRPr="009841AB">
              <w:t xml:space="preserve">”. </w:t>
            </w:r>
          </w:p>
        </w:tc>
        <w:tc>
          <w:tcPr>
            <w:tcW w:w="2480" w:type="dxa"/>
            <w:tcBorders>
              <w:left w:val="single" w:sz="6" w:space="0" w:color="000000" w:themeColor="text1"/>
              <w:bottom w:val="single" w:sz="4" w:space="0" w:color="auto"/>
            </w:tcBorders>
            <w:shd w:val="clear" w:color="auto" w:fill="auto"/>
          </w:tcPr>
          <w:p w14:paraId="14DAA57F" w14:textId="77777777" w:rsidR="0018109A" w:rsidRPr="009841AB" w:rsidRDefault="0018109A" w:rsidP="0018109A">
            <w:pPr>
              <w:pStyle w:val="naisc"/>
              <w:spacing w:before="0" w:after="0"/>
              <w:jc w:val="left"/>
              <w:rPr>
                <w:b/>
                <w:bCs/>
              </w:rPr>
            </w:pPr>
            <w:r w:rsidRPr="009841AB">
              <w:rPr>
                <w:b/>
                <w:bCs/>
              </w:rPr>
              <w:lastRenderedPageBreak/>
              <w:t>Ņemts vērā</w:t>
            </w:r>
          </w:p>
          <w:p w14:paraId="230BB90D" w14:textId="77777777" w:rsidR="0018109A" w:rsidRPr="009841AB" w:rsidRDefault="0018109A" w:rsidP="0018109A">
            <w:pPr>
              <w:pStyle w:val="naisc"/>
              <w:spacing w:before="0" w:after="0"/>
              <w:jc w:val="left"/>
              <w:rPr>
                <w:b/>
                <w:bCs/>
              </w:rPr>
            </w:pPr>
            <w:r w:rsidRPr="009841AB">
              <w:t>Precizēta pamatnostādņu projekta 4.4.7. Rīcības virziena “</w:t>
            </w:r>
            <w:proofErr w:type="spellStart"/>
            <w:r w:rsidRPr="009841AB">
              <w:t>Mašīntulkošana</w:t>
            </w:r>
            <w:proofErr w:type="spellEnd"/>
            <w:r w:rsidRPr="009841AB">
              <w:t xml:space="preserve"> un valodu tehnoloģijas” sadaļa visā tekstā, kur attiecināms.</w:t>
            </w:r>
          </w:p>
        </w:tc>
        <w:tc>
          <w:tcPr>
            <w:tcW w:w="3497" w:type="dxa"/>
            <w:tcBorders>
              <w:left w:val="single" w:sz="6" w:space="0" w:color="000000" w:themeColor="text1"/>
              <w:bottom w:val="single" w:sz="4" w:space="0" w:color="auto"/>
            </w:tcBorders>
            <w:shd w:val="clear" w:color="auto" w:fill="auto"/>
          </w:tcPr>
          <w:p w14:paraId="13C6FF3E" w14:textId="77777777" w:rsidR="0018109A" w:rsidRPr="009841AB" w:rsidRDefault="0018109A" w:rsidP="0018109A">
            <w:pPr>
              <w:pStyle w:val="naisc"/>
              <w:spacing w:before="0" w:after="0"/>
              <w:jc w:val="left"/>
            </w:pPr>
            <w:r w:rsidRPr="009841AB">
              <w:t xml:space="preserve">Lūdzam skatīt </w:t>
            </w:r>
            <w:proofErr w:type="spellStart"/>
            <w:r w:rsidRPr="009841AB">
              <w:t>apakšsadaļu</w:t>
            </w:r>
            <w:proofErr w:type="spellEnd"/>
            <w:r w:rsidRPr="009841AB">
              <w:t xml:space="preserve"> 4.4.7. </w:t>
            </w:r>
          </w:p>
        </w:tc>
      </w:tr>
      <w:tr w:rsidR="0018109A" w:rsidRPr="009841AB" w14:paraId="74CCB51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9254453" w14:textId="77777777" w:rsidR="0018109A" w:rsidRPr="009841AB" w:rsidRDefault="00633E6A" w:rsidP="00E95A13">
            <w:pPr>
              <w:pStyle w:val="naisc"/>
              <w:spacing w:before="120" w:after="0"/>
            </w:pPr>
            <w:r>
              <w:t>437</w:t>
            </w:r>
          </w:p>
        </w:tc>
        <w:tc>
          <w:tcPr>
            <w:tcW w:w="2427" w:type="dxa"/>
            <w:tcBorders>
              <w:left w:val="single" w:sz="6" w:space="0" w:color="000000" w:themeColor="text1"/>
              <w:bottom w:val="single" w:sz="4" w:space="0" w:color="auto"/>
            </w:tcBorders>
            <w:shd w:val="clear" w:color="auto" w:fill="auto"/>
          </w:tcPr>
          <w:p w14:paraId="55BB0D20" w14:textId="77777777" w:rsidR="0018109A" w:rsidRPr="009841AB" w:rsidRDefault="0018109A" w:rsidP="00E95A13">
            <w:pPr>
              <w:pStyle w:val="naisc"/>
              <w:spacing w:before="12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3F370D3" w14:textId="77777777" w:rsidR="0018109A" w:rsidRPr="009841AB" w:rsidRDefault="0018109A" w:rsidP="00E95A13">
            <w:pPr>
              <w:spacing w:before="120"/>
            </w:pPr>
            <w:r w:rsidRPr="009841AB">
              <w:t xml:space="preserve">24. Vienlaikus teksta pilnveides nolūkā </w:t>
            </w:r>
            <w:bookmarkStart w:id="9" w:name="_Hlk62207961"/>
            <w:r w:rsidRPr="009841AB">
              <w:t xml:space="preserve">ierosinām </w:t>
            </w:r>
            <w:r w:rsidRPr="009841AB">
              <w:rPr>
                <w:bCs/>
              </w:rPr>
              <w:t>pamatnostādņu</w:t>
            </w:r>
            <w:r w:rsidRPr="009841AB">
              <w:t xml:space="preserve"> projekta 4.4.7. Rīcības virzienā “</w:t>
            </w:r>
            <w:proofErr w:type="spellStart"/>
            <w:r w:rsidRPr="009841AB">
              <w:t>Mašīntulkošana</w:t>
            </w:r>
            <w:proofErr w:type="spellEnd"/>
            <w:r w:rsidRPr="009841AB">
              <w:t xml:space="preserve"> un valodu tehnoloģijas” norādīto rīcības nolūku </w:t>
            </w:r>
            <w:bookmarkEnd w:id="9"/>
            <w:r w:rsidRPr="009841AB">
              <w:t>–</w:t>
            </w:r>
            <w:r w:rsidRPr="009841AB">
              <w:rPr>
                <w:i/>
                <w:iCs/>
              </w:rPr>
              <w:t xml:space="preserve">“Valodas tehnoloģiju attīstība – Izveidot vizuālo saziņas formu </w:t>
            </w:r>
            <w:proofErr w:type="spellStart"/>
            <w:r w:rsidRPr="009841AB">
              <w:rPr>
                <w:i/>
                <w:iCs/>
              </w:rPr>
              <w:t>čatbotu</w:t>
            </w:r>
            <w:proofErr w:type="spellEnd"/>
            <w:r w:rsidRPr="009841AB">
              <w:rPr>
                <w:i/>
                <w:iCs/>
              </w:rPr>
              <w:t xml:space="preserve"> platformā. </w:t>
            </w:r>
            <w:proofErr w:type="spellStart"/>
            <w:r w:rsidRPr="009841AB">
              <w:rPr>
                <w:i/>
                <w:iCs/>
              </w:rPr>
              <w:t>Pašmācošie</w:t>
            </w:r>
            <w:proofErr w:type="spellEnd"/>
            <w:r w:rsidRPr="009841AB">
              <w:rPr>
                <w:i/>
                <w:iCs/>
              </w:rPr>
              <w:t xml:space="preserve">, </w:t>
            </w:r>
            <w:proofErr w:type="spellStart"/>
            <w:r w:rsidRPr="009841AB">
              <w:rPr>
                <w:i/>
                <w:iCs/>
              </w:rPr>
              <w:t>paštrenējošs</w:t>
            </w:r>
            <w:proofErr w:type="spellEnd"/>
            <w:r w:rsidRPr="009841AB">
              <w:rPr>
                <w:i/>
                <w:iCs/>
              </w:rPr>
              <w:t xml:space="preserve"> </w:t>
            </w:r>
            <w:proofErr w:type="spellStart"/>
            <w:r w:rsidRPr="009841AB">
              <w:rPr>
                <w:i/>
                <w:iCs/>
              </w:rPr>
              <w:t>čatboti</w:t>
            </w:r>
            <w:proofErr w:type="spellEnd"/>
            <w:r w:rsidRPr="009841AB">
              <w:rPr>
                <w:i/>
                <w:iCs/>
              </w:rPr>
              <w:t xml:space="preserve">. </w:t>
            </w:r>
            <w:proofErr w:type="spellStart"/>
            <w:r w:rsidRPr="009841AB">
              <w:rPr>
                <w:i/>
                <w:iCs/>
              </w:rPr>
              <w:t>Čatbots</w:t>
            </w:r>
            <w:proofErr w:type="spellEnd"/>
            <w:r w:rsidRPr="009841AB">
              <w:rPr>
                <w:i/>
                <w:iCs/>
              </w:rPr>
              <w:t xml:space="preserve"> pats spēj sintezēt zināšanas, </w:t>
            </w:r>
            <w:proofErr w:type="spellStart"/>
            <w:r w:rsidRPr="009841AB">
              <w:rPr>
                <w:i/>
                <w:iCs/>
              </w:rPr>
              <w:t>čatbotam</w:t>
            </w:r>
            <w:proofErr w:type="spellEnd"/>
            <w:r w:rsidRPr="009841AB">
              <w:rPr>
                <w:i/>
                <w:iCs/>
              </w:rPr>
              <w:t xml:space="preserve"> var definēt valodas stilu un dažādu nozaru profesionālās valodas iezīmes”</w:t>
            </w:r>
            <w:r w:rsidRPr="009841AB">
              <w:t xml:space="preserve"> pārvietot pie uzskaitījuma zem sadaļas “Papildus”, ņemot vērā jau iepriekš minēto, ka </w:t>
            </w:r>
            <w:proofErr w:type="spellStart"/>
            <w:r w:rsidRPr="009841AB">
              <w:t>čatboti</w:t>
            </w:r>
            <w:proofErr w:type="spellEnd"/>
            <w:r w:rsidRPr="009841AB">
              <w:t xml:space="preserve"> ir konkrēta tehnoloģija, kas neaptver visas tehnoloģijas, kuras iespējams attīstīt šī virziena ietvaros. Ierosinām uzskaitīt </w:t>
            </w:r>
            <w:proofErr w:type="spellStart"/>
            <w:r w:rsidRPr="009841AB">
              <w:t>čatbotus</w:t>
            </w:r>
            <w:proofErr w:type="spellEnd"/>
            <w:r w:rsidRPr="009841AB">
              <w:t xml:space="preserve"> </w:t>
            </w:r>
            <w:r w:rsidRPr="009841AB">
              <w:rPr>
                <w:bCs/>
              </w:rPr>
              <w:t>pamatnostādņu</w:t>
            </w:r>
            <w:r w:rsidRPr="009841AB">
              <w:t xml:space="preserve"> projekta 4.4.7. Rīcības virziena “Papildus” sadaļā.</w:t>
            </w:r>
          </w:p>
        </w:tc>
        <w:tc>
          <w:tcPr>
            <w:tcW w:w="2480" w:type="dxa"/>
            <w:tcBorders>
              <w:left w:val="single" w:sz="6" w:space="0" w:color="000000" w:themeColor="text1"/>
              <w:bottom w:val="single" w:sz="4" w:space="0" w:color="auto"/>
            </w:tcBorders>
            <w:shd w:val="clear" w:color="auto" w:fill="auto"/>
          </w:tcPr>
          <w:p w14:paraId="2D3C0D38" w14:textId="77777777" w:rsidR="0018109A" w:rsidRPr="00F44824" w:rsidRDefault="0018109A" w:rsidP="00E95A13">
            <w:pPr>
              <w:pStyle w:val="naisc"/>
              <w:spacing w:before="120" w:after="0"/>
              <w:jc w:val="both"/>
              <w:rPr>
                <w:b/>
                <w:bCs/>
              </w:rPr>
            </w:pPr>
            <w:r w:rsidRPr="009841AB">
              <w:rPr>
                <w:b/>
                <w:bCs/>
              </w:rPr>
              <w:t>Ņemts vērā</w:t>
            </w:r>
          </w:p>
          <w:p w14:paraId="73D3EA84" w14:textId="77777777" w:rsidR="0018109A" w:rsidRPr="009841AB" w:rsidRDefault="009D0BC3" w:rsidP="002B3DB4">
            <w:pPr>
              <w:pStyle w:val="naisc"/>
              <w:spacing w:before="120" w:after="0"/>
              <w:jc w:val="both"/>
              <w:rPr>
                <w:b/>
                <w:bCs/>
              </w:rPr>
            </w:pPr>
            <w:r>
              <w:t>Minētais teikums pārvietots sadaļā “Papildus”</w:t>
            </w:r>
            <w:r w:rsidR="00E95A13">
              <w:t>.</w:t>
            </w:r>
          </w:p>
        </w:tc>
        <w:tc>
          <w:tcPr>
            <w:tcW w:w="3497" w:type="dxa"/>
            <w:tcBorders>
              <w:left w:val="single" w:sz="6" w:space="0" w:color="000000" w:themeColor="text1"/>
              <w:bottom w:val="single" w:sz="4" w:space="0" w:color="auto"/>
            </w:tcBorders>
            <w:shd w:val="clear" w:color="auto" w:fill="auto"/>
          </w:tcPr>
          <w:p w14:paraId="23D8CD9B" w14:textId="77777777" w:rsidR="0018109A" w:rsidRDefault="00E95A13" w:rsidP="00E95A13">
            <w:pPr>
              <w:tabs>
                <w:tab w:val="left" w:pos="993"/>
              </w:tabs>
              <w:spacing w:before="120"/>
            </w:pPr>
            <w:proofErr w:type="spellStart"/>
            <w:r>
              <w:t>A</w:t>
            </w:r>
            <w:r w:rsidR="0018109A" w:rsidRPr="009841AB">
              <w:t>pakšsadaļ</w:t>
            </w:r>
            <w:r>
              <w:t>a</w:t>
            </w:r>
            <w:proofErr w:type="spellEnd"/>
            <w:r w:rsidR="0018109A" w:rsidRPr="009841AB">
              <w:t xml:space="preserve"> 4.4.7.</w:t>
            </w:r>
            <w:r>
              <w:t xml:space="preserve"> Papildus:</w:t>
            </w:r>
          </w:p>
          <w:p w14:paraId="4F546C54" w14:textId="77777777" w:rsidR="00E95A13" w:rsidRPr="009841AB" w:rsidRDefault="00E95A13" w:rsidP="00E95A13">
            <w:pPr>
              <w:spacing w:before="120"/>
              <w:jc w:val="both"/>
            </w:pPr>
            <w:r>
              <w:t>7. </w:t>
            </w:r>
            <w:r w:rsidRPr="00E95A13">
              <w:t xml:space="preserve">Valodas tehnoloģiju attīstībai izveidota vizuālās saziņas forma </w:t>
            </w:r>
            <w:proofErr w:type="spellStart"/>
            <w:r w:rsidRPr="00E95A13">
              <w:t>sarunbotu</w:t>
            </w:r>
            <w:proofErr w:type="spellEnd"/>
            <w:r w:rsidRPr="00E95A13">
              <w:t xml:space="preserve"> platformā. </w:t>
            </w:r>
            <w:proofErr w:type="spellStart"/>
            <w:r w:rsidRPr="00E95A13">
              <w:t>Pašmācošs</w:t>
            </w:r>
            <w:proofErr w:type="spellEnd"/>
            <w:r w:rsidRPr="00E95A13">
              <w:t xml:space="preserve">, </w:t>
            </w:r>
            <w:proofErr w:type="spellStart"/>
            <w:r w:rsidRPr="00E95A13">
              <w:t>paštrenējošs</w:t>
            </w:r>
            <w:proofErr w:type="spellEnd"/>
            <w:r w:rsidRPr="00E95A13">
              <w:t xml:space="preserve"> </w:t>
            </w:r>
            <w:proofErr w:type="spellStart"/>
            <w:r w:rsidRPr="00E95A13">
              <w:t>sarunbots</w:t>
            </w:r>
            <w:proofErr w:type="spellEnd"/>
            <w:r w:rsidRPr="00E95A13">
              <w:t xml:space="preserve">. </w:t>
            </w:r>
            <w:proofErr w:type="spellStart"/>
            <w:r w:rsidRPr="00E95A13">
              <w:t>Sarunbots</w:t>
            </w:r>
            <w:proofErr w:type="spellEnd"/>
            <w:r w:rsidRPr="00E95A13">
              <w:t xml:space="preserve"> pats spēj sintezēt zināšanas, tam var definēt valodas stilu un dažādu nozaru profesionālās valodas iezīmes.</w:t>
            </w:r>
            <w:r w:rsidRPr="00E95A13">
              <w:rPr>
                <w:lang w:val="lv"/>
              </w:rPr>
              <w:t xml:space="preserve"> </w:t>
            </w:r>
            <w:proofErr w:type="spellStart"/>
            <w:r w:rsidRPr="00E95A13">
              <w:rPr>
                <w:lang w:val="lv"/>
              </w:rPr>
              <w:t>Sarunboti</w:t>
            </w:r>
            <w:proofErr w:type="spellEnd"/>
            <w:r w:rsidRPr="00E95A13">
              <w:rPr>
                <w:lang w:val="lv"/>
              </w:rPr>
              <w:t xml:space="preserve"> ir spējīgi patstāvīgi, automātiski veidot saturu, ir personības iezīmes un var simulēt atsevišķas personības vai atsevišķu profesiju profesionālo valodu.</w:t>
            </w:r>
          </w:p>
        </w:tc>
      </w:tr>
      <w:tr w:rsidR="0018109A" w:rsidRPr="004B6BE8" w14:paraId="78E7D85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C4D4199" w14:textId="77777777" w:rsidR="0018109A" w:rsidRPr="004B6BE8" w:rsidRDefault="00633E6A" w:rsidP="004B6BE8">
            <w:pPr>
              <w:pStyle w:val="naisc"/>
              <w:spacing w:before="120" w:after="0"/>
            </w:pPr>
            <w:r w:rsidRPr="004B6BE8">
              <w:t>438</w:t>
            </w:r>
          </w:p>
        </w:tc>
        <w:tc>
          <w:tcPr>
            <w:tcW w:w="2427" w:type="dxa"/>
            <w:tcBorders>
              <w:left w:val="single" w:sz="6" w:space="0" w:color="000000" w:themeColor="text1"/>
              <w:bottom w:val="single" w:sz="4" w:space="0" w:color="auto"/>
            </w:tcBorders>
            <w:shd w:val="clear" w:color="auto" w:fill="auto"/>
          </w:tcPr>
          <w:p w14:paraId="6ADA749A" w14:textId="77777777" w:rsidR="0018109A" w:rsidRPr="004B6BE8" w:rsidRDefault="0018109A" w:rsidP="004B6BE8">
            <w:pPr>
              <w:pStyle w:val="naisc"/>
              <w:spacing w:before="120" w:after="0"/>
              <w:jc w:val="left"/>
            </w:pPr>
            <w:r w:rsidRPr="004B6BE8">
              <w:t>4.4. sadaļa</w:t>
            </w:r>
          </w:p>
        </w:tc>
        <w:tc>
          <w:tcPr>
            <w:tcW w:w="5427" w:type="dxa"/>
            <w:tcBorders>
              <w:left w:val="single" w:sz="6" w:space="0" w:color="000000" w:themeColor="text1"/>
              <w:bottom w:val="single" w:sz="4" w:space="0" w:color="auto"/>
            </w:tcBorders>
            <w:shd w:val="clear" w:color="auto" w:fill="auto"/>
          </w:tcPr>
          <w:p w14:paraId="59B8390C" w14:textId="77777777" w:rsidR="0018109A" w:rsidRPr="004B6BE8" w:rsidRDefault="0018109A" w:rsidP="004B6BE8">
            <w:pPr>
              <w:spacing w:before="120"/>
              <w:ind w:right="12"/>
              <w:jc w:val="both"/>
            </w:pPr>
            <w:r w:rsidRPr="004B6BE8">
              <w:t xml:space="preserve">25. Ierosinām </w:t>
            </w:r>
            <w:r w:rsidRPr="004B6BE8">
              <w:rPr>
                <w:bCs/>
              </w:rPr>
              <w:t>pamatnostādņu</w:t>
            </w:r>
            <w:r w:rsidRPr="004B6BE8">
              <w:t xml:space="preserve"> projekta 4.4.7. Rīcības virzienā “</w:t>
            </w:r>
            <w:proofErr w:type="spellStart"/>
            <w:r w:rsidRPr="004B6BE8">
              <w:t>Mašīntulkošana</w:t>
            </w:r>
            <w:proofErr w:type="spellEnd"/>
            <w:r w:rsidRPr="004B6BE8">
              <w:t xml:space="preserve"> un valodu tehnoloģijas” rīcības nolūkā norādīto teikumu: “Latviešu valodai tiek nodrošināti svarīgākie valodas resursi ilgtspējīgai valodas attīstībai un plašam lietojumam digitālajos pakalpojumos”, pārvietot pie vīzijas atbilstoši šīs nodaļas izstrādes darba grupā lemtajam.</w:t>
            </w:r>
          </w:p>
        </w:tc>
        <w:tc>
          <w:tcPr>
            <w:tcW w:w="2480" w:type="dxa"/>
            <w:tcBorders>
              <w:left w:val="single" w:sz="6" w:space="0" w:color="000000" w:themeColor="text1"/>
              <w:bottom w:val="single" w:sz="4" w:space="0" w:color="auto"/>
            </w:tcBorders>
            <w:shd w:val="clear" w:color="auto" w:fill="auto"/>
          </w:tcPr>
          <w:p w14:paraId="0B715A01" w14:textId="77777777" w:rsidR="0018109A" w:rsidRPr="004B6BE8" w:rsidRDefault="0018109A" w:rsidP="002B3DB4">
            <w:pPr>
              <w:pStyle w:val="naisc"/>
              <w:spacing w:before="120" w:after="0"/>
              <w:jc w:val="left"/>
            </w:pPr>
            <w:r w:rsidRPr="004B6BE8">
              <w:rPr>
                <w:b/>
                <w:bCs/>
              </w:rPr>
              <w:t>Ņemts vērā</w:t>
            </w:r>
          </w:p>
        </w:tc>
        <w:tc>
          <w:tcPr>
            <w:tcW w:w="3497" w:type="dxa"/>
            <w:tcBorders>
              <w:left w:val="single" w:sz="6" w:space="0" w:color="000000" w:themeColor="text1"/>
              <w:bottom w:val="single" w:sz="4" w:space="0" w:color="auto"/>
            </w:tcBorders>
            <w:shd w:val="clear" w:color="auto" w:fill="auto"/>
          </w:tcPr>
          <w:p w14:paraId="16968745" w14:textId="77777777" w:rsidR="00467AEF" w:rsidRPr="004B6BE8" w:rsidRDefault="00467AEF" w:rsidP="004B6BE8">
            <w:pPr>
              <w:pStyle w:val="naisc"/>
              <w:spacing w:before="120" w:after="0"/>
              <w:jc w:val="both"/>
            </w:pPr>
            <w:proofErr w:type="spellStart"/>
            <w:r w:rsidRPr="004B6BE8">
              <w:t>A</w:t>
            </w:r>
            <w:r w:rsidR="0018109A" w:rsidRPr="004B6BE8">
              <w:t>pakšsadaļ</w:t>
            </w:r>
            <w:r w:rsidRPr="004B6BE8">
              <w:t>a</w:t>
            </w:r>
            <w:proofErr w:type="spellEnd"/>
            <w:r w:rsidR="0018109A" w:rsidRPr="004B6BE8">
              <w:t xml:space="preserve"> 4.4.7.</w:t>
            </w:r>
            <w:r w:rsidRPr="004B6BE8">
              <w:t xml:space="preserve"> Vīzija.</w:t>
            </w:r>
          </w:p>
          <w:p w14:paraId="27D030AB" w14:textId="77777777" w:rsidR="0018109A" w:rsidRPr="004B6BE8" w:rsidRDefault="004B6BE8" w:rsidP="004B6BE8">
            <w:pPr>
              <w:tabs>
                <w:tab w:val="left" w:pos="426"/>
              </w:tabs>
              <w:spacing w:before="120"/>
              <w:jc w:val="both"/>
              <w:rPr>
                <w:lang w:val="lv"/>
              </w:rPr>
            </w:pPr>
            <w:r w:rsidRPr="004B6BE8">
              <w:rPr>
                <w:lang w:val="lv"/>
              </w:rPr>
              <w:t>ES valstu digitālā telpa (vienotais digitālais tirgus) ir piekļūstama Latvijas iedzīvotājiem latviešu valodā drukātā, audio un vizuālā formā, kā arī Eiropas iedzīvotājs mijiedarbojas ar Latvijas digitālo telpu dzimtajā valodā. Latviešu valodai tiek nodrošināti svarīgākie valodas resursi ilgtspējīgai valodas attīstībai un plašam lietojumam digitālajos pakalpojumos.</w:t>
            </w:r>
          </w:p>
        </w:tc>
      </w:tr>
      <w:tr w:rsidR="00027CF9" w:rsidRPr="009841AB" w14:paraId="1D8CA8CB" w14:textId="77777777" w:rsidTr="15B1D617">
        <w:tc>
          <w:tcPr>
            <w:tcW w:w="14451" w:type="dxa"/>
            <w:gridSpan w:val="6"/>
            <w:tcBorders>
              <w:left w:val="single" w:sz="6" w:space="0" w:color="000000" w:themeColor="text1"/>
              <w:bottom w:val="single" w:sz="4" w:space="0" w:color="auto"/>
            </w:tcBorders>
            <w:shd w:val="clear" w:color="auto" w:fill="auto"/>
          </w:tcPr>
          <w:p w14:paraId="7163D26E" w14:textId="77777777" w:rsidR="00027CF9" w:rsidRPr="009841AB" w:rsidRDefault="00027CF9" w:rsidP="00027CF9">
            <w:pPr>
              <w:tabs>
                <w:tab w:val="left" w:pos="426"/>
              </w:tabs>
              <w:jc w:val="both"/>
            </w:pPr>
            <w:r>
              <w:rPr>
                <w:b/>
                <w:bCs/>
                <w:lang w:eastAsia="en-US"/>
              </w:rPr>
              <w:t>Tieslietu ministrijas</w:t>
            </w:r>
            <w:r w:rsidRPr="009841AB">
              <w:rPr>
                <w:b/>
                <w:bCs/>
                <w:lang w:eastAsia="en-US"/>
              </w:rPr>
              <w:t xml:space="preserve"> </w:t>
            </w:r>
            <w:r>
              <w:rPr>
                <w:b/>
                <w:bCs/>
                <w:lang w:eastAsia="en-US"/>
              </w:rPr>
              <w:t>07</w:t>
            </w:r>
            <w:r w:rsidRPr="009841AB">
              <w:rPr>
                <w:b/>
                <w:bCs/>
                <w:lang w:eastAsia="en-US"/>
              </w:rPr>
              <w:t>.0</w:t>
            </w:r>
            <w:r>
              <w:rPr>
                <w:b/>
                <w:bCs/>
                <w:lang w:eastAsia="en-US"/>
              </w:rPr>
              <w:t>5</w:t>
            </w:r>
            <w:r w:rsidRPr="009841AB">
              <w:rPr>
                <w:b/>
                <w:bCs/>
                <w:lang w:eastAsia="en-US"/>
              </w:rPr>
              <w:t>.2021. atzinums:</w:t>
            </w:r>
          </w:p>
        </w:tc>
      </w:tr>
      <w:tr w:rsidR="00027CF9" w:rsidRPr="009841AB" w14:paraId="67A5F221" w14:textId="77777777" w:rsidTr="00DC72A3">
        <w:tc>
          <w:tcPr>
            <w:tcW w:w="613" w:type="dxa"/>
            <w:tcBorders>
              <w:left w:val="single" w:sz="6" w:space="0" w:color="000000" w:themeColor="text1"/>
              <w:bottom w:val="single" w:sz="4" w:space="0" w:color="auto"/>
            </w:tcBorders>
            <w:shd w:val="clear" w:color="auto" w:fill="auto"/>
          </w:tcPr>
          <w:p w14:paraId="38343DB3" w14:textId="77777777" w:rsidR="00027CF9" w:rsidRPr="009841AB" w:rsidRDefault="009F7132" w:rsidP="0018109A">
            <w:pPr>
              <w:pStyle w:val="naisc"/>
              <w:spacing w:before="0" w:after="0"/>
            </w:pPr>
            <w:r>
              <w:t>439</w:t>
            </w:r>
          </w:p>
        </w:tc>
        <w:tc>
          <w:tcPr>
            <w:tcW w:w="2427" w:type="dxa"/>
            <w:tcBorders>
              <w:left w:val="single" w:sz="6" w:space="0" w:color="000000" w:themeColor="text1"/>
              <w:bottom w:val="single" w:sz="4" w:space="0" w:color="auto"/>
            </w:tcBorders>
            <w:shd w:val="clear" w:color="auto" w:fill="auto"/>
          </w:tcPr>
          <w:p w14:paraId="472FE095" w14:textId="77777777" w:rsidR="00027CF9" w:rsidRPr="009841AB" w:rsidRDefault="00027CF9" w:rsidP="0018109A">
            <w:pPr>
              <w:pStyle w:val="naisc"/>
              <w:spacing w:before="0" w:after="0"/>
              <w:jc w:val="left"/>
            </w:pPr>
            <w:r>
              <w:t>4.4. sadaļa</w:t>
            </w:r>
          </w:p>
        </w:tc>
        <w:tc>
          <w:tcPr>
            <w:tcW w:w="5427" w:type="dxa"/>
            <w:tcBorders>
              <w:left w:val="single" w:sz="6" w:space="0" w:color="000000" w:themeColor="text1"/>
              <w:bottom w:val="single" w:sz="4" w:space="0" w:color="auto"/>
            </w:tcBorders>
            <w:shd w:val="clear" w:color="auto" w:fill="auto"/>
          </w:tcPr>
          <w:p w14:paraId="12C784D4" w14:textId="77777777" w:rsidR="00A071E4" w:rsidRPr="00A071E4" w:rsidRDefault="007A4896" w:rsidP="00A071E4">
            <w:pPr>
              <w:spacing w:line="0" w:lineRule="atLeast"/>
            </w:pPr>
            <w:r>
              <w:t xml:space="preserve">1. </w:t>
            </w:r>
            <w:r w:rsidR="00A071E4" w:rsidRPr="00A071E4">
              <w:t xml:space="preserve">Uzturam iepriekš paustos iebildumus par termina "notarizēts" lietošanu. Proti, izziņā par atzinumos </w:t>
            </w:r>
            <w:r w:rsidR="00A071E4" w:rsidRPr="00A071E4">
              <w:lastRenderedPageBreak/>
              <w:t>sniegtajiem iebildumiem projektam norādīts, ka Tieslietu ministrijas izteiktais iebildums (nr. 308) nav ņemts vērā, jo "</w:t>
            </w:r>
            <w:r w:rsidR="00A071E4" w:rsidRPr="00A071E4">
              <w:rPr>
                <w:i/>
                <w:iCs/>
              </w:rPr>
              <w:t xml:space="preserve">"Notarizēts" ir tehnisks termins, kas plaši starptautiski tiek izmantots, lai apzīmētu kāda starpnieka (ne obligāti notāra Notariāta likuma izpratnē) dalību procesā. Starpnieks var būt arī pilnībā automatizēts, bez fiziskas personas iesaistes. Ja ir priekšlikums citam terminam, lūdzu to piedāvāt. Papildināts ar: Ar </w:t>
            </w:r>
            <w:proofErr w:type="spellStart"/>
            <w:r w:rsidR="00A071E4" w:rsidRPr="00A071E4">
              <w:rPr>
                <w:i/>
                <w:iCs/>
              </w:rPr>
              <w:t>notarizāciju</w:t>
            </w:r>
            <w:proofErr w:type="spellEnd"/>
            <w:r w:rsidR="00A071E4" w:rsidRPr="00A071E4">
              <w:rPr>
                <w:i/>
                <w:iCs/>
              </w:rPr>
              <w:t xml:space="preserve"> šeit tiek saprasta starpnieka esamība, kas apliecina kādu faktu. </w:t>
            </w:r>
            <w:proofErr w:type="spellStart"/>
            <w:r w:rsidR="00A071E4" w:rsidRPr="00A071E4">
              <w:rPr>
                <w:i/>
                <w:iCs/>
              </w:rPr>
              <w:t>Notarizācija</w:t>
            </w:r>
            <w:proofErr w:type="spellEnd"/>
            <w:r w:rsidR="00A071E4" w:rsidRPr="00A071E4">
              <w:rPr>
                <w:i/>
                <w:iCs/>
              </w:rPr>
              <w:t xml:space="preserve"> ir plašāks jēdziens nekā Notariāta likumā noteiktais. Piemēram, banka apliecina finanšu darījuma esamību, tātad arī notarizē to. Ierakstītās vēstules gadījumā pasts nodrošina piegādes fakta </w:t>
            </w:r>
            <w:proofErr w:type="spellStart"/>
            <w:r w:rsidR="00A071E4" w:rsidRPr="00A071E4">
              <w:rPr>
                <w:i/>
                <w:iCs/>
              </w:rPr>
              <w:t>notarizāciju</w:t>
            </w:r>
            <w:proofErr w:type="spellEnd"/>
            <w:r w:rsidR="00A071E4" w:rsidRPr="00A071E4">
              <w:rPr>
                <w:i/>
                <w:iCs/>
              </w:rPr>
              <w:t xml:space="preserve"> (apliecināšanu), bet pasts nevar notarizēt (apliecināt) dokumenta saturu. Finanšu dokumentu </w:t>
            </w:r>
            <w:proofErr w:type="spellStart"/>
            <w:r w:rsidR="00A071E4" w:rsidRPr="00A071E4">
              <w:rPr>
                <w:i/>
                <w:iCs/>
              </w:rPr>
              <w:t>maiņvieta</w:t>
            </w:r>
            <w:proofErr w:type="spellEnd"/>
            <w:r w:rsidR="00A071E4" w:rsidRPr="00A071E4">
              <w:rPr>
                <w:i/>
                <w:iCs/>
              </w:rPr>
              <w:t xml:space="preserve"> varētu būt šis starpnieks, kas nodrošinās gan dokumenta satura, gan saņemšanas fakta </w:t>
            </w:r>
            <w:proofErr w:type="spellStart"/>
            <w:r w:rsidR="00A071E4" w:rsidRPr="00A071E4">
              <w:rPr>
                <w:i/>
                <w:iCs/>
              </w:rPr>
              <w:t>notarizāciju</w:t>
            </w:r>
            <w:proofErr w:type="spellEnd"/>
            <w:r w:rsidR="00A071E4" w:rsidRPr="00A071E4">
              <w:rPr>
                <w:i/>
                <w:iCs/>
              </w:rPr>
              <w:t xml:space="preserve"> (apliecināšanu) Ar </w:t>
            </w:r>
            <w:proofErr w:type="spellStart"/>
            <w:r w:rsidR="00A071E4" w:rsidRPr="00A071E4">
              <w:rPr>
                <w:i/>
                <w:iCs/>
              </w:rPr>
              <w:t>maiņvietu</w:t>
            </w:r>
            <w:proofErr w:type="spellEnd"/>
            <w:r w:rsidR="00A071E4" w:rsidRPr="00A071E4">
              <w:rPr>
                <w:i/>
                <w:iCs/>
              </w:rPr>
              <w:t xml:space="preserve"> šeit jāsaprot programmatūras un aparatūras komplekss, kas nodrošina finanšu dokumentu saņemšanu, uzglabāšanu un nodošanu adresātam." </w:t>
            </w:r>
            <w:r w:rsidR="00A071E4" w:rsidRPr="00A071E4">
              <w:t xml:space="preserve">Attiecīgi pamatnostādņu projekta 3. pielikuma sadaļas "4.4.3.2. rīcības </w:t>
            </w:r>
            <w:proofErr w:type="spellStart"/>
            <w:r w:rsidR="00A071E4" w:rsidRPr="00A071E4">
              <w:t>apakšvirziens</w:t>
            </w:r>
            <w:proofErr w:type="spellEnd"/>
            <w:r w:rsidR="00A071E4" w:rsidRPr="00A071E4">
              <w:t xml:space="preserve">: Finanšu dokumentu </w:t>
            </w:r>
            <w:proofErr w:type="spellStart"/>
            <w:r w:rsidR="00A071E4" w:rsidRPr="00A071E4">
              <w:t>maiņvieta</w:t>
            </w:r>
            <w:proofErr w:type="spellEnd"/>
            <w:r w:rsidR="00A071E4" w:rsidRPr="00A071E4">
              <w:t>" 2. punktā ir iekļauta izziņā par atzinumos sniegtajiem iebildumiem pamatnostādņu projektam norādītā informācija. Vēršam uzmanību, ka ne izziņā par atzinumos sniegtajiem iebildumiem pamatnostādņu projektam, ne pašā pamatnostādņu projektā nav ietvertas atsauces, kas apliecinātu šāda termina plašu starptautisku lietojumu.</w:t>
            </w:r>
          </w:p>
          <w:p w14:paraId="0B3F848C" w14:textId="77777777" w:rsidR="00A071E4" w:rsidRPr="00A071E4" w:rsidRDefault="00A071E4" w:rsidP="00A071E4">
            <w:pPr>
              <w:pStyle w:val="ListParagraph"/>
              <w:spacing w:line="0" w:lineRule="atLeast"/>
              <w:ind w:left="714"/>
              <w:rPr>
                <w:rFonts w:ascii="Times New Roman" w:hAnsi="Times New Roman"/>
                <w:sz w:val="24"/>
                <w:szCs w:val="24"/>
              </w:rPr>
            </w:pPr>
            <w:r w:rsidRPr="00A071E4">
              <w:rPr>
                <w:rFonts w:ascii="Times New Roman" w:hAnsi="Times New Roman"/>
                <w:sz w:val="24"/>
                <w:szCs w:val="24"/>
              </w:rPr>
              <w:t xml:space="preserve">Vienlaikus aplūkojot tīmekļvietnēs pieejamo informāciju, konstatējams, ka ar terminu "notarizēts" tiek saprasta fiziskas personas, tajā skaitā, zvērināta notāra starpniecība </w:t>
            </w:r>
            <w:r w:rsidRPr="00A071E4">
              <w:rPr>
                <w:rFonts w:ascii="Times New Roman" w:hAnsi="Times New Roman"/>
                <w:i/>
                <w:iCs/>
                <w:sz w:val="24"/>
                <w:szCs w:val="24"/>
              </w:rPr>
              <w:t xml:space="preserve">(skat. </w:t>
            </w:r>
            <w:hyperlink r:id="rId13" w:history="1">
              <w:r w:rsidRPr="00A071E4">
                <w:rPr>
                  <w:rStyle w:val="Hyperlink"/>
                  <w:rFonts w:ascii="Times New Roman" w:hAnsi="Times New Roman"/>
                  <w:i/>
                  <w:iCs/>
                  <w:sz w:val="24"/>
                  <w:szCs w:val="24"/>
                </w:rPr>
                <w:t>https://www.google.com/search?q=notariz%C4%93ts&amp;oq=notariz%C4%93ts&amp;aqs=chrome.0.69i59.2621j0j15&amp;sourceid=chrome&amp;ie=UTF-8</w:t>
              </w:r>
            </w:hyperlink>
            <w:r w:rsidRPr="00A071E4">
              <w:rPr>
                <w:rFonts w:ascii="Times New Roman" w:hAnsi="Times New Roman"/>
                <w:i/>
                <w:iCs/>
                <w:sz w:val="24"/>
                <w:szCs w:val="24"/>
              </w:rPr>
              <w:t xml:space="preserve">, </w:t>
            </w:r>
            <w:hyperlink r:id="rId14" w:history="1">
              <w:r w:rsidRPr="00A071E4">
                <w:rPr>
                  <w:rStyle w:val="Hyperlink"/>
                  <w:rFonts w:ascii="Times New Roman" w:hAnsi="Times New Roman"/>
                  <w:i/>
                  <w:iCs/>
                  <w:sz w:val="24"/>
                  <w:szCs w:val="24"/>
                </w:rPr>
                <w:t>https://termini.gov.lv/atrast/notariz%C4%93%C5%A1ana</w:t>
              </w:r>
            </w:hyperlink>
            <w:r w:rsidRPr="00A071E4">
              <w:rPr>
                <w:rFonts w:ascii="Times New Roman" w:hAnsi="Times New Roman"/>
                <w:i/>
                <w:iCs/>
                <w:sz w:val="24"/>
                <w:szCs w:val="24"/>
              </w:rPr>
              <w:t xml:space="preserve">, </w:t>
            </w:r>
            <w:hyperlink r:id="rId15" w:history="1">
              <w:r w:rsidRPr="00A071E4">
                <w:rPr>
                  <w:rStyle w:val="Hyperlink"/>
                  <w:rFonts w:ascii="Times New Roman" w:hAnsi="Times New Roman"/>
                  <w:i/>
                  <w:iCs/>
                  <w:sz w:val="24"/>
                  <w:szCs w:val="24"/>
                </w:rPr>
                <w:t>https://dictionary.cambridge.org/dictionary/english/notarize</w:t>
              </w:r>
            </w:hyperlink>
            <w:r w:rsidRPr="00A071E4">
              <w:rPr>
                <w:rFonts w:ascii="Times New Roman" w:hAnsi="Times New Roman"/>
                <w:i/>
                <w:iCs/>
                <w:sz w:val="24"/>
                <w:szCs w:val="24"/>
              </w:rPr>
              <w:t xml:space="preserve">, </w:t>
            </w:r>
            <w:hyperlink r:id="rId16" w:history="1">
              <w:r w:rsidRPr="00A071E4">
                <w:rPr>
                  <w:rStyle w:val="Hyperlink"/>
                  <w:rFonts w:ascii="Times New Roman" w:hAnsi="Times New Roman"/>
                  <w:i/>
                  <w:iCs/>
                  <w:sz w:val="24"/>
                  <w:szCs w:val="24"/>
                </w:rPr>
                <w:t>https://www.thefreedictionary.com/notarised</w:t>
              </w:r>
            </w:hyperlink>
            <w:r w:rsidRPr="00A071E4">
              <w:rPr>
                <w:rFonts w:ascii="Times New Roman" w:hAnsi="Times New Roman"/>
                <w:i/>
                <w:iCs/>
                <w:sz w:val="24"/>
                <w:szCs w:val="24"/>
              </w:rPr>
              <w:t>)</w:t>
            </w:r>
            <w:r w:rsidRPr="00A071E4">
              <w:rPr>
                <w:rFonts w:ascii="Times New Roman" w:hAnsi="Times New Roman"/>
                <w:sz w:val="24"/>
                <w:szCs w:val="24"/>
              </w:rPr>
              <w:t xml:space="preserve">. </w:t>
            </w:r>
          </w:p>
          <w:p w14:paraId="1ECCA5EF" w14:textId="77777777" w:rsidR="00027CF9" w:rsidRPr="00A071E4" w:rsidRDefault="00A071E4" w:rsidP="007A4896">
            <w:pPr>
              <w:pStyle w:val="ListParagraph"/>
              <w:spacing w:after="0" w:line="0" w:lineRule="atLeast"/>
              <w:ind w:left="714"/>
              <w:rPr>
                <w:sz w:val="24"/>
                <w:szCs w:val="24"/>
              </w:rPr>
            </w:pPr>
            <w:r w:rsidRPr="00A071E4">
              <w:rPr>
                <w:rFonts w:ascii="Times New Roman" w:hAnsi="Times New Roman"/>
                <w:sz w:val="24"/>
                <w:szCs w:val="24"/>
              </w:rPr>
              <w:t>Ņemot vērā minēto, kā arī to, ka pamatnostādņu projektā lietotais termins "notarizēts" attiecināms uz Latvijas regulējumu, bet tā lietošana pamatnostādņu projekta kontekstā var maldināt, liekot noprast, ka zvērināta notāra iesaiste tomēr ir paredzēta, lūdzam aizstāt termina "notarizēts" lietojumu pamatnostādņu projekta 3. pielikumā ar terminu "apstiprināts" vai citu atbilstošu terminu, vienlaikus svītrot minētajā aprakstā šādu informāciju "</w:t>
            </w:r>
            <w:r w:rsidRPr="00A071E4">
              <w:rPr>
                <w:rFonts w:ascii="Times New Roman" w:hAnsi="Times New Roman"/>
                <w:i/>
                <w:iCs/>
                <w:sz w:val="24"/>
                <w:szCs w:val="24"/>
              </w:rPr>
              <w:t xml:space="preserve">Ar </w:t>
            </w:r>
            <w:proofErr w:type="spellStart"/>
            <w:r w:rsidRPr="00A071E4">
              <w:rPr>
                <w:rFonts w:ascii="Times New Roman" w:hAnsi="Times New Roman"/>
                <w:i/>
                <w:iCs/>
                <w:sz w:val="24"/>
                <w:szCs w:val="24"/>
              </w:rPr>
              <w:t>notarizāciju</w:t>
            </w:r>
            <w:proofErr w:type="spellEnd"/>
            <w:r w:rsidRPr="00A071E4">
              <w:rPr>
                <w:rFonts w:ascii="Times New Roman" w:hAnsi="Times New Roman"/>
                <w:i/>
                <w:iCs/>
                <w:sz w:val="24"/>
                <w:szCs w:val="24"/>
              </w:rPr>
              <w:t xml:space="preserve"> šeit tiek saprasta starpnieka esamība, kas apliecina kādu faktu. </w:t>
            </w:r>
            <w:proofErr w:type="spellStart"/>
            <w:r w:rsidRPr="00A071E4">
              <w:rPr>
                <w:rFonts w:ascii="Times New Roman" w:hAnsi="Times New Roman"/>
                <w:i/>
                <w:iCs/>
                <w:sz w:val="24"/>
                <w:szCs w:val="24"/>
              </w:rPr>
              <w:t>Notarizācija</w:t>
            </w:r>
            <w:proofErr w:type="spellEnd"/>
            <w:r w:rsidRPr="00A071E4">
              <w:rPr>
                <w:rFonts w:ascii="Times New Roman" w:hAnsi="Times New Roman"/>
                <w:i/>
                <w:iCs/>
                <w:sz w:val="24"/>
                <w:szCs w:val="24"/>
              </w:rPr>
              <w:t xml:space="preserve"> ir plašāks jēdziens nekā Notariāta likumā noteiktais. Piemēram, banka apliecina finanšu darījuma esamību, tātad arī notarizē to. Ierakstītās vēstules gadījumā pasts nodrošina piegādes fakta </w:t>
            </w:r>
            <w:proofErr w:type="spellStart"/>
            <w:r w:rsidRPr="00A071E4">
              <w:rPr>
                <w:rFonts w:ascii="Times New Roman" w:hAnsi="Times New Roman"/>
                <w:i/>
                <w:iCs/>
                <w:sz w:val="24"/>
                <w:szCs w:val="24"/>
              </w:rPr>
              <w:t>notarizāciju</w:t>
            </w:r>
            <w:proofErr w:type="spellEnd"/>
            <w:r w:rsidRPr="00A071E4">
              <w:rPr>
                <w:rFonts w:ascii="Times New Roman" w:hAnsi="Times New Roman"/>
                <w:i/>
                <w:iCs/>
                <w:sz w:val="24"/>
                <w:szCs w:val="24"/>
              </w:rPr>
              <w:t xml:space="preserve"> (apliecināšanu), bet pasts nevar notarizēt (apliecināt) dokumenta saturu</w:t>
            </w:r>
            <w:r w:rsidRPr="00A071E4">
              <w:rPr>
                <w:rFonts w:ascii="Times New Roman" w:hAnsi="Times New Roman"/>
                <w:sz w:val="24"/>
                <w:szCs w:val="24"/>
              </w:rPr>
              <w:t>.".</w:t>
            </w:r>
          </w:p>
        </w:tc>
        <w:tc>
          <w:tcPr>
            <w:tcW w:w="2480" w:type="dxa"/>
            <w:tcBorders>
              <w:left w:val="single" w:sz="6" w:space="0" w:color="000000" w:themeColor="text1"/>
              <w:bottom w:val="single" w:sz="4" w:space="0" w:color="auto"/>
            </w:tcBorders>
            <w:shd w:val="clear" w:color="auto" w:fill="auto"/>
          </w:tcPr>
          <w:p w14:paraId="2C0688B5" w14:textId="76C1559F" w:rsidR="00FB4034" w:rsidRDefault="00FB4034" w:rsidP="00FB4034">
            <w:pPr>
              <w:pStyle w:val="naisc"/>
              <w:spacing w:before="0" w:after="0" w:line="259" w:lineRule="auto"/>
              <w:jc w:val="left"/>
              <w:rPr>
                <w:b/>
                <w:bCs/>
              </w:rPr>
            </w:pPr>
            <w:r>
              <w:rPr>
                <w:b/>
                <w:bCs/>
              </w:rPr>
              <w:lastRenderedPageBreak/>
              <w:t>Ņemts vērā</w:t>
            </w:r>
          </w:p>
          <w:p w14:paraId="11B75B27" w14:textId="77777777" w:rsidR="00FB4034" w:rsidRDefault="00FB4034" w:rsidP="00FB4034">
            <w:pPr>
              <w:pStyle w:val="naisc"/>
              <w:spacing w:before="0" w:after="0" w:line="259" w:lineRule="auto"/>
              <w:jc w:val="left"/>
            </w:pPr>
            <w:r w:rsidRPr="00185251">
              <w:t xml:space="preserve">Tomēr norādām, ka piem. </w:t>
            </w:r>
            <w:r w:rsidRPr="00185251">
              <w:rPr>
                <w:i/>
                <w:iCs/>
              </w:rPr>
              <w:t xml:space="preserve">EUROPEAN COURT OF AUDITORS: </w:t>
            </w:r>
            <w:proofErr w:type="spellStart"/>
            <w:r w:rsidRPr="00185251">
              <w:rPr>
                <w:i/>
                <w:iCs/>
              </w:rPr>
              <w:t>Blockchain</w:t>
            </w:r>
            <w:proofErr w:type="spellEnd"/>
            <w:r w:rsidRPr="00185251">
              <w:rPr>
                <w:i/>
                <w:iCs/>
              </w:rPr>
              <w:t xml:space="preserve"> </w:t>
            </w:r>
            <w:proofErr w:type="spellStart"/>
            <w:r w:rsidRPr="00185251">
              <w:rPr>
                <w:i/>
                <w:iCs/>
              </w:rPr>
              <w:t>for</w:t>
            </w:r>
            <w:proofErr w:type="spellEnd"/>
            <w:r w:rsidRPr="00185251">
              <w:rPr>
                <w:i/>
                <w:iCs/>
              </w:rPr>
              <w:t xml:space="preserve"> </w:t>
            </w:r>
            <w:proofErr w:type="spellStart"/>
            <w:r w:rsidRPr="00185251">
              <w:rPr>
                <w:i/>
                <w:iCs/>
              </w:rPr>
              <w:t>European</w:t>
            </w:r>
            <w:proofErr w:type="spellEnd"/>
            <w:r w:rsidRPr="00185251">
              <w:rPr>
                <w:i/>
                <w:iCs/>
              </w:rPr>
              <w:t xml:space="preserve"> </w:t>
            </w:r>
            <w:proofErr w:type="spellStart"/>
            <w:r w:rsidRPr="00185251">
              <w:rPr>
                <w:i/>
                <w:iCs/>
              </w:rPr>
              <w:t>Union</w:t>
            </w:r>
            <w:proofErr w:type="spellEnd"/>
            <w:r w:rsidRPr="00185251">
              <w:rPr>
                <w:i/>
                <w:iCs/>
              </w:rPr>
              <w:t xml:space="preserve"> audit </w:t>
            </w:r>
            <w:hyperlink r:id="rId17" w:history="1">
              <w:r w:rsidRPr="00185251">
                <w:rPr>
                  <w:rStyle w:val="Hyperlink"/>
                </w:rPr>
                <w:t>https://eurosai-it.org/news/newsletter/1-2020/membersnews/eu-blockchain-audit</w:t>
              </w:r>
            </w:hyperlink>
            <w:r w:rsidRPr="00185251">
              <w:t xml:space="preserve"> ir lietots termins “</w:t>
            </w:r>
            <w:r w:rsidRPr="007555D1">
              <w:rPr>
                <w:b/>
                <w:bCs/>
                <w:u w:val="single"/>
              </w:rPr>
              <w:t>notarizēts</w:t>
            </w:r>
            <w:r w:rsidRPr="00185251">
              <w:t>”.</w:t>
            </w:r>
          </w:p>
          <w:p w14:paraId="4230A103" w14:textId="77777777" w:rsidR="00027CF9" w:rsidRPr="009841AB" w:rsidRDefault="00FB4034" w:rsidP="0018109A">
            <w:pPr>
              <w:pStyle w:val="naisc"/>
              <w:spacing w:before="0" w:after="0"/>
              <w:jc w:val="left"/>
              <w:rPr>
                <w:b/>
                <w:bCs/>
              </w:rPr>
            </w:pPr>
            <w:r>
              <w:t xml:space="preserve">Vai </w:t>
            </w:r>
            <w:proofErr w:type="spellStart"/>
            <w:r w:rsidRPr="007555D1">
              <w:rPr>
                <w:i/>
                <w:iCs/>
              </w:rPr>
              <w:t>About</w:t>
            </w:r>
            <w:proofErr w:type="spellEnd"/>
            <w:r w:rsidRPr="007555D1">
              <w:rPr>
                <w:i/>
                <w:iCs/>
              </w:rPr>
              <w:t xml:space="preserve"> </w:t>
            </w:r>
            <w:proofErr w:type="spellStart"/>
            <w:r w:rsidRPr="007555D1">
              <w:rPr>
                <w:i/>
                <w:iCs/>
              </w:rPr>
              <w:t>Blockchain</w:t>
            </w:r>
            <w:proofErr w:type="spellEnd"/>
            <w:r w:rsidRPr="007555D1">
              <w:rPr>
                <w:i/>
                <w:iCs/>
              </w:rPr>
              <w:t xml:space="preserve"> </w:t>
            </w:r>
            <w:proofErr w:type="spellStart"/>
            <w:r w:rsidRPr="007555D1">
              <w:rPr>
                <w:i/>
                <w:iCs/>
              </w:rPr>
              <w:t>Based</w:t>
            </w:r>
            <w:proofErr w:type="spellEnd"/>
            <w:r w:rsidRPr="007555D1">
              <w:rPr>
                <w:i/>
                <w:iCs/>
              </w:rPr>
              <w:t xml:space="preserve"> </w:t>
            </w:r>
            <w:proofErr w:type="spellStart"/>
            <w:r w:rsidRPr="007555D1">
              <w:rPr>
                <w:b/>
                <w:bCs/>
                <w:i/>
                <w:iCs/>
                <w:u w:val="single"/>
              </w:rPr>
              <w:t>Notary</w:t>
            </w:r>
            <w:proofErr w:type="spellEnd"/>
            <w:r w:rsidRPr="007555D1">
              <w:rPr>
                <w:i/>
                <w:iCs/>
              </w:rPr>
              <w:t xml:space="preserve"> </w:t>
            </w:r>
            <w:proofErr w:type="spellStart"/>
            <w:r w:rsidRPr="007555D1">
              <w:rPr>
                <w:i/>
                <w:iCs/>
              </w:rPr>
              <w:t>Proof</w:t>
            </w:r>
            <w:proofErr w:type="spellEnd"/>
            <w:r w:rsidRPr="007555D1">
              <w:rPr>
                <w:i/>
                <w:iCs/>
              </w:rPr>
              <w:t xml:space="preserve"> </w:t>
            </w:r>
            <w:proofErr w:type="spellStart"/>
            <w:r w:rsidRPr="007555D1">
              <w:rPr>
                <w:i/>
                <w:iCs/>
              </w:rPr>
              <w:t>Of</w:t>
            </w:r>
            <w:proofErr w:type="spellEnd"/>
            <w:r w:rsidRPr="007555D1">
              <w:rPr>
                <w:i/>
                <w:iCs/>
              </w:rPr>
              <w:t xml:space="preserve"> </w:t>
            </w:r>
            <w:proofErr w:type="spellStart"/>
            <w:r w:rsidRPr="007555D1">
              <w:rPr>
                <w:i/>
                <w:iCs/>
              </w:rPr>
              <w:t>Concept</w:t>
            </w:r>
            <w:proofErr w:type="spellEnd"/>
            <w:r w:rsidRPr="007555D1">
              <w:rPr>
                <w:i/>
                <w:iCs/>
              </w:rPr>
              <w:t xml:space="preserve"> </w:t>
            </w:r>
            <w:hyperlink r:id="rId18" w:history="1">
              <w:r w:rsidRPr="001A37C7">
                <w:rPr>
                  <w:rStyle w:val="Hyperlink"/>
                </w:rPr>
                <w:t>https://joinup.ec.europa.eu/collection/blockchain-egov-services/solution/blockchain-based-notary-proof-concept/about</w:t>
              </w:r>
            </w:hyperlink>
          </w:p>
        </w:tc>
        <w:tc>
          <w:tcPr>
            <w:tcW w:w="3504" w:type="dxa"/>
            <w:gridSpan w:val="2"/>
            <w:tcBorders>
              <w:left w:val="single" w:sz="6" w:space="0" w:color="000000" w:themeColor="text1"/>
              <w:bottom w:val="single" w:sz="4" w:space="0" w:color="auto"/>
            </w:tcBorders>
            <w:shd w:val="clear" w:color="auto" w:fill="auto"/>
          </w:tcPr>
          <w:p w14:paraId="4BD4EF5A" w14:textId="77777777" w:rsidR="00DD2DF9" w:rsidRDefault="00DD2DF9" w:rsidP="00DD2DF9">
            <w:pPr>
              <w:pStyle w:val="naisc"/>
              <w:spacing w:before="0" w:after="0"/>
              <w:jc w:val="both"/>
            </w:pPr>
            <w:r w:rsidRPr="009841AB">
              <w:lastRenderedPageBreak/>
              <w:t>Lūdzam skatīt sadaļu 4.</w:t>
            </w:r>
            <w:r>
              <w:t>4.</w:t>
            </w:r>
          </w:p>
          <w:p w14:paraId="5E9DD29E" w14:textId="77777777" w:rsidR="00027CF9" w:rsidRPr="009841AB" w:rsidRDefault="00027CF9" w:rsidP="0018109A">
            <w:pPr>
              <w:tabs>
                <w:tab w:val="left" w:pos="426"/>
              </w:tabs>
              <w:spacing w:after="120"/>
              <w:jc w:val="both"/>
            </w:pPr>
          </w:p>
        </w:tc>
      </w:tr>
      <w:tr w:rsidR="00027CF9" w:rsidRPr="009841AB" w14:paraId="217DB3A7" w14:textId="77777777" w:rsidTr="00DC72A3">
        <w:tc>
          <w:tcPr>
            <w:tcW w:w="613" w:type="dxa"/>
            <w:tcBorders>
              <w:left w:val="single" w:sz="6" w:space="0" w:color="000000" w:themeColor="text1"/>
              <w:bottom w:val="single" w:sz="4" w:space="0" w:color="auto"/>
            </w:tcBorders>
            <w:shd w:val="clear" w:color="auto" w:fill="auto"/>
          </w:tcPr>
          <w:p w14:paraId="6446CA0E" w14:textId="77777777" w:rsidR="00027CF9" w:rsidRPr="009841AB" w:rsidRDefault="009F7132" w:rsidP="0018109A">
            <w:pPr>
              <w:pStyle w:val="naisc"/>
              <w:spacing w:before="0" w:after="0"/>
            </w:pPr>
            <w:r>
              <w:lastRenderedPageBreak/>
              <w:t>440</w:t>
            </w:r>
          </w:p>
        </w:tc>
        <w:tc>
          <w:tcPr>
            <w:tcW w:w="2427" w:type="dxa"/>
            <w:tcBorders>
              <w:left w:val="single" w:sz="6" w:space="0" w:color="000000" w:themeColor="text1"/>
              <w:bottom w:val="single" w:sz="4" w:space="0" w:color="auto"/>
            </w:tcBorders>
            <w:shd w:val="clear" w:color="auto" w:fill="auto"/>
          </w:tcPr>
          <w:p w14:paraId="0AC274C6" w14:textId="77777777" w:rsidR="00027CF9" w:rsidRPr="009841AB" w:rsidRDefault="006F40DD" w:rsidP="0018109A">
            <w:pPr>
              <w:pStyle w:val="naisc"/>
              <w:spacing w:before="0" w:after="0"/>
              <w:jc w:val="left"/>
            </w:pPr>
            <w:r>
              <w:t>4.4. sadaļa</w:t>
            </w:r>
          </w:p>
        </w:tc>
        <w:tc>
          <w:tcPr>
            <w:tcW w:w="5427" w:type="dxa"/>
            <w:tcBorders>
              <w:left w:val="single" w:sz="6" w:space="0" w:color="000000" w:themeColor="text1"/>
              <w:bottom w:val="single" w:sz="4" w:space="0" w:color="auto"/>
            </w:tcBorders>
            <w:shd w:val="clear" w:color="auto" w:fill="auto"/>
          </w:tcPr>
          <w:p w14:paraId="610682CE" w14:textId="77777777" w:rsidR="00027CF9" w:rsidRPr="009841AB" w:rsidRDefault="00D87298" w:rsidP="0018109A">
            <w:pPr>
              <w:ind w:right="12"/>
              <w:jc w:val="both"/>
            </w:pPr>
            <w:r>
              <w:t xml:space="preserve">2. </w:t>
            </w:r>
            <w:r w:rsidRPr="00D87298">
              <w:t xml:space="preserve">Attiecībā uz 4.4.5.2.-2 uzdevumu norādāms, ka nav saprotama Tieslietu ministrijas kā atbildīgās institūcijas loma. Vēršam uzmanību, ka Vides aizsardzības un reģionālās attīstības ministrijas diskusiju dokumentā par finanšu avotu identificēšanu bija iekļauts Kultūras ministrijas projekts “Sabiedrisko </w:t>
            </w:r>
            <w:r w:rsidRPr="00D87298">
              <w:lastRenderedPageBreak/>
              <w:t>mediju patstāvības nodrošināšana un to tehnoloģiju, infrastruktūras un satura modernizēšana”, tāpēc pieņemams, ka šī ministrija būtu nosakāma kā atbildīgā pie šī uzdevuma. Turklāt, 3.pielikuma V ailē norādīta atsauce uz NAP indikatīvās finanšu tabulas 266.uzdevumu (Excel pielikuma 5.izklājlapa), kur Tieslietu ministrija nav noteikta atbildīgo sarakstā.</w:t>
            </w:r>
          </w:p>
        </w:tc>
        <w:tc>
          <w:tcPr>
            <w:tcW w:w="2480" w:type="dxa"/>
            <w:tcBorders>
              <w:left w:val="single" w:sz="6" w:space="0" w:color="000000" w:themeColor="text1"/>
              <w:bottom w:val="single" w:sz="4" w:space="0" w:color="auto"/>
            </w:tcBorders>
            <w:shd w:val="clear" w:color="auto" w:fill="auto"/>
          </w:tcPr>
          <w:p w14:paraId="51D4FF7D" w14:textId="77777777" w:rsidR="00027CF9" w:rsidRPr="009841AB" w:rsidRDefault="007A67C8" w:rsidP="0018109A">
            <w:pPr>
              <w:pStyle w:val="naisc"/>
              <w:spacing w:before="0" w:after="0"/>
              <w:jc w:val="left"/>
              <w:rPr>
                <w:b/>
                <w:bCs/>
              </w:rPr>
            </w:pPr>
            <w:r>
              <w:rPr>
                <w:b/>
                <w:bCs/>
              </w:rPr>
              <w:lastRenderedPageBreak/>
              <w:t>Ņemts vērā</w:t>
            </w:r>
          </w:p>
        </w:tc>
        <w:tc>
          <w:tcPr>
            <w:tcW w:w="3504" w:type="dxa"/>
            <w:gridSpan w:val="2"/>
            <w:tcBorders>
              <w:left w:val="single" w:sz="6" w:space="0" w:color="000000" w:themeColor="text1"/>
              <w:bottom w:val="single" w:sz="4" w:space="0" w:color="auto"/>
            </w:tcBorders>
            <w:shd w:val="clear" w:color="auto" w:fill="auto"/>
          </w:tcPr>
          <w:p w14:paraId="735A3267" w14:textId="77777777" w:rsidR="00027CF9" w:rsidRDefault="00266CA4" w:rsidP="0018109A">
            <w:pPr>
              <w:tabs>
                <w:tab w:val="left" w:pos="426"/>
              </w:tabs>
              <w:spacing w:after="120"/>
              <w:jc w:val="both"/>
            </w:pPr>
            <w:r>
              <w:t>Lūdzu skat. 4.4.5.2.-2.</w:t>
            </w:r>
            <w:r w:rsidR="009261CE">
              <w:t xml:space="preserve"> uzdevumu</w:t>
            </w:r>
          </w:p>
          <w:p w14:paraId="664C8B02" w14:textId="77777777" w:rsidR="00027CF9" w:rsidRPr="009841AB" w:rsidRDefault="00027CF9" w:rsidP="0018109A">
            <w:pPr>
              <w:tabs>
                <w:tab w:val="left" w:pos="426"/>
              </w:tabs>
              <w:spacing w:after="120"/>
              <w:jc w:val="both"/>
            </w:pPr>
          </w:p>
        </w:tc>
      </w:tr>
      <w:tr w:rsidR="00D87298" w:rsidRPr="009841AB" w14:paraId="06FD3616" w14:textId="77777777" w:rsidTr="00DC72A3">
        <w:tc>
          <w:tcPr>
            <w:tcW w:w="613" w:type="dxa"/>
            <w:tcBorders>
              <w:left w:val="single" w:sz="6" w:space="0" w:color="000000" w:themeColor="text1"/>
              <w:bottom w:val="single" w:sz="4" w:space="0" w:color="auto"/>
            </w:tcBorders>
            <w:shd w:val="clear" w:color="auto" w:fill="auto"/>
          </w:tcPr>
          <w:p w14:paraId="6E61E508" w14:textId="77777777" w:rsidR="00D87298" w:rsidRPr="009841AB" w:rsidRDefault="009F7132" w:rsidP="0018109A">
            <w:pPr>
              <w:pStyle w:val="naisc"/>
              <w:spacing w:before="0" w:after="0"/>
            </w:pPr>
            <w:r>
              <w:t>441</w:t>
            </w:r>
          </w:p>
        </w:tc>
        <w:tc>
          <w:tcPr>
            <w:tcW w:w="2427" w:type="dxa"/>
            <w:tcBorders>
              <w:left w:val="single" w:sz="6" w:space="0" w:color="000000" w:themeColor="text1"/>
              <w:bottom w:val="single" w:sz="4" w:space="0" w:color="auto"/>
            </w:tcBorders>
            <w:shd w:val="clear" w:color="auto" w:fill="auto"/>
          </w:tcPr>
          <w:p w14:paraId="3C9C5C2B" w14:textId="77777777" w:rsidR="00D87298" w:rsidRPr="009841AB" w:rsidRDefault="006F40DD" w:rsidP="0018109A">
            <w:pPr>
              <w:pStyle w:val="naisc"/>
              <w:spacing w:before="0" w:after="0"/>
              <w:jc w:val="left"/>
            </w:pPr>
            <w:r>
              <w:t>4.4. sadaļa</w:t>
            </w:r>
          </w:p>
        </w:tc>
        <w:tc>
          <w:tcPr>
            <w:tcW w:w="5427" w:type="dxa"/>
            <w:tcBorders>
              <w:left w:val="single" w:sz="6" w:space="0" w:color="000000" w:themeColor="text1"/>
              <w:bottom w:val="single" w:sz="4" w:space="0" w:color="auto"/>
            </w:tcBorders>
            <w:shd w:val="clear" w:color="auto" w:fill="auto"/>
          </w:tcPr>
          <w:p w14:paraId="5588A5A0" w14:textId="77777777" w:rsidR="00D87298" w:rsidRPr="009841AB" w:rsidRDefault="006F40DD" w:rsidP="0018109A">
            <w:pPr>
              <w:ind w:right="12"/>
              <w:jc w:val="both"/>
            </w:pPr>
            <w:r>
              <w:t xml:space="preserve">3. </w:t>
            </w:r>
            <w:r w:rsidRPr="006F40DD">
              <w:t xml:space="preserve">Attiecībā uz 4.4.5.2.-3. uzdevumu norādāms, ka Tieslietu ministrija kā vienas no atbildīgajām ministrijām loma nav saprotama, turklāt 2.pielikuma tabulā Tieslietu ministrija netiek norādīta kā atbildīgā vai līdzatbildīgā, bet no 3.pielikuma informācijas secināms, ka šo uzdevumu īsteno </w:t>
            </w:r>
            <w:proofErr w:type="spellStart"/>
            <w:r w:rsidRPr="006F40DD">
              <w:t>Iekšlietu</w:t>
            </w:r>
            <w:proofErr w:type="spellEnd"/>
            <w:r w:rsidRPr="006F40DD">
              <w:t xml:space="preserve"> ministrija esošā budžeta ietvaros.</w:t>
            </w:r>
          </w:p>
        </w:tc>
        <w:tc>
          <w:tcPr>
            <w:tcW w:w="2480" w:type="dxa"/>
            <w:tcBorders>
              <w:left w:val="single" w:sz="6" w:space="0" w:color="000000" w:themeColor="text1"/>
              <w:bottom w:val="single" w:sz="4" w:space="0" w:color="auto"/>
            </w:tcBorders>
            <w:shd w:val="clear" w:color="auto" w:fill="auto"/>
          </w:tcPr>
          <w:p w14:paraId="7646DA51" w14:textId="77777777" w:rsidR="00D87298" w:rsidRPr="009841AB" w:rsidRDefault="00F05EF8" w:rsidP="0018109A">
            <w:pPr>
              <w:pStyle w:val="naisc"/>
              <w:spacing w:before="0" w:after="0"/>
              <w:jc w:val="left"/>
              <w:rPr>
                <w:b/>
                <w:bCs/>
              </w:rPr>
            </w:pPr>
            <w:r>
              <w:rPr>
                <w:b/>
                <w:bCs/>
              </w:rPr>
              <w:t>Ņemts vērā</w:t>
            </w:r>
          </w:p>
        </w:tc>
        <w:tc>
          <w:tcPr>
            <w:tcW w:w="3504" w:type="dxa"/>
            <w:gridSpan w:val="2"/>
            <w:tcBorders>
              <w:left w:val="single" w:sz="6" w:space="0" w:color="000000" w:themeColor="text1"/>
              <w:bottom w:val="single" w:sz="4" w:space="0" w:color="auto"/>
            </w:tcBorders>
            <w:shd w:val="clear" w:color="auto" w:fill="auto"/>
          </w:tcPr>
          <w:p w14:paraId="1732448C" w14:textId="77777777" w:rsidR="00F05EF8" w:rsidRDefault="00F05EF8" w:rsidP="00F05EF8">
            <w:pPr>
              <w:tabs>
                <w:tab w:val="left" w:pos="426"/>
              </w:tabs>
              <w:spacing w:after="120"/>
              <w:jc w:val="both"/>
            </w:pPr>
            <w:r>
              <w:t>Lūdzu skat. 4.4.5.2.-3. uzdevumu</w:t>
            </w:r>
          </w:p>
          <w:p w14:paraId="7E7C70B8" w14:textId="77777777" w:rsidR="00D87298" w:rsidRPr="009841AB" w:rsidRDefault="00D87298" w:rsidP="0018109A">
            <w:pPr>
              <w:tabs>
                <w:tab w:val="left" w:pos="426"/>
              </w:tabs>
              <w:spacing w:after="120"/>
              <w:jc w:val="both"/>
            </w:pPr>
          </w:p>
        </w:tc>
      </w:tr>
      <w:tr w:rsidR="00D87298" w:rsidRPr="009841AB" w14:paraId="6EFD1C96" w14:textId="77777777" w:rsidTr="00DC72A3">
        <w:tc>
          <w:tcPr>
            <w:tcW w:w="613" w:type="dxa"/>
            <w:tcBorders>
              <w:left w:val="single" w:sz="6" w:space="0" w:color="000000" w:themeColor="text1"/>
              <w:bottom w:val="single" w:sz="4" w:space="0" w:color="auto"/>
            </w:tcBorders>
            <w:shd w:val="clear" w:color="auto" w:fill="auto"/>
          </w:tcPr>
          <w:p w14:paraId="3B10AB8E" w14:textId="77777777" w:rsidR="00D87298" w:rsidRPr="009841AB" w:rsidRDefault="009F7132" w:rsidP="0018109A">
            <w:pPr>
              <w:pStyle w:val="naisc"/>
              <w:spacing w:before="0" w:after="0"/>
            </w:pPr>
            <w:r>
              <w:t>442</w:t>
            </w:r>
          </w:p>
        </w:tc>
        <w:tc>
          <w:tcPr>
            <w:tcW w:w="2427" w:type="dxa"/>
            <w:tcBorders>
              <w:left w:val="single" w:sz="6" w:space="0" w:color="000000" w:themeColor="text1"/>
              <w:bottom w:val="single" w:sz="4" w:space="0" w:color="auto"/>
            </w:tcBorders>
            <w:shd w:val="clear" w:color="auto" w:fill="auto"/>
          </w:tcPr>
          <w:p w14:paraId="09923DF5" w14:textId="6DEDC95C" w:rsidR="00D87298" w:rsidRPr="009841AB" w:rsidRDefault="00DD2DF9" w:rsidP="0018109A">
            <w:pPr>
              <w:pStyle w:val="naisc"/>
              <w:spacing w:before="0" w:after="0"/>
              <w:jc w:val="left"/>
            </w:pPr>
            <w:r>
              <w:t>4.4. sadaļa</w:t>
            </w:r>
          </w:p>
        </w:tc>
        <w:tc>
          <w:tcPr>
            <w:tcW w:w="5427" w:type="dxa"/>
            <w:tcBorders>
              <w:left w:val="single" w:sz="6" w:space="0" w:color="000000" w:themeColor="text1"/>
              <w:bottom w:val="single" w:sz="4" w:space="0" w:color="auto"/>
            </w:tcBorders>
            <w:shd w:val="clear" w:color="auto" w:fill="auto"/>
          </w:tcPr>
          <w:p w14:paraId="4A5F8B89" w14:textId="77777777" w:rsidR="006601BA" w:rsidRPr="006601BA" w:rsidRDefault="006601BA" w:rsidP="006601BA">
            <w:pPr>
              <w:spacing w:line="0" w:lineRule="atLeast"/>
            </w:pPr>
            <w:r>
              <w:t xml:space="preserve">4. </w:t>
            </w:r>
            <w:r w:rsidRPr="006601BA">
              <w:t>Pamatnostādņu projekta izziņas ailē Nr.330, 4.4.sadaļa “</w:t>
            </w:r>
            <w:r w:rsidR="00F05EF8" w:rsidRPr="006601BA">
              <w:t>Priekšlikumi</w:t>
            </w:r>
            <w:r w:rsidRPr="006601BA">
              <w:t xml:space="preserve">” (196.-197.lpp.) izvirzīti divi priekšlikumi: “Pamatnostādņu projekta </w:t>
            </w:r>
            <w:r w:rsidRPr="006601BA">
              <w:rPr>
                <w:b/>
                <w:bCs/>
              </w:rPr>
              <w:t>4.4.2.2.</w:t>
            </w:r>
            <w:r w:rsidRPr="006601BA">
              <w:t xml:space="preserve"> Rīcības </w:t>
            </w:r>
            <w:proofErr w:type="spellStart"/>
            <w:r w:rsidRPr="006601BA">
              <w:t>apakšvirzienā</w:t>
            </w:r>
            <w:proofErr w:type="spellEnd"/>
            <w:r w:rsidRPr="006601BA">
              <w:t xml:space="preserve"> “Fizisko personu datu aizsardzība” </w:t>
            </w:r>
            <w:r w:rsidRPr="006601BA">
              <w:rPr>
                <w:b/>
                <w:bCs/>
              </w:rPr>
              <w:t>ir paredzēts uzdevums “U4.4.2.2.-1”</w:t>
            </w:r>
            <w:r w:rsidRPr="006601BA">
              <w:t xml:space="preserve"> – </w:t>
            </w:r>
            <w:r w:rsidRPr="006601BA">
              <w:rPr>
                <w:i/>
                <w:iCs/>
              </w:rPr>
              <w:t xml:space="preserve">Izveidot un ieviest plānu regulārai sabiedrības izpratnes veicināšanai par fizisko personu datu aizsardzību, it īpaši saistībā ar jauno digitālo tehnoloģiju izmantošanu, tajā skaitā mākslīgo intelektu un lietu internetu, un uzdevums </w:t>
            </w:r>
            <w:r w:rsidRPr="006601BA">
              <w:rPr>
                <w:b/>
                <w:bCs/>
              </w:rPr>
              <w:t>“U4.4.5.2.-3”</w:t>
            </w:r>
            <w:r w:rsidRPr="006601BA">
              <w:t xml:space="preserve"> - </w:t>
            </w:r>
            <w:r w:rsidRPr="006601BA">
              <w:rPr>
                <w:i/>
                <w:iCs/>
              </w:rPr>
              <w:t>Izstrādāt digitālu personas datu apstrādes pārkāpumu, drošības analīzes un pārvaldības risinājumu saistībā ar Vispārīgo datu aizsardzības regulu, par ko kā atbildīgā institūcija ir noteikta Tieslietu ministrija.</w:t>
            </w:r>
            <w:r w:rsidRPr="006601BA">
              <w:t xml:space="preserve"> Norādām, ka saskaņā ar Datu regulas 57. panta 1. punkta “b” apakšpunktu uzraudzības iestāde veicina sabiedrības informētību un izpratni par riskiem, noteikumiem, garantijām un tiesībām saistībā ar apstrādi. Saskaņā ar Fizisko personu datu apstrādes likuma 4. panta pirmās daļas 11. punktu Datu valsts inspekcija veic pētījumus, </w:t>
            </w:r>
            <w:r w:rsidRPr="006601BA">
              <w:lastRenderedPageBreak/>
              <w:t xml:space="preserve">analizē situāciju, sniedz ieteikumus un atzinumus, kā arī informē sabiedrību par aktuāliem jautājumiem savas kompetences jomās. Ņemot vērā Datu valsts inspekcijas kompetenci, lūdzam par uzdevumu </w:t>
            </w:r>
            <w:r w:rsidRPr="006601BA">
              <w:rPr>
                <w:b/>
                <w:bCs/>
              </w:rPr>
              <w:t>“U4.4.2.2.-1</w:t>
            </w:r>
            <w:r w:rsidRPr="006601BA">
              <w:t xml:space="preserve">” tāpat arī uzdevumu </w:t>
            </w:r>
            <w:r w:rsidRPr="006601BA">
              <w:rPr>
                <w:b/>
                <w:bCs/>
              </w:rPr>
              <w:t>“U4.4.5.2.-3”</w:t>
            </w:r>
            <w:r w:rsidRPr="006601BA">
              <w:t xml:space="preserve"> kā atbildīgo noteikt Datu valsts inspekciju. Tāpat lūdzam attiecīgi precizēt arī pamatnostādņu projekta pielikuma (2.pielikums “Rīcības virzieni un uzdevumi”) </w:t>
            </w:r>
            <w:r w:rsidRPr="006601BA">
              <w:rPr>
                <w:b/>
                <w:bCs/>
              </w:rPr>
              <w:t>4.4.2.2.-1.</w:t>
            </w:r>
            <w:r w:rsidRPr="006601BA">
              <w:t xml:space="preserve"> sadaļas uzdevumu </w:t>
            </w:r>
            <w:r w:rsidRPr="006601BA">
              <w:rPr>
                <w:i/>
                <w:iCs/>
              </w:rPr>
              <w:t>“Izveidot un ieviest plānu regulārai sabiedrības izpratnes veicināšanai par fizisko personu datu aizsardzību, it īpaši saistībā ar jauno digitālo tehnoloģiju izmantošanu, tajā skaitā mākslīgo intelektu un lietu internetu”</w:t>
            </w:r>
            <w:r w:rsidRPr="006601BA">
              <w:t xml:space="preserve"> sadaļu “Atbildīgās institūcijas”, precizējot, ka atbildīgā institūcija ir Datu valsts inspekcija.” Vienlaikus norādām, ka Izziņa satur norādi, ka iebildums ir ņemts vērā, ka pamatnostādņu projektā attiecīgā galīgā redakcija norādīta </w:t>
            </w:r>
            <w:proofErr w:type="spellStart"/>
            <w:r w:rsidRPr="006601BA">
              <w:rPr>
                <w:b/>
                <w:bCs/>
              </w:rPr>
              <w:t>apakšsadaļa</w:t>
            </w:r>
            <w:proofErr w:type="spellEnd"/>
            <w:r w:rsidRPr="006601BA">
              <w:rPr>
                <w:b/>
                <w:bCs/>
              </w:rPr>
              <w:t xml:space="preserve"> 4.4.2.2.</w:t>
            </w:r>
          </w:p>
          <w:p w14:paraId="4E78F510" w14:textId="77777777" w:rsidR="006601BA" w:rsidRDefault="006601BA" w:rsidP="006601BA">
            <w:pPr>
              <w:pStyle w:val="ListParagraph"/>
              <w:spacing w:line="0" w:lineRule="atLeast"/>
              <w:ind w:left="714"/>
              <w:rPr>
                <w:sz w:val="24"/>
                <w:szCs w:val="24"/>
              </w:rPr>
            </w:pPr>
            <w:r>
              <w:rPr>
                <w:sz w:val="24"/>
                <w:szCs w:val="24"/>
              </w:rPr>
              <w:t xml:space="preserve">Attiecībā uz pirmo uzdevumu </w:t>
            </w:r>
            <w:r>
              <w:rPr>
                <w:b/>
                <w:bCs/>
                <w:sz w:val="24"/>
                <w:szCs w:val="24"/>
              </w:rPr>
              <w:t>U4.4.2.2.-1”</w:t>
            </w:r>
            <w:r>
              <w:rPr>
                <w:sz w:val="24"/>
                <w:szCs w:val="24"/>
              </w:rPr>
              <w:t xml:space="preserve"> - </w:t>
            </w:r>
            <w:r>
              <w:rPr>
                <w:i/>
                <w:iCs/>
                <w:sz w:val="24"/>
                <w:szCs w:val="24"/>
              </w:rPr>
              <w:t xml:space="preserve">Izveidot un ieviest plānu regulārai sabiedrības izpratnes veicināšanai par fizisko personu datu aizsardzību, it īpaši saistībā ar jauno digitālo tehnoloģiju izmantošanu, tajā skaitā mākslīgo intelektu un lietu internetu, un uzdevums”, </w:t>
            </w:r>
            <w:r>
              <w:rPr>
                <w:sz w:val="24"/>
                <w:szCs w:val="24"/>
              </w:rPr>
              <w:t xml:space="preserve">Tieslietu ministrija ierosina aizstāt uzdevuma </w:t>
            </w:r>
            <w:r>
              <w:rPr>
                <w:b/>
                <w:bCs/>
                <w:sz w:val="24"/>
                <w:szCs w:val="24"/>
              </w:rPr>
              <w:t xml:space="preserve">U4.4.2.2.-1 </w:t>
            </w:r>
            <w:r>
              <w:rPr>
                <w:sz w:val="24"/>
                <w:szCs w:val="24"/>
              </w:rPr>
              <w:t xml:space="preserve">redakcijā norādīto “plānu” ar “pasākumiem”, jo nav saprotams, kas ir domāts ar “plānu”. Ierosinām uzdevumu </w:t>
            </w:r>
            <w:r>
              <w:rPr>
                <w:b/>
                <w:bCs/>
                <w:sz w:val="24"/>
                <w:szCs w:val="24"/>
              </w:rPr>
              <w:t xml:space="preserve">U4.4.2.2.-1 </w:t>
            </w:r>
            <w:r>
              <w:rPr>
                <w:sz w:val="24"/>
                <w:szCs w:val="24"/>
              </w:rPr>
              <w:t xml:space="preserve">precizēt šādā redakcijā: </w:t>
            </w:r>
            <w:r>
              <w:rPr>
                <w:i/>
                <w:iCs/>
                <w:sz w:val="24"/>
                <w:szCs w:val="24"/>
              </w:rPr>
              <w:t xml:space="preserve">“Veikt pasākumus regulārai sabiedrības izpratnes veicināšanai par fizisko personu datu aizsardzību, it īpaši saistībā ar jauno digitālo tehnoloģiju izmantošanu, tajā </w:t>
            </w:r>
            <w:r>
              <w:rPr>
                <w:i/>
                <w:iCs/>
                <w:sz w:val="24"/>
                <w:szCs w:val="24"/>
              </w:rPr>
              <w:lastRenderedPageBreak/>
              <w:t>skaitā mākslīgo intelektu un lietu internetu, un uzdevums”.</w:t>
            </w:r>
            <w:r>
              <w:rPr>
                <w:sz w:val="24"/>
                <w:szCs w:val="24"/>
              </w:rPr>
              <w:t xml:space="preserve"> </w:t>
            </w:r>
          </w:p>
          <w:p w14:paraId="115E4F0A" w14:textId="77777777" w:rsidR="006601BA" w:rsidRDefault="006601BA" w:rsidP="006601BA">
            <w:pPr>
              <w:pStyle w:val="ListParagraph"/>
              <w:spacing w:line="0" w:lineRule="atLeast"/>
              <w:ind w:left="714"/>
              <w:rPr>
                <w:b/>
                <w:bCs/>
                <w:sz w:val="24"/>
                <w:szCs w:val="24"/>
              </w:rPr>
            </w:pPr>
            <w:r>
              <w:rPr>
                <w:color w:val="000000"/>
                <w:sz w:val="24"/>
                <w:szCs w:val="24"/>
              </w:rPr>
              <w:t xml:space="preserve">Vienlaikus vēršam uzmanību, ka </w:t>
            </w:r>
            <w:r>
              <w:rPr>
                <w:sz w:val="24"/>
                <w:szCs w:val="24"/>
              </w:rPr>
              <w:t xml:space="preserve">Tieslietu ministrija, izskatot pamatnostādņu projekta </w:t>
            </w:r>
            <w:r>
              <w:rPr>
                <w:b/>
                <w:bCs/>
                <w:sz w:val="24"/>
                <w:szCs w:val="24"/>
              </w:rPr>
              <w:t xml:space="preserve">4.4.2.2. </w:t>
            </w:r>
            <w:proofErr w:type="spellStart"/>
            <w:r>
              <w:rPr>
                <w:sz w:val="24"/>
                <w:szCs w:val="24"/>
              </w:rPr>
              <w:t>apkšsadaļā</w:t>
            </w:r>
            <w:proofErr w:type="spellEnd"/>
            <w:r>
              <w:rPr>
                <w:sz w:val="24"/>
                <w:szCs w:val="24"/>
              </w:rPr>
              <w:t xml:space="preserve"> 62.lpp. iekļauto tabulu, kas attiecas uz uzdevumu  </w:t>
            </w:r>
            <w:r>
              <w:rPr>
                <w:b/>
                <w:bCs/>
                <w:sz w:val="24"/>
                <w:szCs w:val="24"/>
              </w:rPr>
              <w:t>U4.4.2.2.-1</w:t>
            </w:r>
            <w:r>
              <w:rPr>
                <w:sz w:val="24"/>
                <w:szCs w:val="24"/>
              </w:rPr>
              <w:t>, pretēji Izziņā norādītajam, neatrod, ka TM (DVI) būtu norādīta kā atbildīgā institūcija.</w:t>
            </w:r>
            <w:r>
              <w:rPr>
                <w:b/>
                <w:bCs/>
                <w:sz w:val="24"/>
                <w:szCs w:val="24"/>
              </w:rPr>
              <w:t xml:space="preserve"> </w:t>
            </w:r>
          </w:p>
          <w:p w14:paraId="6A0AFF82" w14:textId="77777777" w:rsidR="006601BA" w:rsidRDefault="006601BA" w:rsidP="006601BA">
            <w:pPr>
              <w:pStyle w:val="ListParagraph"/>
              <w:spacing w:line="0" w:lineRule="atLeast"/>
              <w:ind w:left="714"/>
              <w:rPr>
                <w:b/>
                <w:bCs/>
                <w:sz w:val="24"/>
                <w:szCs w:val="24"/>
              </w:rPr>
            </w:pPr>
            <w:r>
              <w:rPr>
                <w:sz w:val="24"/>
                <w:szCs w:val="24"/>
              </w:rPr>
              <w:t>Attiecībā uz</w:t>
            </w:r>
            <w:r>
              <w:rPr>
                <w:b/>
                <w:bCs/>
                <w:sz w:val="24"/>
                <w:szCs w:val="24"/>
              </w:rPr>
              <w:t xml:space="preserve"> </w:t>
            </w:r>
            <w:r>
              <w:rPr>
                <w:sz w:val="24"/>
                <w:szCs w:val="24"/>
              </w:rPr>
              <w:t xml:space="preserve">uzdevumu  </w:t>
            </w:r>
            <w:r>
              <w:rPr>
                <w:b/>
                <w:bCs/>
                <w:sz w:val="24"/>
                <w:szCs w:val="24"/>
              </w:rPr>
              <w:t xml:space="preserve">U4.4.2.2.-1 </w:t>
            </w:r>
            <w:r>
              <w:rPr>
                <w:sz w:val="24"/>
                <w:szCs w:val="24"/>
              </w:rPr>
              <w:t xml:space="preserve">Tieslietu ministrija izsaka priekšlikumu iekļaut kā līdzatbildīgus šī uzdevuma īstenošanā – VARAM un CERT.LV (Informācijas </w:t>
            </w:r>
            <w:r>
              <w:rPr>
                <w:color w:val="000000"/>
                <w:sz w:val="24"/>
                <w:szCs w:val="24"/>
              </w:rPr>
              <w:t xml:space="preserve">tehnoloģiju drošības incidentu novēršanas institūcija), ņemot vērā viņu kompetences un darbības jomas atbilstību. Proti, </w:t>
            </w:r>
            <w:r>
              <w:rPr>
                <w:color w:val="000000"/>
                <w:sz w:val="24"/>
                <w:szCs w:val="24"/>
                <w:shd w:val="clear" w:color="auto" w:fill="FFFFFF"/>
              </w:rPr>
              <w:t xml:space="preserve">VARAM ir vadošā iestāde mākslīgā intelekta risinājumu attīstības un ieviešanas jautājumos. Savukārt CERT.LV viens no uzdevumiem ir uzturēt un aktualizēt informāciju par IT drošības apdraudējumiem, sniegt atbalstu valsts institūcijām Informācijas tehnoloģiju drošības jomā. Līdz ar to lūdzam atbilstoši papildināt </w:t>
            </w:r>
            <w:r>
              <w:rPr>
                <w:color w:val="000000"/>
                <w:sz w:val="24"/>
                <w:szCs w:val="24"/>
              </w:rPr>
              <w:t xml:space="preserve">Pamatnostādņu projekta </w:t>
            </w:r>
            <w:r>
              <w:rPr>
                <w:b/>
                <w:bCs/>
                <w:color w:val="000000"/>
                <w:sz w:val="24"/>
                <w:szCs w:val="24"/>
              </w:rPr>
              <w:t>4.4.2.2.</w:t>
            </w:r>
            <w:r>
              <w:rPr>
                <w:color w:val="000000"/>
                <w:sz w:val="24"/>
                <w:szCs w:val="24"/>
              </w:rPr>
              <w:t xml:space="preserve"> </w:t>
            </w:r>
            <w:proofErr w:type="spellStart"/>
            <w:r>
              <w:rPr>
                <w:color w:val="000000"/>
                <w:sz w:val="24"/>
                <w:szCs w:val="24"/>
              </w:rPr>
              <w:t>apakšsadaļu</w:t>
            </w:r>
            <w:proofErr w:type="spellEnd"/>
            <w:r>
              <w:rPr>
                <w:color w:val="000000"/>
                <w:sz w:val="24"/>
                <w:szCs w:val="24"/>
              </w:rPr>
              <w:t xml:space="preserve"> daļā “Līdzatbildīgie”,</w:t>
            </w:r>
            <w:r>
              <w:rPr>
                <w:b/>
                <w:bCs/>
                <w:color w:val="000000"/>
                <w:sz w:val="24"/>
                <w:szCs w:val="24"/>
              </w:rPr>
              <w:t xml:space="preserve"> </w:t>
            </w:r>
            <w:r>
              <w:rPr>
                <w:color w:val="000000"/>
                <w:sz w:val="24"/>
                <w:szCs w:val="24"/>
              </w:rPr>
              <w:t xml:space="preserve">62.lpp. un </w:t>
            </w:r>
            <w:r>
              <w:rPr>
                <w:sz w:val="24"/>
                <w:szCs w:val="24"/>
              </w:rPr>
              <w:t>pamatnostādņu</w:t>
            </w:r>
            <w:r>
              <w:rPr>
                <w:color w:val="000000"/>
                <w:sz w:val="24"/>
                <w:szCs w:val="24"/>
              </w:rPr>
              <w:t xml:space="preserve"> projekta pielikuma (2.pielikums “Rīcības virzieni un uzdevumi”) uzdevumu </w:t>
            </w:r>
            <w:r>
              <w:rPr>
                <w:b/>
                <w:bCs/>
                <w:color w:val="000000"/>
                <w:sz w:val="24"/>
                <w:szCs w:val="24"/>
              </w:rPr>
              <w:t>U4.4.2.2.-</w:t>
            </w:r>
            <w:r>
              <w:rPr>
                <w:color w:val="000000"/>
                <w:sz w:val="24"/>
                <w:szCs w:val="24"/>
              </w:rPr>
              <w:t>1 sadaļā.</w:t>
            </w:r>
          </w:p>
          <w:p w14:paraId="42F90601" w14:textId="77777777" w:rsidR="00D87298" w:rsidRPr="006601BA" w:rsidRDefault="006601BA" w:rsidP="006601BA">
            <w:pPr>
              <w:pStyle w:val="ListParagraph"/>
              <w:spacing w:line="0" w:lineRule="atLeast"/>
              <w:ind w:left="714"/>
              <w:rPr>
                <w:b/>
                <w:color w:val="000000"/>
                <w:sz w:val="24"/>
                <w:szCs w:val="24"/>
              </w:rPr>
            </w:pPr>
            <w:r>
              <w:rPr>
                <w:color w:val="000000"/>
                <w:sz w:val="24"/>
                <w:szCs w:val="24"/>
              </w:rPr>
              <w:t>Attiecībā uz otro uzdevumu</w:t>
            </w:r>
            <w:r>
              <w:rPr>
                <w:b/>
                <w:bCs/>
                <w:color w:val="000000"/>
                <w:sz w:val="24"/>
                <w:szCs w:val="24"/>
              </w:rPr>
              <w:t xml:space="preserve"> U4.4.5.2.-3”</w:t>
            </w:r>
            <w:r>
              <w:rPr>
                <w:color w:val="000000"/>
                <w:sz w:val="24"/>
                <w:szCs w:val="24"/>
              </w:rPr>
              <w:t xml:space="preserve"> - </w:t>
            </w:r>
            <w:r>
              <w:rPr>
                <w:i/>
                <w:iCs/>
                <w:color w:val="000000"/>
                <w:sz w:val="24"/>
                <w:szCs w:val="24"/>
              </w:rPr>
              <w:t>Izstrādāt digitālu personas datu apstrādes pārkāpumu, drošības analīzes un pārvaldības risinājumu saistībā ar Vispārīgo datu aizsardzības regulu, par ko kā atbildīgā institūcija ir noteikta Tieslietu ministrija”,</w:t>
            </w:r>
            <w:r>
              <w:rPr>
                <w:color w:val="000000"/>
                <w:sz w:val="24"/>
                <w:szCs w:val="24"/>
              </w:rPr>
              <w:t xml:space="preserve"> </w:t>
            </w:r>
            <w:r>
              <w:rPr>
                <w:color w:val="000000"/>
                <w:sz w:val="24"/>
                <w:szCs w:val="24"/>
              </w:rPr>
              <w:lastRenderedPageBreak/>
              <w:t xml:space="preserve">izskatot pamatnostādņu projekta </w:t>
            </w:r>
            <w:r>
              <w:rPr>
                <w:b/>
                <w:bCs/>
                <w:color w:val="000000"/>
                <w:sz w:val="24"/>
                <w:szCs w:val="24"/>
              </w:rPr>
              <w:t xml:space="preserve">4.4.5.2.-3 </w:t>
            </w:r>
            <w:proofErr w:type="spellStart"/>
            <w:r>
              <w:rPr>
                <w:color w:val="000000"/>
                <w:sz w:val="24"/>
                <w:szCs w:val="24"/>
              </w:rPr>
              <w:t>apakšsadaļā</w:t>
            </w:r>
            <w:proofErr w:type="spellEnd"/>
            <w:r>
              <w:rPr>
                <w:color w:val="000000"/>
                <w:sz w:val="24"/>
                <w:szCs w:val="24"/>
              </w:rPr>
              <w:t xml:space="preserve"> iekļauto tabulu “Uzdevumi (U)”, 79.lpp., kas attiecas uz uzdevumu </w:t>
            </w:r>
            <w:r>
              <w:rPr>
                <w:b/>
                <w:bCs/>
                <w:color w:val="000000"/>
                <w:sz w:val="24"/>
                <w:szCs w:val="24"/>
              </w:rPr>
              <w:t>U4.4.5.2.-3,</w:t>
            </w:r>
            <w:r>
              <w:rPr>
                <w:color w:val="000000"/>
                <w:sz w:val="24"/>
                <w:szCs w:val="24"/>
              </w:rPr>
              <w:t xml:space="preserve"> pretēji Izziņā norādītajam, </w:t>
            </w:r>
            <w:r>
              <w:rPr>
                <w:sz w:val="24"/>
                <w:szCs w:val="24"/>
              </w:rPr>
              <w:t>Tieslietu ministrija</w:t>
            </w:r>
            <w:r>
              <w:rPr>
                <w:color w:val="000000"/>
                <w:sz w:val="24"/>
                <w:szCs w:val="24"/>
              </w:rPr>
              <w:t xml:space="preserve"> nekonstatē, ka TM (DVI) būtu norādīta kā atbildīgā institūcija.</w:t>
            </w:r>
          </w:p>
        </w:tc>
        <w:tc>
          <w:tcPr>
            <w:tcW w:w="2480" w:type="dxa"/>
            <w:tcBorders>
              <w:left w:val="single" w:sz="6" w:space="0" w:color="000000" w:themeColor="text1"/>
              <w:bottom w:val="single" w:sz="4" w:space="0" w:color="auto"/>
            </w:tcBorders>
            <w:shd w:val="clear" w:color="auto" w:fill="auto"/>
          </w:tcPr>
          <w:p w14:paraId="526E851E" w14:textId="77777777" w:rsidR="004733F8" w:rsidRPr="009841AB" w:rsidRDefault="004733F8" w:rsidP="004733F8">
            <w:pPr>
              <w:pStyle w:val="naisc"/>
              <w:jc w:val="left"/>
              <w:rPr>
                <w:b/>
                <w:bCs/>
                <w:color w:val="000000"/>
                <w:shd w:val="clear" w:color="auto" w:fill="FFFFFF"/>
              </w:rPr>
            </w:pPr>
            <w:r>
              <w:rPr>
                <w:b/>
                <w:bCs/>
                <w:color w:val="000000"/>
                <w:shd w:val="clear" w:color="auto" w:fill="FFFFFF"/>
              </w:rPr>
              <w:lastRenderedPageBreak/>
              <w:t>Panākta vienošanās</w:t>
            </w:r>
          </w:p>
          <w:p w14:paraId="66681DCA" w14:textId="71FEAE38" w:rsidR="00D87298" w:rsidRPr="009841AB" w:rsidRDefault="00D87298" w:rsidP="46640D91">
            <w:pPr>
              <w:pStyle w:val="naisc"/>
              <w:spacing w:before="0" w:after="0"/>
              <w:jc w:val="left"/>
              <w:rPr>
                <w:b/>
                <w:bCs/>
                <w:highlight w:val="yellow"/>
              </w:rPr>
            </w:pPr>
          </w:p>
        </w:tc>
        <w:tc>
          <w:tcPr>
            <w:tcW w:w="3504" w:type="dxa"/>
            <w:gridSpan w:val="2"/>
            <w:tcBorders>
              <w:left w:val="single" w:sz="6" w:space="0" w:color="000000" w:themeColor="text1"/>
              <w:bottom w:val="single" w:sz="4" w:space="0" w:color="auto"/>
            </w:tcBorders>
            <w:shd w:val="clear" w:color="auto" w:fill="auto"/>
          </w:tcPr>
          <w:p w14:paraId="434BCEE3" w14:textId="77777777" w:rsidR="000E14EE" w:rsidRDefault="000E14EE" w:rsidP="000E14EE">
            <w:pPr>
              <w:rPr>
                <w:lang w:eastAsia="en-US"/>
              </w:rPr>
            </w:pPr>
            <w:r>
              <w:rPr>
                <w:lang w:eastAsia="en-US"/>
              </w:rPr>
              <w:t xml:space="preserve">Lūdzam skatīt </w:t>
            </w:r>
            <w:proofErr w:type="spellStart"/>
            <w:r>
              <w:rPr>
                <w:lang w:eastAsia="en-US"/>
              </w:rPr>
              <w:t>apakšsadaļu</w:t>
            </w:r>
            <w:proofErr w:type="spellEnd"/>
            <w:r>
              <w:rPr>
                <w:lang w:eastAsia="en-US"/>
              </w:rPr>
              <w:t xml:space="preserve"> 4.4.</w:t>
            </w:r>
          </w:p>
          <w:p w14:paraId="4E4CA1A5" w14:textId="77777777" w:rsidR="000E14EE" w:rsidRDefault="000E14EE" w:rsidP="000E14EE">
            <w:pPr>
              <w:rPr>
                <w:lang w:eastAsia="en-US"/>
              </w:rPr>
            </w:pPr>
            <w:r w:rsidRPr="0ED69FBF">
              <w:rPr>
                <w:lang w:eastAsia="en-US"/>
              </w:rPr>
              <w:t>Atbilstoši DVI norādītajam precizēta redakcija un atbildīgā institūcija.</w:t>
            </w:r>
          </w:p>
          <w:p w14:paraId="6CE22635" w14:textId="77777777" w:rsidR="000E14EE" w:rsidRDefault="000E14EE" w:rsidP="000E14EE">
            <w:pPr>
              <w:rPr>
                <w:lang w:eastAsia="en-US"/>
              </w:rPr>
            </w:pPr>
            <w:r>
              <w:t>U4.4.2.2.-1</w:t>
            </w:r>
          </w:p>
          <w:p w14:paraId="3AE0B557" w14:textId="77777777" w:rsidR="000E14EE" w:rsidRDefault="000E14EE" w:rsidP="000E14EE">
            <w:pPr>
              <w:rPr>
                <w:lang w:eastAsia="en-US"/>
              </w:rPr>
            </w:pPr>
            <w:r w:rsidRPr="0ED69FBF">
              <w:rPr>
                <w:lang w:eastAsia="en-US"/>
              </w:rPr>
              <w:t>“Izveidot un ieviest pasākumu  plānu regulārai sabiedrības izpratnes veicināšanai par fizisko personu datu aizsardzību, it īpaši saistībā ar jauno digitālo tehnoloģiju izmantošanu, tajā skaitā mākslīgo intelektu un lietu internetu” . Atbildīgā institūcija DVI.</w:t>
            </w:r>
          </w:p>
          <w:p w14:paraId="5999AEA2" w14:textId="77777777" w:rsidR="000E14EE" w:rsidRDefault="000E14EE" w:rsidP="000E14EE">
            <w:r>
              <w:t xml:space="preserve">(2.pielikums “Rīcības virzieni un uzdevumi”) 4.4.2.2.-1. sadaļas uzdevuma “Izveidot un ieviest pasākumu plānu regulārai sabiedrības izpratnes veicināšanai par fizisko personu datu aizsardzību, it īpaši saistībā ar </w:t>
            </w:r>
            <w:r>
              <w:lastRenderedPageBreak/>
              <w:t>jauno digitālo tehnoloģiju izmantošanu, tajā skaitā mākslīgo intelektu un lietu internetu” atbildīgā institūcija norādīta DVI.</w:t>
            </w:r>
          </w:p>
          <w:p w14:paraId="77CD697F" w14:textId="77777777" w:rsidR="000E14EE" w:rsidRDefault="000E14EE" w:rsidP="000E14EE"/>
          <w:p w14:paraId="1E551584" w14:textId="77777777" w:rsidR="00D87298" w:rsidRDefault="000E14EE" w:rsidP="000E14EE">
            <w:pPr>
              <w:tabs>
                <w:tab w:val="left" w:pos="426"/>
              </w:tabs>
              <w:spacing w:after="120"/>
              <w:jc w:val="both"/>
            </w:pPr>
            <w:r>
              <w:t xml:space="preserve">Paskaidrojam, ka (2.pielikumā “Rīcības virzieni un uzdevumi”) 4.4.2.2.-1. un pamatnostādņu tekstā pie U4.4.2.2.-1.  kā </w:t>
            </w:r>
            <w:proofErr w:type="spellStart"/>
            <w:r>
              <w:t>līdzadbildīgie</w:t>
            </w:r>
            <w:proofErr w:type="spellEnd"/>
            <w:r>
              <w:t xml:space="preserve"> ir norādītas visa ministrijas, līdz ar to nav nepieciešams </w:t>
            </w:r>
            <w:proofErr w:type="spellStart"/>
            <w:r>
              <w:t>atsevišķivēl</w:t>
            </w:r>
            <w:proofErr w:type="spellEnd"/>
            <w:r>
              <w:t xml:space="preserve"> uzsvērt CERT un VARAM.</w:t>
            </w:r>
          </w:p>
          <w:p w14:paraId="41271D7A" w14:textId="77777777" w:rsidR="004002C9" w:rsidRDefault="004002C9" w:rsidP="004002C9">
            <w:pPr>
              <w:pStyle w:val="naisc"/>
              <w:spacing w:before="0" w:after="0"/>
              <w:jc w:val="both"/>
            </w:pPr>
            <w:r>
              <w:t xml:space="preserve">Lūdzam skatīt </w:t>
            </w:r>
            <w:proofErr w:type="spellStart"/>
            <w:r>
              <w:t>apakšsadaļu</w:t>
            </w:r>
            <w:proofErr w:type="spellEnd"/>
            <w:r>
              <w:t xml:space="preserve"> 4.4.</w:t>
            </w:r>
          </w:p>
          <w:p w14:paraId="14A2B7D3" w14:textId="77777777" w:rsidR="004002C9" w:rsidRDefault="004002C9" w:rsidP="004002C9">
            <w:pPr>
              <w:pStyle w:val="naisc"/>
              <w:spacing w:before="0" w:after="0"/>
              <w:jc w:val="both"/>
            </w:pPr>
            <w:r>
              <w:t>Precizēts teksts.</w:t>
            </w:r>
          </w:p>
          <w:p w14:paraId="4172DFB6" w14:textId="77777777" w:rsidR="004002C9" w:rsidRPr="009841AB" w:rsidRDefault="004002C9" w:rsidP="004002C9">
            <w:pPr>
              <w:tabs>
                <w:tab w:val="left" w:pos="426"/>
              </w:tabs>
              <w:spacing w:after="120"/>
              <w:jc w:val="both"/>
            </w:pPr>
            <w:r>
              <w:t xml:space="preserve">“Pēc būtības personas datu </w:t>
            </w:r>
            <w:r w:rsidRPr="0ED69FBF">
              <w:rPr>
                <w:u w:val="single"/>
              </w:rPr>
              <w:t>apstrādes</w:t>
            </w:r>
            <w:r>
              <w:t xml:space="preserve"> principi ir noteikti Regulas 5.pantā un būtisks aspekts personas datu aizsardzībā ir panākt, ka ar atbilstošāko risinājumu ir iespējams sasniegt plānoto nolūku.”</w:t>
            </w:r>
          </w:p>
        </w:tc>
      </w:tr>
      <w:tr w:rsidR="006601BA" w:rsidRPr="009841AB" w14:paraId="4FEA66F9" w14:textId="77777777" w:rsidTr="00DC72A3">
        <w:tc>
          <w:tcPr>
            <w:tcW w:w="613" w:type="dxa"/>
            <w:tcBorders>
              <w:left w:val="single" w:sz="6" w:space="0" w:color="000000" w:themeColor="text1"/>
              <w:bottom w:val="single" w:sz="4" w:space="0" w:color="auto"/>
            </w:tcBorders>
            <w:shd w:val="clear" w:color="auto" w:fill="auto"/>
          </w:tcPr>
          <w:p w14:paraId="7F3E8DAA" w14:textId="77777777" w:rsidR="006601BA" w:rsidRPr="009841AB" w:rsidRDefault="009F7132" w:rsidP="0018109A">
            <w:pPr>
              <w:pStyle w:val="naisc"/>
              <w:spacing w:before="0" w:after="0"/>
            </w:pPr>
            <w:r>
              <w:lastRenderedPageBreak/>
              <w:t>443</w:t>
            </w:r>
          </w:p>
        </w:tc>
        <w:tc>
          <w:tcPr>
            <w:tcW w:w="2427" w:type="dxa"/>
            <w:tcBorders>
              <w:left w:val="single" w:sz="6" w:space="0" w:color="000000" w:themeColor="text1"/>
              <w:bottom w:val="single" w:sz="4" w:space="0" w:color="auto"/>
            </w:tcBorders>
            <w:shd w:val="clear" w:color="auto" w:fill="auto"/>
          </w:tcPr>
          <w:p w14:paraId="1DCDB79C" w14:textId="77777777" w:rsidR="006601BA" w:rsidRPr="009841AB" w:rsidRDefault="00637CFD"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8099118" w14:textId="77777777" w:rsidR="006601BA" w:rsidRPr="009841AB" w:rsidRDefault="002F29F1" w:rsidP="0018109A">
            <w:pPr>
              <w:ind w:right="12"/>
              <w:jc w:val="both"/>
            </w:pPr>
            <w:r>
              <w:t xml:space="preserve">5. </w:t>
            </w:r>
            <w:r w:rsidRPr="002F29F1">
              <w:t>Pamatnostādņu projekta izziņas 306.punktā norādīts, ka Tieslietu ministrijas iebildums attiecībā uz nepieciešamību pārskatīt iestāžu finansēšanas modeli, kas pamatā kavē datu atvēršanas iniciatīvas, ir ņemts vērā, savukārt izziņas 321.punktā par iebildumu, kas arī skar šo pašu iestāžu finansēšanas modeļa pārskatīšanas jautājumu, norādīts, ka iebildums daļēji ņemts vērā, norādot, ka uzdevums - pārskatīt finansēšanas modeli jau ir noteikts Valsts kontroles 2017. gada revīzijas ziņojumā "Vai valsts pārvalde efektīvi rīkojas ar uzkrāto informāciju?", kas paredz uzdevumu Vides aizsardzības un reģionālās attīstības ministrijai iniciēt jautājumu par bezmaksas datu izplatīšanas veicināšanu un ar to saistītā finansējuma modeļa maiņu izskatīšanu starpnozaru līmenī Informācijas sabiedrības padomē, līdz 02.01.2022. Tieslietu ministrijas ieskatā, lai pamatnostādnes ietvertu pilnīgu informāciju, tās būtu papildināmas ar Tieslietu ministrijas norādīto problemātiku, kas ir būtisks priekšnosacījumu pamatnostādņu projektā paredzēto iniciatīvu īstenošanai. Ņemot vērā minēto, Tieslietu ministrijas ieskatā 306. un 321.punktā minētie iebildumi nav ņemti vērā.</w:t>
            </w:r>
          </w:p>
        </w:tc>
        <w:tc>
          <w:tcPr>
            <w:tcW w:w="2480" w:type="dxa"/>
            <w:tcBorders>
              <w:left w:val="single" w:sz="6" w:space="0" w:color="000000" w:themeColor="text1"/>
              <w:bottom w:val="single" w:sz="4" w:space="0" w:color="auto"/>
            </w:tcBorders>
            <w:shd w:val="clear" w:color="auto" w:fill="auto"/>
          </w:tcPr>
          <w:p w14:paraId="2210331E" w14:textId="77777777" w:rsidR="00F05EF8" w:rsidRDefault="00475EB8" w:rsidP="00F05EF8">
            <w:pPr>
              <w:pStyle w:val="naisc"/>
              <w:spacing w:before="0" w:after="0"/>
              <w:jc w:val="left"/>
              <w:rPr>
                <w:b/>
                <w:bCs/>
              </w:rPr>
            </w:pPr>
            <w:r>
              <w:rPr>
                <w:b/>
                <w:bCs/>
              </w:rPr>
              <w:t>Ņemts vērā</w:t>
            </w:r>
          </w:p>
          <w:p w14:paraId="6285C0DD" w14:textId="77777777" w:rsidR="00475EB8" w:rsidRDefault="00475EB8" w:rsidP="00F05EF8">
            <w:pPr>
              <w:pStyle w:val="naisc"/>
              <w:spacing w:before="0" w:after="0"/>
              <w:jc w:val="left"/>
              <w:rPr>
                <w:b/>
                <w:bCs/>
              </w:rPr>
            </w:pPr>
          </w:p>
          <w:p w14:paraId="4044DC9D" w14:textId="77777777" w:rsidR="00475EB8" w:rsidRDefault="00475EB8" w:rsidP="00475EB8">
            <w:pPr>
              <w:ind w:right="12"/>
              <w:jc w:val="both"/>
            </w:pPr>
            <w:r>
              <w:t>Papildināta sadaļa 4.4.2.3. “Nepieciešamā rīcība”6. punkts, kā arī Uzdevums U 4.4.2.3.-2 satur uzdevumu VARAM risināt TM norādīto problemātiku.</w:t>
            </w:r>
          </w:p>
          <w:p w14:paraId="2CD05651" w14:textId="77777777" w:rsidR="006601BA" w:rsidRPr="009841AB" w:rsidRDefault="006601BA" w:rsidP="0018109A">
            <w:pPr>
              <w:pStyle w:val="naisc"/>
              <w:spacing w:before="0" w:after="0"/>
              <w:jc w:val="left"/>
              <w:rPr>
                <w:b/>
                <w:bCs/>
              </w:rPr>
            </w:pPr>
          </w:p>
        </w:tc>
        <w:tc>
          <w:tcPr>
            <w:tcW w:w="3504" w:type="dxa"/>
            <w:gridSpan w:val="2"/>
            <w:tcBorders>
              <w:left w:val="single" w:sz="6" w:space="0" w:color="000000" w:themeColor="text1"/>
              <w:bottom w:val="single" w:sz="4" w:space="0" w:color="auto"/>
            </w:tcBorders>
            <w:shd w:val="clear" w:color="auto" w:fill="auto"/>
          </w:tcPr>
          <w:p w14:paraId="4F8C2EC0" w14:textId="77777777" w:rsidR="006601BA" w:rsidRPr="009841AB" w:rsidRDefault="00475EB8" w:rsidP="0018109A">
            <w:pPr>
              <w:tabs>
                <w:tab w:val="left" w:pos="426"/>
              </w:tabs>
              <w:spacing w:after="120"/>
              <w:jc w:val="both"/>
            </w:pPr>
            <w:r>
              <w:t>Skat. sadaļu 4.4.2.3.</w:t>
            </w:r>
          </w:p>
        </w:tc>
      </w:tr>
      <w:tr w:rsidR="006601BA" w:rsidRPr="009841AB" w14:paraId="05DF00E4" w14:textId="77777777" w:rsidTr="00DC72A3">
        <w:tc>
          <w:tcPr>
            <w:tcW w:w="613" w:type="dxa"/>
            <w:tcBorders>
              <w:left w:val="single" w:sz="6" w:space="0" w:color="000000" w:themeColor="text1"/>
              <w:bottom w:val="single" w:sz="4" w:space="0" w:color="auto"/>
            </w:tcBorders>
            <w:shd w:val="clear" w:color="auto" w:fill="auto"/>
          </w:tcPr>
          <w:p w14:paraId="6E7D3585" w14:textId="77777777" w:rsidR="006601BA" w:rsidRPr="009841AB" w:rsidRDefault="0067622E" w:rsidP="0018109A">
            <w:pPr>
              <w:pStyle w:val="naisc"/>
              <w:spacing w:before="0" w:after="0"/>
            </w:pPr>
            <w:r>
              <w:t>444</w:t>
            </w:r>
          </w:p>
        </w:tc>
        <w:tc>
          <w:tcPr>
            <w:tcW w:w="2427" w:type="dxa"/>
            <w:tcBorders>
              <w:left w:val="single" w:sz="6" w:space="0" w:color="000000" w:themeColor="text1"/>
              <w:bottom w:val="single" w:sz="4" w:space="0" w:color="auto"/>
            </w:tcBorders>
            <w:shd w:val="clear" w:color="auto" w:fill="auto"/>
          </w:tcPr>
          <w:p w14:paraId="547B3211" w14:textId="77777777" w:rsidR="006601BA" w:rsidRPr="009841AB" w:rsidRDefault="00637CFD"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53C8EAB" w14:textId="77777777" w:rsidR="006601BA" w:rsidRPr="009841AB" w:rsidRDefault="006F0D23" w:rsidP="0018109A">
            <w:pPr>
              <w:ind w:right="12"/>
              <w:jc w:val="both"/>
            </w:pPr>
            <w:r>
              <w:t xml:space="preserve">6. Izziņas 327.punktā norādīts, ka Tieslietu ministrijas iebildums attiecībā uz </w:t>
            </w:r>
            <w:r w:rsidR="00F05EF8">
              <w:t>pamatnostādņu</w:t>
            </w:r>
            <w:r>
              <w:t xml:space="preserve"> projekta 4.4.9. Rīcības virziena “Moderna un atvērta valsts pārvalde” aprakstā iekļauto informāciju attiecībā uz vienotu valsts un </w:t>
            </w:r>
            <w:proofErr w:type="spellStart"/>
            <w:r>
              <w:t>komercsektora</w:t>
            </w:r>
            <w:proofErr w:type="spellEnd"/>
            <w:r>
              <w:t xml:space="preserve"> pakalpojumu veidošanu, ir </w:t>
            </w:r>
            <w:r>
              <w:lastRenderedPageBreak/>
              <w:t xml:space="preserve">ņemts vērā. Tieslietu ministrijas ieskatā, lai arī pamatnostādņu projekta attiecīgā sadaļa ir precizēta, ir identificējamas pretrunas starp 4.4.9.1. Rīcības </w:t>
            </w:r>
            <w:proofErr w:type="spellStart"/>
            <w:r>
              <w:t>apakšvirzienā</w:t>
            </w:r>
            <w:proofErr w:type="spellEnd"/>
            <w:r>
              <w:t xml:space="preserve"> noteikto Nepieciešamo rīcību un turpmāko tā aprakstu, kurā noteikta nepieciešamība veikt pakalpojumu analīzi, pārskatīšanu, valsts pārvaldes, t.sk., pašvaldību, iestāžu un pakalpojumu sniegšanā iesaistīto komersantu loma pakalpojuma nodrošināšanā. Nepieciešamā rīcība noteic […] veidot vienotu valsts un </w:t>
            </w:r>
            <w:proofErr w:type="spellStart"/>
            <w:r>
              <w:t>komercsektora</w:t>
            </w:r>
            <w:proofErr w:type="spellEnd"/>
            <w:r>
              <w:t xml:space="preserve"> pakalpojumu piedāvājuma kopumu personai. Tieslietu ministrijas ieskatā pamatnostādņu projekta 4.4.9. Rīcības virziens būtu papildināms ar izvērstāku skaidrojumu, ņemot vērā valsts un privātā sektora pakalpojumu sniegšanas mērķu atšķirības, kam pretnostatītas tiek sabiedrības būtiskās vajadzības un peļņas gūšanas mērķis, vienlaikus skaidrojot, ko nozīmē princips “</w:t>
            </w:r>
            <w:proofErr w:type="spellStart"/>
            <w:r>
              <w:t>programmsaskarne</w:t>
            </w:r>
            <w:proofErr w:type="spellEnd"/>
            <w:r>
              <w:t xml:space="preserve"> pēc noklusējuma”.</w:t>
            </w:r>
          </w:p>
        </w:tc>
        <w:tc>
          <w:tcPr>
            <w:tcW w:w="2480" w:type="dxa"/>
            <w:tcBorders>
              <w:left w:val="single" w:sz="6" w:space="0" w:color="000000" w:themeColor="text1"/>
              <w:bottom w:val="single" w:sz="4" w:space="0" w:color="auto"/>
            </w:tcBorders>
            <w:shd w:val="clear" w:color="auto" w:fill="auto"/>
          </w:tcPr>
          <w:p w14:paraId="4F39FD74" w14:textId="77777777" w:rsidR="006601BA" w:rsidRPr="009841AB" w:rsidRDefault="4896FC85" w:rsidP="1B3C8CEC">
            <w:pPr>
              <w:pStyle w:val="naisc"/>
              <w:spacing w:before="0" w:after="0"/>
              <w:jc w:val="left"/>
              <w:rPr>
                <w:b/>
                <w:bCs/>
              </w:rPr>
            </w:pPr>
            <w:r w:rsidRPr="1B3C8CEC">
              <w:rPr>
                <w:b/>
                <w:bCs/>
              </w:rPr>
              <w:lastRenderedPageBreak/>
              <w:t xml:space="preserve">Ņemts vērā </w:t>
            </w:r>
          </w:p>
          <w:p w14:paraId="7EBD21FB" w14:textId="77777777" w:rsidR="006601BA" w:rsidRPr="009841AB" w:rsidRDefault="4896FC85" w:rsidP="1B3C8CEC">
            <w:pPr>
              <w:pStyle w:val="naisc"/>
              <w:spacing w:before="0" w:after="0"/>
              <w:jc w:val="left"/>
              <w:rPr>
                <w:b/>
                <w:bCs/>
              </w:rPr>
            </w:pPr>
            <w:r w:rsidRPr="2568A4A9">
              <w:rPr>
                <w:b/>
                <w:bCs/>
              </w:rPr>
              <w:t xml:space="preserve"> </w:t>
            </w:r>
          </w:p>
          <w:p w14:paraId="38CD8807" w14:textId="77777777" w:rsidR="006601BA" w:rsidRPr="009841AB" w:rsidRDefault="4896FC85" w:rsidP="1B3C8CEC">
            <w:pPr>
              <w:pStyle w:val="naisc"/>
              <w:spacing w:before="0" w:after="0"/>
              <w:jc w:val="left"/>
              <w:rPr>
                <w:b/>
                <w:bCs/>
              </w:rPr>
            </w:pPr>
            <w:r w:rsidRPr="2568A4A9">
              <w:rPr>
                <w:b/>
                <w:bCs/>
              </w:rPr>
              <w:t xml:space="preserve"> </w:t>
            </w:r>
          </w:p>
          <w:p w14:paraId="3FE85979" w14:textId="77777777" w:rsidR="006601BA" w:rsidRPr="009841AB" w:rsidRDefault="4896FC85" w:rsidP="1B3C8CEC">
            <w:pPr>
              <w:pStyle w:val="naisc"/>
              <w:spacing w:before="0" w:after="0"/>
              <w:jc w:val="left"/>
              <w:rPr>
                <w:b/>
                <w:bCs/>
              </w:rPr>
            </w:pPr>
            <w:r w:rsidRPr="2568A4A9">
              <w:rPr>
                <w:b/>
                <w:bCs/>
              </w:rPr>
              <w:t xml:space="preserve"> </w:t>
            </w:r>
          </w:p>
          <w:p w14:paraId="4FBD4422" w14:textId="77777777" w:rsidR="006601BA" w:rsidRPr="009841AB" w:rsidRDefault="4896FC85" w:rsidP="0018109A">
            <w:pPr>
              <w:pStyle w:val="naisc"/>
              <w:spacing w:before="0" w:after="0"/>
              <w:jc w:val="left"/>
            </w:pPr>
            <w:r>
              <w:lastRenderedPageBreak/>
              <w:t>P</w:t>
            </w:r>
            <w:r w:rsidR="496A9273">
              <w:t>recizēt</w:t>
            </w:r>
            <w:r>
              <w:t>a sadaļa 4.4.</w:t>
            </w:r>
            <w:r w:rsidR="550A8E7E">
              <w:t>9</w:t>
            </w:r>
            <w:r>
              <w:t>.</w:t>
            </w:r>
            <w:r w:rsidR="423FD64A">
              <w:t>1</w:t>
            </w:r>
            <w:r>
              <w:t xml:space="preserve">. “Nepieciešamā rīcība” </w:t>
            </w:r>
          </w:p>
          <w:p w14:paraId="2AEBA9A4" w14:textId="77777777" w:rsidR="006601BA" w:rsidRPr="009841AB" w:rsidRDefault="4896FC85" w:rsidP="1B3C8CEC">
            <w:pPr>
              <w:pStyle w:val="naisc"/>
              <w:spacing w:before="0" w:after="0"/>
              <w:jc w:val="left"/>
              <w:rPr>
                <w:b/>
                <w:bCs/>
              </w:rPr>
            </w:pPr>
            <w:r w:rsidRPr="2568A4A9">
              <w:rPr>
                <w:b/>
                <w:bCs/>
              </w:rPr>
              <w:t xml:space="preserve"> </w:t>
            </w:r>
          </w:p>
          <w:p w14:paraId="2DD7B186" w14:textId="77777777" w:rsidR="006601BA" w:rsidRPr="009841AB" w:rsidRDefault="4896FC85" w:rsidP="1B3C8CEC">
            <w:pPr>
              <w:pStyle w:val="naisc"/>
              <w:spacing w:before="0" w:after="0"/>
              <w:jc w:val="left"/>
              <w:rPr>
                <w:b/>
                <w:bCs/>
              </w:rPr>
            </w:pPr>
            <w:r w:rsidRPr="2568A4A9">
              <w:rPr>
                <w:b/>
                <w:bCs/>
              </w:rPr>
              <w:t xml:space="preserve"> </w:t>
            </w:r>
          </w:p>
          <w:p w14:paraId="46C23D51" w14:textId="77777777" w:rsidR="006601BA" w:rsidRPr="009841AB" w:rsidRDefault="4896FC85" w:rsidP="1B3C8CEC">
            <w:pPr>
              <w:pStyle w:val="naisc"/>
              <w:spacing w:before="0" w:after="0"/>
              <w:jc w:val="left"/>
              <w:rPr>
                <w:b/>
                <w:bCs/>
              </w:rPr>
            </w:pPr>
            <w:r w:rsidRPr="2568A4A9">
              <w:rPr>
                <w:b/>
                <w:bCs/>
              </w:rPr>
              <w:t xml:space="preserve"> </w:t>
            </w:r>
          </w:p>
          <w:p w14:paraId="24B72BE3" w14:textId="77777777" w:rsidR="006601BA" w:rsidRPr="009841AB" w:rsidRDefault="006601BA" w:rsidP="1B3C8CEC">
            <w:pPr>
              <w:pStyle w:val="naisc"/>
              <w:spacing w:before="0" w:after="0"/>
              <w:jc w:val="left"/>
              <w:rPr>
                <w:b/>
                <w:bCs/>
              </w:rPr>
            </w:pPr>
          </w:p>
          <w:p w14:paraId="221B66AD" w14:textId="77777777" w:rsidR="006601BA" w:rsidRPr="009841AB" w:rsidRDefault="006601BA" w:rsidP="1B3C8CEC">
            <w:pPr>
              <w:pStyle w:val="naisc"/>
              <w:spacing w:before="0" w:after="0"/>
              <w:jc w:val="left"/>
              <w:rPr>
                <w:b/>
                <w:bCs/>
              </w:rPr>
            </w:pPr>
          </w:p>
        </w:tc>
        <w:tc>
          <w:tcPr>
            <w:tcW w:w="3504" w:type="dxa"/>
            <w:gridSpan w:val="2"/>
            <w:tcBorders>
              <w:left w:val="single" w:sz="6" w:space="0" w:color="000000" w:themeColor="text1"/>
              <w:bottom w:val="single" w:sz="4" w:space="0" w:color="auto"/>
            </w:tcBorders>
            <w:shd w:val="clear" w:color="auto" w:fill="auto"/>
          </w:tcPr>
          <w:p w14:paraId="103ED211" w14:textId="77777777" w:rsidR="006601BA" w:rsidRPr="009841AB" w:rsidRDefault="4896FC85" w:rsidP="1B3C8CEC">
            <w:pPr>
              <w:pStyle w:val="naisc"/>
              <w:spacing w:before="0" w:after="0"/>
              <w:jc w:val="left"/>
            </w:pPr>
            <w:r>
              <w:lastRenderedPageBreak/>
              <w:t>Skat. sadaļu 4.4.</w:t>
            </w:r>
            <w:r w:rsidR="082427C7">
              <w:t>9</w:t>
            </w:r>
            <w:r>
              <w:t>.</w:t>
            </w:r>
            <w:r w:rsidR="7C6DA6D9">
              <w:t>1</w:t>
            </w:r>
            <w:r>
              <w:t>.</w:t>
            </w:r>
          </w:p>
          <w:p w14:paraId="550D9A23" w14:textId="77777777" w:rsidR="006601BA" w:rsidRPr="009841AB" w:rsidRDefault="006601BA" w:rsidP="1B3C8CEC">
            <w:pPr>
              <w:tabs>
                <w:tab w:val="left" w:pos="426"/>
              </w:tabs>
              <w:spacing w:after="120"/>
              <w:jc w:val="both"/>
            </w:pPr>
          </w:p>
        </w:tc>
      </w:tr>
      <w:tr w:rsidR="006F0D23" w:rsidRPr="009841AB" w14:paraId="66C66BCF" w14:textId="77777777" w:rsidTr="00DC72A3">
        <w:tc>
          <w:tcPr>
            <w:tcW w:w="613" w:type="dxa"/>
            <w:tcBorders>
              <w:left w:val="single" w:sz="6" w:space="0" w:color="000000" w:themeColor="text1"/>
              <w:bottom w:val="single" w:sz="4" w:space="0" w:color="auto"/>
            </w:tcBorders>
            <w:shd w:val="clear" w:color="auto" w:fill="auto"/>
          </w:tcPr>
          <w:p w14:paraId="5731EBF1" w14:textId="77777777" w:rsidR="006F0D23" w:rsidRPr="009841AB" w:rsidRDefault="0067622E" w:rsidP="0018109A">
            <w:pPr>
              <w:pStyle w:val="naisc"/>
              <w:spacing w:before="0" w:after="0"/>
            </w:pPr>
            <w:r>
              <w:t>445</w:t>
            </w:r>
          </w:p>
        </w:tc>
        <w:tc>
          <w:tcPr>
            <w:tcW w:w="2427" w:type="dxa"/>
            <w:tcBorders>
              <w:left w:val="single" w:sz="6" w:space="0" w:color="000000" w:themeColor="text1"/>
              <w:bottom w:val="single" w:sz="4" w:space="0" w:color="auto"/>
            </w:tcBorders>
            <w:shd w:val="clear" w:color="auto" w:fill="auto"/>
          </w:tcPr>
          <w:p w14:paraId="31355079" w14:textId="77777777" w:rsidR="006F0D23" w:rsidRPr="009841AB" w:rsidRDefault="006F0D23"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55CF637" w14:textId="77777777" w:rsidR="006F0D23" w:rsidRPr="009841AB" w:rsidRDefault="000F0CF0" w:rsidP="0018109A">
            <w:pPr>
              <w:ind w:right="12"/>
              <w:jc w:val="both"/>
            </w:pPr>
            <w:r>
              <w:t xml:space="preserve">7. </w:t>
            </w:r>
            <w:r w:rsidRPr="000F0CF0">
              <w:t xml:space="preserve">Lūdzam izteikt 4.4.9.2. Rīcības </w:t>
            </w:r>
            <w:proofErr w:type="spellStart"/>
            <w:r w:rsidRPr="000F0CF0">
              <w:t>apakšvirziena</w:t>
            </w:r>
            <w:proofErr w:type="spellEnd"/>
            <w:r w:rsidRPr="000F0CF0">
              <w:t xml:space="preserve"> “Valsts pārvaldes pakalpojumu digitālā transformācija - </w:t>
            </w:r>
            <w:proofErr w:type="spellStart"/>
            <w:r w:rsidRPr="000F0CF0">
              <w:t>daudzkanālu</w:t>
            </w:r>
            <w:proofErr w:type="spellEnd"/>
            <w:r w:rsidRPr="000F0CF0">
              <w:t xml:space="preserve"> piegāde”  uzdevumu U4.4.9.2.-1 šādā redakcijā  “Ieviest valsts pārvaldē vienotu </w:t>
            </w:r>
            <w:proofErr w:type="spellStart"/>
            <w:r w:rsidRPr="000F0CF0">
              <w:t>daudzkanālu</w:t>
            </w:r>
            <w:proofErr w:type="spellEnd"/>
            <w:r w:rsidRPr="000F0CF0">
              <w:t xml:space="preserve"> piegādi tiem valsts pārvaldes, t.sk. pašvaldību iestāžu sniegtajiem pakalpojumiem,  kuru pārveidošana ir lietderīga”, jo uzdevuma sākotnējā redakcija aptver ļoti plašu aktivitāšu loku, savukārt sadaļā “Sagaidāmie rezultāti” uzskaitīti tikai trīs punkti, kas savukārt neaptver sadaļā “Nepieciešamā rīcība” aprakstītos rīcības virzienus. Piemēram, sadaļā “Nepieciešamā rīcība” norādīts, ka “Iestādes elektronisko pakalpojumu sniegšanas risinājumi, pakāpeniski samazinot to lomu pakalpojumu sniegšanā ar stratēģisku mērķi radikāli samazināt vai pat pārtraukt šādu risinājumu uzturēšanu iestādēs” , bet nav saprotams vai uzdevuma U4.4.9.2.-1 ietvaros </w:t>
            </w:r>
            <w:r w:rsidRPr="000F0CF0">
              <w:lastRenderedPageBreak/>
              <w:t xml:space="preserve">tiks mērīta šādas rīcības izmaksu efektivitāte – vai tiks izvērtēts cik izmaksās, katras iestādes jau realizēto elektronisko pakalpojumu </w:t>
            </w:r>
            <w:proofErr w:type="spellStart"/>
            <w:r w:rsidRPr="000F0CF0">
              <w:t>pārizstrāde</w:t>
            </w:r>
            <w:proofErr w:type="spellEnd"/>
            <w:r w:rsidRPr="000F0CF0">
              <w:t xml:space="preserve">, cik izmaksās iekšējo darba uzdevumu vadības un kontroles informācijas sistēmu pārveide, lai nodrošinātu pakalpojuma piegādes procesa atdalīšanu no kopējā pakalpojuma. Papildus lūdzam arī precizēt jau citētās rīcības aprakstu, skaidri norādot, vai mērķis “radikāli samazināt vai pat pārtraukt šādu risinājumu uzturēšanu iestādēs” sasniedzams jau 2027.gadā un vai ir paredzēts finansējums iestāžu jauno, pārstrādājot vecos, elektronisko pakalpojumu izstrādei, </w:t>
            </w:r>
            <w:proofErr w:type="spellStart"/>
            <w:r w:rsidRPr="000F0CF0">
              <w:t>saskarņu</w:t>
            </w:r>
            <w:proofErr w:type="spellEnd"/>
            <w:r w:rsidRPr="000F0CF0">
              <w:t xml:space="preserve"> izstrādei datu apmaiņai ar vienoto pakalpojumu sniegšanas platformu un iekšējo darba uzdevumu vadības un kontroles sistēmu izmaiņu ieviešanai.</w:t>
            </w:r>
          </w:p>
        </w:tc>
        <w:tc>
          <w:tcPr>
            <w:tcW w:w="2480" w:type="dxa"/>
            <w:tcBorders>
              <w:left w:val="single" w:sz="6" w:space="0" w:color="000000" w:themeColor="text1"/>
              <w:bottom w:val="single" w:sz="4" w:space="0" w:color="auto"/>
            </w:tcBorders>
            <w:shd w:val="clear" w:color="auto" w:fill="auto"/>
          </w:tcPr>
          <w:p w14:paraId="0B7C703D" w14:textId="77777777" w:rsidR="004733F8" w:rsidRPr="009841AB" w:rsidRDefault="004733F8" w:rsidP="004733F8">
            <w:pPr>
              <w:pStyle w:val="naisc"/>
              <w:jc w:val="left"/>
              <w:rPr>
                <w:b/>
                <w:bCs/>
                <w:color w:val="000000"/>
                <w:shd w:val="clear" w:color="auto" w:fill="FFFFFF"/>
              </w:rPr>
            </w:pPr>
            <w:r>
              <w:rPr>
                <w:b/>
                <w:bCs/>
                <w:color w:val="000000"/>
                <w:shd w:val="clear" w:color="auto" w:fill="FFFFFF"/>
              </w:rPr>
              <w:lastRenderedPageBreak/>
              <w:t>Panākta vienošanās</w:t>
            </w:r>
          </w:p>
          <w:p w14:paraId="57954B89" w14:textId="77777777" w:rsidR="006F0D23" w:rsidRPr="009841AB" w:rsidRDefault="29E9E9B7" w:rsidP="0018109A">
            <w:pPr>
              <w:pStyle w:val="naisc"/>
              <w:spacing w:before="0" w:after="0"/>
              <w:jc w:val="left"/>
            </w:pPr>
            <w:r>
              <w:t xml:space="preserve">Precizēts nepieciešamās rīcības apraksts attiecībā uz iestāžu elektronisko pakalpojumu sniegšanas risinājumiem, ņemot vērā, ka iebildumā minēto uzdevumu paredzēts īstenot pakāpeniski  </w:t>
            </w:r>
            <w:proofErr w:type="spellStart"/>
            <w:r>
              <w:t>eksplutācijā</w:t>
            </w:r>
            <w:proofErr w:type="spellEnd"/>
            <w:r>
              <w:t xml:space="preserve"> esošo risinājumu attīstības dzīvescikla ietvaros,  risinājumu nomaiņas </w:t>
            </w:r>
            <w:r>
              <w:lastRenderedPageBreak/>
              <w:t>vai būtiskas atjaunināšanas fāzē. Tādējādi uzdevums tiks īstenots racionāli un  izmaksu ziņā efektīvi, samazinot kopējās valsts pārvaldes izmaksas klientu apkalpošanas IKT nodrošinājuma attīstībai un uzturēšanai.</w:t>
            </w:r>
          </w:p>
        </w:tc>
        <w:tc>
          <w:tcPr>
            <w:tcW w:w="3504" w:type="dxa"/>
            <w:gridSpan w:val="2"/>
            <w:tcBorders>
              <w:left w:val="single" w:sz="6" w:space="0" w:color="000000" w:themeColor="text1"/>
              <w:bottom w:val="single" w:sz="4" w:space="0" w:color="auto"/>
            </w:tcBorders>
            <w:shd w:val="clear" w:color="auto" w:fill="auto"/>
          </w:tcPr>
          <w:p w14:paraId="157F9C31" w14:textId="77777777" w:rsidR="006F0D23" w:rsidRPr="009841AB" w:rsidRDefault="0AE271A8" w:rsidP="55E5C0A8">
            <w:pPr>
              <w:spacing w:after="120"/>
            </w:pPr>
            <w:r>
              <w:lastRenderedPageBreak/>
              <w:t xml:space="preserve">Lūdzam skatīt </w:t>
            </w:r>
            <w:proofErr w:type="spellStart"/>
            <w:r>
              <w:t>apakšsadaļu</w:t>
            </w:r>
            <w:proofErr w:type="spellEnd"/>
            <w:r>
              <w:t xml:space="preserve"> 4.4.9.2.</w:t>
            </w:r>
          </w:p>
          <w:p w14:paraId="5B97B9F9" w14:textId="77777777" w:rsidR="006F0D23" w:rsidRPr="009841AB" w:rsidRDefault="006F0D23" w:rsidP="0018109A">
            <w:pPr>
              <w:tabs>
                <w:tab w:val="left" w:pos="426"/>
              </w:tabs>
              <w:spacing w:after="120"/>
              <w:jc w:val="both"/>
            </w:pPr>
          </w:p>
        </w:tc>
      </w:tr>
      <w:tr w:rsidR="006F0D23" w:rsidRPr="009841AB" w14:paraId="1CA00788" w14:textId="77777777" w:rsidTr="00DC72A3">
        <w:tc>
          <w:tcPr>
            <w:tcW w:w="613" w:type="dxa"/>
            <w:tcBorders>
              <w:left w:val="single" w:sz="6" w:space="0" w:color="000000" w:themeColor="text1"/>
              <w:bottom w:val="single" w:sz="4" w:space="0" w:color="auto"/>
            </w:tcBorders>
            <w:shd w:val="clear" w:color="auto" w:fill="auto"/>
          </w:tcPr>
          <w:p w14:paraId="6522C2AF" w14:textId="77777777" w:rsidR="006F0D23" w:rsidRPr="009841AB" w:rsidRDefault="0067622E" w:rsidP="0018109A">
            <w:pPr>
              <w:pStyle w:val="naisc"/>
              <w:spacing w:before="0" w:after="0"/>
            </w:pPr>
            <w:r>
              <w:t>446</w:t>
            </w:r>
          </w:p>
        </w:tc>
        <w:tc>
          <w:tcPr>
            <w:tcW w:w="2427" w:type="dxa"/>
            <w:tcBorders>
              <w:left w:val="single" w:sz="6" w:space="0" w:color="000000" w:themeColor="text1"/>
              <w:bottom w:val="single" w:sz="4" w:space="0" w:color="auto"/>
            </w:tcBorders>
            <w:shd w:val="clear" w:color="auto" w:fill="auto"/>
          </w:tcPr>
          <w:p w14:paraId="01938F4A" w14:textId="77777777" w:rsidR="006F0D23" w:rsidRPr="009841AB" w:rsidRDefault="000F0CF0"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4ECC9F3" w14:textId="77777777" w:rsidR="006F0D23" w:rsidRPr="009841AB" w:rsidRDefault="000F0CF0" w:rsidP="0018109A">
            <w:pPr>
              <w:ind w:right="12"/>
              <w:jc w:val="both"/>
            </w:pPr>
            <w:r>
              <w:t xml:space="preserve">8. </w:t>
            </w:r>
            <w:r w:rsidR="00FD5F19" w:rsidRPr="00FD5F19">
              <w:t xml:space="preserve">Lūdzam </w:t>
            </w:r>
            <w:r w:rsidR="00F05EF8" w:rsidRPr="00FD5F19">
              <w:t>precizēt</w:t>
            </w:r>
            <w:r w:rsidR="00FD5F19" w:rsidRPr="00FD5F19">
              <w:t xml:space="preserve"> sadaļas “Sagaidāmie rezultāti” 1.punktu, nosakot, ka Latvija.lv funkcionalitāte tiks papildināta ar funkcionalitāti, kas nodrošinās arī tādu pakalpojumu piegādi, kā rezultātā klients saņem </w:t>
            </w:r>
            <w:proofErr w:type="spellStart"/>
            <w:r w:rsidR="00FD5F19" w:rsidRPr="00FD5F19">
              <w:t>lielapjoma</w:t>
            </w:r>
            <w:proofErr w:type="spellEnd"/>
            <w:r w:rsidR="00FD5F19" w:rsidRPr="00FD5F19">
              <w:t xml:space="preserve"> datus vai datus vektoru formātā.</w:t>
            </w:r>
          </w:p>
        </w:tc>
        <w:tc>
          <w:tcPr>
            <w:tcW w:w="2480" w:type="dxa"/>
            <w:tcBorders>
              <w:left w:val="single" w:sz="6" w:space="0" w:color="000000" w:themeColor="text1"/>
              <w:bottom w:val="single" w:sz="4" w:space="0" w:color="auto"/>
            </w:tcBorders>
            <w:shd w:val="clear" w:color="auto" w:fill="auto"/>
          </w:tcPr>
          <w:p w14:paraId="382576A6" w14:textId="77777777" w:rsidR="004733F8" w:rsidRPr="009841AB" w:rsidRDefault="004733F8" w:rsidP="004733F8">
            <w:pPr>
              <w:pStyle w:val="naisc"/>
              <w:jc w:val="left"/>
              <w:rPr>
                <w:b/>
                <w:bCs/>
                <w:color w:val="000000"/>
                <w:shd w:val="clear" w:color="auto" w:fill="FFFFFF"/>
              </w:rPr>
            </w:pPr>
            <w:r>
              <w:rPr>
                <w:b/>
                <w:bCs/>
                <w:color w:val="000000"/>
                <w:shd w:val="clear" w:color="auto" w:fill="FFFFFF"/>
              </w:rPr>
              <w:t>Panākta vienošanās</w:t>
            </w:r>
          </w:p>
          <w:p w14:paraId="7D5BAF3D" w14:textId="77777777" w:rsidR="006F0D23" w:rsidRPr="009841AB" w:rsidRDefault="13823084" w:rsidP="0018109A">
            <w:pPr>
              <w:pStyle w:val="naisc"/>
              <w:spacing w:before="0" w:after="0"/>
              <w:jc w:val="left"/>
            </w:pPr>
            <w:r>
              <w:t>Precizēts nepieciešamās rīcības apraksts attiecībā uz  Latvija.lv funkcionalitātes attīstību datu pakalpojumu sniegšanai</w:t>
            </w:r>
          </w:p>
        </w:tc>
        <w:tc>
          <w:tcPr>
            <w:tcW w:w="3504" w:type="dxa"/>
            <w:gridSpan w:val="2"/>
            <w:tcBorders>
              <w:left w:val="single" w:sz="6" w:space="0" w:color="000000" w:themeColor="text1"/>
              <w:bottom w:val="single" w:sz="4" w:space="0" w:color="auto"/>
            </w:tcBorders>
            <w:shd w:val="clear" w:color="auto" w:fill="auto"/>
          </w:tcPr>
          <w:p w14:paraId="415EACA6" w14:textId="77777777" w:rsidR="006F0D23" w:rsidRPr="009841AB" w:rsidRDefault="762EF5FD" w:rsidP="55E5C0A8">
            <w:pPr>
              <w:spacing w:after="120"/>
            </w:pPr>
            <w:r>
              <w:t xml:space="preserve">Lūdzam skatīt </w:t>
            </w:r>
            <w:proofErr w:type="spellStart"/>
            <w:r>
              <w:t>apakšsadaļu</w:t>
            </w:r>
            <w:proofErr w:type="spellEnd"/>
            <w:r>
              <w:t xml:space="preserve"> 4.4.9.2.</w:t>
            </w:r>
          </w:p>
          <w:p w14:paraId="68122EF3" w14:textId="77777777" w:rsidR="006F0D23" w:rsidRPr="009841AB" w:rsidRDefault="006F0D23" w:rsidP="0018109A">
            <w:pPr>
              <w:tabs>
                <w:tab w:val="left" w:pos="426"/>
              </w:tabs>
              <w:spacing w:after="120"/>
              <w:jc w:val="both"/>
            </w:pPr>
          </w:p>
        </w:tc>
      </w:tr>
      <w:tr w:rsidR="000F0CF0" w:rsidRPr="009841AB" w14:paraId="5BC330D2" w14:textId="77777777" w:rsidTr="00DC72A3">
        <w:tc>
          <w:tcPr>
            <w:tcW w:w="613" w:type="dxa"/>
            <w:tcBorders>
              <w:left w:val="single" w:sz="6" w:space="0" w:color="000000" w:themeColor="text1"/>
              <w:bottom w:val="single" w:sz="4" w:space="0" w:color="auto"/>
            </w:tcBorders>
            <w:shd w:val="clear" w:color="auto" w:fill="auto"/>
          </w:tcPr>
          <w:p w14:paraId="424DAB6C" w14:textId="77777777" w:rsidR="000F0CF0" w:rsidRPr="009841AB" w:rsidRDefault="0067622E" w:rsidP="0018109A">
            <w:pPr>
              <w:pStyle w:val="naisc"/>
              <w:spacing w:before="0" w:after="0"/>
            </w:pPr>
            <w:r>
              <w:t>447</w:t>
            </w:r>
          </w:p>
        </w:tc>
        <w:tc>
          <w:tcPr>
            <w:tcW w:w="2427" w:type="dxa"/>
            <w:tcBorders>
              <w:left w:val="single" w:sz="6" w:space="0" w:color="000000" w:themeColor="text1"/>
              <w:bottom w:val="single" w:sz="4" w:space="0" w:color="auto"/>
            </w:tcBorders>
            <w:shd w:val="clear" w:color="auto" w:fill="auto"/>
          </w:tcPr>
          <w:p w14:paraId="38B61EDC" w14:textId="77777777" w:rsidR="000F0CF0" w:rsidRPr="009841AB" w:rsidRDefault="000F0CF0"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DCAA27B" w14:textId="77777777" w:rsidR="000F0CF0" w:rsidRPr="009841AB" w:rsidRDefault="00FD5F19" w:rsidP="0018109A">
            <w:pPr>
              <w:ind w:right="12"/>
              <w:jc w:val="both"/>
            </w:pPr>
            <w:r>
              <w:t xml:space="preserve">9. </w:t>
            </w:r>
            <w:r w:rsidR="00D047EA" w:rsidRPr="00D047EA">
              <w:t>Lūdzam pamatnostādņu projekta 70. lappuses 5. punktā un 73. lappuses U4.4.4.-3 uzdevumā aiz vārdiem "valsts pārvaldē radīto un uzturēto" svītrot vārdu "bezmaksas", tādējādi vienādojot tā redakciju ar pamatnostādņu projekta 72. lappuses 5. punktu.</w:t>
            </w:r>
          </w:p>
        </w:tc>
        <w:tc>
          <w:tcPr>
            <w:tcW w:w="2480" w:type="dxa"/>
            <w:tcBorders>
              <w:left w:val="single" w:sz="6" w:space="0" w:color="000000" w:themeColor="text1"/>
              <w:bottom w:val="single" w:sz="4" w:space="0" w:color="auto"/>
            </w:tcBorders>
            <w:shd w:val="clear" w:color="auto" w:fill="auto"/>
          </w:tcPr>
          <w:p w14:paraId="21C82A3E" w14:textId="77777777" w:rsidR="000F0CF0" w:rsidRPr="009841AB" w:rsidRDefault="006A726D" w:rsidP="0018109A">
            <w:pPr>
              <w:pStyle w:val="naisc"/>
              <w:spacing w:before="0" w:after="0"/>
              <w:jc w:val="left"/>
              <w:rPr>
                <w:b/>
                <w:bCs/>
              </w:rPr>
            </w:pPr>
            <w:r>
              <w:rPr>
                <w:b/>
                <w:bCs/>
              </w:rPr>
              <w:t>Ņemts vērā</w:t>
            </w:r>
          </w:p>
        </w:tc>
        <w:tc>
          <w:tcPr>
            <w:tcW w:w="3504" w:type="dxa"/>
            <w:gridSpan w:val="2"/>
            <w:tcBorders>
              <w:left w:val="single" w:sz="6" w:space="0" w:color="000000" w:themeColor="text1"/>
              <w:bottom w:val="single" w:sz="4" w:space="0" w:color="auto"/>
            </w:tcBorders>
            <w:shd w:val="clear" w:color="auto" w:fill="auto"/>
          </w:tcPr>
          <w:p w14:paraId="0BCEFF61" w14:textId="77777777" w:rsidR="00DD2DF9" w:rsidRDefault="00DD2DF9" w:rsidP="00DD2DF9">
            <w:pPr>
              <w:tabs>
                <w:tab w:val="left" w:pos="426"/>
              </w:tabs>
              <w:spacing w:after="120"/>
              <w:jc w:val="both"/>
            </w:pPr>
            <w:r>
              <w:t>Lūdzam skatīt 4.4. sadaļu</w:t>
            </w:r>
          </w:p>
          <w:p w14:paraId="4801E585" w14:textId="77777777" w:rsidR="00DD2DF9" w:rsidRDefault="00DD2DF9" w:rsidP="0018109A">
            <w:pPr>
              <w:tabs>
                <w:tab w:val="left" w:pos="426"/>
              </w:tabs>
              <w:spacing w:after="120"/>
              <w:jc w:val="both"/>
            </w:pPr>
          </w:p>
          <w:p w14:paraId="17095309" w14:textId="1EFC16C2" w:rsidR="000F0CF0" w:rsidRPr="009841AB" w:rsidRDefault="00E6103E" w:rsidP="0018109A">
            <w:pPr>
              <w:tabs>
                <w:tab w:val="left" w:pos="426"/>
              </w:tabs>
              <w:spacing w:after="120"/>
              <w:jc w:val="both"/>
            </w:pPr>
            <w:r>
              <w:t xml:space="preserve">Skat. uzdevuma precizēto redakciju </w:t>
            </w:r>
          </w:p>
        </w:tc>
      </w:tr>
      <w:tr w:rsidR="000F0CF0" w:rsidRPr="009841AB" w14:paraId="11FFFFE1" w14:textId="77777777" w:rsidTr="00DC72A3">
        <w:tc>
          <w:tcPr>
            <w:tcW w:w="613" w:type="dxa"/>
            <w:tcBorders>
              <w:left w:val="single" w:sz="6" w:space="0" w:color="000000" w:themeColor="text1"/>
              <w:bottom w:val="single" w:sz="4" w:space="0" w:color="auto"/>
            </w:tcBorders>
            <w:shd w:val="clear" w:color="auto" w:fill="auto"/>
          </w:tcPr>
          <w:p w14:paraId="6A34DD1A" w14:textId="77777777" w:rsidR="000F0CF0" w:rsidRPr="009841AB" w:rsidRDefault="000F0CF0" w:rsidP="0018109A">
            <w:pPr>
              <w:pStyle w:val="naisc"/>
              <w:spacing w:before="0" w:after="0"/>
            </w:pPr>
          </w:p>
        </w:tc>
        <w:tc>
          <w:tcPr>
            <w:tcW w:w="2427" w:type="dxa"/>
            <w:tcBorders>
              <w:left w:val="single" w:sz="6" w:space="0" w:color="000000" w:themeColor="text1"/>
              <w:bottom w:val="single" w:sz="4" w:space="0" w:color="auto"/>
            </w:tcBorders>
            <w:shd w:val="clear" w:color="auto" w:fill="auto"/>
          </w:tcPr>
          <w:p w14:paraId="09130F1B" w14:textId="77777777" w:rsidR="000F0CF0" w:rsidRPr="009841AB" w:rsidRDefault="000F0CF0" w:rsidP="0018109A">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3B373E6C" w14:textId="77777777" w:rsidR="000F0CF0" w:rsidRPr="007B243E" w:rsidRDefault="00F05EF8" w:rsidP="0018109A">
            <w:pPr>
              <w:ind w:right="12"/>
              <w:jc w:val="both"/>
              <w:rPr>
                <w:b/>
              </w:rPr>
            </w:pPr>
            <w:r w:rsidRPr="007B243E">
              <w:rPr>
                <w:b/>
                <w:bCs/>
              </w:rPr>
              <w:t>Priekšlikumi:</w:t>
            </w:r>
          </w:p>
        </w:tc>
        <w:tc>
          <w:tcPr>
            <w:tcW w:w="2480" w:type="dxa"/>
            <w:tcBorders>
              <w:left w:val="single" w:sz="6" w:space="0" w:color="000000" w:themeColor="text1"/>
              <w:bottom w:val="single" w:sz="4" w:space="0" w:color="auto"/>
            </w:tcBorders>
            <w:shd w:val="clear" w:color="auto" w:fill="auto"/>
          </w:tcPr>
          <w:p w14:paraId="5162973D" w14:textId="77777777" w:rsidR="000F0CF0" w:rsidRPr="009841AB" w:rsidRDefault="000F0CF0" w:rsidP="0018109A">
            <w:pPr>
              <w:pStyle w:val="naisc"/>
              <w:spacing w:before="0" w:after="0"/>
              <w:jc w:val="left"/>
              <w:rPr>
                <w:b/>
                <w:bCs/>
              </w:rPr>
            </w:pPr>
          </w:p>
        </w:tc>
        <w:tc>
          <w:tcPr>
            <w:tcW w:w="3504" w:type="dxa"/>
            <w:gridSpan w:val="2"/>
            <w:tcBorders>
              <w:left w:val="single" w:sz="6" w:space="0" w:color="000000" w:themeColor="text1"/>
              <w:bottom w:val="single" w:sz="4" w:space="0" w:color="auto"/>
            </w:tcBorders>
            <w:shd w:val="clear" w:color="auto" w:fill="auto"/>
          </w:tcPr>
          <w:p w14:paraId="4E50EF7A" w14:textId="77777777" w:rsidR="000F0CF0" w:rsidRPr="009841AB" w:rsidRDefault="000F0CF0" w:rsidP="0018109A">
            <w:pPr>
              <w:tabs>
                <w:tab w:val="left" w:pos="426"/>
              </w:tabs>
              <w:spacing w:after="120"/>
              <w:jc w:val="both"/>
            </w:pPr>
          </w:p>
        </w:tc>
      </w:tr>
      <w:tr w:rsidR="007B243E" w:rsidRPr="009841AB" w14:paraId="2FED5F14" w14:textId="77777777" w:rsidTr="00DC72A3">
        <w:tc>
          <w:tcPr>
            <w:tcW w:w="613" w:type="dxa"/>
            <w:tcBorders>
              <w:left w:val="single" w:sz="6" w:space="0" w:color="000000" w:themeColor="text1"/>
              <w:bottom w:val="single" w:sz="4" w:space="0" w:color="auto"/>
            </w:tcBorders>
            <w:shd w:val="clear" w:color="auto" w:fill="auto"/>
          </w:tcPr>
          <w:p w14:paraId="25080513" w14:textId="77777777" w:rsidR="007B243E" w:rsidRPr="009841AB" w:rsidRDefault="0067622E" w:rsidP="0018109A">
            <w:pPr>
              <w:pStyle w:val="naisc"/>
              <w:spacing w:before="0" w:after="0"/>
            </w:pPr>
            <w:r>
              <w:t>448</w:t>
            </w:r>
          </w:p>
        </w:tc>
        <w:tc>
          <w:tcPr>
            <w:tcW w:w="2427" w:type="dxa"/>
            <w:tcBorders>
              <w:left w:val="single" w:sz="6" w:space="0" w:color="000000" w:themeColor="text1"/>
              <w:bottom w:val="single" w:sz="4" w:space="0" w:color="auto"/>
            </w:tcBorders>
            <w:shd w:val="clear" w:color="auto" w:fill="auto"/>
          </w:tcPr>
          <w:p w14:paraId="3FB7756E" w14:textId="77777777" w:rsidR="007B243E" w:rsidRPr="009841AB" w:rsidRDefault="007B243E"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C20DA65" w14:textId="77777777" w:rsidR="007B243E" w:rsidRPr="009841AB" w:rsidRDefault="00C57DEA" w:rsidP="0018109A">
            <w:pPr>
              <w:ind w:right="12"/>
              <w:jc w:val="both"/>
            </w:pPr>
            <w:r w:rsidRPr="00C57DEA">
              <w:t>1.</w:t>
            </w:r>
            <w:r w:rsidRPr="00C57DEA">
              <w:tab/>
              <w:t xml:space="preserve">Pamatnostādņu projekta 4.4.2.2. </w:t>
            </w:r>
            <w:proofErr w:type="spellStart"/>
            <w:r w:rsidRPr="00C57DEA">
              <w:t>apakšsadaļas</w:t>
            </w:r>
            <w:proofErr w:type="spellEnd"/>
            <w:r w:rsidRPr="00C57DEA">
              <w:t xml:space="preserve"> “Rīcības </w:t>
            </w:r>
            <w:proofErr w:type="spellStart"/>
            <w:r w:rsidRPr="00C57DEA">
              <w:t>apakšvirziens</w:t>
            </w:r>
            <w:proofErr w:type="spellEnd"/>
            <w:r w:rsidRPr="00C57DEA">
              <w:t xml:space="preserve">: Fizisko personu datu aizsardzība”, “Nepieciešamā rīcība” 1.punktā, 61.lpp. </w:t>
            </w:r>
            <w:r w:rsidRPr="00C57DEA">
              <w:lastRenderedPageBreak/>
              <w:t>norādīts, ka “Drošības elements nav skatāms atrauti no visiem pārējiem digitālās vides formēšanās elementiem. Pēc būtības personas datu aizsardzības principi ir noteikti Regulas 5.pantā un būtisks aspekts personas datu aizsardzībā ir panākt, ka ar atbilstošāko risinājumu ir iespējams sasniegt plānoto nolūku.” Ņemot vērā minētajā rindkopā norādīto, iesakām minētās rindkopas saturā vārdu “aizsardzības” aizstāt ar vārdu “apstrādes”, ņemot vērā, ka Vispārīgās datu aizsardzības regulas 5.pantā lietoto terminoloģiju “Personas datu apstrādes principi”.</w:t>
            </w:r>
          </w:p>
        </w:tc>
        <w:tc>
          <w:tcPr>
            <w:tcW w:w="2480" w:type="dxa"/>
            <w:tcBorders>
              <w:left w:val="single" w:sz="6" w:space="0" w:color="000000" w:themeColor="text1"/>
              <w:bottom w:val="single" w:sz="4" w:space="0" w:color="auto"/>
            </w:tcBorders>
            <w:shd w:val="clear" w:color="auto" w:fill="auto"/>
          </w:tcPr>
          <w:p w14:paraId="136741F1" w14:textId="794BB97F" w:rsidR="007B243E" w:rsidRPr="009841AB" w:rsidRDefault="00DD2DF9" w:rsidP="0018109A">
            <w:pPr>
              <w:pStyle w:val="naisc"/>
              <w:spacing w:before="0" w:after="0"/>
              <w:jc w:val="left"/>
              <w:rPr>
                <w:b/>
                <w:bCs/>
              </w:rPr>
            </w:pPr>
            <w:r>
              <w:rPr>
                <w:b/>
                <w:bCs/>
              </w:rPr>
              <w:lastRenderedPageBreak/>
              <w:t>Ņemts vērā</w:t>
            </w:r>
          </w:p>
        </w:tc>
        <w:tc>
          <w:tcPr>
            <w:tcW w:w="3504" w:type="dxa"/>
            <w:gridSpan w:val="2"/>
            <w:tcBorders>
              <w:left w:val="single" w:sz="6" w:space="0" w:color="000000" w:themeColor="text1"/>
              <w:bottom w:val="single" w:sz="4" w:space="0" w:color="auto"/>
            </w:tcBorders>
            <w:shd w:val="clear" w:color="auto" w:fill="auto"/>
          </w:tcPr>
          <w:p w14:paraId="7B5967BB" w14:textId="016962AB" w:rsidR="007B243E" w:rsidRPr="009841AB" w:rsidRDefault="00DD2DF9" w:rsidP="0018109A">
            <w:pPr>
              <w:tabs>
                <w:tab w:val="left" w:pos="426"/>
              </w:tabs>
              <w:spacing w:after="120"/>
              <w:jc w:val="both"/>
            </w:pPr>
            <w:r>
              <w:t>Lūdzam skatīt 4.4. sadaļu</w:t>
            </w:r>
          </w:p>
        </w:tc>
      </w:tr>
      <w:tr w:rsidR="007B243E" w:rsidRPr="009841AB" w14:paraId="23622541" w14:textId="77777777" w:rsidTr="00DC72A3">
        <w:tc>
          <w:tcPr>
            <w:tcW w:w="613" w:type="dxa"/>
            <w:tcBorders>
              <w:left w:val="single" w:sz="6" w:space="0" w:color="000000" w:themeColor="text1"/>
              <w:bottom w:val="single" w:sz="4" w:space="0" w:color="auto"/>
            </w:tcBorders>
            <w:shd w:val="clear" w:color="auto" w:fill="auto"/>
          </w:tcPr>
          <w:p w14:paraId="40655CB4" w14:textId="77777777" w:rsidR="007B243E" w:rsidRPr="009841AB" w:rsidRDefault="00F95CA2" w:rsidP="0018109A">
            <w:pPr>
              <w:pStyle w:val="naisc"/>
              <w:spacing w:before="0" w:after="0"/>
            </w:pPr>
            <w:r>
              <w:t>449</w:t>
            </w:r>
          </w:p>
        </w:tc>
        <w:tc>
          <w:tcPr>
            <w:tcW w:w="2427" w:type="dxa"/>
            <w:tcBorders>
              <w:left w:val="single" w:sz="6" w:space="0" w:color="000000" w:themeColor="text1"/>
              <w:bottom w:val="single" w:sz="4" w:space="0" w:color="auto"/>
            </w:tcBorders>
            <w:shd w:val="clear" w:color="auto" w:fill="auto"/>
          </w:tcPr>
          <w:p w14:paraId="0BA24873" w14:textId="77777777" w:rsidR="007B243E" w:rsidRPr="009841AB" w:rsidRDefault="007B243E"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BC21C32" w14:textId="77777777" w:rsidR="007B243E" w:rsidRPr="009841AB" w:rsidRDefault="00B223FD" w:rsidP="0018109A">
            <w:pPr>
              <w:ind w:right="12"/>
              <w:jc w:val="both"/>
            </w:pPr>
            <w:r>
              <w:t>2.</w:t>
            </w:r>
            <w:r w:rsidRPr="00B223FD">
              <w:tab/>
              <w:t xml:space="preserve">Pamatnostādņu projekta 4.4.2.2. </w:t>
            </w:r>
            <w:proofErr w:type="spellStart"/>
            <w:r w:rsidRPr="00B223FD">
              <w:t>apakšsadaļas</w:t>
            </w:r>
            <w:proofErr w:type="spellEnd"/>
            <w:r w:rsidRPr="00B223FD">
              <w:t xml:space="preserve"> “Rīcības </w:t>
            </w:r>
            <w:proofErr w:type="spellStart"/>
            <w:r w:rsidRPr="00B223FD">
              <w:t>apakšvirziens</w:t>
            </w:r>
            <w:proofErr w:type="spellEnd"/>
            <w:r w:rsidRPr="00B223FD">
              <w:t>: Fizisko personu datu aizsardzība”, “Nepieciešamā rīcība” 2.punktā otrais teikums, 61.lpp. ir izteikt šādā redakcijā “Drošību iezīmēt kā konkrētu pasākumu kopumu ir neizpildāms uzdevums drošības prasību mainīguma dēļ”. Ņemot vērā šī otrā jēgu pēc būtības, izsakām ierosinājumu šo teikumu izteikt šādā redakcijā: “Drošību iezīmēt kā kādu konkrētu pasākumu kopumu ir neiespējami,  tomēr pasākumu kopumam jābūt tādam, lai tas nodrošinātu pienācīgu personas datu drošību un konfidencialitāti Personas datu apstrādei jānotiek viedā, kas nepieļauj neatļautu piekļuvi personas datiem vai to neatļautu izmantošanu un neatļautu piekļuvi aprīkojumam, kas izmantots apstrādei.” Tieslietu ministrijas ieskatā šāda teksta redakcija vairāk atbilst Vispārīgās datu aizsardzības regulas izvirzītajiem datu apstrādes drošības nosacījumiem (Vispārīgās datu aizsardzības regulas 39.apsvērums - Personas dati būtu jāapstrādā veidā, kas nodrošina personas datu pienācīgu drošību un konfidencialitāti, tostarp nepieļaujot neatļautu piekļuvi personas datiem vai to neatļautu izmantošanu un neatļautu piekļuvi aprīkojumam, kas izmantots apstrādei).</w:t>
            </w:r>
          </w:p>
        </w:tc>
        <w:tc>
          <w:tcPr>
            <w:tcW w:w="2480" w:type="dxa"/>
            <w:tcBorders>
              <w:left w:val="single" w:sz="6" w:space="0" w:color="000000" w:themeColor="text1"/>
              <w:bottom w:val="single" w:sz="4" w:space="0" w:color="auto"/>
            </w:tcBorders>
            <w:shd w:val="clear" w:color="auto" w:fill="auto"/>
          </w:tcPr>
          <w:p w14:paraId="10C0A1C1" w14:textId="4CB8B409" w:rsidR="007B243E" w:rsidRPr="009841AB" w:rsidRDefault="00DD2DF9" w:rsidP="0018109A">
            <w:pPr>
              <w:pStyle w:val="naisc"/>
              <w:spacing w:before="0" w:after="0"/>
              <w:jc w:val="left"/>
              <w:rPr>
                <w:b/>
                <w:bCs/>
              </w:rPr>
            </w:pPr>
            <w:r>
              <w:rPr>
                <w:b/>
                <w:bCs/>
              </w:rPr>
              <w:t>Ņemts vērā</w:t>
            </w:r>
          </w:p>
        </w:tc>
        <w:tc>
          <w:tcPr>
            <w:tcW w:w="3504" w:type="dxa"/>
            <w:gridSpan w:val="2"/>
            <w:tcBorders>
              <w:left w:val="single" w:sz="6" w:space="0" w:color="000000" w:themeColor="text1"/>
              <w:bottom w:val="single" w:sz="4" w:space="0" w:color="auto"/>
            </w:tcBorders>
            <w:shd w:val="clear" w:color="auto" w:fill="auto"/>
          </w:tcPr>
          <w:p w14:paraId="490A18B1" w14:textId="4A7AB653" w:rsidR="007B243E" w:rsidRPr="009841AB" w:rsidRDefault="00DD2DF9" w:rsidP="0018109A">
            <w:pPr>
              <w:tabs>
                <w:tab w:val="left" w:pos="426"/>
              </w:tabs>
              <w:spacing w:after="120"/>
              <w:jc w:val="both"/>
            </w:pPr>
            <w:r>
              <w:t>Lūdzam skatīt 4.4. sadaļu</w:t>
            </w:r>
          </w:p>
        </w:tc>
      </w:tr>
      <w:tr w:rsidR="00B223FD" w:rsidRPr="009841AB" w14:paraId="31E80A68" w14:textId="77777777" w:rsidTr="00DC72A3">
        <w:tc>
          <w:tcPr>
            <w:tcW w:w="613" w:type="dxa"/>
            <w:tcBorders>
              <w:left w:val="single" w:sz="6" w:space="0" w:color="000000" w:themeColor="text1"/>
              <w:bottom w:val="single" w:sz="4" w:space="0" w:color="auto"/>
            </w:tcBorders>
            <w:shd w:val="clear" w:color="auto" w:fill="auto"/>
          </w:tcPr>
          <w:p w14:paraId="073BF81F" w14:textId="77777777" w:rsidR="00B223FD" w:rsidRPr="009841AB" w:rsidRDefault="00F95CA2" w:rsidP="0018109A">
            <w:pPr>
              <w:pStyle w:val="naisc"/>
              <w:spacing w:before="0" w:after="0"/>
            </w:pPr>
            <w:r>
              <w:lastRenderedPageBreak/>
              <w:t>450</w:t>
            </w:r>
          </w:p>
        </w:tc>
        <w:tc>
          <w:tcPr>
            <w:tcW w:w="2427" w:type="dxa"/>
            <w:tcBorders>
              <w:left w:val="single" w:sz="6" w:space="0" w:color="000000" w:themeColor="text1"/>
              <w:bottom w:val="single" w:sz="4" w:space="0" w:color="auto"/>
            </w:tcBorders>
            <w:shd w:val="clear" w:color="auto" w:fill="auto"/>
          </w:tcPr>
          <w:p w14:paraId="22AA7802" w14:textId="77777777" w:rsidR="00B223FD" w:rsidRPr="009841AB" w:rsidRDefault="00B223FD"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0CAA7CB" w14:textId="77777777" w:rsidR="00B223FD" w:rsidRDefault="00B223FD" w:rsidP="0018109A">
            <w:pPr>
              <w:ind w:right="12"/>
              <w:jc w:val="both"/>
            </w:pPr>
            <w:r>
              <w:t xml:space="preserve">3. </w:t>
            </w:r>
            <w:r w:rsidR="003547A4" w:rsidRPr="003547A4">
              <w:t xml:space="preserve">Pamatnostādņu projekta 4.4.2.2. </w:t>
            </w:r>
            <w:proofErr w:type="spellStart"/>
            <w:r w:rsidR="003547A4" w:rsidRPr="003547A4">
              <w:t>apakšsadaļas</w:t>
            </w:r>
            <w:proofErr w:type="spellEnd"/>
            <w:r w:rsidR="003547A4" w:rsidRPr="003547A4">
              <w:t xml:space="preserve"> “Rīcības </w:t>
            </w:r>
            <w:proofErr w:type="spellStart"/>
            <w:r w:rsidR="003547A4" w:rsidRPr="003547A4">
              <w:t>apakšvirziens</w:t>
            </w:r>
            <w:proofErr w:type="spellEnd"/>
            <w:r w:rsidR="003547A4" w:rsidRPr="003547A4">
              <w:t>: Fizisko personu datu aizsardzība”, “Nepieciešamā rīcība” 3.punktā, 62.lpp. teikums izteikts šādā redakcijā: “Saziņas līdzekļu modernizācija ļautu Datu valsts inspekcijai sniegt informatīvu atbalstu plašākam pakalpojumu sniedzēju lokam, kā arī efektīvāk izskatīt Latvijas iedzīvotāju ar personas datu aizsardzību saistītus iesniegumus.” Izsakām priekšlikumu svītrot minēto teikumu daļā “kā arī efektīvāk izskatīt Latvijas iedzīvotāju ar personas datu aizsardzību saistītus iesniegumus”, par cik, Tieslietu ministrijas ieskatā, saziņas līdzekļu modernizācija tiešā veidā neietekmē sūdzību izskatīšanas efektivitāti, bet gan, iespējams, sūdzības iesniedzēju informētības līmeni par savām tiesībām, iespējamu datu aizsardzības pārkāpuma pamatota paziņošana. Sūdzību izskatīšanas efektivitāte ir saistīta ne tik daudz kā ar saziņas līdzekļu izmantošanu, bet gan DVI kapacitāti (pietiekamu nodarbināto skaitu).</w:t>
            </w:r>
          </w:p>
        </w:tc>
        <w:tc>
          <w:tcPr>
            <w:tcW w:w="2480" w:type="dxa"/>
            <w:tcBorders>
              <w:left w:val="single" w:sz="6" w:space="0" w:color="000000" w:themeColor="text1"/>
              <w:bottom w:val="single" w:sz="4" w:space="0" w:color="auto"/>
            </w:tcBorders>
            <w:shd w:val="clear" w:color="auto" w:fill="auto"/>
          </w:tcPr>
          <w:p w14:paraId="7993B9A9" w14:textId="77777777" w:rsidR="00B223FD" w:rsidRPr="009841AB" w:rsidRDefault="00B223FD" w:rsidP="0018109A">
            <w:pPr>
              <w:pStyle w:val="naisc"/>
              <w:spacing w:before="0" w:after="0"/>
              <w:jc w:val="left"/>
              <w:rPr>
                <w:b/>
                <w:bCs/>
              </w:rPr>
            </w:pPr>
          </w:p>
        </w:tc>
        <w:tc>
          <w:tcPr>
            <w:tcW w:w="3504" w:type="dxa"/>
            <w:gridSpan w:val="2"/>
            <w:tcBorders>
              <w:left w:val="single" w:sz="6" w:space="0" w:color="000000" w:themeColor="text1"/>
              <w:bottom w:val="single" w:sz="4" w:space="0" w:color="auto"/>
            </w:tcBorders>
            <w:shd w:val="clear" w:color="auto" w:fill="auto"/>
          </w:tcPr>
          <w:p w14:paraId="33467AF6" w14:textId="77777777" w:rsidR="00B223FD" w:rsidRPr="009841AB" w:rsidRDefault="00B223FD" w:rsidP="0018109A">
            <w:pPr>
              <w:tabs>
                <w:tab w:val="left" w:pos="426"/>
              </w:tabs>
              <w:spacing w:after="120"/>
              <w:jc w:val="both"/>
            </w:pPr>
          </w:p>
        </w:tc>
      </w:tr>
      <w:tr w:rsidR="003547A4" w:rsidRPr="009841AB" w14:paraId="48CC00E4" w14:textId="77777777" w:rsidTr="00DC72A3">
        <w:tc>
          <w:tcPr>
            <w:tcW w:w="613" w:type="dxa"/>
            <w:tcBorders>
              <w:left w:val="single" w:sz="6" w:space="0" w:color="000000" w:themeColor="text1"/>
              <w:bottom w:val="single" w:sz="4" w:space="0" w:color="auto"/>
            </w:tcBorders>
            <w:shd w:val="clear" w:color="auto" w:fill="auto"/>
          </w:tcPr>
          <w:p w14:paraId="2DE405DC" w14:textId="77777777" w:rsidR="003547A4" w:rsidRPr="009841AB" w:rsidRDefault="00F95CA2" w:rsidP="0018109A">
            <w:pPr>
              <w:pStyle w:val="naisc"/>
              <w:spacing w:before="0" w:after="0"/>
            </w:pPr>
            <w:r>
              <w:t>451</w:t>
            </w:r>
          </w:p>
        </w:tc>
        <w:tc>
          <w:tcPr>
            <w:tcW w:w="2427" w:type="dxa"/>
            <w:tcBorders>
              <w:left w:val="single" w:sz="6" w:space="0" w:color="000000" w:themeColor="text1"/>
              <w:bottom w:val="single" w:sz="4" w:space="0" w:color="auto"/>
            </w:tcBorders>
            <w:shd w:val="clear" w:color="auto" w:fill="auto"/>
          </w:tcPr>
          <w:p w14:paraId="1FC186BD" w14:textId="77777777" w:rsidR="003547A4" w:rsidRPr="009841AB" w:rsidRDefault="003547A4"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E5AD4E1" w14:textId="77777777" w:rsidR="003547A4" w:rsidRDefault="003547A4" w:rsidP="0018109A">
            <w:pPr>
              <w:ind w:right="12"/>
              <w:jc w:val="both"/>
            </w:pPr>
            <w:r>
              <w:t xml:space="preserve">4. </w:t>
            </w:r>
            <w:r w:rsidR="00364DD8" w:rsidRPr="00364DD8">
              <w:t xml:space="preserve">Pamatnostādņu projekta 4.4.5.2.apakšsadaļas “Rīcības </w:t>
            </w:r>
            <w:proofErr w:type="spellStart"/>
            <w:r w:rsidR="00364DD8" w:rsidRPr="00364DD8">
              <w:t>apakšvirziens</w:t>
            </w:r>
            <w:proofErr w:type="spellEnd"/>
            <w:r w:rsidR="00364DD8" w:rsidRPr="00364DD8">
              <w:t xml:space="preserve">: Nacionālās drošības un informācijas telpas stiprināšana”, Ievads” otrajā rindkopā 77.lpp. norādīts: “Būtisks informācijas telpas stiprināšanas elements ir Sabiedrisko mediju patstāvības un </w:t>
            </w:r>
            <w:proofErr w:type="spellStart"/>
            <w:r w:rsidR="00364DD8" w:rsidRPr="00364DD8">
              <w:t>kvalitatīas</w:t>
            </w:r>
            <w:proofErr w:type="spellEnd"/>
            <w:r w:rsidR="00364DD8" w:rsidRPr="00364DD8">
              <w:t xml:space="preserve"> darbības, t.sk. tehnoloģiskā risinājuma </w:t>
            </w:r>
            <w:proofErr w:type="spellStart"/>
            <w:r w:rsidR="00364DD8" w:rsidRPr="00364DD8">
              <w:t>nodroošināšana</w:t>
            </w:r>
            <w:proofErr w:type="spellEnd"/>
            <w:r w:rsidR="00364DD8" w:rsidRPr="00364DD8">
              <w:t>.” Teikumā izmantotajos vārdos “</w:t>
            </w:r>
            <w:proofErr w:type="spellStart"/>
            <w:r w:rsidR="00364DD8" w:rsidRPr="00364DD8">
              <w:t>kvalitatīas</w:t>
            </w:r>
            <w:proofErr w:type="spellEnd"/>
            <w:r w:rsidR="00364DD8" w:rsidRPr="00364DD8">
              <w:t>”, “</w:t>
            </w:r>
            <w:proofErr w:type="spellStart"/>
            <w:r w:rsidR="00364DD8" w:rsidRPr="00364DD8">
              <w:t>nodroošināšana</w:t>
            </w:r>
            <w:proofErr w:type="spellEnd"/>
            <w:r w:rsidR="00364DD8" w:rsidRPr="00364DD8">
              <w:t>” lūdzam novērst gramatikas nepilnības – iztrūkstošus burtus, labojot tos uz vārdiem: “kvalitatīvas”, “nodrošināšana”.</w:t>
            </w:r>
          </w:p>
        </w:tc>
        <w:tc>
          <w:tcPr>
            <w:tcW w:w="2480" w:type="dxa"/>
            <w:tcBorders>
              <w:left w:val="single" w:sz="6" w:space="0" w:color="000000" w:themeColor="text1"/>
              <w:bottom w:val="single" w:sz="4" w:space="0" w:color="auto"/>
            </w:tcBorders>
            <w:shd w:val="clear" w:color="auto" w:fill="auto"/>
          </w:tcPr>
          <w:p w14:paraId="033ECFEF" w14:textId="77777777" w:rsidR="003547A4" w:rsidRDefault="239EC4B9" w:rsidP="0018109A">
            <w:pPr>
              <w:pStyle w:val="naisc"/>
              <w:spacing w:before="0" w:after="0"/>
              <w:jc w:val="left"/>
              <w:rPr>
                <w:b/>
                <w:bCs/>
              </w:rPr>
            </w:pPr>
            <w:r w:rsidRPr="10D77D61">
              <w:rPr>
                <w:b/>
                <w:bCs/>
              </w:rPr>
              <w:t xml:space="preserve">Ņemts </w:t>
            </w:r>
            <w:r w:rsidRPr="0E5F7ED3">
              <w:rPr>
                <w:b/>
                <w:bCs/>
              </w:rPr>
              <w:t>vērā</w:t>
            </w:r>
          </w:p>
          <w:p w14:paraId="5DA59BDF" w14:textId="1BBBBC3F" w:rsidR="00DD2DF9" w:rsidRPr="009841AB" w:rsidRDefault="00DD2DF9" w:rsidP="0018109A">
            <w:pPr>
              <w:pStyle w:val="naisc"/>
              <w:spacing w:before="0" w:after="0"/>
              <w:jc w:val="left"/>
              <w:rPr>
                <w:b/>
                <w:bCs/>
              </w:rPr>
            </w:pPr>
            <w:r>
              <w:t>Redakcionāla kļūda novērsta</w:t>
            </w:r>
          </w:p>
        </w:tc>
        <w:tc>
          <w:tcPr>
            <w:tcW w:w="3504" w:type="dxa"/>
            <w:gridSpan w:val="2"/>
            <w:tcBorders>
              <w:left w:val="single" w:sz="6" w:space="0" w:color="000000" w:themeColor="text1"/>
              <w:bottom w:val="single" w:sz="4" w:space="0" w:color="auto"/>
            </w:tcBorders>
            <w:shd w:val="clear" w:color="auto" w:fill="auto"/>
          </w:tcPr>
          <w:p w14:paraId="438F0CD7" w14:textId="61EC5AFC" w:rsidR="00DD2DF9" w:rsidRDefault="00DD2DF9" w:rsidP="0018109A">
            <w:pPr>
              <w:tabs>
                <w:tab w:val="left" w:pos="426"/>
              </w:tabs>
              <w:spacing w:after="120"/>
              <w:jc w:val="both"/>
            </w:pPr>
            <w:r>
              <w:t>Lūdzam skatīt 4.4. sadaļu</w:t>
            </w:r>
          </w:p>
          <w:p w14:paraId="35599593" w14:textId="00849F91" w:rsidR="003547A4" w:rsidRPr="009841AB" w:rsidRDefault="003547A4" w:rsidP="0018109A">
            <w:pPr>
              <w:tabs>
                <w:tab w:val="left" w:pos="426"/>
              </w:tabs>
              <w:spacing w:after="120"/>
              <w:jc w:val="both"/>
            </w:pPr>
          </w:p>
        </w:tc>
      </w:tr>
      <w:tr w:rsidR="003547A4" w:rsidRPr="009841AB" w14:paraId="74521D84" w14:textId="77777777" w:rsidTr="00DC72A3">
        <w:tc>
          <w:tcPr>
            <w:tcW w:w="613" w:type="dxa"/>
            <w:tcBorders>
              <w:left w:val="single" w:sz="6" w:space="0" w:color="000000" w:themeColor="text1"/>
              <w:bottom w:val="single" w:sz="4" w:space="0" w:color="auto"/>
            </w:tcBorders>
            <w:shd w:val="clear" w:color="auto" w:fill="auto"/>
          </w:tcPr>
          <w:p w14:paraId="554B1886" w14:textId="77777777" w:rsidR="003547A4" w:rsidRPr="009841AB" w:rsidRDefault="00F95CA2" w:rsidP="0018109A">
            <w:pPr>
              <w:pStyle w:val="naisc"/>
              <w:spacing w:before="0" w:after="0"/>
            </w:pPr>
            <w:r>
              <w:t>452</w:t>
            </w:r>
          </w:p>
        </w:tc>
        <w:tc>
          <w:tcPr>
            <w:tcW w:w="2427" w:type="dxa"/>
            <w:tcBorders>
              <w:left w:val="single" w:sz="6" w:space="0" w:color="000000" w:themeColor="text1"/>
              <w:bottom w:val="single" w:sz="4" w:space="0" w:color="auto"/>
            </w:tcBorders>
            <w:shd w:val="clear" w:color="auto" w:fill="auto"/>
          </w:tcPr>
          <w:p w14:paraId="3CF8A386" w14:textId="77777777" w:rsidR="003547A4" w:rsidRPr="009841AB" w:rsidRDefault="003547A4"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29A6132A" w14:textId="77777777" w:rsidR="003547A4" w:rsidRDefault="00364DD8" w:rsidP="0018109A">
            <w:pPr>
              <w:ind w:right="12"/>
              <w:jc w:val="both"/>
            </w:pPr>
            <w:r>
              <w:t xml:space="preserve">5. </w:t>
            </w:r>
            <w:r w:rsidR="0088403C" w:rsidRPr="0088403C">
              <w:t xml:space="preserve">Pamatnostādņu projekta 4.4.5.2.apakšsadaļas “Rīcības </w:t>
            </w:r>
            <w:proofErr w:type="spellStart"/>
            <w:r w:rsidR="0088403C" w:rsidRPr="0088403C">
              <w:t>apakšvirziens</w:t>
            </w:r>
            <w:proofErr w:type="spellEnd"/>
            <w:r w:rsidR="0088403C" w:rsidRPr="0088403C">
              <w:t xml:space="preserve">: Nacionālās drošības un informācijas telpas stiprināšana”, Ievads” trešajā rindkopā 77.lpp. norādīts: “Lai nodrošinātu informatīvās telpas </w:t>
            </w:r>
            <w:proofErr w:type="spellStart"/>
            <w:r w:rsidR="0088403C" w:rsidRPr="0088403C">
              <w:t>kvaltitatīvu</w:t>
            </w:r>
            <w:proofErr w:type="spellEnd"/>
            <w:r w:rsidR="0088403C" w:rsidRPr="0088403C">
              <w:t xml:space="preserve"> monitoringu, nepieciešams  un valsts stratēģiskā komunikācijas </w:t>
            </w:r>
            <w:r w:rsidR="0088403C" w:rsidRPr="0088403C">
              <w:lastRenderedPageBreak/>
              <w:t>spēju stiprināšanu savlaicīgai reakcijas naida kurināšanas, nesaticības veicināšanas un sabiedrības dezinformācijas aktivitātes.”  Iesakām precizēt šajā trešajā rindkopā norādītā teikuma domu, jo šobrīd nav iespējams saprast, kas ar to domāts.</w:t>
            </w:r>
          </w:p>
        </w:tc>
        <w:tc>
          <w:tcPr>
            <w:tcW w:w="2480" w:type="dxa"/>
            <w:tcBorders>
              <w:left w:val="single" w:sz="6" w:space="0" w:color="000000" w:themeColor="text1"/>
              <w:bottom w:val="single" w:sz="4" w:space="0" w:color="auto"/>
            </w:tcBorders>
            <w:shd w:val="clear" w:color="auto" w:fill="auto"/>
          </w:tcPr>
          <w:p w14:paraId="456756B7" w14:textId="77777777" w:rsidR="003547A4" w:rsidRDefault="61B6E1E6" w:rsidP="0018109A">
            <w:pPr>
              <w:pStyle w:val="naisc"/>
              <w:spacing w:before="0" w:after="0"/>
              <w:jc w:val="left"/>
              <w:rPr>
                <w:b/>
                <w:bCs/>
              </w:rPr>
            </w:pPr>
            <w:r w:rsidRPr="111583E4">
              <w:rPr>
                <w:b/>
                <w:bCs/>
              </w:rPr>
              <w:lastRenderedPageBreak/>
              <w:t xml:space="preserve">Ņemts vērā </w:t>
            </w:r>
          </w:p>
          <w:p w14:paraId="6339F0AC" w14:textId="28767DCD" w:rsidR="00DD2DF9" w:rsidRPr="009841AB" w:rsidRDefault="00DD2DF9" w:rsidP="0018109A">
            <w:pPr>
              <w:pStyle w:val="naisc"/>
              <w:spacing w:before="0" w:after="0"/>
              <w:jc w:val="left"/>
              <w:rPr>
                <w:b/>
                <w:bCs/>
              </w:rPr>
            </w:pPr>
            <w:r>
              <w:t>Rindkopa dzēsta</w:t>
            </w:r>
          </w:p>
        </w:tc>
        <w:tc>
          <w:tcPr>
            <w:tcW w:w="3504" w:type="dxa"/>
            <w:gridSpan w:val="2"/>
            <w:tcBorders>
              <w:left w:val="single" w:sz="6" w:space="0" w:color="000000" w:themeColor="text1"/>
              <w:bottom w:val="single" w:sz="4" w:space="0" w:color="auto"/>
            </w:tcBorders>
            <w:shd w:val="clear" w:color="auto" w:fill="auto"/>
          </w:tcPr>
          <w:p w14:paraId="0E8DE85E" w14:textId="7518087B" w:rsidR="00DD2DF9" w:rsidRDefault="00DD2DF9" w:rsidP="0018109A">
            <w:pPr>
              <w:tabs>
                <w:tab w:val="left" w:pos="426"/>
              </w:tabs>
              <w:spacing w:after="120"/>
              <w:jc w:val="both"/>
            </w:pPr>
            <w:r>
              <w:t>Lūdzam skatīt 4.4. sadaļu</w:t>
            </w:r>
          </w:p>
          <w:p w14:paraId="40D2DC16" w14:textId="29BB2E07" w:rsidR="003547A4" w:rsidRPr="009841AB" w:rsidRDefault="003547A4" w:rsidP="0018109A">
            <w:pPr>
              <w:tabs>
                <w:tab w:val="left" w:pos="426"/>
              </w:tabs>
              <w:spacing w:after="120"/>
              <w:jc w:val="both"/>
            </w:pPr>
          </w:p>
        </w:tc>
      </w:tr>
      <w:tr w:rsidR="00364DD8" w:rsidRPr="009841AB" w14:paraId="2545ACF9" w14:textId="77777777" w:rsidTr="00DC72A3">
        <w:tc>
          <w:tcPr>
            <w:tcW w:w="613" w:type="dxa"/>
            <w:tcBorders>
              <w:left w:val="single" w:sz="6" w:space="0" w:color="000000" w:themeColor="text1"/>
              <w:bottom w:val="single" w:sz="4" w:space="0" w:color="auto"/>
            </w:tcBorders>
            <w:shd w:val="clear" w:color="auto" w:fill="auto"/>
          </w:tcPr>
          <w:p w14:paraId="0D4355E1" w14:textId="77777777" w:rsidR="00364DD8" w:rsidRPr="009841AB" w:rsidRDefault="00F95CA2" w:rsidP="0018109A">
            <w:pPr>
              <w:pStyle w:val="naisc"/>
              <w:spacing w:before="0" w:after="0"/>
            </w:pPr>
            <w:r>
              <w:t>453</w:t>
            </w:r>
          </w:p>
        </w:tc>
        <w:tc>
          <w:tcPr>
            <w:tcW w:w="2427" w:type="dxa"/>
            <w:tcBorders>
              <w:left w:val="single" w:sz="6" w:space="0" w:color="000000" w:themeColor="text1"/>
              <w:bottom w:val="single" w:sz="4" w:space="0" w:color="auto"/>
            </w:tcBorders>
            <w:shd w:val="clear" w:color="auto" w:fill="auto"/>
          </w:tcPr>
          <w:p w14:paraId="6B425534" w14:textId="77777777" w:rsidR="00364DD8" w:rsidRPr="009841AB" w:rsidRDefault="00B929C0"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6ACB9C22" w14:textId="77777777" w:rsidR="00B929C0" w:rsidRDefault="00B929C0" w:rsidP="00B929C0">
            <w:pPr>
              <w:ind w:right="12"/>
              <w:jc w:val="both"/>
            </w:pPr>
            <w:r>
              <w:t xml:space="preserve">6. Pamatnostādņu projekta 75.lpp. ir kļūdaini norādīts, ka zem Probācijas klientu uzskaites sistēmu “PLUS”  (turpmāk – sistēma PLUS) pilnveides (2.5. punkts) ietilpst: </w:t>
            </w:r>
          </w:p>
          <w:p w14:paraId="2031A217" w14:textId="77777777" w:rsidR="00B929C0" w:rsidRDefault="00B929C0" w:rsidP="00B929C0">
            <w:pPr>
              <w:ind w:right="12"/>
              <w:jc w:val="both"/>
            </w:pPr>
            <w:r>
              <w:t>2.5.8.</w:t>
            </w:r>
            <w:r>
              <w:tab/>
              <w:t xml:space="preserve">“turpināt Valsts tiesu medicīnas ekspertīzes centra Tiesu medicīnas ekspertīžu informācijas sistēmas pilnveidošanu, pielāgojot to e-lietas arhitektūrai un turpinot ekspertīzes un izpētes procesa </w:t>
            </w:r>
            <w:proofErr w:type="spellStart"/>
            <w:r>
              <w:t>digitalizāciju</w:t>
            </w:r>
            <w:proofErr w:type="spellEnd"/>
            <w:r>
              <w:t>.</w:t>
            </w:r>
          </w:p>
          <w:p w14:paraId="2B2408D3" w14:textId="77777777" w:rsidR="00B929C0" w:rsidRDefault="00B929C0" w:rsidP="00B929C0">
            <w:pPr>
              <w:ind w:right="12"/>
              <w:jc w:val="both"/>
            </w:pPr>
            <w:r>
              <w:t>2.5.9.</w:t>
            </w:r>
            <w:r>
              <w:tab/>
              <w:t>e-lietas datu analīzes sistēmas izveide un ieviešana, pamatdarbības procesu sasaiste ar automatizācijas risinājumiem un automatizācija ar izmeklēšanas iestāžu rīcībā esošajām sistēmām</w:t>
            </w:r>
          </w:p>
          <w:p w14:paraId="20735089" w14:textId="77777777" w:rsidR="00B929C0" w:rsidRDefault="00B929C0" w:rsidP="00B929C0">
            <w:pPr>
              <w:ind w:right="12"/>
              <w:jc w:val="both"/>
            </w:pPr>
            <w:r>
              <w:t>2.5.10.</w:t>
            </w:r>
            <w:r>
              <w:tab/>
              <w:t xml:space="preserve">turpināt </w:t>
            </w:r>
            <w:proofErr w:type="spellStart"/>
            <w:r>
              <w:t>Iekšlietu</w:t>
            </w:r>
            <w:proofErr w:type="spellEnd"/>
            <w:r>
              <w:t xml:space="preserve"> ministrijas Informācijas centra informācijas sistēmas IIS2 pilnveidošanu un attīstību </w:t>
            </w:r>
            <w:proofErr w:type="spellStart"/>
            <w:r>
              <w:t>pirmstiesas</w:t>
            </w:r>
            <w:proofErr w:type="spellEnd"/>
            <w:r>
              <w:t xml:space="preserve"> izmeklēšanas procesu pilnīgas </w:t>
            </w:r>
            <w:proofErr w:type="spellStart"/>
            <w:r>
              <w:t>digitalizācijas</w:t>
            </w:r>
            <w:proofErr w:type="spellEnd"/>
            <w:r>
              <w:t xml:space="preserve"> nodrošināšanai.”</w:t>
            </w:r>
          </w:p>
          <w:p w14:paraId="02E54EFF" w14:textId="77777777" w:rsidR="00364DD8" w:rsidRDefault="00B929C0" w:rsidP="0018109A">
            <w:pPr>
              <w:ind w:right="12"/>
              <w:jc w:val="both"/>
            </w:pPr>
            <w:r>
              <w:t>Minētie punkti uz Valsts probācijas dienestu vai sistēmu PLUS neattiecas, tāpēc ierosinām precizēt uzskaitīto punktu numerāciju kā: “2.6., 2.7. un 2.8.”, tādējādi mainot arī turpmāko apakšpunktu numerāciju.</w:t>
            </w:r>
          </w:p>
        </w:tc>
        <w:tc>
          <w:tcPr>
            <w:tcW w:w="2480" w:type="dxa"/>
            <w:tcBorders>
              <w:left w:val="single" w:sz="6" w:space="0" w:color="000000" w:themeColor="text1"/>
              <w:bottom w:val="single" w:sz="4" w:space="0" w:color="auto"/>
            </w:tcBorders>
            <w:shd w:val="clear" w:color="auto" w:fill="auto"/>
          </w:tcPr>
          <w:p w14:paraId="26F8A15E" w14:textId="77777777" w:rsidR="00364DD8" w:rsidRDefault="286E733A" w:rsidP="0018109A">
            <w:pPr>
              <w:pStyle w:val="naisc"/>
              <w:spacing w:before="0" w:after="0"/>
              <w:jc w:val="left"/>
              <w:rPr>
                <w:b/>
                <w:bCs/>
              </w:rPr>
            </w:pPr>
            <w:r w:rsidRPr="4F35865F">
              <w:rPr>
                <w:b/>
                <w:bCs/>
              </w:rPr>
              <w:t>Ņemts vērā</w:t>
            </w:r>
          </w:p>
          <w:p w14:paraId="32143B18" w14:textId="2B534F3E" w:rsidR="00DD2DF9" w:rsidRPr="009841AB" w:rsidRDefault="00DD2DF9" w:rsidP="0018109A">
            <w:pPr>
              <w:pStyle w:val="naisc"/>
              <w:spacing w:before="0" w:after="0"/>
              <w:jc w:val="left"/>
              <w:rPr>
                <w:b/>
                <w:bCs/>
              </w:rPr>
            </w:pPr>
            <w:r>
              <w:t>Veikti atbilstoši precizējumi</w:t>
            </w:r>
          </w:p>
        </w:tc>
        <w:tc>
          <w:tcPr>
            <w:tcW w:w="3504" w:type="dxa"/>
            <w:gridSpan w:val="2"/>
            <w:tcBorders>
              <w:left w:val="single" w:sz="6" w:space="0" w:color="000000" w:themeColor="text1"/>
              <w:bottom w:val="single" w:sz="4" w:space="0" w:color="auto"/>
            </w:tcBorders>
            <w:shd w:val="clear" w:color="auto" w:fill="auto"/>
          </w:tcPr>
          <w:p w14:paraId="6F22A40A" w14:textId="77777777" w:rsidR="00DD2DF9" w:rsidRDefault="00DD2DF9" w:rsidP="00DD2DF9">
            <w:pPr>
              <w:tabs>
                <w:tab w:val="left" w:pos="426"/>
              </w:tabs>
              <w:spacing w:after="120"/>
              <w:jc w:val="both"/>
            </w:pPr>
            <w:r>
              <w:t>Lūdzam skatīt 4.4. sadaļu</w:t>
            </w:r>
          </w:p>
          <w:p w14:paraId="4D2BD2E0" w14:textId="15A21DC9" w:rsidR="00364DD8" w:rsidRPr="009841AB" w:rsidRDefault="00364DD8" w:rsidP="0018109A">
            <w:pPr>
              <w:tabs>
                <w:tab w:val="left" w:pos="426"/>
              </w:tabs>
              <w:spacing w:after="120"/>
              <w:jc w:val="both"/>
            </w:pPr>
          </w:p>
        </w:tc>
      </w:tr>
      <w:tr w:rsidR="0018109A" w:rsidRPr="009841AB" w14:paraId="7520F01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7D099EE0" w14:textId="77777777" w:rsidR="0018109A" w:rsidRPr="009841AB" w:rsidRDefault="0018109A" w:rsidP="0018109A">
            <w:pPr>
              <w:pStyle w:val="naisc"/>
              <w:spacing w:before="0" w:after="0"/>
              <w:jc w:val="left"/>
            </w:pPr>
            <w:r w:rsidRPr="009841AB">
              <w:rPr>
                <w:b/>
                <w:bCs/>
                <w:lang w:eastAsia="en-US"/>
              </w:rPr>
              <w:t>Latvijas Pašvaldību savienības 28.01.2021. atzinums:</w:t>
            </w:r>
          </w:p>
        </w:tc>
      </w:tr>
      <w:tr w:rsidR="0018109A" w:rsidRPr="009841AB" w14:paraId="22BB0CC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BA74773" w14:textId="77777777" w:rsidR="0018109A" w:rsidRPr="009841AB" w:rsidRDefault="00673FAB" w:rsidP="0018109A">
            <w:pPr>
              <w:pStyle w:val="naisc"/>
              <w:spacing w:before="0" w:after="0"/>
            </w:pPr>
            <w:r>
              <w:t>454</w:t>
            </w:r>
          </w:p>
        </w:tc>
        <w:tc>
          <w:tcPr>
            <w:tcW w:w="2427" w:type="dxa"/>
            <w:tcBorders>
              <w:left w:val="single" w:sz="6" w:space="0" w:color="000000" w:themeColor="text1"/>
              <w:bottom w:val="single" w:sz="4" w:space="0" w:color="auto"/>
            </w:tcBorders>
            <w:shd w:val="clear" w:color="auto" w:fill="auto"/>
          </w:tcPr>
          <w:p w14:paraId="2B6CB6F5"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04B3A6FB" w14:textId="77777777" w:rsidR="0018109A" w:rsidRPr="009841AB" w:rsidRDefault="0018109A" w:rsidP="0018109A">
            <w:pPr>
              <w:ind w:right="12"/>
              <w:jc w:val="both"/>
              <w:rPr>
                <w:b/>
                <w:bCs/>
              </w:rPr>
            </w:pPr>
            <w:bookmarkStart w:id="10" w:name="_Toc46825964"/>
            <w:bookmarkStart w:id="11" w:name="_Toc60796022"/>
            <w:bookmarkStart w:id="12" w:name="_Toc61186359"/>
            <w:r w:rsidRPr="009841AB">
              <w:t>1.</w:t>
            </w:r>
            <w:r w:rsidRPr="009841AB">
              <w:rPr>
                <w:b/>
                <w:bCs/>
              </w:rPr>
              <w:t xml:space="preserve"> 4.4.1. Rīcības virziens: Pakalpojumu platformas</w:t>
            </w:r>
            <w:bookmarkEnd w:id="10"/>
            <w:bookmarkEnd w:id="11"/>
            <w:bookmarkEnd w:id="12"/>
          </w:p>
          <w:p w14:paraId="7B1993B7" w14:textId="77777777" w:rsidR="0018109A" w:rsidRPr="009841AB" w:rsidRDefault="0018109A" w:rsidP="0018109A">
            <w:pPr>
              <w:ind w:right="12"/>
              <w:jc w:val="both"/>
              <w:rPr>
                <w:b/>
                <w:bCs/>
              </w:rPr>
            </w:pPr>
            <w:r w:rsidRPr="009841AB">
              <w:rPr>
                <w:b/>
                <w:bCs/>
              </w:rPr>
              <w:t>Esošā situācija</w:t>
            </w:r>
          </w:p>
          <w:p w14:paraId="1F44DDF3" w14:textId="77777777" w:rsidR="0018109A" w:rsidRPr="009841AB" w:rsidRDefault="0018109A" w:rsidP="0018109A">
            <w:pPr>
              <w:ind w:right="12"/>
              <w:jc w:val="both"/>
            </w:pPr>
            <w:r w:rsidRPr="009841AB">
              <w:t xml:space="preserve">Vienotas Pašvaldību koplietošanas platformas uz doto brīdi nav. Pašvaldības nav valsts centrālās arhitektūras sastāvdaļa, tās sadarbība un datu apmaiņa ar valsts informācijas sistēmām balstīta uz vēsturiskiem, tiešajiem datu apmaiņas kanāliem starp pašvaldību un konkrēto valsts informācijas sistēmu. Ir uzsākta veidot </w:t>
            </w:r>
            <w:r w:rsidRPr="009841AB">
              <w:lastRenderedPageBreak/>
              <w:t>pašvaldību e-pakalpojumu izveides platformas un vienotās darba vides izveide, bet tā ir nodalīta no valsts tehniskiem un organizatoriskiem risinājumiem.</w:t>
            </w:r>
          </w:p>
          <w:p w14:paraId="30038088" w14:textId="77777777" w:rsidR="0018109A" w:rsidRPr="009841AB" w:rsidRDefault="0018109A" w:rsidP="0018109A">
            <w:pPr>
              <w:ind w:right="12"/>
              <w:jc w:val="both"/>
              <w:rPr>
                <w:b/>
                <w:bCs/>
              </w:rPr>
            </w:pPr>
            <w:r w:rsidRPr="009841AB">
              <w:rPr>
                <w:b/>
                <w:bCs/>
              </w:rPr>
              <w:t>Nepieciešamā rīcība</w:t>
            </w:r>
          </w:p>
          <w:p w14:paraId="11669F4D" w14:textId="77777777" w:rsidR="0018109A" w:rsidRPr="009841AB" w:rsidRDefault="0018109A" w:rsidP="0018109A">
            <w:pPr>
              <w:ind w:right="12"/>
              <w:jc w:val="both"/>
            </w:pPr>
            <w:r w:rsidRPr="009841AB">
              <w:t>Papildināt 6. punktu ar jaunu apakšpunktu:</w:t>
            </w:r>
          </w:p>
          <w:p w14:paraId="28FA01CD" w14:textId="77777777" w:rsidR="0018109A" w:rsidRPr="009841AB" w:rsidRDefault="0018109A" w:rsidP="000C28AE">
            <w:pPr>
              <w:numPr>
                <w:ilvl w:val="0"/>
                <w:numId w:val="10"/>
              </w:numPr>
              <w:ind w:right="12"/>
              <w:jc w:val="both"/>
            </w:pPr>
            <w:r w:rsidRPr="009841AB">
              <w:t xml:space="preserve">Turpināt attīstīt pašvaldību e-pakalpojumu platformu, sasaistot to ar vairāk komerciālajiem risinājumiem, tādā veidā uzlabojot sinerģiju starp publiskās pārvaldes un </w:t>
            </w:r>
            <w:proofErr w:type="spellStart"/>
            <w:r w:rsidRPr="009841AB">
              <w:t>komercrisinājumiem</w:t>
            </w:r>
            <w:proofErr w:type="spellEnd"/>
            <w:r w:rsidRPr="009841AB">
              <w:t>;</w:t>
            </w:r>
          </w:p>
          <w:p w14:paraId="1A23CB20" w14:textId="77777777" w:rsidR="0018109A" w:rsidRPr="009841AB" w:rsidRDefault="0018109A" w:rsidP="000C28AE">
            <w:pPr>
              <w:numPr>
                <w:ilvl w:val="0"/>
                <w:numId w:val="10"/>
              </w:numPr>
              <w:ind w:right="12"/>
              <w:jc w:val="both"/>
            </w:pPr>
            <w:r w:rsidRPr="009841AB">
              <w:t xml:space="preserve">Portālā latvija.lv izveidot jaunu pašvaldību </w:t>
            </w:r>
            <w:proofErr w:type="spellStart"/>
            <w:r w:rsidRPr="009841AB">
              <w:t>universiālo</w:t>
            </w:r>
            <w:proofErr w:type="spellEnd"/>
            <w:r w:rsidRPr="009841AB">
              <w:t xml:space="preserve"> pakalpojumu </w:t>
            </w:r>
            <w:proofErr w:type="spellStart"/>
            <w:r w:rsidRPr="009841AB">
              <w:t>saskarni</w:t>
            </w:r>
            <w:proofErr w:type="spellEnd"/>
            <w:r w:rsidRPr="009841AB">
              <w:t>, kas nodrošinātu portāla lietotājiem ērtu un viegli uztveramu navigāciju starp pašvaldībām un pakalpojumiem;</w:t>
            </w:r>
          </w:p>
          <w:p w14:paraId="6A344032" w14:textId="77777777" w:rsidR="0018109A" w:rsidRPr="009841AB" w:rsidRDefault="0018109A" w:rsidP="0018109A">
            <w:pPr>
              <w:ind w:right="12"/>
              <w:jc w:val="both"/>
              <w:rPr>
                <w:b/>
              </w:rPr>
            </w:pPr>
            <w:r w:rsidRPr="009841AB">
              <w:rPr>
                <w:b/>
              </w:rPr>
              <w:t>Sagaidāmie rezultāti</w:t>
            </w:r>
          </w:p>
          <w:p w14:paraId="718FB97E" w14:textId="77777777" w:rsidR="0018109A" w:rsidRPr="009841AB" w:rsidRDefault="0018109A" w:rsidP="0018109A">
            <w:pPr>
              <w:ind w:right="12"/>
              <w:jc w:val="both"/>
            </w:pPr>
            <w:r w:rsidRPr="009841AB">
              <w:t>Papildināt 2. punktu aiz vārdiem “17 centrālās valsts platformas” ar jaunu tekstu “un 1 pašvaldības koplietošanas platformu”</w:t>
            </w:r>
          </w:p>
        </w:tc>
        <w:tc>
          <w:tcPr>
            <w:tcW w:w="2480" w:type="dxa"/>
            <w:tcBorders>
              <w:left w:val="single" w:sz="6" w:space="0" w:color="000000" w:themeColor="text1"/>
              <w:bottom w:val="single" w:sz="4" w:space="0" w:color="auto"/>
            </w:tcBorders>
            <w:shd w:val="clear" w:color="auto" w:fill="auto"/>
          </w:tcPr>
          <w:p w14:paraId="31CC163A" w14:textId="77777777" w:rsidR="0018109A" w:rsidRPr="009841AB" w:rsidRDefault="0018109A" w:rsidP="0018109A">
            <w:pPr>
              <w:pStyle w:val="naisc"/>
              <w:spacing w:before="0" w:after="0"/>
              <w:jc w:val="left"/>
              <w:rPr>
                <w:b/>
                <w:bCs/>
              </w:rPr>
            </w:pPr>
            <w:r w:rsidRPr="009841AB">
              <w:rPr>
                <w:b/>
                <w:bCs/>
              </w:rPr>
              <w:lastRenderedPageBreak/>
              <w:t>Ņemts vērā</w:t>
            </w:r>
          </w:p>
          <w:p w14:paraId="7D7D87DB" w14:textId="77777777" w:rsidR="0018109A" w:rsidRPr="009841AB" w:rsidRDefault="0018109A" w:rsidP="0018109A">
            <w:pPr>
              <w:pStyle w:val="naisc"/>
              <w:spacing w:before="0" w:after="0"/>
              <w:jc w:val="left"/>
            </w:pPr>
            <w:r w:rsidRPr="009841AB">
              <w:t>Papildināts 4.4.1. esošās situācijas apraksts ar atsauci uz pašvaldībām.</w:t>
            </w:r>
          </w:p>
          <w:p w14:paraId="53D1E620" w14:textId="77777777" w:rsidR="0018109A" w:rsidRPr="009841AB" w:rsidRDefault="0018109A" w:rsidP="0018109A">
            <w:pPr>
              <w:pStyle w:val="naisc"/>
              <w:spacing w:before="0" w:after="0"/>
              <w:jc w:val="left"/>
            </w:pPr>
            <w:r w:rsidRPr="009841AB">
              <w:t xml:space="preserve">Papildināta "nepieciešamā rīcība" apakšpunkts par </w:t>
            </w:r>
            <w:r w:rsidRPr="009841AB">
              <w:lastRenderedPageBreak/>
              <w:t>pakalpojumu platformu atvēršanu ar atsaucēm uz pašvaldībām.</w:t>
            </w:r>
          </w:p>
          <w:p w14:paraId="36764659" w14:textId="77777777" w:rsidR="0018109A" w:rsidRPr="009841AB" w:rsidRDefault="0018109A" w:rsidP="0018109A">
            <w:pPr>
              <w:pStyle w:val="naisc"/>
              <w:spacing w:before="0" w:after="0"/>
              <w:jc w:val="left"/>
            </w:pPr>
            <w:r w:rsidRPr="009841AB">
              <w:t>Sagaidāmais rezultāts redakcionāli precizēts, ietverot arī pašvaldības. Paredzams, ka visas nacionālās platformas būs arī izmantojamas pašvaldībām (kur tas atbilst darbības būtībai).</w:t>
            </w:r>
          </w:p>
        </w:tc>
        <w:tc>
          <w:tcPr>
            <w:tcW w:w="3497" w:type="dxa"/>
            <w:tcBorders>
              <w:left w:val="single" w:sz="6" w:space="0" w:color="000000" w:themeColor="text1"/>
              <w:bottom w:val="single" w:sz="4" w:space="0" w:color="auto"/>
            </w:tcBorders>
            <w:shd w:val="clear" w:color="auto" w:fill="auto"/>
          </w:tcPr>
          <w:p w14:paraId="72758D4F" w14:textId="77777777" w:rsidR="0018109A" w:rsidRPr="009841AB" w:rsidRDefault="0018109A" w:rsidP="0018109A">
            <w:pPr>
              <w:pStyle w:val="naisc"/>
              <w:spacing w:before="0" w:after="0"/>
              <w:jc w:val="both"/>
            </w:pPr>
            <w:r w:rsidRPr="009841AB">
              <w:lastRenderedPageBreak/>
              <w:t xml:space="preserve">Lūdzam skatīt </w:t>
            </w:r>
            <w:proofErr w:type="spellStart"/>
            <w:r w:rsidRPr="009841AB">
              <w:t>apakšsadaļu</w:t>
            </w:r>
            <w:proofErr w:type="spellEnd"/>
            <w:r w:rsidRPr="009841AB">
              <w:t xml:space="preserve"> 4.4.1. </w:t>
            </w:r>
          </w:p>
        </w:tc>
      </w:tr>
      <w:tr w:rsidR="0018109A" w:rsidRPr="009841AB" w14:paraId="4772DD3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CE52818" w14:textId="77777777" w:rsidR="0018109A" w:rsidRPr="009841AB" w:rsidRDefault="00673FAB" w:rsidP="0018109A">
            <w:pPr>
              <w:pStyle w:val="naisc"/>
              <w:spacing w:before="0" w:after="0"/>
            </w:pPr>
            <w:r>
              <w:t>455</w:t>
            </w:r>
          </w:p>
        </w:tc>
        <w:tc>
          <w:tcPr>
            <w:tcW w:w="2427" w:type="dxa"/>
            <w:tcBorders>
              <w:left w:val="single" w:sz="6" w:space="0" w:color="000000" w:themeColor="text1"/>
              <w:bottom w:val="single" w:sz="4" w:space="0" w:color="auto"/>
            </w:tcBorders>
            <w:shd w:val="clear" w:color="auto" w:fill="auto"/>
          </w:tcPr>
          <w:p w14:paraId="7E4014B4"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B67447C" w14:textId="77777777" w:rsidR="003C2C0A" w:rsidRDefault="003C2C0A" w:rsidP="0018109A">
            <w:pPr>
              <w:ind w:right="12"/>
              <w:jc w:val="both"/>
            </w:pPr>
            <w:r w:rsidRPr="00D030E7">
              <w:rPr>
                <w:lang w:eastAsia="en-US"/>
              </w:rPr>
              <w:t xml:space="preserve">(Iepriekš izziņas </w:t>
            </w:r>
            <w:r>
              <w:rPr>
                <w:lang w:eastAsia="en-US"/>
              </w:rPr>
              <w:t>356</w:t>
            </w:r>
            <w:r w:rsidRPr="00D030E7">
              <w:rPr>
                <w:lang w:eastAsia="en-US"/>
              </w:rPr>
              <w:t>. punkts)</w:t>
            </w:r>
          </w:p>
          <w:p w14:paraId="43BB3611" w14:textId="77777777" w:rsidR="0018109A" w:rsidRPr="009841AB" w:rsidRDefault="0018109A" w:rsidP="0018109A">
            <w:pPr>
              <w:ind w:right="12"/>
              <w:jc w:val="both"/>
              <w:rPr>
                <w:b/>
                <w:bCs/>
              </w:rPr>
            </w:pPr>
            <w:r w:rsidRPr="009841AB">
              <w:t>2.</w:t>
            </w:r>
            <w:r w:rsidRPr="009841AB">
              <w:rPr>
                <w:b/>
                <w:bCs/>
              </w:rPr>
              <w:t xml:space="preserve"> 4.4.2.1. Rīcības </w:t>
            </w:r>
            <w:proofErr w:type="spellStart"/>
            <w:r w:rsidRPr="009841AB">
              <w:rPr>
                <w:b/>
                <w:bCs/>
              </w:rPr>
              <w:t>apakšvirziens</w:t>
            </w:r>
            <w:proofErr w:type="spellEnd"/>
            <w:r w:rsidRPr="009841AB">
              <w:rPr>
                <w:b/>
                <w:bCs/>
              </w:rPr>
              <w:t>: Datu pārvaldības ietvars</w:t>
            </w:r>
          </w:p>
          <w:p w14:paraId="00160F1C" w14:textId="77777777" w:rsidR="0018109A" w:rsidRPr="009841AB" w:rsidRDefault="0018109A" w:rsidP="0018109A">
            <w:pPr>
              <w:ind w:right="12"/>
              <w:jc w:val="both"/>
            </w:pPr>
            <w:proofErr w:type="spellStart"/>
            <w:r w:rsidRPr="009841AB">
              <w:t>Apkašvirzienu</w:t>
            </w:r>
            <w:proofErr w:type="spellEnd"/>
            <w:r w:rsidRPr="009841AB">
              <w:t xml:space="preserve"> nepieciešams papildināt ar datu pārvaldības modeli, kas ietver arī pašvaldību informācijas sistēmās uzkrātos datus. Vairākas pašvaldību informācijas sistēmas jau šobrīd </w:t>
            </w:r>
            <w:proofErr w:type="spellStart"/>
            <w:r w:rsidRPr="009841AB">
              <w:t>de</w:t>
            </w:r>
            <w:proofErr w:type="spellEnd"/>
            <w:r w:rsidRPr="009841AB">
              <w:t xml:space="preserve"> </w:t>
            </w:r>
            <w:proofErr w:type="spellStart"/>
            <w:r w:rsidRPr="009841AB">
              <w:t>fakto</w:t>
            </w:r>
            <w:proofErr w:type="spellEnd"/>
            <w:r w:rsidRPr="009841AB">
              <w:t xml:space="preserve"> darbojas analoģiski kā valsts informācijas sistēmas, bet bez atbilstoša statusa. Nepieciešams noteikt jaunu informācijas sistēmu statusu – pašvaldību informācijas sistēmas. Tajās uzkrātie dati ir gan valsts informācijas sistēmu sastāvdaļa, gan liels papildinājums atvērto datu kopumam.</w:t>
            </w:r>
          </w:p>
        </w:tc>
        <w:tc>
          <w:tcPr>
            <w:tcW w:w="2480" w:type="dxa"/>
            <w:tcBorders>
              <w:left w:val="single" w:sz="6" w:space="0" w:color="000000" w:themeColor="text1"/>
              <w:bottom w:val="single" w:sz="4" w:space="0" w:color="auto"/>
            </w:tcBorders>
            <w:shd w:val="clear" w:color="auto" w:fill="auto"/>
          </w:tcPr>
          <w:p w14:paraId="638BC313"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t>Panākta vienošanās</w:t>
            </w:r>
          </w:p>
          <w:p w14:paraId="7BC5DFD5" w14:textId="77777777" w:rsidR="0018109A" w:rsidRPr="009841AB" w:rsidRDefault="0018109A" w:rsidP="0018109A">
            <w:pPr>
              <w:pStyle w:val="naisc"/>
              <w:spacing w:before="0" w:after="0"/>
              <w:jc w:val="left"/>
            </w:pPr>
            <w:r w:rsidRPr="009841AB">
              <w:t xml:space="preserve">Saskaņā ar Valsts pārvaldes iekārtas likuma (turpmāk - VPIL) 3.panta pirmo daļu, šis likums nosaka Ministru kabinetam padotās valsts pārvaldes institucionālo sistēmu un valsts pārvaldes darbības pamatnoteikumus. Valsts pārvaldi realizē publiska persona — </w:t>
            </w:r>
            <w:r w:rsidRPr="009841AB">
              <w:lastRenderedPageBreak/>
              <w:t xml:space="preserve">Latvijas Republika kā sākotnējā publisko tiesību juridiskā persona un atvasinātas publiskas personas (pašvaldība vai cita ar likumu vai uz likuma pamata izveidota publiska persona). VPIL 4 pants nosaka, ka Latvijas Republika kā sākotnējā publiskā persona valsts pārvaldes jomā darbojas ar tiešās un pastarpinātās pārvaldes iestāžu starpniecību. Atvasināta publiska persona valsts pārvaldes jomā darbojas ar pastarpinātās pārvaldes iestāžu starpniecību. Ievērojot minēto, VPIL izpratnē valsts pārvaldes iestādes jēdzienā tiek ietvertas gan tiešās, gan pastarpinātās valsts pārvaldes iestādes, tostarp pašvaldības. Saskaņā ar Valsts kancelejas Normatīvo aktu projektu izstrādes rokasgrāmatā[1] </w:t>
            </w:r>
            <w:r w:rsidRPr="009841AB">
              <w:lastRenderedPageBreak/>
              <w:t xml:space="preserve">norādīto, ja tiesību nozarē, </w:t>
            </w:r>
            <w:proofErr w:type="spellStart"/>
            <w:r w:rsidRPr="009841AB">
              <w:t>apakšnozarē</w:t>
            </w:r>
            <w:proofErr w:type="spellEnd"/>
            <w:r w:rsidRPr="009841AB">
              <w:t xml:space="preserve"> vai attiecīgajā jomā jau pastāv spēkā esošs tiesiskais regulējums, formulējot jaunā normatīvā akta tiesību normas, ievēro un turpina iepriekšējā regulējuma valodas lietojumu, stilu un terminoloģiju, ciktāl tas ir nepieciešams un iespējams. Normatīvā akta projektā lietotajai terminoloģijai jāatbilst citiem normatīvajiem aktiem. Tiesiskās skaidrības nodrošināšanai IS pamatnostādnēs tiek izmantots analoģisks princips, proti citos tiesību aktos esošās terminoloģijas konsekventa pielietošana. [1] https://tai.mk.gov.lv/book/1/chapter/80</w:t>
            </w:r>
          </w:p>
        </w:tc>
        <w:tc>
          <w:tcPr>
            <w:tcW w:w="3497" w:type="dxa"/>
            <w:tcBorders>
              <w:left w:val="single" w:sz="6" w:space="0" w:color="000000" w:themeColor="text1"/>
              <w:bottom w:val="single" w:sz="4" w:space="0" w:color="auto"/>
            </w:tcBorders>
            <w:shd w:val="clear" w:color="auto" w:fill="auto"/>
          </w:tcPr>
          <w:p w14:paraId="7128DB52" w14:textId="77777777" w:rsidR="0018109A" w:rsidRPr="009841AB" w:rsidRDefault="0018109A" w:rsidP="0018109A">
            <w:pPr>
              <w:pStyle w:val="naisc"/>
              <w:spacing w:before="0" w:after="0"/>
              <w:jc w:val="both"/>
            </w:pPr>
          </w:p>
        </w:tc>
      </w:tr>
      <w:tr w:rsidR="0018109A" w:rsidRPr="009841AB" w14:paraId="160B7DC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C9C52C8" w14:textId="77777777" w:rsidR="0018109A" w:rsidRPr="009841AB" w:rsidRDefault="00673FAB" w:rsidP="0018109A">
            <w:pPr>
              <w:pStyle w:val="naisc"/>
              <w:spacing w:before="0" w:after="0"/>
            </w:pPr>
            <w:r>
              <w:lastRenderedPageBreak/>
              <w:t>456</w:t>
            </w:r>
          </w:p>
        </w:tc>
        <w:tc>
          <w:tcPr>
            <w:tcW w:w="2427" w:type="dxa"/>
            <w:tcBorders>
              <w:left w:val="single" w:sz="6" w:space="0" w:color="000000" w:themeColor="text1"/>
              <w:bottom w:val="single" w:sz="4" w:space="0" w:color="auto"/>
            </w:tcBorders>
            <w:shd w:val="clear" w:color="auto" w:fill="auto"/>
          </w:tcPr>
          <w:p w14:paraId="34207C0D" w14:textId="77777777" w:rsidR="0018109A" w:rsidRPr="009841AB" w:rsidRDefault="0018109A" w:rsidP="0018109A">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D43DDCE" w14:textId="77777777" w:rsidR="0018109A" w:rsidRPr="009841AB" w:rsidRDefault="0018109A" w:rsidP="0018109A">
            <w:pPr>
              <w:ind w:right="12"/>
              <w:jc w:val="both"/>
              <w:rPr>
                <w:b/>
                <w:bCs/>
              </w:rPr>
            </w:pPr>
            <w:r w:rsidRPr="009841AB">
              <w:t>3.</w:t>
            </w:r>
            <w:r w:rsidRPr="009841AB">
              <w:rPr>
                <w:b/>
                <w:bCs/>
              </w:rPr>
              <w:t xml:space="preserve"> 4.4.2.3. Rīcības </w:t>
            </w:r>
            <w:proofErr w:type="spellStart"/>
            <w:r w:rsidRPr="009841AB">
              <w:rPr>
                <w:b/>
                <w:bCs/>
              </w:rPr>
              <w:t>apakšvirziens</w:t>
            </w:r>
            <w:proofErr w:type="spellEnd"/>
            <w:r w:rsidRPr="009841AB">
              <w:rPr>
                <w:b/>
                <w:bCs/>
              </w:rPr>
              <w:t>: Nacionālā datu pārvaldības platforma</w:t>
            </w:r>
          </w:p>
          <w:p w14:paraId="0FA114EF" w14:textId="77777777" w:rsidR="0018109A" w:rsidRPr="009841AB" w:rsidRDefault="0018109A" w:rsidP="0018109A">
            <w:pPr>
              <w:ind w:right="12"/>
              <w:jc w:val="both"/>
            </w:pPr>
            <w:r w:rsidRPr="009841AB">
              <w:t xml:space="preserve">Lai nodrošinātu automatizētu datu apmaiņas procesus, nepieciešama esošo datu apmaiņas kanālu starp informācijas sistēmām pārveide un standartizētu, mūsdienīgu risinājumu. Tāds pārbūves risinājums </w:t>
            </w:r>
            <w:r w:rsidRPr="009841AB">
              <w:lastRenderedPageBreak/>
              <w:t>nepieciešams arī pašvaldību biznesa procesu informācijas sistēmām ar valsts informācijas sistēmām. Nepieciešams finansiāls atbalsts, lai pašvaldības veiksmīgi realizētu šādus pārveides procesus un iekļautos nacionālā datu pārvaldības platformā.</w:t>
            </w:r>
          </w:p>
        </w:tc>
        <w:tc>
          <w:tcPr>
            <w:tcW w:w="2480" w:type="dxa"/>
            <w:tcBorders>
              <w:left w:val="single" w:sz="6" w:space="0" w:color="000000" w:themeColor="text1"/>
              <w:bottom w:val="single" w:sz="4" w:space="0" w:color="auto"/>
            </w:tcBorders>
            <w:shd w:val="clear" w:color="auto" w:fill="auto"/>
          </w:tcPr>
          <w:p w14:paraId="31ACDA49" w14:textId="77777777" w:rsidR="00623CE1" w:rsidRPr="009841AB" w:rsidRDefault="00623CE1" w:rsidP="0018109A">
            <w:pPr>
              <w:pStyle w:val="naisc"/>
              <w:spacing w:before="0" w:after="0"/>
              <w:jc w:val="left"/>
              <w:rPr>
                <w:b/>
                <w:bCs/>
              </w:rPr>
            </w:pPr>
            <w:r w:rsidRPr="009841AB">
              <w:rPr>
                <w:b/>
                <w:bCs/>
              </w:rPr>
              <w:lastRenderedPageBreak/>
              <w:t>Ņemts vērā</w:t>
            </w:r>
          </w:p>
          <w:p w14:paraId="4F3EE49B" w14:textId="77777777" w:rsidR="0018109A" w:rsidRPr="009841AB" w:rsidRDefault="00623CE1" w:rsidP="0018109A">
            <w:pPr>
              <w:pStyle w:val="naisc"/>
              <w:spacing w:before="0" w:after="0"/>
              <w:jc w:val="left"/>
            </w:pPr>
            <w:r w:rsidRPr="009841AB">
              <w:t xml:space="preserve">Indikatīvi  tiek plānots finansējums </w:t>
            </w:r>
            <w:proofErr w:type="spellStart"/>
            <w:r w:rsidRPr="009841AB">
              <w:t>pieslēgumiem</w:t>
            </w:r>
            <w:proofErr w:type="spellEnd"/>
            <w:r w:rsidRPr="009841AB">
              <w:t xml:space="preserve"> pie nacionālai datu pārvaldības platformai </w:t>
            </w:r>
            <w:r w:rsidRPr="009841AB">
              <w:lastRenderedPageBreak/>
              <w:t>ERAF SAM 1.3.1. pasākuma  "IKT risinājumu un pakalpojumu attīstība un iespēju radīšana privātajam sektoram" ietvaros, tomēr jāņem vērā, ka darbības programma vēl nav apstiprināta.</w:t>
            </w:r>
          </w:p>
        </w:tc>
        <w:tc>
          <w:tcPr>
            <w:tcW w:w="3497" w:type="dxa"/>
            <w:tcBorders>
              <w:left w:val="single" w:sz="6" w:space="0" w:color="000000" w:themeColor="text1"/>
              <w:bottom w:val="single" w:sz="4" w:space="0" w:color="auto"/>
            </w:tcBorders>
            <w:shd w:val="clear" w:color="auto" w:fill="auto"/>
          </w:tcPr>
          <w:p w14:paraId="3AD4F017" w14:textId="77777777" w:rsidR="0018109A" w:rsidRPr="009841AB" w:rsidRDefault="0018109A" w:rsidP="0018109A">
            <w:pPr>
              <w:pStyle w:val="naisc"/>
              <w:spacing w:before="0" w:after="0"/>
              <w:jc w:val="both"/>
            </w:pPr>
          </w:p>
        </w:tc>
      </w:tr>
      <w:tr w:rsidR="00FE0078" w:rsidRPr="009841AB" w14:paraId="52256F1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1E4B91F" w14:textId="77777777" w:rsidR="00FE0078" w:rsidRPr="009841AB" w:rsidRDefault="00673FAB" w:rsidP="00FE0078">
            <w:pPr>
              <w:pStyle w:val="naisc"/>
              <w:spacing w:before="0" w:after="0"/>
            </w:pPr>
            <w:r>
              <w:t>457</w:t>
            </w:r>
          </w:p>
        </w:tc>
        <w:tc>
          <w:tcPr>
            <w:tcW w:w="2427" w:type="dxa"/>
            <w:tcBorders>
              <w:left w:val="single" w:sz="6" w:space="0" w:color="000000" w:themeColor="text1"/>
              <w:bottom w:val="single" w:sz="4" w:space="0" w:color="auto"/>
            </w:tcBorders>
            <w:shd w:val="clear" w:color="auto" w:fill="auto"/>
          </w:tcPr>
          <w:p w14:paraId="4E9EA9D6" w14:textId="77777777" w:rsidR="00FE0078" w:rsidRPr="009841AB" w:rsidRDefault="00FE0078" w:rsidP="00FE0078">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37E64CD6" w14:textId="77777777" w:rsidR="00FE0078" w:rsidRPr="009841AB" w:rsidRDefault="00FE0078" w:rsidP="00FE0078">
            <w:pPr>
              <w:ind w:right="12"/>
              <w:jc w:val="both"/>
              <w:rPr>
                <w:b/>
                <w:bCs/>
              </w:rPr>
            </w:pPr>
            <w:r w:rsidRPr="009841AB">
              <w:t>4.</w:t>
            </w:r>
            <w:r w:rsidRPr="009841AB">
              <w:rPr>
                <w:b/>
                <w:bCs/>
              </w:rPr>
              <w:t xml:space="preserve"> 4.4.9.1. Rīcības </w:t>
            </w:r>
            <w:proofErr w:type="spellStart"/>
            <w:r w:rsidRPr="009841AB">
              <w:rPr>
                <w:b/>
                <w:bCs/>
              </w:rPr>
              <w:t>apakšvirziens</w:t>
            </w:r>
            <w:proofErr w:type="spellEnd"/>
            <w:r w:rsidRPr="009841AB">
              <w:rPr>
                <w:b/>
                <w:bCs/>
              </w:rPr>
              <w:t xml:space="preserve">: Valsts pārvaldes pakalpojumu digitālā transformācija - </w:t>
            </w:r>
            <w:proofErr w:type="spellStart"/>
            <w:r w:rsidRPr="009841AB">
              <w:rPr>
                <w:b/>
                <w:bCs/>
              </w:rPr>
              <w:t>klientorientēta</w:t>
            </w:r>
            <w:proofErr w:type="spellEnd"/>
            <w:r w:rsidRPr="009841AB">
              <w:rPr>
                <w:b/>
                <w:bCs/>
              </w:rPr>
              <w:t xml:space="preserve"> procesu optimizācija</w:t>
            </w:r>
          </w:p>
          <w:p w14:paraId="191E7C45" w14:textId="77777777" w:rsidR="00FE0078" w:rsidRPr="009841AB" w:rsidRDefault="00FE0078" w:rsidP="00FE0078">
            <w:pPr>
              <w:ind w:right="12"/>
              <w:jc w:val="both"/>
            </w:pPr>
            <w:r w:rsidRPr="009841AB">
              <w:t xml:space="preserve">Aicinām neatkārtot iepriekšējo gadu praksi un pakalpojumu </w:t>
            </w:r>
            <w:proofErr w:type="spellStart"/>
            <w:r w:rsidRPr="009841AB">
              <w:t>tranformācijas</w:t>
            </w:r>
            <w:proofErr w:type="spellEnd"/>
            <w:r w:rsidRPr="009841AB">
              <w:t xml:space="preserve"> jautājumus skatīt kompleksi, nešķirojot valsts un pašvaldību pakalpojumos. Abiem pakalpojumu sniedzējiem ir viena mērķauditorija – iedzīvotāji, uzņēmēji, sociāli </w:t>
            </w:r>
            <w:proofErr w:type="spellStart"/>
            <w:r w:rsidRPr="009841AB">
              <w:t>mazaizsargātās</w:t>
            </w:r>
            <w:proofErr w:type="spellEnd"/>
            <w:r w:rsidRPr="009841AB">
              <w:t xml:space="preserve"> personas. Pašvaldību pakalpojumu attīstība par e-pakalpojumiem noris atrauti no valsts iestāžu pakalpojumiem, tā ir viena no problēmām, kāpēc pašvaldību e-pakalpojumi nav pieejami plašam iedzīvotāju skaitam. Ja pakalpojumu sniegšanas vietas tiek pārveidotas par plašākas pieejamības un horizontālās pārvaldības personalizētiem pakalpojumiem, tad tie jāattiecina arī uz pašvaldību pakalpojumiem.</w:t>
            </w:r>
          </w:p>
        </w:tc>
        <w:tc>
          <w:tcPr>
            <w:tcW w:w="2480" w:type="dxa"/>
            <w:tcBorders>
              <w:left w:val="single" w:sz="6" w:space="0" w:color="000000" w:themeColor="text1"/>
              <w:bottom w:val="single" w:sz="4" w:space="0" w:color="auto"/>
            </w:tcBorders>
            <w:shd w:val="clear" w:color="auto" w:fill="auto"/>
          </w:tcPr>
          <w:p w14:paraId="41922454" w14:textId="77777777" w:rsidR="00FE0078" w:rsidRPr="009841AB" w:rsidRDefault="00FE0078" w:rsidP="00FE0078">
            <w:pPr>
              <w:pStyle w:val="naisc"/>
              <w:spacing w:before="0" w:after="0"/>
              <w:jc w:val="left"/>
              <w:rPr>
                <w:b/>
                <w:bCs/>
              </w:rPr>
            </w:pPr>
            <w:r w:rsidRPr="009841AB">
              <w:rPr>
                <w:b/>
                <w:bCs/>
              </w:rPr>
              <w:t>Ņemts vērā</w:t>
            </w:r>
          </w:p>
          <w:p w14:paraId="1E888C60" w14:textId="77777777" w:rsidR="00FE0078" w:rsidRPr="009841AB" w:rsidRDefault="00FE0078" w:rsidP="00FE0078">
            <w:pPr>
              <w:pStyle w:val="naisc"/>
              <w:spacing w:before="0" w:after="0"/>
              <w:jc w:val="left"/>
              <w:rPr>
                <w:b/>
                <w:bCs/>
              </w:rPr>
            </w:pPr>
          </w:p>
          <w:p w14:paraId="777DFAE4" w14:textId="77777777" w:rsidR="00FE0078" w:rsidRPr="009841AB" w:rsidRDefault="00FE0078"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370EE9A0" w14:textId="77777777" w:rsidR="00FE0078" w:rsidRPr="009841AB" w:rsidRDefault="00FE0078" w:rsidP="00FE0078">
            <w:pPr>
              <w:pStyle w:val="naisc"/>
              <w:spacing w:before="0" w:after="0"/>
              <w:jc w:val="both"/>
            </w:pPr>
            <w:r w:rsidRPr="009841AB">
              <w:t xml:space="preserve">Lūdzam skatīt </w:t>
            </w:r>
            <w:proofErr w:type="spellStart"/>
            <w:r w:rsidRPr="009841AB">
              <w:t>apakšsadaļu</w:t>
            </w:r>
            <w:proofErr w:type="spellEnd"/>
            <w:r w:rsidRPr="009841AB">
              <w:t xml:space="preserve"> 4.4.9.1.</w:t>
            </w:r>
          </w:p>
        </w:tc>
      </w:tr>
      <w:tr w:rsidR="00FE0078" w:rsidRPr="009841AB" w14:paraId="765E17D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122FE7A" w14:textId="77777777" w:rsidR="00FE0078" w:rsidRPr="009841AB" w:rsidRDefault="00673FAB" w:rsidP="00FE0078">
            <w:pPr>
              <w:pStyle w:val="naisc"/>
              <w:spacing w:before="0" w:after="0"/>
            </w:pPr>
            <w:r>
              <w:t>458</w:t>
            </w:r>
          </w:p>
        </w:tc>
        <w:tc>
          <w:tcPr>
            <w:tcW w:w="2427" w:type="dxa"/>
            <w:tcBorders>
              <w:left w:val="single" w:sz="6" w:space="0" w:color="000000" w:themeColor="text1"/>
              <w:bottom w:val="single" w:sz="4" w:space="0" w:color="auto"/>
            </w:tcBorders>
            <w:shd w:val="clear" w:color="auto" w:fill="auto"/>
          </w:tcPr>
          <w:p w14:paraId="3689483E" w14:textId="77777777" w:rsidR="00FE0078" w:rsidRPr="009841AB" w:rsidRDefault="00FE0078" w:rsidP="00FE0078">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4BA535A9" w14:textId="77777777" w:rsidR="00FE0078" w:rsidRPr="009841AB" w:rsidRDefault="00FE0078" w:rsidP="00FE0078">
            <w:pPr>
              <w:ind w:right="12"/>
              <w:jc w:val="both"/>
            </w:pPr>
            <w:r w:rsidRPr="009841AB">
              <w:t xml:space="preserve">5. Apakšpunktā </w:t>
            </w:r>
            <w:r w:rsidRPr="009841AB">
              <w:rPr>
                <w:b/>
              </w:rPr>
              <w:t>4.4.9.1.-2</w:t>
            </w:r>
            <w:r w:rsidRPr="009841AB">
              <w:t xml:space="preserve"> minēto vēlamies vērst uzmanību, ka ir jau valstī ieviesta VPVKAC attīstītājs Ventspils digitālais centrs kuru būtu nepieciešams popularizēt un iestrādāt </w:t>
            </w:r>
            <w:proofErr w:type="spellStart"/>
            <w:r w:rsidRPr="009841AB">
              <w:t>inovitātes</w:t>
            </w:r>
            <w:proofErr w:type="spellEnd"/>
            <w:r w:rsidRPr="009841AB">
              <w:t>.</w:t>
            </w:r>
          </w:p>
        </w:tc>
        <w:tc>
          <w:tcPr>
            <w:tcW w:w="2480" w:type="dxa"/>
            <w:tcBorders>
              <w:left w:val="single" w:sz="6" w:space="0" w:color="000000" w:themeColor="text1"/>
              <w:bottom w:val="single" w:sz="4" w:space="0" w:color="auto"/>
            </w:tcBorders>
            <w:shd w:val="clear" w:color="auto" w:fill="auto"/>
          </w:tcPr>
          <w:p w14:paraId="1C08701C" w14:textId="77777777" w:rsidR="00FE0078" w:rsidRPr="009841AB" w:rsidRDefault="00FE0078" w:rsidP="00FE0078">
            <w:pPr>
              <w:pStyle w:val="naisc"/>
              <w:spacing w:before="0" w:after="0"/>
              <w:jc w:val="left"/>
              <w:rPr>
                <w:b/>
                <w:bCs/>
              </w:rPr>
            </w:pPr>
            <w:r w:rsidRPr="009841AB">
              <w:rPr>
                <w:b/>
                <w:bCs/>
              </w:rPr>
              <w:t>Ņemts vērā</w:t>
            </w:r>
          </w:p>
          <w:p w14:paraId="0AC1A23D" w14:textId="77777777" w:rsidR="00FE0078" w:rsidRPr="009841AB" w:rsidRDefault="00FE0078" w:rsidP="00FE0078">
            <w:pPr>
              <w:pStyle w:val="naisc"/>
              <w:spacing w:before="0" w:after="0"/>
              <w:jc w:val="left"/>
              <w:rPr>
                <w:b/>
                <w:bCs/>
              </w:rPr>
            </w:pPr>
            <w:r w:rsidRPr="009841AB">
              <w:t>VPVKAC IS attīstība aprakstīta konceptuālā ziņojuma projektā "Par jaunu valsts pārvaldes pakalpojumu nodrošināšanas sistēmu".</w:t>
            </w:r>
          </w:p>
        </w:tc>
        <w:tc>
          <w:tcPr>
            <w:tcW w:w="3497" w:type="dxa"/>
            <w:tcBorders>
              <w:left w:val="single" w:sz="6" w:space="0" w:color="000000" w:themeColor="text1"/>
              <w:bottom w:val="single" w:sz="4" w:space="0" w:color="auto"/>
            </w:tcBorders>
            <w:shd w:val="clear" w:color="auto" w:fill="auto"/>
          </w:tcPr>
          <w:p w14:paraId="4179BD40"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4.4.9.1.</w:t>
            </w:r>
          </w:p>
        </w:tc>
      </w:tr>
      <w:tr w:rsidR="00FE0078" w:rsidRPr="009841AB" w14:paraId="085F269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2C579E9" w14:textId="77777777" w:rsidR="00FE0078" w:rsidRPr="009841AB" w:rsidRDefault="00673FAB" w:rsidP="00FE0078">
            <w:pPr>
              <w:pStyle w:val="naisc"/>
              <w:spacing w:before="0" w:after="0"/>
            </w:pPr>
            <w:r>
              <w:lastRenderedPageBreak/>
              <w:t>459</w:t>
            </w:r>
          </w:p>
        </w:tc>
        <w:tc>
          <w:tcPr>
            <w:tcW w:w="2427" w:type="dxa"/>
            <w:tcBorders>
              <w:left w:val="single" w:sz="6" w:space="0" w:color="000000" w:themeColor="text1"/>
              <w:bottom w:val="single" w:sz="4" w:space="0" w:color="auto"/>
            </w:tcBorders>
            <w:shd w:val="clear" w:color="auto" w:fill="auto"/>
          </w:tcPr>
          <w:p w14:paraId="3CE29B37" w14:textId="77777777" w:rsidR="00FE0078" w:rsidRPr="009841AB" w:rsidRDefault="00FE0078" w:rsidP="00FE0078">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5C694FF7" w14:textId="77777777" w:rsidR="00FE0078" w:rsidRPr="009841AB" w:rsidRDefault="00FE0078" w:rsidP="00FE0078">
            <w:pPr>
              <w:ind w:right="12"/>
              <w:jc w:val="both"/>
              <w:rPr>
                <w:b/>
                <w:bCs/>
              </w:rPr>
            </w:pPr>
            <w:r w:rsidRPr="009841AB">
              <w:t xml:space="preserve">6. Par apakšpunktā </w:t>
            </w:r>
            <w:r w:rsidRPr="009841AB">
              <w:rPr>
                <w:b/>
                <w:bCs/>
              </w:rPr>
              <w:t>4.4.9.7.-3</w:t>
            </w:r>
            <w:r w:rsidRPr="009841AB">
              <w:t xml:space="preserve"> "Ieviest valsts pārvaldes pakalpojumu pārvaldības politiku" elektronisko dokumentu apritē būtu nepieciešams izskatīt vienotas DVS lietojamība.</w:t>
            </w:r>
          </w:p>
        </w:tc>
        <w:tc>
          <w:tcPr>
            <w:tcW w:w="2480" w:type="dxa"/>
            <w:tcBorders>
              <w:left w:val="single" w:sz="6" w:space="0" w:color="000000" w:themeColor="text1"/>
              <w:bottom w:val="single" w:sz="4" w:space="0" w:color="auto"/>
            </w:tcBorders>
            <w:shd w:val="clear" w:color="auto" w:fill="auto"/>
          </w:tcPr>
          <w:p w14:paraId="24B9A8C2"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t>Panākta vienošanās</w:t>
            </w:r>
          </w:p>
          <w:p w14:paraId="2449291B" w14:textId="77777777" w:rsidR="00FE0078" w:rsidRPr="009841AB" w:rsidRDefault="00FE0078" w:rsidP="00FE0078">
            <w:pPr>
              <w:pStyle w:val="naisc"/>
              <w:spacing w:before="0" w:after="0"/>
              <w:jc w:val="left"/>
            </w:pPr>
            <w:r w:rsidRPr="009841AB">
              <w:t>Vienotas DVS ieviešana nevar būt pašmērķis, ņemot vērā tirgū apstākļos pieejamos DVS risinājumus un to savstarpējās konkurences pozitīvos efektus. Iespējams, priekšlikums par vienotas DVS ieviešanu sakņojas nepieciešamībā panākt iestāžu savstarpējo sadarbības standartizāciju dokumentu un uzdevumu pārvaldības jomā, tomēr šis mērķis ir sasniedzams citādi -  izmantojot Oficiālo elektronisko adresi, kas nodrošina iestāžu DVS savstarpējo integrāciju, bet vienlaikus atbalsta brīvu DVS risinājumu attīstību un pieejamību tirgus dalībniekiem konkurences apstākļos.</w:t>
            </w:r>
          </w:p>
        </w:tc>
        <w:tc>
          <w:tcPr>
            <w:tcW w:w="3497" w:type="dxa"/>
            <w:tcBorders>
              <w:left w:val="single" w:sz="6" w:space="0" w:color="000000" w:themeColor="text1"/>
              <w:bottom w:val="single" w:sz="4" w:space="0" w:color="auto"/>
            </w:tcBorders>
            <w:shd w:val="clear" w:color="auto" w:fill="auto"/>
          </w:tcPr>
          <w:p w14:paraId="25BABFDC" w14:textId="77777777" w:rsidR="00FE0078" w:rsidRPr="009841AB" w:rsidRDefault="00FE0078" w:rsidP="00FE0078">
            <w:pPr>
              <w:pStyle w:val="naisc"/>
              <w:spacing w:before="0" w:after="0"/>
              <w:jc w:val="both"/>
            </w:pPr>
          </w:p>
        </w:tc>
      </w:tr>
      <w:tr w:rsidR="00FE0078" w:rsidRPr="009841AB" w14:paraId="05488A8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558A6F4" w14:textId="77777777" w:rsidR="00FE0078" w:rsidRPr="009841AB" w:rsidRDefault="00673FAB" w:rsidP="00FE0078">
            <w:pPr>
              <w:pStyle w:val="naisc"/>
              <w:spacing w:before="0" w:after="0"/>
            </w:pPr>
            <w:r>
              <w:t>460</w:t>
            </w:r>
          </w:p>
        </w:tc>
        <w:tc>
          <w:tcPr>
            <w:tcW w:w="2427" w:type="dxa"/>
            <w:tcBorders>
              <w:left w:val="single" w:sz="6" w:space="0" w:color="000000" w:themeColor="text1"/>
              <w:bottom w:val="single" w:sz="4" w:space="0" w:color="auto"/>
            </w:tcBorders>
            <w:shd w:val="clear" w:color="auto" w:fill="auto"/>
          </w:tcPr>
          <w:p w14:paraId="7509C3A4" w14:textId="77777777" w:rsidR="00FE0078" w:rsidRPr="009841AB" w:rsidRDefault="00FE0078" w:rsidP="00FE0078">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2A36517" w14:textId="77777777" w:rsidR="00FE0078" w:rsidRPr="009841AB" w:rsidRDefault="00FE0078" w:rsidP="00FE0078">
            <w:pPr>
              <w:ind w:right="12"/>
              <w:jc w:val="both"/>
              <w:rPr>
                <w:b/>
                <w:bCs/>
              </w:rPr>
            </w:pPr>
            <w:r w:rsidRPr="009841AB">
              <w:t>7.</w:t>
            </w:r>
            <w:r w:rsidRPr="009841AB">
              <w:rPr>
                <w:b/>
                <w:bCs/>
              </w:rPr>
              <w:t xml:space="preserve"> 4.4.10. Rīcības virziens: Racionāls valsts pārvaldes tehnoloģiju atbalsts</w:t>
            </w:r>
          </w:p>
          <w:p w14:paraId="2169D63C" w14:textId="77777777" w:rsidR="00FE0078" w:rsidRPr="009841AB" w:rsidRDefault="00FE0078" w:rsidP="00FE0078">
            <w:pPr>
              <w:ind w:right="12"/>
              <w:jc w:val="both"/>
            </w:pPr>
            <w:r w:rsidRPr="009841AB">
              <w:t xml:space="preserve">Transformēt IKT nodrošināšanas pieeju valsts pārvaldē nevar skatīt nošķirti no pašvaldībām. </w:t>
            </w:r>
            <w:r w:rsidRPr="009841AB">
              <w:lastRenderedPageBreak/>
              <w:t xml:space="preserve">Pašvaldību IKT dažādā attīstītība un atšķirīgais nodrošinājums neveicina racionālu resursu izmantošanu. Pašvaldībās ir </w:t>
            </w:r>
            <w:proofErr w:type="spellStart"/>
            <w:r w:rsidRPr="009841AB">
              <w:t>fregmentēta</w:t>
            </w:r>
            <w:proofErr w:type="spellEnd"/>
            <w:r w:rsidRPr="009841AB">
              <w:t xml:space="preserve"> komerciālo risinājumu izplatība, kas daudzviet līdzinās produktiem, kas tiek izmantoti valsts pārvaldē. Ir daudz kopīga, bet arī daudz atšķirīga no valsts pārvaldes, kas ir specifiski risinājumi tieši pašvaldībām, kurus arī būtu lietderīgi administrēt un koordinēt vienoti. </w:t>
            </w:r>
          </w:p>
        </w:tc>
        <w:tc>
          <w:tcPr>
            <w:tcW w:w="2480" w:type="dxa"/>
            <w:tcBorders>
              <w:left w:val="single" w:sz="6" w:space="0" w:color="000000" w:themeColor="text1"/>
              <w:bottom w:val="single" w:sz="4" w:space="0" w:color="auto"/>
            </w:tcBorders>
            <w:shd w:val="clear" w:color="auto" w:fill="auto"/>
          </w:tcPr>
          <w:p w14:paraId="744C7C15" w14:textId="77777777" w:rsidR="00FE0078" w:rsidRPr="00F44824" w:rsidRDefault="00FE0078" w:rsidP="00FE0078">
            <w:pPr>
              <w:pStyle w:val="naisc"/>
              <w:spacing w:before="0" w:after="0"/>
              <w:jc w:val="left"/>
              <w:rPr>
                <w:b/>
                <w:bCs/>
              </w:rPr>
            </w:pPr>
            <w:r w:rsidRPr="00F44824">
              <w:rPr>
                <w:b/>
                <w:bCs/>
              </w:rPr>
              <w:lastRenderedPageBreak/>
              <w:t>Ņemts vērā</w:t>
            </w:r>
          </w:p>
          <w:p w14:paraId="35412BFD" w14:textId="77777777" w:rsidR="00FE0078" w:rsidRPr="009841AB" w:rsidRDefault="00FE0078" w:rsidP="00FE0078">
            <w:pPr>
              <w:pStyle w:val="naisc"/>
              <w:spacing w:before="0" w:after="0"/>
              <w:jc w:val="left"/>
            </w:pPr>
            <w:r w:rsidRPr="009841AB">
              <w:t xml:space="preserve">4.4.10. ievada teksts papildināts ar teikumiem par </w:t>
            </w:r>
            <w:r w:rsidRPr="009841AB">
              <w:lastRenderedPageBreak/>
              <w:t xml:space="preserve">pašvaldību specifiku: “Tāda pati pieeja ir attiecināma arī uz pašvaldību IKT atbalsta attīstību. Lai arī vairākās jomās pašvaldības var izmantot tādus pašus koplietošanas pakalpojumus kā valsts tiešās pārvaldes institūcijas (piemēram, tīmekļa vietņu attīstības un uzturēšanas pakalpojums, IKT infrastruktūras koplietošanas pakalpojumi), ir jomas, kur pašvaldībām ir lietderīgi attīstīt uz tām nepieciešamiem specifiskiem pakalpojumiem orientētus pakalpojumu sniedzējus.”  </w:t>
            </w:r>
          </w:p>
        </w:tc>
        <w:tc>
          <w:tcPr>
            <w:tcW w:w="3497" w:type="dxa"/>
            <w:tcBorders>
              <w:left w:val="single" w:sz="6" w:space="0" w:color="000000" w:themeColor="text1"/>
              <w:bottom w:val="single" w:sz="4" w:space="0" w:color="auto"/>
            </w:tcBorders>
            <w:shd w:val="clear" w:color="auto" w:fill="auto"/>
          </w:tcPr>
          <w:p w14:paraId="20415437" w14:textId="77777777" w:rsidR="00FE0078" w:rsidRPr="009841AB" w:rsidRDefault="00FE0078" w:rsidP="00FE0078">
            <w:pPr>
              <w:pStyle w:val="naisc"/>
              <w:spacing w:before="0" w:after="0"/>
              <w:jc w:val="left"/>
            </w:pPr>
            <w:r w:rsidRPr="009841AB">
              <w:lastRenderedPageBreak/>
              <w:t xml:space="preserve">Lūdzam skatīt </w:t>
            </w:r>
            <w:proofErr w:type="spellStart"/>
            <w:r w:rsidRPr="009841AB">
              <w:t>apakšsadaļu</w:t>
            </w:r>
            <w:proofErr w:type="spellEnd"/>
            <w:r w:rsidRPr="009841AB">
              <w:t xml:space="preserve"> 4.4.10.  </w:t>
            </w:r>
          </w:p>
        </w:tc>
      </w:tr>
      <w:tr w:rsidR="00FE0078" w:rsidRPr="009841AB" w14:paraId="2C49BFC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AF696D6" w14:textId="77777777" w:rsidR="00FE0078" w:rsidRPr="009841AB" w:rsidRDefault="00673FAB" w:rsidP="00FE0078">
            <w:pPr>
              <w:pStyle w:val="naisc"/>
              <w:spacing w:before="0" w:after="0"/>
            </w:pPr>
            <w:r>
              <w:t>461</w:t>
            </w:r>
          </w:p>
        </w:tc>
        <w:tc>
          <w:tcPr>
            <w:tcW w:w="2427" w:type="dxa"/>
            <w:tcBorders>
              <w:left w:val="single" w:sz="6" w:space="0" w:color="000000" w:themeColor="text1"/>
              <w:bottom w:val="single" w:sz="4" w:space="0" w:color="auto"/>
            </w:tcBorders>
            <w:shd w:val="clear" w:color="auto" w:fill="auto"/>
          </w:tcPr>
          <w:p w14:paraId="71056203" w14:textId="77777777" w:rsidR="00FE0078" w:rsidRPr="009841AB" w:rsidRDefault="00FE0078" w:rsidP="00FE0078">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68DF7DC" w14:textId="77777777" w:rsidR="00FE0078" w:rsidRPr="009841AB" w:rsidRDefault="00FE0078" w:rsidP="00FE0078">
            <w:pPr>
              <w:ind w:right="12"/>
              <w:jc w:val="both"/>
              <w:rPr>
                <w:b/>
              </w:rPr>
            </w:pPr>
            <w:r w:rsidRPr="009841AB">
              <w:t>8.</w:t>
            </w:r>
            <w:r w:rsidRPr="009841AB">
              <w:rPr>
                <w:b/>
              </w:rPr>
              <w:t xml:space="preserve"> 4.4.10.2. Rīcības </w:t>
            </w:r>
            <w:proofErr w:type="spellStart"/>
            <w:r w:rsidRPr="009841AB">
              <w:rPr>
                <w:b/>
              </w:rPr>
              <w:t>apakšvirziens</w:t>
            </w:r>
            <w:proofErr w:type="spellEnd"/>
            <w:r w:rsidRPr="009841AB">
              <w:rPr>
                <w:b/>
              </w:rPr>
              <w:t>: Informācijas sistēmas (IS)</w:t>
            </w:r>
          </w:p>
          <w:p w14:paraId="3F6AACFB" w14:textId="77777777" w:rsidR="00FE0078" w:rsidRPr="009841AB" w:rsidRDefault="00FE0078" w:rsidP="00FE0078">
            <w:pPr>
              <w:ind w:right="12"/>
              <w:jc w:val="both"/>
            </w:pPr>
            <w:r w:rsidRPr="009841AB">
              <w:t>Nepieciešams noteikt jaunu informācijas sistēmu statusu – pašvaldību informācijas sistēmas, to mijiedarbību ar valsts informācijas sistēmām.</w:t>
            </w:r>
          </w:p>
        </w:tc>
        <w:tc>
          <w:tcPr>
            <w:tcW w:w="2480" w:type="dxa"/>
            <w:tcBorders>
              <w:left w:val="single" w:sz="6" w:space="0" w:color="000000" w:themeColor="text1"/>
              <w:bottom w:val="single" w:sz="4" w:space="0" w:color="auto"/>
            </w:tcBorders>
            <w:shd w:val="clear" w:color="auto" w:fill="auto"/>
          </w:tcPr>
          <w:p w14:paraId="33C57EF1"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t>Panākta vienošanās</w:t>
            </w:r>
          </w:p>
          <w:p w14:paraId="592EC5D5" w14:textId="77777777" w:rsidR="00FE0078" w:rsidRPr="009841AB" w:rsidRDefault="00FE0078" w:rsidP="00FE0078">
            <w:pPr>
              <w:pStyle w:val="naisc"/>
              <w:spacing w:before="0" w:after="0"/>
              <w:jc w:val="left"/>
              <w:rPr>
                <w:b/>
                <w:bCs/>
              </w:rPr>
            </w:pPr>
            <w:r w:rsidRPr="009841AB">
              <w:t xml:space="preserve">VARAM piekrīt LPS viedoklim, ka pašvaldību informācijas sistēmām ir nepieciešama statusa noteikšana un ierosina tām noteikt Valsts </w:t>
            </w:r>
            <w:r w:rsidRPr="009841AB">
              <w:lastRenderedPageBreak/>
              <w:t>informācijas sistēmu statusu, attiecīgi grozot Valsts informācijas sistēmu likumu. Ierosinām to apspriest Valsts informācijas sistēmu likuma grozījumu apspriešanas kontekstā. Likuma grozījumu projekts ir publicēts VARAM tīmekļa vietnē publiskai apspriešanai.</w:t>
            </w:r>
          </w:p>
        </w:tc>
        <w:tc>
          <w:tcPr>
            <w:tcW w:w="3497" w:type="dxa"/>
            <w:tcBorders>
              <w:left w:val="single" w:sz="6" w:space="0" w:color="000000" w:themeColor="text1"/>
              <w:bottom w:val="single" w:sz="4" w:space="0" w:color="auto"/>
            </w:tcBorders>
            <w:shd w:val="clear" w:color="auto" w:fill="auto"/>
          </w:tcPr>
          <w:p w14:paraId="7268747C" w14:textId="77777777" w:rsidR="00FE0078" w:rsidRPr="009841AB" w:rsidRDefault="00FE0078" w:rsidP="00FE0078">
            <w:pPr>
              <w:pStyle w:val="naisc"/>
              <w:spacing w:before="0" w:after="0"/>
              <w:jc w:val="left"/>
            </w:pPr>
            <w:r w:rsidRPr="009841AB">
              <w:lastRenderedPageBreak/>
              <w:t xml:space="preserve"> Lūdzam skatīt </w:t>
            </w:r>
            <w:proofErr w:type="spellStart"/>
            <w:r w:rsidRPr="009841AB">
              <w:t>apakšsadaļu</w:t>
            </w:r>
            <w:proofErr w:type="spellEnd"/>
            <w:r w:rsidRPr="009841AB">
              <w:t xml:space="preserve"> 4.4.10.2.</w:t>
            </w:r>
          </w:p>
        </w:tc>
      </w:tr>
      <w:tr w:rsidR="00FE0078" w:rsidRPr="009841AB" w14:paraId="5532961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44EB2D3" w14:textId="77777777" w:rsidR="00FE0078" w:rsidRPr="009841AB" w:rsidRDefault="00673FAB" w:rsidP="00FE0078">
            <w:pPr>
              <w:pStyle w:val="naisc"/>
              <w:spacing w:before="0" w:after="0"/>
            </w:pPr>
            <w:r>
              <w:t>462</w:t>
            </w:r>
          </w:p>
        </w:tc>
        <w:tc>
          <w:tcPr>
            <w:tcW w:w="2427" w:type="dxa"/>
            <w:tcBorders>
              <w:left w:val="single" w:sz="6" w:space="0" w:color="000000" w:themeColor="text1"/>
              <w:bottom w:val="single" w:sz="4" w:space="0" w:color="auto"/>
            </w:tcBorders>
            <w:shd w:val="clear" w:color="auto" w:fill="auto"/>
          </w:tcPr>
          <w:p w14:paraId="7A2EFC5A" w14:textId="77777777" w:rsidR="00FE0078" w:rsidRPr="009841AB" w:rsidRDefault="00FE0078" w:rsidP="00FE0078">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7793EF45" w14:textId="77777777" w:rsidR="00321054" w:rsidRDefault="00321054" w:rsidP="00FE0078">
            <w:pPr>
              <w:ind w:right="12"/>
              <w:jc w:val="both"/>
            </w:pPr>
            <w:bookmarkStart w:id="13" w:name="_Toc60796034"/>
            <w:bookmarkStart w:id="14" w:name="_Toc61186371"/>
            <w:r w:rsidRPr="00D030E7">
              <w:rPr>
                <w:lang w:eastAsia="en-US"/>
              </w:rPr>
              <w:t xml:space="preserve">(Iepriekš izziņas </w:t>
            </w:r>
            <w:r>
              <w:rPr>
                <w:lang w:eastAsia="en-US"/>
              </w:rPr>
              <w:t>363</w:t>
            </w:r>
            <w:r w:rsidRPr="00D030E7">
              <w:rPr>
                <w:lang w:eastAsia="en-US"/>
              </w:rPr>
              <w:t>. punkts)</w:t>
            </w:r>
          </w:p>
          <w:p w14:paraId="014F1D89" w14:textId="77777777" w:rsidR="00FE0078" w:rsidRPr="009841AB" w:rsidRDefault="00FE0078" w:rsidP="00FE0078">
            <w:pPr>
              <w:ind w:right="12"/>
              <w:jc w:val="both"/>
              <w:rPr>
                <w:b/>
                <w:bCs/>
              </w:rPr>
            </w:pPr>
            <w:r w:rsidRPr="009841AB">
              <w:t>9.</w:t>
            </w:r>
            <w:r w:rsidRPr="009841AB">
              <w:rPr>
                <w:b/>
                <w:bCs/>
              </w:rPr>
              <w:t xml:space="preserve"> 4.4.13. Rīcības virziens: Izglītības procesu </w:t>
            </w:r>
            <w:proofErr w:type="spellStart"/>
            <w:r w:rsidRPr="009841AB">
              <w:rPr>
                <w:b/>
                <w:bCs/>
              </w:rPr>
              <w:t>digitalizācija</w:t>
            </w:r>
            <w:bookmarkEnd w:id="13"/>
            <w:bookmarkEnd w:id="14"/>
            <w:proofErr w:type="spellEnd"/>
          </w:p>
          <w:p w14:paraId="532CC0CC" w14:textId="77777777" w:rsidR="00FE0078" w:rsidRPr="009841AB" w:rsidRDefault="00FE0078" w:rsidP="00FE0078">
            <w:pPr>
              <w:ind w:right="12"/>
              <w:jc w:val="both"/>
            </w:pPr>
            <w:r w:rsidRPr="009841AB">
              <w:t xml:space="preserve">Izglītības procesu </w:t>
            </w:r>
            <w:proofErr w:type="spellStart"/>
            <w:r w:rsidRPr="009841AB">
              <w:t>digitalizācija</w:t>
            </w:r>
            <w:proofErr w:type="spellEnd"/>
            <w:r w:rsidRPr="009841AB">
              <w:t xml:space="preserve"> ietver sevī vairākas problēmas:</w:t>
            </w:r>
          </w:p>
          <w:p w14:paraId="76ED3C81" w14:textId="77777777" w:rsidR="00FE0078" w:rsidRPr="009841AB" w:rsidRDefault="00FE0078" w:rsidP="000C28AE">
            <w:pPr>
              <w:numPr>
                <w:ilvl w:val="0"/>
                <w:numId w:val="10"/>
              </w:numPr>
              <w:ind w:right="12"/>
              <w:jc w:val="both"/>
            </w:pPr>
            <w:proofErr w:type="spellStart"/>
            <w:r w:rsidRPr="009841AB">
              <w:t>Digitalizācija</w:t>
            </w:r>
            <w:proofErr w:type="spellEnd"/>
            <w:r w:rsidRPr="009841AB">
              <w:t xml:space="preserve"> skolās nav iedomājama bez platjoslas optiskā tīkla pieejamības, lai nodrošinātu digitālo mācību līdzekļu izmantošanu, nepieciešams konkrēts pasākumu plāns kā skolām nodrošināt šos </w:t>
            </w:r>
            <w:proofErr w:type="spellStart"/>
            <w:r w:rsidRPr="009841AB">
              <w:t>pieslēgumus</w:t>
            </w:r>
            <w:proofErr w:type="spellEnd"/>
            <w:r w:rsidRPr="009841AB">
              <w:t>;</w:t>
            </w:r>
          </w:p>
          <w:p w14:paraId="063729D6" w14:textId="77777777" w:rsidR="00FE0078" w:rsidRPr="009841AB" w:rsidRDefault="00FE0078" w:rsidP="000C28AE">
            <w:pPr>
              <w:numPr>
                <w:ilvl w:val="0"/>
                <w:numId w:val="10"/>
              </w:numPr>
              <w:ind w:right="12"/>
              <w:jc w:val="both"/>
            </w:pPr>
            <w:r w:rsidRPr="009841AB">
              <w:t xml:space="preserve">Digitālie līdzekļi ir arī datortehnikas, planšetdatoru, mobilo ierīču pieejamība skolēniem gan skolās, gan dzīvesvietās. Ierīču fiziskais izmantošanas termiņš ir ļoti īss, tas prasa nemitīgu šo ierīču iepirkumus. Jājautā – kādus kosmiskus līdzekļus ir plānots piesaistīt, lai ilgtermiņā nodrošinātu skolēnus (arī skolotājus) ar attālinātajam procesam paredzētām ierīcēm, kā arī veikt to regulāru nomaiņu, kad ierīces, novecos vai sabojāsies? </w:t>
            </w:r>
            <w:r w:rsidRPr="009841AB">
              <w:lastRenderedPageBreak/>
              <w:t xml:space="preserve">Lūgums </w:t>
            </w:r>
            <w:proofErr w:type="spellStart"/>
            <w:r w:rsidRPr="009841AB">
              <w:t>korolēt</w:t>
            </w:r>
            <w:proofErr w:type="spellEnd"/>
            <w:r w:rsidRPr="009841AB">
              <w:t xml:space="preserve"> mācību digitālo saturu ar ierīču pieejamību un nodrošinājumu;</w:t>
            </w:r>
          </w:p>
          <w:p w14:paraId="0D4CABB8" w14:textId="77777777" w:rsidR="00FE0078" w:rsidRPr="009841AB" w:rsidRDefault="00FE0078" w:rsidP="000C28AE">
            <w:pPr>
              <w:numPr>
                <w:ilvl w:val="0"/>
                <w:numId w:val="10"/>
              </w:numPr>
              <w:ind w:right="12"/>
              <w:jc w:val="both"/>
            </w:pPr>
            <w:r w:rsidRPr="009841AB">
              <w:t xml:space="preserve">Ņemot vērā pandēmijas pieredzi, jādomā par vienlīdzīgām iespējām visiem skolēniem, nepieciešami kompensējošie mehānismi iekārtu un interneta </w:t>
            </w:r>
            <w:proofErr w:type="spellStart"/>
            <w:r w:rsidRPr="009841AB">
              <w:t>pieslēgumu</w:t>
            </w:r>
            <w:proofErr w:type="spellEnd"/>
            <w:r w:rsidRPr="009841AB">
              <w:t xml:space="preserve"> nodrošināšanai visiem skolēniem. Iespējams to ir iespējams realizēt ar atsevišķu mērķdotāciju pašvaldībām attālinātā mācību procesa nodrošināšanai;</w:t>
            </w:r>
          </w:p>
          <w:p w14:paraId="5164756E" w14:textId="77777777" w:rsidR="00FE0078" w:rsidRPr="009841AB" w:rsidRDefault="00FE0078" w:rsidP="000C28AE">
            <w:pPr>
              <w:numPr>
                <w:ilvl w:val="0"/>
                <w:numId w:val="10"/>
              </w:numPr>
              <w:ind w:right="12"/>
              <w:jc w:val="both"/>
            </w:pPr>
            <w:r w:rsidRPr="009841AB">
              <w:t xml:space="preserve">Mācību procesa </w:t>
            </w:r>
            <w:proofErr w:type="spellStart"/>
            <w:r w:rsidRPr="009841AB">
              <w:t>digitalizācija</w:t>
            </w:r>
            <w:proofErr w:type="spellEnd"/>
            <w:r w:rsidRPr="009841AB">
              <w:t xml:space="preserve"> – rūpīgi jāvērtē noslodzes un sadalījums starp digitālo un klātienes sadalījumu. Jau šobrīd realitāte ir pārlieku ilgais laiks, ko skolēni pavada darbojoties </w:t>
            </w:r>
            <w:proofErr w:type="spellStart"/>
            <w:r w:rsidRPr="009841AB">
              <w:t>viedierīcēs</w:t>
            </w:r>
            <w:proofErr w:type="spellEnd"/>
            <w:r w:rsidRPr="009841AB">
              <w:t>, labāk to darīt klasēs, kur šis ir kontrolējams process no skolotāju puses;</w:t>
            </w:r>
          </w:p>
          <w:p w14:paraId="15F9D0A9" w14:textId="77777777" w:rsidR="00FE0078" w:rsidRPr="009841AB" w:rsidRDefault="00FE0078" w:rsidP="000C28AE">
            <w:pPr>
              <w:numPr>
                <w:ilvl w:val="0"/>
                <w:numId w:val="10"/>
              </w:numPr>
              <w:ind w:right="12"/>
              <w:jc w:val="both"/>
            </w:pPr>
            <w:r w:rsidRPr="009841AB">
              <w:t>Atbalstāma būtu tiešsaistes stundu ierakstīšana un izmantošana, bet tikai iestādes iekšienē (personas datu aizsardzība, pedagogu intelektuālais īpašums).</w:t>
            </w:r>
          </w:p>
        </w:tc>
        <w:tc>
          <w:tcPr>
            <w:tcW w:w="2480" w:type="dxa"/>
            <w:tcBorders>
              <w:left w:val="single" w:sz="6" w:space="0" w:color="000000" w:themeColor="text1"/>
              <w:bottom w:val="single" w:sz="4" w:space="0" w:color="auto"/>
            </w:tcBorders>
            <w:shd w:val="clear" w:color="auto" w:fill="auto"/>
          </w:tcPr>
          <w:p w14:paraId="540FABB9"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lastRenderedPageBreak/>
              <w:t>Panākta vienošanās</w:t>
            </w:r>
          </w:p>
          <w:p w14:paraId="7BF8A1CB" w14:textId="77777777" w:rsidR="00FE0078" w:rsidRPr="009841AB" w:rsidRDefault="00FE0078" w:rsidP="00FE0078">
            <w:pPr>
              <w:pStyle w:val="naisc"/>
              <w:spacing w:before="0" w:after="0"/>
              <w:ind w:left="28"/>
              <w:jc w:val="left"/>
            </w:pPr>
            <w:r w:rsidRPr="009841AB">
              <w:t xml:space="preserve">Pamatnostādnēs nav paredzētas konkrētu projektu iekļaušanai (piemēram, interneta nodrošināšana skolām). Pamatnostādņu sadaļa  Telekomunikāciju pakalpojumu pieejamība paredz vispārēju platjoslas tīklu attīstību nosakot konkrētus sasniedzamos rezultatīvos rādītājus (RR4.3.-1.1). VARAM vērš uzmanību, ka pamatnostādnēs ir noteikt, ka vidējās un pēdējās jūdzes </w:t>
            </w:r>
            <w:r w:rsidRPr="009841AB">
              <w:lastRenderedPageBreak/>
              <w:t>attīstības pasākumi, tostarp valsts atbalsts, tiks izvērtēti un iekļauti platjoslas attīstības plānā laika posmam no 2021. līdz 2027.gadam. Platjoslas plāns ietvers investīciju nepietiekamības novērtējumu, pamatojoties uz esošās privātās un publiskās infrastruktūras un pakalpojumu kvalitātes kartēšanu, kā arī plānotās valsts intervences pamatojumu, balstītu uz ilgtspējīgiem ieguldījumu modeļiem.</w:t>
            </w:r>
          </w:p>
          <w:p w14:paraId="0C63E4FB" w14:textId="77777777" w:rsidR="00FE0078" w:rsidRPr="009841AB" w:rsidRDefault="00FE0078" w:rsidP="000C28AE">
            <w:pPr>
              <w:pStyle w:val="naisc"/>
              <w:numPr>
                <w:ilvl w:val="0"/>
                <w:numId w:val="10"/>
              </w:numPr>
              <w:spacing w:before="0" w:after="0"/>
              <w:jc w:val="left"/>
            </w:pPr>
            <w:r w:rsidRPr="009841AB">
              <w:t xml:space="preserve">Nav ņemts vērā, detalizētākas aktivitātes paredzēts ietvert uzdevumā 4.4.13.-1 Izveidot stratēģiju un plānu mācību procesa </w:t>
            </w:r>
            <w:r w:rsidRPr="009841AB">
              <w:lastRenderedPageBreak/>
              <w:t>digitālai transformācijai.</w:t>
            </w:r>
          </w:p>
          <w:p w14:paraId="6F542AF3" w14:textId="77777777" w:rsidR="00FE0078" w:rsidRPr="009841AB" w:rsidRDefault="00FE0078" w:rsidP="000C28AE">
            <w:pPr>
              <w:pStyle w:val="naisc"/>
              <w:numPr>
                <w:ilvl w:val="0"/>
                <w:numId w:val="10"/>
              </w:numPr>
              <w:spacing w:before="0" w:after="0"/>
              <w:jc w:val="left"/>
            </w:pPr>
            <w:r w:rsidRPr="009841AB">
              <w:t>Nav ņemts vērā, detalizētākas aktivitātes paredzēts ietvert uzdevumā 4.4.13.-1 Izveidot stratēģiju un plānu mācību procesa digitālai transformācijai.</w:t>
            </w:r>
          </w:p>
          <w:p w14:paraId="0B00AE35" w14:textId="77777777" w:rsidR="00FE0078" w:rsidRPr="009841AB" w:rsidRDefault="00FE0078" w:rsidP="000C28AE">
            <w:pPr>
              <w:pStyle w:val="naisc"/>
              <w:numPr>
                <w:ilvl w:val="0"/>
                <w:numId w:val="10"/>
              </w:numPr>
              <w:spacing w:before="0" w:after="0"/>
              <w:jc w:val="left"/>
            </w:pPr>
            <w:r w:rsidRPr="009841AB">
              <w:t>Nav ņemts vērā. Detalizētāka mācību procesa norise būtu jāapskata izglītības plānošanas dokumentos.</w:t>
            </w:r>
          </w:p>
          <w:p w14:paraId="3427D988" w14:textId="77777777" w:rsidR="00FE0078" w:rsidRPr="009841AB" w:rsidRDefault="00FE0078" w:rsidP="000C28AE">
            <w:pPr>
              <w:pStyle w:val="naisc"/>
              <w:numPr>
                <w:ilvl w:val="0"/>
                <w:numId w:val="10"/>
              </w:numPr>
              <w:spacing w:before="0" w:after="0"/>
              <w:jc w:val="left"/>
            </w:pPr>
            <w:r w:rsidRPr="009841AB">
              <w:t xml:space="preserve">Ņemts vērā, papildināts ar teikumu. Mācību līdzekļu (tai skaitā audiovizuālo) būtu risināms tādā veidā, ka autoriem tiktu </w:t>
            </w:r>
            <w:r w:rsidRPr="009841AB">
              <w:lastRenderedPageBreak/>
              <w:t>samaksāts par darba izveidi ar nosacījumu, ka turpmāka darba izmantošana visai sabiedrībai ir bez maksas. Proti, vispārējās izglītības programmas visi materiāli un video stundas būtu pieejamas elektroniski ikvienam bez papildus samaksas. Jāmaksā būtu tikai par attiecīgo materiālu druku, ja tas ir nepieciešams</w:t>
            </w:r>
          </w:p>
          <w:p w14:paraId="77D10BAC" w14:textId="77777777" w:rsidR="00FE0078" w:rsidRPr="009841AB" w:rsidRDefault="00FE0078" w:rsidP="00FE0078">
            <w:pPr>
              <w:pStyle w:val="naisc"/>
              <w:spacing w:before="0" w:after="0"/>
              <w:jc w:val="left"/>
            </w:pPr>
            <w:r w:rsidRPr="009841AB">
              <w:t xml:space="preserve">Ņemts vērā, ka atbalstāma būtu tiešsaistes stundu ierakstīšana un izmantošana, bet tikai iestādes iekšienē (personas datu aizsardzība, pedagogu intelektuālais </w:t>
            </w:r>
            <w:r w:rsidRPr="009841AB">
              <w:lastRenderedPageBreak/>
              <w:t>īpašums), papildināt sadaļu ar šādu saturu: “Mācību līdzekļu (tai skaitā audiovizuālo) būtu risināms tādā veidā, ka autoriem tiktu samaksāts par darba izveidi ar nosacījumu, ka turpmāka darba izmantošana visai sabiedrībai ir bez maksas. Proti, vispārējās izglītības programmas visi materiāli un video stundas būtu pieejamas elektroniski ikvienam bez papildus samaksas. Jāmaksā būtu tikai par attiecīgo materiālu druku, ja tas ir nepieciešams”</w:t>
            </w:r>
          </w:p>
        </w:tc>
        <w:tc>
          <w:tcPr>
            <w:tcW w:w="3497" w:type="dxa"/>
            <w:tcBorders>
              <w:left w:val="single" w:sz="6" w:space="0" w:color="000000" w:themeColor="text1"/>
              <w:bottom w:val="single" w:sz="4" w:space="0" w:color="auto"/>
            </w:tcBorders>
            <w:shd w:val="clear" w:color="auto" w:fill="auto"/>
          </w:tcPr>
          <w:p w14:paraId="29B9BA73" w14:textId="77777777" w:rsidR="00FE0078" w:rsidRPr="009841AB" w:rsidRDefault="00FE0078" w:rsidP="00FE0078">
            <w:pPr>
              <w:pStyle w:val="naisc"/>
              <w:spacing w:before="0" w:after="0"/>
              <w:jc w:val="both"/>
            </w:pPr>
            <w:r w:rsidRPr="009841AB">
              <w:lastRenderedPageBreak/>
              <w:t xml:space="preserve">Lūdzam skatīt </w:t>
            </w:r>
            <w:proofErr w:type="spellStart"/>
            <w:r w:rsidRPr="009841AB">
              <w:t>apakšsadaļu</w:t>
            </w:r>
            <w:proofErr w:type="spellEnd"/>
            <w:r w:rsidRPr="009841AB">
              <w:t xml:space="preserve"> 4.4.13.</w:t>
            </w:r>
          </w:p>
        </w:tc>
      </w:tr>
      <w:tr w:rsidR="00FE0078" w:rsidRPr="009841AB" w14:paraId="00163FC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0B48856" w14:textId="77777777" w:rsidR="00FE0078" w:rsidRPr="009841AB" w:rsidRDefault="00673FAB" w:rsidP="00FE0078">
            <w:pPr>
              <w:pStyle w:val="naisc"/>
              <w:spacing w:before="0" w:after="0"/>
            </w:pPr>
            <w:r>
              <w:lastRenderedPageBreak/>
              <w:t>463</w:t>
            </w:r>
          </w:p>
        </w:tc>
        <w:tc>
          <w:tcPr>
            <w:tcW w:w="2427" w:type="dxa"/>
            <w:tcBorders>
              <w:left w:val="single" w:sz="6" w:space="0" w:color="000000" w:themeColor="text1"/>
              <w:bottom w:val="single" w:sz="4" w:space="0" w:color="auto"/>
            </w:tcBorders>
            <w:shd w:val="clear" w:color="auto" w:fill="auto"/>
          </w:tcPr>
          <w:p w14:paraId="78DF0383" w14:textId="77777777" w:rsidR="00FE0078" w:rsidRPr="009841AB" w:rsidRDefault="00FE0078" w:rsidP="00FE0078">
            <w:pPr>
              <w:pStyle w:val="naisc"/>
              <w:spacing w:before="0" w:after="0"/>
              <w:jc w:val="left"/>
            </w:pPr>
            <w:r w:rsidRPr="009841AB">
              <w:t>4.4. sadaļa</w:t>
            </w:r>
          </w:p>
        </w:tc>
        <w:tc>
          <w:tcPr>
            <w:tcW w:w="5427" w:type="dxa"/>
            <w:tcBorders>
              <w:left w:val="single" w:sz="6" w:space="0" w:color="000000" w:themeColor="text1"/>
              <w:bottom w:val="single" w:sz="4" w:space="0" w:color="auto"/>
            </w:tcBorders>
            <w:shd w:val="clear" w:color="auto" w:fill="auto"/>
          </w:tcPr>
          <w:p w14:paraId="1E96A23E" w14:textId="77777777" w:rsidR="00FE0078" w:rsidRPr="009841AB" w:rsidRDefault="00FE0078" w:rsidP="00FE0078">
            <w:pPr>
              <w:ind w:right="12"/>
              <w:jc w:val="both"/>
            </w:pPr>
            <w:r w:rsidRPr="009841AB">
              <w:t xml:space="preserve">10. Nepieciešams ieguldīt finansējumu arhīva un bibliotēku fonda </w:t>
            </w:r>
            <w:proofErr w:type="spellStart"/>
            <w:r w:rsidRPr="009841AB">
              <w:t>digitalizācijā</w:t>
            </w:r>
            <w:proofErr w:type="spellEnd"/>
            <w:r w:rsidRPr="009841AB">
              <w:t xml:space="preserve">, lai mazinātu fondu lietotāju (Rīgas un lauku teritoriju iedzīvotāju) nevienlīdzību. Sniegt iespēju jebkuram Latvijas iedzīvotājam virtuāli apmeklēt dažādas iestādes un autorizējoties sistēmā, saņemt sev vēlamos materiālus. Šobrīd ir ļoti daudz materiālu, kas lietojami tikai lasītavās un pieejami uz vietas, kas rada apgrūtinājumu iedzīvotājiem, kas dzīvo ārpus Rīgas. Jādod iespēja skolēniem, studentiem, kā arī vienkāršiem interesentiem, autorizējoties noteiktā sistēmā, pilnvērtīgi un par adekvātu samaksu pētīt valstī esošos </w:t>
            </w:r>
            <w:r w:rsidRPr="009841AB">
              <w:lastRenderedPageBreak/>
              <w:t xml:space="preserve">materiālus skolēnu zinātniski pētniecisko darbu vai citu </w:t>
            </w:r>
            <w:proofErr w:type="spellStart"/>
            <w:r w:rsidRPr="009841AB">
              <w:t>autordarbu</w:t>
            </w:r>
            <w:proofErr w:type="spellEnd"/>
            <w:r w:rsidRPr="009841AB">
              <w:t xml:space="preserve"> izstrādei.</w:t>
            </w:r>
          </w:p>
        </w:tc>
        <w:tc>
          <w:tcPr>
            <w:tcW w:w="2480" w:type="dxa"/>
            <w:tcBorders>
              <w:left w:val="single" w:sz="6" w:space="0" w:color="000000" w:themeColor="text1"/>
              <w:bottom w:val="single" w:sz="4" w:space="0" w:color="auto"/>
            </w:tcBorders>
            <w:shd w:val="clear" w:color="auto" w:fill="auto"/>
          </w:tcPr>
          <w:p w14:paraId="5022640C"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lastRenderedPageBreak/>
              <w:t>Panākta vienošanās</w:t>
            </w:r>
          </w:p>
          <w:p w14:paraId="4E49C1E9" w14:textId="77777777" w:rsidR="00FE0078" w:rsidRPr="009841AB" w:rsidRDefault="00FE0078" w:rsidP="00FE0078">
            <w:pPr>
              <w:pStyle w:val="naisc"/>
              <w:spacing w:before="0" w:after="0"/>
              <w:jc w:val="left"/>
            </w:pPr>
            <w:r w:rsidRPr="009841AB">
              <w:t>Šī jautājuma risinājums pamatā nav tehnoloģisks, bet tiesisks. Pamatā problēma ir autoru tiesības. Šis jautājums būtu risināms Kultūras mantojuma plānošanas dokumentos.</w:t>
            </w:r>
          </w:p>
        </w:tc>
        <w:tc>
          <w:tcPr>
            <w:tcW w:w="3497" w:type="dxa"/>
            <w:tcBorders>
              <w:left w:val="single" w:sz="6" w:space="0" w:color="000000" w:themeColor="text1"/>
              <w:bottom w:val="single" w:sz="4" w:space="0" w:color="auto"/>
            </w:tcBorders>
            <w:shd w:val="clear" w:color="auto" w:fill="auto"/>
          </w:tcPr>
          <w:p w14:paraId="7EA0F64F" w14:textId="77777777" w:rsidR="00FE0078" w:rsidRPr="009841AB" w:rsidRDefault="00FE0078" w:rsidP="00FE0078">
            <w:pPr>
              <w:pStyle w:val="naisc"/>
              <w:spacing w:before="0" w:after="0"/>
              <w:jc w:val="both"/>
            </w:pPr>
          </w:p>
        </w:tc>
      </w:tr>
      <w:tr w:rsidR="00022351" w:rsidRPr="009841AB" w14:paraId="3D8D9B6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709920D6" w14:textId="77777777" w:rsidR="00022351" w:rsidRPr="009841AB" w:rsidRDefault="00022351" w:rsidP="00FE0078">
            <w:pPr>
              <w:pStyle w:val="naisc"/>
              <w:spacing w:before="0" w:after="0"/>
              <w:jc w:val="both"/>
            </w:pPr>
            <w:r>
              <w:rPr>
                <w:b/>
                <w:bCs/>
                <w:lang w:eastAsia="en-US"/>
              </w:rPr>
              <w:t>Aizsardzības</w:t>
            </w:r>
            <w:r w:rsidRPr="009841AB">
              <w:rPr>
                <w:b/>
                <w:bCs/>
                <w:lang w:eastAsia="en-US"/>
              </w:rPr>
              <w:t xml:space="preserve"> ministrijas </w:t>
            </w:r>
            <w:r>
              <w:rPr>
                <w:b/>
                <w:bCs/>
                <w:lang w:eastAsia="en-US"/>
              </w:rPr>
              <w:t>30</w:t>
            </w:r>
            <w:r w:rsidRPr="009841AB">
              <w:rPr>
                <w:b/>
                <w:bCs/>
                <w:lang w:eastAsia="en-US"/>
              </w:rPr>
              <w:t>.0</w:t>
            </w:r>
            <w:r>
              <w:rPr>
                <w:b/>
                <w:bCs/>
                <w:lang w:eastAsia="en-US"/>
              </w:rPr>
              <w:t>4</w:t>
            </w:r>
            <w:r w:rsidRPr="009841AB">
              <w:rPr>
                <w:b/>
                <w:bCs/>
                <w:lang w:eastAsia="en-US"/>
              </w:rPr>
              <w:t>.2021. atzinums:</w:t>
            </w:r>
          </w:p>
        </w:tc>
      </w:tr>
      <w:tr w:rsidR="00022351" w:rsidRPr="009841AB" w14:paraId="10F53ED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C8F374C" w14:textId="77777777" w:rsidR="00022351" w:rsidRPr="009841AB" w:rsidRDefault="00E93DA9" w:rsidP="00FE0078">
            <w:pPr>
              <w:pStyle w:val="naisc"/>
              <w:spacing w:before="0" w:after="0"/>
            </w:pPr>
            <w:r>
              <w:t>467</w:t>
            </w:r>
          </w:p>
        </w:tc>
        <w:tc>
          <w:tcPr>
            <w:tcW w:w="2427" w:type="dxa"/>
            <w:tcBorders>
              <w:left w:val="single" w:sz="6" w:space="0" w:color="000000" w:themeColor="text1"/>
              <w:bottom w:val="single" w:sz="4" w:space="0" w:color="auto"/>
            </w:tcBorders>
            <w:shd w:val="clear" w:color="auto" w:fill="auto"/>
          </w:tcPr>
          <w:p w14:paraId="1D495500" w14:textId="77777777" w:rsidR="00022351" w:rsidRPr="009841AB" w:rsidRDefault="00022351" w:rsidP="00FE0078">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214E942E" w14:textId="77777777" w:rsidR="00022351" w:rsidRPr="009841AB" w:rsidRDefault="00022351" w:rsidP="00FE0078">
            <w:pPr>
              <w:ind w:right="12"/>
              <w:jc w:val="both"/>
            </w:pPr>
            <w:r>
              <w:t xml:space="preserve">1. </w:t>
            </w:r>
            <w:r w:rsidRPr="00022351">
              <w:t xml:space="preserve">Rīcības virzienā “Datu pārvaldība, atvēršana un analīze” (nodaļa 4.4.2.) tiek runāts par ģeotelpisko datu apmaiņas platformu, taču piemēru uzskaitījums ir par šauru. Piemēram, netiek pieminēta pastāvīgo globālās pozicionēšanas bāzes staciju sistēma “Latvijas Pozicionēšanas sistēma” (turpmāk – </w:t>
            </w:r>
            <w:proofErr w:type="spellStart"/>
            <w:r w:rsidRPr="00022351">
              <w:t>LatPos</w:t>
            </w:r>
            <w:proofErr w:type="spellEnd"/>
            <w:r w:rsidRPr="00022351">
              <w:t>), kas ir nozīmīga gan ceļu būvē, gan lauksaimniecības tehnikas un sējumu pārvaldībai, gan transporta loģistikai.</w:t>
            </w:r>
          </w:p>
        </w:tc>
        <w:tc>
          <w:tcPr>
            <w:tcW w:w="2480" w:type="dxa"/>
            <w:tcBorders>
              <w:left w:val="single" w:sz="6" w:space="0" w:color="000000" w:themeColor="text1"/>
              <w:bottom w:val="single" w:sz="4" w:space="0" w:color="auto"/>
            </w:tcBorders>
            <w:shd w:val="clear" w:color="auto" w:fill="auto"/>
          </w:tcPr>
          <w:p w14:paraId="5E975E82" w14:textId="77777777" w:rsidR="00C857FC" w:rsidRDefault="00C857FC" w:rsidP="00C857FC">
            <w:pPr>
              <w:pStyle w:val="naisc"/>
              <w:spacing w:before="0" w:after="0"/>
              <w:jc w:val="left"/>
              <w:rPr>
                <w:b/>
                <w:bCs/>
              </w:rPr>
            </w:pPr>
            <w:r>
              <w:rPr>
                <w:b/>
                <w:bCs/>
              </w:rPr>
              <w:t>Ņemts vērā</w:t>
            </w:r>
          </w:p>
          <w:p w14:paraId="70118B19" w14:textId="77777777" w:rsidR="00022351" w:rsidRPr="009841AB" w:rsidRDefault="00022351"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6C12312B" w14:textId="77777777" w:rsidR="00022351" w:rsidRPr="009841AB" w:rsidRDefault="00C857FC" w:rsidP="00FE0078">
            <w:pPr>
              <w:pStyle w:val="naisc"/>
              <w:spacing w:before="0" w:after="0"/>
              <w:jc w:val="both"/>
            </w:pPr>
            <w:r>
              <w:t xml:space="preserve">Lūdzu skatīt papildinājumus 4. pielikuma 4.4.4. sadaļā. </w:t>
            </w:r>
          </w:p>
        </w:tc>
      </w:tr>
      <w:tr w:rsidR="00022351" w:rsidRPr="009841AB" w14:paraId="26D6DDC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B77F667" w14:textId="77777777" w:rsidR="00022351" w:rsidRPr="009841AB" w:rsidRDefault="00E93DA9" w:rsidP="00FE0078">
            <w:pPr>
              <w:pStyle w:val="naisc"/>
              <w:spacing w:before="0" w:after="0"/>
            </w:pPr>
            <w:r>
              <w:t>468</w:t>
            </w:r>
          </w:p>
        </w:tc>
        <w:tc>
          <w:tcPr>
            <w:tcW w:w="2427" w:type="dxa"/>
            <w:tcBorders>
              <w:left w:val="single" w:sz="6" w:space="0" w:color="000000" w:themeColor="text1"/>
              <w:bottom w:val="single" w:sz="4" w:space="0" w:color="auto"/>
            </w:tcBorders>
            <w:shd w:val="clear" w:color="auto" w:fill="auto"/>
          </w:tcPr>
          <w:p w14:paraId="3434876A" w14:textId="77777777" w:rsidR="00022351" w:rsidRPr="009841AB" w:rsidRDefault="00022351" w:rsidP="00FE0078">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5E3BB79C" w14:textId="77777777" w:rsidR="00022351" w:rsidRPr="009841AB" w:rsidRDefault="00022351" w:rsidP="00FE0078">
            <w:pPr>
              <w:ind w:right="12"/>
              <w:jc w:val="both"/>
            </w:pPr>
            <w:r>
              <w:t xml:space="preserve">2. </w:t>
            </w:r>
            <w:r w:rsidRPr="00022351">
              <w:t xml:space="preserve">Rīcības virziena “Fiziskās telpas pārvaldība, vides pārvaldības un attīstības plānošanas digitālā transformācija” (nodaļa 4.4.4.) nepieciešamās rīcības otrajā punktā minētais nav iespējams, jo katrai organizācijai ir savi biznesa procesi, savas tematiskās datu kopas, kas tos nodrošina, kā arī savi pieejamie resursi infrastruktūras izveidei. Piemēram, Latvijas Ģeotelpiskās informācijas aģentūras (turpmāk – LĢIA) sistēmā bez ESRI </w:t>
            </w:r>
            <w:proofErr w:type="spellStart"/>
            <w:r w:rsidRPr="00022351">
              <w:t>ArcGIS</w:t>
            </w:r>
            <w:proofErr w:type="spellEnd"/>
            <w:r w:rsidRPr="00022351">
              <w:t xml:space="preserve"> platformas darbojas vairākas citas. </w:t>
            </w:r>
            <w:proofErr w:type="spellStart"/>
            <w:r w:rsidRPr="00022351">
              <w:t>LatPos</w:t>
            </w:r>
            <w:proofErr w:type="spellEnd"/>
            <w:r w:rsidRPr="00022351">
              <w:t xml:space="preserve"> funkcionalitāti nav iespējams integrēt nevienā no jau esošajām. Šis punkts varētu tikt attiecināts tikai uz gadījumu, ja vairākas iestādes nodarbojas ar līdzīgu datu sagatavošanu (piemēram, transporta tīkls, hidrogrāfija), tādā gadījumā varētu tikt veidota centrālā datu krātuve, kas nodrošina ģeotelpisko datu vienotu ģeometrisko izpildījumu, bet par papildu informāciju (atribūtiku) atbild kompetentās iestādes.</w:t>
            </w:r>
          </w:p>
        </w:tc>
        <w:tc>
          <w:tcPr>
            <w:tcW w:w="2480" w:type="dxa"/>
            <w:tcBorders>
              <w:left w:val="single" w:sz="6" w:space="0" w:color="000000" w:themeColor="text1"/>
              <w:bottom w:val="single" w:sz="4" w:space="0" w:color="auto"/>
            </w:tcBorders>
            <w:shd w:val="clear" w:color="auto" w:fill="auto"/>
          </w:tcPr>
          <w:p w14:paraId="33FFCE2A" w14:textId="77777777" w:rsidR="00022351" w:rsidRPr="009841AB" w:rsidRDefault="00C857FC" w:rsidP="00FE0078">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7794E9B6" w14:textId="77777777" w:rsidR="00022351" w:rsidRPr="009841AB" w:rsidRDefault="00C857FC" w:rsidP="00FE0078">
            <w:pPr>
              <w:pStyle w:val="naisc"/>
              <w:spacing w:before="0" w:after="0"/>
              <w:jc w:val="both"/>
            </w:pPr>
            <w:r>
              <w:t>Lūdzu skatīt papildinājumus 4.4.4. sadaļas Nepieciešamā rīcība 2.3. apakšpunktā.</w:t>
            </w:r>
          </w:p>
        </w:tc>
      </w:tr>
      <w:tr w:rsidR="00022351" w:rsidRPr="009841AB" w14:paraId="120FBFF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C063205" w14:textId="77777777" w:rsidR="00022351" w:rsidRPr="009841AB" w:rsidRDefault="00E93DA9" w:rsidP="00FE0078">
            <w:pPr>
              <w:pStyle w:val="naisc"/>
              <w:spacing w:before="0" w:after="0"/>
            </w:pPr>
            <w:r>
              <w:t>469</w:t>
            </w:r>
          </w:p>
        </w:tc>
        <w:tc>
          <w:tcPr>
            <w:tcW w:w="2427" w:type="dxa"/>
            <w:tcBorders>
              <w:left w:val="single" w:sz="6" w:space="0" w:color="000000" w:themeColor="text1"/>
              <w:bottom w:val="single" w:sz="4" w:space="0" w:color="auto"/>
            </w:tcBorders>
            <w:shd w:val="clear" w:color="auto" w:fill="auto"/>
          </w:tcPr>
          <w:p w14:paraId="34B9BBCA" w14:textId="77777777" w:rsidR="00022351" w:rsidRPr="009841AB" w:rsidRDefault="00022351" w:rsidP="00FE0078">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54660348" w14:textId="77777777" w:rsidR="00022351" w:rsidRDefault="00022351" w:rsidP="00022351">
            <w:pPr>
              <w:ind w:right="12"/>
              <w:jc w:val="both"/>
            </w:pPr>
            <w:r>
              <w:t xml:space="preserve">3. Projektā nav atrodams pamatojums, kāpēc ģeotelpiskie risinājumi ir ietverti tikai rīcības virzienā “Vides pārvaldības un attīstības plānošanas </w:t>
            </w:r>
            <w:proofErr w:type="spellStart"/>
            <w:r>
              <w:t>digitalizācija</w:t>
            </w:r>
            <w:proofErr w:type="spellEnd"/>
            <w:r>
              <w:t xml:space="preserve">” (nodaļa 4.4.4.), sašaurinot ģeotelpisko datu spektru un neievērojot Eiropas Parlamenta un </w:t>
            </w:r>
            <w:r>
              <w:lastRenderedPageBreak/>
              <w:t>Padomes Direktīvas 2007/2/EK (2007. gada 14. marts), ar ko izveido Telpiskās informācijas infrastruktūru Eiropas Kopienā (turpmāk – INSPIRE direktīva) I, II, un III pielikumos minētās ģeotelpisko datu kopas un ar tām saistītās tautsaimniecības nozares.</w:t>
            </w:r>
          </w:p>
          <w:p w14:paraId="6898C542" w14:textId="77777777" w:rsidR="00022351" w:rsidRDefault="00022351" w:rsidP="00022351">
            <w:pPr>
              <w:ind w:right="12"/>
              <w:jc w:val="both"/>
            </w:pPr>
            <w:r>
              <w:t xml:space="preserve">Vēlamies norādīt, ka ar INSPIRE direktīvu un Eiropas Parlamenta un Padomes 2003. gada 17. novembra direktīvu 2003/98/EK par valsts sektora informācijas </w:t>
            </w:r>
            <w:proofErr w:type="spellStart"/>
            <w:r>
              <w:t>atkalizmantošanu</w:t>
            </w:r>
            <w:proofErr w:type="spellEnd"/>
            <w:r>
              <w:t xml:space="preserve"> prasības ir pārņemtas Ģeotelpiskās informācijas likumā (turpmāk - ĢIL), kas stājās spēkā 2010. gada 13. janvārī, tiek izveidota ģeotelpiskās informācijas infrastruktūra.</w:t>
            </w:r>
          </w:p>
          <w:p w14:paraId="47D46897" w14:textId="77777777" w:rsidR="00022351" w:rsidRDefault="00022351" w:rsidP="00022351">
            <w:pPr>
              <w:ind w:right="12"/>
              <w:jc w:val="both"/>
            </w:pPr>
            <w:r>
              <w:t xml:space="preserve">Sagatavojot Projektu nav ņemts vērā, ka ģeotelpiskās informācijas infrastruktūra jau ir izveidota un, lai nodrošinātu šai infrastruktūrā ietverto ģeotelpisko datu kopu un to metadatu pieejamību lietotājiem, ir izveidots Valsts vienotais ģeotelpiskās informācijas portāls (turpmāk – </w:t>
            </w:r>
            <w:proofErr w:type="spellStart"/>
            <w:r>
              <w:t>Ģeoportāls</w:t>
            </w:r>
            <w:proofErr w:type="spellEnd"/>
            <w:r>
              <w:t>), kura pārzinis ir Valsts reģionālās attīstības aģentūra.</w:t>
            </w:r>
          </w:p>
          <w:p w14:paraId="3ABD4D1C" w14:textId="77777777" w:rsidR="00022351" w:rsidRDefault="00022351" w:rsidP="00022351">
            <w:pPr>
              <w:ind w:right="12"/>
              <w:jc w:val="both"/>
            </w:pPr>
            <w:proofErr w:type="spellStart"/>
            <w:r>
              <w:t>Ģeoinformātika</w:t>
            </w:r>
            <w:proofErr w:type="spellEnd"/>
            <w:r>
              <w:t xml:space="preserve"> mūsdienās ir viens no visu tautsaimniecības nozaru stūrakmeņiem, taču šo datu un datu analīžu tehnoloģiju nozīmība ir uzrādīta tikai vienā Projekta nodaļā. Piemēram, Projekta izglītības jautājumiem veltītajā nodaļā netiek pieminēta </w:t>
            </w:r>
            <w:proofErr w:type="spellStart"/>
            <w:r>
              <w:t>pratības</w:t>
            </w:r>
            <w:proofErr w:type="spellEnd"/>
            <w:r>
              <w:t xml:space="preserve"> nepieciešamība strādāt un analizēt ģeotelpiskos datus un neviena augstskola Latvijā šobrīd nesagatavo </w:t>
            </w:r>
            <w:proofErr w:type="spellStart"/>
            <w:r>
              <w:t>ģeoinformātikas</w:t>
            </w:r>
            <w:proofErr w:type="spellEnd"/>
            <w:r>
              <w:t xml:space="preserve"> speciālistus. </w:t>
            </w:r>
            <w:proofErr w:type="spellStart"/>
            <w:r>
              <w:t>Ģeoinformātika</w:t>
            </w:r>
            <w:proofErr w:type="spellEnd"/>
            <w:r>
              <w:t>, ģeotelpiskie dati un zināšanas par tiem ir jāuzsver arī Projekta nodaļās, kas apskata sabiedrisko drošību un kārtību, tieslietas, sabiedrības veselību un sociālo labklājību, kultūras mantojuma saglabāšanu un attīstību digitālajā vidē.</w:t>
            </w:r>
          </w:p>
          <w:p w14:paraId="0B44065D" w14:textId="77777777" w:rsidR="00022351" w:rsidRPr="009841AB" w:rsidRDefault="00022351" w:rsidP="00022351">
            <w:pPr>
              <w:ind w:right="12"/>
              <w:jc w:val="both"/>
            </w:pPr>
            <w:r>
              <w:t xml:space="preserve">Latvijas Ģeotelpiskās informācijas aģentūras ieskatā Projekts nav harmonizēts ar normatīvajiem aktiem </w:t>
            </w:r>
            <w:r>
              <w:lastRenderedPageBreak/>
              <w:t>ģeotelpiskās informācijas jomā un tam ir nepieciešami būtiski labojumi. Aģentūra secina, ka Projekts pašreizējā redakcijā nerada pamatu jaunas valsts ģeotelpiskās informācijas attīstības koncepcijas izstrādei (uzdevums U4.4.4.-1).</w:t>
            </w:r>
          </w:p>
        </w:tc>
        <w:tc>
          <w:tcPr>
            <w:tcW w:w="2480" w:type="dxa"/>
            <w:tcBorders>
              <w:left w:val="single" w:sz="6" w:space="0" w:color="000000" w:themeColor="text1"/>
              <w:bottom w:val="single" w:sz="4" w:space="0" w:color="auto"/>
            </w:tcBorders>
            <w:shd w:val="clear" w:color="auto" w:fill="auto"/>
          </w:tcPr>
          <w:p w14:paraId="4BB4D36F" w14:textId="77777777" w:rsidR="00C857FC" w:rsidRDefault="00C857FC" w:rsidP="00C857FC">
            <w:pPr>
              <w:pStyle w:val="naisc"/>
              <w:spacing w:before="0" w:after="0"/>
              <w:jc w:val="left"/>
              <w:rPr>
                <w:b/>
                <w:bCs/>
              </w:rPr>
            </w:pPr>
            <w:r>
              <w:rPr>
                <w:b/>
                <w:bCs/>
              </w:rPr>
              <w:lastRenderedPageBreak/>
              <w:t xml:space="preserve">Ņemts vērā </w:t>
            </w:r>
          </w:p>
          <w:p w14:paraId="73202542" w14:textId="77777777" w:rsidR="00022351" w:rsidRPr="009752AA" w:rsidRDefault="00C857FC" w:rsidP="00FE0078">
            <w:pPr>
              <w:pStyle w:val="naisc"/>
              <w:spacing w:before="0" w:after="0"/>
              <w:jc w:val="left"/>
            </w:pPr>
            <w:r w:rsidRPr="009752AA">
              <w:t>Precizēts sadaļas 4.4.4 tvērums un nosaukums</w:t>
            </w:r>
            <w:r>
              <w:t xml:space="preserve">. Esošā situācijas apraksts 4. </w:t>
            </w:r>
            <w:r>
              <w:t xml:space="preserve">pielikumā ietver atsauces uz esošajiem risinājumiem, t.sk. </w:t>
            </w:r>
            <w:proofErr w:type="spellStart"/>
            <w:r>
              <w:t>Ģeoportālu</w:t>
            </w:r>
            <w:proofErr w:type="spellEnd"/>
            <w:r>
              <w:t>, kā arī paredzētā rīcība neparedz izveidot, bet arī attīstīt esošo Ģeotelpiskās informācijas infrastruktūru un platformas.</w:t>
            </w:r>
          </w:p>
        </w:tc>
        <w:tc>
          <w:tcPr>
            <w:tcW w:w="3497" w:type="dxa"/>
            <w:tcBorders>
              <w:left w:val="single" w:sz="6" w:space="0" w:color="000000" w:themeColor="text1"/>
              <w:bottom w:val="single" w:sz="4" w:space="0" w:color="auto"/>
            </w:tcBorders>
            <w:shd w:val="clear" w:color="auto" w:fill="auto"/>
          </w:tcPr>
          <w:p w14:paraId="3342504F" w14:textId="77777777" w:rsidR="00022351" w:rsidRPr="009841AB" w:rsidRDefault="00C857FC" w:rsidP="00FE0078">
            <w:pPr>
              <w:pStyle w:val="naisc"/>
              <w:spacing w:before="0" w:after="0"/>
              <w:jc w:val="both"/>
            </w:pPr>
            <w:r>
              <w:lastRenderedPageBreak/>
              <w:t>Skat. rīcības virzienu 4.4.4., kā arī 4. pielikuma sadaļu 4.4.4.</w:t>
            </w:r>
          </w:p>
        </w:tc>
      </w:tr>
      <w:tr w:rsidR="00FC4483" w:rsidRPr="009841AB" w14:paraId="0C1B4C1B"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14340D8" w14:textId="77777777" w:rsidR="00FC4483" w:rsidRPr="00FC4483" w:rsidRDefault="00FC4483" w:rsidP="00FE0078">
            <w:pPr>
              <w:pStyle w:val="naisc"/>
              <w:spacing w:before="0" w:after="0"/>
              <w:jc w:val="both"/>
              <w:rPr>
                <w:b/>
                <w:bCs/>
              </w:rPr>
            </w:pPr>
            <w:r w:rsidRPr="00FC4483">
              <w:rPr>
                <w:b/>
                <w:bCs/>
              </w:rPr>
              <w:lastRenderedPageBreak/>
              <w:t>Datu valsts inspekcijas 30.04.2021. atzinums:</w:t>
            </w:r>
          </w:p>
        </w:tc>
      </w:tr>
      <w:tr w:rsidR="00FC4483" w:rsidRPr="009841AB" w14:paraId="7BCCC49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E434CAE" w14:textId="77777777" w:rsidR="00FC4483" w:rsidRPr="009841AB" w:rsidRDefault="00E93DA9" w:rsidP="00C857FC">
            <w:r>
              <w:t>470</w:t>
            </w:r>
          </w:p>
        </w:tc>
        <w:tc>
          <w:tcPr>
            <w:tcW w:w="2427" w:type="dxa"/>
            <w:tcBorders>
              <w:left w:val="single" w:sz="6" w:space="0" w:color="000000" w:themeColor="text1"/>
              <w:bottom w:val="single" w:sz="4" w:space="0" w:color="auto"/>
            </w:tcBorders>
            <w:shd w:val="clear" w:color="auto" w:fill="auto"/>
          </w:tcPr>
          <w:p w14:paraId="46E155E9" w14:textId="77777777" w:rsidR="00FC4483" w:rsidRPr="009841AB" w:rsidRDefault="00FC4483" w:rsidP="00C857FC">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4DA9B1A9" w14:textId="77777777" w:rsidR="00FC4483" w:rsidRDefault="00FC4483" w:rsidP="00C857FC">
            <w:r>
              <w:t>[1] Izziņas par atzinumos sniegtajiem iebildumiem par Pamatnostādņu projektu ailē Nr.330, 4.4.sadaļa “Priekšlikumi” (196.-197.lpp.) izvirzīti divi priekšlikumi:</w:t>
            </w:r>
          </w:p>
          <w:p w14:paraId="021172AB" w14:textId="77777777" w:rsidR="00FC4483" w:rsidRDefault="00FC4483" w:rsidP="00C857FC">
            <w:r>
              <w:t xml:space="preserve">“Pamatnostādņu projekta </w:t>
            </w:r>
            <w:r w:rsidRPr="0086637F">
              <w:t>4.4.2.2.</w:t>
            </w:r>
            <w:r>
              <w:t xml:space="preserve"> Rīcības </w:t>
            </w:r>
            <w:proofErr w:type="spellStart"/>
            <w:r>
              <w:t>apakšvirzienā</w:t>
            </w:r>
            <w:proofErr w:type="spellEnd"/>
            <w:r>
              <w:t xml:space="preserve"> “Fizisko personu datu aizsardzība” </w:t>
            </w:r>
            <w:r w:rsidRPr="0086637F">
              <w:t>ir paredzēts uzdevums “U4.4.2.2.-1”</w:t>
            </w:r>
            <w:r>
              <w:t xml:space="preserve"> – </w:t>
            </w:r>
            <w:r w:rsidRPr="0086637F">
              <w:t>Izveidot un ieviest plānu regulārai sabiedrības izpratnes veicināšanai par fizisko personu datu aizsardzību, it īpaši saistībā ar jauno digitālo tehnoloģiju izmantošanu, tajā skaitā mākslīgo intelektu un lietu internetu, un uzdevums “U4.4.5.2.-3”</w:t>
            </w:r>
            <w:r>
              <w:t xml:space="preserve"> - </w:t>
            </w:r>
            <w:r w:rsidRPr="0086637F">
              <w:t>Izstrādāt digitālu personas datu apstrādes pārkāpumu, drošības analīzes un pārvaldības risinājumu saistībā ar Vispārīgo datu aizsardzības regulu, par ko kā atbildīgā institūcija ir noteikta Tieslietu ministrija.</w:t>
            </w:r>
            <w:r>
              <w:t xml:space="preserve"> Norādām, ka saskaņā ar Datu regulas 57. panta 1. punkta “b” apakšpunktu uzraudzības iestāde veicina sabiedrības informētību un izpratni par riskiem, noteikumiem, garantijām un tiesībām saistībā ar apstrādi. Saskaņā ar Fizisko personu datu apstrādes likuma 4. panta pirmās daļas 11. punktu Datu valsts inspekcija veic pētījumus, analizē situāciju, sniedz ieteikumus un atzinumus, kā arī informē sabiedrību par aktuāliem jautājumiem savas kompetences jomās. Ņemot vērā Datu valsts inspekcijas kompetenci, lūdzam par uzdevumu </w:t>
            </w:r>
            <w:r w:rsidRPr="0086637F">
              <w:t>“U4.4.2.2.-1</w:t>
            </w:r>
            <w:r>
              <w:t xml:space="preserve">” tāpat arī uzdevumu </w:t>
            </w:r>
            <w:r w:rsidRPr="0086637F">
              <w:t>“U4.4.5.2.-3”</w:t>
            </w:r>
            <w:r>
              <w:t xml:space="preserve"> kā atbildīgo noteikt Datu valsts inspekciju. Tāpat lūdzam attiecīgi precizēt arī </w:t>
            </w:r>
            <w:r>
              <w:lastRenderedPageBreak/>
              <w:t xml:space="preserve">pamatnostādņu projekta pielikuma (2.pielikums “Rīcības virzieni un uzdevumi”) </w:t>
            </w:r>
            <w:r w:rsidRPr="0086637F">
              <w:t>4.4.2.2.-1.</w:t>
            </w:r>
            <w:r>
              <w:t xml:space="preserve"> sadaļas uzdevumu </w:t>
            </w:r>
            <w:r w:rsidRPr="0086637F">
              <w:t>“Izveidot un ieviest plānu regulārai sabiedrības izpratnes veicināšanai par fizisko personu datu aizsardzību, it īpaši saistībā ar jauno digitālo tehnoloģiju izmantošanu, tajā skaitā mākslīgo intelektu un lietu internetu”</w:t>
            </w:r>
            <w:r>
              <w:t xml:space="preserve"> sadaļu “Atbildīgās institūcijas”, precizējot, ka atbildīgā institūcija ir Datu valsts inspekcija.”</w:t>
            </w:r>
          </w:p>
          <w:p w14:paraId="7268CE87" w14:textId="77777777" w:rsidR="00FC4483" w:rsidRPr="0086637F" w:rsidRDefault="00FC4483" w:rsidP="00C857FC">
            <w:r>
              <w:t xml:space="preserve">Izziņa satur norādi, ka iebildums ir ņemts vērā, kā Pamatnostādņu projekta attiecīgā galīgā redakcija norādīta </w:t>
            </w:r>
            <w:proofErr w:type="spellStart"/>
            <w:r w:rsidRPr="0086637F">
              <w:t>apakšsadaļa</w:t>
            </w:r>
            <w:proofErr w:type="spellEnd"/>
            <w:r w:rsidRPr="0086637F">
              <w:t xml:space="preserve"> 4.4.2.2.</w:t>
            </w:r>
          </w:p>
          <w:p w14:paraId="39C80B07" w14:textId="77777777" w:rsidR="00FC4483" w:rsidRDefault="00FC4483" w:rsidP="00C857FC"/>
          <w:p w14:paraId="4A5BF15F" w14:textId="77777777" w:rsidR="00FC4483" w:rsidRDefault="00FC4483" w:rsidP="00C857FC">
            <w:r>
              <w:t xml:space="preserve">Attiecībā uz pirmo uzdevumu </w:t>
            </w:r>
            <w:r w:rsidRPr="0086637F">
              <w:t>U4.4.2.2.-1”</w:t>
            </w:r>
            <w:r>
              <w:t xml:space="preserve"> - </w:t>
            </w:r>
            <w:r w:rsidRPr="0086637F">
              <w:t xml:space="preserve">Izveidot un ieviest plānu regulārai sabiedrības izpratnes veicināšanai par fizisko personu datu aizsardzību, it īpaši saistībā ar jauno digitālo tehnoloģiju izmantošanu, tajā skaitā mākslīgo intelektu un lietu internetu, un uzdevums”, </w:t>
            </w:r>
            <w:r>
              <w:t xml:space="preserve">Inspekcija ierosina aizstāt uzdevuma </w:t>
            </w:r>
            <w:r w:rsidRPr="0086637F">
              <w:t xml:space="preserve">U4.4.2.2.-1 </w:t>
            </w:r>
            <w:r>
              <w:t xml:space="preserve">redakcijā norādīto “plānu” ar “pasākumiem”, jo nav saprotams, kas ir domāts ar “plānu”. Ierosinām uzdevumu </w:t>
            </w:r>
            <w:r w:rsidRPr="0086637F">
              <w:t xml:space="preserve">U4.4.2.2.-1 </w:t>
            </w:r>
            <w:r>
              <w:t xml:space="preserve">precizēt šādā redakcijā: </w:t>
            </w:r>
            <w:r w:rsidRPr="0086637F">
              <w:t>“Veikt pasākumus regulārai sabiedrības izpratnes veicināšanai par fizisko personu datu aizsardzību, it īpaši saistībā ar jauno digitālo tehnoloģiju izmantošanu, tajā skaitā mākslīgo intelektu un lietu internetu, un uzdevums”.</w:t>
            </w:r>
            <w:r>
              <w:t xml:space="preserve"> </w:t>
            </w:r>
          </w:p>
          <w:p w14:paraId="44479D95" w14:textId="77777777" w:rsidR="00FC4483" w:rsidRPr="0086637F" w:rsidRDefault="00FC4483" w:rsidP="00C857FC">
            <w:r w:rsidRPr="0086637F">
              <w:t xml:space="preserve">Vienlaikus vēršam uzmanību, ka </w:t>
            </w:r>
            <w:r>
              <w:t xml:space="preserve">Inspekcija, izskatot Pamatnostādņu projekta </w:t>
            </w:r>
            <w:r w:rsidRPr="0086637F">
              <w:t xml:space="preserve">4.4.2.2. </w:t>
            </w:r>
            <w:proofErr w:type="spellStart"/>
            <w:r>
              <w:t>apkšsadaļā</w:t>
            </w:r>
            <w:proofErr w:type="spellEnd"/>
            <w:r>
              <w:t xml:space="preserve"> 62.lpp.iekļauto tabulu, kas attiecas uz uzdevumu </w:t>
            </w:r>
            <w:r w:rsidRPr="0086637F">
              <w:t>U4.4.2.2.-1</w:t>
            </w:r>
            <w:r>
              <w:t>, pretēji Izziņā norādītajam, neatrod, ka Inspekcija būtu norādīta kā atbildīgā institūcija.</w:t>
            </w:r>
            <w:r w:rsidRPr="0086637F">
              <w:t xml:space="preserve"> </w:t>
            </w:r>
          </w:p>
          <w:p w14:paraId="0A752F54" w14:textId="77777777" w:rsidR="00FC4483" w:rsidRPr="0086637F" w:rsidRDefault="00FC4483" w:rsidP="00C857FC">
            <w:r>
              <w:t>Attiecībā uz</w:t>
            </w:r>
            <w:r w:rsidRPr="0086637F">
              <w:t xml:space="preserve"> </w:t>
            </w:r>
            <w:r>
              <w:t xml:space="preserve">uzdevumu </w:t>
            </w:r>
            <w:r w:rsidRPr="0086637F">
              <w:t xml:space="preserve">U4.4.2.2.-1 </w:t>
            </w:r>
            <w:r>
              <w:t xml:space="preserve">Inspekcija izsaka priekšlikumu iekļaut kā līdzatbildīgus šī uzdevuma īstenošanā – VARAM un CERT.LV (Informācijas </w:t>
            </w:r>
            <w:r w:rsidRPr="0086637F">
              <w:lastRenderedPageBreak/>
              <w:t xml:space="preserve">tehnoloģiju drošības incidentu novēršanas institūcija), ņemot vērā viņu kompetences un darbības jomas atbilstību. Proti, VARAM ir vadošā iestāde mākslīgā intelekta risinājumu attīstības un ieviešanas jautājumos. Savukārt CERT.LV viens no uzdevumiem ir uzturēt un aktualizēt informāciju par IT drošības apdraudējumiem, sniegt atbalstu valsts institūcijām Informācijas tehnoloģiju drošības jomā. Līdz ar to lūdzam atbilstoši papildināt Pamatnostādņu projekta 4.4.2.2. </w:t>
            </w:r>
            <w:proofErr w:type="spellStart"/>
            <w:r w:rsidRPr="0086637F">
              <w:t>apakšsadaļu</w:t>
            </w:r>
            <w:proofErr w:type="spellEnd"/>
            <w:r w:rsidRPr="0086637F">
              <w:t xml:space="preserve"> daļā “Līdzatbildīgie”, 62.lpp. un Pamatnostādņu projekta pielikuma (2.pielikums “Rīcības virzieni un uzdevumi”) uzdevumu U4.4.2.2.-1 sadaļā.</w:t>
            </w:r>
          </w:p>
          <w:p w14:paraId="4CA566F5" w14:textId="77777777" w:rsidR="00FC4483" w:rsidRPr="0086637F" w:rsidRDefault="00FC4483" w:rsidP="00C857FC">
            <w:r w:rsidRPr="0086637F">
              <w:t xml:space="preserve">Attiecībā uz otro uzdevumu U4.4.5.2.-3” - Izstrādāt digitālu personas datu apstrādes pārkāpumu, drošības analīzes un pārvaldības risinājumu saistībā ar Vispārīgo datu aizsardzības regulu, par ko kā atbildīgā institūcija ir noteikta Tieslietu ministrija”, izskatot Pamatnostādņu projekta 4.4.5.2.-3 </w:t>
            </w:r>
            <w:proofErr w:type="spellStart"/>
            <w:r w:rsidRPr="0086637F">
              <w:t>apakšsadaļā.iekļauto</w:t>
            </w:r>
            <w:proofErr w:type="spellEnd"/>
            <w:r w:rsidRPr="0086637F">
              <w:t xml:space="preserve"> tabulu “Uzdevumi (U)”, 79.lpp., kas attiecas uz uzdevumu U4.4.5.2.-3, pretēji Izziņā norādītajam, Inspekcija nekonstatē, ka Inspekcija būtu norādīta kā atbildīgā institūcija. </w:t>
            </w:r>
          </w:p>
        </w:tc>
        <w:tc>
          <w:tcPr>
            <w:tcW w:w="2480" w:type="dxa"/>
            <w:tcBorders>
              <w:left w:val="single" w:sz="6" w:space="0" w:color="000000" w:themeColor="text1"/>
              <w:bottom w:val="single" w:sz="4" w:space="0" w:color="auto"/>
            </w:tcBorders>
            <w:shd w:val="clear" w:color="auto" w:fill="auto"/>
          </w:tcPr>
          <w:p w14:paraId="07C81DBA"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lastRenderedPageBreak/>
              <w:t>Panākta vienošanās</w:t>
            </w:r>
          </w:p>
          <w:p w14:paraId="006B9CC0" w14:textId="52650044" w:rsidR="00FC4483" w:rsidRPr="007D44E7" w:rsidRDefault="00FC4483" w:rsidP="00C857FC">
            <w:pPr>
              <w:rPr>
                <w:b/>
              </w:rPr>
            </w:pPr>
          </w:p>
        </w:tc>
        <w:tc>
          <w:tcPr>
            <w:tcW w:w="3497" w:type="dxa"/>
            <w:tcBorders>
              <w:left w:val="single" w:sz="6" w:space="0" w:color="000000" w:themeColor="text1"/>
              <w:bottom w:val="single" w:sz="4" w:space="0" w:color="auto"/>
            </w:tcBorders>
            <w:shd w:val="clear" w:color="auto" w:fill="auto"/>
          </w:tcPr>
          <w:p w14:paraId="3B6919C3" w14:textId="77777777" w:rsidR="007D44E7" w:rsidRDefault="007D44E7" w:rsidP="0086637F">
            <w:pPr>
              <w:rPr>
                <w:lang w:eastAsia="en-US"/>
              </w:rPr>
            </w:pPr>
            <w:r>
              <w:rPr>
                <w:lang w:eastAsia="en-US"/>
              </w:rPr>
              <w:t xml:space="preserve">Lūdzam skatīt </w:t>
            </w:r>
            <w:proofErr w:type="spellStart"/>
            <w:r>
              <w:rPr>
                <w:lang w:eastAsia="en-US"/>
              </w:rPr>
              <w:t>apakšsadaļu</w:t>
            </w:r>
            <w:proofErr w:type="spellEnd"/>
            <w:r>
              <w:rPr>
                <w:lang w:eastAsia="en-US"/>
              </w:rPr>
              <w:t xml:space="preserve"> 4.4.</w:t>
            </w:r>
          </w:p>
          <w:p w14:paraId="4A0E2788" w14:textId="77777777" w:rsidR="00C857FC" w:rsidRDefault="00C857FC" w:rsidP="00C857FC">
            <w:pPr>
              <w:rPr>
                <w:lang w:eastAsia="en-US"/>
              </w:rPr>
            </w:pPr>
            <w:r w:rsidRPr="0ED69FBF">
              <w:rPr>
                <w:lang w:eastAsia="en-US"/>
              </w:rPr>
              <w:t>Atbilstoši DVI norādītajam precizēta redakcija un atbildīgā institūcija.</w:t>
            </w:r>
          </w:p>
          <w:p w14:paraId="1C0F5B9C" w14:textId="77777777" w:rsidR="00C857FC" w:rsidRDefault="00C857FC" w:rsidP="00C857FC">
            <w:pPr>
              <w:rPr>
                <w:lang w:eastAsia="en-US"/>
              </w:rPr>
            </w:pPr>
            <w:r>
              <w:t>U4.4.2.2.-1</w:t>
            </w:r>
          </w:p>
          <w:p w14:paraId="143A22ED" w14:textId="77777777" w:rsidR="00C857FC" w:rsidRDefault="00C857FC" w:rsidP="00C857FC">
            <w:pPr>
              <w:rPr>
                <w:lang w:eastAsia="en-US"/>
              </w:rPr>
            </w:pPr>
            <w:r w:rsidRPr="0ED69FBF">
              <w:rPr>
                <w:lang w:eastAsia="en-US"/>
              </w:rPr>
              <w:t>“Izveidot un ieviest pasākumu  plānu regulārai sabiedrības izpratnes veicināšanai par fizisko personu datu aizsardzību, it īpaši saistībā ar jauno digitālo tehnoloģiju izmantošanu, tajā skaitā mākslīgo intelektu un lietu internetu” . Atbildīgā institūcija DVI.</w:t>
            </w:r>
          </w:p>
          <w:p w14:paraId="155A9ADE" w14:textId="77777777" w:rsidR="00C857FC" w:rsidRDefault="00C857FC" w:rsidP="00C857FC">
            <w:r>
              <w:t>(2.pielikums “Rīcības virzieni un uzdevumi”) 4.4.2.2.-1. sadaļas uzdevuma “Izveidot un ieviest plānu regulārai sabiedrības izpratnes veicināšanai par fizisko personu datu aizsardzību, it īpaši saistībā ar jauno digitālo tehnoloģiju izmantošanu, tajā skaitā mākslīgo intelektu un lietu internetu” atbildīgā institūcija norādīta DVI.</w:t>
            </w:r>
          </w:p>
          <w:p w14:paraId="4FF3F60A" w14:textId="77777777" w:rsidR="00C857FC" w:rsidRDefault="00C857FC" w:rsidP="00C857FC"/>
          <w:p w14:paraId="5D32AABC" w14:textId="77777777" w:rsidR="00FC4483" w:rsidRPr="009841AB" w:rsidRDefault="00C857FC" w:rsidP="00C857FC">
            <w:r>
              <w:t xml:space="preserve">Paskaidrojam, ka (2.pielikumā “Rīcības virzieni un uzdevumi”) 4.4.2.2.-1. un pamatnostādņu </w:t>
            </w:r>
            <w:r>
              <w:lastRenderedPageBreak/>
              <w:t xml:space="preserve">tekstā pie U4.4.2.2.-1.  kā </w:t>
            </w:r>
            <w:proofErr w:type="spellStart"/>
            <w:r>
              <w:t>līdzadbildīgie</w:t>
            </w:r>
            <w:proofErr w:type="spellEnd"/>
            <w:r>
              <w:t xml:space="preserve"> ir norādītas visa ministrijas, līdz ar to nav nepieciešams </w:t>
            </w:r>
            <w:proofErr w:type="spellStart"/>
            <w:r>
              <w:t>atsevišķivēl</w:t>
            </w:r>
            <w:proofErr w:type="spellEnd"/>
            <w:r>
              <w:t xml:space="preserve"> uzsvērt CERT un VARAM.</w:t>
            </w:r>
          </w:p>
        </w:tc>
      </w:tr>
      <w:tr w:rsidR="00FC4483" w:rsidRPr="009841AB" w14:paraId="63024DD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99F9E76" w14:textId="77777777" w:rsidR="00FC4483" w:rsidRPr="009841AB" w:rsidRDefault="00FC4483" w:rsidP="00FE0078">
            <w:pPr>
              <w:pStyle w:val="naisc"/>
              <w:spacing w:before="0" w:after="0"/>
            </w:pPr>
          </w:p>
        </w:tc>
        <w:tc>
          <w:tcPr>
            <w:tcW w:w="2427" w:type="dxa"/>
            <w:tcBorders>
              <w:left w:val="single" w:sz="6" w:space="0" w:color="000000" w:themeColor="text1"/>
              <w:bottom w:val="single" w:sz="4" w:space="0" w:color="auto"/>
            </w:tcBorders>
            <w:shd w:val="clear" w:color="auto" w:fill="auto"/>
          </w:tcPr>
          <w:p w14:paraId="7B8F1691" w14:textId="77777777" w:rsidR="00FC4483" w:rsidRPr="009841AB" w:rsidRDefault="00FC4483" w:rsidP="00FE0078">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3B61A2B3" w14:textId="77777777" w:rsidR="00FC4483" w:rsidRPr="00FC4483" w:rsidRDefault="00FC4483" w:rsidP="00FC4483">
            <w:pPr>
              <w:jc w:val="both"/>
              <w:rPr>
                <w:b/>
                <w:bCs/>
              </w:rPr>
            </w:pPr>
            <w:r w:rsidRPr="00FC4483">
              <w:rPr>
                <w:b/>
                <w:bCs/>
              </w:rPr>
              <w:t>Priekšlikumi:</w:t>
            </w:r>
          </w:p>
        </w:tc>
        <w:tc>
          <w:tcPr>
            <w:tcW w:w="2480" w:type="dxa"/>
            <w:tcBorders>
              <w:left w:val="single" w:sz="6" w:space="0" w:color="000000" w:themeColor="text1"/>
              <w:bottom w:val="single" w:sz="4" w:space="0" w:color="auto"/>
            </w:tcBorders>
            <w:shd w:val="clear" w:color="auto" w:fill="auto"/>
          </w:tcPr>
          <w:p w14:paraId="2BAB87C4" w14:textId="77777777" w:rsidR="00FC4483" w:rsidRPr="009841AB" w:rsidRDefault="00FC4483"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6E8442C4" w14:textId="77777777" w:rsidR="00FC4483" w:rsidRPr="009841AB" w:rsidRDefault="00FC4483" w:rsidP="00FE0078">
            <w:pPr>
              <w:pStyle w:val="naisc"/>
              <w:spacing w:before="0" w:after="0"/>
              <w:jc w:val="both"/>
            </w:pPr>
          </w:p>
        </w:tc>
      </w:tr>
      <w:tr w:rsidR="00FC4483" w:rsidRPr="009841AB" w14:paraId="7EF5A10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A721071" w14:textId="77777777" w:rsidR="00FC4483" w:rsidRPr="009841AB" w:rsidRDefault="00E93DA9" w:rsidP="00FE0078">
            <w:pPr>
              <w:pStyle w:val="naisc"/>
              <w:spacing w:before="0" w:after="0"/>
            </w:pPr>
            <w:r>
              <w:t>471</w:t>
            </w:r>
          </w:p>
        </w:tc>
        <w:tc>
          <w:tcPr>
            <w:tcW w:w="2427" w:type="dxa"/>
            <w:tcBorders>
              <w:left w:val="single" w:sz="6" w:space="0" w:color="000000" w:themeColor="text1"/>
              <w:bottom w:val="single" w:sz="4" w:space="0" w:color="auto"/>
            </w:tcBorders>
            <w:shd w:val="clear" w:color="auto" w:fill="auto"/>
          </w:tcPr>
          <w:p w14:paraId="34EDB43D" w14:textId="77777777" w:rsidR="00FC4483" w:rsidRPr="009841AB" w:rsidRDefault="00FC4483" w:rsidP="00FE0078">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1E28654C" w14:textId="77777777" w:rsidR="00FC4483" w:rsidRDefault="00FC4483" w:rsidP="00FC4483">
            <w:pPr>
              <w:jc w:val="both"/>
            </w:pPr>
            <w:r>
              <w:t xml:space="preserve">[1] Pamatnostādņu projekta </w:t>
            </w:r>
            <w:r>
              <w:rPr>
                <w:b/>
                <w:bCs/>
              </w:rPr>
              <w:t>4.4.2.2.</w:t>
            </w:r>
            <w:r>
              <w:t xml:space="preserve"> </w:t>
            </w:r>
            <w:proofErr w:type="spellStart"/>
            <w:r>
              <w:t>apakšsadaļas</w:t>
            </w:r>
            <w:proofErr w:type="spellEnd"/>
            <w:r>
              <w:t xml:space="preserve"> “Rīcības </w:t>
            </w:r>
            <w:proofErr w:type="spellStart"/>
            <w:r>
              <w:t>apakšvirziens</w:t>
            </w:r>
            <w:proofErr w:type="spellEnd"/>
            <w:r>
              <w:t xml:space="preserve">: Fizisko personu datu aizsardzība”, “Nepieciešamā rīcība” 1.punktā, 61.lpp. norādīts, ka </w:t>
            </w:r>
            <w:r>
              <w:rPr>
                <w:i/>
                <w:iCs/>
              </w:rPr>
              <w:t xml:space="preserve">“Drošības elements nav skatāms atrauti no visiem pārējiem digitālās vides formēšanās elementiem. Pēc būtības </w:t>
            </w:r>
            <w:r>
              <w:rPr>
                <w:i/>
                <w:iCs/>
                <w:u w:val="single"/>
              </w:rPr>
              <w:t>personas datu</w:t>
            </w:r>
            <w:r>
              <w:rPr>
                <w:i/>
                <w:iCs/>
              </w:rPr>
              <w:t xml:space="preserve"> </w:t>
            </w:r>
            <w:r>
              <w:rPr>
                <w:i/>
                <w:iCs/>
                <w:u w:val="single"/>
              </w:rPr>
              <w:t>aizsardzības</w:t>
            </w:r>
            <w:r>
              <w:rPr>
                <w:i/>
                <w:iCs/>
              </w:rPr>
              <w:t xml:space="preserve"> </w:t>
            </w:r>
            <w:r>
              <w:rPr>
                <w:i/>
                <w:iCs/>
                <w:u w:val="single"/>
              </w:rPr>
              <w:t>principi</w:t>
            </w:r>
            <w:r>
              <w:rPr>
                <w:i/>
                <w:iCs/>
              </w:rPr>
              <w:t xml:space="preserve"> ir noteikti Regulas 5.pantā un būtisks aspekts personas datu aizsardzībā ir panākt, ka ar atbilstošāko risinājumu ir iespējams sasniegt plānoto nolūku.”</w:t>
            </w:r>
            <w:r>
              <w:t xml:space="preserve"> Ņemot vērā minētajā rindkopā norādīto, Inspekcija izsaka ierosinājumu minētās rindkopas saturā vārdu </w:t>
            </w:r>
            <w:r>
              <w:lastRenderedPageBreak/>
              <w:t xml:space="preserve">“aizsardzības” aizstāt ar vārdu </w:t>
            </w:r>
            <w:r>
              <w:rPr>
                <w:i/>
                <w:iCs/>
              </w:rPr>
              <w:t>“apstrādes”,</w:t>
            </w:r>
            <w:r>
              <w:t xml:space="preserve"> ņemot vērā, ka Vispārīgās datu aizsardzības regulas 5.pantā lietoto terminoloģiju “Personas datu apstrādes principi”.</w:t>
            </w:r>
          </w:p>
          <w:p w14:paraId="0EC2E5FC" w14:textId="77777777" w:rsidR="00FC4483" w:rsidRDefault="00FC4483" w:rsidP="00FC4483">
            <w:pPr>
              <w:jc w:val="both"/>
            </w:pPr>
          </w:p>
        </w:tc>
        <w:tc>
          <w:tcPr>
            <w:tcW w:w="2480" w:type="dxa"/>
            <w:tcBorders>
              <w:left w:val="single" w:sz="6" w:space="0" w:color="000000" w:themeColor="text1"/>
              <w:bottom w:val="single" w:sz="4" w:space="0" w:color="auto"/>
            </w:tcBorders>
            <w:shd w:val="clear" w:color="auto" w:fill="auto"/>
          </w:tcPr>
          <w:p w14:paraId="65FDB210" w14:textId="77777777" w:rsidR="00FC4483" w:rsidRPr="009841AB" w:rsidRDefault="00C857FC" w:rsidP="00FE0078">
            <w:pPr>
              <w:pStyle w:val="naisc"/>
              <w:spacing w:before="0" w:after="0"/>
              <w:jc w:val="left"/>
              <w:rPr>
                <w:b/>
                <w:bCs/>
              </w:rPr>
            </w:pPr>
            <w:r>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50A4EE85" w14:textId="77777777" w:rsidR="007D44E7" w:rsidRDefault="007D44E7" w:rsidP="00FE0078">
            <w:pPr>
              <w:pStyle w:val="naisc"/>
              <w:spacing w:before="0" w:after="0"/>
              <w:jc w:val="both"/>
            </w:pPr>
            <w:r>
              <w:t xml:space="preserve">Lūdzam skatīt </w:t>
            </w:r>
            <w:proofErr w:type="spellStart"/>
            <w:r>
              <w:t>apakšsadaļu</w:t>
            </w:r>
            <w:proofErr w:type="spellEnd"/>
            <w:r>
              <w:t xml:space="preserve"> 4.4.</w:t>
            </w:r>
          </w:p>
          <w:p w14:paraId="625F54EF" w14:textId="77777777" w:rsidR="00C857FC" w:rsidRDefault="00C857FC" w:rsidP="00C857FC">
            <w:pPr>
              <w:pStyle w:val="naisc"/>
              <w:spacing w:before="0" w:after="0"/>
              <w:jc w:val="both"/>
            </w:pPr>
            <w:r>
              <w:t>Precizēts teksts.</w:t>
            </w:r>
          </w:p>
          <w:p w14:paraId="7E4A2EE2" w14:textId="77777777" w:rsidR="00FC4483" w:rsidRPr="009841AB" w:rsidRDefault="00C857FC" w:rsidP="00FE0078">
            <w:pPr>
              <w:pStyle w:val="naisc"/>
              <w:spacing w:before="0" w:after="0"/>
              <w:jc w:val="both"/>
            </w:pPr>
            <w:r>
              <w:t xml:space="preserve">“Pēc būtības personas datu </w:t>
            </w:r>
            <w:r w:rsidRPr="0ED69FBF">
              <w:rPr>
                <w:u w:val="single"/>
              </w:rPr>
              <w:t>apstrādes</w:t>
            </w:r>
            <w:r>
              <w:t xml:space="preserve"> principi ir noteikti Regulas 5.pantā un būtisks aspekts personas datu aizsardzībā ir panākt, ka ar atbilstošāko risinājumu ir iespējams sasniegt plānoto nolūku.”</w:t>
            </w:r>
          </w:p>
        </w:tc>
      </w:tr>
      <w:tr w:rsidR="00FC4483" w:rsidRPr="009841AB" w14:paraId="4D2193D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02FF019" w14:textId="77777777" w:rsidR="00FC4483" w:rsidRPr="009841AB" w:rsidRDefault="007D44E7" w:rsidP="00FE0078">
            <w:pPr>
              <w:pStyle w:val="naisc"/>
              <w:spacing w:before="0" w:after="0"/>
            </w:pPr>
            <w:r>
              <w:t>472</w:t>
            </w:r>
          </w:p>
        </w:tc>
        <w:tc>
          <w:tcPr>
            <w:tcW w:w="2427" w:type="dxa"/>
            <w:tcBorders>
              <w:left w:val="single" w:sz="6" w:space="0" w:color="000000" w:themeColor="text1"/>
              <w:bottom w:val="single" w:sz="4" w:space="0" w:color="auto"/>
            </w:tcBorders>
            <w:shd w:val="clear" w:color="auto" w:fill="auto"/>
          </w:tcPr>
          <w:p w14:paraId="3A1AC57A" w14:textId="77777777" w:rsidR="00FC4483" w:rsidRPr="009841AB" w:rsidRDefault="00FC4483" w:rsidP="00FE0078">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30169D5B" w14:textId="77777777" w:rsidR="00FC4483" w:rsidRDefault="00FC4483" w:rsidP="00FC4483">
            <w:pPr>
              <w:jc w:val="both"/>
            </w:pPr>
            <w:r>
              <w:t xml:space="preserve">[2] Pamatnostādņu projekta Pamatnostādņu projekta </w:t>
            </w:r>
            <w:r>
              <w:rPr>
                <w:b/>
                <w:bCs/>
              </w:rPr>
              <w:t xml:space="preserve">4.4.2.2. </w:t>
            </w:r>
            <w:proofErr w:type="spellStart"/>
            <w:r>
              <w:t>apakšsadaļas</w:t>
            </w:r>
            <w:proofErr w:type="spellEnd"/>
            <w:r>
              <w:t xml:space="preserve"> “Rīcības </w:t>
            </w:r>
            <w:proofErr w:type="spellStart"/>
            <w:r>
              <w:t>apakšvirziens</w:t>
            </w:r>
            <w:proofErr w:type="spellEnd"/>
            <w:r>
              <w:t xml:space="preserve">: Fizisko personu datu aizsardzība”, “Nepieciešamā rīcība” 2.punktā otrais teikums, 61.lpp. ir izteikt šādā redakcijā </w:t>
            </w:r>
            <w:r>
              <w:rPr>
                <w:i/>
                <w:iCs/>
              </w:rPr>
              <w:t>“Drošību iezīmēt kā konkrētu pasākumu kopumu ir neizpildāms uzdevums drošības prasību mainīguma dēļ”</w:t>
            </w:r>
            <w:r>
              <w:t xml:space="preserve">. Ņemot vērā šī otrā jēgu pēc būtības, Inspekcija izsaka ierosinājumu šo teikumu izteikt šādā redakcijā: </w:t>
            </w:r>
            <w:r>
              <w:rPr>
                <w:i/>
                <w:iCs/>
              </w:rPr>
              <w:t xml:space="preserve">“Drošību iezīmēt kā kādu konkrētu pasākumu kopumu ir neiespējami, tomēr pasākumu kopumam jābūt tādam, lai tas nodrošinātu pienācīgu personas datu drošību un </w:t>
            </w:r>
            <w:r>
              <w:rPr>
                <w:i/>
                <w:iCs/>
                <w:color w:val="000000"/>
                <w:shd w:val="clear" w:color="auto" w:fill="FFFFFF"/>
              </w:rPr>
              <w:t>konfidencialitāti</w:t>
            </w:r>
            <w:r>
              <w:rPr>
                <w:rFonts w:ascii="Arial" w:hAnsi="Arial" w:cs="Arial"/>
                <w:b/>
                <w:bCs/>
                <w:i/>
                <w:iCs/>
                <w:color w:val="205090"/>
                <w:sz w:val="31"/>
                <w:szCs w:val="31"/>
                <w:shd w:val="clear" w:color="auto" w:fill="FFFFFF"/>
              </w:rPr>
              <w:t xml:space="preserve"> </w:t>
            </w:r>
            <w:r>
              <w:rPr>
                <w:i/>
                <w:iCs/>
              </w:rPr>
              <w:t>Personas datu apstrādei jānotiek viedā, kas nepieļauj neatļautu piekļuvi personas datiem vai to neatļautu izmantošanu un neatļautu piekļuvi aprīkojumam, kas izmantots apstrādei.”</w:t>
            </w:r>
            <w:r>
              <w:t xml:space="preserve"> Inspekcijas ieskatā šāda teksta redakcija vairāk atbilst Vispārīgās datu aizsardzības regulas izvirzītajiem datu apstrādes drošības nosacījumiem (Vispārīgās datu aizsardzības regulas 39.apsvērums - Personas dati būtu jāapstrādā veidā, kas nodrošina personas datu pienācīgu drošību un konfidencialitāti, tostarp nepieļaujot neatļautu piekļuvi personas datiem vai to neatļautu izmantošanu un neatļautu piekļuvi aprīkojumam, kas izmantots apstrādei).</w:t>
            </w:r>
          </w:p>
        </w:tc>
        <w:tc>
          <w:tcPr>
            <w:tcW w:w="2480" w:type="dxa"/>
            <w:tcBorders>
              <w:left w:val="single" w:sz="6" w:space="0" w:color="000000" w:themeColor="text1"/>
              <w:bottom w:val="single" w:sz="4" w:space="0" w:color="auto"/>
            </w:tcBorders>
            <w:shd w:val="clear" w:color="auto" w:fill="auto"/>
          </w:tcPr>
          <w:p w14:paraId="6E9F8333" w14:textId="7CCC5704" w:rsidR="00FC4483" w:rsidRPr="009841AB" w:rsidRDefault="00C857FC" w:rsidP="00FE0078">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78791EE1" w14:textId="77777777" w:rsidR="007D44E7" w:rsidRDefault="007D44E7" w:rsidP="00FE0078">
            <w:pPr>
              <w:pStyle w:val="naisc"/>
              <w:spacing w:before="0" w:after="0"/>
              <w:jc w:val="both"/>
            </w:pPr>
            <w:r>
              <w:t xml:space="preserve">Lūdzam skatīt </w:t>
            </w:r>
            <w:proofErr w:type="spellStart"/>
            <w:r>
              <w:t>apakšsadaļu</w:t>
            </w:r>
            <w:proofErr w:type="spellEnd"/>
            <w:r>
              <w:t xml:space="preserve"> 4.4.</w:t>
            </w:r>
          </w:p>
          <w:p w14:paraId="59A2988B" w14:textId="77777777" w:rsidR="00C857FC" w:rsidRDefault="00C857FC" w:rsidP="00C857FC">
            <w:pPr>
              <w:pStyle w:val="naisc"/>
              <w:spacing w:before="0" w:after="0"/>
              <w:jc w:val="both"/>
            </w:pPr>
            <w:r>
              <w:t>Precizēts teksts.</w:t>
            </w:r>
          </w:p>
          <w:p w14:paraId="4DC3019C" w14:textId="77777777" w:rsidR="00FC4483" w:rsidRPr="009841AB" w:rsidRDefault="00C857FC" w:rsidP="00FE0078">
            <w:pPr>
              <w:pStyle w:val="naisc"/>
              <w:spacing w:before="0" w:after="0"/>
              <w:jc w:val="both"/>
            </w:pPr>
            <w:r w:rsidRPr="0ED69FBF">
              <w:rPr>
                <w:i/>
                <w:iCs/>
              </w:rPr>
              <w:t xml:space="preserve">“Drošību iezīmēt kā kādu konkrētu pasākumu kopumu ir neiespējami, tomēr pasākumu kopumam jābūt tādam, lai tas nodrošinātu pienācīgu personas datu drošību un </w:t>
            </w:r>
            <w:r w:rsidRPr="0ED69FBF">
              <w:rPr>
                <w:i/>
                <w:iCs/>
                <w:color w:val="000000"/>
                <w:shd w:val="clear" w:color="auto" w:fill="FFFFFF"/>
              </w:rPr>
              <w:t>konfidencialitāti</w:t>
            </w:r>
            <w:r w:rsidRPr="0ED69FBF">
              <w:rPr>
                <w:rFonts w:ascii="Arial" w:hAnsi="Arial" w:cs="Arial"/>
                <w:b/>
                <w:bCs/>
                <w:i/>
                <w:iCs/>
                <w:color w:val="205090"/>
                <w:sz w:val="31"/>
                <w:szCs w:val="31"/>
                <w:shd w:val="clear" w:color="auto" w:fill="FFFFFF"/>
              </w:rPr>
              <w:t xml:space="preserve"> </w:t>
            </w:r>
            <w:r w:rsidRPr="0ED69FBF">
              <w:rPr>
                <w:i/>
                <w:iCs/>
              </w:rPr>
              <w:t>Personas datu apstrādei jānotiek viedā, kas nepieļauj neatļautu piekļuvi personas datiem vai to neatļautu izmantošanu un neatļautu piekļuvi aprīkojumam, kas izmantots apstrādei.”</w:t>
            </w:r>
          </w:p>
        </w:tc>
      </w:tr>
      <w:tr w:rsidR="00FC4483" w:rsidRPr="009841AB" w14:paraId="2E5D3A2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C31749A" w14:textId="77777777" w:rsidR="00FC4483" w:rsidRPr="009841AB" w:rsidRDefault="007D44E7" w:rsidP="00FE0078">
            <w:pPr>
              <w:pStyle w:val="naisc"/>
              <w:spacing w:before="0" w:after="0"/>
            </w:pPr>
            <w:r>
              <w:t>473</w:t>
            </w:r>
          </w:p>
        </w:tc>
        <w:tc>
          <w:tcPr>
            <w:tcW w:w="2427" w:type="dxa"/>
            <w:tcBorders>
              <w:left w:val="single" w:sz="6" w:space="0" w:color="000000" w:themeColor="text1"/>
              <w:bottom w:val="single" w:sz="4" w:space="0" w:color="auto"/>
            </w:tcBorders>
            <w:shd w:val="clear" w:color="auto" w:fill="auto"/>
          </w:tcPr>
          <w:p w14:paraId="3052F517" w14:textId="77777777" w:rsidR="00FC4483" w:rsidRPr="009841AB" w:rsidRDefault="00FC4483" w:rsidP="00FE0078">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79912F38" w14:textId="77777777" w:rsidR="00FC4483" w:rsidRDefault="00FC4483" w:rsidP="00FC4483">
            <w:pPr>
              <w:jc w:val="both"/>
            </w:pPr>
            <w:r>
              <w:t xml:space="preserve">[3] Pamatnostādņu projekta </w:t>
            </w:r>
            <w:r>
              <w:rPr>
                <w:b/>
                <w:bCs/>
              </w:rPr>
              <w:t>4.4.2.2.</w:t>
            </w:r>
            <w:r>
              <w:t xml:space="preserve"> </w:t>
            </w:r>
            <w:proofErr w:type="spellStart"/>
            <w:r>
              <w:t>apakšsadaļas</w:t>
            </w:r>
            <w:proofErr w:type="spellEnd"/>
            <w:r>
              <w:t xml:space="preserve"> “Rīcības </w:t>
            </w:r>
            <w:proofErr w:type="spellStart"/>
            <w:r>
              <w:t>apakšvirziens</w:t>
            </w:r>
            <w:proofErr w:type="spellEnd"/>
            <w:r>
              <w:t xml:space="preserve">: Fizisko personu datu aizsardzība”, “Nepieciešamā rīcība” 3.punktā, 62.lpp. teikums izteikts šādā redakcijā: </w:t>
            </w:r>
            <w:r>
              <w:rPr>
                <w:i/>
                <w:iCs/>
              </w:rPr>
              <w:t xml:space="preserve">“Saziņas līdzekļu modernizācija ļautu Datu valsts inspekcijai sniegt informatīvu atbalstu plašākam pakalpojumu sniedzēju </w:t>
            </w:r>
            <w:r>
              <w:rPr>
                <w:i/>
                <w:iCs/>
              </w:rPr>
              <w:lastRenderedPageBreak/>
              <w:t xml:space="preserve">lokam, </w:t>
            </w:r>
            <w:r>
              <w:rPr>
                <w:i/>
                <w:iCs/>
                <w:u w:val="single"/>
              </w:rPr>
              <w:t xml:space="preserve">kā arī efektīvāk izskatīt Latvijas iedzīvotāju ar personas datu aizsardzību saistītus iesniegumus.” </w:t>
            </w:r>
            <w:r>
              <w:t>Inspekcija izsaka priekšlikumu svītrot minēto teikumu daļā “kā arī efektīvāk izskatīt Latvijas iedzīvotāju ar personas datu aizsardzību saistītus iesniegumus”, par cik Inspekcijas ieskatā saziņas līdzekļu modernizācija tiešā veidā neietekmē sūdzību izskatīšanas efektivitāti, bet gan, iespējams, sūdzības iesniedzēju informētības līmeni par savām tiesībām, iespējamu datu aizsardzības pārkāpuma pamatota paziņošana. Sūdzību izskatīšanas efektivitāte ir saistīta ne tik daudz kā ar saziņas līdzekļu izmantošanu, bet gan DVI kapacitāti (pietiekamu nodarbināto skaitu).</w:t>
            </w:r>
          </w:p>
        </w:tc>
        <w:tc>
          <w:tcPr>
            <w:tcW w:w="2480" w:type="dxa"/>
            <w:tcBorders>
              <w:left w:val="single" w:sz="6" w:space="0" w:color="000000" w:themeColor="text1"/>
              <w:bottom w:val="single" w:sz="4" w:space="0" w:color="auto"/>
            </w:tcBorders>
            <w:shd w:val="clear" w:color="auto" w:fill="auto"/>
          </w:tcPr>
          <w:p w14:paraId="51CD7C91" w14:textId="77777777" w:rsidR="00FC4483" w:rsidRPr="009841AB" w:rsidRDefault="00C857FC" w:rsidP="00FE0078">
            <w:pPr>
              <w:pStyle w:val="naisc"/>
              <w:spacing w:before="0" w:after="0"/>
              <w:jc w:val="left"/>
              <w:rPr>
                <w:b/>
                <w:bCs/>
              </w:rPr>
            </w:pPr>
            <w:r>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53309F04" w14:textId="77777777" w:rsidR="007D44E7" w:rsidRDefault="007D44E7" w:rsidP="00FE0078">
            <w:pPr>
              <w:pStyle w:val="naisc"/>
              <w:spacing w:before="0" w:after="0"/>
              <w:jc w:val="both"/>
            </w:pPr>
            <w:r>
              <w:t xml:space="preserve">Lūdzam skatīt </w:t>
            </w:r>
            <w:proofErr w:type="spellStart"/>
            <w:r>
              <w:t>apakšsadaļu</w:t>
            </w:r>
            <w:proofErr w:type="spellEnd"/>
            <w:r>
              <w:t xml:space="preserve"> 4.4.</w:t>
            </w:r>
          </w:p>
          <w:p w14:paraId="0B513C37" w14:textId="77777777" w:rsidR="00C857FC" w:rsidRDefault="00C857FC" w:rsidP="00C857FC">
            <w:pPr>
              <w:pStyle w:val="naisc"/>
              <w:spacing w:before="0" w:after="0"/>
              <w:jc w:val="both"/>
            </w:pPr>
            <w:r>
              <w:t xml:space="preserve">Papildināts </w:t>
            </w:r>
            <w:proofErr w:type="spellStart"/>
            <w:r>
              <w:t>taksts</w:t>
            </w:r>
            <w:proofErr w:type="spellEnd"/>
            <w:r>
              <w:t>.</w:t>
            </w:r>
          </w:p>
          <w:p w14:paraId="467FC2B3" w14:textId="77777777" w:rsidR="00FC4483" w:rsidRPr="009841AB" w:rsidRDefault="00C857FC" w:rsidP="00FE0078">
            <w:pPr>
              <w:pStyle w:val="naisc"/>
              <w:spacing w:before="0" w:after="0"/>
              <w:jc w:val="both"/>
            </w:pPr>
            <w:r>
              <w:t>“</w:t>
            </w:r>
            <w:r w:rsidRPr="0ED69FBF">
              <w:rPr>
                <w:i/>
                <w:iCs/>
              </w:rPr>
              <w:t xml:space="preserve">Saziņas līdzekļu modernizācija ļautu Datu valsts inspekcijai sniegt informatīvu atbalstu plašākam pakalpojumu sniedzēju </w:t>
            </w:r>
            <w:proofErr w:type="spellStart"/>
            <w:r w:rsidRPr="0ED69FBF">
              <w:rPr>
                <w:i/>
                <w:iCs/>
              </w:rPr>
              <w:lastRenderedPageBreak/>
              <w:t>lokam,</w:t>
            </w:r>
            <w:r w:rsidRPr="0ED69FBF">
              <w:rPr>
                <w:i/>
                <w:iCs/>
                <w:u w:val="single"/>
              </w:rPr>
              <w:t>kā</w:t>
            </w:r>
            <w:proofErr w:type="spellEnd"/>
            <w:r w:rsidRPr="0ED69FBF">
              <w:rPr>
                <w:i/>
                <w:iCs/>
                <w:u w:val="single"/>
              </w:rPr>
              <w:t xml:space="preserve"> arī efektīvāk izskatīt Latvijas iedzīvotāju ar personas datu aizsardzību saistītus iesniegumus.”</w:t>
            </w:r>
          </w:p>
        </w:tc>
      </w:tr>
      <w:tr w:rsidR="00FC4483" w:rsidRPr="009841AB" w14:paraId="3E4F78D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98BA315" w14:textId="77777777" w:rsidR="00FC4483" w:rsidRPr="009841AB" w:rsidRDefault="007D44E7" w:rsidP="00FE0078">
            <w:pPr>
              <w:pStyle w:val="naisc"/>
              <w:spacing w:before="0" w:after="0"/>
            </w:pPr>
            <w:r>
              <w:lastRenderedPageBreak/>
              <w:t>474</w:t>
            </w:r>
          </w:p>
        </w:tc>
        <w:tc>
          <w:tcPr>
            <w:tcW w:w="2427" w:type="dxa"/>
            <w:tcBorders>
              <w:left w:val="single" w:sz="6" w:space="0" w:color="000000" w:themeColor="text1"/>
              <w:bottom w:val="single" w:sz="4" w:space="0" w:color="auto"/>
            </w:tcBorders>
            <w:shd w:val="clear" w:color="auto" w:fill="auto"/>
          </w:tcPr>
          <w:p w14:paraId="0CFC4515" w14:textId="77777777" w:rsidR="00FC4483" w:rsidRPr="009841AB" w:rsidRDefault="00FC4483" w:rsidP="00FE0078">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44F2F20C" w14:textId="77777777" w:rsidR="00FC4483" w:rsidRDefault="00FC4483" w:rsidP="00FC4483">
            <w:pPr>
              <w:jc w:val="both"/>
            </w:pPr>
            <w:r>
              <w:t xml:space="preserve">[4] Pamatnostādņu projekta </w:t>
            </w:r>
            <w:r>
              <w:rPr>
                <w:b/>
                <w:bCs/>
              </w:rPr>
              <w:t>4.4.5.2.</w:t>
            </w:r>
            <w:r>
              <w:t xml:space="preserve">apakšsadaļas “Rīcības </w:t>
            </w:r>
            <w:proofErr w:type="spellStart"/>
            <w:r>
              <w:t>apakšvirziens</w:t>
            </w:r>
            <w:proofErr w:type="spellEnd"/>
            <w:r>
              <w:t>: Nacionālās drošības un informācijas telpas stiprināšana”, Ievads” otrajā rindkopā 77.lpp. norādīts:</w:t>
            </w:r>
            <w:r>
              <w:rPr>
                <w:i/>
                <w:iCs/>
              </w:rPr>
              <w:t xml:space="preserve"> “Būtisks informācijas telpas stiprināšanas elements ir Sabiedrisko mediju patstāvības un </w:t>
            </w:r>
            <w:proofErr w:type="spellStart"/>
            <w:r>
              <w:rPr>
                <w:i/>
                <w:iCs/>
                <w:u w:val="single"/>
              </w:rPr>
              <w:t>kvalitatīas</w:t>
            </w:r>
            <w:proofErr w:type="spellEnd"/>
            <w:r>
              <w:rPr>
                <w:i/>
                <w:iCs/>
              </w:rPr>
              <w:t xml:space="preserve"> darbības, t.sk. tehnoloģiskā risinājuma </w:t>
            </w:r>
            <w:proofErr w:type="spellStart"/>
            <w:r>
              <w:rPr>
                <w:i/>
                <w:iCs/>
                <w:u w:val="single"/>
              </w:rPr>
              <w:t>nodroošināšana</w:t>
            </w:r>
            <w:proofErr w:type="spellEnd"/>
            <w:r>
              <w:rPr>
                <w:i/>
                <w:iCs/>
              </w:rPr>
              <w:t xml:space="preserve">.” </w:t>
            </w:r>
            <w:r>
              <w:t>Teikumā izmantotajos vārdos “</w:t>
            </w:r>
            <w:proofErr w:type="spellStart"/>
            <w:r>
              <w:rPr>
                <w:i/>
                <w:iCs/>
              </w:rPr>
              <w:t>kvalitatīas</w:t>
            </w:r>
            <w:proofErr w:type="spellEnd"/>
            <w:r>
              <w:rPr>
                <w:i/>
                <w:iCs/>
              </w:rPr>
              <w:t>”, “</w:t>
            </w:r>
            <w:proofErr w:type="spellStart"/>
            <w:r>
              <w:rPr>
                <w:i/>
                <w:iCs/>
              </w:rPr>
              <w:t>nodroošināšana</w:t>
            </w:r>
            <w:proofErr w:type="spellEnd"/>
            <w:r>
              <w:rPr>
                <w:i/>
                <w:iCs/>
              </w:rPr>
              <w:t xml:space="preserve">” </w:t>
            </w:r>
            <w:r>
              <w:t>lūdzam novērst gramatikas nepilnības – iztrūkstošus burtus, labojot tos uz vārdiem: “kvalitatīvas”, “nodrošināšana”.</w:t>
            </w:r>
          </w:p>
        </w:tc>
        <w:tc>
          <w:tcPr>
            <w:tcW w:w="2480" w:type="dxa"/>
            <w:tcBorders>
              <w:left w:val="single" w:sz="6" w:space="0" w:color="000000" w:themeColor="text1"/>
              <w:bottom w:val="single" w:sz="4" w:space="0" w:color="auto"/>
            </w:tcBorders>
            <w:shd w:val="clear" w:color="auto" w:fill="auto"/>
          </w:tcPr>
          <w:p w14:paraId="373C91C6" w14:textId="77777777" w:rsidR="00FC4483" w:rsidRPr="009841AB" w:rsidRDefault="00C857FC" w:rsidP="00FE0078">
            <w:pPr>
              <w:pStyle w:val="naisc"/>
              <w:spacing w:before="0" w:after="0"/>
              <w:jc w:val="left"/>
              <w:rPr>
                <w:b/>
                <w:bCs/>
              </w:rPr>
            </w:pPr>
            <w:r w:rsidRPr="319283F3">
              <w:rPr>
                <w:b/>
                <w:bCs/>
              </w:rPr>
              <w:t>Ņemts vērā</w:t>
            </w:r>
          </w:p>
        </w:tc>
        <w:tc>
          <w:tcPr>
            <w:tcW w:w="3497" w:type="dxa"/>
            <w:tcBorders>
              <w:left w:val="single" w:sz="6" w:space="0" w:color="000000" w:themeColor="text1"/>
              <w:bottom w:val="single" w:sz="4" w:space="0" w:color="auto"/>
            </w:tcBorders>
            <w:shd w:val="clear" w:color="auto" w:fill="auto"/>
          </w:tcPr>
          <w:p w14:paraId="29B1237C" w14:textId="77777777" w:rsidR="007D44E7" w:rsidRDefault="007D44E7" w:rsidP="00FE0078">
            <w:pPr>
              <w:pStyle w:val="naisc"/>
              <w:spacing w:before="0" w:after="0"/>
              <w:jc w:val="both"/>
            </w:pPr>
            <w:r>
              <w:t xml:space="preserve">Lūdzam skatīt </w:t>
            </w:r>
            <w:proofErr w:type="spellStart"/>
            <w:r>
              <w:t>apakšsadaļu</w:t>
            </w:r>
            <w:proofErr w:type="spellEnd"/>
            <w:r>
              <w:t xml:space="preserve"> 4.4.</w:t>
            </w:r>
          </w:p>
          <w:p w14:paraId="0BAB1BA0" w14:textId="77777777" w:rsidR="00FC4483" w:rsidRPr="009841AB" w:rsidRDefault="00C857FC" w:rsidP="00FE0078">
            <w:pPr>
              <w:pStyle w:val="naisc"/>
              <w:spacing w:before="0" w:after="0"/>
              <w:jc w:val="both"/>
            </w:pPr>
            <w:r>
              <w:t>Tehniski precizēts</w:t>
            </w:r>
          </w:p>
        </w:tc>
      </w:tr>
      <w:tr w:rsidR="00FC4483" w:rsidRPr="009841AB" w14:paraId="3A226FA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9DC3816" w14:textId="77777777" w:rsidR="00FC4483" w:rsidRPr="009841AB" w:rsidRDefault="007D44E7" w:rsidP="00FE0078">
            <w:pPr>
              <w:pStyle w:val="naisc"/>
              <w:spacing w:before="0" w:after="0"/>
            </w:pPr>
            <w:r>
              <w:t>475</w:t>
            </w:r>
          </w:p>
        </w:tc>
        <w:tc>
          <w:tcPr>
            <w:tcW w:w="2427" w:type="dxa"/>
            <w:tcBorders>
              <w:left w:val="single" w:sz="6" w:space="0" w:color="000000" w:themeColor="text1"/>
              <w:bottom w:val="single" w:sz="4" w:space="0" w:color="auto"/>
            </w:tcBorders>
            <w:shd w:val="clear" w:color="auto" w:fill="auto"/>
          </w:tcPr>
          <w:p w14:paraId="60606541" w14:textId="77777777" w:rsidR="00FC4483" w:rsidRPr="009841AB" w:rsidRDefault="00FC4483" w:rsidP="00FE0078">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6D195078" w14:textId="77777777" w:rsidR="00FC4483" w:rsidRDefault="00FC4483" w:rsidP="00FC4483">
            <w:pPr>
              <w:jc w:val="both"/>
            </w:pPr>
            <w:r>
              <w:t xml:space="preserve">[5] Pamatnostādņu projekta </w:t>
            </w:r>
            <w:r>
              <w:rPr>
                <w:b/>
                <w:bCs/>
              </w:rPr>
              <w:t>4.4.5.2.</w:t>
            </w:r>
            <w:r>
              <w:t xml:space="preserve">apakšsadaļas “Rīcības </w:t>
            </w:r>
            <w:proofErr w:type="spellStart"/>
            <w:r>
              <w:t>apakšvirziens</w:t>
            </w:r>
            <w:proofErr w:type="spellEnd"/>
            <w:r>
              <w:t>: Nacionālās drošības un informācijas telpas stiprināšana”, Ievads” trešajā rindkopā 77.lpp. norādīts: “</w:t>
            </w:r>
            <w:r>
              <w:rPr>
                <w:i/>
                <w:iCs/>
              </w:rPr>
              <w:t xml:space="preserve">Lai nodrošinātu informatīvās telpas </w:t>
            </w:r>
            <w:proofErr w:type="spellStart"/>
            <w:r>
              <w:rPr>
                <w:i/>
                <w:iCs/>
              </w:rPr>
              <w:t>kvaltitatīvu</w:t>
            </w:r>
            <w:proofErr w:type="spellEnd"/>
            <w:r>
              <w:rPr>
                <w:i/>
                <w:iCs/>
              </w:rPr>
              <w:t xml:space="preserve"> monitoringu, nepieciešams un valsts stratēģiskā komunikācijas spēju stiprināšanu savlaicīgai reakcijas naida kurināšanas, nesaticības veicināšanas un sabiedrības dezinformācijas aktivitātes.” </w:t>
            </w:r>
            <w:r>
              <w:t xml:space="preserve">Inspekcija izsaka priekšlikumu precizēt šajā trešajā rindkopā norādītā </w:t>
            </w:r>
            <w:r>
              <w:lastRenderedPageBreak/>
              <w:t>teikuma domu, jo šobrīd nav iespējams saprast, kas ar to domāts.</w:t>
            </w:r>
          </w:p>
        </w:tc>
        <w:tc>
          <w:tcPr>
            <w:tcW w:w="2480" w:type="dxa"/>
            <w:tcBorders>
              <w:left w:val="single" w:sz="6" w:space="0" w:color="000000" w:themeColor="text1"/>
              <w:bottom w:val="single" w:sz="4" w:space="0" w:color="auto"/>
            </w:tcBorders>
            <w:shd w:val="clear" w:color="auto" w:fill="auto"/>
          </w:tcPr>
          <w:p w14:paraId="7F30EDF9" w14:textId="77777777" w:rsidR="00FC4483" w:rsidRPr="009841AB" w:rsidRDefault="00C857FC" w:rsidP="00C857FC">
            <w:pPr>
              <w:pStyle w:val="naisc"/>
              <w:spacing w:before="0" w:after="0" w:line="259" w:lineRule="auto"/>
              <w:jc w:val="left"/>
              <w:rPr>
                <w:b/>
                <w:bCs/>
              </w:rPr>
            </w:pPr>
            <w:r w:rsidRPr="319283F3">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13265655" w14:textId="77777777" w:rsidR="007D44E7" w:rsidRDefault="007D44E7" w:rsidP="00FE0078">
            <w:pPr>
              <w:pStyle w:val="naisc"/>
              <w:spacing w:before="0" w:after="0"/>
              <w:jc w:val="both"/>
            </w:pPr>
            <w:r>
              <w:t xml:space="preserve">Lūdzam skatīt </w:t>
            </w:r>
            <w:proofErr w:type="spellStart"/>
            <w:r>
              <w:t>apakšsadaļu</w:t>
            </w:r>
            <w:proofErr w:type="spellEnd"/>
            <w:r>
              <w:t xml:space="preserve"> 4.4.</w:t>
            </w:r>
          </w:p>
          <w:p w14:paraId="40CAAB82" w14:textId="77777777" w:rsidR="00FC4483" w:rsidRPr="009841AB" w:rsidRDefault="00C857FC" w:rsidP="00FE0078">
            <w:pPr>
              <w:pStyle w:val="naisc"/>
              <w:spacing w:before="0" w:after="0"/>
              <w:jc w:val="both"/>
            </w:pPr>
            <w:r>
              <w:t>Rindkopa dzēsta</w:t>
            </w:r>
          </w:p>
        </w:tc>
      </w:tr>
      <w:tr w:rsidR="00C857FC" w:rsidRPr="009841AB" w14:paraId="6E06D3AB"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5621E97A" w14:textId="77777777" w:rsidR="00C857FC" w:rsidRPr="00BD26E6" w:rsidRDefault="00C857FC" w:rsidP="00C857FC">
            <w:pPr>
              <w:pStyle w:val="naisc"/>
              <w:spacing w:before="0" w:after="0"/>
              <w:jc w:val="both"/>
              <w:rPr>
                <w:b/>
                <w:bCs/>
              </w:rPr>
            </w:pPr>
            <w:r>
              <w:rPr>
                <w:b/>
                <w:bCs/>
              </w:rPr>
              <w:t>Valsts zemes dienesta 06.05.2021. atzinums:</w:t>
            </w:r>
          </w:p>
        </w:tc>
      </w:tr>
      <w:tr w:rsidR="00C857FC" w:rsidRPr="009841AB" w14:paraId="545D8ED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6F34BF9" w14:textId="77777777" w:rsidR="00C857FC" w:rsidRPr="009841AB" w:rsidRDefault="007D44E7" w:rsidP="00C857FC">
            <w:pPr>
              <w:pStyle w:val="naisc"/>
              <w:spacing w:before="0" w:after="0"/>
            </w:pPr>
            <w:r>
              <w:t>476</w:t>
            </w:r>
          </w:p>
        </w:tc>
        <w:tc>
          <w:tcPr>
            <w:tcW w:w="2427" w:type="dxa"/>
            <w:tcBorders>
              <w:left w:val="single" w:sz="6" w:space="0" w:color="000000" w:themeColor="text1"/>
              <w:bottom w:val="single" w:sz="4" w:space="0" w:color="auto"/>
            </w:tcBorders>
            <w:shd w:val="clear" w:color="auto" w:fill="auto"/>
          </w:tcPr>
          <w:p w14:paraId="0EB644E2" w14:textId="77777777" w:rsidR="00C857FC" w:rsidRPr="009841AB" w:rsidRDefault="00C857FC" w:rsidP="00C857FC">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017D5923" w14:textId="77777777" w:rsidR="00C857FC" w:rsidRDefault="00C857FC" w:rsidP="00C857FC">
            <w:pPr>
              <w:jc w:val="both"/>
            </w:pPr>
            <w:r>
              <w:t xml:space="preserve">1. </w:t>
            </w:r>
            <w:r w:rsidRPr="006F7F0C">
              <w:t>1.</w:t>
            </w:r>
            <w:r w:rsidRPr="006F7F0C">
              <w:tab/>
              <w:t xml:space="preserve">Lūdzam izteikt 4.4.9.2. Rīcības </w:t>
            </w:r>
            <w:proofErr w:type="spellStart"/>
            <w:r w:rsidRPr="006F7F0C">
              <w:t>apakšvirziena</w:t>
            </w:r>
            <w:proofErr w:type="spellEnd"/>
            <w:r w:rsidRPr="006F7F0C">
              <w:t xml:space="preserve"> “Valsts pārvaldes pakalpojumu digitālā transformācija - </w:t>
            </w:r>
            <w:proofErr w:type="spellStart"/>
            <w:r w:rsidRPr="006F7F0C">
              <w:t>daudzkanālu</w:t>
            </w:r>
            <w:proofErr w:type="spellEnd"/>
            <w:r w:rsidRPr="006F7F0C">
              <w:t xml:space="preserve"> piegāde”  uzdevumu U4.4.9.2.-1 šādā redakcijā  “Ieviest valsts pārvaldē vienotu </w:t>
            </w:r>
            <w:proofErr w:type="spellStart"/>
            <w:r w:rsidRPr="006F7F0C">
              <w:t>daudzkanālu</w:t>
            </w:r>
            <w:proofErr w:type="spellEnd"/>
            <w:r w:rsidRPr="006F7F0C">
              <w:t xml:space="preserve"> piegādi tiem valsts pārvaldes, t.sk. pašvaldību iestāžu sniegtajiem pakalpojumiem,  kuru pārveidošana ir lietderīga”, jo uzdevuma sākotnējā redakcija aptver ļoti plašu aktivitāšu loku, savukārt sadaļā “Sagaidāmie rezultāti” uzskaitīti tikai trīs punkti, kas savukārt neaptver sadaļā “Nepieciešamā rīcība” aprakstītos rīcības virzienus. Piemēram, sadaļā “Nepieciešamā rīcība” norādīts, ka “Iestādes elektronisko pakalpojumu sniegšanas risinājumi, pakāpeniski samazinot to lomu pakalpojumu sniegšanā ar stratēģisku mērķi radikāli samazināt vai pat pārtraukt šādu risinājumu uzturēšanu iestādēs” , bet nav saprotams vai uzdevuma U4.4.9.2.-1 ietvaros tiks mērīta šādas rīcības izmaksu efektivitāte – vai tiks izvērtēts cik izmaksās, katras iestādes jau realizēto elektronisko pakalpojumu </w:t>
            </w:r>
            <w:proofErr w:type="spellStart"/>
            <w:r w:rsidRPr="006F7F0C">
              <w:t>pārizstrāde</w:t>
            </w:r>
            <w:proofErr w:type="spellEnd"/>
            <w:r w:rsidRPr="006F7F0C">
              <w:t xml:space="preserve">, cik izmaksās iekšējo darba uzdevumu vadības un kontroles informācijas sistēmu pārveide, lai nodrošinātu pakalpojuma piegādes procesa atdalīšanu no kopējā pakalpojuma. Papildus lūdzam arī precizēt jau citētās rīcības aprakstu, skaidri norādot, vai mērķis “radikāli samazināt vai pat pārtraukt šādu risinājumu uzturēšanu iestādēs” sasniedzams jau 2027.gadā un vai ir paredzēts finansējums iestāžu jauno, pārstrādājot vecos, elektronisko pakalpojumu izstrādei, </w:t>
            </w:r>
            <w:proofErr w:type="spellStart"/>
            <w:r w:rsidRPr="006F7F0C">
              <w:t>saskarņu</w:t>
            </w:r>
            <w:proofErr w:type="spellEnd"/>
            <w:r w:rsidRPr="006F7F0C">
              <w:t xml:space="preserve"> izstrādei datu apmaiņai ar vienoto pakalpojumu sniegšanas platformu un iekšējo darba uzdevumu vadības un kontroles sistēmu izmaiņu ieviešanai.</w:t>
            </w:r>
          </w:p>
        </w:tc>
        <w:tc>
          <w:tcPr>
            <w:tcW w:w="2480" w:type="dxa"/>
            <w:tcBorders>
              <w:left w:val="single" w:sz="6" w:space="0" w:color="000000" w:themeColor="text1"/>
              <w:bottom w:val="single" w:sz="4" w:space="0" w:color="auto"/>
            </w:tcBorders>
            <w:shd w:val="clear" w:color="auto" w:fill="auto"/>
          </w:tcPr>
          <w:p w14:paraId="5508B3BC"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t>Panākta vienošanās</w:t>
            </w:r>
          </w:p>
          <w:p w14:paraId="38C4678B" w14:textId="77777777" w:rsidR="00C857FC" w:rsidRPr="319283F3" w:rsidRDefault="00C857FC" w:rsidP="00C857FC">
            <w:pPr>
              <w:pStyle w:val="naisc"/>
              <w:spacing w:before="0" w:after="0" w:line="259" w:lineRule="auto"/>
              <w:jc w:val="left"/>
            </w:pPr>
            <w:r>
              <w:t xml:space="preserve">Precizēts nepieciešamās rīcības apraksts attiecībā uz iestāžu elektronisko pakalpojumu sniegšanas risinājumiem, ņemot vērā, ka iebildumā minēto uzdevumu paredzēts īstenot pakāpeniski  </w:t>
            </w:r>
            <w:proofErr w:type="spellStart"/>
            <w:r>
              <w:t>eksplutācijā</w:t>
            </w:r>
            <w:proofErr w:type="spellEnd"/>
            <w:r>
              <w:t xml:space="preserve"> esošo risinājumu attīstības dzīvescikla ietvaros,  risinājumu nomaiņas vai būtiskas atjaunināšanas fāzē. Tādējādi uzdevums tiks īstenots racionāli un  izmaksu ziņā efektīvi, samazinot kopējās valsts pārvaldes izmaksas klientu apkalpošanas IKT nodrošinājuma attīstībai un uzturēšanai.</w:t>
            </w:r>
          </w:p>
        </w:tc>
        <w:tc>
          <w:tcPr>
            <w:tcW w:w="3497" w:type="dxa"/>
            <w:tcBorders>
              <w:left w:val="single" w:sz="6" w:space="0" w:color="000000" w:themeColor="text1"/>
              <w:bottom w:val="single" w:sz="4" w:space="0" w:color="auto"/>
            </w:tcBorders>
            <w:shd w:val="clear" w:color="auto" w:fill="auto"/>
          </w:tcPr>
          <w:p w14:paraId="61C507E0" w14:textId="77777777" w:rsidR="00C857FC" w:rsidRDefault="00C857FC" w:rsidP="00C857FC">
            <w:pPr>
              <w:pStyle w:val="naisc"/>
              <w:spacing w:before="0" w:after="0"/>
              <w:jc w:val="left"/>
            </w:pPr>
            <w:r>
              <w:t xml:space="preserve">Lūdzam skatīt </w:t>
            </w:r>
            <w:proofErr w:type="spellStart"/>
            <w:r>
              <w:t>apakšsadaļu</w:t>
            </w:r>
            <w:proofErr w:type="spellEnd"/>
            <w:r>
              <w:t xml:space="preserve"> 4.4.9.2.</w:t>
            </w:r>
          </w:p>
          <w:p w14:paraId="5ECC080C" w14:textId="77777777" w:rsidR="00C857FC" w:rsidRDefault="00C857FC" w:rsidP="00C857FC">
            <w:pPr>
              <w:pStyle w:val="naisc"/>
              <w:spacing w:before="0" w:after="0"/>
              <w:jc w:val="both"/>
            </w:pPr>
          </w:p>
        </w:tc>
      </w:tr>
      <w:tr w:rsidR="00C857FC" w:rsidRPr="009841AB" w14:paraId="0C8BA8E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43EEB0A" w14:textId="77777777" w:rsidR="00C857FC" w:rsidRPr="009841AB" w:rsidRDefault="003C34AE" w:rsidP="00C857FC">
            <w:pPr>
              <w:pStyle w:val="naisc"/>
              <w:spacing w:before="0" w:after="0"/>
            </w:pPr>
            <w:r>
              <w:lastRenderedPageBreak/>
              <w:t>477</w:t>
            </w:r>
          </w:p>
        </w:tc>
        <w:tc>
          <w:tcPr>
            <w:tcW w:w="2427" w:type="dxa"/>
            <w:tcBorders>
              <w:left w:val="single" w:sz="6" w:space="0" w:color="000000" w:themeColor="text1"/>
              <w:bottom w:val="single" w:sz="4" w:space="0" w:color="auto"/>
            </w:tcBorders>
            <w:shd w:val="clear" w:color="auto" w:fill="auto"/>
          </w:tcPr>
          <w:p w14:paraId="1CCB92EF" w14:textId="77777777" w:rsidR="00C857FC" w:rsidRPr="009841AB" w:rsidRDefault="00C857FC" w:rsidP="00C857FC">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48D0AC6C" w14:textId="77777777" w:rsidR="00C857FC" w:rsidRDefault="00C857FC" w:rsidP="00C857FC">
            <w:pPr>
              <w:jc w:val="both"/>
            </w:pPr>
            <w:r w:rsidRPr="006F7F0C">
              <w:t>2.</w:t>
            </w:r>
            <w:r>
              <w:t xml:space="preserve"> </w:t>
            </w:r>
            <w:r w:rsidRPr="006F7F0C">
              <w:t xml:space="preserve">Papildus lūdzam precizēt sadaļas “Sagaidāmie rezultāti” 1.punktu, nosakot, ka Latvija.lv funkcionalitāte tiks papildināta ar funkcionalitāti, kas nodrošinās arī tādu pakalpojumu piegādi, kā rezultātā klients saņem </w:t>
            </w:r>
            <w:proofErr w:type="spellStart"/>
            <w:r w:rsidRPr="006F7F0C">
              <w:t>lielapjoma</w:t>
            </w:r>
            <w:proofErr w:type="spellEnd"/>
            <w:r w:rsidRPr="006F7F0C">
              <w:t xml:space="preserve"> datus vai datus vektoru formātā.</w:t>
            </w:r>
          </w:p>
        </w:tc>
        <w:tc>
          <w:tcPr>
            <w:tcW w:w="2480" w:type="dxa"/>
            <w:tcBorders>
              <w:left w:val="single" w:sz="6" w:space="0" w:color="000000" w:themeColor="text1"/>
              <w:bottom w:val="single" w:sz="4" w:space="0" w:color="auto"/>
            </w:tcBorders>
            <w:shd w:val="clear" w:color="auto" w:fill="auto"/>
          </w:tcPr>
          <w:p w14:paraId="77F77A15"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t>Panākta vienošanās</w:t>
            </w:r>
          </w:p>
          <w:p w14:paraId="51A86860" w14:textId="77777777" w:rsidR="00C857FC" w:rsidRPr="319283F3" w:rsidRDefault="00C857FC" w:rsidP="00C857FC">
            <w:pPr>
              <w:pStyle w:val="naisc"/>
              <w:spacing w:before="0" w:after="0" w:line="259" w:lineRule="auto"/>
              <w:jc w:val="left"/>
            </w:pPr>
            <w:r>
              <w:t>Precizēts nepieciešamās rīcības apraksts attiecībā uz  Latvija.lv funkcionalitātes attīstību datu pakalpojumu sniegšanai</w:t>
            </w:r>
          </w:p>
        </w:tc>
        <w:tc>
          <w:tcPr>
            <w:tcW w:w="3497" w:type="dxa"/>
            <w:tcBorders>
              <w:left w:val="single" w:sz="6" w:space="0" w:color="000000" w:themeColor="text1"/>
              <w:bottom w:val="single" w:sz="4" w:space="0" w:color="auto"/>
            </w:tcBorders>
            <w:shd w:val="clear" w:color="auto" w:fill="auto"/>
          </w:tcPr>
          <w:p w14:paraId="44B91C9E" w14:textId="77777777" w:rsidR="00C857FC" w:rsidRDefault="00C857FC" w:rsidP="00C857FC">
            <w:pPr>
              <w:pStyle w:val="naisc"/>
              <w:spacing w:before="0" w:after="0"/>
              <w:jc w:val="left"/>
            </w:pPr>
            <w:r>
              <w:t xml:space="preserve">Lūdzam skatīt </w:t>
            </w:r>
            <w:proofErr w:type="spellStart"/>
            <w:r>
              <w:t>apakšsadaļu</w:t>
            </w:r>
            <w:proofErr w:type="spellEnd"/>
            <w:r>
              <w:t xml:space="preserve"> 4.4.9.2.</w:t>
            </w:r>
          </w:p>
        </w:tc>
      </w:tr>
      <w:tr w:rsidR="00C857FC" w:rsidRPr="009841AB" w14:paraId="489A83E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4DB4EAD" w14:textId="77777777" w:rsidR="00C857FC" w:rsidRPr="009841AB" w:rsidRDefault="003C34AE" w:rsidP="00C857FC">
            <w:pPr>
              <w:pStyle w:val="naisc"/>
              <w:spacing w:before="0" w:after="0"/>
            </w:pPr>
            <w:r>
              <w:t>478</w:t>
            </w:r>
          </w:p>
        </w:tc>
        <w:tc>
          <w:tcPr>
            <w:tcW w:w="2427" w:type="dxa"/>
            <w:tcBorders>
              <w:left w:val="single" w:sz="6" w:space="0" w:color="000000" w:themeColor="text1"/>
              <w:bottom w:val="single" w:sz="4" w:space="0" w:color="auto"/>
            </w:tcBorders>
            <w:shd w:val="clear" w:color="auto" w:fill="auto"/>
          </w:tcPr>
          <w:p w14:paraId="4C663BDB" w14:textId="77777777" w:rsidR="00C857FC" w:rsidRPr="009841AB" w:rsidRDefault="00C857FC" w:rsidP="00C857FC">
            <w:pPr>
              <w:pStyle w:val="naisc"/>
              <w:spacing w:before="0" w:after="0"/>
              <w:jc w:val="left"/>
            </w:pPr>
            <w:r w:rsidRPr="009841AB">
              <w:t>4.</w:t>
            </w:r>
            <w:r>
              <w:t>4</w:t>
            </w:r>
            <w:r w:rsidRPr="009841AB">
              <w:t>. sadaļa</w:t>
            </w:r>
          </w:p>
        </w:tc>
        <w:tc>
          <w:tcPr>
            <w:tcW w:w="5427" w:type="dxa"/>
            <w:tcBorders>
              <w:left w:val="single" w:sz="6" w:space="0" w:color="000000" w:themeColor="text1"/>
              <w:bottom w:val="single" w:sz="4" w:space="0" w:color="auto"/>
            </w:tcBorders>
            <w:shd w:val="clear" w:color="auto" w:fill="auto"/>
          </w:tcPr>
          <w:p w14:paraId="091327D0" w14:textId="77777777" w:rsidR="00C857FC" w:rsidRDefault="00C857FC" w:rsidP="00C857FC">
            <w:pPr>
              <w:jc w:val="both"/>
            </w:pPr>
            <w:r>
              <w:t xml:space="preserve">3. </w:t>
            </w:r>
            <w:r w:rsidRPr="006F7F0C">
              <w:t>3.</w:t>
            </w:r>
            <w:r w:rsidRPr="006F7F0C">
              <w:tab/>
              <w:t>Lūdzam projekta 70. lappuses 5. punktā un 73. lappuses U4.4.4.-3 uzdevumā aiz vārdiem "valsts pārvaldē radīto un uzturēto" svītrot vārdu "bezmaksas", tādējādi vienādojot tā redakciju ar projekta 72. lappuses 5. punktu.</w:t>
            </w:r>
          </w:p>
        </w:tc>
        <w:tc>
          <w:tcPr>
            <w:tcW w:w="2480" w:type="dxa"/>
            <w:tcBorders>
              <w:left w:val="single" w:sz="6" w:space="0" w:color="000000" w:themeColor="text1"/>
              <w:bottom w:val="single" w:sz="4" w:space="0" w:color="auto"/>
            </w:tcBorders>
            <w:shd w:val="clear" w:color="auto" w:fill="auto"/>
          </w:tcPr>
          <w:p w14:paraId="3EEB1594" w14:textId="77777777" w:rsidR="00C857FC" w:rsidRPr="319283F3" w:rsidRDefault="00C857FC" w:rsidP="00C857FC">
            <w:pPr>
              <w:pStyle w:val="naisc"/>
              <w:spacing w:before="0" w:after="0" w:line="259" w:lineRule="auto"/>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5BA79F63" w14:textId="77777777" w:rsidR="00C857FC" w:rsidRDefault="00C857FC" w:rsidP="00C857FC">
            <w:pPr>
              <w:pStyle w:val="naisc"/>
              <w:spacing w:before="0" w:after="0"/>
              <w:jc w:val="both"/>
            </w:pPr>
            <w:r>
              <w:t>Lūdzam skatīt sadaļu 4.4.4.</w:t>
            </w:r>
          </w:p>
        </w:tc>
      </w:tr>
      <w:tr w:rsidR="00FE0078" w:rsidRPr="009841AB" w14:paraId="424315B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AC27D05" w14:textId="77777777" w:rsidR="00FE0078" w:rsidRPr="009841AB" w:rsidRDefault="00FE0078" w:rsidP="00FE0078">
            <w:pPr>
              <w:jc w:val="center"/>
              <w:rPr>
                <w:b/>
              </w:rPr>
            </w:pPr>
            <w:r w:rsidRPr="009841AB">
              <w:rPr>
                <w:b/>
              </w:rPr>
              <w:t>4.5. Attīstības virziens „Inovācijas, IKT industrija un IKT zinātne”</w:t>
            </w:r>
          </w:p>
        </w:tc>
      </w:tr>
      <w:tr w:rsidR="00FE0078" w:rsidRPr="009841AB" w14:paraId="029CBB03"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2A3D7DB" w14:textId="77777777" w:rsidR="00FE0078" w:rsidRPr="009841AB" w:rsidRDefault="00FE0078" w:rsidP="00FE0078">
            <w:pPr>
              <w:tabs>
                <w:tab w:val="left" w:pos="720"/>
              </w:tabs>
              <w:contextualSpacing/>
              <w:jc w:val="both"/>
              <w:rPr>
                <w:b/>
                <w:bCs/>
                <w:lang w:eastAsia="en-US"/>
              </w:rPr>
            </w:pPr>
            <w:r w:rsidRPr="009841AB">
              <w:rPr>
                <w:b/>
                <w:bCs/>
                <w:lang w:eastAsia="en-US"/>
              </w:rPr>
              <w:t>Finanšu ministrijas 01.02.2021. atzinums:</w:t>
            </w:r>
          </w:p>
        </w:tc>
      </w:tr>
      <w:tr w:rsidR="00FE0078" w:rsidRPr="009841AB" w14:paraId="5C9C67B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1BF1C62" w14:textId="77777777" w:rsidR="00FE0078" w:rsidRPr="009841AB" w:rsidRDefault="003C34AE" w:rsidP="00FE0078">
            <w:pPr>
              <w:pStyle w:val="naisc"/>
              <w:spacing w:before="0" w:after="0"/>
            </w:pPr>
            <w:r>
              <w:t>479</w:t>
            </w:r>
          </w:p>
        </w:tc>
        <w:tc>
          <w:tcPr>
            <w:tcW w:w="2427" w:type="dxa"/>
            <w:tcBorders>
              <w:left w:val="single" w:sz="6" w:space="0" w:color="000000" w:themeColor="text1"/>
              <w:bottom w:val="single" w:sz="4" w:space="0" w:color="auto"/>
            </w:tcBorders>
            <w:shd w:val="clear" w:color="auto" w:fill="auto"/>
          </w:tcPr>
          <w:p w14:paraId="2BB0C195"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36FF43C7" w14:textId="77777777" w:rsidR="00FE0078" w:rsidRPr="009841AB" w:rsidRDefault="00FE0078" w:rsidP="00FE0078">
            <w:pPr>
              <w:ind w:right="12"/>
              <w:jc w:val="both"/>
            </w:pPr>
            <w:r w:rsidRPr="009841AB">
              <w:t>1.</w:t>
            </w:r>
            <w:r w:rsidRPr="009841AB">
              <w:tab/>
              <w:t xml:space="preserve">Lūdzam precizēt pamatnostādņu projekta 4.5.apašsadaļas uzdevumu “U4.5.1.-1 Attīstīt un izveidot 3 RIS3 pētniecības un inovācijas izcilības centrus saskaņā ar ESFRI pieeju un platformu standartiem”, norādot konkrētas RIS3 jomas, ar kurām ir plānota sadarbība. </w:t>
            </w:r>
          </w:p>
        </w:tc>
        <w:tc>
          <w:tcPr>
            <w:tcW w:w="2480" w:type="dxa"/>
            <w:tcBorders>
              <w:left w:val="single" w:sz="6" w:space="0" w:color="000000" w:themeColor="text1"/>
              <w:bottom w:val="single" w:sz="4" w:space="0" w:color="auto"/>
            </w:tcBorders>
            <w:shd w:val="clear" w:color="auto" w:fill="auto"/>
          </w:tcPr>
          <w:p w14:paraId="0BC10B7B"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t>Panākta vienošanās</w:t>
            </w:r>
          </w:p>
          <w:p w14:paraId="6B3FCC16" w14:textId="77777777" w:rsidR="00FE0078" w:rsidRPr="009841AB" w:rsidRDefault="00FE0078" w:rsidP="00FE0078">
            <w:pPr>
              <w:pStyle w:val="naisc"/>
              <w:spacing w:before="0" w:after="0"/>
              <w:jc w:val="left"/>
            </w:pPr>
            <w:r w:rsidRPr="009841AB">
              <w:t>Konkrētas jomas paredzēts norādīt citos dokumentos.</w:t>
            </w:r>
          </w:p>
        </w:tc>
        <w:tc>
          <w:tcPr>
            <w:tcW w:w="3497" w:type="dxa"/>
            <w:tcBorders>
              <w:left w:val="single" w:sz="6" w:space="0" w:color="000000" w:themeColor="text1"/>
              <w:bottom w:val="single" w:sz="4" w:space="0" w:color="auto"/>
            </w:tcBorders>
            <w:shd w:val="clear" w:color="auto" w:fill="auto"/>
          </w:tcPr>
          <w:p w14:paraId="09855F0F"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4.5.</w:t>
            </w:r>
          </w:p>
        </w:tc>
      </w:tr>
      <w:tr w:rsidR="00FE0078" w:rsidRPr="009841AB" w14:paraId="77A87CD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742AF57" w14:textId="77777777" w:rsidR="00FE0078" w:rsidRPr="009841AB" w:rsidRDefault="003C34AE" w:rsidP="00FE0078">
            <w:pPr>
              <w:pStyle w:val="naisc"/>
              <w:spacing w:before="0" w:after="0"/>
            </w:pPr>
            <w:r>
              <w:t>480</w:t>
            </w:r>
          </w:p>
        </w:tc>
        <w:tc>
          <w:tcPr>
            <w:tcW w:w="2427" w:type="dxa"/>
            <w:tcBorders>
              <w:left w:val="single" w:sz="6" w:space="0" w:color="000000" w:themeColor="text1"/>
              <w:bottom w:val="single" w:sz="4" w:space="0" w:color="auto"/>
            </w:tcBorders>
            <w:shd w:val="clear" w:color="auto" w:fill="auto"/>
          </w:tcPr>
          <w:p w14:paraId="544D85BB"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3D102AC7" w14:textId="77777777" w:rsidR="00FE0078" w:rsidRPr="009841AB" w:rsidRDefault="00FE0078" w:rsidP="00FE0078">
            <w:pPr>
              <w:ind w:right="12"/>
              <w:jc w:val="both"/>
            </w:pPr>
            <w:r w:rsidRPr="009841AB">
              <w:t>2.</w:t>
            </w:r>
            <w:r w:rsidRPr="009841AB">
              <w:tab/>
              <w:t xml:space="preserve">Lūdzam svītrot Iepirkumu uzraudzības biroju kā līdzatbildīgo institūciju pamatnostādņu projekta 4.5.apašsadaļas 4.5.1. Rīcības virziena “Cilvēkresursu un infrastruktūras attīstība digitālo inovāciju sekmēšanai” noteiktajā uzdevumā U4.5.1.-5 „Izstrādāt un īstenot plānu Inovāciju iepirkuma izpratnes veicināšanai un sekmēšanai” un pamatnostādņu projekta pielikuma 4.5.sadaļas “Inovācijas, IKT industrija un IKT zinātne” 4.5.1.-5. punktā (161. rinda) noteiktajā uzdevumā izstrādāt un īstenot plānu Inovāciju iepirkuma izpratnes veicināšanai un sekmēšanai. Atbilstoši Ekonomikas ministrijas </w:t>
            </w:r>
            <w:r w:rsidRPr="009841AB">
              <w:lastRenderedPageBreak/>
              <w:t>nolikuma 4.1.5. punktam Ekonomikas ministrijas funkcijās un kompetencē ir inovāciju attīstības politika, tādējādi minētā uzdevuma izpildē kā atbildīgā vai līdzatbildīgā institūcija būtu nosakāma Ekonomikas ministrija.</w:t>
            </w:r>
          </w:p>
        </w:tc>
        <w:tc>
          <w:tcPr>
            <w:tcW w:w="2480" w:type="dxa"/>
            <w:tcBorders>
              <w:left w:val="single" w:sz="6" w:space="0" w:color="000000" w:themeColor="text1"/>
              <w:bottom w:val="single" w:sz="4" w:space="0" w:color="auto"/>
            </w:tcBorders>
            <w:shd w:val="clear" w:color="auto" w:fill="auto"/>
          </w:tcPr>
          <w:p w14:paraId="7F47BB9D"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lastRenderedPageBreak/>
              <w:t>Panākta vienošanās</w:t>
            </w:r>
          </w:p>
          <w:p w14:paraId="0745EF16" w14:textId="77777777" w:rsidR="00FE0078" w:rsidRPr="009841AB" w:rsidRDefault="00FE0078" w:rsidP="00FE0078">
            <w:pPr>
              <w:pStyle w:val="naisc"/>
              <w:spacing w:before="0" w:after="0"/>
              <w:jc w:val="left"/>
            </w:pPr>
            <w:r w:rsidRPr="009841AB">
              <w:t xml:space="preserve"> EM norādīta kā līdzatbildīga. Iepirkumu uzraudzības biroja iesaiste būs nepieciešama, lai precizētu regulējumu attiecībā uz inovāciju iepirkumu.</w:t>
            </w:r>
          </w:p>
        </w:tc>
        <w:tc>
          <w:tcPr>
            <w:tcW w:w="3497" w:type="dxa"/>
            <w:tcBorders>
              <w:left w:val="single" w:sz="6" w:space="0" w:color="000000" w:themeColor="text1"/>
              <w:bottom w:val="single" w:sz="4" w:space="0" w:color="auto"/>
            </w:tcBorders>
            <w:shd w:val="clear" w:color="auto" w:fill="auto"/>
          </w:tcPr>
          <w:p w14:paraId="20F1CF40" w14:textId="77777777" w:rsidR="00FE0078" w:rsidRPr="009841AB" w:rsidRDefault="00FE0078" w:rsidP="00FE0078">
            <w:pPr>
              <w:pStyle w:val="naisc"/>
              <w:spacing w:before="0" w:after="0"/>
              <w:jc w:val="both"/>
            </w:pPr>
          </w:p>
        </w:tc>
      </w:tr>
      <w:tr w:rsidR="00C857FC" w:rsidRPr="009841AB" w14:paraId="726A9F5F"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5C99BCC" w14:textId="77777777" w:rsidR="00C857FC" w:rsidRPr="009841AB" w:rsidRDefault="00C857FC" w:rsidP="00C857FC">
            <w:pPr>
              <w:pStyle w:val="naisc"/>
              <w:spacing w:before="0" w:after="0"/>
              <w:jc w:val="both"/>
            </w:pPr>
            <w:r w:rsidRPr="009841AB">
              <w:rPr>
                <w:b/>
                <w:bCs/>
                <w:lang w:eastAsia="en-US"/>
              </w:rPr>
              <w:t>Finanšu ministrijas 0</w:t>
            </w:r>
            <w:r>
              <w:rPr>
                <w:b/>
                <w:bCs/>
                <w:lang w:eastAsia="en-US"/>
              </w:rPr>
              <w:t>5</w:t>
            </w:r>
            <w:r w:rsidRPr="009841AB">
              <w:rPr>
                <w:b/>
                <w:bCs/>
                <w:lang w:eastAsia="en-US"/>
              </w:rPr>
              <w:t>.0</w:t>
            </w:r>
            <w:r>
              <w:rPr>
                <w:b/>
                <w:bCs/>
                <w:lang w:eastAsia="en-US"/>
              </w:rPr>
              <w:t>5</w:t>
            </w:r>
            <w:r w:rsidRPr="009841AB">
              <w:rPr>
                <w:b/>
                <w:bCs/>
                <w:lang w:eastAsia="en-US"/>
              </w:rPr>
              <w:t>.2021. atzinums:</w:t>
            </w:r>
          </w:p>
        </w:tc>
      </w:tr>
      <w:tr w:rsidR="00C857FC" w:rsidRPr="009841AB" w14:paraId="03AE36C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F70FD8A" w14:textId="77777777" w:rsidR="00C857FC" w:rsidRPr="009841AB" w:rsidRDefault="003C34AE" w:rsidP="00C857FC">
            <w:pPr>
              <w:pStyle w:val="naisc"/>
              <w:spacing w:before="0" w:after="0"/>
            </w:pPr>
            <w:r>
              <w:t>481</w:t>
            </w:r>
          </w:p>
        </w:tc>
        <w:tc>
          <w:tcPr>
            <w:tcW w:w="2427" w:type="dxa"/>
            <w:tcBorders>
              <w:left w:val="single" w:sz="6" w:space="0" w:color="000000" w:themeColor="text1"/>
              <w:bottom w:val="single" w:sz="4" w:space="0" w:color="auto"/>
            </w:tcBorders>
            <w:shd w:val="clear" w:color="auto" w:fill="auto"/>
          </w:tcPr>
          <w:p w14:paraId="2CBB850E" w14:textId="77777777" w:rsidR="00C857FC" w:rsidRPr="009841AB" w:rsidRDefault="00C857FC" w:rsidP="00C857FC">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30EC2F8C" w14:textId="77777777" w:rsidR="00C857FC" w:rsidRDefault="00C857FC" w:rsidP="00C857FC">
            <w:pPr>
              <w:ind w:right="12"/>
              <w:jc w:val="both"/>
            </w:pPr>
            <w:r>
              <w:t xml:space="preserve">Atkārtoti lūdzam svītrot Iepirkumu uzraudzības biroju (turpmāk – IUB) kā līdzatbildīgo institūciju pamatnostādņu projekta 4.5.apašsadaļas 4.5.1. Rīcības virziena “Cilvēkresursu un infrastruktūras attīstība digitālo inovāciju sekmēšanai” noteiktajā uzdevumā U4.5.1.-5 „Izstrādāt un īstenot plānu Inovāciju iepirkuma izpratnes veicināšanai un sekmēšanai”. Lai arī IUB kopumā nodrošina iepirkumu veikšanas metodisko atbalstu, tostarp arī attiecībā uz inovāciju iepirkumu veikšanu, jāņem vērā, ka inovāciju izpratnes un vajadzības veicināšana ir inovāciju politikas veidotāju kompetencē, par ko ir atbildīga Ekonomikas ministrija, kas attiecīgi jau noteikta kā atbildīgā par minētā uzdevuma izpildi. </w:t>
            </w:r>
          </w:p>
          <w:p w14:paraId="6FE8CFF2" w14:textId="77777777" w:rsidR="00C857FC" w:rsidRPr="009841AB" w:rsidRDefault="00C857FC" w:rsidP="00C857FC">
            <w:pPr>
              <w:ind w:right="12"/>
              <w:jc w:val="both"/>
            </w:pPr>
            <w:r>
              <w:t xml:space="preserve">Ņemot vērā izziņas par atzinumos sniegtajiem iebildumiem 223.-224.lpp. norādīto, ka IUB iesaiste būs nepieciešama, lai precizētu regulējumu attiecībā uz inovāciju iepirkumu, vēršam uzmanību, ka pamatnostādņu projektā nav informācijas par nepieciešamajiem precizējumiem publisko iepirkumu regulējumā, līdz ar to nav identificējama nepieciešamība minētā uzdevuma izpildē kā līdzatbildīgo institūciju noteikt IUB (vai arī Finanšu ministriju). Vienlaikus paskaidrojam, ka publisko iepirkumu tiesiskais regulējums par inovāciju iepirkumu veikšanu Latvijā ir izstrādāts atbilstoši attiecīgajam Eiropas Savienības iepirkumu regulējumam, kā arī tas jau šobrīd ir maksimāli elastīgs dažāda veida inovāciju iepirkumu īstenošanai, līdz ar </w:t>
            </w:r>
            <w:r>
              <w:lastRenderedPageBreak/>
              <w:t>to uzskatām, ka būtiskākais, lai veicinātu “valsts pārvaldes un komersantu izpratni un spējas inovāciju iepirkuma pielietošanai”, ir inovāciju izpratnes un vajadzības veicināšana, kas ir Ekonomikas ministrijas kā attiecīgās nozares ministrijas uzdevums.</w:t>
            </w:r>
          </w:p>
        </w:tc>
        <w:tc>
          <w:tcPr>
            <w:tcW w:w="2480" w:type="dxa"/>
            <w:tcBorders>
              <w:left w:val="single" w:sz="6" w:space="0" w:color="000000" w:themeColor="text1"/>
              <w:bottom w:val="single" w:sz="4" w:space="0" w:color="auto"/>
            </w:tcBorders>
            <w:shd w:val="clear" w:color="auto" w:fill="auto"/>
          </w:tcPr>
          <w:p w14:paraId="517E58B2" w14:textId="4C305AA2" w:rsidR="00C857FC" w:rsidRDefault="00C857FC" w:rsidP="00C857FC">
            <w:pPr>
              <w:pStyle w:val="naisc"/>
              <w:spacing w:before="0" w:after="0"/>
              <w:jc w:val="left"/>
              <w:rPr>
                <w:color w:val="000000" w:themeColor="text1"/>
                <w:lang w:val="lv"/>
              </w:rPr>
            </w:pPr>
            <w:r>
              <w:rPr>
                <w:b/>
                <w:bCs/>
              </w:rPr>
              <w:lastRenderedPageBreak/>
              <w:t>Ņemts vērā</w:t>
            </w:r>
          </w:p>
          <w:p w14:paraId="771D8026" w14:textId="77777777" w:rsidR="00C857FC" w:rsidRPr="009841AB" w:rsidRDefault="00C857FC" w:rsidP="00C857FC">
            <w:pPr>
              <w:pStyle w:val="naisc"/>
              <w:spacing w:before="0" w:after="0"/>
              <w:jc w:val="left"/>
              <w:rPr>
                <w:b/>
                <w:bCs/>
              </w:rPr>
            </w:pPr>
            <w:r w:rsidRPr="006B7455">
              <w:rPr>
                <w:color w:val="000000" w:themeColor="text1"/>
                <w:lang w:val="lv"/>
              </w:rPr>
              <w:t>Līdzatbildīgie</w:t>
            </w:r>
            <w:r>
              <w:rPr>
                <w:color w:val="000000" w:themeColor="text1"/>
                <w:lang w:val="lv"/>
              </w:rPr>
              <w:t xml:space="preserve">: </w:t>
            </w:r>
            <w:r w:rsidRPr="006B7455">
              <w:t>IZM, komersanti, zinātniskās ins</w:t>
            </w:r>
            <w:r>
              <w:t>t</w:t>
            </w:r>
            <w:r w:rsidRPr="006B7455">
              <w:t>itūcijas</w:t>
            </w:r>
          </w:p>
        </w:tc>
        <w:tc>
          <w:tcPr>
            <w:tcW w:w="3497" w:type="dxa"/>
            <w:tcBorders>
              <w:left w:val="single" w:sz="6" w:space="0" w:color="000000" w:themeColor="text1"/>
              <w:bottom w:val="single" w:sz="4" w:space="0" w:color="auto"/>
            </w:tcBorders>
            <w:shd w:val="clear" w:color="auto" w:fill="auto"/>
          </w:tcPr>
          <w:p w14:paraId="41CA29B1" w14:textId="77777777" w:rsidR="00C857FC" w:rsidRPr="009841AB" w:rsidRDefault="00C857FC" w:rsidP="00C857FC">
            <w:pPr>
              <w:pStyle w:val="naisc"/>
              <w:spacing w:before="0" w:after="0"/>
              <w:jc w:val="both"/>
            </w:pPr>
            <w:r>
              <w:t xml:space="preserve">Lūdzu skatīt </w:t>
            </w:r>
            <w:proofErr w:type="spellStart"/>
            <w:r>
              <w:t>apakšsadaļu</w:t>
            </w:r>
            <w:proofErr w:type="spellEnd"/>
            <w:r>
              <w:t xml:space="preserve"> 4.5.1.</w:t>
            </w:r>
          </w:p>
        </w:tc>
      </w:tr>
      <w:tr w:rsidR="00FE0078" w:rsidRPr="009841AB" w14:paraId="77C0FF21"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D776094" w14:textId="77777777" w:rsidR="00FE0078" w:rsidRPr="009841AB" w:rsidRDefault="00FE0078" w:rsidP="00FE0078">
            <w:pPr>
              <w:tabs>
                <w:tab w:val="left" w:pos="720"/>
              </w:tabs>
              <w:contextualSpacing/>
              <w:jc w:val="both"/>
              <w:rPr>
                <w:b/>
                <w:bCs/>
                <w:lang w:eastAsia="en-US"/>
              </w:rPr>
            </w:pPr>
            <w:r w:rsidRPr="009841AB">
              <w:rPr>
                <w:b/>
                <w:bCs/>
                <w:lang w:eastAsia="en-US"/>
              </w:rPr>
              <w:t>Izglītības un zinātnes ministrijas 27.01.2021. atzinums:</w:t>
            </w:r>
          </w:p>
        </w:tc>
      </w:tr>
      <w:tr w:rsidR="00FE0078" w:rsidRPr="009841AB" w14:paraId="2D9EF14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2088E5F" w14:textId="77777777" w:rsidR="00FE0078" w:rsidRPr="009841AB" w:rsidRDefault="003676A5" w:rsidP="00FE0078">
            <w:pPr>
              <w:pStyle w:val="naisc"/>
              <w:spacing w:before="0" w:after="0"/>
            </w:pPr>
            <w:r>
              <w:t>482</w:t>
            </w:r>
          </w:p>
        </w:tc>
        <w:tc>
          <w:tcPr>
            <w:tcW w:w="2427" w:type="dxa"/>
            <w:tcBorders>
              <w:left w:val="single" w:sz="6" w:space="0" w:color="000000" w:themeColor="text1"/>
              <w:bottom w:val="single" w:sz="4" w:space="0" w:color="auto"/>
            </w:tcBorders>
            <w:shd w:val="clear" w:color="auto" w:fill="auto"/>
          </w:tcPr>
          <w:p w14:paraId="5D4AB63D"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163E394D" w14:textId="77777777" w:rsidR="00FE0078" w:rsidRPr="009841AB" w:rsidRDefault="00FE0078" w:rsidP="00FE0078">
            <w:pPr>
              <w:ind w:right="12"/>
              <w:jc w:val="both"/>
            </w:pPr>
            <w:r w:rsidRPr="009841AB">
              <w:t xml:space="preserve">1. Lūdzam skaidrot, vai ar uzdevumu U4.5.2.-1 “Vienota rīcības plāna izstrāde un ieviešana digitālo prasmju kā caurviju </w:t>
            </w:r>
            <w:proofErr w:type="spellStart"/>
            <w:r w:rsidRPr="009841AB">
              <w:t>pamatprasmju</w:t>
            </w:r>
            <w:proofErr w:type="spellEnd"/>
            <w:r w:rsidRPr="009841AB">
              <w:t xml:space="preserve"> apguves nodrošināšanai katram iedzīvotājam”, kura izpildei atbildīgā institūcija ir VARAM un uzdevumu U4.1.1.-1 “Vienota rīcības plāna izstrāde un ieviešana digitālo prasmju kā caurviju </w:t>
            </w:r>
            <w:proofErr w:type="spellStart"/>
            <w:r w:rsidRPr="009841AB">
              <w:t>pamatprasmju</w:t>
            </w:r>
            <w:proofErr w:type="spellEnd"/>
            <w:r w:rsidRPr="009841AB">
              <w:t xml:space="preserve"> apguves nodrošināšanai katram iedzīvotājam”, kuram kā atbildīgā institūcija ir noteikta IZM ir domāti divi atsevišķi plāni, vai tomēr viens un kura institūcija tiek paredzēta kā atbildīgā par šī plāna izstrādi.</w:t>
            </w:r>
          </w:p>
        </w:tc>
        <w:tc>
          <w:tcPr>
            <w:tcW w:w="2480" w:type="dxa"/>
            <w:tcBorders>
              <w:left w:val="single" w:sz="6" w:space="0" w:color="000000" w:themeColor="text1"/>
              <w:bottom w:val="single" w:sz="4" w:space="0" w:color="auto"/>
            </w:tcBorders>
            <w:shd w:val="clear" w:color="auto" w:fill="auto"/>
          </w:tcPr>
          <w:p w14:paraId="6C28EB1A" w14:textId="77777777" w:rsidR="00FE0078" w:rsidRPr="00F44824" w:rsidRDefault="00FE0078" w:rsidP="00FE0078">
            <w:pPr>
              <w:rPr>
                <w:b/>
                <w:bCs/>
              </w:rPr>
            </w:pPr>
            <w:r w:rsidRPr="009841AB">
              <w:rPr>
                <w:b/>
                <w:bCs/>
              </w:rPr>
              <w:t>Ņemts vērā</w:t>
            </w:r>
          </w:p>
          <w:p w14:paraId="78D0441F" w14:textId="77777777" w:rsidR="00FE0078" w:rsidRPr="009841AB" w:rsidRDefault="00FE0078" w:rsidP="00FE0078">
            <w:r w:rsidRPr="009841AB">
              <w:t xml:space="preserve">U4.1.1.-1 svītrots. </w:t>
            </w:r>
          </w:p>
          <w:p w14:paraId="68D246E1" w14:textId="77777777" w:rsidR="00FE0078" w:rsidRPr="009841AB" w:rsidRDefault="00FE0078"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65F61C0C" w14:textId="77777777" w:rsidR="00FE0078" w:rsidRPr="009841AB" w:rsidRDefault="00FE0078" w:rsidP="00FE0078">
            <w:pPr>
              <w:pStyle w:val="naisc"/>
              <w:spacing w:before="0" w:after="0"/>
              <w:jc w:val="both"/>
            </w:pPr>
          </w:p>
        </w:tc>
      </w:tr>
      <w:tr w:rsidR="00FE0078" w:rsidRPr="009841AB" w14:paraId="110ACBF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59BAA87" w14:textId="77777777" w:rsidR="00FE0078" w:rsidRPr="009841AB" w:rsidRDefault="003676A5" w:rsidP="00FE0078">
            <w:pPr>
              <w:pStyle w:val="naisc"/>
              <w:spacing w:before="0" w:after="0"/>
            </w:pPr>
            <w:r>
              <w:t>483</w:t>
            </w:r>
          </w:p>
        </w:tc>
        <w:tc>
          <w:tcPr>
            <w:tcW w:w="2427" w:type="dxa"/>
            <w:tcBorders>
              <w:left w:val="single" w:sz="6" w:space="0" w:color="000000" w:themeColor="text1"/>
              <w:bottom w:val="single" w:sz="4" w:space="0" w:color="auto"/>
            </w:tcBorders>
            <w:shd w:val="clear" w:color="auto" w:fill="auto"/>
          </w:tcPr>
          <w:p w14:paraId="7FE9E68A"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4B3E32BE" w14:textId="77777777" w:rsidR="00FE0078" w:rsidRPr="009841AB" w:rsidRDefault="00FE0078" w:rsidP="00FE0078">
            <w:pPr>
              <w:ind w:right="12"/>
              <w:jc w:val="both"/>
            </w:pPr>
            <w:r w:rsidRPr="009841AB">
              <w:t>2.</w:t>
            </w:r>
            <w:r w:rsidRPr="009841AB">
              <w:tab/>
              <w:t>Pamatnostādņu projekta sadaļas 4.5.1. “Rīcības virziens: Cilvēkresursu un infrastruktūras attīstība digitālo inovāciju sekmēšanai” aprakstā pamatā tiek runāts par kvalificētu cilvēkresursu trūkumu, bet noteiktie uzdevumi tiešā veidā nerisina cilvēku iesaisti IKT studijās augstākā līmenī. Uzdevumos minētie pasākumi ir vērsti, lai attīstītu nepieciešamo infrastruktūru, bet no sadaļā sniegtā apraksta secināms, ka galvenā problēma ir cilvēkresursu nepietiekamais apjoms un kvalifikācijas trūkums, līdz ar to pastāv bažas, ka uzdevumos minēto infrastruktūru un pakalpojumus nebūs kam izmantot. Lūdzam papildināt uzdevumus vai aprakstu ar darbībām, kas tiešā veidā ir vērstas uz cilvēkresursu skaita palielināšanu IKT studijās augstākā līmenī, vai arī sniegt aprakstu, kā sadaļā 4.5.1. noteiktie uzdevumi risina nepietiekamu cilvēku iesaisti IKT studijās augstākā līmenī.</w:t>
            </w:r>
          </w:p>
        </w:tc>
        <w:tc>
          <w:tcPr>
            <w:tcW w:w="2480" w:type="dxa"/>
            <w:tcBorders>
              <w:left w:val="single" w:sz="6" w:space="0" w:color="000000" w:themeColor="text1"/>
              <w:bottom w:val="single" w:sz="4" w:space="0" w:color="auto"/>
            </w:tcBorders>
            <w:shd w:val="clear" w:color="auto" w:fill="auto"/>
          </w:tcPr>
          <w:p w14:paraId="2C2D918B" w14:textId="77777777" w:rsidR="00FE0078" w:rsidRPr="009841AB" w:rsidRDefault="00FE0078" w:rsidP="00FE0078">
            <w:pPr>
              <w:pStyle w:val="naisc"/>
              <w:spacing w:before="0" w:after="0"/>
              <w:jc w:val="left"/>
              <w:rPr>
                <w:b/>
                <w:bCs/>
              </w:rPr>
            </w:pPr>
            <w:r w:rsidRPr="009841AB">
              <w:rPr>
                <w:b/>
                <w:bCs/>
              </w:rPr>
              <w:t>Ņemts vērā</w:t>
            </w:r>
          </w:p>
          <w:p w14:paraId="6B355843" w14:textId="77777777" w:rsidR="00FE0078" w:rsidRPr="009841AB" w:rsidRDefault="00FE0078" w:rsidP="00FE0078">
            <w:pPr>
              <w:pStyle w:val="naisc"/>
              <w:spacing w:before="0" w:after="0"/>
              <w:jc w:val="left"/>
            </w:pPr>
            <w:r w:rsidRPr="009841AB">
              <w:t>Papildināts ar U4.5.1.-6 Palielināt valsts apmaksāto studiju vietu skaitu doktorantūras līmenī un stipendiju lielumu.</w:t>
            </w:r>
          </w:p>
        </w:tc>
        <w:tc>
          <w:tcPr>
            <w:tcW w:w="3497" w:type="dxa"/>
            <w:tcBorders>
              <w:left w:val="single" w:sz="6" w:space="0" w:color="000000" w:themeColor="text1"/>
              <w:bottom w:val="single" w:sz="4" w:space="0" w:color="auto"/>
            </w:tcBorders>
            <w:shd w:val="clear" w:color="auto" w:fill="auto"/>
          </w:tcPr>
          <w:p w14:paraId="7887E937"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4.5.1.</w:t>
            </w:r>
          </w:p>
        </w:tc>
      </w:tr>
      <w:tr w:rsidR="00FE0078" w:rsidRPr="009841AB" w14:paraId="6729FAD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63F3BE9" w14:textId="77777777" w:rsidR="00FE0078" w:rsidRPr="009841AB" w:rsidRDefault="00FE0078" w:rsidP="00FE0078">
            <w:pPr>
              <w:pStyle w:val="naisc"/>
              <w:spacing w:before="0" w:after="0"/>
            </w:pPr>
          </w:p>
        </w:tc>
        <w:tc>
          <w:tcPr>
            <w:tcW w:w="2427" w:type="dxa"/>
            <w:tcBorders>
              <w:left w:val="single" w:sz="6" w:space="0" w:color="000000" w:themeColor="text1"/>
              <w:bottom w:val="single" w:sz="4" w:space="0" w:color="auto"/>
            </w:tcBorders>
            <w:shd w:val="clear" w:color="auto" w:fill="auto"/>
          </w:tcPr>
          <w:p w14:paraId="22EA458B" w14:textId="77777777" w:rsidR="00FE0078" w:rsidRPr="009841AB" w:rsidRDefault="00FE0078" w:rsidP="00FE0078">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107AAE8E" w14:textId="77777777" w:rsidR="00FE0078" w:rsidRPr="009841AB" w:rsidRDefault="00FE0078" w:rsidP="00FE0078">
            <w:pPr>
              <w:ind w:right="12"/>
              <w:jc w:val="both"/>
            </w:pPr>
            <w:r w:rsidRPr="009841AB">
              <w:rPr>
                <w:b/>
                <w:bCs/>
              </w:rPr>
              <w:t>Priekšlikumi:</w:t>
            </w:r>
          </w:p>
        </w:tc>
        <w:tc>
          <w:tcPr>
            <w:tcW w:w="2480" w:type="dxa"/>
            <w:tcBorders>
              <w:left w:val="single" w:sz="6" w:space="0" w:color="000000" w:themeColor="text1"/>
              <w:bottom w:val="single" w:sz="4" w:space="0" w:color="auto"/>
            </w:tcBorders>
            <w:shd w:val="clear" w:color="auto" w:fill="auto"/>
          </w:tcPr>
          <w:p w14:paraId="4D8734E2" w14:textId="77777777" w:rsidR="00FE0078" w:rsidRPr="009841AB" w:rsidRDefault="00FE0078"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57049DE3" w14:textId="77777777" w:rsidR="00FE0078" w:rsidRPr="009841AB" w:rsidRDefault="00FE0078" w:rsidP="00FE0078">
            <w:pPr>
              <w:pStyle w:val="naisc"/>
              <w:spacing w:before="0" w:after="0"/>
              <w:jc w:val="both"/>
            </w:pPr>
          </w:p>
        </w:tc>
      </w:tr>
      <w:tr w:rsidR="00FE0078" w:rsidRPr="009841AB" w14:paraId="1A87E72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089AB41" w14:textId="77777777" w:rsidR="00FE0078" w:rsidRPr="009841AB" w:rsidRDefault="003676A5" w:rsidP="00FE0078">
            <w:pPr>
              <w:pStyle w:val="naisc"/>
              <w:spacing w:before="0" w:after="0"/>
            </w:pPr>
            <w:r>
              <w:t>484</w:t>
            </w:r>
          </w:p>
        </w:tc>
        <w:tc>
          <w:tcPr>
            <w:tcW w:w="2427" w:type="dxa"/>
            <w:tcBorders>
              <w:left w:val="single" w:sz="6" w:space="0" w:color="000000" w:themeColor="text1"/>
              <w:bottom w:val="single" w:sz="4" w:space="0" w:color="auto"/>
            </w:tcBorders>
            <w:shd w:val="clear" w:color="auto" w:fill="auto"/>
          </w:tcPr>
          <w:p w14:paraId="4C7BB494"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40CB750C" w14:textId="77777777" w:rsidR="00FE0078" w:rsidRPr="009841AB" w:rsidRDefault="00FE0078" w:rsidP="00FE0078">
            <w:pPr>
              <w:ind w:right="12"/>
              <w:jc w:val="both"/>
            </w:pPr>
            <w:r w:rsidRPr="009841AB">
              <w:t>1.</w:t>
            </w:r>
            <w:r w:rsidRPr="009841AB">
              <w:tab/>
              <w:t xml:space="preserve">sadaļas 4.5.1. “Rīcības virziens: Cilvēkresursu un infrastruktūras attīstība digitālo inovāciju sekmēšanai” </w:t>
            </w:r>
            <w:proofErr w:type="spellStart"/>
            <w:r w:rsidRPr="009841AB">
              <w:t>apakšsadaļā</w:t>
            </w:r>
            <w:proofErr w:type="spellEnd"/>
            <w:r w:rsidRPr="009841AB">
              <w:t xml:space="preserve"> “Pētniecības </w:t>
            </w:r>
            <w:proofErr w:type="spellStart"/>
            <w:r w:rsidRPr="009841AB">
              <w:t>cilvēkkapitāls</w:t>
            </w:r>
            <w:proofErr w:type="spellEnd"/>
            <w:r w:rsidRPr="009841AB">
              <w:t xml:space="preserve"> un tā atjaunotne” teikumā: “Doktora studijas IKT jomā Latvijā piedāvā astoņas augstākās izglītības iestādes astoņpadsmit doktora studiju programmās” vārdu astoņpadsmit aizstāt ar vārdu septiņpadsmit (RTU 7, LU 3, DU 2, LLU 1, RTA 1, </w:t>
            </w:r>
            <w:proofErr w:type="spellStart"/>
            <w:r w:rsidRPr="009841AB">
              <w:t>ViA</w:t>
            </w:r>
            <w:proofErr w:type="spellEnd"/>
            <w:r w:rsidRPr="009841AB">
              <w:t xml:space="preserve"> 1, </w:t>
            </w:r>
            <w:proofErr w:type="spellStart"/>
            <w:r w:rsidRPr="009841AB">
              <w:t>LiepU</w:t>
            </w:r>
            <w:proofErr w:type="spellEnd"/>
            <w:r w:rsidRPr="009841AB">
              <w:t xml:space="preserve"> 1, TSI 1).</w:t>
            </w:r>
          </w:p>
        </w:tc>
        <w:tc>
          <w:tcPr>
            <w:tcW w:w="2480" w:type="dxa"/>
            <w:tcBorders>
              <w:left w:val="single" w:sz="6" w:space="0" w:color="000000" w:themeColor="text1"/>
              <w:bottom w:val="single" w:sz="4" w:space="0" w:color="auto"/>
            </w:tcBorders>
            <w:shd w:val="clear" w:color="auto" w:fill="auto"/>
          </w:tcPr>
          <w:p w14:paraId="58561AAF" w14:textId="77777777" w:rsidR="00FE0078" w:rsidRPr="009841AB" w:rsidRDefault="00FE0078"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7A4A96CB"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4.5.1.</w:t>
            </w:r>
          </w:p>
        </w:tc>
      </w:tr>
      <w:tr w:rsidR="00FE0078" w:rsidRPr="009841AB" w14:paraId="273A111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ABC85E2" w14:textId="77777777" w:rsidR="00FE0078" w:rsidRPr="009841AB" w:rsidRDefault="003676A5" w:rsidP="00FE0078">
            <w:pPr>
              <w:pStyle w:val="naisc"/>
              <w:spacing w:before="0" w:after="0"/>
            </w:pPr>
            <w:r>
              <w:t>485</w:t>
            </w:r>
          </w:p>
        </w:tc>
        <w:tc>
          <w:tcPr>
            <w:tcW w:w="2427" w:type="dxa"/>
            <w:tcBorders>
              <w:left w:val="single" w:sz="6" w:space="0" w:color="000000" w:themeColor="text1"/>
              <w:bottom w:val="single" w:sz="4" w:space="0" w:color="auto"/>
            </w:tcBorders>
            <w:shd w:val="clear" w:color="auto" w:fill="auto"/>
          </w:tcPr>
          <w:p w14:paraId="5D691574"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2368E1A1" w14:textId="77777777" w:rsidR="00FE0078" w:rsidRPr="009841AB" w:rsidRDefault="00FE0078" w:rsidP="00FE0078">
            <w:pPr>
              <w:ind w:right="12"/>
              <w:jc w:val="both"/>
            </w:pPr>
            <w:r w:rsidRPr="009841AB">
              <w:t>2.</w:t>
            </w:r>
            <w:r w:rsidRPr="009841AB">
              <w:tab/>
              <w:t xml:space="preserve">216.lp. – lūgums 7.att. leģendā norādīt, kura no līnijām ir imatrikulēto studējošo skaits un kura </w:t>
            </w:r>
            <w:proofErr w:type="spellStart"/>
            <w:r w:rsidRPr="009841AB">
              <w:t>eksmatrikulēto</w:t>
            </w:r>
            <w:proofErr w:type="spellEnd"/>
            <w:r w:rsidRPr="009841AB">
              <w:t xml:space="preserve"> studējošo skaits. </w:t>
            </w:r>
          </w:p>
        </w:tc>
        <w:tc>
          <w:tcPr>
            <w:tcW w:w="2480" w:type="dxa"/>
            <w:tcBorders>
              <w:left w:val="single" w:sz="6" w:space="0" w:color="000000" w:themeColor="text1"/>
              <w:bottom w:val="single" w:sz="4" w:space="0" w:color="auto"/>
            </w:tcBorders>
            <w:shd w:val="clear" w:color="auto" w:fill="auto"/>
          </w:tcPr>
          <w:p w14:paraId="09A492D7" w14:textId="77777777" w:rsidR="00FE0078" w:rsidRPr="009841AB" w:rsidRDefault="00FE0078"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09A2022C"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4.5.</w:t>
            </w:r>
          </w:p>
        </w:tc>
      </w:tr>
      <w:tr w:rsidR="00FE0078" w:rsidRPr="009841AB" w14:paraId="08D1888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9ADDD7E" w14:textId="77777777" w:rsidR="00FE0078" w:rsidRPr="009841AB" w:rsidRDefault="003676A5" w:rsidP="00FE0078">
            <w:pPr>
              <w:pStyle w:val="naisc"/>
              <w:spacing w:before="0" w:after="0"/>
            </w:pPr>
            <w:r>
              <w:t>486</w:t>
            </w:r>
          </w:p>
        </w:tc>
        <w:tc>
          <w:tcPr>
            <w:tcW w:w="2427" w:type="dxa"/>
            <w:tcBorders>
              <w:left w:val="single" w:sz="6" w:space="0" w:color="000000" w:themeColor="text1"/>
              <w:bottom w:val="single" w:sz="4" w:space="0" w:color="auto"/>
            </w:tcBorders>
            <w:shd w:val="clear" w:color="auto" w:fill="auto"/>
          </w:tcPr>
          <w:p w14:paraId="1E171194"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760A1655" w14:textId="77777777" w:rsidR="00FE0078" w:rsidRPr="009841AB" w:rsidRDefault="00FE0078" w:rsidP="00FE0078">
            <w:pPr>
              <w:ind w:right="12"/>
              <w:jc w:val="both"/>
            </w:pPr>
            <w:r w:rsidRPr="009841AB">
              <w:t>3.</w:t>
            </w:r>
            <w:r w:rsidRPr="009841AB">
              <w:tab/>
              <w:t xml:space="preserve">sadaļas 4.5.1. “Rīcības virziens: Cilvēkresursu un infrastruktūras attīstība digitālo inovāciju sekmēšanai” 217. un 218. </w:t>
            </w:r>
            <w:proofErr w:type="spellStart"/>
            <w:r w:rsidRPr="009841AB">
              <w:t>lpp</w:t>
            </w:r>
            <w:proofErr w:type="spellEnd"/>
            <w:r w:rsidRPr="009841AB">
              <w:t xml:space="preserve"> atkārtojas rindkopa “Ņemot vērā, ka Latvijā nav visu specialitāšu pasniedzēju, tad 50% no studijām būtu jānotiek angļu valodā.” Lūdzam vienu no tām dzēst.</w:t>
            </w:r>
          </w:p>
        </w:tc>
        <w:tc>
          <w:tcPr>
            <w:tcW w:w="2480" w:type="dxa"/>
            <w:tcBorders>
              <w:left w:val="single" w:sz="6" w:space="0" w:color="000000" w:themeColor="text1"/>
              <w:bottom w:val="single" w:sz="4" w:space="0" w:color="auto"/>
            </w:tcBorders>
            <w:shd w:val="clear" w:color="auto" w:fill="auto"/>
          </w:tcPr>
          <w:p w14:paraId="7C07A43A" w14:textId="77777777" w:rsidR="00FE0078" w:rsidRPr="009841AB" w:rsidRDefault="00FE0078" w:rsidP="00FE0078">
            <w:pPr>
              <w:pStyle w:val="naisc"/>
              <w:spacing w:before="0" w:after="0"/>
              <w:jc w:val="left"/>
              <w:rPr>
                <w:b/>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4C342DE5"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4.5.1.</w:t>
            </w:r>
          </w:p>
        </w:tc>
      </w:tr>
      <w:tr w:rsidR="00FE0078" w:rsidRPr="009841AB" w14:paraId="7347F098"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96F70D1" w14:textId="77777777" w:rsidR="00FE0078" w:rsidRPr="009841AB" w:rsidRDefault="00FE0078" w:rsidP="00FE0078">
            <w:pPr>
              <w:tabs>
                <w:tab w:val="left" w:pos="720"/>
              </w:tabs>
              <w:contextualSpacing/>
              <w:jc w:val="both"/>
              <w:rPr>
                <w:b/>
                <w:bCs/>
                <w:lang w:eastAsia="en-US"/>
              </w:rPr>
            </w:pPr>
            <w:r w:rsidRPr="009841AB">
              <w:rPr>
                <w:b/>
                <w:bCs/>
                <w:lang w:eastAsia="en-US"/>
              </w:rPr>
              <w:t>Latvijas Darba devēju konfederācijas 29.01.2021. atzinums:</w:t>
            </w:r>
          </w:p>
        </w:tc>
      </w:tr>
      <w:tr w:rsidR="00FE0078" w:rsidRPr="009841AB" w14:paraId="43008CE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9E5DBED" w14:textId="77777777" w:rsidR="00FE0078" w:rsidRPr="009841AB" w:rsidRDefault="003676A5" w:rsidP="00FE0078">
            <w:pPr>
              <w:pStyle w:val="naisc"/>
              <w:spacing w:before="0" w:after="0"/>
            </w:pPr>
            <w:r>
              <w:t>487</w:t>
            </w:r>
          </w:p>
        </w:tc>
        <w:tc>
          <w:tcPr>
            <w:tcW w:w="2427" w:type="dxa"/>
            <w:tcBorders>
              <w:left w:val="single" w:sz="6" w:space="0" w:color="000000" w:themeColor="text1"/>
              <w:bottom w:val="single" w:sz="4" w:space="0" w:color="auto"/>
            </w:tcBorders>
            <w:shd w:val="clear" w:color="auto" w:fill="auto"/>
          </w:tcPr>
          <w:p w14:paraId="7232CB5E"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21B0BECD" w14:textId="77777777" w:rsidR="00FE0078" w:rsidRPr="009841AB" w:rsidRDefault="00FE0078" w:rsidP="00FE0078">
            <w:pPr>
              <w:ind w:right="12"/>
              <w:jc w:val="both"/>
            </w:pPr>
            <w:r w:rsidRPr="009841AB">
              <w:t xml:space="preserve">LDDK aicina papildināt rīcības virzienu 4.5.2. ar Latvijas aviācijas nozarei būtiskiem darbības virzieniem un projektiem, kur atbilstošo </w:t>
            </w:r>
            <w:proofErr w:type="spellStart"/>
            <w:r w:rsidRPr="009841AB">
              <w:t>grantu</w:t>
            </w:r>
            <w:proofErr w:type="spellEnd"/>
            <w:r w:rsidRPr="009841AB">
              <w:t xml:space="preserve"> saņēmējiem būtu jābūt gan valsts pārvaldes institūcijām, piemēram VA “Civilās Aviācijas Aģentūra” vai Transporta nelaimes gadījumu izmeklēšanas birojs, gan valsts kapitālsabiedrībām, un īpaši būtiski ir nodrošināt arī privāto kapitālsabiedrību pieejamību </w:t>
            </w:r>
            <w:proofErr w:type="spellStart"/>
            <w:r w:rsidRPr="009841AB">
              <w:t>grantu</w:t>
            </w:r>
            <w:proofErr w:type="spellEnd"/>
            <w:r w:rsidRPr="009841AB">
              <w:t xml:space="preserve"> projektiem. Aviācijas nozare ir definējusi sekojošus IKT projektus un darbību virzienus aviācijas IKT transformācijai:</w:t>
            </w:r>
          </w:p>
          <w:p w14:paraId="14947672" w14:textId="77777777" w:rsidR="00FE0078" w:rsidRPr="009841AB" w:rsidRDefault="00FE0078" w:rsidP="00FE0078">
            <w:pPr>
              <w:ind w:right="12"/>
              <w:jc w:val="both"/>
            </w:pPr>
            <w:r w:rsidRPr="009841AB">
              <w:t>-</w:t>
            </w:r>
            <w:r w:rsidRPr="009841AB">
              <w:tab/>
              <w:t xml:space="preserve">Aeronautikas datu atvēršana privātajam sektoram – saistīto atvērto datu ekosistēmas un datu garantētas piegādes pakalpojuma izveide, t.sk. kvalitātes standartu izveide un ieviešana, datu kopu ar augstu pievienoto vērtību atvēršana. Tai skaitā, </w:t>
            </w:r>
            <w:r w:rsidRPr="009841AB">
              <w:lastRenderedPageBreak/>
              <w:t>Bezpilota gaisa kuģu (BKG) pakalpojumu publiskais portāls, kurā būtu pieejama informācija un pakalpojumi gan BKG operatoriem un kopējai BKG ekosistēmai, gan sabiedrības informācijai par BKG plānotajām lidojumu zonām un noteikumiem, kas jo īpaši būs būtiski, lidojumu skaitam palielinoties sabiedriskās vietās un apdzīvotu vietu tuvumā.</w:t>
            </w:r>
          </w:p>
          <w:p w14:paraId="1E90C131" w14:textId="77777777" w:rsidR="00FE0078" w:rsidRPr="009841AB" w:rsidRDefault="00FE0078" w:rsidP="00FE0078">
            <w:pPr>
              <w:ind w:right="12"/>
              <w:jc w:val="both"/>
            </w:pPr>
            <w:r w:rsidRPr="009841AB">
              <w:t>-</w:t>
            </w:r>
            <w:r w:rsidRPr="009841AB">
              <w:tab/>
              <w:t>Inovatīvu tehnoloģiju attīstība un ieviešana, kas pieļautu attālinātu gaisa satiksmes vadību (</w:t>
            </w:r>
            <w:proofErr w:type="spellStart"/>
            <w:r w:rsidRPr="009841AB">
              <w:t>Remote</w:t>
            </w:r>
            <w:proofErr w:type="spellEnd"/>
            <w:r w:rsidRPr="009841AB">
              <w:t xml:space="preserve"> </w:t>
            </w:r>
            <w:proofErr w:type="spellStart"/>
            <w:r w:rsidRPr="009841AB">
              <w:t>tower</w:t>
            </w:r>
            <w:proofErr w:type="spellEnd"/>
            <w:r w:rsidRPr="009841AB">
              <w:t xml:space="preserve"> </w:t>
            </w:r>
            <w:proofErr w:type="spellStart"/>
            <w:r w:rsidRPr="009841AB">
              <w:t>solutions</w:t>
            </w:r>
            <w:proofErr w:type="spellEnd"/>
            <w:r w:rsidRPr="009841AB">
              <w:t>), kas ļautu ar digitālu risinājumu palīdzību efektīvi sniegt gaisa satiksmes vadības pakalpojumus gan lidostās ar mazāku intensitāti ārpus Rīgas (Liepāja, Daugavpils, Tukums, citi lidlauki), gan arī nepieciešamības gadījumā arī mazākos lidlaukos ārpus Latvijas (t.i. intelektuālo pakalpojumu eksports).</w:t>
            </w:r>
          </w:p>
          <w:p w14:paraId="32503D1C" w14:textId="77777777" w:rsidR="00FE0078" w:rsidRPr="009841AB" w:rsidRDefault="00FE0078" w:rsidP="00FE0078">
            <w:pPr>
              <w:ind w:right="12"/>
              <w:jc w:val="both"/>
            </w:pPr>
            <w:r w:rsidRPr="009841AB">
              <w:t>-</w:t>
            </w:r>
            <w:r w:rsidRPr="009841AB">
              <w:tab/>
              <w:t xml:space="preserve">Inovatīvu datu krātuves pakalpojumu (ATM </w:t>
            </w:r>
            <w:proofErr w:type="spellStart"/>
            <w:r w:rsidRPr="009841AB">
              <w:t>Data</w:t>
            </w:r>
            <w:proofErr w:type="spellEnd"/>
            <w:r w:rsidRPr="009841AB">
              <w:t xml:space="preserve"> </w:t>
            </w:r>
            <w:proofErr w:type="spellStart"/>
            <w:r w:rsidRPr="009841AB">
              <w:t>Warehouse</w:t>
            </w:r>
            <w:proofErr w:type="spellEnd"/>
            <w:r w:rsidRPr="009841AB">
              <w:t>) atbalsts, kas ļautu Latvijas aeronavigācijas pakalpojumu uzņēmumam konkurēt starpvalstu pakalpojumu sniegšanā atbilstoši jaunākajām Eiropas Komisijas iniciatīvām par efektīvāku aeronavigācijas pakalpojumu sniegšanu.</w:t>
            </w:r>
          </w:p>
          <w:p w14:paraId="4B451983" w14:textId="77777777" w:rsidR="00FE0078" w:rsidRPr="009841AB" w:rsidRDefault="00FE0078" w:rsidP="00FE0078">
            <w:pPr>
              <w:ind w:right="12"/>
              <w:jc w:val="both"/>
            </w:pPr>
            <w:r w:rsidRPr="009841AB">
              <w:t>-</w:t>
            </w:r>
            <w:r w:rsidRPr="009841AB">
              <w:tab/>
              <w:t>Datu pārraides automatizācija, lai mazinātu cilvēciskās kļūdas un ,,cilvēks-cilvēks” datu nodošanu. SWIM (</w:t>
            </w:r>
            <w:proofErr w:type="spellStart"/>
            <w:r w:rsidRPr="009841AB">
              <w:t>System</w:t>
            </w:r>
            <w:proofErr w:type="spellEnd"/>
            <w:r w:rsidRPr="009841AB">
              <w:t xml:space="preserve"> </w:t>
            </w:r>
            <w:proofErr w:type="spellStart"/>
            <w:r w:rsidRPr="009841AB">
              <w:t>Wide</w:t>
            </w:r>
            <w:proofErr w:type="spellEnd"/>
            <w:r w:rsidRPr="009841AB">
              <w:t xml:space="preserve"> </w:t>
            </w:r>
            <w:proofErr w:type="spellStart"/>
            <w:r w:rsidRPr="009841AB">
              <w:t>information</w:t>
            </w:r>
            <w:proofErr w:type="spellEnd"/>
            <w:r w:rsidRPr="009841AB">
              <w:t xml:space="preserve"> </w:t>
            </w:r>
            <w:proofErr w:type="spellStart"/>
            <w:r w:rsidRPr="009841AB">
              <w:t>management</w:t>
            </w:r>
            <w:proofErr w:type="spellEnd"/>
            <w:r w:rsidRPr="009841AB">
              <w:t>) sistēmas ieviešana nodrošinātu pieeju reālā laika aeronavigācijas un meteoroloģiskajiem datiem, kas nodrošinātu vēl ātrāku un kvalitatīvāku publisko pakalpojumu sniegšanu, kā arī uzlabos pārrobežu sadarbības efektivitāti.</w:t>
            </w:r>
          </w:p>
          <w:p w14:paraId="34F0953A" w14:textId="77777777" w:rsidR="00FE0078" w:rsidRPr="009841AB" w:rsidRDefault="00FE0078" w:rsidP="00FE0078">
            <w:pPr>
              <w:ind w:right="12"/>
              <w:jc w:val="both"/>
            </w:pPr>
            <w:r w:rsidRPr="009841AB">
              <w:t>-</w:t>
            </w:r>
            <w:r w:rsidRPr="009841AB">
              <w:tab/>
              <w:t>Privātie 4/5G tīkli automatizētai lidostas (</w:t>
            </w:r>
            <w:proofErr w:type="spellStart"/>
            <w:r w:rsidRPr="009841AB">
              <w:t>Smart</w:t>
            </w:r>
            <w:proofErr w:type="spellEnd"/>
            <w:r w:rsidRPr="009841AB">
              <w:t xml:space="preserve"> </w:t>
            </w:r>
            <w:proofErr w:type="spellStart"/>
            <w:r w:rsidRPr="009841AB">
              <w:t>Airports</w:t>
            </w:r>
            <w:proofErr w:type="spellEnd"/>
            <w:r w:rsidRPr="009841AB">
              <w:t xml:space="preserve">) infrastruktūras attīstīšanai. Šīs iniciatīvas pamatuzdevums ir nodrošināt vairāku pakalpojumu tīklu apvienošanu, kas nodrošinās visaugstāko darbības efektivitāti drošā un vienotā </w:t>
            </w:r>
            <w:r w:rsidRPr="009841AB">
              <w:lastRenderedPageBreak/>
              <w:t>privātā tīklā. Tai skaitā, lietu interneta (</w:t>
            </w:r>
            <w:proofErr w:type="spellStart"/>
            <w:r w:rsidRPr="009841AB">
              <w:t>IoT</w:t>
            </w:r>
            <w:proofErr w:type="spellEnd"/>
            <w:r w:rsidRPr="009841AB">
              <w:t>) ieviešana, dažādu ierīču pārraudzība un  automatizēta vadība, kontrolēta BKG iesaiste lidostas drošības kontroles un skrejceļa vadības procesos, lidostas satiksmes vadība un citas digitālās iniciatīvas, kas veicinātu gudras aviācijas infrastruktūras izveidi.</w:t>
            </w:r>
          </w:p>
          <w:p w14:paraId="0C99955C" w14:textId="77777777" w:rsidR="00FE0078" w:rsidRPr="009841AB" w:rsidRDefault="00FE0078" w:rsidP="00FE0078">
            <w:pPr>
              <w:ind w:right="12"/>
              <w:jc w:val="both"/>
            </w:pPr>
            <w:r w:rsidRPr="009841AB">
              <w:t>-</w:t>
            </w:r>
            <w:r w:rsidRPr="009841AB">
              <w:tab/>
              <w:t xml:space="preserve">Pasažieru pašapkalpošanās plūsma visā terminālī un uz perona. Tas novērstu lidostas darbības sastrēgumus un būtiski paplašinātu lidostas kapacitātes robežas. Šai sakarā lidostai Rīga ir nepieciešams ieviest jaunu digitālu infrastruktūru, kas pilnībā uzlabotu pasažieru procesa vadību un ļautu veikt ātru, racionālu, drošu un kontrolējamu pasažieru un bagāžas vadības procesu. Tā rezultātā ceļošanas dokumenti (Pase/ID karte un reģistrācija reisam) būs nepieciešami tikai vienu reizi – reģistrējoties aplikācijā vai pašapkalpošanās kioskā. Tajā brīdī tiktu izveidota virtuālā pasažiera datu karte, kurā ir iekļauta pasažieru </w:t>
            </w:r>
            <w:proofErr w:type="spellStart"/>
            <w:r w:rsidRPr="009841AB">
              <w:t>biometriskā</w:t>
            </w:r>
            <w:proofErr w:type="spellEnd"/>
            <w:r w:rsidRPr="009841AB">
              <w:t xml:space="preserve"> un biogrāfiskā informācija. Pēc reģistrācijas pasažieris var veikt bagāžas nodošanu, nepieciešamības gadījumā šķērso  robežkontroli un iekāpj gaisa kuģī, neprasot vairākkārtīgi uzrādīt ceļošanas dokumentus un iekāpšanas karti.</w:t>
            </w:r>
          </w:p>
          <w:p w14:paraId="7B03A23D" w14:textId="77777777" w:rsidR="00FE0078" w:rsidRPr="009841AB" w:rsidRDefault="00FE0078" w:rsidP="00FE0078">
            <w:pPr>
              <w:ind w:right="12"/>
              <w:jc w:val="both"/>
            </w:pPr>
            <w:r w:rsidRPr="009841AB">
              <w:t>-</w:t>
            </w:r>
            <w:r w:rsidRPr="009841AB">
              <w:tab/>
              <w:t xml:space="preserve">Biznesa aviācijas tirdzniecības platforma. Tas ļautu stiprināt Latvijas lomu biznesa aviācijas pakalpojumu attīstībā. Rezultātā tiktu atbalstīta biznesa klientu pieeja Latvijas ekonomikai, kā arī samazināta aviācijas negatīvā ietekme uz dabu dēļ nevajadzīgajiem “tukšajiem” </w:t>
            </w:r>
            <w:proofErr w:type="spellStart"/>
            <w:r w:rsidRPr="009841AB">
              <w:t>transfēra</w:t>
            </w:r>
            <w:proofErr w:type="spellEnd"/>
            <w:r w:rsidRPr="009841AB">
              <w:t xml:space="preserve"> pārlidojumiem.</w:t>
            </w:r>
          </w:p>
          <w:p w14:paraId="55740ABA" w14:textId="77777777" w:rsidR="00FE0078" w:rsidRPr="009841AB" w:rsidRDefault="00FE0078" w:rsidP="00FE0078">
            <w:pPr>
              <w:ind w:right="12"/>
              <w:jc w:val="both"/>
            </w:pPr>
            <w:r w:rsidRPr="009841AB">
              <w:t>-</w:t>
            </w:r>
            <w:r w:rsidRPr="009841AB">
              <w:tab/>
              <w:t xml:space="preserve">Gudrās loģistikas risinājumu atbalsts. Šī projekta ietvaros lidostā strādājošie noliktavu operatori varētu īstenot kravu apstrādes un šķirošanas procesu automatizāciju, ieskaitot datu apriti ar muitu, kravu aviācijas drošības kontroli, datu bāžu sasaisti, automatizētu komunikāciju starp loģistikā </w:t>
            </w:r>
            <w:r w:rsidRPr="009841AB">
              <w:lastRenderedPageBreak/>
              <w:t>iesaistītajām pusēm (kravu īpašnieks – kravu aģents – muita – noliktava – lidosta – pārvadātājs). Tai skaitā BGK risinājumu iesaiste loģistikas un e-komercijas automatizācijas procesos.</w:t>
            </w:r>
          </w:p>
        </w:tc>
        <w:tc>
          <w:tcPr>
            <w:tcW w:w="2480" w:type="dxa"/>
            <w:tcBorders>
              <w:left w:val="single" w:sz="6" w:space="0" w:color="000000" w:themeColor="text1"/>
              <w:bottom w:val="single" w:sz="4" w:space="0" w:color="auto"/>
            </w:tcBorders>
            <w:shd w:val="clear" w:color="auto" w:fill="auto"/>
          </w:tcPr>
          <w:p w14:paraId="5FCC521E" w14:textId="77777777" w:rsidR="00FE0078" w:rsidRPr="009841AB" w:rsidRDefault="00FE0078" w:rsidP="00FE0078">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3C772CDA" w14:textId="77777777" w:rsidR="00FE0078" w:rsidRPr="009841AB" w:rsidRDefault="00FE0078" w:rsidP="00FE0078">
            <w:pPr>
              <w:pStyle w:val="naisc"/>
              <w:spacing w:before="0" w:after="0"/>
              <w:jc w:val="both"/>
            </w:pPr>
            <w:r w:rsidRPr="009841AB">
              <w:t xml:space="preserve">Lūdzam skatīt </w:t>
            </w:r>
            <w:proofErr w:type="spellStart"/>
            <w:r w:rsidRPr="009841AB">
              <w:t>apakšsadaļu</w:t>
            </w:r>
            <w:proofErr w:type="spellEnd"/>
            <w:r w:rsidRPr="009841AB">
              <w:t xml:space="preserve"> 4.5.2.</w:t>
            </w:r>
          </w:p>
        </w:tc>
      </w:tr>
      <w:tr w:rsidR="00FE0078" w:rsidRPr="009841AB" w14:paraId="52A9DCA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7293383" w14:textId="77777777" w:rsidR="00FE0078" w:rsidRPr="009841AB" w:rsidRDefault="00FE0078" w:rsidP="00FE0078">
            <w:pPr>
              <w:pStyle w:val="naisc"/>
              <w:spacing w:before="0" w:after="0"/>
              <w:jc w:val="both"/>
            </w:pPr>
            <w:r w:rsidRPr="009841AB">
              <w:rPr>
                <w:b/>
                <w:bCs/>
              </w:rPr>
              <w:lastRenderedPageBreak/>
              <w:t>Latvijas Lielo pilsētu asociācijas 29.01.2021. atzinums:</w:t>
            </w:r>
          </w:p>
        </w:tc>
      </w:tr>
      <w:tr w:rsidR="00FE0078" w:rsidRPr="009841AB" w14:paraId="13A901C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98348D0" w14:textId="77777777" w:rsidR="00FE0078" w:rsidRPr="009841AB" w:rsidRDefault="003676A5" w:rsidP="00FE0078">
            <w:pPr>
              <w:pStyle w:val="naisc"/>
              <w:spacing w:before="0" w:after="0"/>
            </w:pPr>
            <w:r>
              <w:t>488</w:t>
            </w:r>
          </w:p>
        </w:tc>
        <w:tc>
          <w:tcPr>
            <w:tcW w:w="2427" w:type="dxa"/>
            <w:tcBorders>
              <w:left w:val="single" w:sz="6" w:space="0" w:color="000000" w:themeColor="text1"/>
              <w:bottom w:val="single" w:sz="4" w:space="0" w:color="auto"/>
            </w:tcBorders>
            <w:shd w:val="clear" w:color="auto" w:fill="auto"/>
          </w:tcPr>
          <w:p w14:paraId="1C8D3259"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6FD1518D" w14:textId="77777777" w:rsidR="00FE0078" w:rsidRPr="009841AB" w:rsidRDefault="00FE0078" w:rsidP="00FE0078">
            <w:pPr>
              <w:pStyle w:val="CommentText"/>
              <w:spacing w:after="120"/>
              <w:jc w:val="both"/>
              <w:rPr>
                <w:color w:val="000000"/>
                <w:sz w:val="24"/>
                <w:szCs w:val="24"/>
              </w:rPr>
            </w:pPr>
            <w:r w:rsidRPr="009841AB">
              <w:rPr>
                <w:sz w:val="24"/>
                <w:szCs w:val="24"/>
              </w:rPr>
              <w:t xml:space="preserve">1. 219.-220. lapa. </w:t>
            </w:r>
            <w:r w:rsidRPr="009841AB">
              <w:rPr>
                <w:color w:val="000000"/>
                <w:sz w:val="24"/>
                <w:szCs w:val="24"/>
              </w:rPr>
              <w:t xml:space="preserve">Priekšlikums iesaistīt Rīgas pilsētas pašvaldību kā partneri “Zinātnes jūdzes” plāna izstrādē un īstenošanā. </w:t>
            </w:r>
          </w:p>
          <w:p w14:paraId="4C328A87" w14:textId="77777777" w:rsidR="00FE0078" w:rsidRPr="009841AB" w:rsidRDefault="00FE0078" w:rsidP="00FE0078">
            <w:pPr>
              <w:pStyle w:val="CommentText"/>
              <w:spacing w:after="120"/>
              <w:jc w:val="both"/>
              <w:rPr>
                <w:color w:val="000000"/>
                <w:sz w:val="24"/>
                <w:szCs w:val="24"/>
              </w:rPr>
            </w:pPr>
            <w:r w:rsidRPr="009841AB">
              <w:rPr>
                <w:color w:val="000000"/>
                <w:sz w:val="24"/>
                <w:szCs w:val="24"/>
              </w:rPr>
              <w:t>Rīgas pilsētai viens no stratēģiski nozīmīgajiem attīstības virzieniem ir zinātnes un inovāciju vides stiprināšana. Rīgas ilgtspējīgas attīstības stratēģijā 2030 kā viena no prioritārajām pilsētas attīstības teritorijām ir noteikta “Zināšanu un inovāciju centrs”, kuras primārais mērķis ir stiprināt Latvijas intelektuālo potenciālu, inovāciju un ekonomikas attīstību. Laika gaitā šis koncepts ir attīstījies, publiskajā telpā sākot izmantot jaunu nosaukumu “Zināšanu jūdze”.</w:t>
            </w:r>
          </w:p>
          <w:p w14:paraId="49F94412" w14:textId="77777777" w:rsidR="00FE0078" w:rsidRPr="009841AB" w:rsidRDefault="00FE0078" w:rsidP="00FE0078">
            <w:pPr>
              <w:ind w:right="12"/>
              <w:jc w:val="both"/>
              <w:rPr>
                <w:color w:val="000000"/>
              </w:rPr>
            </w:pPr>
            <w:r w:rsidRPr="009841AB">
              <w:rPr>
                <w:color w:val="000000"/>
              </w:rPr>
              <w:t>Nenoliedzami, šīs teritorijas potenciāls līdz šim nav pietiekami izmantots un tuvāko septiņu gadu laikā “Zināšanu jūdzi” redzam kā daļu no pilsētas inovāciju ekosistēmas un kā nozīmīgu attīstības balstu, ar ko vēlamies asociēt pilsētas nākotni. Tāpēc atbalstām ideju par inovāciju un zinātnes infrastruktūras “Zinātnes jūdze” plāna izveidi un īstenošanu, kā arī aicinām Rīgas pilsētu iekļaut kā vienu no partneriem “Zinātnes jūdzes” plāna izstrādē, nodrošinot koordināciju ar pašvaldības teritorijas attīstības plānošanas dokumentiem un attīstības projektiem.</w:t>
            </w:r>
          </w:p>
        </w:tc>
        <w:tc>
          <w:tcPr>
            <w:tcW w:w="2480" w:type="dxa"/>
            <w:tcBorders>
              <w:left w:val="single" w:sz="6" w:space="0" w:color="000000" w:themeColor="text1"/>
              <w:bottom w:val="single" w:sz="4" w:space="0" w:color="auto"/>
            </w:tcBorders>
            <w:shd w:val="clear" w:color="auto" w:fill="auto"/>
          </w:tcPr>
          <w:p w14:paraId="7AB53702" w14:textId="77777777" w:rsidR="00FE0078" w:rsidRPr="009841AB" w:rsidRDefault="00FE0078" w:rsidP="00FE0078">
            <w:pPr>
              <w:pStyle w:val="naisc"/>
              <w:spacing w:before="0" w:after="0"/>
              <w:jc w:val="left"/>
              <w:rPr>
                <w:b/>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150C4B14"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4.5.</w:t>
            </w:r>
          </w:p>
        </w:tc>
      </w:tr>
      <w:tr w:rsidR="00FE0078" w:rsidRPr="009841AB" w14:paraId="6A22331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5B5FC05" w14:textId="77777777" w:rsidR="00FE0078" w:rsidRPr="009841AB" w:rsidRDefault="003676A5" w:rsidP="00FE0078">
            <w:pPr>
              <w:pStyle w:val="naisc"/>
              <w:spacing w:before="0" w:after="0"/>
            </w:pPr>
            <w:r>
              <w:t>489</w:t>
            </w:r>
          </w:p>
        </w:tc>
        <w:tc>
          <w:tcPr>
            <w:tcW w:w="2427" w:type="dxa"/>
            <w:tcBorders>
              <w:left w:val="single" w:sz="6" w:space="0" w:color="000000" w:themeColor="text1"/>
              <w:bottom w:val="single" w:sz="4" w:space="0" w:color="auto"/>
            </w:tcBorders>
            <w:shd w:val="clear" w:color="auto" w:fill="auto"/>
          </w:tcPr>
          <w:p w14:paraId="419225A8"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1EBB6FB5" w14:textId="77777777" w:rsidR="00FE0078" w:rsidRPr="009841AB" w:rsidRDefault="00FE0078" w:rsidP="00FE0078">
            <w:pPr>
              <w:ind w:right="12"/>
              <w:jc w:val="both"/>
              <w:rPr>
                <w:i/>
                <w:color w:val="000000"/>
              </w:rPr>
            </w:pPr>
            <w:r w:rsidRPr="009841AB">
              <w:rPr>
                <w:color w:val="000000"/>
              </w:rPr>
              <w:t xml:space="preserve">2. 221. lapa. </w:t>
            </w:r>
            <w:r w:rsidRPr="009841AB">
              <w:rPr>
                <w:i/>
                <w:color w:val="000000"/>
              </w:rPr>
              <w:t xml:space="preserve">“2. Pašvaldības mērķtiecīgi veido un plānveidīgi ievieš savu viedo pilsētu risinājumus. Viedo pilsētu risinājumi tiek ieviesti atbilstoši pašvaldības viedās pilsētas stratēģijām, kuru izstrāde tiek centralizēti koordinēta atbilstoši vienotiem principiem un </w:t>
            </w:r>
            <w:proofErr w:type="spellStart"/>
            <w:r w:rsidRPr="009841AB">
              <w:rPr>
                <w:i/>
                <w:color w:val="000000"/>
              </w:rPr>
              <w:t>sadarbspējas</w:t>
            </w:r>
            <w:proofErr w:type="spellEnd"/>
            <w:r w:rsidRPr="009841AB">
              <w:rPr>
                <w:i/>
                <w:color w:val="000000"/>
              </w:rPr>
              <w:t xml:space="preserve"> vajadzībām.”</w:t>
            </w:r>
          </w:p>
          <w:p w14:paraId="17B925C8" w14:textId="77777777" w:rsidR="00FE0078" w:rsidRPr="009841AB" w:rsidRDefault="00FE0078" w:rsidP="00FE0078">
            <w:pPr>
              <w:pStyle w:val="CommentText"/>
              <w:jc w:val="both"/>
              <w:rPr>
                <w:color w:val="000000"/>
                <w:sz w:val="24"/>
                <w:szCs w:val="24"/>
              </w:rPr>
            </w:pPr>
            <w:r w:rsidRPr="009841AB">
              <w:rPr>
                <w:color w:val="000000"/>
                <w:sz w:val="24"/>
                <w:szCs w:val="24"/>
              </w:rPr>
              <w:lastRenderedPageBreak/>
              <w:t xml:space="preserve">Lūgums precīzāk skaidrot, kas šajā gadījumā tiek saprasts ar viedās pilsētas stratēģijām – tas ir paredzēts kā atsevišķs dokuments vai kā darbību kopums, kas var tikt integrēts citos attīstības plānošanas dokumentos? </w:t>
            </w:r>
          </w:p>
          <w:p w14:paraId="34EB37E2" w14:textId="77777777" w:rsidR="00FE0078" w:rsidRPr="009841AB" w:rsidRDefault="00FE0078" w:rsidP="00FE0078">
            <w:pPr>
              <w:ind w:right="12"/>
              <w:jc w:val="both"/>
              <w:rPr>
                <w:color w:val="000000"/>
              </w:rPr>
            </w:pPr>
            <w:r w:rsidRPr="009841AB">
              <w:rPr>
                <w:color w:val="000000"/>
              </w:rPr>
              <w:t>Lūgums skaidrot, vai katrai pašvaldībai būtu pienākums izstrādāt viedās pilsētas stratēģijas. Šobrīd šādas stratēģijas veidot nav pašvaldību pienākumos.</w:t>
            </w:r>
          </w:p>
        </w:tc>
        <w:tc>
          <w:tcPr>
            <w:tcW w:w="2480" w:type="dxa"/>
            <w:tcBorders>
              <w:left w:val="single" w:sz="6" w:space="0" w:color="000000" w:themeColor="text1"/>
              <w:bottom w:val="single" w:sz="4" w:space="0" w:color="auto"/>
            </w:tcBorders>
            <w:shd w:val="clear" w:color="auto" w:fill="auto"/>
          </w:tcPr>
          <w:p w14:paraId="3ECBA4DB" w14:textId="77777777" w:rsidR="00FE0078" w:rsidRPr="009841AB" w:rsidRDefault="00FE0078" w:rsidP="00FE0078">
            <w:pPr>
              <w:pStyle w:val="naisc"/>
              <w:spacing w:before="0" w:after="0"/>
              <w:jc w:val="left"/>
              <w:rPr>
                <w:b/>
                <w:bCs/>
              </w:rPr>
            </w:pPr>
            <w:r w:rsidRPr="009841AB">
              <w:rPr>
                <w:b/>
                <w:bCs/>
              </w:rPr>
              <w:lastRenderedPageBreak/>
              <w:t>Ņemts vērā</w:t>
            </w:r>
          </w:p>
          <w:p w14:paraId="2580318A" w14:textId="77777777" w:rsidR="00FE0078" w:rsidRPr="009841AB" w:rsidRDefault="00FE0078" w:rsidP="00FE0078">
            <w:pPr>
              <w:pStyle w:val="naisc"/>
              <w:spacing w:before="0" w:after="0"/>
              <w:jc w:val="left"/>
              <w:rPr>
                <w:b/>
              </w:rPr>
            </w:pPr>
          </w:p>
          <w:p w14:paraId="41F935A7" w14:textId="77777777" w:rsidR="00FE0078" w:rsidRPr="009841AB" w:rsidRDefault="00FE0078" w:rsidP="00FE0078">
            <w:pPr>
              <w:pStyle w:val="naisc"/>
              <w:spacing w:before="0" w:after="0"/>
              <w:jc w:val="left"/>
              <w:rPr>
                <w:bCs/>
              </w:rPr>
            </w:pPr>
          </w:p>
        </w:tc>
        <w:tc>
          <w:tcPr>
            <w:tcW w:w="3497" w:type="dxa"/>
            <w:tcBorders>
              <w:left w:val="single" w:sz="6" w:space="0" w:color="000000" w:themeColor="text1"/>
              <w:bottom w:val="single" w:sz="4" w:space="0" w:color="auto"/>
            </w:tcBorders>
            <w:shd w:val="clear" w:color="auto" w:fill="auto"/>
          </w:tcPr>
          <w:p w14:paraId="108C1C31"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4.5.</w:t>
            </w:r>
          </w:p>
        </w:tc>
      </w:tr>
      <w:tr w:rsidR="00FE0078" w:rsidRPr="009841AB" w14:paraId="1D81E00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D0E77B5" w14:textId="77777777" w:rsidR="00FE0078" w:rsidRPr="009841AB" w:rsidRDefault="003676A5" w:rsidP="00FE0078">
            <w:pPr>
              <w:pStyle w:val="naisc"/>
              <w:spacing w:before="0" w:after="0"/>
            </w:pPr>
            <w:r>
              <w:t>490</w:t>
            </w:r>
          </w:p>
        </w:tc>
        <w:tc>
          <w:tcPr>
            <w:tcW w:w="2427" w:type="dxa"/>
            <w:tcBorders>
              <w:left w:val="single" w:sz="6" w:space="0" w:color="000000" w:themeColor="text1"/>
              <w:bottom w:val="single" w:sz="4" w:space="0" w:color="auto"/>
            </w:tcBorders>
            <w:shd w:val="clear" w:color="auto" w:fill="auto"/>
          </w:tcPr>
          <w:p w14:paraId="6F1334BE"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4EDB3CA2" w14:textId="77777777" w:rsidR="00FE0078" w:rsidRPr="009841AB" w:rsidRDefault="00FE0078" w:rsidP="00FE0078">
            <w:pPr>
              <w:jc w:val="both"/>
              <w:rPr>
                <w:i/>
                <w:color w:val="000000"/>
              </w:rPr>
            </w:pPr>
            <w:r w:rsidRPr="009841AB">
              <w:rPr>
                <w:color w:val="000000"/>
              </w:rPr>
              <w:t xml:space="preserve">3. 227. lapa. </w:t>
            </w:r>
            <w:r w:rsidRPr="009841AB">
              <w:rPr>
                <w:i/>
                <w:color w:val="000000"/>
              </w:rPr>
              <w:t xml:space="preserve">“Pašvaldību administrācijai, piesaistot valsts pārvaldes institūcijas, industrijas un pētniecības organizācijas pārstāvjus, nepieciešams izstrādāt </w:t>
            </w:r>
            <w:proofErr w:type="spellStart"/>
            <w:r w:rsidRPr="009841AB">
              <w:rPr>
                <w:i/>
                <w:color w:val="000000"/>
              </w:rPr>
              <w:t>pilotteritoriju</w:t>
            </w:r>
            <w:proofErr w:type="spellEnd"/>
            <w:r w:rsidRPr="009841AB">
              <w:rPr>
                <w:i/>
                <w:color w:val="000000"/>
              </w:rPr>
              <w:t xml:space="preserve"> ieviešanas stratēģiju, t.sk.:”</w:t>
            </w:r>
          </w:p>
          <w:p w14:paraId="4BB1E400" w14:textId="77777777" w:rsidR="00FE0078" w:rsidRPr="009841AB" w:rsidRDefault="00FE0078" w:rsidP="00FE0078">
            <w:pPr>
              <w:pStyle w:val="CommentText"/>
              <w:jc w:val="both"/>
              <w:rPr>
                <w:color w:val="000000"/>
                <w:sz w:val="24"/>
                <w:szCs w:val="24"/>
              </w:rPr>
            </w:pPr>
            <w:r w:rsidRPr="009841AB">
              <w:rPr>
                <w:color w:val="000000"/>
                <w:sz w:val="24"/>
                <w:szCs w:val="24"/>
              </w:rPr>
              <w:t xml:space="preserve">Lūgums skaidrot, kas šajā gadījumā tiek saprasts ar </w:t>
            </w:r>
            <w:proofErr w:type="spellStart"/>
            <w:r w:rsidRPr="009841AB">
              <w:rPr>
                <w:color w:val="000000"/>
                <w:sz w:val="24"/>
                <w:szCs w:val="24"/>
              </w:rPr>
              <w:t>pilotteritoriju</w:t>
            </w:r>
            <w:proofErr w:type="spellEnd"/>
            <w:r w:rsidRPr="009841AB">
              <w:rPr>
                <w:color w:val="000000"/>
                <w:sz w:val="24"/>
                <w:szCs w:val="24"/>
              </w:rPr>
              <w:t xml:space="preserve"> ieviešanas stratēģiju – tas ir plānots kā atsevišķs dokuments vai arī kā darbību kopums, kas var tikt integrēts citos attīstības plānošanas dokumentos?</w:t>
            </w:r>
          </w:p>
          <w:p w14:paraId="0284A2FA" w14:textId="77777777" w:rsidR="00FE0078" w:rsidRPr="009841AB" w:rsidRDefault="00FE0078" w:rsidP="00FE0078">
            <w:pPr>
              <w:jc w:val="both"/>
              <w:rPr>
                <w:color w:val="000000"/>
              </w:rPr>
            </w:pPr>
            <w:r w:rsidRPr="009841AB">
              <w:rPr>
                <w:color w:val="000000"/>
              </w:rPr>
              <w:t xml:space="preserve">Lūgums precizēt, vai iecerētā </w:t>
            </w:r>
            <w:proofErr w:type="spellStart"/>
            <w:r w:rsidRPr="009841AB">
              <w:rPr>
                <w:color w:val="000000"/>
              </w:rPr>
              <w:t>pilotteritoriju</w:t>
            </w:r>
            <w:proofErr w:type="spellEnd"/>
            <w:r w:rsidRPr="009841AB">
              <w:rPr>
                <w:color w:val="000000"/>
              </w:rPr>
              <w:t xml:space="preserve"> ieviešanas stratēģija ir iecerēta kā daļa no 221. lpp. pieminētās viedās pilsētas stratēģijas.</w:t>
            </w:r>
          </w:p>
        </w:tc>
        <w:tc>
          <w:tcPr>
            <w:tcW w:w="2480" w:type="dxa"/>
            <w:tcBorders>
              <w:left w:val="single" w:sz="6" w:space="0" w:color="000000" w:themeColor="text1"/>
              <w:bottom w:val="single" w:sz="4" w:space="0" w:color="auto"/>
            </w:tcBorders>
            <w:shd w:val="clear" w:color="auto" w:fill="auto"/>
          </w:tcPr>
          <w:p w14:paraId="356D1588" w14:textId="77777777" w:rsidR="00FE0078" w:rsidRPr="009841AB" w:rsidRDefault="00FE0078" w:rsidP="00FE0078">
            <w:pPr>
              <w:pStyle w:val="naisc"/>
              <w:spacing w:before="0" w:after="0"/>
              <w:jc w:val="both"/>
              <w:rPr>
                <w:b/>
                <w:bCs/>
              </w:rPr>
            </w:pPr>
            <w:r w:rsidRPr="009841AB">
              <w:rPr>
                <w:b/>
                <w:bCs/>
              </w:rPr>
              <w:t>Ņemts vērā</w:t>
            </w:r>
          </w:p>
          <w:p w14:paraId="34DFCB8A" w14:textId="77777777" w:rsidR="00FE0078" w:rsidRPr="009841AB" w:rsidRDefault="00FE0078" w:rsidP="00FE0078">
            <w:pPr>
              <w:pStyle w:val="naisc"/>
              <w:spacing w:before="0" w:after="0"/>
              <w:jc w:val="both"/>
              <w:rPr>
                <w:b/>
                <w:bCs/>
              </w:rPr>
            </w:pPr>
          </w:p>
          <w:p w14:paraId="08904268" w14:textId="77777777" w:rsidR="00FE0078" w:rsidRPr="009841AB" w:rsidRDefault="00FE0078" w:rsidP="00FE0078">
            <w:pPr>
              <w:pStyle w:val="naisc"/>
              <w:spacing w:before="0" w:after="0"/>
              <w:jc w:val="both"/>
            </w:pPr>
          </w:p>
        </w:tc>
        <w:tc>
          <w:tcPr>
            <w:tcW w:w="3497" w:type="dxa"/>
            <w:tcBorders>
              <w:left w:val="single" w:sz="6" w:space="0" w:color="000000" w:themeColor="text1"/>
              <w:bottom w:val="single" w:sz="4" w:space="0" w:color="auto"/>
            </w:tcBorders>
            <w:shd w:val="clear" w:color="auto" w:fill="auto"/>
          </w:tcPr>
          <w:p w14:paraId="21503805" w14:textId="77777777" w:rsidR="00FE0078" w:rsidRPr="009841AB" w:rsidRDefault="00FE0078" w:rsidP="00FE0078">
            <w:pPr>
              <w:jc w:val="both"/>
            </w:pPr>
            <w:r w:rsidRPr="009841AB">
              <w:t xml:space="preserve">Lūdzam skatīt </w:t>
            </w:r>
            <w:proofErr w:type="spellStart"/>
            <w:r w:rsidRPr="009841AB">
              <w:t>apakšsadaļu</w:t>
            </w:r>
            <w:proofErr w:type="spellEnd"/>
            <w:r w:rsidRPr="009841AB">
              <w:t xml:space="preserve"> 4.5.</w:t>
            </w:r>
          </w:p>
        </w:tc>
      </w:tr>
      <w:tr w:rsidR="00FE0078" w:rsidRPr="009841AB" w14:paraId="5B805FF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A7D0A19" w14:textId="77777777" w:rsidR="00FE0078" w:rsidRPr="009841AB" w:rsidRDefault="00BF6FE3" w:rsidP="00FE0078">
            <w:pPr>
              <w:pStyle w:val="naisc"/>
              <w:spacing w:before="0" w:after="0"/>
            </w:pPr>
            <w:r>
              <w:t>491</w:t>
            </w:r>
          </w:p>
        </w:tc>
        <w:tc>
          <w:tcPr>
            <w:tcW w:w="2427" w:type="dxa"/>
            <w:tcBorders>
              <w:left w:val="single" w:sz="6" w:space="0" w:color="000000" w:themeColor="text1"/>
              <w:bottom w:val="single" w:sz="4" w:space="0" w:color="auto"/>
            </w:tcBorders>
            <w:shd w:val="clear" w:color="auto" w:fill="auto"/>
          </w:tcPr>
          <w:p w14:paraId="49F91D79"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74EC943A" w14:textId="77777777" w:rsidR="00FE0078" w:rsidRPr="009841AB" w:rsidRDefault="00FE0078" w:rsidP="00FE0078">
            <w:pPr>
              <w:jc w:val="both"/>
              <w:rPr>
                <w:rStyle w:val="Strong"/>
                <w:b w:val="0"/>
                <w:i/>
                <w:color w:val="000000"/>
                <w:shd w:val="clear" w:color="auto" w:fill="FFFFFF"/>
              </w:rPr>
            </w:pPr>
            <w:r w:rsidRPr="009841AB">
              <w:rPr>
                <w:color w:val="000000"/>
              </w:rPr>
              <w:t xml:space="preserve">4. 227.-228. lapa. </w:t>
            </w:r>
            <w:r w:rsidRPr="009841AB">
              <w:rPr>
                <w:i/>
                <w:color w:val="000000"/>
              </w:rPr>
              <w:t>“</w:t>
            </w:r>
            <w:r w:rsidRPr="009841AB">
              <w:rPr>
                <w:i/>
                <w:color w:val="000000"/>
                <w:shd w:val="clear" w:color="auto" w:fill="FFFFFF"/>
              </w:rPr>
              <w:t>Lai veicinātu viedās mobilitātes inovatīvus risinājumus: </w:t>
            </w:r>
            <w:r w:rsidRPr="009841AB">
              <w:rPr>
                <w:rStyle w:val="Strong"/>
                <w:b w:val="0"/>
                <w:i/>
                <w:color w:val="000000"/>
                <w:shd w:val="clear" w:color="auto" w:fill="FFFFFF"/>
              </w:rPr>
              <w:t xml:space="preserve">Pašvaldību administrācijai, piesaistot valsts pārvaldes institūcijas, industrijas un pētniecības organizācijas pārstāvjus, nepieciešams izstrādāt </w:t>
            </w:r>
            <w:proofErr w:type="spellStart"/>
            <w:r w:rsidRPr="009841AB">
              <w:rPr>
                <w:rStyle w:val="Strong"/>
                <w:b w:val="0"/>
                <w:i/>
                <w:color w:val="000000"/>
                <w:shd w:val="clear" w:color="auto" w:fill="FFFFFF"/>
              </w:rPr>
              <w:t>pilotteritoriju</w:t>
            </w:r>
            <w:proofErr w:type="spellEnd"/>
            <w:r w:rsidRPr="009841AB">
              <w:rPr>
                <w:rStyle w:val="Strong"/>
                <w:b w:val="0"/>
                <w:i/>
                <w:color w:val="000000"/>
                <w:shd w:val="clear" w:color="auto" w:fill="FFFFFF"/>
              </w:rPr>
              <w:t xml:space="preserve"> ieviešanas stratēģiju”</w:t>
            </w:r>
          </w:p>
          <w:p w14:paraId="32FF7D24" w14:textId="77777777" w:rsidR="00FE0078" w:rsidRPr="009841AB" w:rsidRDefault="00FE0078" w:rsidP="00FE0078">
            <w:pPr>
              <w:ind w:right="12"/>
              <w:jc w:val="both"/>
            </w:pPr>
            <w:r w:rsidRPr="009841AB">
              <w:rPr>
                <w:color w:val="000000"/>
                <w:shd w:val="clear" w:color="auto" w:fill="FFFFFF"/>
              </w:rPr>
              <w:t>Vai sekos kāds finansējums šo punktu izpildīšanai? Viedās pilsētas ir specifiska tēma, ne katrai pašvaldībai būs iespējas ar pašu resursiem pilnvērtīgi tos nodrošināt. Turklāt ne visās pašvaldībās nepieciešami tieši viedi risinājumi (satiksmes organizācijas un infrastruktūras vienkāršības dēļ).</w:t>
            </w:r>
          </w:p>
        </w:tc>
        <w:tc>
          <w:tcPr>
            <w:tcW w:w="2480" w:type="dxa"/>
            <w:tcBorders>
              <w:left w:val="single" w:sz="6" w:space="0" w:color="000000" w:themeColor="text1"/>
              <w:bottom w:val="single" w:sz="4" w:space="0" w:color="auto"/>
            </w:tcBorders>
            <w:shd w:val="clear" w:color="auto" w:fill="auto"/>
          </w:tcPr>
          <w:p w14:paraId="0E70A287" w14:textId="77777777" w:rsidR="00FE0078" w:rsidRPr="009841AB" w:rsidRDefault="00FE0078" w:rsidP="00FE0078">
            <w:pPr>
              <w:pStyle w:val="naisc"/>
              <w:spacing w:before="0" w:after="0"/>
              <w:jc w:val="both"/>
              <w:rPr>
                <w:b/>
                <w:bCs/>
              </w:rPr>
            </w:pPr>
            <w:r w:rsidRPr="009841AB">
              <w:rPr>
                <w:b/>
                <w:bCs/>
              </w:rPr>
              <w:t>Ņemts vērā</w:t>
            </w:r>
          </w:p>
          <w:p w14:paraId="1217BD5C" w14:textId="77777777" w:rsidR="00FE0078" w:rsidRPr="009841AB" w:rsidRDefault="00FE0078" w:rsidP="00FE0078">
            <w:pPr>
              <w:pStyle w:val="naisc"/>
              <w:spacing w:before="0" w:after="0"/>
              <w:jc w:val="both"/>
              <w:rPr>
                <w:b/>
                <w:bCs/>
              </w:rPr>
            </w:pPr>
          </w:p>
          <w:p w14:paraId="33C81B42" w14:textId="77777777" w:rsidR="00FE0078" w:rsidRPr="009841AB" w:rsidRDefault="00FE0078" w:rsidP="00FE0078">
            <w:pPr>
              <w:pStyle w:val="naisc"/>
              <w:spacing w:before="0" w:after="0"/>
              <w:jc w:val="left"/>
              <w:rPr>
                <w:b/>
              </w:rPr>
            </w:pPr>
          </w:p>
        </w:tc>
        <w:tc>
          <w:tcPr>
            <w:tcW w:w="3497" w:type="dxa"/>
            <w:tcBorders>
              <w:left w:val="single" w:sz="6" w:space="0" w:color="000000" w:themeColor="text1"/>
              <w:bottom w:val="single" w:sz="4" w:space="0" w:color="auto"/>
            </w:tcBorders>
            <w:shd w:val="clear" w:color="auto" w:fill="auto"/>
          </w:tcPr>
          <w:p w14:paraId="1ECA8C98" w14:textId="77777777" w:rsidR="00FE0078" w:rsidRPr="009841AB" w:rsidRDefault="00FE0078" w:rsidP="00FE0078">
            <w:pPr>
              <w:jc w:val="both"/>
            </w:pPr>
            <w:r w:rsidRPr="009841AB">
              <w:t xml:space="preserve">Lūdzam skatīt </w:t>
            </w:r>
            <w:proofErr w:type="spellStart"/>
            <w:r w:rsidRPr="009841AB">
              <w:t>apakšsadaļu</w:t>
            </w:r>
            <w:proofErr w:type="spellEnd"/>
            <w:r w:rsidRPr="009841AB">
              <w:t xml:space="preserve"> 4.5.</w:t>
            </w:r>
          </w:p>
        </w:tc>
      </w:tr>
      <w:tr w:rsidR="00FE0078" w:rsidRPr="009841AB" w14:paraId="00835314"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6EF2C4C" w14:textId="77777777" w:rsidR="00FE0078" w:rsidRPr="00A132B9" w:rsidRDefault="00FE0078" w:rsidP="00FE0078">
            <w:pPr>
              <w:widowControl w:val="0"/>
              <w:jc w:val="both"/>
              <w:rPr>
                <w:rFonts w:cstheme="minorHAnsi"/>
                <w:b/>
              </w:rPr>
            </w:pPr>
            <w:r>
              <w:rPr>
                <w:rFonts w:cstheme="minorHAnsi"/>
                <w:b/>
              </w:rPr>
              <w:t>Satiksmes ministrijas</w:t>
            </w:r>
            <w:r w:rsidRPr="00507245">
              <w:rPr>
                <w:rFonts w:cstheme="minorHAnsi"/>
                <w:b/>
              </w:rPr>
              <w:t xml:space="preserve"> 01.02.2021. atzinums:</w:t>
            </w:r>
          </w:p>
        </w:tc>
      </w:tr>
      <w:tr w:rsidR="00FE0078" w:rsidRPr="009841AB" w14:paraId="45001BF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916D638" w14:textId="77777777" w:rsidR="00FE0078" w:rsidRPr="009841AB" w:rsidRDefault="00BF6FE3" w:rsidP="00FE0078">
            <w:pPr>
              <w:pStyle w:val="naisc"/>
              <w:spacing w:before="0" w:after="0"/>
            </w:pPr>
            <w:r>
              <w:t>492</w:t>
            </w:r>
          </w:p>
        </w:tc>
        <w:tc>
          <w:tcPr>
            <w:tcW w:w="2427" w:type="dxa"/>
            <w:tcBorders>
              <w:left w:val="single" w:sz="6" w:space="0" w:color="000000" w:themeColor="text1"/>
              <w:bottom w:val="single" w:sz="4" w:space="0" w:color="auto"/>
            </w:tcBorders>
            <w:shd w:val="clear" w:color="auto" w:fill="auto"/>
          </w:tcPr>
          <w:p w14:paraId="0C2505C7"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035B63A9" w14:textId="77777777" w:rsidR="00FE0078" w:rsidRPr="009841AB" w:rsidRDefault="00FE0078" w:rsidP="00FE0078">
            <w:pPr>
              <w:jc w:val="both"/>
            </w:pPr>
            <w:r w:rsidRPr="009841AB">
              <w:t>Lūdzam papildināt pamatnostādņu projekta sadaļu “Uzdevumi” (230.lpp.) un pamatnostādņu projekta 2.pielikumu ar Satiksmes ministriju kā līdzatbildīgo uzdevuma U4.5.2.-3 izpildē.</w:t>
            </w:r>
          </w:p>
        </w:tc>
        <w:tc>
          <w:tcPr>
            <w:tcW w:w="2480" w:type="dxa"/>
            <w:tcBorders>
              <w:left w:val="single" w:sz="6" w:space="0" w:color="000000" w:themeColor="text1"/>
              <w:bottom w:val="single" w:sz="4" w:space="0" w:color="auto"/>
            </w:tcBorders>
            <w:shd w:val="clear" w:color="auto" w:fill="auto"/>
          </w:tcPr>
          <w:p w14:paraId="6F535C8D"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t>Panākta vienošanās</w:t>
            </w:r>
          </w:p>
          <w:p w14:paraId="14E543BF" w14:textId="77777777" w:rsidR="00FE0078" w:rsidRPr="009841AB" w:rsidRDefault="00FE0078" w:rsidP="00FE0078">
            <w:pPr>
              <w:pStyle w:val="naisc"/>
              <w:spacing w:before="0" w:after="0"/>
              <w:jc w:val="left"/>
              <w:rPr>
                <w:b/>
              </w:rPr>
            </w:pPr>
            <w:r w:rsidRPr="009841AB">
              <w:t xml:space="preserve">Šī aktivitāte formulēta kā “Izstrādāt </w:t>
            </w:r>
            <w:proofErr w:type="spellStart"/>
            <w:r w:rsidRPr="009841AB">
              <w:lastRenderedPageBreak/>
              <w:t>pilotteritoriju</w:t>
            </w:r>
            <w:proofErr w:type="spellEnd"/>
            <w:r w:rsidRPr="009841AB">
              <w:t xml:space="preserve"> regulējumu attālināti vadāmo un autonomo transporta līdzekļu testēšanai, tai skaitā reālā pilsētvidē” un SM ir norādīta kā galvenā atbildīgā iestāde.</w:t>
            </w:r>
          </w:p>
        </w:tc>
        <w:tc>
          <w:tcPr>
            <w:tcW w:w="3497" w:type="dxa"/>
            <w:tcBorders>
              <w:left w:val="single" w:sz="6" w:space="0" w:color="000000" w:themeColor="text1"/>
              <w:bottom w:val="single" w:sz="4" w:space="0" w:color="auto"/>
            </w:tcBorders>
            <w:shd w:val="clear" w:color="auto" w:fill="auto"/>
          </w:tcPr>
          <w:p w14:paraId="3A64B853" w14:textId="77777777" w:rsidR="00FE0078" w:rsidRPr="009841AB" w:rsidRDefault="00FE0078" w:rsidP="00FE0078">
            <w:pPr>
              <w:pStyle w:val="naisc"/>
              <w:spacing w:before="0" w:after="0"/>
              <w:jc w:val="both"/>
            </w:pPr>
          </w:p>
        </w:tc>
      </w:tr>
      <w:tr w:rsidR="00FE0078" w:rsidRPr="009841AB" w14:paraId="1EEEADD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03EE94B" w14:textId="77777777" w:rsidR="00FE0078" w:rsidRPr="009841AB" w:rsidRDefault="00FE0078" w:rsidP="00FE0078">
            <w:pPr>
              <w:pStyle w:val="naisc"/>
              <w:spacing w:before="0" w:after="0"/>
            </w:pPr>
          </w:p>
        </w:tc>
        <w:tc>
          <w:tcPr>
            <w:tcW w:w="2427" w:type="dxa"/>
            <w:tcBorders>
              <w:left w:val="single" w:sz="6" w:space="0" w:color="000000" w:themeColor="text1"/>
              <w:bottom w:val="single" w:sz="4" w:space="0" w:color="auto"/>
            </w:tcBorders>
            <w:shd w:val="clear" w:color="auto" w:fill="auto"/>
          </w:tcPr>
          <w:p w14:paraId="7888AC0C" w14:textId="77777777" w:rsidR="00FE0078" w:rsidRPr="009841AB" w:rsidRDefault="00FE0078" w:rsidP="00FE0078">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2E3D4557" w14:textId="77777777" w:rsidR="00FE0078" w:rsidRPr="009841AB" w:rsidRDefault="00FE0078" w:rsidP="00FE0078">
            <w:pPr>
              <w:tabs>
                <w:tab w:val="left" w:pos="720"/>
              </w:tabs>
              <w:contextualSpacing/>
              <w:jc w:val="both"/>
              <w:rPr>
                <w:b/>
                <w:bCs/>
                <w:lang w:eastAsia="en-US"/>
              </w:rPr>
            </w:pPr>
            <w:r w:rsidRPr="009841AB">
              <w:rPr>
                <w:b/>
                <w:bCs/>
                <w:lang w:eastAsia="en-US"/>
              </w:rPr>
              <w:t>Priekšlikumi:</w:t>
            </w:r>
          </w:p>
        </w:tc>
        <w:tc>
          <w:tcPr>
            <w:tcW w:w="2480" w:type="dxa"/>
            <w:tcBorders>
              <w:left w:val="single" w:sz="6" w:space="0" w:color="000000" w:themeColor="text1"/>
              <w:bottom w:val="single" w:sz="4" w:space="0" w:color="auto"/>
            </w:tcBorders>
            <w:shd w:val="clear" w:color="auto" w:fill="auto"/>
          </w:tcPr>
          <w:p w14:paraId="7F99F38B" w14:textId="77777777" w:rsidR="00FE0078" w:rsidRPr="009841AB" w:rsidRDefault="00FE0078"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50210CA3" w14:textId="77777777" w:rsidR="00FE0078" w:rsidRPr="009841AB" w:rsidRDefault="00FE0078" w:rsidP="00FE0078">
            <w:pPr>
              <w:pStyle w:val="naisc"/>
              <w:spacing w:before="0" w:after="0"/>
              <w:jc w:val="both"/>
            </w:pPr>
          </w:p>
        </w:tc>
      </w:tr>
      <w:tr w:rsidR="00FE0078" w:rsidRPr="009841AB" w14:paraId="2F8E6AD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5900F23" w14:textId="77777777" w:rsidR="00FE0078" w:rsidRPr="009841AB" w:rsidRDefault="00BF6FE3" w:rsidP="00FE0078">
            <w:pPr>
              <w:pStyle w:val="naisc"/>
              <w:spacing w:before="0" w:after="0"/>
            </w:pPr>
            <w:r>
              <w:t>493</w:t>
            </w:r>
          </w:p>
        </w:tc>
        <w:tc>
          <w:tcPr>
            <w:tcW w:w="2427" w:type="dxa"/>
            <w:tcBorders>
              <w:left w:val="single" w:sz="6" w:space="0" w:color="000000" w:themeColor="text1"/>
              <w:bottom w:val="single" w:sz="4" w:space="0" w:color="auto"/>
            </w:tcBorders>
            <w:shd w:val="clear" w:color="auto" w:fill="auto"/>
          </w:tcPr>
          <w:p w14:paraId="42A1791F"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47B07812" w14:textId="77777777" w:rsidR="00FE0078" w:rsidRPr="009841AB" w:rsidRDefault="00FE0078" w:rsidP="00FE0078">
            <w:pPr>
              <w:jc w:val="both"/>
            </w:pPr>
            <w:r w:rsidRPr="009841AB">
              <w:t>1.</w:t>
            </w:r>
            <w:r w:rsidRPr="009841AB">
              <w:tab/>
              <w:t>Pamatnostādņu projekta 4.5.2. rīcības virziens “Viedās pilsētas, viedā mobilitāte, autonomie transporta līdzekļi, izmēģinājuma poligoni un regulējuma smilškastes” detalizēti apraksta viedās pilsētas, autonomos sauszemes transporta līdzekļus, autonomos kuģošanas līdzekļus, autonomos bezpilota lidaparātus. Savukārt pamatnostādņu projekta 4.5.2. rīcības virziena Vīzija aptver tikai pilsētu infrastruktūras attīstību. Ņemot vērā minēto, lūdzam papildināt pamatnostādņu projekta 4.5.2. rīcības virziena Vīziju, lai tā aptvertu rīcības virziena nosaukumā un izklāstā ietverto.</w:t>
            </w:r>
          </w:p>
        </w:tc>
        <w:tc>
          <w:tcPr>
            <w:tcW w:w="2480" w:type="dxa"/>
            <w:tcBorders>
              <w:left w:val="single" w:sz="6" w:space="0" w:color="000000" w:themeColor="text1"/>
              <w:bottom w:val="single" w:sz="4" w:space="0" w:color="auto"/>
            </w:tcBorders>
            <w:shd w:val="clear" w:color="auto" w:fill="auto"/>
          </w:tcPr>
          <w:p w14:paraId="57FB3443" w14:textId="77777777" w:rsidR="00FE0078" w:rsidRPr="009841AB" w:rsidRDefault="00FE0078"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5B10D37E" w14:textId="77777777" w:rsidR="00FE0078" w:rsidRPr="009841AB" w:rsidRDefault="00FE0078" w:rsidP="00FE0078">
            <w:pPr>
              <w:pStyle w:val="naisc"/>
              <w:spacing w:before="0" w:after="0"/>
              <w:jc w:val="both"/>
            </w:pPr>
            <w:r w:rsidRPr="009841AB">
              <w:t xml:space="preserve">“Pilsētas infrastruktūra inteliģenti pielāgojas iedzīvotāju vajadzībām un notikumiem, padarot pilsētas dzīvi ērtāku, drošāku, zaļāku. Pilsētas ir atvērtas un plaši atbalsta viedo pilsētu risinājumu testēšanu un </w:t>
            </w:r>
            <w:proofErr w:type="spellStart"/>
            <w:r w:rsidRPr="009841AB">
              <w:t>pilotrisinājumu</w:t>
            </w:r>
            <w:proofErr w:type="spellEnd"/>
            <w:r w:rsidRPr="009841AB">
              <w:t xml:space="preserve"> ieviešanu. Lietošanā tiek ieviesti attālināti vadāmie un autonomie transporta līdzekļi.”</w:t>
            </w:r>
          </w:p>
        </w:tc>
      </w:tr>
      <w:tr w:rsidR="00FE0078" w:rsidRPr="009841AB" w14:paraId="654904E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5A6247C" w14:textId="77777777" w:rsidR="00FE0078" w:rsidRPr="009841AB" w:rsidRDefault="00BF6FE3" w:rsidP="00FE0078">
            <w:pPr>
              <w:pStyle w:val="naisc"/>
              <w:spacing w:before="0" w:after="0"/>
            </w:pPr>
            <w:r>
              <w:t>494</w:t>
            </w:r>
          </w:p>
        </w:tc>
        <w:tc>
          <w:tcPr>
            <w:tcW w:w="2427" w:type="dxa"/>
            <w:tcBorders>
              <w:left w:val="single" w:sz="6" w:space="0" w:color="000000" w:themeColor="text1"/>
              <w:bottom w:val="single" w:sz="4" w:space="0" w:color="auto"/>
            </w:tcBorders>
            <w:shd w:val="clear" w:color="auto" w:fill="auto"/>
          </w:tcPr>
          <w:p w14:paraId="51D2631E"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0F3146F9" w14:textId="77777777" w:rsidR="00FE0078" w:rsidRPr="009841AB" w:rsidRDefault="00FE0078" w:rsidP="00FE0078">
            <w:pPr>
              <w:jc w:val="both"/>
            </w:pPr>
            <w:r w:rsidRPr="009841AB">
              <w:t>2.</w:t>
            </w:r>
            <w:r w:rsidRPr="009841AB">
              <w:tab/>
              <w:t>Lūdzam pamatnostādņu projekta 4.5.2. rīcības virziena “Viedās pilsētas, viedā mobilitāte, autonomie transporta līdzekļi, izmēģinājuma poligoni un regulējuma smilškastes” sadaļas “Autonomie kuģošanas līdzekļi” pēdējo rindkopu “Latvijā nav bijusi interese par šādiem poligoniem…” pārcelt pēc rindkopas “Savukārt, lai iekšējos ūdeņus izmantotu autonomo kuģošanas līdzekļu…”.</w:t>
            </w:r>
          </w:p>
          <w:p w14:paraId="707C8676" w14:textId="77777777" w:rsidR="00FE0078" w:rsidRPr="009841AB" w:rsidRDefault="00FE0078" w:rsidP="00FE0078">
            <w:pPr>
              <w:jc w:val="both"/>
            </w:pPr>
            <w:r w:rsidRPr="009841AB">
              <w:t xml:space="preserve">Šāda redakcijas konstrukcija atbilstu tai, kuru Satiksmes ministrija sadarbībā ar VSIA “Latvijas Jūras administrācija” sniedza pamatnostādņu projekta izstrādes gaitā. Esošais, redakcionāli precizētais un papildinātais teksts sniedz nepatiesu priekšstatu, </w:t>
            </w:r>
            <w:r w:rsidRPr="009841AB">
              <w:lastRenderedPageBreak/>
              <w:t xml:space="preserve">attiecinot Latvijā esošo pozīciju arī uz </w:t>
            </w:r>
            <w:proofErr w:type="spellStart"/>
            <w:r w:rsidRPr="009841AB">
              <w:t>Advanced</w:t>
            </w:r>
            <w:proofErr w:type="spellEnd"/>
            <w:r w:rsidRPr="009841AB">
              <w:t xml:space="preserve">, </w:t>
            </w:r>
            <w:proofErr w:type="spellStart"/>
            <w:r w:rsidRPr="009841AB">
              <w:t>Efficient</w:t>
            </w:r>
            <w:proofErr w:type="spellEnd"/>
            <w:r w:rsidRPr="009841AB">
              <w:t xml:space="preserve"> </w:t>
            </w:r>
            <w:proofErr w:type="spellStart"/>
            <w:r w:rsidRPr="009841AB">
              <w:t>and</w:t>
            </w:r>
            <w:proofErr w:type="spellEnd"/>
            <w:r w:rsidRPr="009841AB">
              <w:t xml:space="preserve"> Green </w:t>
            </w:r>
            <w:proofErr w:type="spellStart"/>
            <w:r w:rsidRPr="009841AB">
              <w:t>Intermodal</w:t>
            </w:r>
            <w:proofErr w:type="spellEnd"/>
            <w:r w:rsidRPr="009841AB">
              <w:t xml:space="preserve"> </w:t>
            </w:r>
            <w:proofErr w:type="spellStart"/>
            <w:r w:rsidRPr="009841AB">
              <w:t>Systems</w:t>
            </w:r>
            <w:proofErr w:type="spellEnd"/>
            <w:r w:rsidRPr="009841AB">
              <w:t xml:space="preserve"> (AEGIS) projekta vērtējumu.</w:t>
            </w:r>
          </w:p>
        </w:tc>
        <w:tc>
          <w:tcPr>
            <w:tcW w:w="2480" w:type="dxa"/>
            <w:tcBorders>
              <w:left w:val="single" w:sz="6" w:space="0" w:color="000000" w:themeColor="text1"/>
              <w:bottom w:val="single" w:sz="4" w:space="0" w:color="auto"/>
            </w:tcBorders>
            <w:shd w:val="clear" w:color="auto" w:fill="auto"/>
          </w:tcPr>
          <w:p w14:paraId="743F4C0F" w14:textId="77777777" w:rsidR="00FE0078" w:rsidRPr="009841AB" w:rsidRDefault="00FE0078" w:rsidP="00FE0078">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3B55CA92" w14:textId="77777777" w:rsidR="00FE0078" w:rsidRPr="009841AB" w:rsidRDefault="00FE0078" w:rsidP="00FE0078">
            <w:pPr>
              <w:pStyle w:val="naisc"/>
              <w:spacing w:before="0" w:after="0"/>
              <w:jc w:val="both"/>
            </w:pPr>
            <w:r w:rsidRPr="009841AB">
              <w:t xml:space="preserve">“Pilsētas infrastruktūra inteliģenti pielāgojas iedzīvotāju vajadzībām un notikumiem, padarot pilsētas dzīvi ērtāku, drošāku, zaļāku. Pilsētas ir atvērtas un plaši atbalsta viedo pilsētu risinājumu testēšanu un </w:t>
            </w:r>
            <w:proofErr w:type="spellStart"/>
            <w:r w:rsidRPr="009841AB">
              <w:t>pilotrisinājumu</w:t>
            </w:r>
            <w:proofErr w:type="spellEnd"/>
            <w:r w:rsidRPr="009841AB">
              <w:t xml:space="preserve"> ieviešanu. Lietošanā tiek ieviesti attālināti vadāmie un autonomie transporta līdzekļi.”</w:t>
            </w:r>
          </w:p>
        </w:tc>
      </w:tr>
      <w:tr w:rsidR="00FE0078" w:rsidRPr="009841AB" w14:paraId="5EC0D37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D4DDECB" w14:textId="77777777" w:rsidR="00FE0078" w:rsidRPr="009841AB" w:rsidRDefault="00BF6FE3" w:rsidP="00FE0078">
            <w:pPr>
              <w:pStyle w:val="naisc"/>
              <w:spacing w:before="0" w:after="0"/>
            </w:pPr>
            <w:r>
              <w:t>495</w:t>
            </w:r>
          </w:p>
        </w:tc>
        <w:tc>
          <w:tcPr>
            <w:tcW w:w="2427" w:type="dxa"/>
            <w:tcBorders>
              <w:left w:val="single" w:sz="6" w:space="0" w:color="000000" w:themeColor="text1"/>
              <w:bottom w:val="single" w:sz="4" w:space="0" w:color="auto"/>
            </w:tcBorders>
            <w:shd w:val="clear" w:color="auto" w:fill="auto"/>
          </w:tcPr>
          <w:p w14:paraId="6F68F985"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2939531C" w14:textId="77777777" w:rsidR="00FE0078" w:rsidRPr="009841AB" w:rsidRDefault="00FE0078" w:rsidP="00FE0078">
            <w:pPr>
              <w:jc w:val="both"/>
            </w:pPr>
            <w:r w:rsidRPr="009841AB">
              <w:t>3.</w:t>
            </w:r>
            <w:r w:rsidRPr="009841AB">
              <w:tab/>
              <w:t xml:space="preserve">Satiksmes ministrijas ieskatā pamatnostādņu projekta 4.5.2. rīcības virzienā “Viedās pilsētas, viedā mobilitāte, autonomie transporta līdzekļi, izmēģinājuma poligoni un regulējuma smilškastes” attiecībā uz viedo mobilitāti nebūtu jāaprobežojas tikai ar autonomo transporta līdzekļu attīstību. Viedā mobilitātes attīstība aptver arī jautājumus ar attiecīgu informācijas pavadošo informācijas plūsmu. Loģistikas un tranzīta sektorā būtiska ir elektronisko dokumentu un elektroniskās informācijas apmaiņas ieviešana. Eiropas Parlaments un Padome 2020.gada 15.jūlijā pieņēma Regulu (ES) 2020/1056 par kravu pārvadājumu elektronisku informāciju (turpmāk - </w:t>
            </w:r>
            <w:proofErr w:type="spellStart"/>
            <w:r w:rsidRPr="009841AB">
              <w:t>eFTI</w:t>
            </w:r>
            <w:proofErr w:type="spellEnd"/>
            <w:r w:rsidRPr="009841AB">
              <w:t xml:space="preserve"> Regula), kuras mērķis ir veicināt kravu pārvadājumu un loģistikas </w:t>
            </w:r>
            <w:proofErr w:type="spellStart"/>
            <w:r w:rsidRPr="009841AB">
              <w:t>digitalizāciju</w:t>
            </w:r>
            <w:proofErr w:type="spellEnd"/>
            <w:r w:rsidRPr="009841AB">
              <w:t xml:space="preserve"> nolūkā samazināt administratīvās izmaksas, uzlabot iestāžu izpildes rīcībspējas, pārvadājumu efektivitāti un ilgtspēju. </w:t>
            </w:r>
            <w:proofErr w:type="spellStart"/>
            <w:r w:rsidRPr="009841AB">
              <w:t>eFTI</w:t>
            </w:r>
            <w:proofErr w:type="spellEnd"/>
            <w:r w:rsidRPr="009841AB">
              <w:t xml:space="preserve"> Regula paredz, ka noteikta informācija nākotnē var tikt sniegta arī elektroniskā veidā, dalībvalstīm attiecīgi nodrošinot saistošo dokumentu (informācijas) saņemošo (kontrolējošo) institūciju darbību elektroniskās informācijas apstrādei.</w:t>
            </w:r>
          </w:p>
          <w:p w14:paraId="17363350" w14:textId="77777777" w:rsidR="00FE0078" w:rsidRPr="009841AB" w:rsidRDefault="00FE0078" w:rsidP="00FE0078">
            <w:pPr>
              <w:jc w:val="both"/>
            </w:pPr>
            <w:r w:rsidRPr="009841AB">
              <w:t>Ņemot vērā, ka šādu risinājumu attīstība nākotnē viedas mobilitātes sekmēšanai ir būtiska, lūdzam attiecīgi papildināt pamatnostādņu projekta 4.5.2. rīcības virzienu.</w:t>
            </w:r>
          </w:p>
        </w:tc>
        <w:tc>
          <w:tcPr>
            <w:tcW w:w="2480" w:type="dxa"/>
            <w:tcBorders>
              <w:left w:val="single" w:sz="6" w:space="0" w:color="000000" w:themeColor="text1"/>
              <w:bottom w:val="single" w:sz="4" w:space="0" w:color="auto"/>
            </w:tcBorders>
            <w:shd w:val="clear" w:color="auto" w:fill="auto"/>
          </w:tcPr>
          <w:p w14:paraId="155B4B3F" w14:textId="77777777" w:rsidR="00FE0078" w:rsidRPr="009841AB" w:rsidRDefault="00FE0078" w:rsidP="00FE0078">
            <w:pPr>
              <w:pStyle w:val="naisc"/>
              <w:spacing w:before="0" w:after="0"/>
              <w:jc w:val="left"/>
              <w:rPr>
                <w:b/>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6A6278CA" w14:textId="77777777" w:rsidR="00FE0078" w:rsidRPr="009841AB" w:rsidRDefault="00FE0078" w:rsidP="00FE0078">
            <w:pPr>
              <w:jc w:val="both"/>
              <w:rPr>
                <w:color w:val="000000"/>
              </w:rPr>
            </w:pPr>
            <w:r w:rsidRPr="009841AB">
              <w:rPr>
                <w:color w:val="000000"/>
              </w:rPr>
              <w:t xml:space="preserve">“Viedā mobilitātes attīstība aptver arī jautājumus ar attiecīgu informācijas pavadošo informācijas plūsmu. Loģistikas un tranzīta sektorā būtiska ir elektronisko dokumentu un elektroniskās informācijas apmaiņas ieviešana. Eiropas Parlaments un Padome 2020.gada 15.jūlijā pieņēma Regulu (ES) 2020/1056 par kravu pārvadājumu elektronisku informāciju (turpmāk - </w:t>
            </w:r>
            <w:proofErr w:type="spellStart"/>
            <w:r w:rsidRPr="009841AB">
              <w:rPr>
                <w:color w:val="000000"/>
              </w:rPr>
              <w:t>eFTI</w:t>
            </w:r>
            <w:proofErr w:type="spellEnd"/>
            <w:r w:rsidRPr="009841AB">
              <w:rPr>
                <w:color w:val="000000"/>
              </w:rPr>
              <w:t xml:space="preserve"> Regula), kuras mērķis ir veicināt kravu pārvadājumu un loģistikas </w:t>
            </w:r>
            <w:proofErr w:type="spellStart"/>
            <w:r w:rsidRPr="009841AB">
              <w:rPr>
                <w:color w:val="000000"/>
              </w:rPr>
              <w:t>digitalizāciju</w:t>
            </w:r>
            <w:proofErr w:type="spellEnd"/>
            <w:r w:rsidRPr="009841AB">
              <w:rPr>
                <w:color w:val="000000"/>
              </w:rPr>
              <w:t xml:space="preserve"> nolūkā samazināt administratīvās izmaksas, uzlabot iestāžu izpildes rīcībspējas, pārvadājumu efektivitāti un ilgtspēju. </w:t>
            </w:r>
            <w:proofErr w:type="spellStart"/>
            <w:r w:rsidRPr="009841AB">
              <w:rPr>
                <w:color w:val="000000"/>
              </w:rPr>
              <w:t>eFTI</w:t>
            </w:r>
            <w:proofErr w:type="spellEnd"/>
            <w:r w:rsidRPr="009841AB">
              <w:rPr>
                <w:color w:val="000000"/>
              </w:rPr>
              <w:t xml:space="preserve"> Regula paredz, ka noteikta informācija nākotnē var tikt sniegta arī elektroniskā veidā, dalībvalstīm attiecīgi nodrošinot saistošo dokumentu (informācijas) saņemošo (kontrolējošo) institūciju darbību elektroniskās informācijas apstrādei.”</w:t>
            </w:r>
          </w:p>
        </w:tc>
      </w:tr>
      <w:tr w:rsidR="00FE0078" w:rsidRPr="009841AB" w14:paraId="5FAF370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67D86A0" w14:textId="77777777" w:rsidR="00FE0078" w:rsidRPr="009841AB" w:rsidRDefault="00BF6FE3" w:rsidP="00FE0078">
            <w:pPr>
              <w:pStyle w:val="naisc"/>
              <w:spacing w:before="0" w:after="0"/>
            </w:pPr>
            <w:r>
              <w:t>496</w:t>
            </w:r>
          </w:p>
        </w:tc>
        <w:tc>
          <w:tcPr>
            <w:tcW w:w="2427" w:type="dxa"/>
            <w:tcBorders>
              <w:left w:val="single" w:sz="6" w:space="0" w:color="000000" w:themeColor="text1"/>
              <w:bottom w:val="single" w:sz="4" w:space="0" w:color="auto"/>
            </w:tcBorders>
            <w:shd w:val="clear" w:color="auto" w:fill="auto"/>
          </w:tcPr>
          <w:p w14:paraId="38A26E69"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4A727428" w14:textId="77777777" w:rsidR="00FE0078" w:rsidRPr="009841AB" w:rsidRDefault="00FE0078" w:rsidP="00FE0078">
            <w:pPr>
              <w:jc w:val="both"/>
            </w:pPr>
            <w:r w:rsidRPr="009841AB">
              <w:t>4.</w:t>
            </w:r>
            <w:r w:rsidRPr="009841AB">
              <w:tab/>
              <w:t xml:space="preserve">Lūdzam izteikt pamatnostādņu projekta 4.5.2. rīcības virziena “Viedās pilsētas, viedā mobilitāte, autonomie transporta līdzekļi, izmēģinājuma poligoni un regulējuma smilškastes” sadaļas “Esošā situācijas </w:t>
            </w:r>
            <w:r w:rsidRPr="009841AB">
              <w:lastRenderedPageBreak/>
              <w:t xml:space="preserve">apraksts” 7.rindkopu šādā redakcijā: “Saskaņā ar pieaugošo urbanizāciju, viedās mobilitātes nozīmība iegūst aizvien plašāku globālo atpazīstamību, veicinot inovatīvus risinājumus vispārējas mobilitātes uzlabošanai pilsētvidē. Viedā mobilitāte aptver plašu spektru ar risinājumiem, t.sk. </w:t>
            </w:r>
            <w:proofErr w:type="spellStart"/>
            <w:r w:rsidRPr="009841AB">
              <w:t>autonomizācija</w:t>
            </w:r>
            <w:proofErr w:type="spellEnd"/>
            <w:r w:rsidRPr="009841AB">
              <w:t xml:space="preserve"> (automašīnas, gaisa kuģi/ </w:t>
            </w:r>
            <w:proofErr w:type="spellStart"/>
            <w:r w:rsidRPr="009841AB">
              <w:t>droni</w:t>
            </w:r>
            <w:proofErr w:type="spellEnd"/>
            <w:r w:rsidRPr="009841AB">
              <w:t xml:space="preserve">, ūdens transporta līdzekļi), viedas infrastruktūras attīstība (viedi luksofori, </w:t>
            </w:r>
            <w:proofErr w:type="spellStart"/>
            <w:r w:rsidRPr="009841AB">
              <w:t>mašīnredzes</w:t>
            </w:r>
            <w:proofErr w:type="spellEnd"/>
            <w:r w:rsidRPr="009841AB">
              <w:t xml:space="preserve"> risinājumi, viedas stāvvietas), kā arī digitālās infrastruktūras attīstība (datu ieguve, brīvpieejas nodrošināšana, </w:t>
            </w:r>
            <w:proofErr w:type="spellStart"/>
            <w:r w:rsidRPr="009841AB">
              <w:t>kiberdrošība</w:t>
            </w:r>
            <w:proofErr w:type="spellEnd"/>
            <w:r w:rsidRPr="009841AB">
              <w:t xml:space="preserve">, sakaru tīkla nodrošināšana). Būtiski ir uzsvērt, ka viedās mobilitātes risinājumi ir atkarīgi no vairuma savstarpēji saistošiem elementiem, tādēļ izcelt tikai viena atsevišķa risinājuma, kā piemēram autonomo risinājumu, attīstīšanu nav efektīvi. </w:t>
            </w:r>
            <w:proofErr w:type="spellStart"/>
            <w:r w:rsidRPr="009841AB">
              <w:t>Autonomizācija</w:t>
            </w:r>
            <w:proofErr w:type="spellEnd"/>
            <w:r w:rsidRPr="009841AB">
              <w:t xml:space="preserve"> spēj veiksmīgi darboties pie nosacījuma, ka paralēli tiek risināti ar infrastruktūru saistošie jautājumi, pilnveidots normatīvais regulējums, ar viedajām iekārtām nolasāmas ceļa zīmes, nodrošināti sakari starp automašīnām un atrisināti ar atbildību saistošie jautājumi.”</w:t>
            </w:r>
          </w:p>
        </w:tc>
        <w:tc>
          <w:tcPr>
            <w:tcW w:w="2480" w:type="dxa"/>
            <w:tcBorders>
              <w:left w:val="single" w:sz="6" w:space="0" w:color="000000" w:themeColor="text1"/>
              <w:bottom w:val="single" w:sz="4" w:space="0" w:color="auto"/>
            </w:tcBorders>
            <w:shd w:val="clear" w:color="auto" w:fill="auto"/>
          </w:tcPr>
          <w:p w14:paraId="23DEFD59" w14:textId="77777777" w:rsidR="00FE0078" w:rsidRPr="009841AB" w:rsidRDefault="00FE0078" w:rsidP="00FE0078">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3CA9F881" w14:textId="77777777" w:rsidR="00FE0078" w:rsidRPr="009841AB" w:rsidRDefault="00FE0078" w:rsidP="00FE0078">
            <w:pPr>
              <w:pStyle w:val="naisc"/>
              <w:spacing w:before="0" w:after="0"/>
              <w:jc w:val="both"/>
            </w:pPr>
            <w:r w:rsidRPr="009841AB">
              <w:t xml:space="preserve">“Saskaņā ar pieaugošo urbanizāciju, viedās mobilitātes nozīmība iegūst aizvien plašāku globālo atpazīstamību, veicinot </w:t>
            </w:r>
            <w:r w:rsidRPr="009841AB">
              <w:lastRenderedPageBreak/>
              <w:t xml:space="preserve">inovatīvus risinājumus vispārējas mobilitātes uzlabošanai pilsētvidē. Viedā mobilitāte aptver plašu spektru ar risinājumiem, t.sk. </w:t>
            </w:r>
            <w:proofErr w:type="spellStart"/>
            <w:r w:rsidRPr="009841AB">
              <w:t>autonomizācija</w:t>
            </w:r>
            <w:proofErr w:type="spellEnd"/>
            <w:r w:rsidRPr="009841AB">
              <w:t xml:space="preserve"> (automašīnas, gaisa kuģi/ </w:t>
            </w:r>
            <w:proofErr w:type="spellStart"/>
            <w:r w:rsidRPr="009841AB">
              <w:t>droni</w:t>
            </w:r>
            <w:proofErr w:type="spellEnd"/>
            <w:r w:rsidRPr="009841AB">
              <w:t xml:space="preserve">, ūdens transporta līdzekļi), viedas infrastruktūras attīstība (viedi luksofori, </w:t>
            </w:r>
            <w:proofErr w:type="spellStart"/>
            <w:r w:rsidRPr="009841AB">
              <w:t>mašīnredzes</w:t>
            </w:r>
            <w:proofErr w:type="spellEnd"/>
            <w:r w:rsidRPr="009841AB">
              <w:t xml:space="preserve"> risinājumi, viedas stāvvietas), kā arī digitālās infrastruktūras attīstība (datu ieguve, brīvpieejas nodrošināšana, </w:t>
            </w:r>
            <w:proofErr w:type="spellStart"/>
            <w:r w:rsidRPr="009841AB">
              <w:t>kiberdrošība</w:t>
            </w:r>
            <w:proofErr w:type="spellEnd"/>
            <w:r w:rsidRPr="009841AB">
              <w:t xml:space="preserve">, sakaru tīkla nodrošināšana). Būtiski ir uzsvērt, ka viedās mobilitātes risinājumi ir atkarīgi no vairuma savstarpēji saistošiem elementiem, tādēļ izcelt tikai viena atsevišķa risinājuma, kā piemēram autonomo risinājumu, attīstīšanu nav efektīvi. </w:t>
            </w:r>
            <w:proofErr w:type="spellStart"/>
            <w:r w:rsidRPr="009841AB">
              <w:t>Autonomizācija</w:t>
            </w:r>
            <w:proofErr w:type="spellEnd"/>
            <w:r w:rsidRPr="009841AB">
              <w:t xml:space="preserve"> spēj veiksmīgi darboties pie nosacījuma, ka paralēli tiek risināti ar infrastruktūru saistošie jautājumi, pilnveidots normatīvais regulējums, ar viedajām iekārtām nolasāmas ceļa zīmes, nodrošināti sakari starp automašīnām un atrisināti ar atbildību saistošie jautājumi.”</w:t>
            </w:r>
          </w:p>
        </w:tc>
      </w:tr>
      <w:tr w:rsidR="00FE0078" w:rsidRPr="009841AB" w14:paraId="1CF64F9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FDF7417" w14:textId="77777777" w:rsidR="00FE0078" w:rsidRPr="009841AB" w:rsidRDefault="00BF6FE3" w:rsidP="00FE0078">
            <w:pPr>
              <w:pStyle w:val="naisc"/>
              <w:spacing w:before="0" w:after="0"/>
            </w:pPr>
            <w:r>
              <w:lastRenderedPageBreak/>
              <w:t>497</w:t>
            </w:r>
          </w:p>
        </w:tc>
        <w:tc>
          <w:tcPr>
            <w:tcW w:w="2427" w:type="dxa"/>
            <w:tcBorders>
              <w:left w:val="single" w:sz="6" w:space="0" w:color="000000" w:themeColor="text1"/>
              <w:bottom w:val="single" w:sz="4" w:space="0" w:color="auto"/>
            </w:tcBorders>
            <w:shd w:val="clear" w:color="auto" w:fill="auto"/>
          </w:tcPr>
          <w:p w14:paraId="1A75810E"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28E4C2BD" w14:textId="77777777" w:rsidR="00FE0078" w:rsidRPr="009841AB" w:rsidRDefault="00FE0078" w:rsidP="00FE0078">
            <w:pPr>
              <w:jc w:val="both"/>
            </w:pPr>
            <w:r w:rsidRPr="009841AB">
              <w:t>5.</w:t>
            </w:r>
            <w:r w:rsidRPr="009841AB">
              <w:tab/>
              <w:t xml:space="preserve">Lūdzam papildināt pamatnostādņu projekta 4.5.2. rīcības virziena “Viedās pilsētas, viedā mobilitāte, autonomie transporta līdzekļi, izmēģinājuma poligoni un regulējuma smilškastes” sadaļas “Esošā situācijas apraksts” 9.rindkopu ar šādu </w:t>
            </w:r>
            <w:r w:rsidRPr="009841AB">
              <w:lastRenderedPageBreak/>
              <w:t xml:space="preserve">teikumu: “Vienlaikus arī šo </w:t>
            </w:r>
            <w:proofErr w:type="spellStart"/>
            <w:r w:rsidRPr="009841AB">
              <w:t>pilotteritoriju</w:t>
            </w:r>
            <w:proofErr w:type="spellEnd"/>
            <w:r w:rsidRPr="009841AB">
              <w:t xml:space="preserve"> izveidē ir jāņem vērā esošais nacionālais regulējums, jo atsevišķas atkāpes ir iespējamas tikai atbilstoši ieviestajam un spēkā esošajam regulējumam.”</w:t>
            </w:r>
          </w:p>
        </w:tc>
        <w:tc>
          <w:tcPr>
            <w:tcW w:w="2480" w:type="dxa"/>
            <w:tcBorders>
              <w:left w:val="single" w:sz="6" w:space="0" w:color="000000" w:themeColor="text1"/>
              <w:bottom w:val="single" w:sz="4" w:space="0" w:color="auto"/>
            </w:tcBorders>
            <w:shd w:val="clear" w:color="auto" w:fill="auto"/>
          </w:tcPr>
          <w:p w14:paraId="1DEB0A61"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lastRenderedPageBreak/>
              <w:t>Panākta vienošanās</w:t>
            </w:r>
          </w:p>
          <w:p w14:paraId="6B0F9F87" w14:textId="6C1287A7" w:rsidR="00FE0078" w:rsidRPr="009841AB" w:rsidRDefault="00FE0078"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5167FA33" w14:textId="77777777" w:rsidR="00FE0078" w:rsidRPr="009841AB" w:rsidRDefault="00FE0078" w:rsidP="00FE0078">
            <w:pPr>
              <w:pStyle w:val="naisc"/>
              <w:spacing w:before="0" w:after="0"/>
              <w:jc w:val="both"/>
            </w:pPr>
            <w:r w:rsidRPr="009841AB">
              <w:rPr>
                <w:i/>
                <w:iCs/>
              </w:rPr>
              <w:t>“</w:t>
            </w:r>
            <w:r w:rsidRPr="009841AB">
              <w:t xml:space="preserve">Būs nepieciešams grozīt regulējumu, lai pieļautu autonomo transporta līdzekļu testēšanu reālā pilsētvidē”.  </w:t>
            </w:r>
          </w:p>
        </w:tc>
      </w:tr>
      <w:tr w:rsidR="00FE0078" w:rsidRPr="009841AB" w14:paraId="0B5505E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059391D" w14:textId="77777777" w:rsidR="00FE0078" w:rsidRPr="009841AB" w:rsidRDefault="00BF6FE3" w:rsidP="00FE0078">
            <w:pPr>
              <w:pStyle w:val="naisc"/>
              <w:spacing w:before="0" w:after="0"/>
            </w:pPr>
            <w:r>
              <w:t>498</w:t>
            </w:r>
          </w:p>
        </w:tc>
        <w:tc>
          <w:tcPr>
            <w:tcW w:w="2427" w:type="dxa"/>
            <w:tcBorders>
              <w:left w:val="single" w:sz="6" w:space="0" w:color="000000" w:themeColor="text1"/>
              <w:bottom w:val="single" w:sz="4" w:space="0" w:color="auto"/>
            </w:tcBorders>
            <w:shd w:val="clear" w:color="auto" w:fill="auto"/>
          </w:tcPr>
          <w:p w14:paraId="69F0E9C5"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5A451B68" w14:textId="77777777" w:rsidR="00FE0078" w:rsidRPr="009841AB" w:rsidRDefault="00FE0078" w:rsidP="00FE0078">
            <w:pPr>
              <w:jc w:val="both"/>
            </w:pPr>
            <w:r w:rsidRPr="009841AB">
              <w:t>6.</w:t>
            </w:r>
            <w:r w:rsidRPr="009841AB">
              <w:tab/>
              <w:t>Lūdzam papildināt pamatnostādņu projekta 4.5.2. rīcības virziena “Viedās pilsētas, viedā mobilitāte, autonomie transporta līdzekļi, izmēģinājuma poligoni un regulējuma smilškastes” sadaļas “Esošā situācijas apraksts” 11.rindkopu ar šādu teikumu: “Izvērtējot, vai šādas teritorijas ir publiski pieejamas jeb ar ierobežotu piekļuvi, jāvērtē drošības riski, attiecīgi pieļaujot testēšanu publiski pieejamās teritorijās, tikai tādos gadījumos, ja tiek ievēroti visi normatīvie akti.”</w:t>
            </w:r>
          </w:p>
        </w:tc>
        <w:tc>
          <w:tcPr>
            <w:tcW w:w="2480" w:type="dxa"/>
            <w:tcBorders>
              <w:left w:val="single" w:sz="6" w:space="0" w:color="000000" w:themeColor="text1"/>
              <w:bottom w:val="single" w:sz="4" w:space="0" w:color="auto"/>
            </w:tcBorders>
            <w:shd w:val="clear" w:color="auto" w:fill="auto"/>
          </w:tcPr>
          <w:p w14:paraId="64FEE291"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t>Panākta vienošanās</w:t>
            </w:r>
          </w:p>
          <w:p w14:paraId="3A4EC6F7" w14:textId="77777777" w:rsidR="00FE0078" w:rsidRPr="009841AB" w:rsidRDefault="00FE0078"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7B33BFE1" w14:textId="77777777" w:rsidR="00FE0078" w:rsidRPr="009841AB" w:rsidRDefault="00FE0078" w:rsidP="00FE0078">
            <w:pPr>
              <w:pStyle w:val="naisc"/>
              <w:spacing w:before="0" w:after="0"/>
              <w:jc w:val="both"/>
            </w:pPr>
            <w:r w:rsidRPr="009841AB">
              <w:t>“Izvērtējot, vai šādas teritorijas ir publiski pieejamas jeb ar ierobežotu piekļuvi, jāvērtē drošības riski, attiecīgi pieļaujot testēšanu publiski pieejamās teritorijās. Būs nepieciešams grozīt regulējumu, lai pieļautu autonomo transporta līdzekļu testēšanu</w:t>
            </w:r>
            <w:r w:rsidRPr="009841AB">
              <w:rPr>
                <w:i/>
                <w:iCs/>
              </w:rPr>
              <w:t xml:space="preserve"> </w:t>
            </w:r>
            <w:r w:rsidRPr="009841AB">
              <w:t>reālā pilsētvidē.”</w:t>
            </w:r>
            <w:r w:rsidRPr="009841AB">
              <w:rPr>
                <w:i/>
                <w:iCs/>
              </w:rPr>
              <w:t xml:space="preserve">  </w:t>
            </w:r>
          </w:p>
        </w:tc>
      </w:tr>
      <w:tr w:rsidR="00FE0078" w:rsidRPr="009841AB" w14:paraId="2EB0733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7CFA5B6" w14:textId="77777777" w:rsidR="00FE0078" w:rsidRPr="009841AB" w:rsidRDefault="00BF6FE3" w:rsidP="00FE0078">
            <w:pPr>
              <w:pStyle w:val="naisc"/>
              <w:spacing w:before="0" w:after="0"/>
            </w:pPr>
            <w:r>
              <w:t>499</w:t>
            </w:r>
          </w:p>
        </w:tc>
        <w:tc>
          <w:tcPr>
            <w:tcW w:w="2427" w:type="dxa"/>
            <w:tcBorders>
              <w:left w:val="single" w:sz="6" w:space="0" w:color="000000" w:themeColor="text1"/>
              <w:bottom w:val="single" w:sz="4" w:space="0" w:color="auto"/>
            </w:tcBorders>
            <w:shd w:val="clear" w:color="auto" w:fill="auto"/>
          </w:tcPr>
          <w:p w14:paraId="54152590"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4A4ED51C" w14:textId="77777777" w:rsidR="00FE0078" w:rsidRPr="009841AB" w:rsidRDefault="00FE0078" w:rsidP="00FE0078">
            <w:pPr>
              <w:jc w:val="both"/>
            </w:pPr>
            <w:r w:rsidRPr="009841AB">
              <w:t>7.</w:t>
            </w:r>
            <w:r w:rsidRPr="009841AB">
              <w:tab/>
            </w:r>
            <w:r w:rsidRPr="009841AB">
              <w:tab/>
              <w:t>Lūdzam papildināt pamatnostādņu projekta 4.5.2. rīcības virziena “Viedās pilsētas, viedā mobilitāte, autonomie transporta līdzekļi, izmēģinājuma poligoni un regulējuma smilškastes” sadaļas “Autonomie sauszemes transporta līdzekļi” 1.rindkopu ar šādu teikumu: “Vienlaikus arī jāņem vērā, ka Latvijā, līdzīgi kā citās ES dalībvalstīs, ir jāievēro Vīnes 1968.gada 8.novembra Konvencijā par ceļu satiksmi noteiktie principi (pārņemta ar nacionālajiem normatīvajiem aktiem, tostarp Ceļu satiksmes likumu), kas noteic, ka transportlīdzekļa vadītājs uzņemas atbildību par rīcību ceļu satiksmē. Transportlīdzekļa vadīšana bez vadītāja nav atļauta.”</w:t>
            </w:r>
          </w:p>
        </w:tc>
        <w:tc>
          <w:tcPr>
            <w:tcW w:w="2480" w:type="dxa"/>
            <w:tcBorders>
              <w:left w:val="single" w:sz="6" w:space="0" w:color="000000" w:themeColor="text1"/>
              <w:bottom w:val="single" w:sz="4" w:space="0" w:color="auto"/>
            </w:tcBorders>
            <w:shd w:val="clear" w:color="auto" w:fill="auto"/>
          </w:tcPr>
          <w:p w14:paraId="35B99460"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t>Panākta vienošanās</w:t>
            </w:r>
          </w:p>
          <w:p w14:paraId="70BF2025" w14:textId="77777777" w:rsidR="00FE0078" w:rsidRPr="009841AB" w:rsidRDefault="00FE0078" w:rsidP="00FE0078">
            <w:pPr>
              <w:pStyle w:val="naisc"/>
              <w:spacing w:before="0" w:after="0"/>
              <w:jc w:val="left"/>
              <w:rPr>
                <w:b/>
              </w:rPr>
            </w:pPr>
          </w:p>
        </w:tc>
        <w:tc>
          <w:tcPr>
            <w:tcW w:w="3497" w:type="dxa"/>
            <w:tcBorders>
              <w:left w:val="single" w:sz="6" w:space="0" w:color="000000" w:themeColor="text1"/>
              <w:bottom w:val="single" w:sz="4" w:space="0" w:color="auto"/>
            </w:tcBorders>
            <w:shd w:val="clear" w:color="auto" w:fill="auto"/>
          </w:tcPr>
          <w:p w14:paraId="6F411430" w14:textId="77777777" w:rsidR="00FE0078" w:rsidRPr="009841AB" w:rsidRDefault="00FE0078" w:rsidP="00FE0078">
            <w:pPr>
              <w:pStyle w:val="naisc"/>
              <w:spacing w:before="0" w:after="0"/>
              <w:jc w:val="both"/>
            </w:pPr>
            <w:r w:rsidRPr="009841AB">
              <w:t>“Vienlaikus arī jāņem vērā, ka Latvijā, līdzīgi kā citās ES dalībvalstīs, ir jāievēro Vīnes 1968.gada 8.novembra Konvencijā par ceļu satiksmi noteiktie principi (pārņemta ar nacionālajiem normatīvajiem aktiem, tostarp Ceļu satiksmes likumu), kas noteic, ka transportlīdzekļa vadītājs uzņemas atbildību par rīcību ceļu satiksmē. Transportlīdzekļa vadīšana bez vadītāja nav atļauta. Tāpēc Būs nepieciešams grozīt regulējumu, lai pieļautu autonomo transporta līdzekļu testēšanu reālā pilsētvidē.”</w:t>
            </w:r>
          </w:p>
        </w:tc>
      </w:tr>
      <w:tr w:rsidR="00FE0078" w:rsidRPr="009841AB" w14:paraId="365EEB5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241EA77" w14:textId="77777777" w:rsidR="00FE0078" w:rsidRPr="009841AB" w:rsidRDefault="003D5107" w:rsidP="00FE0078">
            <w:pPr>
              <w:pStyle w:val="naisc"/>
              <w:spacing w:before="0" w:after="0"/>
            </w:pPr>
            <w:r>
              <w:t>500</w:t>
            </w:r>
          </w:p>
        </w:tc>
        <w:tc>
          <w:tcPr>
            <w:tcW w:w="2427" w:type="dxa"/>
            <w:tcBorders>
              <w:left w:val="single" w:sz="6" w:space="0" w:color="000000" w:themeColor="text1"/>
              <w:bottom w:val="single" w:sz="4" w:space="0" w:color="auto"/>
            </w:tcBorders>
            <w:shd w:val="clear" w:color="auto" w:fill="auto"/>
          </w:tcPr>
          <w:p w14:paraId="75CCA202"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46700B35" w14:textId="77777777" w:rsidR="00FE0078" w:rsidRPr="009841AB" w:rsidRDefault="00FE0078" w:rsidP="00FE0078">
            <w:pPr>
              <w:jc w:val="both"/>
            </w:pPr>
            <w:r w:rsidRPr="009841AB">
              <w:t>8.</w:t>
            </w:r>
            <w:r w:rsidRPr="009841AB">
              <w:tab/>
              <w:t xml:space="preserve">Lūdzam svītrot pamatnostādņu projekta 4.5.2. rīcības virziena “Viedās pilsētas, viedā mobilitāte, autonomie transporta līdzekļi, izmēģinājuma poligoni un regulējuma smilškastes” sadaļā “Nepieciešamā </w:t>
            </w:r>
            <w:r w:rsidRPr="009841AB">
              <w:lastRenderedPageBreak/>
              <w:t>rīcība” teikumu “Autonomajiem auto tiek noteikts pilsētas rajons, kur var izmēģināt autonomos auto reālā satiksmē.”</w:t>
            </w:r>
          </w:p>
          <w:p w14:paraId="536ABA0F" w14:textId="77777777" w:rsidR="00FE0078" w:rsidRPr="009841AB" w:rsidRDefault="00FE0078" w:rsidP="00FE0078">
            <w:pPr>
              <w:jc w:val="both"/>
            </w:pPr>
            <w:r w:rsidRPr="009841AB">
              <w:t>Autonomo transportlīdzekļu testēšana pilsētvidē ir atļauta jau šobrīd un veicama atbilstoši Satiksmes ministrijas sagatavotajām “Vadlīnijām automatizētu transportlīdzekļu tehnoloģiju testēšanai”, taču jānorāda, ka transportlīdzeklī testēšanas laikā tajā jebkurā brīdī jāatrodas vadītājam, kas var pārņemt transportlīdzekļa vadību.</w:t>
            </w:r>
          </w:p>
        </w:tc>
        <w:tc>
          <w:tcPr>
            <w:tcW w:w="2480" w:type="dxa"/>
            <w:tcBorders>
              <w:left w:val="single" w:sz="6" w:space="0" w:color="000000" w:themeColor="text1"/>
              <w:bottom w:val="single" w:sz="4" w:space="0" w:color="auto"/>
            </w:tcBorders>
            <w:shd w:val="clear" w:color="auto" w:fill="auto"/>
          </w:tcPr>
          <w:p w14:paraId="04550DD2" w14:textId="77777777" w:rsidR="00F7458C" w:rsidRDefault="00F7458C" w:rsidP="00F7458C">
            <w:pPr>
              <w:pStyle w:val="naisc"/>
              <w:jc w:val="left"/>
              <w:rPr>
                <w:b/>
                <w:bCs/>
                <w:color w:val="000000"/>
                <w:shd w:val="clear" w:color="auto" w:fill="FFFFFF"/>
              </w:rPr>
            </w:pPr>
            <w:r>
              <w:rPr>
                <w:b/>
                <w:bCs/>
                <w:color w:val="000000"/>
                <w:shd w:val="clear" w:color="auto" w:fill="FFFFFF"/>
              </w:rPr>
              <w:lastRenderedPageBreak/>
              <w:t>Panākta vienošanās</w:t>
            </w:r>
          </w:p>
          <w:p w14:paraId="3CEC6D1E" w14:textId="27C32451" w:rsidR="00FE0078" w:rsidRPr="00F7458C" w:rsidRDefault="00FE0078" w:rsidP="00F7458C">
            <w:pPr>
              <w:pStyle w:val="naisc"/>
              <w:jc w:val="left"/>
              <w:rPr>
                <w:b/>
                <w:bCs/>
                <w:color w:val="000000"/>
                <w:shd w:val="clear" w:color="auto" w:fill="FFFFFF"/>
              </w:rPr>
            </w:pPr>
            <w:r w:rsidRPr="009841AB">
              <w:lastRenderedPageBreak/>
              <w:t>Lūdzam skatīt kontekstā ar iepriekšējo iebildumu.</w:t>
            </w:r>
          </w:p>
        </w:tc>
        <w:tc>
          <w:tcPr>
            <w:tcW w:w="3497" w:type="dxa"/>
            <w:tcBorders>
              <w:left w:val="single" w:sz="6" w:space="0" w:color="000000" w:themeColor="text1"/>
              <w:bottom w:val="single" w:sz="4" w:space="0" w:color="auto"/>
            </w:tcBorders>
            <w:shd w:val="clear" w:color="auto" w:fill="auto"/>
          </w:tcPr>
          <w:p w14:paraId="5522E2AD" w14:textId="77777777" w:rsidR="00FE0078" w:rsidRPr="009841AB" w:rsidRDefault="00FE0078" w:rsidP="00FE0078">
            <w:pPr>
              <w:pStyle w:val="naisc"/>
              <w:spacing w:before="0" w:after="0"/>
              <w:jc w:val="both"/>
            </w:pPr>
          </w:p>
        </w:tc>
      </w:tr>
      <w:tr w:rsidR="00FE0078" w:rsidRPr="009841AB" w14:paraId="66684D4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276BF3E" w14:textId="77777777" w:rsidR="00FE0078" w:rsidRPr="009841AB" w:rsidRDefault="003D5107" w:rsidP="00FE0078">
            <w:pPr>
              <w:pStyle w:val="naisc"/>
              <w:spacing w:before="0" w:after="0"/>
            </w:pPr>
            <w:r>
              <w:t>501</w:t>
            </w:r>
          </w:p>
        </w:tc>
        <w:tc>
          <w:tcPr>
            <w:tcW w:w="2427" w:type="dxa"/>
            <w:tcBorders>
              <w:left w:val="single" w:sz="6" w:space="0" w:color="000000" w:themeColor="text1"/>
              <w:bottom w:val="single" w:sz="4" w:space="0" w:color="auto"/>
            </w:tcBorders>
            <w:shd w:val="clear" w:color="auto" w:fill="auto"/>
          </w:tcPr>
          <w:p w14:paraId="5093A389"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4AF59BE8" w14:textId="77777777" w:rsidR="00FE0078" w:rsidRPr="009841AB" w:rsidRDefault="00FE0078" w:rsidP="00FE0078">
            <w:pPr>
              <w:jc w:val="both"/>
            </w:pPr>
            <w:r w:rsidRPr="009841AB">
              <w:t>9.</w:t>
            </w:r>
            <w:r w:rsidRPr="009841AB">
              <w:tab/>
              <w:t>Lūdzam papildināt pamatnostādņu projekta 4.5.2. rīcības virziena “Viedās pilsētas, viedā mobilitāte, autonomie transporta līdzekļi, izmēģinājuma poligoni un regulējuma smilškastes” rindkopu ar teikumu šādā redakcijā: “Vienlaikus ir jāņem vērā esošais nacionālais regulējums, jo atsevišķas atkāpes no normatīvā regulējuma ir iespējamas tikai atbilstoši ieviestajam un spēkā esošajam regulējumam.”</w:t>
            </w:r>
          </w:p>
        </w:tc>
        <w:tc>
          <w:tcPr>
            <w:tcW w:w="2480" w:type="dxa"/>
            <w:tcBorders>
              <w:left w:val="single" w:sz="6" w:space="0" w:color="000000" w:themeColor="text1"/>
              <w:bottom w:val="single" w:sz="4" w:space="0" w:color="auto"/>
            </w:tcBorders>
            <w:shd w:val="clear" w:color="auto" w:fill="auto"/>
          </w:tcPr>
          <w:p w14:paraId="34A9489A" w14:textId="77777777" w:rsidR="00F7458C" w:rsidRPr="009841AB" w:rsidRDefault="00F7458C" w:rsidP="00F7458C">
            <w:pPr>
              <w:pStyle w:val="naisc"/>
              <w:jc w:val="left"/>
              <w:rPr>
                <w:b/>
                <w:bCs/>
                <w:color w:val="000000"/>
                <w:shd w:val="clear" w:color="auto" w:fill="FFFFFF"/>
              </w:rPr>
            </w:pPr>
            <w:r>
              <w:rPr>
                <w:b/>
                <w:bCs/>
                <w:color w:val="000000"/>
                <w:shd w:val="clear" w:color="auto" w:fill="FFFFFF"/>
              </w:rPr>
              <w:t>Panākta vienošanās</w:t>
            </w:r>
          </w:p>
          <w:p w14:paraId="5ED2BE8C" w14:textId="77777777" w:rsidR="00FE0078" w:rsidRPr="009841AB" w:rsidRDefault="00FE0078" w:rsidP="00FE0078">
            <w:pPr>
              <w:pStyle w:val="naisc"/>
              <w:spacing w:before="0" w:after="0"/>
              <w:jc w:val="left"/>
            </w:pPr>
            <w:r w:rsidRPr="009841AB">
              <w:t>Dokuments tieši paredz virzību uz esošo normatīvo aktu grozīšanu.</w:t>
            </w:r>
          </w:p>
          <w:p w14:paraId="55E4DF91" w14:textId="77777777" w:rsidR="00FE0078" w:rsidRPr="009841AB" w:rsidRDefault="00FE0078" w:rsidP="00FE0078">
            <w:pPr>
              <w:pStyle w:val="naisc"/>
              <w:spacing w:before="0" w:after="0"/>
              <w:jc w:val="left"/>
              <w:rPr>
                <w:b/>
              </w:rPr>
            </w:pPr>
            <w:r w:rsidRPr="009841AB">
              <w:t>Piemēram, Vācijā likums atļauj kompetentai iestādei izsniegt četru gadu licences autonomo transporta līdzekļu testēšanai.</w:t>
            </w:r>
            <w:r w:rsidRPr="009841AB">
              <w:rPr>
                <w:rStyle w:val="FootnoteReference"/>
              </w:rPr>
              <w:footnoteReference w:id="4"/>
            </w:r>
            <w:r w:rsidRPr="009841AB">
              <w:t xml:space="preserve"> Šādiem transportlīdzekļiem var tikt izvirzītas atšķirīgas prasības no vispārējā regulējumā noteiktām.</w:t>
            </w:r>
          </w:p>
        </w:tc>
        <w:tc>
          <w:tcPr>
            <w:tcW w:w="3497" w:type="dxa"/>
            <w:tcBorders>
              <w:left w:val="single" w:sz="6" w:space="0" w:color="000000" w:themeColor="text1"/>
              <w:bottom w:val="single" w:sz="4" w:space="0" w:color="auto"/>
            </w:tcBorders>
            <w:shd w:val="clear" w:color="auto" w:fill="auto"/>
          </w:tcPr>
          <w:p w14:paraId="4861AE4B" w14:textId="77777777" w:rsidR="00FE0078" w:rsidRPr="009841AB" w:rsidRDefault="00FE0078" w:rsidP="00FE0078">
            <w:pPr>
              <w:pStyle w:val="naisc"/>
              <w:spacing w:before="0" w:after="0"/>
              <w:jc w:val="both"/>
            </w:pPr>
          </w:p>
        </w:tc>
      </w:tr>
      <w:tr w:rsidR="00FE0078" w:rsidRPr="009841AB" w14:paraId="5E99F99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A6AB647" w14:textId="77777777" w:rsidR="00FE0078" w:rsidRPr="009841AB" w:rsidRDefault="003D5107" w:rsidP="00FE0078">
            <w:pPr>
              <w:pStyle w:val="naisc"/>
              <w:spacing w:before="0" w:after="0"/>
            </w:pPr>
            <w:r>
              <w:t>502</w:t>
            </w:r>
          </w:p>
        </w:tc>
        <w:tc>
          <w:tcPr>
            <w:tcW w:w="2427" w:type="dxa"/>
            <w:tcBorders>
              <w:left w:val="single" w:sz="6" w:space="0" w:color="000000" w:themeColor="text1"/>
              <w:bottom w:val="single" w:sz="4" w:space="0" w:color="auto"/>
            </w:tcBorders>
            <w:shd w:val="clear" w:color="auto" w:fill="auto"/>
          </w:tcPr>
          <w:p w14:paraId="7ADF8ED1"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6D76DDA3" w14:textId="77777777" w:rsidR="00FE0078" w:rsidRPr="009841AB" w:rsidRDefault="00FE0078" w:rsidP="00FE0078">
            <w:pPr>
              <w:tabs>
                <w:tab w:val="left" w:pos="1134"/>
              </w:tabs>
              <w:ind w:right="150"/>
              <w:jc w:val="both"/>
            </w:pPr>
            <w:r w:rsidRPr="009841AB">
              <w:t xml:space="preserve">10. Lūdzam precizēt pamatnostādņu projekta 4.5.2. rīcības virziena “Viedās pilsētas, viedā mobilitāte, autonomie transporta līdzekļi, izmēģinājuma poligoni un regulējuma smilškastes” sadaļas “Nepieciešamā rīcība” pirmo rindkopu, aktualizējot informāciju par viedās pilsētas ekosistēmas ietvaros </w:t>
            </w:r>
            <w:r w:rsidRPr="009841AB">
              <w:lastRenderedPageBreak/>
              <w:t>izstrādātā sadarbības memoranda virzību, ņemot vērā, ka pamatnostādņu tekstā norādītais 2020.gads ir noslēdzies. Vienlaikus lūdzam atsaukties uz Ekonomikas ministrijas izstrādāto politikas plānošanas dokumenta projektu “Nacionālās industriālās politikas pamatnostādnes 2021.- 2027.gadam” (turpmāk – NIP2027), kur paredzēts Viedās specializācijas stratēģijas (RIS3) koncepts ar vienu no rīcības virzieniem - viedās mobilitātes attīstība. Vēršam uzmanību, ka NIP2027 tikai paredz rīcības plānu izstrādi, pretēji rindkopā norādītajam, ka “Sadarbības memoranda ietvaros iesaistītās puses ir kopēji izstrādājušas viedās mobilitātes rīcības plānu 2021.-2027.gadam (..).”</w:t>
            </w:r>
          </w:p>
        </w:tc>
        <w:tc>
          <w:tcPr>
            <w:tcW w:w="2480" w:type="dxa"/>
            <w:tcBorders>
              <w:left w:val="single" w:sz="6" w:space="0" w:color="000000" w:themeColor="text1"/>
              <w:bottom w:val="single" w:sz="4" w:space="0" w:color="auto"/>
            </w:tcBorders>
            <w:shd w:val="clear" w:color="auto" w:fill="auto"/>
          </w:tcPr>
          <w:p w14:paraId="04219DD8" w14:textId="77777777" w:rsidR="00FE0078" w:rsidRPr="009841AB" w:rsidRDefault="00FE0078" w:rsidP="00FE0078">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18B1230A" w14:textId="77777777" w:rsidR="00FE0078" w:rsidRPr="009841AB" w:rsidRDefault="00FE0078" w:rsidP="00FE0078">
            <w:pPr>
              <w:pStyle w:val="naisc"/>
              <w:spacing w:before="0" w:after="0"/>
              <w:jc w:val="both"/>
            </w:pPr>
            <w:r w:rsidRPr="009841AB">
              <w:t xml:space="preserve">“Ekonomikas ministrija izstrādāja politikas plānošanas dokumenta projektu “Nacionālās industriālās politikas pamatnostādnes 2021.- 2027.gadam” (turpmāk – NIP2027), kur paredzēts Viedās </w:t>
            </w:r>
            <w:r w:rsidRPr="009841AB">
              <w:lastRenderedPageBreak/>
              <w:t>specializācijas stratēģijas (RIS3) koncepts ar vienu no rīcības virzieniem - viedās mobilitātes attīstība.”</w:t>
            </w:r>
          </w:p>
        </w:tc>
      </w:tr>
      <w:tr w:rsidR="00FE0078" w:rsidRPr="009841AB" w14:paraId="6D6504F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40A0B13" w14:textId="77777777" w:rsidR="00FE0078" w:rsidRPr="009841AB" w:rsidRDefault="003D5107" w:rsidP="00FE0078">
            <w:pPr>
              <w:pStyle w:val="naisc"/>
              <w:spacing w:before="0" w:after="0"/>
            </w:pPr>
            <w:r>
              <w:lastRenderedPageBreak/>
              <w:t>503</w:t>
            </w:r>
          </w:p>
        </w:tc>
        <w:tc>
          <w:tcPr>
            <w:tcW w:w="2427" w:type="dxa"/>
            <w:tcBorders>
              <w:left w:val="single" w:sz="6" w:space="0" w:color="000000" w:themeColor="text1"/>
              <w:bottom w:val="single" w:sz="4" w:space="0" w:color="auto"/>
            </w:tcBorders>
            <w:shd w:val="clear" w:color="auto" w:fill="auto"/>
          </w:tcPr>
          <w:p w14:paraId="2057A83A"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5DDD881E" w14:textId="77777777" w:rsidR="00FE0078" w:rsidRPr="009841AB" w:rsidRDefault="00FE0078" w:rsidP="00FE0078">
            <w:pPr>
              <w:jc w:val="both"/>
            </w:pPr>
            <w:r w:rsidRPr="009841AB">
              <w:t>11. Lūdzam precizēt pamatnostādņu projekta 4.5.2. rīcības virziena “Viedās pilsētas, viedā mobilitāte, autonomie transporta līdzekļi, izmēģinājuma poligoni un regulējuma smilškastes” sadaļas “Nepieciešamā rīcība” pirmo teikumu, aizstājot norādīto modeļa apzīmējumu “</w:t>
            </w:r>
            <w:proofErr w:type="spellStart"/>
            <w:r w:rsidRPr="009841AB">
              <w:t>quadriple-helix</w:t>
            </w:r>
            <w:proofErr w:type="spellEnd"/>
            <w:r w:rsidRPr="009841AB">
              <w:t>” ar apzīmējumu “</w:t>
            </w:r>
            <w:proofErr w:type="spellStart"/>
            <w:r w:rsidRPr="009841AB">
              <w:rPr>
                <w:i/>
              </w:rPr>
              <w:t>quadr</w:t>
            </w:r>
            <w:r w:rsidRPr="009841AB">
              <w:rPr>
                <w:b/>
                <w:i/>
              </w:rPr>
              <w:t>u</w:t>
            </w:r>
            <w:r w:rsidRPr="009841AB">
              <w:rPr>
                <w:i/>
              </w:rPr>
              <w:t>ple-helix</w:t>
            </w:r>
            <w:proofErr w:type="spellEnd"/>
            <w:r w:rsidRPr="009841AB">
              <w:t>”.</w:t>
            </w:r>
          </w:p>
        </w:tc>
        <w:tc>
          <w:tcPr>
            <w:tcW w:w="2480" w:type="dxa"/>
            <w:tcBorders>
              <w:left w:val="single" w:sz="6" w:space="0" w:color="000000" w:themeColor="text1"/>
              <w:bottom w:val="single" w:sz="4" w:space="0" w:color="auto"/>
            </w:tcBorders>
            <w:shd w:val="clear" w:color="auto" w:fill="auto"/>
          </w:tcPr>
          <w:p w14:paraId="16BBD8F1" w14:textId="77777777" w:rsidR="00FE0078" w:rsidRPr="009841AB" w:rsidRDefault="00FE0078"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3F7E5A8F" w14:textId="77777777" w:rsidR="00FE0078" w:rsidRPr="009841AB" w:rsidRDefault="00FE0078" w:rsidP="00FE0078">
            <w:pPr>
              <w:pStyle w:val="naisc"/>
              <w:spacing w:before="0" w:after="0"/>
              <w:jc w:val="both"/>
            </w:pPr>
            <w:r w:rsidRPr="009841AB">
              <w:t xml:space="preserve">“Viedās pilsētas ekosistēma darbojas pēc </w:t>
            </w:r>
            <w:proofErr w:type="spellStart"/>
            <w:r w:rsidRPr="009841AB">
              <w:t>quadruple-helix</w:t>
            </w:r>
            <w:proofErr w:type="spellEnd"/>
            <w:r w:rsidRPr="009841AB">
              <w:t xml:space="preserve"> modeļa, iekļaujot saistošo sektora viedokļa līderus publiskā, privātā, akadēmiskā sektora institūcijas, kā arī NVO, lai identificētu galvenās nozares problēmas, virzītu risinājumus, un noteiktu kopējos īstermiņa un ilgtermiņa mērķus.”</w:t>
            </w:r>
          </w:p>
        </w:tc>
      </w:tr>
      <w:tr w:rsidR="00C6176D" w:rsidRPr="009841AB" w14:paraId="45387042"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577BD8C9" w14:textId="77777777" w:rsidR="00C6176D" w:rsidRPr="009841AB" w:rsidRDefault="00C6176D" w:rsidP="00FE0078">
            <w:pPr>
              <w:pStyle w:val="naisc"/>
              <w:spacing w:before="0" w:after="0"/>
              <w:jc w:val="both"/>
            </w:pPr>
            <w:r>
              <w:rPr>
                <w:rFonts w:cstheme="minorHAnsi"/>
                <w:b/>
              </w:rPr>
              <w:t>Satiksmes ministrijas</w:t>
            </w:r>
            <w:r w:rsidRPr="00507245">
              <w:rPr>
                <w:rFonts w:cstheme="minorHAnsi"/>
                <w:b/>
              </w:rPr>
              <w:t xml:space="preserve"> </w:t>
            </w:r>
            <w:r>
              <w:rPr>
                <w:rFonts w:cstheme="minorHAnsi"/>
                <w:b/>
              </w:rPr>
              <w:t>30</w:t>
            </w:r>
            <w:r w:rsidRPr="00507245">
              <w:rPr>
                <w:rFonts w:cstheme="minorHAnsi"/>
                <w:b/>
              </w:rPr>
              <w:t>.0</w:t>
            </w:r>
            <w:r>
              <w:rPr>
                <w:rFonts w:cstheme="minorHAnsi"/>
                <w:b/>
              </w:rPr>
              <w:t>4</w:t>
            </w:r>
            <w:r w:rsidRPr="00507245">
              <w:rPr>
                <w:rFonts w:cstheme="minorHAnsi"/>
                <w:b/>
              </w:rPr>
              <w:t>.2021. atzinums:</w:t>
            </w:r>
          </w:p>
        </w:tc>
      </w:tr>
      <w:tr w:rsidR="00C6176D" w:rsidRPr="009841AB" w14:paraId="1C1936D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1377AA1" w14:textId="77777777" w:rsidR="00C6176D" w:rsidRPr="009841AB" w:rsidRDefault="003D5107" w:rsidP="00FE0078">
            <w:pPr>
              <w:pStyle w:val="naisc"/>
              <w:spacing w:before="0" w:after="0"/>
            </w:pPr>
            <w:r>
              <w:t>504</w:t>
            </w:r>
          </w:p>
        </w:tc>
        <w:tc>
          <w:tcPr>
            <w:tcW w:w="2427" w:type="dxa"/>
            <w:tcBorders>
              <w:left w:val="single" w:sz="6" w:space="0" w:color="000000" w:themeColor="text1"/>
              <w:bottom w:val="single" w:sz="4" w:space="0" w:color="auto"/>
            </w:tcBorders>
            <w:shd w:val="clear" w:color="auto" w:fill="auto"/>
          </w:tcPr>
          <w:p w14:paraId="6868467B" w14:textId="77777777" w:rsidR="00C6176D" w:rsidRPr="009841AB" w:rsidRDefault="00C6176D"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0364CE47" w14:textId="77777777" w:rsidR="00C6176D" w:rsidRPr="00C6176D" w:rsidRDefault="00C6176D" w:rsidP="00C6176D">
            <w:pPr>
              <w:pStyle w:val="NoSpacing"/>
              <w:jc w:val="both"/>
              <w:rPr>
                <w:rFonts w:ascii="Times New Roman" w:hAnsi="Times New Roman" w:cs="Times New Roman"/>
                <w:sz w:val="24"/>
                <w:szCs w:val="24"/>
              </w:rPr>
            </w:pPr>
            <w:r w:rsidRPr="00C6176D">
              <w:rPr>
                <w:rFonts w:ascii="Times New Roman" w:hAnsi="Times New Roman" w:cs="Times New Roman"/>
                <w:sz w:val="24"/>
                <w:szCs w:val="24"/>
              </w:rPr>
              <w:t xml:space="preserve">Pamatnostādņu projekta 4.5.2. Rīcības virziens: </w:t>
            </w:r>
            <w:r w:rsidRPr="00C6176D">
              <w:rPr>
                <w:rFonts w:ascii="Times New Roman" w:hAnsi="Times New Roman" w:cs="Times New Roman"/>
                <w:i/>
                <w:iCs/>
                <w:sz w:val="24"/>
                <w:szCs w:val="24"/>
              </w:rPr>
              <w:t>Viedās pilsētas, viedā mobilitāte, autonomie transporta līdzekļi, izmēģinājuma poligoni un regulējuma smilškastes</w:t>
            </w:r>
            <w:r w:rsidRPr="00C6176D">
              <w:rPr>
                <w:rFonts w:ascii="Times New Roman" w:hAnsi="Times New Roman" w:cs="Times New Roman"/>
                <w:sz w:val="24"/>
                <w:szCs w:val="24"/>
              </w:rPr>
              <w:t xml:space="preserve"> uzdevums U4.5.2.-2 </w:t>
            </w:r>
            <w:r w:rsidRPr="00C6176D">
              <w:rPr>
                <w:rFonts w:ascii="Times New Roman" w:hAnsi="Times New Roman" w:cs="Times New Roman"/>
                <w:i/>
                <w:iCs/>
                <w:sz w:val="24"/>
                <w:szCs w:val="24"/>
              </w:rPr>
              <w:t xml:space="preserve">Izstrādāt </w:t>
            </w:r>
            <w:proofErr w:type="spellStart"/>
            <w:r w:rsidRPr="00C6176D">
              <w:rPr>
                <w:rFonts w:ascii="Times New Roman" w:hAnsi="Times New Roman" w:cs="Times New Roman"/>
                <w:i/>
                <w:iCs/>
                <w:sz w:val="24"/>
                <w:szCs w:val="24"/>
              </w:rPr>
              <w:t>pilotteritoriju</w:t>
            </w:r>
            <w:proofErr w:type="spellEnd"/>
            <w:r w:rsidRPr="00C6176D">
              <w:rPr>
                <w:rFonts w:ascii="Times New Roman" w:hAnsi="Times New Roman" w:cs="Times New Roman"/>
                <w:i/>
                <w:iCs/>
                <w:sz w:val="24"/>
                <w:szCs w:val="24"/>
              </w:rPr>
              <w:t xml:space="preserve"> regulējumu attālināti vadāmo un autonomo transporta līdzekļu testēšanai, tai skaitā reālā pilsētvidē </w:t>
            </w:r>
            <w:r w:rsidRPr="00C6176D">
              <w:rPr>
                <w:rFonts w:ascii="Times New Roman" w:hAnsi="Times New Roman" w:cs="Times New Roman"/>
                <w:sz w:val="24"/>
                <w:szCs w:val="24"/>
              </w:rPr>
              <w:t xml:space="preserve">paredz uzdevumu Satiksmes ministrijai līdz 2022.gadam izstrādāt </w:t>
            </w:r>
            <w:proofErr w:type="spellStart"/>
            <w:r w:rsidRPr="00C6176D">
              <w:rPr>
                <w:rFonts w:ascii="Times New Roman" w:hAnsi="Times New Roman" w:cs="Times New Roman"/>
                <w:sz w:val="24"/>
                <w:szCs w:val="24"/>
              </w:rPr>
              <w:t>pilotteritoriju</w:t>
            </w:r>
            <w:proofErr w:type="spellEnd"/>
            <w:r w:rsidRPr="00C6176D">
              <w:rPr>
                <w:rFonts w:ascii="Times New Roman" w:hAnsi="Times New Roman" w:cs="Times New Roman"/>
                <w:sz w:val="24"/>
                <w:szCs w:val="24"/>
              </w:rPr>
              <w:t xml:space="preserve"> regulējumu attālināti vadāmo un autonomo transporta līdzekļu testēšanai, tai skaitā reālā pilsētvidē.</w:t>
            </w:r>
          </w:p>
          <w:p w14:paraId="4D4A3B5B" w14:textId="77777777" w:rsidR="00C6176D" w:rsidRPr="00C6176D" w:rsidRDefault="00C6176D" w:rsidP="00C6176D">
            <w:pPr>
              <w:pStyle w:val="NoSpacing"/>
              <w:jc w:val="both"/>
              <w:rPr>
                <w:rFonts w:ascii="Times New Roman" w:hAnsi="Times New Roman" w:cs="Times New Roman"/>
                <w:sz w:val="24"/>
                <w:szCs w:val="24"/>
              </w:rPr>
            </w:pPr>
            <w:r w:rsidRPr="00C6176D">
              <w:rPr>
                <w:rFonts w:ascii="Times New Roman" w:hAnsi="Times New Roman" w:cs="Times New Roman"/>
                <w:sz w:val="24"/>
                <w:szCs w:val="24"/>
              </w:rPr>
              <w:lastRenderedPageBreak/>
              <w:t>Kā jau tika norādīts Satiksmes ministrijas 2021.gada 1.februāra atzinumā 03-03/23 “</w:t>
            </w:r>
            <w:r w:rsidRPr="00C6176D">
              <w:rPr>
                <w:rFonts w:ascii="Times New Roman" w:hAnsi="Times New Roman" w:cs="Times New Roman"/>
                <w:i/>
                <w:iCs/>
                <w:sz w:val="24"/>
                <w:szCs w:val="24"/>
              </w:rPr>
              <w:t>Par pamatnostādņu projektu “Digitālās transformācijas pamatnostādnes 2021.-2027.gadam</w:t>
            </w:r>
            <w:r w:rsidRPr="00C6176D">
              <w:rPr>
                <w:rFonts w:ascii="Times New Roman" w:hAnsi="Times New Roman" w:cs="Times New Roman"/>
                <w:sz w:val="24"/>
                <w:szCs w:val="24"/>
              </w:rPr>
              <w:t>”” iespējamais tiesiskais regulējums, kas paredzētu attālināti vadāmu transportlīdzekļu ekspluatāciju uz koplietošanas ceļiem un autonomi vadāmu transportlīdzekļu testēšanu ir pretrunā Vīnes 1968.gada 8.novembra Konvencijas Par ceļu satiksmi (turpmāk – Konvencija) 8.pantā pirmajā daļā noteiktajam, ka katru braucoša transportlīdzekļa vai transportlīdzekļu sastāvu vada vadītājs. Tādējādi pirms varbūtēju grozījumu izstrādes ir jāvērtē arī aspekti, vai šāds regulējums nebūtu pretrunā Konvencijas 8.pantam. Satiksmes ministrija arī norāda, ka jautājums par grozījumiem Konvencijā saistībā ar regulējumu attālināti vadāmiem transportlīdzekļiem uz koplietošanas ceļiem un autonomi vadāmu transportlīdzekļu testēšanu tiek arī skatīts Apvienoto Nāciju Organizācijas Eiropas Ekonomikas komitejas Globālā satiksmes drošības foruma (WP.1) sesijās. Satiksmes ministrija arī informē, ka šajās sesijās piedalās arī pārstāvji no Satiksmes ministrijas.</w:t>
            </w:r>
          </w:p>
          <w:p w14:paraId="33D3E96D" w14:textId="77777777" w:rsidR="00C6176D" w:rsidRPr="00C6176D" w:rsidRDefault="00C6176D" w:rsidP="00C6176D">
            <w:pPr>
              <w:pStyle w:val="NoSpacing"/>
              <w:jc w:val="both"/>
              <w:rPr>
                <w:rFonts w:ascii="Times New Roman" w:hAnsi="Times New Roman" w:cs="Times New Roman"/>
                <w:sz w:val="24"/>
                <w:szCs w:val="24"/>
              </w:rPr>
            </w:pPr>
            <w:r w:rsidRPr="00C6176D">
              <w:rPr>
                <w:rFonts w:ascii="Times New Roman" w:hAnsi="Times New Roman" w:cs="Times New Roman"/>
                <w:sz w:val="24"/>
                <w:szCs w:val="24"/>
              </w:rPr>
              <w:t xml:space="preserve">Ņemot vērā minēto, Satiksmes ministrija norāda, ka pirms tiek izstrādāts regulējums attālināti vadāmu transportlīdzekļu ekspluatācijai uz koplietošanas ceļiem un autonomi vadāmu transportlīdzekļu testēšanai, ir jāveic </w:t>
            </w:r>
            <w:proofErr w:type="spellStart"/>
            <w:r w:rsidRPr="00C6176D">
              <w:rPr>
                <w:rFonts w:ascii="Times New Roman" w:hAnsi="Times New Roman" w:cs="Times New Roman"/>
                <w:sz w:val="24"/>
                <w:szCs w:val="24"/>
              </w:rPr>
              <w:t>izvērtējums</w:t>
            </w:r>
            <w:proofErr w:type="spellEnd"/>
            <w:r w:rsidRPr="00C6176D">
              <w:rPr>
                <w:rFonts w:ascii="Times New Roman" w:hAnsi="Times New Roman" w:cs="Times New Roman"/>
                <w:sz w:val="24"/>
                <w:szCs w:val="24"/>
              </w:rPr>
              <w:t>, vai šāds regulējums nebūtu pretrunā Konvencijai.</w:t>
            </w:r>
          </w:p>
          <w:p w14:paraId="63AECC7E" w14:textId="77777777" w:rsidR="00C6176D" w:rsidRPr="00C6176D" w:rsidRDefault="00C6176D" w:rsidP="00C6176D">
            <w:pPr>
              <w:pStyle w:val="NoSpacing"/>
              <w:ind w:firstLine="709"/>
              <w:jc w:val="both"/>
              <w:rPr>
                <w:rFonts w:ascii="Times New Roman" w:hAnsi="Times New Roman" w:cs="Times New Roman"/>
                <w:sz w:val="24"/>
                <w:szCs w:val="24"/>
              </w:rPr>
            </w:pPr>
            <w:r w:rsidRPr="00C6176D">
              <w:rPr>
                <w:rFonts w:ascii="Times New Roman" w:hAnsi="Times New Roman" w:cs="Times New Roman"/>
                <w:sz w:val="24"/>
                <w:szCs w:val="24"/>
              </w:rPr>
              <w:t>Līdz ar to lūdzam izteikt pamatnostādņu projektā un 3.pielikumā 4.5.2. Rīcības virziena uzdevumu U4.5.2.-2 šādā redakcijā:</w:t>
            </w:r>
          </w:p>
          <w:p w14:paraId="43E7EC11" w14:textId="77777777" w:rsidR="00C6176D" w:rsidRPr="00C6176D" w:rsidRDefault="00C6176D" w:rsidP="00C6176D">
            <w:pPr>
              <w:pStyle w:val="NoSpacing"/>
              <w:jc w:val="both"/>
              <w:rPr>
                <w:rFonts w:ascii="Times New Roman" w:hAnsi="Times New Roman" w:cs="Times New Roman"/>
                <w:sz w:val="24"/>
                <w:szCs w:val="24"/>
              </w:rPr>
            </w:pPr>
            <w:r w:rsidRPr="00C6176D">
              <w:rPr>
                <w:rFonts w:ascii="Times New Roman" w:hAnsi="Times New Roman" w:cs="Times New Roman"/>
                <w:sz w:val="24"/>
                <w:szCs w:val="24"/>
              </w:rPr>
              <w:lastRenderedPageBreak/>
              <w:t xml:space="preserve">“Veikt </w:t>
            </w:r>
            <w:proofErr w:type="spellStart"/>
            <w:r w:rsidRPr="00C6176D">
              <w:rPr>
                <w:rFonts w:ascii="Times New Roman" w:hAnsi="Times New Roman" w:cs="Times New Roman"/>
                <w:sz w:val="24"/>
                <w:szCs w:val="24"/>
              </w:rPr>
              <w:t>izvērtējumu</w:t>
            </w:r>
            <w:proofErr w:type="spellEnd"/>
            <w:r w:rsidRPr="00C6176D">
              <w:rPr>
                <w:rFonts w:ascii="Times New Roman" w:hAnsi="Times New Roman" w:cs="Times New Roman"/>
                <w:sz w:val="24"/>
                <w:szCs w:val="24"/>
              </w:rPr>
              <w:t xml:space="preserve"> un nepieciešamības gadījumā izstrādāt </w:t>
            </w:r>
            <w:proofErr w:type="spellStart"/>
            <w:r w:rsidRPr="00C6176D">
              <w:rPr>
                <w:rFonts w:ascii="Times New Roman" w:hAnsi="Times New Roman" w:cs="Times New Roman"/>
                <w:sz w:val="24"/>
                <w:szCs w:val="24"/>
              </w:rPr>
              <w:t>pilotteritoriju</w:t>
            </w:r>
            <w:proofErr w:type="spellEnd"/>
            <w:r w:rsidRPr="00C6176D">
              <w:rPr>
                <w:rFonts w:ascii="Times New Roman" w:hAnsi="Times New Roman" w:cs="Times New Roman"/>
                <w:sz w:val="24"/>
                <w:szCs w:val="24"/>
              </w:rPr>
              <w:t xml:space="preserve"> regulējumu attālināti vadāmo un autonomo transporta līdzekļu testēšanai, tai skaitā reālā pilsētvidē”.</w:t>
            </w:r>
          </w:p>
        </w:tc>
        <w:tc>
          <w:tcPr>
            <w:tcW w:w="2480" w:type="dxa"/>
            <w:tcBorders>
              <w:left w:val="single" w:sz="6" w:space="0" w:color="000000" w:themeColor="text1"/>
              <w:bottom w:val="single" w:sz="4" w:space="0" w:color="auto"/>
            </w:tcBorders>
            <w:shd w:val="clear" w:color="auto" w:fill="auto"/>
          </w:tcPr>
          <w:p w14:paraId="33583067" w14:textId="5D531063" w:rsidR="00C6176D" w:rsidRPr="009841AB" w:rsidRDefault="00C857FC" w:rsidP="00FE0078">
            <w:pPr>
              <w:pStyle w:val="naisc"/>
              <w:spacing w:before="0" w:after="0"/>
              <w:jc w:val="left"/>
              <w:rPr>
                <w:b/>
                <w:bCs/>
              </w:rPr>
            </w:pPr>
            <w:r>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11955A37" w14:textId="4549B045" w:rsidR="00DD2DF9" w:rsidRDefault="00DD2DF9" w:rsidP="00DD2DF9">
            <w:pPr>
              <w:tabs>
                <w:tab w:val="left" w:pos="426"/>
              </w:tabs>
              <w:spacing w:after="120"/>
              <w:jc w:val="both"/>
            </w:pPr>
            <w:r>
              <w:t>Lūdzam skatīt 4.5. sadaļu</w:t>
            </w:r>
          </w:p>
          <w:p w14:paraId="5945AC4B" w14:textId="1F27DA79" w:rsidR="00C857FC" w:rsidRDefault="00C857FC" w:rsidP="00DD2DF9">
            <w:pPr>
              <w:spacing w:before="120" w:after="120"/>
              <w:jc w:val="both"/>
            </w:pPr>
            <w:r w:rsidRPr="00C6176D">
              <w:t xml:space="preserve">Veikt </w:t>
            </w:r>
            <w:proofErr w:type="spellStart"/>
            <w:r w:rsidRPr="00C6176D">
              <w:t>izvērtējumu</w:t>
            </w:r>
            <w:proofErr w:type="spellEnd"/>
            <w:r w:rsidRPr="00C6176D">
              <w:t xml:space="preserve"> un nepieciešamības gadījumā izstrādāt </w:t>
            </w:r>
            <w:proofErr w:type="spellStart"/>
            <w:r w:rsidRPr="00C6176D">
              <w:t>pilotteritoriju</w:t>
            </w:r>
            <w:proofErr w:type="spellEnd"/>
            <w:r w:rsidRPr="00C6176D">
              <w:t xml:space="preserve"> regulējumu attālināti vadāmo un autonomo transporta līdzekļu testēšanai, tai skaitā reālā pilsētvidē</w:t>
            </w:r>
            <w:r>
              <w:t>.</w:t>
            </w:r>
          </w:p>
          <w:p w14:paraId="60EFA105" w14:textId="77777777" w:rsidR="00C857FC" w:rsidRPr="006B7455" w:rsidRDefault="00C857FC" w:rsidP="00C857FC">
            <w:pPr>
              <w:spacing w:before="120" w:after="120"/>
              <w:ind w:firstLine="720"/>
              <w:jc w:val="both"/>
            </w:pPr>
            <w:r w:rsidRPr="00B57A62">
              <w:t xml:space="preserve">Vīnes 1968.gada 8.novembra Konvencija Par ceļu </w:t>
            </w:r>
            <w:r w:rsidRPr="00B57A62">
              <w:t xml:space="preserve">satiksmi (turpmāk – Konvencija) 8.pantā pirmajā daļā </w:t>
            </w:r>
            <w:r>
              <w:t>noteikts</w:t>
            </w:r>
            <w:r w:rsidRPr="00B57A62">
              <w:t xml:space="preserve">, ka katru braucoša transportlīdzekļa vai transportlīdzekļu sastāvu vada vadītājs. Tādējādi pirms varbūtēju grozījumu izstrādes ir jāvērtē arī aspekti, vai šāds regulējums nebūtu pretrunā Konvencijas 8.pantam. </w:t>
            </w:r>
            <w:r w:rsidRPr="003123FF">
              <w:t>Piemēram, Vācijā likums atļauj kompetentai iestādei izsniegt četru gadu licences autonomo transporta līdzekļu testēšanai</w:t>
            </w:r>
            <w:r>
              <w:rPr>
                <w:rStyle w:val="FootnoteReference"/>
              </w:rPr>
              <w:footnoteReference w:id="5"/>
            </w:r>
            <w:r w:rsidRPr="003123FF">
              <w:t>. Šādiem transportlīdzekļiem var tikt izvirzītas atšķirīgas prasības no vispārējā regulējumā noteiktām.</w:t>
            </w:r>
            <w:r>
              <w:t xml:space="preserve"> J</w:t>
            </w:r>
            <w:r w:rsidRPr="00B57A62">
              <w:t xml:space="preserve">autājums par grozījumiem Konvencijā saistībā ar regulējumu attālināti vadāmiem transportlīdzekļiem uz koplietošanas ceļiem un autonomi vadāmu transportlīdzekļu testēšanu tiek arī skatīts Apvienoto Nāciju Organizācijas Eiropas Ekonomikas komitejas Globālā satiksmes drošības foruma (WP.1) sesijās. </w:t>
            </w:r>
            <w:r>
              <w:t>Šajā</w:t>
            </w:r>
            <w:r w:rsidRPr="00B57A62">
              <w:t xml:space="preserve"> sesijā piedalās arī pārstāvji no Satiksmes ministrijas.</w:t>
            </w:r>
            <w:r>
              <w:t xml:space="preserve"> </w:t>
            </w:r>
          </w:p>
          <w:p w14:paraId="64012C9C" w14:textId="77777777" w:rsidR="00C6176D" w:rsidRPr="009841AB" w:rsidRDefault="00C6176D" w:rsidP="00FE0078">
            <w:pPr>
              <w:pStyle w:val="naisc"/>
              <w:spacing w:before="0" w:after="0"/>
              <w:jc w:val="both"/>
            </w:pPr>
          </w:p>
        </w:tc>
      </w:tr>
      <w:tr w:rsidR="00FE0078" w:rsidRPr="009841AB" w14:paraId="76B5B84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E5890BF" w14:textId="77777777" w:rsidR="00FE0078" w:rsidRPr="009841AB" w:rsidRDefault="00FE0078" w:rsidP="00FE0078">
            <w:pPr>
              <w:tabs>
                <w:tab w:val="left" w:pos="720"/>
              </w:tabs>
              <w:contextualSpacing/>
              <w:jc w:val="both"/>
              <w:rPr>
                <w:b/>
                <w:bCs/>
                <w:lang w:eastAsia="en-US"/>
              </w:rPr>
            </w:pPr>
            <w:r w:rsidRPr="009841AB">
              <w:rPr>
                <w:b/>
                <w:bCs/>
                <w:lang w:eastAsia="en-US"/>
              </w:rPr>
              <w:lastRenderedPageBreak/>
              <w:t>Tieslietu ministrijas 05.02.2021. atzinums:</w:t>
            </w:r>
          </w:p>
        </w:tc>
      </w:tr>
      <w:tr w:rsidR="00FE0078" w:rsidRPr="009841AB" w14:paraId="714E6397"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46BE4F9" w14:textId="77777777" w:rsidR="00FE0078" w:rsidRPr="009841AB" w:rsidRDefault="003D5107" w:rsidP="00FE0078">
            <w:pPr>
              <w:pStyle w:val="naisc"/>
              <w:spacing w:before="0" w:after="0"/>
            </w:pPr>
            <w:r>
              <w:t>505</w:t>
            </w:r>
          </w:p>
        </w:tc>
        <w:tc>
          <w:tcPr>
            <w:tcW w:w="2427" w:type="dxa"/>
            <w:tcBorders>
              <w:left w:val="single" w:sz="6" w:space="0" w:color="000000" w:themeColor="text1"/>
              <w:bottom w:val="single" w:sz="4" w:space="0" w:color="auto"/>
            </w:tcBorders>
            <w:shd w:val="clear" w:color="auto" w:fill="auto"/>
          </w:tcPr>
          <w:p w14:paraId="2A3BE220"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565EABE8" w14:textId="77777777" w:rsidR="00096CBA" w:rsidRDefault="00096CBA" w:rsidP="00FE0078">
            <w:pPr>
              <w:spacing w:line="276" w:lineRule="auto"/>
              <w:jc w:val="both"/>
            </w:pPr>
            <w:r>
              <w:t xml:space="preserve">(Iepriekš izziņas </w:t>
            </w:r>
            <w:r w:rsidR="006969BC">
              <w:t>389. punkts)</w:t>
            </w:r>
          </w:p>
          <w:p w14:paraId="08F5CBA9" w14:textId="77777777" w:rsidR="00FE0078" w:rsidRPr="009841AB" w:rsidRDefault="00FE0078" w:rsidP="00FE0078">
            <w:pPr>
              <w:spacing w:line="276" w:lineRule="auto"/>
              <w:jc w:val="both"/>
            </w:pPr>
            <w:r w:rsidRPr="009841AB">
              <w:t>1. Pamatnostādņu projekta 4.5.2. Rīcības virzienā “Viedās pilsētas, viedā mobilitāte, autonomie transporta līdzekļi, izmēģinājuma poligoni un regulējuma smilškastes” ir iekļauta sadaļa “Civiltiesiskās atbildības tiesiskā nenoteiktība mākslīgā intelekta vai citu autonomo rīku nodarīto zaudējumu gadījumos” (228.lp). Tajā norādīts, lai apmierinātu prasījumu pēc zaudējumu atlīdzināšanas, zaudējumu prasītājam ir jāpierāda zaudējumu esamība, zaudējumu apmērs, cēloņsakarība starp konkrētu rīcību un zaudējumu iestāšanās sekām. No tiesību doktrīnas, kas apstiprināta arī judikatūrā izriet, ka zaudējumu atlīdzības pienākums iestājas tad, kad vienlaikus pastāv šādi priekšnoteikumi jeb atlīdzības pamati: 1) tiesību aizskārēja neattaisnojama darbība, kas attiecīgos gadījumos ietver arī novērtējumu no vainojamības viedokļa; 2) zaudējumu esība; 3) cēloniskais sakars starp zaudējumiem un neatļautu darbību (</w:t>
            </w:r>
            <w:r w:rsidRPr="009841AB">
              <w:rPr>
                <w:i/>
              </w:rPr>
              <w:t>skat., piemēram, Latvijas Republikas Augstākās tiesas Civillietu departamenta 2018. gada 21. jūnija spriedumu lietā Nr. C04460913, SKC-193/2018</w:t>
            </w:r>
            <w:r w:rsidRPr="009841AB">
              <w:t>). Ievērojot minēto, lūdzam precizēt pamatnostādņu projektā iekļauto informāciju par zaudējumu atlīdzināšanas priekšnoteikumiem.</w:t>
            </w:r>
          </w:p>
        </w:tc>
        <w:tc>
          <w:tcPr>
            <w:tcW w:w="2480" w:type="dxa"/>
            <w:tcBorders>
              <w:left w:val="single" w:sz="6" w:space="0" w:color="000000" w:themeColor="text1"/>
              <w:bottom w:val="single" w:sz="4" w:space="0" w:color="auto"/>
            </w:tcBorders>
            <w:shd w:val="clear" w:color="auto" w:fill="auto"/>
          </w:tcPr>
          <w:p w14:paraId="5892C6D8" w14:textId="77777777" w:rsidR="00FE0078" w:rsidRPr="009841AB" w:rsidRDefault="00FE0078" w:rsidP="00FE0078">
            <w:pPr>
              <w:pStyle w:val="naisc"/>
              <w:spacing w:before="0" w:after="0"/>
              <w:jc w:val="left"/>
              <w:rPr>
                <w:b/>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11E32C01" w14:textId="77777777" w:rsidR="00F343FD" w:rsidRDefault="00F343FD" w:rsidP="00FE0078">
            <w:pPr>
              <w:pStyle w:val="naisc"/>
              <w:spacing w:before="0" w:after="0"/>
              <w:jc w:val="both"/>
            </w:pPr>
            <w:r w:rsidRPr="00F343FD">
              <w:t>Lūdzam skatīt 4.5. sadaļu.</w:t>
            </w:r>
          </w:p>
          <w:p w14:paraId="531BEC8B" w14:textId="77777777" w:rsidR="00FE0078" w:rsidRPr="009841AB" w:rsidRDefault="00FE0078" w:rsidP="00FE0078">
            <w:pPr>
              <w:pStyle w:val="naisc"/>
              <w:spacing w:before="0" w:after="0"/>
              <w:jc w:val="both"/>
            </w:pPr>
            <w:r w:rsidRPr="009841AB">
              <w:t>“No tiesību doktrīnas, kas apstiprināta arī judikatūrā, izriet, ka zaudējumu atlīdzības pienākums iestājas tad, kad vienlaikus pastāv šādi priekšnoteikumi jeb atlīdzības pamati: 1) tiesību aizskārēja neattaisnojama darbība, kas attiecīgos gadījumos ietver arī novērtējumu no vainojamības viedokļa; 2) zaudējumu esība; 3) cēloniskais sakars starp zaudējumiem un neatļautu darbību (skat., piemēram, Latvijas Republikas Augstākās tiesas Civillietu departamenta 2018. gada 21. jūnija spriedumu lietā Nr. C04460913, SKC-193/2018).”</w:t>
            </w:r>
          </w:p>
        </w:tc>
      </w:tr>
      <w:tr w:rsidR="00FE0078" w:rsidRPr="009841AB" w14:paraId="389324E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74F828D" w14:textId="77777777" w:rsidR="00FE0078" w:rsidRPr="009841AB" w:rsidRDefault="003D5107" w:rsidP="00FE0078">
            <w:pPr>
              <w:pStyle w:val="naisc"/>
              <w:spacing w:before="0" w:after="0"/>
            </w:pPr>
            <w:r>
              <w:t>506</w:t>
            </w:r>
          </w:p>
        </w:tc>
        <w:tc>
          <w:tcPr>
            <w:tcW w:w="2427" w:type="dxa"/>
            <w:tcBorders>
              <w:left w:val="single" w:sz="6" w:space="0" w:color="000000" w:themeColor="text1"/>
              <w:bottom w:val="single" w:sz="4" w:space="0" w:color="auto"/>
            </w:tcBorders>
            <w:shd w:val="clear" w:color="auto" w:fill="auto"/>
          </w:tcPr>
          <w:p w14:paraId="70504E3C"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53D64D08" w14:textId="77777777" w:rsidR="006969BC" w:rsidRDefault="006969BC" w:rsidP="006969BC">
            <w:pPr>
              <w:spacing w:line="276" w:lineRule="auto"/>
              <w:jc w:val="both"/>
            </w:pPr>
            <w:r>
              <w:t>(Iepriekš izziņas 390. punkts)</w:t>
            </w:r>
          </w:p>
          <w:p w14:paraId="5F5601D9" w14:textId="77777777" w:rsidR="00FE0078" w:rsidRPr="009841AB" w:rsidRDefault="00FE0078" w:rsidP="00FE0078">
            <w:pPr>
              <w:ind w:right="12"/>
              <w:jc w:val="both"/>
            </w:pPr>
            <w:r w:rsidRPr="009841AB">
              <w:lastRenderedPageBreak/>
              <w:t xml:space="preserve">2. Vēršam uzmanību, ka civiltiesību teorijā pastāv vairāki atbildības modeļi, kā piemēram viens no tiem ir stingrās atbildības modelis. Kā izriet no tiesību doktrīnas, stingrās atbildības modelī tiek uzrādīti un vērtēti attaisnojumi, tikai to </w:t>
            </w:r>
            <w:proofErr w:type="spellStart"/>
            <w:r w:rsidRPr="009841AB">
              <w:t>attiecināmība</w:t>
            </w:r>
            <w:proofErr w:type="spellEnd"/>
            <w:r w:rsidRPr="009841AB">
              <w:t xml:space="preserve"> norādīta </w:t>
            </w:r>
            <w:proofErr w:type="spellStart"/>
            <w:r w:rsidRPr="009841AB">
              <w:t>numerus</w:t>
            </w:r>
            <w:proofErr w:type="spellEnd"/>
            <w:r w:rsidRPr="009841AB">
              <w:t xml:space="preserve"> </w:t>
            </w:r>
            <w:proofErr w:type="spellStart"/>
            <w:r w:rsidRPr="009841AB">
              <w:t>clausus</w:t>
            </w:r>
            <w:proofErr w:type="spellEnd"/>
            <w:r w:rsidRPr="009841AB">
              <w:t xml:space="preserve"> normās.  Līdz ar to no minētā var secināt, ka praksē iespējamas situācijas, kurās nepieciešams piemērot stingrās atbildības modeli, nevis klasiskās atbildības modeli, kas ir iekļauts Civillikumā. Līdz ar to, tā kā stingrās atbildības modelī atbildība neiestājas, ja tiek konstatēti likumā noteiktie izņēmumi no atbildības, Tieslietu ministrijas ieskatā, būtu izvērtējama </w:t>
            </w:r>
            <w:proofErr w:type="spellStart"/>
            <w:r w:rsidRPr="009841AB">
              <w:t>nepieciešamībsa</w:t>
            </w:r>
            <w:proofErr w:type="spellEnd"/>
            <w:r w:rsidRPr="009841AB">
              <w:t xml:space="preserve"> izstrādāt konkrētās nozares speciālo regulējumu, kas attiektos uz mākslīgā intelekta vai citu autonomo rīku nodarīto zaudējumu gadījumos, kurā būtu iekļauts stingrās atbildības modelis jeb atbildība neatkarīgi no vainas. Šādu regulējumu Latvijā, piemēram, satur likums “Par atbildību par preces un pakalpojuma trūkumiem”, kā arī šādu atbildības modeli satur arī regulējums par paaugstinātas bīstamības avotiem. Ņemot vērā minēto, pamatnostādņu projektā ir precizējama informācija par Latvijas tiesību sistēmā regulētajiem atbildības modeļiem, vienlaikus norādot uz nepieciešamību konkrētajā nozarē izstrādāt speciālo regulējumu.</w:t>
            </w:r>
          </w:p>
        </w:tc>
        <w:tc>
          <w:tcPr>
            <w:tcW w:w="2480" w:type="dxa"/>
            <w:tcBorders>
              <w:left w:val="single" w:sz="6" w:space="0" w:color="000000" w:themeColor="text1"/>
              <w:bottom w:val="single" w:sz="4" w:space="0" w:color="auto"/>
            </w:tcBorders>
            <w:shd w:val="clear" w:color="auto" w:fill="auto"/>
          </w:tcPr>
          <w:p w14:paraId="0191C8CA" w14:textId="77777777" w:rsidR="00FE0078" w:rsidRPr="009841AB" w:rsidRDefault="00FE0078" w:rsidP="00FE0078">
            <w:pPr>
              <w:pStyle w:val="naisc"/>
              <w:spacing w:before="0" w:after="0"/>
              <w:jc w:val="left"/>
              <w:rPr>
                <w:b/>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50D09086" w14:textId="77777777" w:rsidR="00F343FD" w:rsidRDefault="00F343FD" w:rsidP="00FE0078">
            <w:pPr>
              <w:pStyle w:val="naisc"/>
              <w:spacing w:before="0" w:after="0"/>
              <w:jc w:val="both"/>
            </w:pPr>
            <w:r>
              <w:t>Lūdzam skatīt 4.5. sadaļu.</w:t>
            </w:r>
          </w:p>
          <w:p w14:paraId="6C4545C9" w14:textId="77777777" w:rsidR="00FE0078" w:rsidRPr="009841AB" w:rsidRDefault="00FE0078" w:rsidP="00FE0078">
            <w:pPr>
              <w:pStyle w:val="naisc"/>
              <w:spacing w:before="0" w:after="0"/>
              <w:jc w:val="both"/>
            </w:pPr>
            <w:r w:rsidRPr="009841AB">
              <w:lastRenderedPageBreak/>
              <w:t xml:space="preserve">“Civiltiesību teorijā pastāv vairāki atbildības modeļi, kā piemēram viens no tiem ir stingrās atbildības modelis. Kā izriet no tiesību doktrīnas, stingrās atbildības modelī tiek uzrādīti un vērtēti attaisnojumi, tikai to </w:t>
            </w:r>
            <w:proofErr w:type="spellStart"/>
            <w:r w:rsidRPr="009841AB">
              <w:t>attiecināmība</w:t>
            </w:r>
            <w:proofErr w:type="spellEnd"/>
            <w:r w:rsidRPr="009841AB">
              <w:t xml:space="preserve"> norādīta </w:t>
            </w:r>
            <w:proofErr w:type="spellStart"/>
            <w:r w:rsidRPr="009841AB">
              <w:t>numerus</w:t>
            </w:r>
            <w:proofErr w:type="spellEnd"/>
            <w:r w:rsidRPr="009841AB">
              <w:t xml:space="preserve"> </w:t>
            </w:r>
            <w:proofErr w:type="spellStart"/>
            <w:r w:rsidRPr="009841AB">
              <w:t>clausus</w:t>
            </w:r>
            <w:proofErr w:type="spellEnd"/>
            <w:r w:rsidRPr="009841AB">
              <w:t xml:space="preserve"> normās. Līdz ar to no minētā var secināt, ka praksē iespējamas situācijas, kurās nepieciešams piemērot stingrās atbildības modeli, nevis klasiskās atbildības modeli, kas ir iekļauts Civillikumā. Līdz ar to, tā kā stingrās atbildības modelī atbildība neiestājas, ja tiek konstatēti likumā noteiktie izņēmumi no atbildības, Tieslietu ministrijas ieskatā, būtu izvērtējama </w:t>
            </w:r>
            <w:proofErr w:type="spellStart"/>
            <w:r w:rsidRPr="009841AB">
              <w:t>nepieciešamībsa</w:t>
            </w:r>
            <w:proofErr w:type="spellEnd"/>
            <w:r w:rsidRPr="009841AB">
              <w:t xml:space="preserve"> izstrādāt konkrētās nozares speciālo regulējumu, kas attiektos uz mākslīgā intelekta vai citu autonomo rīku nodarīto zaudējumu gadījumos, kurā būtu iekļauts stingrās atbildības modelis jeb atbildība neatkarīgi no vainas. Šādu regulējumu Latvijā, piemēram, satur likums “Par atbildību par preces un pakalpojuma trūkumiem”, kā arī šādu atbildības modeli satur arī regulējums par paaugstinātas bīstamības avotiem. Ņemot vērā </w:t>
            </w:r>
            <w:r w:rsidRPr="009841AB">
              <w:lastRenderedPageBreak/>
              <w:t>minēto, pamatnostādņu projektā ir precizējama informācija par Latvijas tiesību sistēmā regulētajiem atbildības modeļiem, vienlaikus norādot uz nepieciešamību konkrētajā nozarē izstrādāt speciālo regulējumu.”</w:t>
            </w:r>
          </w:p>
        </w:tc>
      </w:tr>
      <w:tr w:rsidR="00C81FF6" w:rsidRPr="009841AB" w14:paraId="77FE0922" w14:textId="77777777" w:rsidTr="15B1D617">
        <w:tc>
          <w:tcPr>
            <w:tcW w:w="14451" w:type="dxa"/>
            <w:gridSpan w:val="6"/>
            <w:tcBorders>
              <w:left w:val="single" w:sz="6" w:space="0" w:color="000000" w:themeColor="text1"/>
              <w:bottom w:val="single" w:sz="4" w:space="0" w:color="auto"/>
            </w:tcBorders>
            <w:shd w:val="clear" w:color="auto" w:fill="auto"/>
          </w:tcPr>
          <w:p w14:paraId="7FFBBFE7" w14:textId="77777777" w:rsidR="00C81FF6" w:rsidRPr="009841AB" w:rsidRDefault="00C81FF6" w:rsidP="00FE0078">
            <w:pPr>
              <w:pStyle w:val="naisc"/>
              <w:spacing w:before="0" w:after="0"/>
              <w:jc w:val="both"/>
            </w:pPr>
            <w:r w:rsidRPr="009841AB">
              <w:rPr>
                <w:b/>
                <w:bCs/>
                <w:lang w:eastAsia="en-US"/>
              </w:rPr>
              <w:lastRenderedPageBreak/>
              <w:t>Tieslietu ministrijas 0</w:t>
            </w:r>
            <w:r w:rsidR="00E20A86">
              <w:rPr>
                <w:b/>
                <w:bCs/>
                <w:lang w:eastAsia="en-US"/>
              </w:rPr>
              <w:t>7</w:t>
            </w:r>
            <w:r w:rsidRPr="009841AB">
              <w:rPr>
                <w:b/>
                <w:bCs/>
                <w:lang w:eastAsia="en-US"/>
              </w:rPr>
              <w:t>.05.2021. atzinums:</w:t>
            </w:r>
          </w:p>
        </w:tc>
      </w:tr>
      <w:tr w:rsidR="00C81FF6" w:rsidRPr="009841AB" w14:paraId="16BF01FC" w14:textId="77777777" w:rsidTr="00DC72A3">
        <w:tc>
          <w:tcPr>
            <w:tcW w:w="613" w:type="dxa"/>
            <w:tcBorders>
              <w:left w:val="single" w:sz="6" w:space="0" w:color="000000" w:themeColor="text1"/>
              <w:bottom w:val="single" w:sz="4" w:space="0" w:color="auto"/>
            </w:tcBorders>
            <w:shd w:val="clear" w:color="auto" w:fill="auto"/>
          </w:tcPr>
          <w:p w14:paraId="67B1663E" w14:textId="77777777" w:rsidR="00C81FF6" w:rsidRPr="009841AB" w:rsidRDefault="00C81FF6" w:rsidP="00FE0078">
            <w:pPr>
              <w:pStyle w:val="naisc"/>
              <w:spacing w:before="0" w:after="0"/>
            </w:pPr>
          </w:p>
        </w:tc>
        <w:tc>
          <w:tcPr>
            <w:tcW w:w="2427" w:type="dxa"/>
            <w:tcBorders>
              <w:left w:val="single" w:sz="6" w:space="0" w:color="000000" w:themeColor="text1"/>
              <w:bottom w:val="single" w:sz="4" w:space="0" w:color="auto"/>
            </w:tcBorders>
            <w:shd w:val="clear" w:color="auto" w:fill="auto"/>
          </w:tcPr>
          <w:p w14:paraId="1BAC5355" w14:textId="77777777" w:rsidR="00C81FF6" w:rsidRPr="009841AB" w:rsidRDefault="00C81FF6" w:rsidP="00FE0078">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3D05B28E" w14:textId="77777777" w:rsidR="00C81FF6" w:rsidRPr="00C81FF6" w:rsidRDefault="00C81FF6" w:rsidP="00FE0078">
            <w:pPr>
              <w:ind w:right="12"/>
              <w:jc w:val="both"/>
              <w:rPr>
                <w:b/>
                <w:bCs/>
              </w:rPr>
            </w:pPr>
            <w:r w:rsidRPr="00C81FF6">
              <w:rPr>
                <w:b/>
                <w:bCs/>
              </w:rPr>
              <w:t>Priekšlikumi:</w:t>
            </w:r>
          </w:p>
        </w:tc>
        <w:tc>
          <w:tcPr>
            <w:tcW w:w="2480" w:type="dxa"/>
            <w:tcBorders>
              <w:left w:val="single" w:sz="6" w:space="0" w:color="000000" w:themeColor="text1"/>
              <w:bottom w:val="single" w:sz="4" w:space="0" w:color="auto"/>
            </w:tcBorders>
            <w:shd w:val="clear" w:color="auto" w:fill="auto"/>
          </w:tcPr>
          <w:p w14:paraId="1E9FC0CA" w14:textId="77777777" w:rsidR="00C81FF6" w:rsidRPr="009841AB" w:rsidRDefault="00C81FF6" w:rsidP="00FE0078">
            <w:pPr>
              <w:pStyle w:val="naisc"/>
              <w:spacing w:before="0" w:after="0"/>
              <w:jc w:val="left"/>
              <w:rPr>
                <w:b/>
                <w:bCs/>
              </w:rPr>
            </w:pPr>
          </w:p>
        </w:tc>
        <w:tc>
          <w:tcPr>
            <w:tcW w:w="3504" w:type="dxa"/>
            <w:gridSpan w:val="2"/>
            <w:tcBorders>
              <w:left w:val="single" w:sz="6" w:space="0" w:color="000000" w:themeColor="text1"/>
              <w:bottom w:val="single" w:sz="4" w:space="0" w:color="auto"/>
            </w:tcBorders>
            <w:shd w:val="clear" w:color="auto" w:fill="auto"/>
          </w:tcPr>
          <w:p w14:paraId="71B3B8A2" w14:textId="77777777" w:rsidR="00C81FF6" w:rsidRPr="009841AB" w:rsidRDefault="00C81FF6" w:rsidP="00FE0078">
            <w:pPr>
              <w:pStyle w:val="naisc"/>
              <w:spacing w:before="0" w:after="0"/>
              <w:jc w:val="both"/>
            </w:pPr>
          </w:p>
        </w:tc>
      </w:tr>
      <w:tr w:rsidR="00C81FF6" w:rsidRPr="009841AB" w14:paraId="34F17797" w14:textId="77777777" w:rsidTr="00DC72A3">
        <w:tc>
          <w:tcPr>
            <w:tcW w:w="613" w:type="dxa"/>
            <w:tcBorders>
              <w:left w:val="single" w:sz="6" w:space="0" w:color="000000" w:themeColor="text1"/>
              <w:bottom w:val="single" w:sz="4" w:space="0" w:color="auto"/>
            </w:tcBorders>
            <w:shd w:val="clear" w:color="auto" w:fill="auto"/>
          </w:tcPr>
          <w:p w14:paraId="38BBE003" w14:textId="77777777" w:rsidR="00C81FF6" w:rsidRPr="009841AB" w:rsidRDefault="003D5107" w:rsidP="00FE0078">
            <w:pPr>
              <w:pStyle w:val="naisc"/>
              <w:spacing w:before="0" w:after="0"/>
            </w:pPr>
            <w:r>
              <w:t>507</w:t>
            </w:r>
          </w:p>
        </w:tc>
        <w:tc>
          <w:tcPr>
            <w:tcW w:w="2427" w:type="dxa"/>
            <w:tcBorders>
              <w:left w:val="single" w:sz="6" w:space="0" w:color="000000" w:themeColor="text1"/>
              <w:bottom w:val="single" w:sz="4" w:space="0" w:color="auto"/>
            </w:tcBorders>
            <w:shd w:val="clear" w:color="auto" w:fill="auto"/>
          </w:tcPr>
          <w:p w14:paraId="1A8DA729" w14:textId="77777777" w:rsidR="00C81FF6" w:rsidRPr="009841AB" w:rsidRDefault="00C81FF6"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4752A217" w14:textId="77777777" w:rsidR="00C81FF6" w:rsidRPr="009841AB" w:rsidRDefault="00950D8A" w:rsidP="00FE0078">
            <w:pPr>
              <w:ind w:right="12"/>
              <w:jc w:val="both"/>
            </w:pPr>
            <w:r w:rsidRPr="00950D8A">
              <w:t>Norādām, ka saistībā ar izziņas 389. un 390. punktu, izziņā 5 sadaļā būtu jā atspoguļotam, kura tieši pamatnostādņu projekta sadaļa ir papildināta ar konkrēto informāciju.</w:t>
            </w:r>
          </w:p>
        </w:tc>
        <w:tc>
          <w:tcPr>
            <w:tcW w:w="2480" w:type="dxa"/>
            <w:tcBorders>
              <w:left w:val="single" w:sz="6" w:space="0" w:color="000000" w:themeColor="text1"/>
              <w:bottom w:val="single" w:sz="4" w:space="0" w:color="auto"/>
            </w:tcBorders>
            <w:shd w:val="clear" w:color="auto" w:fill="auto"/>
          </w:tcPr>
          <w:p w14:paraId="48213029" w14:textId="77777777" w:rsidR="00C81FF6" w:rsidRPr="009841AB" w:rsidRDefault="00D861C2" w:rsidP="00FE0078">
            <w:pPr>
              <w:pStyle w:val="naisc"/>
              <w:spacing w:before="0" w:after="0"/>
              <w:jc w:val="left"/>
              <w:rPr>
                <w:b/>
                <w:bCs/>
              </w:rPr>
            </w:pPr>
            <w:r w:rsidRPr="009841AB">
              <w:rPr>
                <w:b/>
                <w:bCs/>
              </w:rPr>
              <w:t>Ņemts vērā</w:t>
            </w:r>
          </w:p>
        </w:tc>
        <w:tc>
          <w:tcPr>
            <w:tcW w:w="3504" w:type="dxa"/>
            <w:gridSpan w:val="2"/>
            <w:tcBorders>
              <w:left w:val="single" w:sz="6" w:space="0" w:color="000000" w:themeColor="text1"/>
              <w:bottom w:val="single" w:sz="4" w:space="0" w:color="auto"/>
            </w:tcBorders>
            <w:shd w:val="clear" w:color="auto" w:fill="auto"/>
          </w:tcPr>
          <w:p w14:paraId="3C416CA3" w14:textId="77777777" w:rsidR="00C81FF6" w:rsidRPr="009841AB" w:rsidRDefault="00D861C2" w:rsidP="00FE0078">
            <w:pPr>
              <w:pStyle w:val="naisc"/>
              <w:spacing w:before="0" w:after="0"/>
              <w:jc w:val="both"/>
            </w:pPr>
            <w:r>
              <w:t>P</w:t>
            </w:r>
            <w:r w:rsidR="007C21F9">
              <w:t>apildināta</w:t>
            </w:r>
            <w:r w:rsidR="00596D7E">
              <w:t xml:space="preserve"> izziņas</w:t>
            </w:r>
            <w:r w:rsidR="000D39CA">
              <w:t xml:space="preserve"> 389. un 390. punkta</w:t>
            </w:r>
            <w:r w:rsidR="00596D7E">
              <w:t xml:space="preserve"> </w:t>
            </w:r>
            <w:r w:rsidR="000D39CA">
              <w:t>5. sadaļa</w:t>
            </w:r>
            <w:r w:rsidR="007C21F9">
              <w:t>.</w:t>
            </w:r>
          </w:p>
        </w:tc>
      </w:tr>
      <w:tr w:rsidR="00FE0078" w:rsidRPr="009841AB" w14:paraId="5A927F98"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E85B58C" w14:textId="77777777" w:rsidR="00FE0078" w:rsidRPr="009841AB" w:rsidRDefault="00FE0078" w:rsidP="00FE0078">
            <w:pPr>
              <w:pStyle w:val="naisc"/>
              <w:spacing w:before="0" w:after="0"/>
              <w:jc w:val="left"/>
            </w:pPr>
            <w:r w:rsidRPr="009841AB">
              <w:rPr>
                <w:b/>
                <w:bCs/>
                <w:lang w:eastAsia="en-US"/>
              </w:rPr>
              <w:t>Latvijas Pašvaldību savienības 28.01.2021. atzinums:</w:t>
            </w:r>
          </w:p>
        </w:tc>
      </w:tr>
      <w:tr w:rsidR="00FE0078" w:rsidRPr="009841AB" w14:paraId="32DAA92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135CBDA" w14:textId="77777777" w:rsidR="00FE0078" w:rsidRPr="009841AB" w:rsidRDefault="003D5107" w:rsidP="00FE0078">
            <w:pPr>
              <w:pStyle w:val="naisc"/>
              <w:spacing w:before="0" w:after="0"/>
            </w:pPr>
            <w:r>
              <w:t>508</w:t>
            </w:r>
          </w:p>
        </w:tc>
        <w:tc>
          <w:tcPr>
            <w:tcW w:w="2427" w:type="dxa"/>
            <w:tcBorders>
              <w:left w:val="single" w:sz="6" w:space="0" w:color="000000" w:themeColor="text1"/>
              <w:bottom w:val="single" w:sz="4" w:space="0" w:color="auto"/>
            </w:tcBorders>
            <w:shd w:val="clear" w:color="auto" w:fill="auto"/>
          </w:tcPr>
          <w:p w14:paraId="47DA37AC" w14:textId="77777777" w:rsidR="00FE0078" w:rsidRPr="009841AB" w:rsidRDefault="00FE0078" w:rsidP="00FE0078">
            <w:pPr>
              <w:pStyle w:val="naisc"/>
              <w:spacing w:before="0" w:after="0"/>
              <w:jc w:val="left"/>
            </w:pPr>
            <w:r w:rsidRPr="009841AB">
              <w:t>4.5. sadaļa</w:t>
            </w:r>
          </w:p>
        </w:tc>
        <w:tc>
          <w:tcPr>
            <w:tcW w:w="5427" w:type="dxa"/>
            <w:tcBorders>
              <w:left w:val="single" w:sz="6" w:space="0" w:color="000000" w:themeColor="text1"/>
              <w:bottom w:val="single" w:sz="4" w:space="0" w:color="auto"/>
            </w:tcBorders>
            <w:shd w:val="clear" w:color="auto" w:fill="auto"/>
          </w:tcPr>
          <w:p w14:paraId="19969448" w14:textId="77777777" w:rsidR="00FE0078" w:rsidRPr="009841AB" w:rsidRDefault="00FE0078" w:rsidP="00FE0078">
            <w:pPr>
              <w:ind w:right="12"/>
              <w:jc w:val="both"/>
            </w:pPr>
            <w:r w:rsidRPr="009841AB">
              <w:t xml:space="preserve">Punktā 4.5.2. "Viedās pilsētas, viedā mobilitāte, autonomie transporta līdzekļi, izmēģinājuma poligoni un regulējuma smilškastes" apakšpunktā 4.5.2.-2 "Izveidot un īstenot plānu Viedo pašvaldību inovāciju ekosistēmas izveidei un attīstībai" minēto skatīt kopsummā, jo pašvaldība arī jārūpējas par infrastruktūru kā piemēram, </w:t>
            </w:r>
            <w:proofErr w:type="spellStart"/>
            <w:r w:rsidRPr="009841AB">
              <w:t>ūdensgūtnes</w:t>
            </w:r>
            <w:proofErr w:type="spellEnd"/>
            <w:r w:rsidRPr="009841AB">
              <w:t xml:space="preserve">, attīrīšanas iekārtas, slūžas un polderi (meliorācija) kurai arī nepieciešama stabila datu pārraide (optikas </w:t>
            </w:r>
            <w:proofErr w:type="spellStart"/>
            <w:r w:rsidRPr="009841AB">
              <w:t>pieslēgums</w:t>
            </w:r>
            <w:proofErr w:type="spellEnd"/>
            <w:r w:rsidRPr="009841AB">
              <w:t xml:space="preserve"> -kas ir darbspējīgs arī, un it sevišķi, sliktos laika apstākļos), lai to varētu centralizēti vadīt un uzraudzīt.</w:t>
            </w:r>
          </w:p>
        </w:tc>
        <w:tc>
          <w:tcPr>
            <w:tcW w:w="2480" w:type="dxa"/>
            <w:tcBorders>
              <w:left w:val="single" w:sz="6" w:space="0" w:color="000000" w:themeColor="text1"/>
              <w:bottom w:val="single" w:sz="4" w:space="0" w:color="auto"/>
            </w:tcBorders>
            <w:shd w:val="clear" w:color="auto" w:fill="auto"/>
          </w:tcPr>
          <w:p w14:paraId="40C35CFB" w14:textId="77777777" w:rsidR="00FE0078" w:rsidRPr="009841AB" w:rsidRDefault="00FE0078" w:rsidP="00FE0078">
            <w:pPr>
              <w:pStyle w:val="naisc"/>
              <w:spacing w:before="0" w:after="0"/>
              <w:jc w:val="left"/>
              <w:rPr>
                <w:b/>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21D2E652"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4.5.2. </w:t>
            </w:r>
          </w:p>
        </w:tc>
      </w:tr>
      <w:tr w:rsidR="00FE0078" w:rsidRPr="009841AB" w14:paraId="37B823A4"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9986DC7" w14:textId="77777777" w:rsidR="00FE0078" w:rsidRPr="009841AB" w:rsidRDefault="00FE0078" w:rsidP="00FE0078">
            <w:pPr>
              <w:pStyle w:val="naisc"/>
              <w:spacing w:before="0" w:after="0"/>
              <w:rPr>
                <w:b/>
                <w:bCs/>
              </w:rPr>
            </w:pPr>
            <w:r w:rsidRPr="009841AB">
              <w:rPr>
                <w:b/>
                <w:bCs/>
              </w:rPr>
              <w:t>5. Digitālās transformācijas pārvaldība</w:t>
            </w:r>
          </w:p>
        </w:tc>
      </w:tr>
      <w:tr w:rsidR="00FE0078" w:rsidRPr="009841AB" w14:paraId="51F80971"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E3C14D5" w14:textId="77777777" w:rsidR="00FE0078" w:rsidRPr="009841AB" w:rsidRDefault="00FE0078" w:rsidP="00FE0078">
            <w:pPr>
              <w:tabs>
                <w:tab w:val="left" w:pos="720"/>
              </w:tabs>
              <w:contextualSpacing/>
              <w:jc w:val="both"/>
              <w:rPr>
                <w:b/>
                <w:bCs/>
                <w:lang w:eastAsia="en-US"/>
              </w:rPr>
            </w:pPr>
            <w:r w:rsidRPr="009841AB">
              <w:rPr>
                <w:b/>
                <w:bCs/>
                <w:lang w:eastAsia="en-US"/>
              </w:rPr>
              <w:t>Aizsardzības ministrijas 01.02.2021. atzinums:</w:t>
            </w:r>
          </w:p>
        </w:tc>
      </w:tr>
      <w:tr w:rsidR="00FE0078" w:rsidRPr="009841AB" w14:paraId="6FDFF16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38F1AA1" w14:textId="77777777" w:rsidR="00FE0078" w:rsidRPr="009841AB" w:rsidRDefault="007F793A" w:rsidP="00FE0078">
            <w:pPr>
              <w:pStyle w:val="naisc"/>
              <w:spacing w:before="0" w:after="0"/>
            </w:pPr>
            <w:r>
              <w:t>509</w:t>
            </w:r>
          </w:p>
        </w:tc>
        <w:tc>
          <w:tcPr>
            <w:tcW w:w="2427" w:type="dxa"/>
            <w:tcBorders>
              <w:left w:val="single" w:sz="6" w:space="0" w:color="000000" w:themeColor="text1"/>
              <w:bottom w:val="single" w:sz="4" w:space="0" w:color="auto"/>
            </w:tcBorders>
            <w:shd w:val="clear" w:color="auto" w:fill="auto"/>
          </w:tcPr>
          <w:p w14:paraId="13FD5F85" w14:textId="77777777" w:rsidR="00FE0078" w:rsidRPr="009841AB" w:rsidRDefault="00FE0078" w:rsidP="00FE0078">
            <w:pPr>
              <w:pStyle w:val="naisc"/>
              <w:spacing w:before="0" w:after="0"/>
              <w:jc w:val="left"/>
            </w:pPr>
            <w:r w:rsidRPr="009841AB">
              <w:t>5. sadaļa</w:t>
            </w:r>
          </w:p>
        </w:tc>
        <w:tc>
          <w:tcPr>
            <w:tcW w:w="5427" w:type="dxa"/>
            <w:tcBorders>
              <w:left w:val="single" w:sz="6" w:space="0" w:color="000000" w:themeColor="text1"/>
              <w:bottom w:val="single" w:sz="4" w:space="0" w:color="auto"/>
            </w:tcBorders>
            <w:shd w:val="clear" w:color="auto" w:fill="auto"/>
          </w:tcPr>
          <w:p w14:paraId="7A461A4D" w14:textId="77777777" w:rsidR="00FE0078" w:rsidRPr="009841AB" w:rsidRDefault="00FE0078" w:rsidP="00FE0078">
            <w:pPr>
              <w:ind w:right="12"/>
              <w:jc w:val="both"/>
            </w:pPr>
            <w:r w:rsidRPr="009841AB">
              <w:t>1.</w:t>
            </w:r>
            <w:r w:rsidRPr="009841AB">
              <w:tab/>
              <w:t>231. lpp. nodaļa “5. Digitālās transformācijas pārvaldība”. Precizēt 12. attēlu, korekti atspoguļojot Aizsardzības ministrijas un CERT.LV kompetenci;</w:t>
            </w:r>
          </w:p>
        </w:tc>
        <w:tc>
          <w:tcPr>
            <w:tcW w:w="2480" w:type="dxa"/>
            <w:tcBorders>
              <w:left w:val="single" w:sz="6" w:space="0" w:color="000000" w:themeColor="text1"/>
              <w:bottom w:val="single" w:sz="4" w:space="0" w:color="auto"/>
            </w:tcBorders>
            <w:shd w:val="clear" w:color="auto" w:fill="auto"/>
          </w:tcPr>
          <w:p w14:paraId="6E6BE385" w14:textId="77777777" w:rsidR="00FE0078" w:rsidRPr="009841AB" w:rsidRDefault="00FE0078" w:rsidP="00FE0078">
            <w:pPr>
              <w:pStyle w:val="naisc"/>
              <w:spacing w:before="0" w:after="0"/>
              <w:jc w:val="left"/>
              <w:rPr>
                <w:b/>
                <w:bCs/>
              </w:rPr>
            </w:pPr>
            <w:r w:rsidRPr="009841AB">
              <w:rPr>
                <w:b/>
                <w:bCs/>
              </w:rPr>
              <w:t>Ņemts vērā</w:t>
            </w:r>
          </w:p>
          <w:p w14:paraId="3C0466B8" w14:textId="77777777" w:rsidR="00FE0078" w:rsidRPr="009841AB" w:rsidRDefault="00FE0078" w:rsidP="00FE0078">
            <w:pPr>
              <w:pStyle w:val="naisc"/>
              <w:spacing w:before="0" w:after="0"/>
              <w:jc w:val="left"/>
              <w:rPr>
                <w:b/>
                <w:bCs/>
              </w:rPr>
            </w:pPr>
            <w:r w:rsidRPr="009841AB">
              <w:t>Attiecīgā rindkopa un attēls ir izslēgti no pamatnostādņu teksta</w:t>
            </w:r>
          </w:p>
        </w:tc>
        <w:tc>
          <w:tcPr>
            <w:tcW w:w="3497" w:type="dxa"/>
            <w:tcBorders>
              <w:left w:val="single" w:sz="6" w:space="0" w:color="000000" w:themeColor="text1"/>
              <w:bottom w:val="single" w:sz="4" w:space="0" w:color="auto"/>
            </w:tcBorders>
            <w:shd w:val="clear" w:color="auto" w:fill="auto"/>
          </w:tcPr>
          <w:p w14:paraId="0FE56EFF" w14:textId="77777777" w:rsidR="00FE0078" w:rsidRPr="009841AB" w:rsidRDefault="00FE0078" w:rsidP="00FE0078">
            <w:pPr>
              <w:pStyle w:val="naisc"/>
              <w:spacing w:before="0" w:after="0"/>
              <w:jc w:val="both"/>
            </w:pPr>
            <w:r w:rsidRPr="009841AB">
              <w:t>Lūdzam skatīt 5.sadaļu</w:t>
            </w:r>
          </w:p>
        </w:tc>
      </w:tr>
      <w:tr w:rsidR="00FE0078" w:rsidRPr="009841AB" w14:paraId="5B22A64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D3D8C54" w14:textId="77777777" w:rsidR="00FE0078" w:rsidRPr="009841AB" w:rsidRDefault="007F793A" w:rsidP="00FE0078">
            <w:pPr>
              <w:pStyle w:val="naisc"/>
              <w:spacing w:before="0" w:after="0"/>
            </w:pPr>
            <w:r>
              <w:t>510</w:t>
            </w:r>
          </w:p>
        </w:tc>
        <w:tc>
          <w:tcPr>
            <w:tcW w:w="2427" w:type="dxa"/>
            <w:tcBorders>
              <w:left w:val="single" w:sz="6" w:space="0" w:color="000000" w:themeColor="text1"/>
              <w:bottom w:val="single" w:sz="4" w:space="0" w:color="auto"/>
            </w:tcBorders>
            <w:shd w:val="clear" w:color="auto" w:fill="auto"/>
          </w:tcPr>
          <w:p w14:paraId="3D3D7976" w14:textId="77777777" w:rsidR="00FE0078" w:rsidRPr="009841AB" w:rsidRDefault="00FE0078" w:rsidP="00FE0078">
            <w:pPr>
              <w:pStyle w:val="naisc"/>
              <w:spacing w:before="0" w:after="0"/>
              <w:jc w:val="left"/>
            </w:pPr>
            <w:r w:rsidRPr="009841AB">
              <w:t>5. sadaļa</w:t>
            </w:r>
          </w:p>
        </w:tc>
        <w:tc>
          <w:tcPr>
            <w:tcW w:w="5427" w:type="dxa"/>
            <w:tcBorders>
              <w:left w:val="single" w:sz="6" w:space="0" w:color="000000" w:themeColor="text1"/>
              <w:bottom w:val="single" w:sz="4" w:space="0" w:color="auto"/>
            </w:tcBorders>
            <w:shd w:val="clear" w:color="auto" w:fill="auto"/>
          </w:tcPr>
          <w:p w14:paraId="7A6982F3" w14:textId="77777777" w:rsidR="00FE0078" w:rsidRPr="009841AB" w:rsidRDefault="00FE0078" w:rsidP="00FE0078">
            <w:pPr>
              <w:ind w:right="12"/>
              <w:jc w:val="both"/>
            </w:pPr>
            <w:r w:rsidRPr="009841AB">
              <w:t>2.</w:t>
            </w:r>
            <w:r w:rsidRPr="009841AB">
              <w:tab/>
              <w:t>232. lpp. nodaļa “5. Digitālās transformācijas pārvaldība”. Lūdzu korekti atspoguļot Ministru kabineta noteikumu datumu un nosaukumu nodaļas trešajā rindkopā.</w:t>
            </w:r>
          </w:p>
        </w:tc>
        <w:tc>
          <w:tcPr>
            <w:tcW w:w="2480" w:type="dxa"/>
            <w:tcBorders>
              <w:left w:val="single" w:sz="6" w:space="0" w:color="000000" w:themeColor="text1"/>
              <w:bottom w:val="single" w:sz="4" w:space="0" w:color="auto"/>
            </w:tcBorders>
            <w:shd w:val="clear" w:color="auto" w:fill="auto"/>
          </w:tcPr>
          <w:p w14:paraId="3CD19160" w14:textId="77777777" w:rsidR="00FE0078" w:rsidRPr="009841AB" w:rsidRDefault="00FE0078" w:rsidP="00FE0078">
            <w:pPr>
              <w:pStyle w:val="naisc"/>
              <w:spacing w:before="0" w:after="0"/>
              <w:jc w:val="left"/>
              <w:rPr>
                <w:b/>
                <w:bCs/>
              </w:rPr>
            </w:pPr>
            <w:r w:rsidRPr="009841AB">
              <w:rPr>
                <w:b/>
                <w:bCs/>
              </w:rPr>
              <w:t>Ņemts vērā</w:t>
            </w:r>
          </w:p>
          <w:p w14:paraId="4EC2D555" w14:textId="77777777" w:rsidR="00FE0078" w:rsidRPr="009841AB" w:rsidRDefault="00FE0078" w:rsidP="00FE0078">
            <w:pPr>
              <w:pStyle w:val="naisc"/>
              <w:spacing w:before="0" w:after="0"/>
              <w:jc w:val="left"/>
              <w:rPr>
                <w:b/>
                <w:bCs/>
              </w:rPr>
            </w:pPr>
            <w:r w:rsidRPr="009841AB">
              <w:t xml:space="preserve">Attiecīgā rindkopa - t.sk. atsauce uz MK </w:t>
            </w:r>
            <w:r w:rsidRPr="009841AB">
              <w:lastRenderedPageBreak/>
              <w:t>noteikumiem ir izslēgta no teksta.</w:t>
            </w:r>
          </w:p>
        </w:tc>
        <w:tc>
          <w:tcPr>
            <w:tcW w:w="3497" w:type="dxa"/>
            <w:tcBorders>
              <w:left w:val="single" w:sz="6" w:space="0" w:color="000000" w:themeColor="text1"/>
              <w:bottom w:val="single" w:sz="4" w:space="0" w:color="auto"/>
            </w:tcBorders>
            <w:shd w:val="clear" w:color="auto" w:fill="auto"/>
          </w:tcPr>
          <w:p w14:paraId="237F0655" w14:textId="77777777" w:rsidR="00FE0078" w:rsidRPr="009841AB" w:rsidRDefault="00FE0078" w:rsidP="00FE0078">
            <w:pPr>
              <w:pStyle w:val="naisc"/>
              <w:spacing w:before="0" w:after="0"/>
              <w:jc w:val="both"/>
            </w:pPr>
            <w:r w:rsidRPr="009841AB">
              <w:lastRenderedPageBreak/>
              <w:t>Lūdzam skatīt 5.sadaļu</w:t>
            </w:r>
          </w:p>
        </w:tc>
      </w:tr>
      <w:tr w:rsidR="00FE0078" w:rsidRPr="009841AB" w14:paraId="08F8E9BD"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5B528D05" w14:textId="77777777" w:rsidR="00FE0078" w:rsidRPr="009841AB" w:rsidRDefault="00FE0078" w:rsidP="00FE0078">
            <w:pPr>
              <w:tabs>
                <w:tab w:val="left" w:pos="720"/>
              </w:tabs>
              <w:contextualSpacing/>
              <w:jc w:val="both"/>
              <w:rPr>
                <w:b/>
                <w:bCs/>
                <w:lang w:eastAsia="en-US"/>
              </w:rPr>
            </w:pPr>
            <w:r w:rsidRPr="009841AB">
              <w:rPr>
                <w:b/>
                <w:bCs/>
                <w:lang w:eastAsia="en-US"/>
              </w:rPr>
              <w:t>Finanšu ministrijas 01.02.2021. atzinums:</w:t>
            </w:r>
          </w:p>
        </w:tc>
      </w:tr>
      <w:tr w:rsidR="00FE0078" w:rsidRPr="009841AB" w14:paraId="44FE4D9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02BA0DF" w14:textId="77777777" w:rsidR="00FE0078" w:rsidRPr="009841AB" w:rsidRDefault="007F793A" w:rsidP="00FE0078">
            <w:pPr>
              <w:pStyle w:val="naisc"/>
              <w:spacing w:before="0" w:after="0"/>
            </w:pPr>
            <w:r>
              <w:t>511</w:t>
            </w:r>
          </w:p>
        </w:tc>
        <w:tc>
          <w:tcPr>
            <w:tcW w:w="2427" w:type="dxa"/>
            <w:tcBorders>
              <w:left w:val="single" w:sz="6" w:space="0" w:color="000000" w:themeColor="text1"/>
              <w:bottom w:val="single" w:sz="4" w:space="0" w:color="auto"/>
            </w:tcBorders>
            <w:shd w:val="clear" w:color="auto" w:fill="auto"/>
          </w:tcPr>
          <w:p w14:paraId="34C7611B" w14:textId="77777777" w:rsidR="00FE0078" w:rsidRPr="009841AB" w:rsidRDefault="00FE0078" w:rsidP="00FE0078">
            <w:pPr>
              <w:pStyle w:val="naisc"/>
              <w:spacing w:before="0" w:after="0"/>
              <w:jc w:val="left"/>
            </w:pPr>
            <w:r w:rsidRPr="009841AB">
              <w:t>5. sadaļa</w:t>
            </w:r>
          </w:p>
        </w:tc>
        <w:tc>
          <w:tcPr>
            <w:tcW w:w="5427" w:type="dxa"/>
            <w:tcBorders>
              <w:left w:val="single" w:sz="6" w:space="0" w:color="000000" w:themeColor="text1"/>
              <w:bottom w:val="single" w:sz="4" w:space="0" w:color="auto"/>
            </w:tcBorders>
            <w:shd w:val="clear" w:color="auto" w:fill="auto"/>
          </w:tcPr>
          <w:p w14:paraId="5FE51755" w14:textId="77777777" w:rsidR="00FA0D17" w:rsidRDefault="00FA0D17" w:rsidP="00FE0078">
            <w:pPr>
              <w:ind w:right="12"/>
              <w:jc w:val="both"/>
            </w:pPr>
            <w:r w:rsidRPr="00D030E7">
              <w:rPr>
                <w:lang w:eastAsia="en-US"/>
              </w:rPr>
              <w:t xml:space="preserve">(Iepriekš izziņas </w:t>
            </w:r>
            <w:r>
              <w:rPr>
                <w:lang w:eastAsia="en-US"/>
              </w:rPr>
              <w:t>394</w:t>
            </w:r>
            <w:r w:rsidRPr="00D030E7">
              <w:rPr>
                <w:lang w:eastAsia="en-US"/>
              </w:rPr>
              <w:t>. punkts)</w:t>
            </w:r>
          </w:p>
          <w:p w14:paraId="72BCFF81" w14:textId="77777777" w:rsidR="00FE0078" w:rsidRPr="009841AB" w:rsidRDefault="00FE0078" w:rsidP="00FE0078">
            <w:pPr>
              <w:ind w:right="12"/>
              <w:jc w:val="both"/>
            </w:pPr>
            <w:r w:rsidRPr="009841AB">
              <w:t xml:space="preserve">Lūdzam skaidrot, </w:t>
            </w:r>
            <w:r w:rsidRPr="009841AB">
              <w:rPr>
                <w:b/>
                <w:bCs/>
              </w:rPr>
              <w:t xml:space="preserve">kā nacionāli tiks nodrošināta vienota informācijas un komunikācijas tehnoloģiju </w:t>
            </w:r>
            <w:proofErr w:type="spellStart"/>
            <w:r w:rsidRPr="009841AB">
              <w:rPr>
                <w:b/>
                <w:bCs/>
              </w:rPr>
              <w:t>mērķarhitektūras</w:t>
            </w:r>
            <w:proofErr w:type="spellEnd"/>
            <w:r w:rsidRPr="009841AB">
              <w:rPr>
                <w:b/>
                <w:bCs/>
              </w:rPr>
              <w:t xml:space="preserve"> stratēģiskā pārvaldība</w:t>
            </w:r>
            <w:r w:rsidRPr="009841AB">
              <w:t xml:space="preserve">, lai nākotnē izvairītos no situācijām, kā piemēram, ar Tieslietu ministrijas atbildībā esošo “E-lietas” programmu un e-veselības sistēmu. E-veselības sistēma pēc sešu gadu ilgas informācijas sistēmas izstrādes, 2018.gadā tika palaista jau ar novecojušām tehnoloģijām; tā strādā lēni un ar traucējumiem. E-veselības sistēmas sākotnējās tehniskās izpētes ietvaros konstatēts, ka jaunu funkcionalitāšu attīstīšana esošajā e-veselības sistēmā varētu būtiski pasliktināt e-veselības sistēmas darbību, līdz ar to aktualizējas jautājums par to, vai līdzšinējo e-veselības sistēmu ir iespējams modernizēt, lai nodrošinātu tās atbilstību mūsdienu prasībām vai izmaksu efektīvāk ir izveidot jaunu veselības sistēmu[2]. Salīdzinoši igauņu kolēģiem e-veselības sistēmas ieviešana izmaksāja 3.5 milj. </w:t>
            </w:r>
            <w:proofErr w:type="spellStart"/>
            <w:r w:rsidRPr="009841AB">
              <w:t>euro</w:t>
            </w:r>
            <w:proofErr w:type="spellEnd"/>
            <w:r w:rsidRPr="009841AB">
              <w:t xml:space="preserve">, turpretī Latvijas e-veselība 2007.-2013.gada, kā arī 2014.-2020.gada plānošanas periodā jau ir izmaksājusi milj. 18.1 milj. </w:t>
            </w:r>
            <w:proofErr w:type="spellStart"/>
            <w:r w:rsidRPr="009841AB">
              <w:t>euro</w:t>
            </w:r>
            <w:proofErr w:type="spellEnd"/>
            <w:r w:rsidRPr="009841AB">
              <w:t xml:space="preserve"> (ERAF), kā arī sistēmas ieviešana vēl nav pabeigta. E-lietas gadījumā saņemts Valsts kontroles revīzijas ziņojums “E-lietas programmas vadības risku </w:t>
            </w:r>
            <w:proofErr w:type="spellStart"/>
            <w:r w:rsidRPr="009841AB">
              <w:t>izvērtējums</w:t>
            </w:r>
            <w:proofErr w:type="spellEnd"/>
            <w:r w:rsidRPr="009841AB">
              <w:t xml:space="preserve">”” (2020), kurā konstatētais liecina, ka valstī nav kopēja redzējuma un rīcības plāna e-lietas izveidei, tā īstenošana ir sadrumstalota vairākos projektos bez vienotas virsuzraudzības, lai nodrošinātu to savstarpēju saskaņotību. Vai to ir plānots noregulēt VARAM virzītā Valsts digitālo tehnoloģiju pārvaldības likuma ietvaros vai arī ar kādu citu </w:t>
            </w:r>
            <w:r w:rsidRPr="009841AB">
              <w:lastRenderedPageBreak/>
              <w:t>normatīvo aktu? Vēršam uzmanību, ka pamatnostādņu 5.sadaļā “Digitālās transformācijas pārvaldība” vairāk aprakstīta digitālās transformācijas mērķu uzraudzība un ikgadējie progresa apskata, nevis stratēģiskās virsuzraudzības jautājumi.</w:t>
            </w:r>
          </w:p>
        </w:tc>
        <w:tc>
          <w:tcPr>
            <w:tcW w:w="2480" w:type="dxa"/>
            <w:tcBorders>
              <w:left w:val="single" w:sz="6" w:space="0" w:color="000000" w:themeColor="text1"/>
              <w:bottom w:val="single" w:sz="4" w:space="0" w:color="auto"/>
            </w:tcBorders>
            <w:shd w:val="clear" w:color="auto" w:fill="auto"/>
          </w:tcPr>
          <w:p w14:paraId="57A2D9B8" w14:textId="77777777" w:rsidR="00FE0078" w:rsidRPr="00F44824" w:rsidRDefault="00FE0078" w:rsidP="00FE0078">
            <w:pPr>
              <w:pStyle w:val="naisc"/>
              <w:spacing w:before="0" w:after="0"/>
              <w:jc w:val="left"/>
              <w:rPr>
                <w:b/>
                <w:bCs/>
              </w:rPr>
            </w:pPr>
            <w:r w:rsidRPr="009841AB">
              <w:rPr>
                <w:b/>
                <w:bCs/>
              </w:rPr>
              <w:lastRenderedPageBreak/>
              <w:t>Ņemts vērā</w:t>
            </w:r>
          </w:p>
          <w:p w14:paraId="1D874A60" w14:textId="77777777" w:rsidR="00FE0078" w:rsidRPr="009841AB" w:rsidRDefault="00FE0078" w:rsidP="00FE0078">
            <w:pPr>
              <w:pStyle w:val="naisc"/>
              <w:spacing w:before="0" w:after="0"/>
              <w:jc w:val="left"/>
            </w:pPr>
            <w:r w:rsidRPr="009841AB">
              <w:t>Pamatnostādņu 5. sadaļa ir papildināta ar norādi par to, kā VARAM īstenos "būvvaldes" funkciju IKT attīstības pasākumu pārvaldības jomā.</w:t>
            </w:r>
          </w:p>
        </w:tc>
        <w:tc>
          <w:tcPr>
            <w:tcW w:w="3497" w:type="dxa"/>
            <w:tcBorders>
              <w:left w:val="single" w:sz="6" w:space="0" w:color="000000" w:themeColor="text1"/>
              <w:bottom w:val="single" w:sz="4" w:space="0" w:color="auto"/>
            </w:tcBorders>
            <w:shd w:val="clear" w:color="auto" w:fill="auto"/>
          </w:tcPr>
          <w:p w14:paraId="6A3D193E" w14:textId="77777777" w:rsidR="00FE0078" w:rsidRPr="009841AB" w:rsidRDefault="00FE0078" w:rsidP="00FE0078">
            <w:pPr>
              <w:pStyle w:val="naisc"/>
              <w:spacing w:before="0" w:after="0"/>
              <w:jc w:val="both"/>
            </w:pPr>
            <w:r w:rsidRPr="009841AB">
              <w:t>Lūdzam skatīt 5.sadaļu</w:t>
            </w:r>
          </w:p>
        </w:tc>
      </w:tr>
      <w:tr w:rsidR="00C857FC" w:rsidRPr="009841AB" w14:paraId="1D6FEE60"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AF39389" w14:textId="77777777" w:rsidR="00C857FC" w:rsidRPr="009841AB" w:rsidRDefault="00C857FC" w:rsidP="00C857FC">
            <w:pPr>
              <w:pStyle w:val="naisc"/>
              <w:spacing w:before="0" w:after="0"/>
              <w:jc w:val="both"/>
            </w:pPr>
            <w:r w:rsidRPr="009841AB">
              <w:rPr>
                <w:b/>
                <w:bCs/>
                <w:lang w:eastAsia="en-US"/>
              </w:rPr>
              <w:t>Finanšu ministrijas 0</w:t>
            </w:r>
            <w:r>
              <w:rPr>
                <w:b/>
                <w:bCs/>
                <w:lang w:eastAsia="en-US"/>
              </w:rPr>
              <w:t>5</w:t>
            </w:r>
            <w:r w:rsidRPr="009841AB">
              <w:rPr>
                <w:b/>
                <w:bCs/>
                <w:lang w:eastAsia="en-US"/>
              </w:rPr>
              <w:t>.0</w:t>
            </w:r>
            <w:r>
              <w:rPr>
                <w:b/>
                <w:bCs/>
                <w:lang w:eastAsia="en-US"/>
              </w:rPr>
              <w:t>5</w:t>
            </w:r>
            <w:r w:rsidRPr="009841AB">
              <w:rPr>
                <w:b/>
                <w:bCs/>
                <w:lang w:eastAsia="en-US"/>
              </w:rPr>
              <w:t>.2021. atzinums:</w:t>
            </w:r>
          </w:p>
        </w:tc>
      </w:tr>
      <w:tr w:rsidR="00C857FC" w:rsidRPr="009841AB" w14:paraId="0108F03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A18993C" w14:textId="77777777" w:rsidR="00C857FC" w:rsidRPr="009841AB" w:rsidRDefault="007F793A" w:rsidP="00C857FC">
            <w:pPr>
              <w:pStyle w:val="naisc"/>
              <w:spacing w:before="0" w:after="0"/>
            </w:pPr>
            <w:r>
              <w:t>512</w:t>
            </w:r>
          </w:p>
        </w:tc>
        <w:tc>
          <w:tcPr>
            <w:tcW w:w="2427" w:type="dxa"/>
            <w:tcBorders>
              <w:left w:val="single" w:sz="6" w:space="0" w:color="000000" w:themeColor="text1"/>
              <w:bottom w:val="single" w:sz="4" w:space="0" w:color="auto"/>
            </w:tcBorders>
            <w:shd w:val="clear" w:color="auto" w:fill="auto"/>
          </w:tcPr>
          <w:p w14:paraId="4CBB941F" w14:textId="77777777" w:rsidR="00C857FC" w:rsidRPr="009841AB" w:rsidRDefault="00C857FC" w:rsidP="00C857FC">
            <w:pPr>
              <w:pStyle w:val="naisc"/>
              <w:spacing w:before="0" w:after="0"/>
              <w:jc w:val="left"/>
            </w:pPr>
            <w:r w:rsidRPr="009841AB">
              <w:t>5. sadaļa</w:t>
            </w:r>
          </w:p>
        </w:tc>
        <w:tc>
          <w:tcPr>
            <w:tcW w:w="5427" w:type="dxa"/>
            <w:tcBorders>
              <w:left w:val="single" w:sz="6" w:space="0" w:color="000000" w:themeColor="text1"/>
              <w:bottom w:val="single" w:sz="4" w:space="0" w:color="auto"/>
            </w:tcBorders>
            <w:shd w:val="clear" w:color="auto" w:fill="auto"/>
          </w:tcPr>
          <w:p w14:paraId="532E56BB" w14:textId="77777777" w:rsidR="00C857FC" w:rsidRPr="009841AB" w:rsidRDefault="00C857FC" w:rsidP="00C857FC">
            <w:pPr>
              <w:ind w:right="12"/>
              <w:jc w:val="both"/>
            </w:pPr>
            <w:r w:rsidRPr="00CC4244">
              <w:t xml:space="preserve">Uzturam FM iepriekš izteikto iebildumu attiecībā uz nacionāli plānoto vienota IKT </w:t>
            </w:r>
            <w:proofErr w:type="spellStart"/>
            <w:r w:rsidRPr="00CC4244">
              <w:t>mērķarhitektūras</w:t>
            </w:r>
            <w:proofErr w:type="spellEnd"/>
            <w:r w:rsidRPr="00CC4244">
              <w:t xml:space="preserve"> stratēģiskās pārvaldības nodrošināšanu, jo VARAM pamatnostādņu projekta 5.sadaļa nesniedz atbildi uz to, kā VARAM virzītie grozījumi Valsts informācijas sistēmu likumā samazinās IKT projektu labas pārvaldības riskus un nodrošinās IKT projektu vienotu stratēģisku virsuzraudzību (394.izziņas punkts). Tāpat lūdzam VARAM Pamatnostādņu projekta 5.sadaļā “Digitālās transformācijas pārvaldība” minētajiem VARAM virzītajiem grozījumiem Valsts informācijas sistēmu likumā noradīt vismaz Valsts sekretāru sanāksmes (VSS) numuru, lai tie būtu identificējami un atrodami un laiku (gadu), kad tos ir plānots virzīt apstiprināšanai Ministru kabinetā.</w:t>
            </w:r>
          </w:p>
        </w:tc>
        <w:tc>
          <w:tcPr>
            <w:tcW w:w="2480" w:type="dxa"/>
            <w:tcBorders>
              <w:left w:val="single" w:sz="6" w:space="0" w:color="000000" w:themeColor="text1"/>
              <w:bottom w:val="single" w:sz="4" w:space="0" w:color="auto"/>
            </w:tcBorders>
            <w:shd w:val="clear" w:color="auto" w:fill="auto"/>
          </w:tcPr>
          <w:p w14:paraId="33C22C3C" w14:textId="77777777" w:rsidR="00C857FC" w:rsidRPr="009841AB" w:rsidRDefault="00C857FC" w:rsidP="00C857FC">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3B27CDA4" w14:textId="77777777" w:rsidR="00C857FC" w:rsidRPr="009841AB" w:rsidRDefault="00C857FC" w:rsidP="00C857FC">
            <w:pPr>
              <w:pStyle w:val="naisc"/>
              <w:spacing w:before="0" w:after="0"/>
              <w:jc w:val="both"/>
            </w:pPr>
            <w:r>
              <w:t xml:space="preserve">Skat. sadaļu 5, kuras teksts papildināts ar precīzām norādēm kājenēs par Valsts informācijas likuma grozījumu virzību, kā arī MK noteikumu grozījumiem, kuri nostiprinās vienveidīgu IKT attīstības aktivitāšu uzraudzību, neatkarīgi no to finansēšanas avota. </w:t>
            </w:r>
          </w:p>
        </w:tc>
      </w:tr>
      <w:tr w:rsidR="00FE0078" w:rsidRPr="009841AB" w14:paraId="26CBA591"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EF4F79A" w14:textId="77777777" w:rsidR="00FE0078" w:rsidRPr="009841AB" w:rsidRDefault="00FE0078" w:rsidP="00FE0078">
            <w:pPr>
              <w:pStyle w:val="naisc"/>
              <w:spacing w:before="0" w:after="0"/>
              <w:rPr>
                <w:b/>
                <w:bCs/>
              </w:rPr>
            </w:pPr>
            <w:r w:rsidRPr="009841AB">
              <w:rPr>
                <w:b/>
                <w:bCs/>
              </w:rPr>
              <w:t>6. Pielikumi</w:t>
            </w:r>
          </w:p>
        </w:tc>
      </w:tr>
      <w:tr w:rsidR="00FE0078" w:rsidRPr="009841AB" w14:paraId="7E337A9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D9B69B7" w14:textId="77777777" w:rsidR="00FE0078" w:rsidRPr="009841AB" w:rsidRDefault="00FE0078" w:rsidP="00FE0078">
            <w:pPr>
              <w:tabs>
                <w:tab w:val="left" w:pos="720"/>
              </w:tabs>
              <w:contextualSpacing/>
              <w:jc w:val="both"/>
              <w:rPr>
                <w:b/>
                <w:bCs/>
                <w:lang w:eastAsia="en-US"/>
              </w:rPr>
            </w:pPr>
            <w:r w:rsidRPr="009841AB">
              <w:rPr>
                <w:b/>
                <w:bCs/>
                <w:lang w:eastAsia="en-US"/>
              </w:rPr>
              <w:t>Finanšu ministrijas 01.02.2021. atzinums:</w:t>
            </w:r>
          </w:p>
        </w:tc>
      </w:tr>
      <w:tr w:rsidR="00FE0078" w:rsidRPr="009841AB" w14:paraId="155D06F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7F36028" w14:textId="77777777" w:rsidR="00FE0078" w:rsidRPr="009841AB" w:rsidRDefault="007F793A" w:rsidP="00FE0078">
            <w:pPr>
              <w:pStyle w:val="naisc"/>
              <w:spacing w:before="0" w:after="0"/>
            </w:pPr>
            <w:r>
              <w:t>513</w:t>
            </w:r>
          </w:p>
        </w:tc>
        <w:tc>
          <w:tcPr>
            <w:tcW w:w="2427" w:type="dxa"/>
            <w:tcBorders>
              <w:left w:val="single" w:sz="6" w:space="0" w:color="000000" w:themeColor="text1"/>
              <w:bottom w:val="single" w:sz="4" w:space="0" w:color="auto"/>
            </w:tcBorders>
            <w:shd w:val="clear" w:color="auto" w:fill="auto"/>
          </w:tcPr>
          <w:p w14:paraId="6EBC9BE5"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54B59754" w14:textId="77777777" w:rsidR="00FE0078" w:rsidRPr="009841AB" w:rsidRDefault="00FE0078" w:rsidP="00FE0078">
            <w:pPr>
              <w:ind w:right="12"/>
              <w:jc w:val="both"/>
            </w:pPr>
            <w:r w:rsidRPr="009841AB">
              <w:t>1.</w:t>
            </w:r>
            <w:r w:rsidRPr="009841AB">
              <w:tab/>
              <w:t xml:space="preserve">Vēršam uzmanību, ka atbilstoši pamatnostādņu projekta 1.pielikumam “Politikas rezultāti un rezultatīvie rādītāji” (turpmāk 1. pielikums) tiek izdalīti pamatnostādņu mērķi, pieci attīstības virzieni, seši politikas mērķi, 27 rīcības virzieni un 23 rīcības virzienu </w:t>
            </w:r>
            <w:proofErr w:type="spellStart"/>
            <w:r w:rsidRPr="009841AB">
              <w:t>apakšvirzieni</w:t>
            </w:r>
            <w:proofErr w:type="spellEnd"/>
            <w:r w:rsidRPr="009841AB">
              <w:t xml:space="preserve"> un 99 uzdevumi, savukārt pamatnostādņu satura rādītāja 4.punkta nosaukumā minēts tās mērķis, attīstības virzieni un rīcības virzieni (vienkāršāka un vieglāk uztverama struktūra). Lūgums informāciju strukturēt pamatnostādņu projektā un tā pielikumā vienādi.</w:t>
            </w:r>
          </w:p>
        </w:tc>
        <w:tc>
          <w:tcPr>
            <w:tcW w:w="2480" w:type="dxa"/>
            <w:tcBorders>
              <w:left w:val="single" w:sz="6" w:space="0" w:color="000000" w:themeColor="text1"/>
              <w:bottom w:val="single" w:sz="4" w:space="0" w:color="auto"/>
            </w:tcBorders>
            <w:shd w:val="clear" w:color="auto" w:fill="auto"/>
          </w:tcPr>
          <w:p w14:paraId="557B4429" w14:textId="64DE041D" w:rsidR="00AB2352" w:rsidRPr="009841AB" w:rsidRDefault="000F4378" w:rsidP="00AB2352">
            <w:pPr>
              <w:pStyle w:val="naisc"/>
              <w:jc w:val="left"/>
              <w:rPr>
                <w:b/>
                <w:bCs/>
              </w:rPr>
            </w:pPr>
            <w:r>
              <w:rPr>
                <w:b/>
                <w:bCs/>
              </w:rPr>
              <w:t>Panākta vienošanās</w:t>
            </w:r>
          </w:p>
          <w:p w14:paraId="74F2C025" w14:textId="77777777" w:rsidR="00AB2352" w:rsidRPr="009841AB" w:rsidRDefault="00AB2352" w:rsidP="00AB2352">
            <w:pPr>
              <w:pStyle w:val="naisc"/>
              <w:jc w:val="left"/>
            </w:pPr>
            <w:r w:rsidRPr="009841AB">
              <w:t>Gan pamatnostādņu dokumentā, gan 1.pielikumā informācija ir strukturēta vienādi:</w:t>
            </w:r>
          </w:p>
          <w:p w14:paraId="1FC230D2" w14:textId="77777777" w:rsidR="00AB2352" w:rsidRPr="009841AB" w:rsidRDefault="00AB2352" w:rsidP="00AB2352">
            <w:pPr>
              <w:pStyle w:val="naisc"/>
              <w:jc w:val="left"/>
            </w:pPr>
            <w:r w:rsidRPr="009841AB">
              <w:t xml:space="preserve">- DTP </w:t>
            </w:r>
            <w:proofErr w:type="spellStart"/>
            <w:r w:rsidRPr="009841AB">
              <w:t>virsmērķis</w:t>
            </w:r>
            <w:proofErr w:type="spellEnd"/>
          </w:p>
          <w:p w14:paraId="77D7B8FC" w14:textId="77777777" w:rsidR="00AB2352" w:rsidRPr="009841AB" w:rsidRDefault="00AB2352" w:rsidP="00AB2352">
            <w:pPr>
              <w:pStyle w:val="naisc"/>
              <w:jc w:val="left"/>
            </w:pPr>
            <w:r w:rsidRPr="009841AB">
              <w:t>- Attīstības virzieni (5)</w:t>
            </w:r>
          </w:p>
          <w:p w14:paraId="29E08D71" w14:textId="77777777" w:rsidR="00AB2352" w:rsidRPr="009841AB" w:rsidRDefault="00AB2352" w:rsidP="00AB2352">
            <w:pPr>
              <w:pStyle w:val="naisc"/>
              <w:jc w:val="left"/>
            </w:pPr>
            <w:r w:rsidRPr="009841AB">
              <w:t>- Mērķis katram attīstības virzienam</w:t>
            </w:r>
          </w:p>
          <w:p w14:paraId="269EDF20" w14:textId="77777777" w:rsidR="00AB2352" w:rsidRPr="009841AB" w:rsidRDefault="00AB2352" w:rsidP="00AB2352">
            <w:pPr>
              <w:pStyle w:val="naisc"/>
              <w:jc w:val="left"/>
            </w:pPr>
            <w:r w:rsidRPr="009841AB">
              <w:lastRenderedPageBreak/>
              <w:t>- Politikas rezultāti katram mērķim</w:t>
            </w:r>
          </w:p>
          <w:p w14:paraId="37E29582" w14:textId="77777777" w:rsidR="00FE0078" w:rsidRPr="009841AB" w:rsidRDefault="00AB2352" w:rsidP="00AB2352">
            <w:pPr>
              <w:pStyle w:val="naisc"/>
              <w:spacing w:before="0" w:after="0"/>
              <w:jc w:val="left"/>
              <w:rPr>
                <w:b/>
                <w:bCs/>
              </w:rPr>
            </w:pPr>
            <w:r w:rsidRPr="009841AB">
              <w:t>- Rezultatīvie rādītāji katram politikas rezultātam</w:t>
            </w:r>
          </w:p>
        </w:tc>
        <w:tc>
          <w:tcPr>
            <w:tcW w:w="3497" w:type="dxa"/>
            <w:tcBorders>
              <w:left w:val="single" w:sz="6" w:space="0" w:color="000000" w:themeColor="text1"/>
              <w:bottom w:val="single" w:sz="4" w:space="0" w:color="auto"/>
            </w:tcBorders>
            <w:shd w:val="clear" w:color="auto" w:fill="auto"/>
          </w:tcPr>
          <w:p w14:paraId="0A8E6FA0" w14:textId="77777777" w:rsidR="00FE0078" w:rsidRPr="009841AB" w:rsidRDefault="00FE0078" w:rsidP="00FE0078">
            <w:pPr>
              <w:pStyle w:val="naisc"/>
              <w:spacing w:before="0" w:after="0"/>
              <w:jc w:val="both"/>
            </w:pPr>
          </w:p>
        </w:tc>
      </w:tr>
      <w:tr w:rsidR="00FE0078" w:rsidRPr="009841AB" w14:paraId="30F538E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CE13AA0" w14:textId="77777777" w:rsidR="00FE0078" w:rsidRPr="009841AB" w:rsidRDefault="007F793A" w:rsidP="00FE0078">
            <w:pPr>
              <w:pStyle w:val="naisc"/>
              <w:spacing w:before="0" w:after="0"/>
            </w:pPr>
            <w:r>
              <w:t>514</w:t>
            </w:r>
          </w:p>
        </w:tc>
        <w:tc>
          <w:tcPr>
            <w:tcW w:w="2427" w:type="dxa"/>
            <w:tcBorders>
              <w:left w:val="single" w:sz="6" w:space="0" w:color="000000" w:themeColor="text1"/>
              <w:bottom w:val="single" w:sz="4" w:space="0" w:color="auto"/>
            </w:tcBorders>
            <w:shd w:val="clear" w:color="auto" w:fill="auto"/>
          </w:tcPr>
          <w:p w14:paraId="5792E07E"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38BB2FD8" w14:textId="77777777" w:rsidR="00FE0078" w:rsidRPr="009841AB" w:rsidRDefault="00FE0078" w:rsidP="00FE0078">
            <w:pPr>
              <w:ind w:right="12"/>
              <w:jc w:val="both"/>
            </w:pPr>
            <w:r w:rsidRPr="009841AB">
              <w:t>2.</w:t>
            </w:r>
            <w:r w:rsidRPr="009841AB">
              <w:tab/>
              <w:t xml:space="preserve">Vēršam uzmanību, ka pamatnostādņu projekta 1.pielikuma politikas rezultāts 4.4. “Tautsaimniecības (t.sk valsts pārvaldes) digitālā transformācija” 4.4.1. punkts par vispārēju sabiedrības apmierinātību ar valsts pārvaldes iestāžu dabu kopumā nav tieši sasaistāms ar politikas rezultātā noteikto digitālo transformāciju. </w:t>
            </w:r>
          </w:p>
        </w:tc>
        <w:tc>
          <w:tcPr>
            <w:tcW w:w="2480" w:type="dxa"/>
            <w:tcBorders>
              <w:left w:val="single" w:sz="6" w:space="0" w:color="000000" w:themeColor="text1"/>
              <w:bottom w:val="single" w:sz="4" w:space="0" w:color="auto"/>
            </w:tcBorders>
            <w:shd w:val="clear" w:color="auto" w:fill="auto"/>
          </w:tcPr>
          <w:p w14:paraId="6F64AAC3" w14:textId="77777777" w:rsidR="000F4378" w:rsidRPr="009841AB" w:rsidRDefault="000F4378" w:rsidP="000F4378">
            <w:pPr>
              <w:pStyle w:val="naisc"/>
              <w:jc w:val="left"/>
              <w:rPr>
                <w:b/>
                <w:bCs/>
              </w:rPr>
            </w:pPr>
            <w:r>
              <w:rPr>
                <w:b/>
                <w:bCs/>
              </w:rPr>
              <w:t>Panākta vienošanās</w:t>
            </w:r>
          </w:p>
          <w:p w14:paraId="7D86D29E" w14:textId="77777777" w:rsidR="00FE0078" w:rsidRPr="009841AB" w:rsidRDefault="00DF3587" w:rsidP="00DF3587">
            <w:pPr>
              <w:pStyle w:val="naisc"/>
              <w:spacing w:before="0" w:after="0"/>
              <w:jc w:val="left"/>
            </w:pPr>
            <w:r w:rsidRPr="009841AB">
              <w:t xml:space="preserve">Valsts pārvaldes pakalpojumu digitālā transformācija nozīmē e-pakalpojumu, d-pakalpojumu attīstību, pakalpojumu sniegšanas automatizāciju, pakalpojumu </w:t>
            </w:r>
            <w:proofErr w:type="spellStart"/>
            <w:r w:rsidRPr="009841AB">
              <w:t>proaktīvu</w:t>
            </w:r>
            <w:proofErr w:type="spellEnd"/>
            <w:r w:rsidRPr="009841AB">
              <w:t xml:space="preserve"> un adaptīvu sniegšanu, kas viss ir tiešā veidā vērsts uz sabiedrības apmierinātības palielināšanu ar pakalpojumiem un valsts pārvaldes darbu kopumā.</w:t>
            </w:r>
          </w:p>
        </w:tc>
        <w:tc>
          <w:tcPr>
            <w:tcW w:w="3497" w:type="dxa"/>
            <w:tcBorders>
              <w:left w:val="single" w:sz="6" w:space="0" w:color="000000" w:themeColor="text1"/>
              <w:bottom w:val="single" w:sz="4" w:space="0" w:color="auto"/>
            </w:tcBorders>
            <w:shd w:val="clear" w:color="auto" w:fill="auto"/>
          </w:tcPr>
          <w:p w14:paraId="384B046A" w14:textId="77777777" w:rsidR="00FE0078" w:rsidRPr="009841AB" w:rsidRDefault="00FE0078" w:rsidP="00FE0078">
            <w:pPr>
              <w:pStyle w:val="naisc"/>
              <w:spacing w:before="0" w:after="0"/>
              <w:jc w:val="both"/>
            </w:pPr>
          </w:p>
        </w:tc>
      </w:tr>
      <w:tr w:rsidR="00FE0078" w:rsidRPr="009841AB" w14:paraId="0487A28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A944943" w14:textId="77777777" w:rsidR="00FE0078" w:rsidRPr="009841AB" w:rsidRDefault="007F793A" w:rsidP="00FE0078">
            <w:pPr>
              <w:pStyle w:val="naisc"/>
              <w:spacing w:before="0" w:after="0"/>
            </w:pPr>
            <w:r>
              <w:t>515</w:t>
            </w:r>
          </w:p>
        </w:tc>
        <w:tc>
          <w:tcPr>
            <w:tcW w:w="2427" w:type="dxa"/>
            <w:tcBorders>
              <w:left w:val="single" w:sz="6" w:space="0" w:color="000000" w:themeColor="text1"/>
              <w:bottom w:val="single" w:sz="4" w:space="0" w:color="auto"/>
            </w:tcBorders>
            <w:shd w:val="clear" w:color="auto" w:fill="auto"/>
          </w:tcPr>
          <w:p w14:paraId="35CB5F4A"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56136C74" w14:textId="77777777" w:rsidR="00FE0078" w:rsidRPr="009841AB" w:rsidRDefault="00FE0078" w:rsidP="00FE0078">
            <w:pPr>
              <w:ind w:right="12"/>
              <w:jc w:val="both"/>
            </w:pPr>
            <w:r w:rsidRPr="009841AB">
              <w:t>3.</w:t>
            </w:r>
            <w:r w:rsidRPr="009841AB">
              <w:tab/>
              <w:t xml:space="preserve">Lūdzam pamatnostādņu projekta 1.pielikumā rezultatīvā rādītāja “4.4.-6-2 iestādes iekšējo procesu un </w:t>
            </w:r>
            <w:proofErr w:type="spellStart"/>
            <w:r w:rsidRPr="009841AB">
              <w:t>starpiestāžu</w:t>
            </w:r>
            <w:proofErr w:type="spellEnd"/>
            <w:r w:rsidRPr="009841AB">
              <w:t xml:space="preserve"> sadarbības automatizācija” piezīmes papildināt ar iekšējā audita un iekšējā audita politikas jomu. </w:t>
            </w:r>
          </w:p>
        </w:tc>
        <w:tc>
          <w:tcPr>
            <w:tcW w:w="2480" w:type="dxa"/>
            <w:tcBorders>
              <w:left w:val="single" w:sz="6" w:space="0" w:color="000000" w:themeColor="text1"/>
              <w:bottom w:val="single" w:sz="4" w:space="0" w:color="auto"/>
            </w:tcBorders>
            <w:shd w:val="clear" w:color="auto" w:fill="auto"/>
          </w:tcPr>
          <w:p w14:paraId="42347E6C" w14:textId="77777777" w:rsidR="00FE0078" w:rsidRPr="009841AB" w:rsidRDefault="7DD1557D"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72E2DEBB" w14:textId="77777777" w:rsidR="00FE0078" w:rsidRPr="009841AB" w:rsidRDefault="00FE0078" w:rsidP="00FE0078">
            <w:pPr>
              <w:pStyle w:val="naisc"/>
              <w:spacing w:before="0" w:after="0"/>
              <w:jc w:val="both"/>
            </w:pPr>
          </w:p>
        </w:tc>
      </w:tr>
      <w:tr w:rsidR="00FE0078" w:rsidRPr="009841AB" w14:paraId="692476D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2739D03" w14:textId="77777777" w:rsidR="00FE0078" w:rsidRPr="009841AB" w:rsidRDefault="007F793A" w:rsidP="00FE0078">
            <w:pPr>
              <w:pStyle w:val="naisc"/>
              <w:spacing w:before="0" w:after="0"/>
            </w:pPr>
            <w:r>
              <w:t>516</w:t>
            </w:r>
          </w:p>
        </w:tc>
        <w:tc>
          <w:tcPr>
            <w:tcW w:w="2427" w:type="dxa"/>
            <w:tcBorders>
              <w:left w:val="single" w:sz="6" w:space="0" w:color="000000" w:themeColor="text1"/>
              <w:bottom w:val="single" w:sz="4" w:space="0" w:color="auto"/>
            </w:tcBorders>
            <w:shd w:val="clear" w:color="auto" w:fill="auto"/>
          </w:tcPr>
          <w:p w14:paraId="085B7939"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38464039" w14:textId="77777777" w:rsidR="00FE0078" w:rsidRPr="009841AB" w:rsidRDefault="00FE0078" w:rsidP="00FE0078">
            <w:pPr>
              <w:ind w:right="12"/>
              <w:jc w:val="both"/>
            </w:pPr>
            <w:r w:rsidRPr="009841AB">
              <w:t>4.</w:t>
            </w:r>
            <w:r w:rsidRPr="009841AB">
              <w:tab/>
              <w:t xml:space="preserve">Lūdzam norādīt pamatnostādņu projekta 1.pielikuma sasaisti ar Nacionālo attīstības plānu 2021.-2027. gadam (turpmāk – NAP), norādot sasaisti ar NAP noteiktajiem indikatoriem. </w:t>
            </w:r>
          </w:p>
        </w:tc>
        <w:tc>
          <w:tcPr>
            <w:tcW w:w="2480" w:type="dxa"/>
            <w:tcBorders>
              <w:left w:val="single" w:sz="6" w:space="0" w:color="000000" w:themeColor="text1"/>
              <w:bottom w:val="single" w:sz="4" w:space="0" w:color="auto"/>
            </w:tcBorders>
            <w:shd w:val="clear" w:color="auto" w:fill="auto"/>
          </w:tcPr>
          <w:p w14:paraId="7A1A8D3D" w14:textId="77777777" w:rsidR="00FE0078" w:rsidRPr="009841AB" w:rsidRDefault="67A0C394"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67A968C0" w14:textId="77777777" w:rsidR="00FE0078" w:rsidRPr="009841AB" w:rsidRDefault="67A0C394" w:rsidP="00FE0078">
            <w:pPr>
              <w:pStyle w:val="naisc"/>
              <w:spacing w:before="0" w:after="0"/>
              <w:jc w:val="both"/>
            </w:pPr>
            <w:r w:rsidRPr="009841AB">
              <w:t>Skat. Pamatnostādņu 1.pieliuma piezīmju sadaļu</w:t>
            </w:r>
          </w:p>
        </w:tc>
      </w:tr>
      <w:tr w:rsidR="00FE0078" w:rsidRPr="009841AB" w14:paraId="3E8AD55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6F14325" w14:textId="77777777" w:rsidR="00FE0078" w:rsidRPr="009841AB" w:rsidRDefault="007F793A" w:rsidP="00FE0078">
            <w:pPr>
              <w:pStyle w:val="naisc"/>
              <w:spacing w:before="0" w:after="0"/>
            </w:pPr>
            <w:r>
              <w:lastRenderedPageBreak/>
              <w:t>517</w:t>
            </w:r>
          </w:p>
        </w:tc>
        <w:tc>
          <w:tcPr>
            <w:tcW w:w="2427" w:type="dxa"/>
            <w:tcBorders>
              <w:left w:val="single" w:sz="6" w:space="0" w:color="000000" w:themeColor="text1"/>
              <w:bottom w:val="single" w:sz="4" w:space="0" w:color="auto"/>
            </w:tcBorders>
            <w:shd w:val="clear" w:color="auto" w:fill="auto"/>
          </w:tcPr>
          <w:p w14:paraId="60A9BF20"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6B1622E9" w14:textId="77777777" w:rsidR="00FE0078" w:rsidRPr="009841AB" w:rsidRDefault="00FE0078" w:rsidP="00FE0078">
            <w:pPr>
              <w:ind w:right="12"/>
              <w:jc w:val="both"/>
            </w:pPr>
            <w:r w:rsidRPr="009841AB">
              <w:t>5.</w:t>
            </w:r>
            <w:r w:rsidRPr="009841AB">
              <w:tab/>
              <w:t>Lūdzam norādīt pamatnostādņu projekta 2.pielikuma “Rīcības virzieni un uzdevumi” sasaisti ar pamatnostādņu 1.pielikumā noteiktajiem rādītājiem.</w:t>
            </w:r>
          </w:p>
        </w:tc>
        <w:tc>
          <w:tcPr>
            <w:tcW w:w="2480" w:type="dxa"/>
            <w:tcBorders>
              <w:left w:val="single" w:sz="6" w:space="0" w:color="000000" w:themeColor="text1"/>
              <w:bottom w:val="single" w:sz="4" w:space="0" w:color="auto"/>
            </w:tcBorders>
            <w:shd w:val="clear" w:color="auto" w:fill="auto"/>
          </w:tcPr>
          <w:p w14:paraId="4B464140" w14:textId="77777777" w:rsidR="00FE0078" w:rsidRPr="009841AB" w:rsidRDefault="010CC5D7"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614210C9" w14:textId="77777777" w:rsidR="00FE0078" w:rsidRPr="009841AB" w:rsidRDefault="010CC5D7" w:rsidP="00FE0078">
            <w:pPr>
              <w:pStyle w:val="naisc"/>
              <w:spacing w:before="0" w:after="0"/>
              <w:jc w:val="both"/>
            </w:pPr>
            <w:r w:rsidRPr="009841AB">
              <w:t>Skat. Pamatnostādņu 6.sadaļu "Pielikumi"</w:t>
            </w:r>
          </w:p>
        </w:tc>
      </w:tr>
      <w:tr w:rsidR="00FE0078" w:rsidRPr="009841AB" w14:paraId="6DB2094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F287BFE" w14:textId="77777777" w:rsidR="00FE0078" w:rsidRPr="009841AB" w:rsidRDefault="007F793A" w:rsidP="00FE0078">
            <w:pPr>
              <w:pStyle w:val="naisc"/>
              <w:spacing w:before="0" w:after="0"/>
            </w:pPr>
            <w:r>
              <w:t>518</w:t>
            </w:r>
          </w:p>
        </w:tc>
        <w:tc>
          <w:tcPr>
            <w:tcW w:w="2427" w:type="dxa"/>
            <w:tcBorders>
              <w:left w:val="single" w:sz="6" w:space="0" w:color="000000" w:themeColor="text1"/>
              <w:bottom w:val="single" w:sz="4" w:space="0" w:color="auto"/>
            </w:tcBorders>
            <w:shd w:val="clear" w:color="auto" w:fill="auto"/>
          </w:tcPr>
          <w:p w14:paraId="7F29C158"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7FEB59C1" w14:textId="77777777" w:rsidR="00FE0078" w:rsidRPr="009841AB" w:rsidRDefault="00FE0078" w:rsidP="00FE0078">
            <w:pPr>
              <w:ind w:right="12"/>
              <w:jc w:val="both"/>
            </w:pPr>
            <w:r w:rsidRPr="009841AB">
              <w:t>6.</w:t>
            </w:r>
            <w:r w:rsidRPr="009841AB">
              <w:tab/>
              <w:t>Lūdzam papildināt pamatnostādņu projekta 3.pielikumu “Indikatīvais ietekmes novērtējums uz valsts un pašvaldību budžetiem” ar detalizētāku informāciju par plānotā finansējuma sasaisti ar pamatnostādņu noteiktajiem attīstības/rīcības virzieniem un to ietvaros veicamajiem uzdevumiem. Tāpat lūdzam norādīt, saskaņā ar ko noteikts indikatīvā finansējuma apmērs.</w:t>
            </w:r>
          </w:p>
        </w:tc>
        <w:tc>
          <w:tcPr>
            <w:tcW w:w="2480" w:type="dxa"/>
            <w:tcBorders>
              <w:left w:val="single" w:sz="6" w:space="0" w:color="000000" w:themeColor="text1"/>
              <w:bottom w:val="single" w:sz="4" w:space="0" w:color="auto"/>
            </w:tcBorders>
            <w:shd w:val="clear" w:color="auto" w:fill="auto"/>
          </w:tcPr>
          <w:p w14:paraId="02DF4D02" w14:textId="77777777" w:rsidR="00FE0078" w:rsidRPr="009841AB" w:rsidRDefault="00FE0078"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4B99FDFF" w14:textId="77777777" w:rsidR="00FE0078" w:rsidRPr="009841AB" w:rsidRDefault="00FE0078" w:rsidP="00FE0078">
            <w:pPr>
              <w:pStyle w:val="naisc"/>
              <w:spacing w:before="0" w:after="0"/>
              <w:jc w:val="left"/>
            </w:pPr>
            <w:r w:rsidRPr="009841AB">
              <w:t>Lūdzam skatīt 3.pielikumu</w:t>
            </w:r>
          </w:p>
        </w:tc>
      </w:tr>
      <w:tr w:rsidR="00FE0078" w:rsidRPr="009841AB" w14:paraId="1606220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21B2AB5" w14:textId="77777777" w:rsidR="00FE0078" w:rsidRPr="009841AB" w:rsidRDefault="00FE0078" w:rsidP="00FE0078">
            <w:pPr>
              <w:pStyle w:val="naisc"/>
              <w:spacing w:before="0" w:after="0"/>
            </w:pPr>
          </w:p>
        </w:tc>
        <w:tc>
          <w:tcPr>
            <w:tcW w:w="2427" w:type="dxa"/>
            <w:tcBorders>
              <w:left w:val="single" w:sz="6" w:space="0" w:color="000000" w:themeColor="text1"/>
              <w:bottom w:val="single" w:sz="4" w:space="0" w:color="auto"/>
            </w:tcBorders>
            <w:shd w:val="clear" w:color="auto" w:fill="auto"/>
          </w:tcPr>
          <w:p w14:paraId="47423EE4" w14:textId="77777777" w:rsidR="00FE0078" w:rsidRPr="009841AB" w:rsidRDefault="00FE0078" w:rsidP="00FE0078">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53738233" w14:textId="77777777" w:rsidR="00FE0078" w:rsidRPr="009841AB" w:rsidRDefault="00FE0078" w:rsidP="00FE0078">
            <w:pPr>
              <w:ind w:right="12"/>
              <w:jc w:val="both"/>
              <w:rPr>
                <w:b/>
                <w:bCs/>
              </w:rPr>
            </w:pPr>
            <w:r w:rsidRPr="009841AB">
              <w:rPr>
                <w:b/>
                <w:bCs/>
              </w:rPr>
              <w:t>Priekšlikumi:</w:t>
            </w:r>
          </w:p>
        </w:tc>
        <w:tc>
          <w:tcPr>
            <w:tcW w:w="2480" w:type="dxa"/>
            <w:tcBorders>
              <w:left w:val="single" w:sz="6" w:space="0" w:color="000000" w:themeColor="text1"/>
              <w:bottom w:val="single" w:sz="4" w:space="0" w:color="auto"/>
            </w:tcBorders>
            <w:shd w:val="clear" w:color="auto" w:fill="auto"/>
          </w:tcPr>
          <w:p w14:paraId="1156C269" w14:textId="77777777" w:rsidR="00FE0078" w:rsidRPr="009841AB" w:rsidRDefault="00FE0078"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486CEE7E" w14:textId="77777777" w:rsidR="00FE0078" w:rsidRPr="009841AB" w:rsidRDefault="00FE0078" w:rsidP="00FE0078">
            <w:pPr>
              <w:pStyle w:val="naisc"/>
              <w:spacing w:before="0" w:after="0"/>
              <w:jc w:val="both"/>
            </w:pPr>
          </w:p>
        </w:tc>
      </w:tr>
      <w:tr w:rsidR="00FE0078" w:rsidRPr="009841AB" w14:paraId="55738DF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454409C" w14:textId="77777777" w:rsidR="00FE0078" w:rsidRPr="009841AB" w:rsidRDefault="00372E6D" w:rsidP="00FE0078">
            <w:pPr>
              <w:pStyle w:val="naisc"/>
              <w:spacing w:before="0" w:after="0"/>
            </w:pPr>
            <w:r>
              <w:t>519</w:t>
            </w:r>
          </w:p>
        </w:tc>
        <w:tc>
          <w:tcPr>
            <w:tcW w:w="2427" w:type="dxa"/>
            <w:tcBorders>
              <w:left w:val="single" w:sz="6" w:space="0" w:color="000000" w:themeColor="text1"/>
              <w:bottom w:val="single" w:sz="4" w:space="0" w:color="auto"/>
            </w:tcBorders>
            <w:shd w:val="clear" w:color="auto" w:fill="auto"/>
          </w:tcPr>
          <w:p w14:paraId="2F3F60E3"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2D74B17E" w14:textId="77777777" w:rsidR="00FE0078" w:rsidRPr="009841AB" w:rsidRDefault="00FE0078" w:rsidP="00FE0078">
            <w:pPr>
              <w:ind w:right="12"/>
              <w:jc w:val="both"/>
            </w:pPr>
            <w:r w:rsidRPr="009841AB">
              <w:t>Lūdzam svītrot pamatnostādņu projekta 3.pielikuma “Indikatīvais ietekmes novērtējums uz valsts un pašvaldību budžetiem” kolonnu “Finansējums kopā” un kolonnu “Piezīmes”, ņemot vērā, ka tādas kolonnas nav paredzētas Ministru kabineta 2014.gada 2.decembra noteikumu Nr.737 “Attīstības plānošanas dokumentu izstrādes un ietekmes izvērtēšanas noteikumi” 1.pielikumā noteiktajā formā.</w:t>
            </w:r>
          </w:p>
        </w:tc>
        <w:tc>
          <w:tcPr>
            <w:tcW w:w="2480" w:type="dxa"/>
            <w:tcBorders>
              <w:left w:val="single" w:sz="6" w:space="0" w:color="000000" w:themeColor="text1"/>
              <w:bottom w:val="single" w:sz="4" w:space="0" w:color="auto"/>
            </w:tcBorders>
            <w:shd w:val="clear" w:color="auto" w:fill="auto"/>
          </w:tcPr>
          <w:p w14:paraId="70C9FE1F" w14:textId="77777777" w:rsidR="00D505D6" w:rsidRPr="009841AB" w:rsidRDefault="00D505D6" w:rsidP="00D505D6">
            <w:pPr>
              <w:pStyle w:val="naisc"/>
              <w:jc w:val="left"/>
              <w:rPr>
                <w:b/>
                <w:bCs/>
              </w:rPr>
            </w:pPr>
            <w:r w:rsidRPr="009841AB">
              <w:rPr>
                <w:b/>
                <w:bCs/>
              </w:rPr>
              <w:t>Ņemts vērā</w:t>
            </w:r>
          </w:p>
          <w:p w14:paraId="1026D2D1" w14:textId="77777777" w:rsidR="00D505D6" w:rsidRPr="009841AB" w:rsidRDefault="00D505D6" w:rsidP="00D505D6">
            <w:pPr>
              <w:pStyle w:val="naisc"/>
              <w:jc w:val="left"/>
            </w:pPr>
            <w:r w:rsidRPr="009841AB">
              <w:t>Kolonna "Piezīmes" izdzēsta</w:t>
            </w:r>
          </w:p>
          <w:p w14:paraId="3C72509A" w14:textId="77777777" w:rsidR="00FE0078" w:rsidRPr="009841AB" w:rsidRDefault="00D505D6" w:rsidP="00D505D6">
            <w:pPr>
              <w:pStyle w:val="naisc"/>
              <w:spacing w:before="0" w:after="0"/>
              <w:jc w:val="left"/>
              <w:rPr>
                <w:b/>
                <w:bCs/>
              </w:rPr>
            </w:pPr>
            <w:r w:rsidRPr="009841AB">
              <w:t>Kolonna "Finansējums kopā" izdzēsta</w:t>
            </w:r>
          </w:p>
        </w:tc>
        <w:tc>
          <w:tcPr>
            <w:tcW w:w="3497" w:type="dxa"/>
            <w:tcBorders>
              <w:left w:val="single" w:sz="6" w:space="0" w:color="000000" w:themeColor="text1"/>
              <w:bottom w:val="single" w:sz="4" w:space="0" w:color="auto"/>
            </w:tcBorders>
            <w:shd w:val="clear" w:color="auto" w:fill="auto"/>
          </w:tcPr>
          <w:p w14:paraId="088AF206" w14:textId="77777777" w:rsidR="00FE0078" w:rsidRPr="009841AB" w:rsidRDefault="00FE0078" w:rsidP="00FE0078">
            <w:pPr>
              <w:pStyle w:val="naisc"/>
              <w:spacing w:before="0" w:after="0"/>
              <w:jc w:val="both"/>
            </w:pPr>
          </w:p>
        </w:tc>
      </w:tr>
      <w:tr w:rsidR="00C857FC" w:rsidRPr="009841AB" w14:paraId="2A0708B1"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D1B43DB" w14:textId="77777777" w:rsidR="00C857FC" w:rsidRPr="009841AB" w:rsidRDefault="00C857FC" w:rsidP="00C857FC">
            <w:pPr>
              <w:pStyle w:val="naisc"/>
              <w:spacing w:before="0" w:after="0"/>
              <w:jc w:val="both"/>
            </w:pPr>
            <w:r w:rsidRPr="009841AB">
              <w:rPr>
                <w:b/>
                <w:bCs/>
                <w:lang w:eastAsia="en-US"/>
              </w:rPr>
              <w:t>Finanšu ministrijas 0</w:t>
            </w:r>
            <w:r>
              <w:rPr>
                <w:b/>
                <w:bCs/>
                <w:lang w:eastAsia="en-US"/>
              </w:rPr>
              <w:t>5</w:t>
            </w:r>
            <w:r w:rsidRPr="009841AB">
              <w:rPr>
                <w:b/>
                <w:bCs/>
                <w:lang w:eastAsia="en-US"/>
              </w:rPr>
              <w:t>.0</w:t>
            </w:r>
            <w:r>
              <w:rPr>
                <w:b/>
                <w:bCs/>
                <w:lang w:eastAsia="en-US"/>
              </w:rPr>
              <w:t>5</w:t>
            </w:r>
            <w:r w:rsidRPr="009841AB">
              <w:rPr>
                <w:b/>
                <w:bCs/>
                <w:lang w:eastAsia="en-US"/>
              </w:rPr>
              <w:t>.2021. atzinums:</w:t>
            </w:r>
          </w:p>
        </w:tc>
      </w:tr>
      <w:tr w:rsidR="00C857FC" w:rsidRPr="009841AB" w14:paraId="189C08A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AE549DC" w14:textId="77777777" w:rsidR="00C857FC" w:rsidRPr="009841AB" w:rsidRDefault="00372E6D" w:rsidP="00C857FC">
            <w:pPr>
              <w:pStyle w:val="naisc"/>
              <w:spacing w:before="0" w:after="0"/>
            </w:pPr>
            <w:r>
              <w:t>520</w:t>
            </w:r>
          </w:p>
        </w:tc>
        <w:tc>
          <w:tcPr>
            <w:tcW w:w="2427" w:type="dxa"/>
            <w:tcBorders>
              <w:left w:val="single" w:sz="6" w:space="0" w:color="000000" w:themeColor="text1"/>
              <w:bottom w:val="single" w:sz="4" w:space="0" w:color="auto"/>
            </w:tcBorders>
            <w:shd w:val="clear" w:color="auto" w:fill="auto"/>
          </w:tcPr>
          <w:p w14:paraId="794F7BC6" w14:textId="77777777" w:rsidR="00C857FC" w:rsidRPr="009841AB" w:rsidRDefault="00C857FC" w:rsidP="00C857FC">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794C48B2" w14:textId="77777777" w:rsidR="00C857FC" w:rsidRPr="009841AB" w:rsidRDefault="00C857FC" w:rsidP="00C857FC">
            <w:pPr>
              <w:ind w:right="12"/>
              <w:jc w:val="both"/>
            </w:pPr>
            <w:r>
              <w:t xml:space="preserve">1. </w:t>
            </w:r>
            <w:r w:rsidRPr="00E67BDD">
              <w:t xml:space="preserve">Pamatnostādņu projekta 3.pielikumā 4.1.6.-1 uzdevumam “Ārstniecības personu digitālo prasmju pilnveide, tai skaitā darbam ar veselības informācijas sistēmu, </w:t>
            </w:r>
            <w:proofErr w:type="spellStart"/>
            <w:r w:rsidRPr="00E67BDD">
              <w:t>telemedicīnas</w:t>
            </w:r>
            <w:proofErr w:type="spellEnd"/>
            <w:r w:rsidRPr="00E67BDD">
              <w:t xml:space="preserve"> rīku izmantošanā darbā ar pacientiem, konsultāciju sniegšanai un pacientu slimības gaitas uzraudzības rādītāju uzskaitei; Ārstniecības personu profesionālās kompetences pilnveide izmantojot digitālos rīkus” norādīts, kas būs nepieciešams finansējums no valsts budžeta, norādot atsauci uz Sabiedrības veselības pamatnostādnes 2021.-2027. gadam 4.2.2.uzdevumu. Vēršam uzmanību, ka Veselības ministrijas izstrādātais pamatnostādņu projekts “Sabiedrības veselības pamatnostādnes 2021.-2027. gadam” vēl ir </w:t>
            </w:r>
            <w:r w:rsidRPr="00E67BDD">
              <w:lastRenderedPageBreak/>
              <w:t>saskaņošanas stadijā un tā 5.pielikumā 4.2.2.uzdevuma īstenošanu paredzēts finansēt ES politiku instrumentu un pārējās ārvalstu finanšu palīdzības instrumentu ietvaros. Ņemot vērā minēto, lūdzam precizēt finansējumu avotu pamatnostādņu projekta 3.pielikumā 4.1.6.-1 uzdevumam, attiecīgi “valsts pamatfunkciju īstenošana” norādot “0” un finansējumu norādīt rindā “ES politiku instrumentu un pārējās ārvalstu finanšu palīdzības līdzfinansēto projektu un pasākumu īstenošana”.</w:t>
            </w:r>
          </w:p>
        </w:tc>
        <w:tc>
          <w:tcPr>
            <w:tcW w:w="2480" w:type="dxa"/>
            <w:tcBorders>
              <w:left w:val="single" w:sz="6" w:space="0" w:color="000000" w:themeColor="text1"/>
              <w:bottom w:val="single" w:sz="4" w:space="0" w:color="auto"/>
            </w:tcBorders>
            <w:shd w:val="clear" w:color="auto" w:fill="auto"/>
          </w:tcPr>
          <w:p w14:paraId="7E8DD8E9" w14:textId="77777777" w:rsidR="00C857FC" w:rsidRPr="009841AB" w:rsidRDefault="00C857FC" w:rsidP="00C857FC">
            <w:pPr>
              <w:pStyle w:val="naisc"/>
              <w:jc w:val="left"/>
              <w:rPr>
                <w:b/>
                <w:bCs/>
              </w:rPr>
            </w:pPr>
            <w:r>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22C7536A" w14:textId="77777777" w:rsidR="00C857FC" w:rsidRDefault="00C857FC" w:rsidP="00C857FC">
            <w:pPr>
              <w:pStyle w:val="naisc"/>
              <w:spacing w:before="0" w:after="0"/>
              <w:jc w:val="both"/>
            </w:pPr>
            <w:r>
              <w:t>Lūdzu skat. 3.pielikumu</w:t>
            </w:r>
          </w:p>
          <w:p w14:paraId="53D7CB38" w14:textId="77777777" w:rsidR="00C857FC" w:rsidRPr="009841AB" w:rsidRDefault="00C857FC" w:rsidP="00C857FC">
            <w:pPr>
              <w:pStyle w:val="naisc"/>
              <w:spacing w:before="0" w:after="0"/>
              <w:jc w:val="both"/>
            </w:pPr>
          </w:p>
        </w:tc>
      </w:tr>
      <w:tr w:rsidR="00C857FC" w:rsidRPr="009841AB" w14:paraId="56CBE54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50491F6" w14:textId="77777777" w:rsidR="00C857FC" w:rsidRPr="009841AB" w:rsidRDefault="00372E6D" w:rsidP="00C857FC">
            <w:pPr>
              <w:pStyle w:val="naisc"/>
              <w:spacing w:before="0" w:after="0"/>
            </w:pPr>
            <w:r>
              <w:t>521</w:t>
            </w:r>
          </w:p>
        </w:tc>
        <w:tc>
          <w:tcPr>
            <w:tcW w:w="2427" w:type="dxa"/>
            <w:tcBorders>
              <w:left w:val="single" w:sz="6" w:space="0" w:color="000000" w:themeColor="text1"/>
              <w:bottom w:val="single" w:sz="4" w:space="0" w:color="auto"/>
            </w:tcBorders>
            <w:shd w:val="clear" w:color="auto" w:fill="auto"/>
          </w:tcPr>
          <w:p w14:paraId="0B60530D" w14:textId="77777777" w:rsidR="00C857FC" w:rsidRPr="009841AB" w:rsidRDefault="00C857FC" w:rsidP="00C857FC">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095ED48C" w14:textId="77777777" w:rsidR="00C857FC" w:rsidRDefault="00C857FC" w:rsidP="00C857FC">
            <w:pPr>
              <w:ind w:right="12"/>
              <w:jc w:val="both"/>
            </w:pPr>
            <w:r>
              <w:t xml:space="preserve">2. </w:t>
            </w:r>
            <w:r w:rsidRPr="00E67BDD">
              <w:t xml:space="preserve">Pamatnostādņu projekta 3.pielikumā 4.3.1.1.-1 uzdevumam “Nodrošināts 5G mobilo sakaru pārklājums gar VIA </w:t>
            </w:r>
            <w:proofErr w:type="spellStart"/>
            <w:r w:rsidRPr="00E67BDD">
              <w:t>Baltica</w:t>
            </w:r>
            <w:proofErr w:type="spellEnd"/>
            <w:r w:rsidRPr="00E67BDD">
              <w:t xml:space="preserve"> transporta koridoru” un 4.3.1.1.-2 uzdevumam “Nodrošināta pasīvā infrastruktūra 5G mobilo sakaru tīkla izvēršanai Rail </w:t>
            </w:r>
            <w:proofErr w:type="spellStart"/>
            <w:r w:rsidRPr="00E67BDD">
              <w:t>Baltica</w:t>
            </w:r>
            <w:proofErr w:type="spellEnd"/>
            <w:r w:rsidRPr="00E67BDD">
              <w:t xml:space="preserve"> dzelzceļa līnijas trasē” norādīts, kas būs nepieciešams finansējums no valsts budžeta, norādot atsauci uz Transporta attīstības pamatnostādnes 2021. 2027. gadam. Vēršam uzmanību, ka Satiksmes ministrijas izstrādātais pamatnostādņu projekts “Transporta attīstības pamatnostādnes 2021.-2027. gadam” vēl ir saskaņošanas stadijā un no tā 5.pielikumā sniegtās informācijas ir secināms, ka valsts budžeta finansējums šiem uzdevumiem nepieciešams, kā valsts budžeta līdzfinansējums ES politiku instrumentu un pārējās ārvalstu finanšu palīdzības līdzfinansēto projektu un pasākumu īstenošanai. Ņemot vērā minēto, lūdzam veikt precizējumu, lai informācija starp abiem pamatnostādņu projektiem nav pretrunīga.</w:t>
            </w:r>
          </w:p>
        </w:tc>
        <w:tc>
          <w:tcPr>
            <w:tcW w:w="2480" w:type="dxa"/>
            <w:tcBorders>
              <w:left w:val="single" w:sz="6" w:space="0" w:color="000000" w:themeColor="text1"/>
              <w:bottom w:val="single" w:sz="4" w:space="0" w:color="auto"/>
            </w:tcBorders>
            <w:shd w:val="clear" w:color="auto" w:fill="auto"/>
          </w:tcPr>
          <w:p w14:paraId="160CA287" w14:textId="77777777" w:rsidR="00C857FC" w:rsidRDefault="00C857FC" w:rsidP="00C857FC">
            <w:pPr>
              <w:pStyle w:val="naisc"/>
              <w:jc w:val="left"/>
              <w:rPr>
                <w:b/>
                <w:bCs/>
              </w:rPr>
            </w:pPr>
            <w:r>
              <w:rPr>
                <w:b/>
                <w:bCs/>
              </w:rPr>
              <w:t>Ņemts vērā</w:t>
            </w:r>
          </w:p>
          <w:p w14:paraId="7DC3DA33" w14:textId="77777777" w:rsidR="00C857FC" w:rsidRDefault="00C857FC" w:rsidP="00C857FC">
            <w:pPr>
              <w:pStyle w:val="naisc"/>
              <w:jc w:val="left"/>
            </w:pPr>
            <w:r w:rsidRPr="00BA317E">
              <w:t>Aktua</w:t>
            </w:r>
            <w:r>
              <w:t>lizēts, atbilstoši Satiksmes ministrijas 30.04.2021. iesniegtajai aktuālajai informācijai</w:t>
            </w:r>
          </w:p>
          <w:p w14:paraId="5D96C977" w14:textId="77777777" w:rsidR="00C857FC" w:rsidRPr="00BA317E" w:rsidRDefault="00C857FC" w:rsidP="00C857FC">
            <w:pPr>
              <w:pStyle w:val="naisc"/>
              <w:jc w:val="left"/>
            </w:pPr>
          </w:p>
        </w:tc>
        <w:tc>
          <w:tcPr>
            <w:tcW w:w="3497" w:type="dxa"/>
            <w:tcBorders>
              <w:left w:val="single" w:sz="6" w:space="0" w:color="000000" w:themeColor="text1"/>
              <w:bottom w:val="single" w:sz="4" w:space="0" w:color="auto"/>
            </w:tcBorders>
            <w:shd w:val="clear" w:color="auto" w:fill="auto"/>
          </w:tcPr>
          <w:p w14:paraId="7CBBCCA5" w14:textId="77777777" w:rsidR="00C857FC" w:rsidRDefault="00C857FC" w:rsidP="00C857FC">
            <w:pPr>
              <w:pStyle w:val="naisc"/>
              <w:spacing w:before="0" w:after="0"/>
              <w:jc w:val="both"/>
            </w:pPr>
            <w:r>
              <w:t>Lūdzu skat. 3.pielikumu</w:t>
            </w:r>
          </w:p>
          <w:p w14:paraId="4BA6BDCB" w14:textId="77777777" w:rsidR="00C857FC" w:rsidRPr="009841AB" w:rsidRDefault="00C857FC" w:rsidP="00C857FC">
            <w:pPr>
              <w:pStyle w:val="naisc"/>
              <w:spacing w:before="0" w:after="0"/>
              <w:jc w:val="both"/>
            </w:pPr>
          </w:p>
        </w:tc>
      </w:tr>
      <w:tr w:rsidR="00C857FC" w:rsidRPr="009841AB" w14:paraId="4AF9BCA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7285233" w14:textId="77777777" w:rsidR="00C857FC" w:rsidRPr="009841AB" w:rsidRDefault="00372E6D" w:rsidP="00C857FC">
            <w:pPr>
              <w:pStyle w:val="naisc"/>
              <w:spacing w:before="0" w:after="0"/>
            </w:pPr>
            <w:r>
              <w:t>522</w:t>
            </w:r>
          </w:p>
        </w:tc>
        <w:tc>
          <w:tcPr>
            <w:tcW w:w="2427" w:type="dxa"/>
            <w:tcBorders>
              <w:left w:val="single" w:sz="6" w:space="0" w:color="000000" w:themeColor="text1"/>
              <w:bottom w:val="single" w:sz="4" w:space="0" w:color="auto"/>
            </w:tcBorders>
            <w:shd w:val="clear" w:color="auto" w:fill="auto"/>
          </w:tcPr>
          <w:p w14:paraId="10E65435" w14:textId="77777777" w:rsidR="00C857FC" w:rsidRPr="009841AB" w:rsidRDefault="00C857FC" w:rsidP="00C857FC">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6F393B62" w14:textId="77777777" w:rsidR="00C857FC" w:rsidRDefault="00C857FC" w:rsidP="00C857FC">
            <w:pPr>
              <w:ind w:right="12"/>
              <w:jc w:val="both"/>
            </w:pPr>
            <w:r>
              <w:t xml:space="preserve">3. </w:t>
            </w:r>
            <w:r w:rsidRPr="00E67BDD">
              <w:t xml:space="preserve">Pamatnostādņu projekta 3.pielikumā 4.5.2.-1 uzdevumam “Izveidot un īstenot plānu Viedo pašvaldību inovāciju ekosistēmas izveidei un attīstībai” norādīts, kas būs nepieciešams finansējums no valsts budžeta, norādot atsauci uz “Reģionālās </w:t>
            </w:r>
            <w:r w:rsidRPr="00E67BDD">
              <w:lastRenderedPageBreak/>
              <w:t>politikas pamatnostādnes 2021.-2027. gadam” B.1.3.uzdevumu. Vēršam uzmanību, ka ar Ministru kabineta 2019.gada 26.novembra rīkojumu Nr.587 “Par Reģionālās politikas pamatnostādnēm 2021.-2027. gadam” apstiprinātajās pamatnostādnēs B.1.3.uzdevuma finansējuma avoti ir pašvaldību budžets un ES politiku instrumentu un pārējās ārvalstu finanšu palīdzības instrumentu finansējums. Ņemot vērā minēto, lūdzam precizēt finansējumu avotu pamatnostādņu projekta 3.pielikumā 4.5.2.-1 uzdevumam, attiecīgi “valsts pamatfunkciju īstenošanai” norādīt “0” un finansējumu norādīt pie pašvaldību budžeta.</w:t>
            </w:r>
          </w:p>
        </w:tc>
        <w:tc>
          <w:tcPr>
            <w:tcW w:w="2480" w:type="dxa"/>
            <w:tcBorders>
              <w:left w:val="single" w:sz="6" w:space="0" w:color="000000" w:themeColor="text1"/>
              <w:bottom w:val="single" w:sz="4" w:space="0" w:color="auto"/>
            </w:tcBorders>
            <w:shd w:val="clear" w:color="auto" w:fill="auto"/>
          </w:tcPr>
          <w:p w14:paraId="01A81F68" w14:textId="556A4499" w:rsidR="00C857FC" w:rsidRDefault="00C857FC" w:rsidP="00C857FC">
            <w:pPr>
              <w:pStyle w:val="naisc"/>
              <w:jc w:val="left"/>
              <w:rPr>
                <w:b/>
                <w:bCs/>
              </w:rPr>
            </w:pPr>
            <w:r>
              <w:rPr>
                <w:b/>
                <w:bCs/>
              </w:rPr>
              <w:lastRenderedPageBreak/>
              <w:t>Ņemts vērā</w:t>
            </w:r>
          </w:p>
          <w:p w14:paraId="29C9958D" w14:textId="77777777" w:rsidR="00C857FC" w:rsidRPr="003D4C76" w:rsidRDefault="00C857FC" w:rsidP="00C857FC">
            <w:pPr>
              <w:pStyle w:val="naisc"/>
              <w:jc w:val="left"/>
            </w:pPr>
            <w:r w:rsidRPr="003D4C76">
              <w:t>Finansējums pārlikts uz pašvaldībām.</w:t>
            </w:r>
          </w:p>
        </w:tc>
        <w:tc>
          <w:tcPr>
            <w:tcW w:w="3497" w:type="dxa"/>
            <w:tcBorders>
              <w:left w:val="single" w:sz="6" w:space="0" w:color="000000" w:themeColor="text1"/>
              <w:bottom w:val="single" w:sz="4" w:space="0" w:color="auto"/>
            </w:tcBorders>
            <w:shd w:val="clear" w:color="auto" w:fill="auto"/>
          </w:tcPr>
          <w:p w14:paraId="357B019D" w14:textId="77777777" w:rsidR="00C857FC" w:rsidRPr="009841AB" w:rsidRDefault="00C857FC" w:rsidP="00C857FC">
            <w:pPr>
              <w:pStyle w:val="naisc"/>
              <w:spacing w:before="0" w:after="0"/>
              <w:jc w:val="both"/>
            </w:pPr>
          </w:p>
        </w:tc>
      </w:tr>
      <w:tr w:rsidR="00C857FC" w:rsidRPr="009841AB" w14:paraId="090C9BB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9C69E37" w14:textId="77777777" w:rsidR="00C857FC" w:rsidRPr="009841AB" w:rsidRDefault="003C40ED" w:rsidP="00C857FC">
            <w:pPr>
              <w:pStyle w:val="naisc"/>
              <w:spacing w:before="0" w:after="0"/>
            </w:pPr>
            <w:r>
              <w:t>523</w:t>
            </w:r>
          </w:p>
        </w:tc>
        <w:tc>
          <w:tcPr>
            <w:tcW w:w="2427" w:type="dxa"/>
            <w:tcBorders>
              <w:left w:val="single" w:sz="6" w:space="0" w:color="000000" w:themeColor="text1"/>
              <w:bottom w:val="single" w:sz="4" w:space="0" w:color="auto"/>
            </w:tcBorders>
            <w:shd w:val="clear" w:color="auto" w:fill="auto"/>
          </w:tcPr>
          <w:p w14:paraId="03B09E7E" w14:textId="77777777" w:rsidR="00C857FC" w:rsidRPr="009841AB" w:rsidRDefault="00C857FC" w:rsidP="00C857FC">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29BCFA94" w14:textId="77777777" w:rsidR="00C857FC" w:rsidRDefault="00C857FC" w:rsidP="00C857FC">
            <w:pPr>
              <w:ind w:right="12"/>
              <w:jc w:val="both"/>
            </w:pPr>
            <w:r>
              <w:t xml:space="preserve">4. </w:t>
            </w:r>
            <w:r w:rsidRPr="0023101C">
              <w:t>Lūdzam pamatnostādņu projekta 3.pielikumā pārskatīt formulas, kas aprēķina nepieciešamā finansējuma kopsummu gan 4.4.attīstības virzienam, gan kopā, jo tas neatbilst tam finansējumam, kas norādīts sadalījumā par uzdevumiem gan kopā, gan sadalījumā pa avotiem. Attiecīgi lūdzam arī precizēt pamatnostādņu projektā sniegto informāciju par finansējuma apmēru 4.4.attīstības virzienam.</w:t>
            </w:r>
          </w:p>
        </w:tc>
        <w:tc>
          <w:tcPr>
            <w:tcW w:w="2480" w:type="dxa"/>
            <w:tcBorders>
              <w:left w:val="single" w:sz="6" w:space="0" w:color="000000" w:themeColor="text1"/>
              <w:bottom w:val="single" w:sz="4" w:space="0" w:color="auto"/>
            </w:tcBorders>
            <w:shd w:val="clear" w:color="auto" w:fill="auto"/>
          </w:tcPr>
          <w:p w14:paraId="51E5B916" w14:textId="77777777" w:rsidR="00C857FC" w:rsidRPr="009841AB" w:rsidRDefault="00C857FC" w:rsidP="00C857FC">
            <w:pPr>
              <w:pStyle w:val="naisc"/>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74FA591B" w14:textId="77777777" w:rsidR="00C857FC" w:rsidRDefault="00C857FC" w:rsidP="00C857FC">
            <w:pPr>
              <w:pStyle w:val="naisc"/>
              <w:spacing w:before="0" w:after="0"/>
              <w:jc w:val="both"/>
            </w:pPr>
            <w:r>
              <w:t>Lūdzu skat. 3.pielikumu, pamatnostādņu projekta Attīstības virzienu sadaļas “indikatīvais finansējums”</w:t>
            </w:r>
          </w:p>
          <w:p w14:paraId="43395206" w14:textId="77777777" w:rsidR="00C857FC" w:rsidRPr="009841AB" w:rsidRDefault="00C857FC" w:rsidP="00C857FC">
            <w:pPr>
              <w:pStyle w:val="naisc"/>
              <w:spacing w:before="0" w:after="0"/>
              <w:jc w:val="both"/>
            </w:pPr>
          </w:p>
        </w:tc>
      </w:tr>
      <w:tr w:rsidR="00C857FC" w:rsidRPr="009841AB" w14:paraId="231B933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3BE14F8" w14:textId="77777777" w:rsidR="00C857FC" w:rsidRPr="009841AB" w:rsidRDefault="003C40ED" w:rsidP="00C857FC">
            <w:pPr>
              <w:pStyle w:val="naisc"/>
              <w:spacing w:before="0" w:after="0"/>
            </w:pPr>
            <w:r>
              <w:t>524</w:t>
            </w:r>
          </w:p>
        </w:tc>
        <w:tc>
          <w:tcPr>
            <w:tcW w:w="2427" w:type="dxa"/>
            <w:tcBorders>
              <w:left w:val="single" w:sz="6" w:space="0" w:color="000000" w:themeColor="text1"/>
              <w:bottom w:val="single" w:sz="4" w:space="0" w:color="auto"/>
            </w:tcBorders>
            <w:shd w:val="clear" w:color="auto" w:fill="auto"/>
          </w:tcPr>
          <w:p w14:paraId="6E3739FE" w14:textId="77777777" w:rsidR="00C857FC" w:rsidRPr="009841AB" w:rsidRDefault="00C857FC" w:rsidP="00C857FC">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57B8C58D" w14:textId="77777777" w:rsidR="00C857FC" w:rsidRDefault="00C857FC" w:rsidP="00C857FC">
            <w:pPr>
              <w:ind w:right="12"/>
              <w:jc w:val="both"/>
            </w:pPr>
            <w:r>
              <w:t xml:space="preserve">5. Lūdzam pamatnostādņu projekta 3.pielikumā labot tehnisku kļūdu – nav iekļauts uzdevums 4.4.9.4.-3 “Izveidots vienots grāmatvedības un </w:t>
            </w:r>
            <w:proofErr w:type="spellStart"/>
            <w:r>
              <w:t>personālvadības</w:t>
            </w:r>
            <w:proofErr w:type="spellEnd"/>
            <w:r>
              <w:t xml:space="preserve"> pakalpojumu sniegšanas modelis valsts budžeta iestādēm”;</w:t>
            </w:r>
          </w:p>
          <w:p w14:paraId="667F8ADC" w14:textId="77777777" w:rsidR="00C857FC" w:rsidRDefault="00C857FC" w:rsidP="00C857FC">
            <w:pPr>
              <w:ind w:right="12"/>
              <w:jc w:val="both"/>
            </w:pPr>
            <w:r>
              <w:t>Šim uzdevumam nav norādīts ne plānotais finansējums (balstoties uz VARAM prezentācijām Saeimas komitejās – 16 milj. EUR) ne papildus nepieciešamais – 28 milj. EUR.</w:t>
            </w:r>
          </w:p>
          <w:p w14:paraId="45FF158E" w14:textId="77777777" w:rsidR="00C857FC" w:rsidRDefault="00C857FC" w:rsidP="00C857FC">
            <w:pPr>
              <w:ind w:right="12"/>
              <w:jc w:val="both"/>
            </w:pPr>
            <w:r>
              <w:t xml:space="preserve">Lūdzam papildināt 3.pielikumu gan ar pieejamo finansējumu, gan papildus nepieciešamo, ņemot vērā, ka šāda mēroga reforma nevar tikt īstenota bez finansējuma. </w:t>
            </w:r>
          </w:p>
          <w:p w14:paraId="65EAB72F" w14:textId="77777777" w:rsidR="00C857FC" w:rsidRDefault="00C857FC" w:rsidP="00C857FC">
            <w:pPr>
              <w:ind w:right="12"/>
              <w:jc w:val="both"/>
            </w:pPr>
            <w:r>
              <w:lastRenderedPageBreak/>
              <w:t xml:space="preserve">Lūdzam labot uzdevuma 4.4.9.4.-3 “Izveidots vienots grāmatvedības un </w:t>
            </w:r>
            <w:proofErr w:type="spellStart"/>
            <w:r>
              <w:t>personālvadības</w:t>
            </w:r>
            <w:proofErr w:type="spellEnd"/>
            <w:r>
              <w:t xml:space="preserve"> pakalpojumu sniegšanas modelis valsts budžeta iestādēm” ieviešanas termiņu uz 2026.gadu.</w:t>
            </w:r>
          </w:p>
        </w:tc>
        <w:tc>
          <w:tcPr>
            <w:tcW w:w="2480" w:type="dxa"/>
            <w:tcBorders>
              <w:left w:val="single" w:sz="6" w:space="0" w:color="000000" w:themeColor="text1"/>
              <w:bottom w:val="single" w:sz="4" w:space="0" w:color="auto"/>
            </w:tcBorders>
            <w:shd w:val="clear" w:color="auto" w:fill="auto"/>
          </w:tcPr>
          <w:p w14:paraId="788274AA" w14:textId="77777777" w:rsidR="00C857FC" w:rsidRPr="009841AB" w:rsidRDefault="00C857FC" w:rsidP="00C857FC">
            <w:pPr>
              <w:pStyle w:val="naisc"/>
              <w:jc w:val="left"/>
              <w:rPr>
                <w:b/>
                <w:bCs/>
              </w:rPr>
            </w:pPr>
            <w:r>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3FC2A1DB" w14:textId="77777777" w:rsidR="00E67BDD" w:rsidRDefault="00EB3D1A" w:rsidP="00FE0078">
            <w:pPr>
              <w:pStyle w:val="naisc"/>
              <w:spacing w:before="0" w:after="0"/>
              <w:jc w:val="both"/>
            </w:pPr>
            <w:r>
              <w:t>Lūdzu skat. 3.pielikumu</w:t>
            </w:r>
            <w:r w:rsidR="0033029A">
              <w:t xml:space="preserve">, kā arī sadaļas </w:t>
            </w:r>
            <w:r w:rsidR="0033029A" w:rsidRPr="0033029A">
              <w:t>4.4.9.4.</w:t>
            </w:r>
            <w:r w:rsidR="0033029A">
              <w:t xml:space="preserve"> </w:t>
            </w:r>
            <w:r w:rsidR="00AB5D2C">
              <w:t xml:space="preserve">Sagaidāmie rezultāti 4. punktam pievienoto atsauci. </w:t>
            </w:r>
          </w:p>
          <w:p w14:paraId="28C83164" w14:textId="77777777" w:rsidR="00C857FC" w:rsidRPr="009841AB" w:rsidRDefault="00C857FC" w:rsidP="00C857FC">
            <w:pPr>
              <w:pStyle w:val="naisc"/>
              <w:spacing w:before="0" w:after="0"/>
              <w:jc w:val="both"/>
            </w:pPr>
          </w:p>
        </w:tc>
      </w:tr>
      <w:tr w:rsidR="00C857FC" w:rsidRPr="009841AB" w14:paraId="2F2C068C" w14:textId="77777777" w:rsidTr="00DC72A3">
        <w:trPr>
          <w:gridAfter w:val="1"/>
          <w:wAfter w:w="7" w:type="dxa"/>
          <w:trHeight w:val="329"/>
        </w:trPr>
        <w:tc>
          <w:tcPr>
            <w:tcW w:w="613" w:type="dxa"/>
            <w:tcBorders>
              <w:left w:val="single" w:sz="6" w:space="0" w:color="000000" w:themeColor="text1"/>
              <w:bottom w:val="single" w:sz="4" w:space="0" w:color="auto"/>
            </w:tcBorders>
            <w:shd w:val="clear" w:color="auto" w:fill="auto"/>
          </w:tcPr>
          <w:p w14:paraId="73EB35D6" w14:textId="77777777" w:rsidR="00C857FC" w:rsidRPr="009841AB" w:rsidRDefault="00C857FC" w:rsidP="00C857FC">
            <w:pPr>
              <w:pStyle w:val="naisc"/>
              <w:spacing w:before="0" w:after="0"/>
            </w:pPr>
          </w:p>
        </w:tc>
        <w:tc>
          <w:tcPr>
            <w:tcW w:w="2427" w:type="dxa"/>
            <w:tcBorders>
              <w:left w:val="single" w:sz="6" w:space="0" w:color="000000" w:themeColor="text1"/>
              <w:bottom w:val="single" w:sz="4" w:space="0" w:color="auto"/>
            </w:tcBorders>
            <w:shd w:val="clear" w:color="auto" w:fill="auto"/>
          </w:tcPr>
          <w:p w14:paraId="217D4DED" w14:textId="77777777" w:rsidR="00C857FC" w:rsidRPr="009841AB" w:rsidRDefault="00C857FC" w:rsidP="00C857FC">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5F234840" w14:textId="77777777" w:rsidR="00C857FC" w:rsidRPr="0023101C" w:rsidRDefault="00C857FC" w:rsidP="00C857FC">
            <w:pPr>
              <w:ind w:right="12"/>
              <w:jc w:val="both"/>
              <w:rPr>
                <w:b/>
                <w:bCs/>
              </w:rPr>
            </w:pPr>
            <w:r w:rsidRPr="0023101C">
              <w:rPr>
                <w:b/>
                <w:bCs/>
              </w:rPr>
              <w:t>Priekšlikumi:</w:t>
            </w:r>
          </w:p>
        </w:tc>
        <w:tc>
          <w:tcPr>
            <w:tcW w:w="2480" w:type="dxa"/>
            <w:tcBorders>
              <w:left w:val="single" w:sz="6" w:space="0" w:color="000000" w:themeColor="text1"/>
              <w:bottom w:val="single" w:sz="4" w:space="0" w:color="auto"/>
            </w:tcBorders>
            <w:shd w:val="clear" w:color="auto" w:fill="auto"/>
          </w:tcPr>
          <w:p w14:paraId="6797A035" w14:textId="77777777" w:rsidR="00C857FC" w:rsidRPr="009841AB" w:rsidRDefault="00C857FC" w:rsidP="00C857FC">
            <w:pPr>
              <w:pStyle w:val="naisc"/>
              <w:jc w:val="left"/>
              <w:rPr>
                <w:b/>
                <w:bCs/>
              </w:rPr>
            </w:pPr>
          </w:p>
        </w:tc>
        <w:tc>
          <w:tcPr>
            <w:tcW w:w="3497" w:type="dxa"/>
            <w:tcBorders>
              <w:left w:val="single" w:sz="6" w:space="0" w:color="000000" w:themeColor="text1"/>
              <w:bottom w:val="single" w:sz="4" w:space="0" w:color="auto"/>
            </w:tcBorders>
            <w:shd w:val="clear" w:color="auto" w:fill="auto"/>
          </w:tcPr>
          <w:p w14:paraId="3EE9ECBE" w14:textId="77777777" w:rsidR="00C857FC" w:rsidRPr="009841AB" w:rsidRDefault="00C857FC" w:rsidP="00C857FC">
            <w:pPr>
              <w:pStyle w:val="naisc"/>
              <w:spacing w:before="0" w:after="0"/>
              <w:jc w:val="both"/>
            </w:pPr>
          </w:p>
        </w:tc>
      </w:tr>
      <w:tr w:rsidR="00C857FC" w:rsidRPr="009841AB" w14:paraId="2978C960"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703F450" w14:textId="77777777" w:rsidR="00C857FC" w:rsidRPr="009841AB" w:rsidRDefault="003C40ED" w:rsidP="00C857FC">
            <w:pPr>
              <w:pStyle w:val="naisc"/>
              <w:spacing w:before="0" w:after="0"/>
            </w:pPr>
            <w:r>
              <w:t>525</w:t>
            </w:r>
          </w:p>
        </w:tc>
        <w:tc>
          <w:tcPr>
            <w:tcW w:w="2427" w:type="dxa"/>
            <w:tcBorders>
              <w:left w:val="single" w:sz="6" w:space="0" w:color="000000" w:themeColor="text1"/>
              <w:bottom w:val="single" w:sz="4" w:space="0" w:color="auto"/>
            </w:tcBorders>
            <w:shd w:val="clear" w:color="auto" w:fill="auto"/>
          </w:tcPr>
          <w:p w14:paraId="7DC07787" w14:textId="77777777" w:rsidR="00C857FC" w:rsidRPr="009841AB" w:rsidRDefault="00C857FC" w:rsidP="00C857FC">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5BB66768" w14:textId="77777777" w:rsidR="00C857FC" w:rsidRDefault="00C857FC" w:rsidP="00C857FC">
            <w:pPr>
              <w:ind w:right="12"/>
              <w:jc w:val="both"/>
            </w:pPr>
            <w:r w:rsidRPr="003279D3">
              <w:t xml:space="preserve">Aicinām pārskatīt un precizēt pamatnostādņu projekta 4.pielikuma 4.5.1. apakšnodaļas “Rīcības virziens: Cilvēkresursu un infrastruktūras attīstība digitālo inovāciju sekmēšanai” sadaļas “Inovācijas (pētījumu </w:t>
            </w:r>
            <w:proofErr w:type="spellStart"/>
            <w:r w:rsidRPr="003279D3">
              <w:t>komercializācijā</w:t>
            </w:r>
            <w:proofErr w:type="spellEnd"/>
            <w:r w:rsidRPr="003279D3">
              <w:t>)” (74.lpp.) pēdējo teikumu: “Jāmaina pieeja publiskajiem iepirkumiem inovatīvo iepirkumu jomā, paredzot, ka inovatīvo produktu vai pakalpojumu iepirkumi var arī nebūt rentabli.” No pašreizējās teikuma redakcijas nav skaidrs, kas tieši ir jāmaina pieejā publiskajiem iepirkumiem. Paskaidrojam, ka inovatīvo produktu vai pakalpojumu rentabilitāte nav tik daudz publisko iepirkumu pieejas jautājums, cik gan drīzāk tas ir plašāks risināmo jautājumu loks par pieļaujamo risku matricas noteikšanu publiskas personas finanšu līdzekļu un mantas izšķērdēšanas novēršanas kontekstā.</w:t>
            </w:r>
          </w:p>
        </w:tc>
        <w:tc>
          <w:tcPr>
            <w:tcW w:w="2480" w:type="dxa"/>
            <w:tcBorders>
              <w:left w:val="single" w:sz="6" w:space="0" w:color="000000" w:themeColor="text1"/>
              <w:bottom w:val="single" w:sz="4" w:space="0" w:color="auto"/>
            </w:tcBorders>
            <w:shd w:val="clear" w:color="auto" w:fill="auto"/>
          </w:tcPr>
          <w:p w14:paraId="7FA9FA3D" w14:textId="77777777" w:rsidR="00C857FC" w:rsidRPr="009841AB" w:rsidRDefault="00C857FC" w:rsidP="00C857FC">
            <w:pPr>
              <w:pStyle w:val="naisc"/>
              <w:jc w:val="left"/>
              <w:rPr>
                <w:b/>
                <w:bCs/>
              </w:rPr>
            </w:pPr>
            <w:r>
              <w:rPr>
                <w:b/>
                <w:bCs/>
              </w:rPr>
              <w:t xml:space="preserve">Ņemts vērā </w:t>
            </w:r>
          </w:p>
        </w:tc>
        <w:tc>
          <w:tcPr>
            <w:tcW w:w="3497" w:type="dxa"/>
            <w:tcBorders>
              <w:left w:val="single" w:sz="6" w:space="0" w:color="000000" w:themeColor="text1"/>
              <w:bottom w:val="single" w:sz="4" w:space="0" w:color="auto"/>
            </w:tcBorders>
            <w:shd w:val="clear" w:color="auto" w:fill="auto"/>
          </w:tcPr>
          <w:p w14:paraId="36F1E0DC" w14:textId="77777777" w:rsidR="00C857FC" w:rsidRDefault="00C857FC" w:rsidP="00C857FC">
            <w:pPr>
              <w:pStyle w:val="naisc"/>
              <w:spacing w:before="0" w:after="0"/>
              <w:jc w:val="both"/>
            </w:pPr>
            <w:r>
              <w:t>Skat. 4. pielikuma 4.5.1. aprakstā atbilstošo teikumu</w:t>
            </w:r>
          </w:p>
          <w:p w14:paraId="784C2492" w14:textId="77777777" w:rsidR="00C857FC" w:rsidRDefault="00C857FC" w:rsidP="00C857FC">
            <w:pPr>
              <w:pStyle w:val="naisc"/>
              <w:spacing w:before="0" w:after="0"/>
              <w:jc w:val="both"/>
            </w:pPr>
          </w:p>
          <w:p w14:paraId="1C23EE47" w14:textId="77777777" w:rsidR="00C857FC" w:rsidRPr="00922B8B" w:rsidRDefault="00C857FC" w:rsidP="00C857FC">
            <w:pPr>
              <w:pStyle w:val="naisc"/>
              <w:spacing w:before="0" w:after="0"/>
              <w:jc w:val="both"/>
              <w:rPr>
                <w:i/>
              </w:rPr>
            </w:pPr>
            <w:r w:rsidRPr="00922B8B">
              <w:rPr>
                <w:rFonts w:eastAsiaTheme="minorEastAsia"/>
                <w:i/>
                <w:iCs/>
              </w:rPr>
              <w:t>Jāmaina pieeja pieļaujamo risku noteikšanā publiskas personas finanšu līdzekļu un mantas izšķērdēšanas novēršanas kontekstā, paredzot, ka inovatīvo produktu vai pakalpojumu iepirkumi var arī nebūt rentabli.</w:t>
            </w:r>
          </w:p>
        </w:tc>
      </w:tr>
      <w:tr w:rsidR="00FE0078" w:rsidRPr="009841AB" w14:paraId="2E6726BD"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19D22877" w14:textId="77777777" w:rsidR="00FE0078" w:rsidRPr="009841AB" w:rsidRDefault="00FE0078" w:rsidP="00FE0078">
            <w:pPr>
              <w:tabs>
                <w:tab w:val="left" w:pos="720"/>
              </w:tabs>
              <w:contextualSpacing/>
              <w:jc w:val="both"/>
              <w:rPr>
                <w:b/>
                <w:bCs/>
                <w:lang w:eastAsia="en-US"/>
              </w:rPr>
            </w:pPr>
            <w:r w:rsidRPr="009841AB">
              <w:rPr>
                <w:b/>
                <w:bCs/>
                <w:lang w:eastAsia="en-US"/>
              </w:rPr>
              <w:t>Izglītības un zinātnes ministrijas 27.01.2021. atzinums:</w:t>
            </w:r>
          </w:p>
        </w:tc>
      </w:tr>
      <w:tr w:rsidR="00FE0078" w:rsidRPr="009841AB" w14:paraId="370C338C"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645DB67" w14:textId="77777777" w:rsidR="00FE0078" w:rsidRPr="009841AB" w:rsidRDefault="003C40ED" w:rsidP="00FE0078">
            <w:pPr>
              <w:pStyle w:val="naisc"/>
              <w:spacing w:before="0" w:after="0"/>
            </w:pPr>
            <w:r>
              <w:t>526</w:t>
            </w:r>
          </w:p>
        </w:tc>
        <w:tc>
          <w:tcPr>
            <w:tcW w:w="2427" w:type="dxa"/>
            <w:tcBorders>
              <w:left w:val="single" w:sz="6" w:space="0" w:color="000000" w:themeColor="text1"/>
              <w:bottom w:val="single" w:sz="4" w:space="0" w:color="auto"/>
            </w:tcBorders>
            <w:shd w:val="clear" w:color="auto" w:fill="auto"/>
          </w:tcPr>
          <w:p w14:paraId="00FEE7D9"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4E1112C0" w14:textId="77777777" w:rsidR="00FE0078" w:rsidRPr="009841AB" w:rsidRDefault="00FE0078" w:rsidP="00FE0078">
            <w:pPr>
              <w:ind w:right="12"/>
              <w:jc w:val="both"/>
            </w:pPr>
            <w:r w:rsidRPr="009841AB">
              <w:t>Pamatnostādņu projekta 3. pielikumā “Indikatīvais ietekmes novērtējums uz valsts un pašvaldību budžetiem” sniegtā informācija ir nepilnīga, jo tā nedod iespēju izsekot finansējuma apjomam, kas nepieciešams katra rīcības virziena īstenošanai, kā to nosaka 2014. gada 2.decembra Ministru kabineta noteikumu Nr.737 “Attīstības plānošanas dokumentu izstrādes un ietekmes izvērtēšanas noteikumi” 1. pielikuma prasības. Vienlaikus, projekta 3.pielikumu nepieciešams papildināt arī ar finansējuma sadalījumu pa budžeta resoriem.</w:t>
            </w:r>
          </w:p>
        </w:tc>
        <w:tc>
          <w:tcPr>
            <w:tcW w:w="2480" w:type="dxa"/>
            <w:tcBorders>
              <w:left w:val="single" w:sz="6" w:space="0" w:color="000000" w:themeColor="text1"/>
              <w:bottom w:val="single" w:sz="4" w:space="0" w:color="auto"/>
            </w:tcBorders>
            <w:shd w:val="clear" w:color="auto" w:fill="auto"/>
          </w:tcPr>
          <w:p w14:paraId="00091BF5" w14:textId="77777777" w:rsidR="00FE0078" w:rsidRPr="009841AB" w:rsidRDefault="00FE0078"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78823A87" w14:textId="77777777" w:rsidR="00FE0078" w:rsidRPr="009841AB" w:rsidRDefault="00FE0078" w:rsidP="00FE0078">
            <w:pPr>
              <w:pStyle w:val="naisc"/>
              <w:spacing w:before="0" w:after="0"/>
              <w:jc w:val="both"/>
            </w:pPr>
            <w:r w:rsidRPr="009841AB">
              <w:t>Lūdzam skatīt 3.pielikumu</w:t>
            </w:r>
          </w:p>
        </w:tc>
      </w:tr>
      <w:tr w:rsidR="00FE0078" w:rsidRPr="009841AB" w14:paraId="0137653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A2255B4" w14:textId="77777777" w:rsidR="00FE0078" w:rsidRPr="009841AB" w:rsidRDefault="00FE0078" w:rsidP="00FE0078">
            <w:pPr>
              <w:pStyle w:val="naisc"/>
              <w:spacing w:before="0" w:after="0"/>
            </w:pPr>
          </w:p>
        </w:tc>
        <w:tc>
          <w:tcPr>
            <w:tcW w:w="2427" w:type="dxa"/>
            <w:tcBorders>
              <w:left w:val="single" w:sz="6" w:space="0" w:color="000000" w:themeColor="text1"/>
              <w:bottom w:val="single" w:sz="4" w:space="0" w:color="auto"/>
            </w:tcBorders>
            <w:shd w:val="clear" w:color="auto" w:fill="auto"/>
          </w:tcPr>
          <w:p w14:paraId="423EBE0C" w14:textId="77777777" w:rsidR="00FE0078" w:rsidRPr="009841AB" w:rsidRDefault="00FE0078" w:rsidP="00FE0078">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7C0D9C29" w14:textId="77777777" w:rsidR="00FE0078" w:rsidRPr="009841AB" w:rsidRDefault="00FE0078" w:rsidP="00FE0078">
            <w:pPr>
              <w:ind w:right="12"/>
              <w:jc w:val="both"/>
              <w:rPr>
                <w:b/>
                <w:bCs/>
              </w:rPr>
            </w:pPr>
            <w:r w:rsidRPr="009841AB">
              <w:rPr>
                <w:b/>
                <w:bCs/>
              </w:rPr>
              <w:t>Priekšlikumi:</w:t>
            </w:r>
          </w:p>
        </w:tc>
        <w:tc>
          <w:tcPr>
            <w:tcW w:w="2480" w:type="dxa"/>
            <w:tcBorders>
              <w:left w:val="single" w:sz="6" w:space="0" w:color="000000" w:themeColor="text1"/>
              <w:bottom w:val="single" w:sz="4" w:space="0" w:color="auto"/>
            </w:tcBorders>
            <w:shd w:val="clear" w:color="auto" w:fill="auto"/>
          </w:tcPr>
          <w:p w14:paraId="312CCDE0" w14:textId="77777777" w:rsidR="00FE0078" w:rsidRPr="009841AB" w:rsidRDefault="00FE0078"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1EE2E351" w14:textId="77777777" w:rsidR="00FE0078" w:rsidRPr="009841AB" w:rsidRDefault="00FE0078" w:rsidP="00FE0078">
            <w:pPr>
              <w:pStyle w:val="naisc"/>
              <w:spacing w:before="0" w:after="0"/>
              <w:jc w:val="both"/>
            </w:pPr>
          </w:p>
        </w:tc>
      </w:tr>
      <w:tr w:rsidR="00FE0078" w:rsidRPr="009841AB" w14:paraId="392BFDB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4532605F" w14:textId="77777777" w:rsidR="00FE0078" w:rsidRPr="009841AB" w:rsidRDefault="003C40ED" w:rsidP="00FE0078">
            <w:pPr>
              <w:pStyle w:val="naisc"/>
              <w:spacing w:before="0" w:after="0"/>
            </w:pPr>
            <w:r>
              <w:lastRenderedPageBreak/>
              <w:t>527</w:t>
            </w:r>
          </w:p>
        </w:tc>
        <w:tc>
          <w:tcPr>
            <w:tcW w:w="2427" w:type="dxa"/>
            <w:tcBorders>
              <w:left w:val="single" w:sz="6" w:space="0" w:color="000000" w:themeColor="text1"/>
              <w:bottom w:val="single" w:sz="4" w:space="0" w:color="auto"/>
            </w:tcBorders>
            <w:shd w:val="clear" w:color="auto" w:fill="auto"/>
          </w:tcPr>
          <w:p w14:paraId="38A7E63E"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1C38B3A4" w14:textId="77777777" w:rsidR="00FE0078" w:rsidRPr="009841AB" w:rsidRDefault="00FE0078" w:rsidP="00FE0078">
            <w:pPr>
              <w:ind w:right="12"/>
              <w:jc w:val="both"/>
            </w:pPr>
            <w:r w:rsidRPr="009841AB">
              <w:t>Pamatnostādņu projekta 2. pielikumā “Rīcības virzieni un uzdevumi” lūdzam norādīt definēto uzdevumu sasaisti ar Latvijas Nacionālā attīstības plāna 2021.-2027. gadam pasākumiem.</w:t>
            </w:r>
          </w:p>
        </w:tc>
        <w:tc>
          <w:tcPr>
            <w:tcW w:w="2480" w:type="dxa"/>
            <w:tcBorders>
              <w:left w:val="single" w:sz="6" w:space="0" w:color="000000" w:themeColor="text1"/>
              <w:bottom w:val="single" w:sz="4" w:space="0" w:color="auto"/>
            </w:tcBorders>
            <w:shd w:val="clear" w:color="auto" w:fill="auto"/>
          </w:tcPr>
          <w:p w14:paraId="3258A04F" w14:textId="77777777" w:rsidR="00B8424E" w:rsidRPr="009841AB" w:rsidRDefault="00B8424E" w:rsidP="00B8424E">
            <w:pPr>
              <w:pStyle w:val="naisc"/>
              <w:jc w:val="left"/>
              <w:rPr>
                <w:b/>
                <w:bCs/>
                <w:color w:val="000000"/>
                <w:shd w:val="clear" w:color="auto" w:fill="FFFFFF"/>
              </w:rPr>
            </w:pPr>
            <w:r>
              <w:rPr>
                <w:b/>
                <w:bCs/>
                <w:color w:val="000000"/>
                <w:shd w:val="clear" w:color="auto" w:fill="FFFFFF"/>
              </w:rPr>
              <w:t>Panākta vienošanās</w:t>
            </w:r>
          </w:p>
          <w:p w14:paraId="1117490A" w14:textId="77777777" w:rsidR="00D505D6" w:rsidRPr="009841AB" w:rsidRDefault="00D505D6" w:rsidP="00D505D6">
            <w:pPr>
              <w:pStyle w:val="naisc"/>
              <w:jc w:val="left"/>
            </w:pPr>
            <w:r w:rsidRPr="009841AB">
              <w:t xml:space="preserve">Saskaņā ar MK 2014.gada 2.decembra noteikumu Nr.737 </w:t>
            </w:r>
          </w:p>
          <w:p w14:paraId="4559B2DD" w14:textId="77777777" w:rsidR="00D505D6" w:rsidRPr="009841AB" w:rsidRDefault="00D505D6" w:rsidP="00D505D6">
            <w:pPr>
              <w:pStyle w:val="naisc"/>
              <w:jc w:val="left"/>
            </w:pPr>
            <w:r w:rsidRPr="009841AB">
              <w:t xml:space="preserve">18.3. punktu: "Pamatnostādnes ietver informāciju par politikas mērķu sasaisti ar Nacionālo attīstības plānu ...". 'Šāda sasaiste ir veikta. </w:t>
            </w:r>
          </w:p>
          <w:p w14:paraId="1D2FA4E6" w14:textId="77777777" w:rsidR="00D505D6" w:rsidRPr="009841AB" w:rsidRDefault="00D505D6" w:rsidP="00D505D6">
            <w:pPr>
              <w:pStyle w:val="naisc"/>
              <w:jc w:val="left"/>
            </w:pPr>
            <w:r w:rsidRPr="009841AB">
              <w:t>18.6. punktu:  "... rīcības virzienus un tiem pakārtotos uzdevumus politikas mērķu un rezultātu sasniegšanai ...", kas arī ir īstenots.</w:t>
            </w:r>
          </w:p>
          <w:p w14:paraId="47D5D283" w14:textId="77777777" w:rsidR="00FE0078" w:rsidRPr="009841AB" w:rsidRDefault="00D505D6" w:rsidP="00D505D6">
            <w:pPr>
              <w:pStyle w:val="naisc"/>
              <w:spacing w:before="0" w:after="0"/>
              <w:jc w:val="left"/>
              <w:rPr>
                <w:b/>
                <w:bCs/>
              </w:rPr>
            </w:pPr>
            <w:r w:rsidRPr="009841AB">
              <w:t>Minētie noteikumi neparedz 2. pielikumā “Rīcības virzieni un uzdevumi” veidot sasaisti ar Latvijas Nacionālā attīstības plāna 2021.-2027. gadam pasākumiem.</w:t>
            </w:r>
          </w:p>
        </w:tc>
        <w:tc>
          <w:tcPr>
            <w:tcW w:w="3497" w:type="dxa"/>
            <w:tcBorders>
              <w:left w:val="single" w:sz="6" w:space="0" w:color="000000" w:themeColor="text1"/>
              <w:bottom w:val="single" w:sz="4" w:space="0" w:color="auto"/>
            </w:tcBorders>
            <w:shd w:val="clear" w:color="auto" w:fill="auto"/>
          </w:tcPr>
          <w:p w14:paraId="70F9C5F3" w14:textId="77777777" w:rsidR="00FE0078" w:rsidRPr="009841AB" w:rsidRDefault="00FE0078" w:rsidP="00FE0078">
            <w:pPr>
              <w:pStyle w:val="naisc"/>
              <w:spacing w:before="0" w:after="0"/>
              <w:jc w:val="both"/>
            </w:pPr>
          </w:p>
        </w:tc>
      </w:tr>
      <w:tr w:rsidR="00FE0078" w:rsidRPr="009841AB" w14:paraId="260F180A"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67B1AB8C" w14:textId="77777777" w:rsidR="00FE0078" w:rsidRPr="009841AB" w:rsidRDefault="00FE0078" w:rsidP="00FE0078">
            <w:pPr>
              <w:jc w:val="both"/>
              <w:rPr>
                <w:b/>
                <w:bCs/>
              </w:rPr>
            </w:pPr>
            <w:r w:rsidRPr="009841AB">
              <w:rPr>
                <w:b/>
                <w:bCs/>
              </w:rPr>
              <w:t>Latvijas Informācijas un komunikācijas tehnoloģijas asociācijas 29.01.2021. atzinums:</w:t>
            </w:r>
          </w:p>
        </w:tc>
      </w:tr>
      <w:tr w:rsidR="00FE0078" w:rsidRPr="009841AB" w14:paraId="0FEC435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C1A0CFA" w14:textId="77777777" w:rsidR="00FE0078" w:rsidRPr="009841AB" w:rsidRDefault="003C40ED" w:rsidP="00FE0078">
            <w:pPr>
              <w:pStyle w:val="naisc"/>
              <w:spacing w:before="0" w:after="0"/>
            </w:pPr>
            <w:r>
              <w:t>528</w:t>
            </w:r>
          </w:p>
        </w:tc>
        <w:tc>
          <w:tcPr>
            <w:tcW w:w="2427" w:type="dxa"/>
            <w:tcBorders>
              <w:left w:val="single" w:sz="6" w:space="0" w:color="000000" w:themeColor="text1"/>
              <w:bottom w:val="single" w:sz="4" w:space="0" w:color="auto"/>
            </w:tcBorders>
            <w:shd w:val="clear" w:color="auto" w:fill="auto"/>
          </w:tcPr>
          <w:p w14:paraId="7E70A863"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42F8C870" w14:textId="77777777" w:rsidR="00FE0078" w:rsidRPr="009841AB" w:rsidRDefault="00FE0078" w:rsidP="00FE0078">
            <w:pPr>
              <w:rPr>
                <w:rFonts w:eastAsia="Calibri"/>
                <w:b/>
                <w:bCs/>
                <w:lang w:eastAsia="en-US"/>
              </w:rPr>
            </w:pPr>
            <w:r w:rsidRPr="009841AB">
              <w:rPr>
                <w:rFonts w:eastAsia="Calibri"/>
                <w:b/>
                <w:bCs/>
                <w:lang w:eastAsia="en-US"/>
              </w:rPr>
              <w:t>1. pielikums – PR un RR</w:t>
            </w:r>
          </w:p>
          <w:p w14:paraId="5D2E4EDF" w14:textId="77777777" w:rsidR="00FE0078" w:rsidRPr="009841AB" w:rsidRDefault="00FE0078" w:rsidP="00FE0078">
            <w:pPr>
              <w:jc w:val="both"/>
              <w:rPr>
                <w:i/>
                <w:lang w:eastAsia="en-GB"/>
              </w:rPr>
            </w:pPr>
            <w:r w:rsidRPr="009841AB">
              <w:rPr>
                <w:rFonts w:eastAsia="Calibri"/>
                <w:i/>
                <w:lang w:eastAsia="en-US"/>
              </w:rPr>
              <w:t xml:space="preserve">4.2.-1-1. </w:t>
            </w:r>
            <w:r w:rsidRPr="009841AB">
              <w:rPr>
                <w:i/>
                <w:lang w:eastAsia="en-GB"/>
              </w:rPr>
              <w:t>Nozīmīgas valsts informācijas sistēmas un platformas, kas ir droši rezervētas un attālināti atjaunojamas. (Izvirzīts mērķis, lai tā tas būtu ar 100% sistēmām.)</w:t>
            </w:r>
          </w:p>
          <w:p w14:paraId="5494A737" w14:textId="77777777" w:rsidR="00FE0078" w:rsidRPr="009841AB" w:rsidRDefault="00FE0078" w:rsidP="00FE0078">
            <w:pPr>
              <w:jc w:val="both"/>
              <w:rPr>
                <w:color w:val="000000"/>
                <w:lang w:eastAsia="en-GB"/>
              </w:rPr>
            </w:pPr>
            <w:r w:rsidRPr="009841AB">
              <w:rPr>
                <w:b/>
                <w:bCs/>
                <w:color w:val="000000"/>
                <w:lang w:eastAsia="en-GB"/>
              </w:rPr>
              <w:lastRenderedPageBreak/>
              <w:t>Komentārs:</w:t>
            </w:r>
            <w:r w:rsidRPr="009841AB">
              <w:rPr>
                <w:color w:val="000000"/>
                <w:lang w:eastAsia="en-GB"/>
              </w:rPr>
              <w:t xml:space="preserve"> nozīmīgu informācijas sistēmu drošībai ir jāpievērš īpaša uzmanība, tāpēc būtu jāizvērtē, vai 100% visas informācijas sistēmas var attālināti atjaunot. Bez tam, ir spēkā Ministru kabineta 2004.g. 6. janvāra noteikumi Nr. 21 “Valsts noslēpuma, Ziemeļatlantijas līguma organizācijas, Eiropas Savienības un ārvalstu institūciju klasificētās informācijas aizsardzības noteikumi”, kuru 22.punktā ir noteikts: "22. </w:t>
            </w:r>
            <w:r w:rsidRPr="009841AB">
              <w:rPr>
                <w:i/>
                <w:color w:val="000000"/>
                <w:lang w:eastAsia="en-GB"/>
              </w:rPr>
              <w:t xml:space="preserve">... </w:t>
            </w:r>
            <w:r w:rsidRPr="009841AB">
              <w:rPr>
                <w:rFonts w:eastAsia="Calibri"/>
                <w:i/>
                <w:lang w:eastAsia="en-US"/>
              </w:rPr>
              <w:t>Telpai, kurā uzstādīta informācijas sistēma, jāatbilst drošības prasībām, kādas tiek izvirzītas telpām, kurās glabā valsts noslēpuma objektus, NATO un Eiropas Savienības klasificēto informāciju. Informācijas sistēmu nedrīkst savienot ar publiskiem tīkliem, ieskaitot internetu</w:t>
            </w:r>
            <w:r w:rsidRPr="009841AB">
              <w:rPr>
                <w:rFonts w:eastAsia="Calibri"/>
                <w:lang w:eastAsia="en-US"/>
              </w:rPr>
              <w:t>.</w:t>
            </w:r>
            <w:r w:rsidRPr="009841AB">
              <w:rPr>
                <w:color w:val="000000"/>
                <w:lang w:eastAsia="en-GB"/>
              </w:rPr>
              <w:t>"</w:t>
            </w:r>
          </w:p>
        </w:tc>
        <w:tc>
          <w:tcPr>
            <w:tcW w:w="2480" w:type="dxa"/>
            <w:tcBorders>
              <w:left w:val="single" w:sz="6" w:space="0" w:color="000000" w:themeColor="text1"/>
              <w:bottom w:val="single" w:sz="4" w:space="0" w:color="auto"/>
            </w:tcBorders>
            <w:shd w:val="clear" w:color="auto" w:fill="auto"/>
          </w:tcPr>
          <w:p w14:paraId="65DFB987" w14:textId="77777777" w:rsidR="00FE0078" w:rsidRPr="009841AB" w:rsidRDefault="00FE0078" w:rsidP="00FE0078">
            <w:pPr>
              <w:pStyle w:val="naisc"/>
              <w:spacing w:before="0" w:after="0"/>
              <w:jc w:val="left"/>
              <w:rPr>
                <w:b/>
                <w:bCs/>
              </w:rPr>
            </w:pPr>
            <w:r w:rsidRPr="009841A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52DD53FF" w14:textId="77777777" w:rsidR="00FE0078" w:rsidRPr="009841AB" w:rsidRDefault="00FE0078" w:rsidP="00FE0078">
            <w:pPr>
              <w:pStyle w:val="naisc"/>
              <w:spacing w:before="0" w:after="0"/>
              <w:jc w:val="left"/>
            </w:pPr>
            <w:r w:rsidRPr="009841AB">
              <w:t xml:space="preserve">Lūdzam skatīt rezultatīvo rādītāju </w:t>
            </w:r>
            <w:r w:rsidRPr="009841AB">
              <w:rPr>
                <w:rFonts w:eastAsia="Calibri"/>
                <w:i/>
                <w:lang w:eastAsia="en-US"/>
              </w:rPr>
              <w:t>4.2.-1-1</w:t>
            </w:r>
          </w:p>
        </w:tc>
      </w:tr>
      <w:tr w:rsidR="00FE0078" w:rsidRPr="009841AB" w14:paraId="405F75C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5DF408E" w14:textId="77777777" w:rsidR="00FE0078" w:rsidRPr="009841AB" w:rsidRDefault="00205EE3" w:rsidP="00FE0078">
            <w:pPr>
              <w:pStyle w:val="naisc"/>
              <w:spacing w:before="0" w:after="0"/>
            </w:pPr>
            <w:r>
              <w:t>529</w:t>
            </w:r>
          </w:p>
        </w:tc>
        <w:tc>
          <w:tcPr>
            <w:tcW w:w="2427" w:type="dxa"/>
            <w:tcBorders>
              <w:left w:val="single" w:sz="6" w:space="0" w:color="000000" w:themeColor="text1"/>
              <w:bottom w:val="single" w:sz="4" w:space="0" w:color="auto"/>
            </w:tcBorders>
            <w:shd w:val="clear" w:color="auto" w:fill="auto"/>
          </w:tcPr>
          <w:p w14:paraId="10BC8864"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2BC92119" w14:textId="77777777" w:rsidR="00FE0078" w:rsidRPr="009841AB" w:rsidRDefault="00FE0078" w:rsidP="00FE0078">
            <w:pPr>
              <w:rPr>
                <w:rFonts w:eastAsia="Calibri"/>
                <w:lang w:eastAsia="en-US"/>
              </w:rPr>
            </w:pPr>
            <w:r w:rsidRPr="009841AB">
              <w:rPr>
                <w:rFonts w:eastAsia="Calibri"/>
                <w:b/>
                <w:bCs/>
                <w:lang w:eastAsia="en-US"/>
              </w:rPr>
              <w:t>2. pielikums – RV un U</w:t>
            </w:r>
          </w:p>
          <w:p w14:paraId="5E077B78" w14:textId="77777777" w:rsidR="00FE0078" w:rsidRPr="009841AB" w:rsidRDefault="00FE0078" w:rsidP="00FE0078">
            <w:pPr>
              <w:jc w:val="both"/>
              <w:rPr>
                <w:i/>
                <w:lang w:eastAsia="en-GB"/>
              </w:rPr>
            </w:pPr>
            <w:r w:rsidRPr="009841AB">
              <w:rPr>
                <w:rFonts w:eastAsia="Calibri"/>
                <w:i/>
                <w:lang w:eastAsia="en-US"/>
              </w:rPr>
              <w:t xml:space="preserve">1.  4.1.4-3. </w:t>
            </w:r>
            <w:r w:rsidRPr="009841AB">
              <w:rPr>
                <w:i/>
                <w:lang w:eastAsia="en-GB"/>
              </w:rPr>
              <w:t xml:space="preserve">Atbalsts Eiropas Digitālo inovāciju centru izveidei un darbināšanai Latvijā digitālo prasmju attīstīšanai mākslīgā intelekta, </w:t>
            </w:r>
            <w:proofErr w:type="spellStart"/>
            <w:r w:rsidRPr="009841AB">
              <w:rPr>
                <w:i/>
                <w:lang w:eastAsia="en-GB"/>
              </w:rPr>
              <w:t>kiberdrošības</w:t>
            </w:r>
            <w:proofErr w:type="spellEnd"/>
            <w:r w:rsidRPr="009841AB">
              <w:rPr>
                <w:i/>
                <w:lang w:eastAsia="en-GB"/>
              </w:rPr>
              <w:t xml:space="preserve">, kvantu, augstas </w:t>
            </w:r>
            <w:proofErr w:type="spellStart"/>
            <w:r w:rsidRPr="009841AB">
              <w:rPr>
                <w:i/>
                <w:lang w:eastAsia="en-GB"/>
              </w:rPr>
              <w:t>veikstpējas</w:t>
            </w:r>
            <w:proofErr w:type="spellEnd"/>
            <w:r w:rsidRPr="009841AB">
              <w:rPr>
                <w:i/>
                <w:lang w:eastAsia="en-GB"/>
              </w:rPr>
              <w:t xml:space="preserve"> skaitļošanas, un citās jomās digitālās transformācijas veicināšanai</w:t>
            </w:r>
          </w:p>
          <w:p w14:paraId="60189E0E" w14:textId="77777777" w:rsidR="00FE0078" w:rsidRPr="009841AB" w:rsidRDefault="00FE0078" w:rsidP="00FE0078">
            <w:pPr>
              <w:jc w:val="both"/>
              <w:rPr>
                <w:rFonts w:eastAsia="Calibri"/>
                <w:lang w:eastAsia="en-US"/>
              </w:rPr>
            </w:pPr>
            <w:r w:rsidRPr="009841AB">
              <w:rPr>
                <w:rFonts w:eastAsia="Calibri"/>
                <w:b/>
                <w:bCs/>
                <w:lang w:eastAsia="en-US"/>
              </w:rPr>
              <w:t>Komentārs:</w:t>
            </w:r>
            <w:r w:rsidRPr="009841AB">
              <w:rPr>
                <w:rFonts w:eastAsia="Calibri"/>
                <w:lang w:eastAsia="en-US"/>
              </w:rPr>
              <w:t xml:space="preserve"> Vēršam uzmanību, ka kvantu skaitļošana ir skaitļošanas procesa tehnoloģija, kura pārskatāmā nākotnē varbūt tiks ieviesta praksē, bet kurai nav tieša sakara ar digitālajām prasmēm. Tā </w:t>
            </w:r>
            <w:proofErr w:type="spellStart"/>
            <w:r w:rsidRPr="009841AB">
              <w:rPr>
                <w:rFonts w:eastAsia="Calibri"/>
                <w:lang w:eastAsia="en-US"/>
              </w:rPr>
              <w:t>jāpārzin</w:t>
            </w:r>
            <w:proofErr w:type="spellEnd"/>
            <w:r w:rsidRPr="009841AB">
              <w:rPr>
                <w:rFonts w:eastAsia="Calibri"/>
                <w:lang w:eastAsia="en-US"/>
              </w:rPr>
              <w:t xml:space="preserve"> un jāattīsta šīs jomas inženieriem un tehniķiem, nevis plašākam lietotāju lokam. No lietotāja viedokļa ir vienalga, vai datora tehniskais pamats ir vakuuma elektronu lampas, pusvadītāju diodes un triodes, čipi vai kvantu skaitļošanas </w:t>
            </w:r>
            <w:proofErr w:type="spellStart"/>
            <w:r w:rsidRPr="009841AB">
              <w:rPr>
                <w:rFonts w:eastAsia="Calibri"/>
                <w:lang w:eastAsia="en-US"/>
              </w:rPr>
              <w:t>kubiti</w:t>
            </w:r>
            <w:proofErr w:type="spellEnd"/>
            <w:r w:rsidRPr="009841AB">
              <w:rPr>
                <w:rFonts w:eastAsia="Calibri"/>
                <w:lang w:eastAsia="en-US"/>
              </w:rPr>
              <w:t xml:space="preserve">. Vidusmēra lietotāju interesē sistēmas iespējas un ražīgums, kā arī ērta </w:t>
            </w:r>
            <w:proofErr w:type="spellStart"/>
            <w:r w:rsidRPr="009841AB">
              <w:rPr>
                <w:rFonts w:eastAsia="Calibri"/>
                <w:lang w:eastAsia="en-US"/>
              </w:rPr>
              <w:t>saskarne</w:t>
            </w:r>
            <w:proofErr w:type="spellEnd"/>
            <w:r w:rsidRPr="009841AB">
              <w:rPr>
                <w:rFonts w:eastAsia="Calibri"/>
                <w:lang w:eastAsia="en-US"/>
              </w:rPr>
              <w:t xml:space="preserve"> ar datorsistēmu.</w:t>
            </w:r>
          </w:p>
        </w:tc>
        <w:tc>
          <w:tcPr>
            <w:tcW w:w="2480" w:type="dxa"/>
            <w:tcBorders>
              <w:left w:val="single" w:sz="6" w:space="0" w:color="000000" w:themeColor="text1"/>
              <w:bottom w:val="single" w:sz="4" w:space="0" w:color="auto"/>
            </w:tcBorders>
            <w:shd w:val="clear" w:color="auto" w:fill="auto"/>
          </w:tcPr>
          <w:p w14:paraId="7434E44B" w14:textId="77777777" w:rsidR="00B8424E" w:rsidRPr="009841AB" w:rsidRDefault="00B8424E" w:rsidP="00B8424E">
            <w:pPr>
              <w:pStyle w:val="naisc"/>
              <w:jc w:val="left"/>
              <w:rPr>
                <w:b/>
                <w:bCs/>
                <w:color w:val="000000"/>
                <w:shd w:val="clear" w:color="auto" w:fill="FFFFFF"/>
              </w:rPr>
            </w:pPr>
            <w:r>
              <w:rPr>
                <w:b/>
                <w:bCs/>
                <w:color w:val="000000"/>
                <w:shd w:val="clear" w:color="auto" w:fill="FFFFFF"/>
              </w:rPr>
              <w:t>Panākta vienošanās</w:t>
            </w:r>
          </w:p>
          <w:p w14:paraId="2EBCF1A2" w14:textId="77777777" w:rsidR="00FE0078" w:rsidRPr="009841AB" w:rsidRDefault="00FE0078" w:rsidP="00FE0078">
            <w:pPr>
              <w:pStyle w:val="naisc"/>
              <w:spacing w:before="0" w:after="0"/>
              <w:jc w:val="left"/>
            </w:pPr>
            <w:r w:rsidRPr="009841AB">
              <w:t>Uzdevums 4.1.4.-3 formulēts saskaņā ar Digitālas Eiropas programmā ietvertajiem darbības virzieniem Eiropas digitālo inovāciju centriem.</w:t>
            </w:r>
          </w:p>
          <w:p w14:paraId="218EAF1E" w14:textId="77777777" w:rsidR="00FE0078" w:rsidRPr="00F44824" w:rsidRDefault="00FE0078" w:rsidP="00FE0078">
            <w:pPr>
              <w:pStyle w:val="naisc"/>
              <w:spacing w:before="0" w:after="0"/>
              <w:jc w:val="left"/>
              <w:rPr>
                <w:bCs/>
              </w:rPr>
            </w:pPr>
            <w:r w:rsidRPr="009841AB">
              <w:rPr>
                <w:bCs/>
              </w:rPr>
              <w:t xml:space="preserve">Skaidrojam, ka Digitālas Eiropas programmas specifiskais mērķis “Padziļinātas digitālās prasmes” (daļu no tā sasniegšanai plānotajiem uzdevumiem risinās ar EDIH </w:t>
            </w:r>
            <w:proofErr w:type="spellStart"/>
            <w:r w:rsidRPr="009841AB">
              <w:rPr>
                <w:bCs/>
              </w:rPr>
              <w:t>satrpniecību</w:t>
            </w:r>
            <w:proofErr w:type="spellEnd"/>
            <w:r w:rsidRPr="009841AB">
              <w:rPr>
                <w:bCs/>
              </w:rPr>
              <w:t xml:space="preserve">) </w:t>
            </w:r>
            <w:r w:rsidRPr="009841AB">
              <w:t xml:space="preserve">atbalsta padziļinātu </w:t>
            </w:r>
            <w:r w:rsidRPr="009841AB">
              <w:lastRenderedPageBreak/>
              <w:t xml:space="preserve">digitālo prasmju pilnveidi  jomās, uz ko attiecas šī programma, …sekmē augstāku profesionalitāti, jo īpaši saistībā ar augstas veiktspējas </w:t>
            </w:r>
            <w:proofErr w:type="spellStart"/>
            <w:r w:rsidRPr="009841AB">
              <w:t>datošanu</w:t>
            </w:r>
            <w:proofErr w:type="spellEnd"/>
            <w:r w:rsidRPr="009841AB">
              <w:t xml:space="preserve"> </w:t>
            </w:r>
            <w:r w:rsidRPr="009841AB">
              <w:rPr>
                <w:b/>
                <w:i/>
              </w:rPr>
              <w:t xml:space="preserve">un </w:t>
            </w:r>
            <w:proofErr w:type="spellStart"/>
            <w:r w:rsidRPr="009841AB">
              <w:rPr>
                <w:b/>
                <w:i/>
              </w:rPr>
              <w:t>mākoņdatošanu</w:t>
            </w:r>
            <w:proofErr w:type="spellEnd"/>
            <w:r w:rsidRPr="009841AB">
              <w:t xml:space="preserve">, lielo datu analītiku, </w:t>
            </w:r>
            <w:proofErr w:type="spellStart"/>
            <w:r w:rsidRPr="009841AB">
              <w:t>kiberdrošību</w:t>
            </w:r>
            <w:proofErr w:type="spellEnd"/>
            <w:r w:rsidRPr="009841AB">
              <w:t xml:space="preserve">, sadalītās virsgrāmatas tehnoloģijām </w:t>
            </w:r>
            <w:r w:rsidRPr="009841AB">
              <w:rPr>
                <w:b/>
                <w:i/>
              </w:rPr>
              <w:t xml:space="preserve">(piemēram, </w:t>
            </w:r>
            <w:proofErr w:type="spellStart"/>
            <w:r w:rsidRPr="009841AB">
              <w:rPr>
                <w:b/>
                <w:i/>
              </w:rPr>
              <w:t>blokķēdi</w:t>
            </w:r>
            <w:proofErr w:type="spellEnd"/>
            <w:r w:rsidRPr="009841AB">
              <w:rPr>
                <w:b/>
                <w:i/>
              </w:rPr>
              <w:t>), kvantu tehnoloģijām</w:t>
            </w:r>
            <w:r w:rsidRPr="009841AB">
              <w:t>, robotiku, MI.</w:t>
            </w:r>
          </w:p>
        </w:tc>
        <w:tc>
          <w:tcPr>
            <w:tcW w:w="3497" w:type="dxa"/>
            <w:tcBorders>
              <w:left w:val="single" w:sz="6" w:space="0" w:color="000000" w:themeColor="text1"/>
              <w:bottom w:val="single" w:sz="4" w:space="0" w:color="auto"/>
            </w:tcBorders>
            <w:shd w:val="clear" w:color="auto" w:fill="auto"/>
          </w:tcPr>
          <w:p w14:paraId="79E0CE83" w14:textId="77777777" w:rsidR="00FE0078" w:rsidRPr="009841AB" w:rsidRDefault="00FE0078" w:rsidP="00FE0078">
            <w:pPr>
              <w:pStyle w:val="naisc"/>
              <w:spacing w:before="0" w:after="0"/>
              <w:jc w:val="both"/>
            </w:pPr>
          </w:p>
        </w:tc>
      </w:tr>
      <w:tr w:rsidR="00FE0078" w:rsidRPr="009841AB" w14:paraId="1FEF268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935DBE9" w14:textId="77777777" w:rsidR="00FE0078" w:rsidRPr="009841AB" w:rsidRDefault="00F73644" w:rsidP="00FE0078">
            <w:pPr>
              <w:pStyle w:val="naisc"/>
              <w:spacing w:before="0" w:after="0"/>
            </w:pPr>
            <w:r>
              <w:t>530</w:t>
            </w:r>
          </w:p>
        </w:tc>
        <w:tc>
          <w:tcPr>
            <w:tcW w:w="2427" w:type="dxa"/>
            <w:tcBorders>
              <w:left w:val="single" w:sz="6" w:space="0" w:color="000000" w:themeColor="text1"/>
              <w:bottom w:val="single" w:sz="4" w:space="0" w:color="auto"/>
            </w:tcBorders>
            <w:shd w:val="clear" w:color="auto" w:fill="auto"/>
          </w:tcPr>
          <w:p w14:paraId="12424F37"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14E5B518" w14:textId="77777777" w:rsidR="00FE0078" w:rsidRPr="009841AB" w:rsidRDefault="00FE0078" w:rsidP="00FE0078">
            <w:pPr>
              <w:spacing w:after="120"/>
              <w:jc w:val="both"/>
              <w:rPr>
                <w:i/>
                <w:lang w:eastAsia="en-GB"/>
              </w:rPr>
            </w:pPr>
            <w:r w:rsidRPr="009841AB">
              <w:rPr>
                <w:i/>
                <w:lang w:eastAsia="en-GB"/>
              </w:rPr>
              <w:t xml:space="preserve">2.  4.2.2-3. Nacionālās </w:t>
            </w:r>
            <w:proofErr w:type="spellStart"/>
            <w:r w:rsidRPr="009841AB">
              <w:rPr>
                <w:i/>
                <w:lang w:eastAsia="en-GB"/>
              </w:rPr>
              <w:t>eID</w:t>
            </w:r>
            <w:proofErr w:type="spellEnd"/>
            <w:r w:rsidRPr="009841AB">
              <w:rPr>
                <w:i/>
                <w:lang w:eastAsia="en-GB"/>
              </w:rPr>
              <w:t xml:space="preserve"> un uzticamības pakalpojumu platformas papildināšana ar jauniem pakalpojumiem (t.sk. e-identifikāciju jauniešiem, nerezidentiem u.c.)</w:t>
            </w:r>
          </w:p>
          <w:p w14:paraId="4B611177" w14:textId="77777777" w:rsidR="00FE0078" w:rsidRPr="009841AB" w:rsidRDefault="00FE0078" w:rsidP="00FE0078">
            <w:pPr>
              <w:spacing w:after="120"/>
              <w:jc w:val="both"/>
              <w:rPr>
                <w:rFonts w:eastAsia="Calibri"/>
                <w:lang w:eastAsia="en-US"/>
              </w:rPr>
            </w:pPr>
            <w:r w:rsidRPr="009841AB">
              <w:rPr>
                <w:rFonts w:eastAsia="Calibri"/>
                <w:b/>
                <w:bCs/>
                <w:lang w:eastAsia="en-US"/>
              </w:rPr>
              <w:t>Jautājums:</w:t>
            </w:r>
            <w:r w:rsidRPr="009841AB">
              <w:rPr>
                <w:rFonts w:eastAsia="Calibri"/>
                <w:lang w:eastAsia="en-US"/>
              </w:rPr>
              <w:t xml:space="preserve"> Vai jauniešiem vajadzīga kāda īpaša identifikācija, kas atšķiras no citu iedzīvotāju identifikācijas?</w:t>
            </w:r>
          </w:p>
        </w:tc>
        <w:tc>
          <w:tcPr>
            <w:tcW w:w="2480" w:type="dxa"/>
            <w:tcBorders>
              <w:left w:val="single" w:sz="6" w:space="0" w:color="000000" w:themeColor="text1"/>
              <w:bottom w:val="single" w:sz="4" w:space="0" w:color="auto"/>
            </w:tcBorders>
            <w:shd w:val="clear" w:color="auto" w:fill="auto"/>
          </w:tcPr>
          <w:p w14:paraId="65E7E176" w14:textId="77777777" w:rsidR="00FE0078" w:rsidRPr="009841AB" w:rsidRDefault="00FE0078" w:rsidP="00FE0078">
            <w:pPr>
              <w:pStyle w:val="naisc"/>
              <w:spacing w:before="0" w:after="0"/>
              <w:jc w:val="left"/>
              <w:rPr>
                <w:b/>
                <w:bCs/>
              </w:rPr>
            </w:pPr>
            <w:r w:rsidRPr="009841AB">
              <w:rPr>
                <w:b/>
                <w:bCs/>
              </w:rPr>
              <w:t>Ņemts vērā</w:t>
            </w:r>
          </w:p>
          <w:p w14:paraId="0BC166E7" w14:textId="77777777" w:rsidR="00FE0078" w:rsidRPr="009841AB" w:rsidRDefault="00FE0078" w:rsidP="00FE0078">
            <w:pPr>
              <w:pStyle w:val="naisc"/>
              <w:spacing w:before="0" w:after="0"/>
              <w:jc w:val="left"/>
              <w:rPr>
                <w:b/>
                <w:bCs/>
              </w:rPr>
            </w:pPr>
            <w:r w:rsidRPr="009841AB">
              <w:t xml:space="preserve">Teksts precizēts, norādot, ka runa ir par bērniem ( (7-14. </w:t>
            </w:r>
            <w:proofErr w:type="spellStart"/>
            <w:r w:rsidRPr="009841AB">
              <w:t>g.v</w:t>
            </w:r>
            <w:proofErr w:type="spellEnd"/>
            <w:r w:rsidRPr="009841AB">
              <w:t xml:space="preserve">.), kuriem netiek izsniegts paaugstināta drošības līmeņa kvalificētais identifikācijas līdzeklis </w:t>
            </w:r>
            <w:proofErr w:type="spellStart"/>
            <w:r w:rsidRPr="009841AB">
              <w:t>eID</w:t>
            </w:r>
            <w:proofErr w:type="spellEnd"/>
            <w:r w:rsidRPr="009841AB">
              <w:t xml:space="preserve"> kartē, tāpēc viņiem nepieciešama alternatīva - būtiska uzticamības līmeņa identifikācijas līdzeklis.</w:t>
            </w:r>
          </w:p>
        </w:tc>
        <w:tc>
          <w:tcPr>
            <w:tcW w:w="3497" w:type="dxa"/>
            <w:tcBorders>
              <w:left w:val="single" w:sz="6" w:space="0" w:color="000000" w:themeColor="text1"/>
              <w:bottom w:val="single" w:sz="4" w:space="0" w:color="auto"/>
            </w:tcBorders>
            <w:shd w:val="clear" w:color="auto" w:fill="auto"/>
          </w:tcPr>
          <w:p w14:paraId="15956923"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4.4.2</w:t>
            </w:r>
          </w:p>
        </w:tc>
      </w:tr>
      <w:tr w:rsidR="00FE0078" w:rsidRPr="009841AB" w14:paraId="47078E2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4A6C9F6" w14:textId="77777777" w:rsidR="00FE0078" w:rsidRPr="009841AB" w:rsidRDefault="00F73644" w:rsidP="00FE0078">
            <w:pPr>
              <w:pStyle w:val="naisc"/>
              <w:spacing w:before="0" w:after="0"/>
            </w:pPr>
            <w:r>
              <w:t>531</w:t>
            </w:r>
          </w:p>
        </w:tc>
        <w:tc>
          <w:tcPr>
            <w:tcW w:w="2427" w:type="dxa"/>
            <w:tcBorders>
              <w:left w:val="single" w:sz="6" w:space="0" w:color="000000" w:themeColor="text1"/>
              <w:bottom w:val="single" w:sz="4" w:space="0" w:color="auto"/>
            </w:tcBorders>
            <w:shd w:val="clear" w:color="auto" w:fill="auto"/>
          </w:tcPr>
          <w:p w14:paraId="7D9EBAEE"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4D763120" w14:textId="77777777" w:rsidR="00FE0078" w:rsidRPr="009841AB" w:rsidRDefault="00FE0078" w:rsidP="00FE0078">
            <w:pPr>
              <w:jc w:val="both"/>
              <w:rPr>
                <w:i/>
                <w:lang w:eastAsia="en-GB"/>
              </w:rPr>
            </w:pPr>
            <w:bookmarkStart w:id="15" w:name="_Hlk62052910"/>
            <w:r w:rsidRPr="009841AB">
              <w:rPr>
                <w:rFonts w:eastAsia="Calibri"/>
                <w:i/>
                <w:lang w:eastAsia="en-US"/>
              </w:rPr>
              <w:t xml:space="preserve">3.    4.3.1.3-1. </w:t>
            </w:r>
            <w:r w:rsidRPr="009841AB">
              <w:rPr>
                <w:i/>
                <w:lang w:eastAsia="en-GB"/>
              </w:rPr>
              <w:t>Tiesiskā regulējuma izstrāde kartēšanas funkcijas nodefinēšanai</w:t>
            </w:r>
          </w:p>
          <w:p w14:paraId="4A476B6C" w14:textId="77777777" w:rsidR="00FE0078" w:rsidRPr="009841AB" w:rsidRDefault="00FE0078" w:rsidP="00FE0078">
            <w:pPr>
              <w:jc w:val="both"/>
              <w:rPr>
                <w:rFonts w:eastAsia="Calibri"/>
                <w:b/>
                <w:lang w:eastAsia="en-US"/>
              </w:rPr>
            </w:pPr>
            <w:r w:rsidRPr="009841AB">
              <w:rPr>
                <w:rFonts w:eastAsia="Calibri"/>
                <w:b/>
                <w:lang w:eastAsia="en-US"/>
              </w:rPr>
              <w:t>Ierosinām šādu redakciju:</w:t>
            </w:r>
          </w:p>
          <w:p w14:paraId="30F0DD0F" w14:textId="77777777" w:rsidR="00FE0078" w:rsidRPr="009841AB" w:rsidRDefault="00FE0078" w:rsidP="00FE0078">
            <w:pPr>
              <w:jc w:val="both"/>
              <w:rPr>
                <w:lang w:eastAsia="en-GB"/>
              </w:rPr>
            </w:pPr>
            <w:r w:rsidRPr="009841AB">
              <w:rPr>
                <w:lang w:eastAsia="en-GB"/>
              </w:rPr>
              <w:t xml:space="preserve"> “4.3.1.3-1. Tiesiskā regulējuma izstrāde kartēšanas funkcijas </w:t>
            </w:r>
            <w:r w:rsidRPr="009841AB">
              <w:rPr>
                <w:strike/>
                <w:lang w:eastAsia="en-GB"/>
              </w:rPr>
              <w:t>no</w:t>
            </w:r>
            <w:r w:rsidRPr="009841AB">
              <w:rPr>
                <w:u w:val="single"/>
                <w:lang w:eastAsia="en-GB"/>
              </w:rPr>
              <w:t>definēšanai</w:t>
            </w:r>
            <w:r w:rsidRPr="009841AB">
              <w:rPr>
                <w:lang w:eastAsia="en-GB"/>
              </w:rPr>
              <w:t>”</w:t>
            </w:r>
            <w:bookmarkEnd w:id="15"/>
          </w:p>
        </w:tc>
        <w:tc>
          <w:tcPr>
            <w:tcW w:w="2480" w:type="dxa"/>
            <w:tcBorders>
              <w:left w:val="single" w:sz="6" w:space="0" w:color="000000" w:themeColor="text1"/>
              <w:bottom w:val="single" w:sz="4" w:space="0" w:color="auto"/>
            </w:tcBorders>
            <w:shd w:val="clear" w:color="auto" w:fill="auto"/>
          </w:tcPr>
          <w:p w14:paraId="235D6596" w14:textId="77777777" w:rsidR="00FE0078" w:rsidRPr="009841AB" w:rsidRDefault="00FE0078"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510EFCDD"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4.3.1.3.</w:t>
            </w:r>
          </w:p>
        </w:tc>
      </w:tr>
      <w:tr w:rsidR="00FE0078" w:rsidRPr="009841AB" w14:paraId="0103055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7E5BFF9" w14:textId="77777777" w:rsidR="00FE0078" w:rsidRPr="009841AB" w:rsidRDefault="00F73644" w:rsidP="00FE0078">
            <w:pPr>
              <w:pStyle w:val="naisc"/>
              <w:spacing w:before="0" w:after="0"/>
            </w:pPr>
            <w:r>
              <w:lastRenderedPageBreak/>
              <w:t>532</w:t>
            </w:r>
          </w:p>
        </w:tc>
        <w:tc>
          <w:tcPr>
            <w:tcW w:w="2427" w:type="dxa"/>
            <w:tcBorders>
              <w:left w:val="single" w:sz="6" w:space="0" w:color="000000" w:themeColor="text1"/>
              <w:bottom w:val="single" w:sz="4" w:space="0" w:color="auto"/>
            </w:tcBorders>
            <w:shd w:val="clear" w:color="auto" w:fill="auto"/>
          </w:tcPr>
          <w:p w14:paraId="1402575A"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38DDCB66" w14:textId="77777777" w:rsidR="00FE0078" w:rsidRPr="009841AB" w:rsidRDefault="00FE0078" w:rsidP="00FE0078">
            <w:pPr>
              <w:jc w:val="both"/>
              <w:rPr>
                <w:i/>
                <w:lang w:eastAsia="en-GB"/>
              </w:rPr>
            </w:pPr>
            <w:r w:rsidRPr="009841AB">
              <w:rPr>
                <w:i/>
                <w:lang w:eastAsia="en-GB"/>
              </w:rPr>
              <w:t>4.    4.4.4.-2. Izveidot organizatorisko un tiesisko ietvaru visu valsts pārvaldē radīto un uzturēto bezmaksas ģeotelpisko datu apmaiņai.</w:t>
            </w:r>
          </w:p>
          <w:p w14:paraId="2FD0C845" w14:textId="77777777" w:rsidR="00FE0078" w:rsidRPr="009841AB" w:rsidRDefault="00FE0078" w:rsidP="00FE0078">
            <w:pPr>
              <w:jc w:val="both"/>
              <w:rPr>
                <w:rFonts w:eastAsia="Calibri"/>
                <w:b/>
                <w:lang w:eastAsia="en-US"/>
              </w:rPr>
            </w:pPr>
            <w:r w:rsidRPr="009841AB">
              <w:rPr>
                <w:rFonts w:eastAsia="Calibri"/>
                <w:b/>
                <w:lang w:eastAsia="en-US"/>
              </w:rPr>
              <w:t>Ierosinām šādu redakciju:</w:t>
            </w:r>
          </w:p>
          <w:p w14:paraId="779FCC17" w14:textId="77777777" w:rsidR="00FE0078" w:rsidRPr="009841AB" w:rsidRDefault="00FE0078" w:rsidP="00FE0078">
            <w:pPr>
              <w:jc w:val="both"/>
              <w:rPr>
                <w:rFonts w:eastAsia="Calibri"/>
                <w:lang w:eastAsia="en-US"/>
              </w:rPr>
            </w:pPr>
            <w:r w:rsidRPr="009841AB">
              <w:rPr>
                <w:lang w:eastAsia="en-GB"/>
              </w:rPr>
              <w:t xml:space="preserve">“4.4.4.-2. </w:t>
            </w:r>
            <w:r w:rsidRPr="009841AB">
              <w:rPr>
                <w:u w:val="single"/>
                <w:lang w:eastAsia="en-GB"/>
              </w:rPr>
              <w:t>Attīstīt</w:t>
            </w:r>
            <w:r w:rsidRPr="009841AB">
              <w:rPr>
                <w:lang w:eastAsia="en-GB"/>
              </w:rPr>
              <w:t xml:space="preserve"> organizatorisko un tiesisko ietvaru visu valsts pārvaldē radīto un uzturēto bezmaksas ģeotelpisko datu apmaiņai.”</w:t>
            </w:r>
          </w:p>
        </w:tc>
        <w:tc>
          <w:tcPr>
            <w:tcW w:w="2480" w:type="dxa"/>
            <w:tcBorders>
              <w:left w:val="single" w:sz="6" w:space="0" w:color="000000" w:themeColor="text1"/>
              <w:bottom w:val="single" w:sz="4" w:space="0" w:color="auto"/>
            </w:tcBorders>
            <w:shd w:val="clear" w:color="auto" w:fill="auto"/>
          </w:tcPr>
          <w:p w14:paraId="48658411" w14:textId="77777777" w:rsidR="00FE0078" w:rsidRPr="009841AB" w:rsidRDefault="009C4D01" w:rsidP="00FE0078">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798867CC" w14:textId="77777777" w:rsidR="00FE0078" w:rsidRPr="009841AB" w:rsidRDefault="009C4D01" w:rsidP="009C4D01">
            <w:pPr>
              <w:pStyle w:val="naisc"/>
              <w:spacing w:before="0" w:after="0"/>
              <w:jc w:val="left"/>
            </w:pPr>
            <w:r w:rsidRPr="009841AB">
              <w:t xml:space="preserve">Lūdzam skatīt </w:t>
            </w:r>
            <w:proofErr w:type="spellStart"/>
            <w:r w:rsidRPr="009841AB">
              <w:t>apakšsadaļu</w:t>
            </w:r>
            <w:proofErr w:type="spellEnd"/>
            <w:r w:rsidRPr="009841AB">
              <w:t xml:space="preserve"> 4.3.4.</w:t>
            </w:r>
          </w:p>
        </w:tc>
      </w:tr>
      <w:tr w:rsidR="00FE0078" w:rsidRPr="009841AB" w14:paraId="33DC613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BF04A0B" w14:textId="77777777" w:rsidR="00FE0078" w:rsidRPr="009841AB" w:rsidRDefault="00F73644" w:rsidP="00FE0078">
            <w:pPr>
              <w:pStyle w:val="naisc"/>
              <w:spacing w:before="0" w:after="0"/>
            </w:pPr>
            <w:r>
              <w:t>533</w:t>
            </w:r>
          </w:p>
        </w:tc>
        <w:tc>
          <w:tcPr>
            <w:tcW w:w="2427" w:type="dxa"/>
            <w:tcBorders>
              <w:left w:val="single" w:sz="6" w:space="0" w:color="000000" w:themeColor="text1"/>
              <w:bottom w:val="single" w:sz="4" w:space="0" w:color="auto"/>
            </w:tcBorders>
            <w:shd w:val="clear" w:color="auto" w:fill="auto"/>
          </w:tcPr>
          <w:p w14:paraId="7C5582BA"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7785132D" w14:textId="77777777" w:rsidR="00FE0078" w:rsidRPr="009841AB" w:rsidRDefault="00FE0078" w:rsidP="00FE0078">
            <w:pPr>
              <w:jc w:val="both"/>
              <w:rPr>
                <w:i/>
                <w:lang w:eastAsia="en-GB"/>
              </w:rPr>
            </w:pPr>
            <w:r w:rsidRPr="009841AB">
              <w:rPr>
                <w:rFonts w:eastAsia="Calibri"/>
                <w:i/>
                <w:lang w:eastAsia="en-US"/>
              </w:rPr>
              <w:t xml:space="preserve">5.    4.4.10.3.-1. </w:t>
            </w:r>
            <w:r w:rsidRPr="009841AB">
              <w:rPr>
                <w:i/>
                <w:lang w:eastAsia="en-GB"/>
              </w:rPr>
              <w:t xml:space="preserve">Izveidot Latvijas valsts vienoto </w:t>
            </w:r>
            <w:proofErr w:type="spellStart"/>
            <w:r w:rsidRPr="009841AB">
              <w:rPr>
                <w:i/>
                <w:lang w:eastAsia="en-GB"/>
              </w:rPr>
              <w:t>mākoņrisinājumu</w:t>
            </w:r>
            <w:proofErr w:type="spellEnd"/>
            <w:r w:rsidRPr="009841AB">
              <w:rPr>
                <w:i/>
                <w:lang w:eastAsia="en-GB"/>
              </w:rPr>
              <w:t>, un ieviest ar to saistītos pakalpojumus.</w:t>
            </w:r>
          </w:p>
          <w:p w14:paraId="473D9E0F" w14:textId="77777777" w:rsidR="00FE0078" w:rsidRPr="009841AB" w:rsidRDefault="00FE0078" w:rsidP="00FE0078">
            <w:pPr>
              <w:rPr>
                <w:rFonts w:eastAsia="Calibri"/>
                <w:lang w:eastAsia="en-US"/>
              </w:rPr>
            </w:pPr>
            <w:r w:rsidRPr="009841AB">
              <w:rPr>
                <w:rFonts w:eastAsia="Calibri"/>
                <w:b/>
                <w:bCs/>
                <w:lang w:eastAsia="en-US"/>
              </w:rPr>
              <w:t>Komentārs:</w:t>
            </w:r>
            <w:r w:rsidRPr="009841AB">
              <w:rPr>
                <w:rFonts w:eastAsia="Calibri"/>
                <w:lang w:eastAsia="en-US"/>
              </w:rPr>
              <w:t xml:space="preserve"> vienots risinājums ir nedrošāks pret ārējiem draudiem, tāpēc vēršam uzmanību, ka būtu rūpīgi jāizplāno visi iespējamie drošības pasākumi.</w:t>
            </w:r>
          </w:p>
        </w:tc>
        <w:tc>
          <w:tcPr>
            <w:tcW w:w="2480" w:type="dxa"/>
            <w:tcBorders>
              <w:left w:val="single" w:sz="6" w:space="0" w:color="000000" w:themeColor="text1"/>
              <w:bottom w:val="single" w:sz="4" w:space="0" w:color="auto"/>
            </w:tcBorders>
            <w:shd w:val="clear" w:color="auto" w:fill="auto"/>
          </w:tcPr>
          <w:p w14:paraId="21E570E7" w14:textId="77777777" w:rsidR="00FE0078" w:rsidRPr="009841AB" w:rsidRDefault="00FE0078" w:rsidP="00FE0078">
            <w:pPr>
              <w:pStyle w:val="naisc"/>
              <w:spacing w:before="0" w:after="0"/>
              <w:jc w:val="left"/>
              <w:rPr>
                <w:b/>
                <w:bCs/>
              </w:rPr>
            </w:pPr>
            <w:r w:rsidRPr="009841AB">
              <w:rPr>
                <w:b/>
                <w:bCs/>
              </w:rPr>
              <w:t>Ņemts vērā</w:t>
            </w:r>
          </w:p>
          <w:p w14:paraId="7A292462" w14:textId="77777777" w:rsidR="00FE0078" w:rsidRPr="009841AB" w:rsidRDefault="00FE0078" w:rsidP="00FE0078">
            <w:pPr>
              <w:pStyle w:val="naisc"/>
              <w:spacing w:before="0" w:after="0"/>
              <w:jc w:val="left"/>
              <w:rPr>
                <w:b/>
                <w:bCs/>
              </w:rPr>
            </w:pPr>
            <w:r w:rsidRPr="009841AB">
              <w:t xml:space="preserve">Formulējumi ir mainīti, lai tieši norādītu, ka nav runa par vienu - vienotu risinājumu, bet gan dažādu piegādātāju un pārvaldnieku </w:t>
            </w:r>
            <w:proofErr w:type="spellStart"/>
            <w:r w:rsidRPr="009841AB">
              <w:t>mākoņdatošanas</w:t>
            </w:r>
            <w:proofErr w:type="spellEnd"/>
            <w:r w:rsidRPr="009841AB">
              <w:t xml:space="preserve"> risinājumu federāciju, kas var funkcionēt arī pilnīgi nošķirti un patstāvīgi, bet var arī viens otru rezervēt un savstarpēji papildināt.</w:t>
            </w:r>
          </w:p>
        </w:tc>
        <w:tc>
          <w:tcPr>
            <w:tcW w:w="3497" w:type="dxa"/>
            <w:tcBorders>
              <w:left w:val="single" w:sz="6" w:space="0" w:color="000000" w:themeColor="text1"/>
              <w:bottom w:val="single" w:sz="4" w:space="0" w:color="auto"/>
            </w:tcBorders>
            <w:shd w:val="clear" w:color="auto" w:fill="auto"/>
          </w:tcPr>
          <w:p w14:paraId="1765B4F9" w14:textId="77777777" w:rsidR="00FE0078" w:rsidRPr="009841AB" w:rsidRDefault="00FE0078" w:rsidP="00FE0078">
            <w:pPr>
              <w:pStyle w:val="naisc"/>
              <w:spacing w:before="0" w:after="0"/>
              <w:jc w:val="left"/>
            </w:pPr>
            <w:r w:rsidRPr="009841AB">
              <w:t xml:space="preserve">Lūdzam skatīt </w:t>
            </w:r>
            <w:proofErr w:type="spellStart"/>
            <w:r w:rsidRPr="009841AB">
              <w:t>apakšsadaļu</w:t>
            </w:r>
            <w:proofErr w:type="spellEnd"/>
            <w:r w:rsidRPr="009841AB">
              <w:t xml:space="preserve"> 4.4.10.3.</w:t>
            </w:r>
          </w:p>
        </w:tc>
      </w:tr>
      <w:tr w:rsidR="00FE0078" w:rsidRPr="009841AB" w14:paraId="382D605E"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8895923" w14:textId="77777777" w:rsidR="00FE0078" w:rsidRPr="009841AB" w:rsidRDefault="00FE0078" w:rsidP="00FE0078">
            <w:pPr>
              <w:jc w:val="both"/>
              <w:rPr>
                <w:b/>
                <w:bCs/>
              </w:rPr>
            </w:pPr>
            <w:r w:rsidRPr="009841AB">
              <w:rPr>
                <w:b/>
                <w:bCs/>
              </w:rPr>
              <w:t>Latvijas Lielo pilsētu asociācijas 29.01.2021. atzinums:</w:t>
            </w:r>
          </w:p>
        </w:tc>
      </w:tr>
      <w:tr w:rsidR="00FE0078" w:rsidRPr="009841AB" w14:paraId="31D3D20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FD6C905" w14:textId="77777777" w:rsidR="00FE0078" w:rsidRPr="009841AB" w:rsidRDefault="00FE7F6C" w:rsidP="00FE0078">
            <w:pPr>
              <w:pStyle w:val="naisc"/>
              <w:spacing w:before="0" w:after="0"/>
            </w:pPr>
            <w:r>
              <w:t>534</w:t>
            </w:r>
          </w:p>
        </w:tc>
        <w:tc>
          <w:tcPr>
            <w:tcW w:w="2427" w:type="dxa"/>
            <w:tcBorders>
              <w:left w:val="single" w:sz="6" w:space="0" w:color="000000" w:themeColor="text1"/>
              <w:bottom w:val="single" w:sz="4" w:space="0" w:color="auto"/>
            </w:tcBorders>
            <w:shd w:val="clear" w:color="auto" w:fill="auto"/>
          </w:tcPr>
          <w:p w14:paraId="2DEA9A9C"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1C3A2BB0" w14:textId="77777777" w:rsidR="00FE0078" w:rsidRPr="009841AB" w:rsidRDefault="00FE0078" w:rsidP="00FE0078">
            <w:pPr>
              <w:jc w:val="both"/>
              <w:rPr>
                <w:i/>
                <w:iCs/>
                <w:color w:val="000000"/>
              </w:rPr>
            </w:pPr>
            <w:r w:rsidRPr="009841AB">
              <w:rPr>
                <w:lang w:eastAsia="en-US"/>
              </w:rPr>
              <w:t>1.</w:t>
            </w:r>
            <w:r w:rsidRPr="009841AB">
              <w:rPr>
                <w:b/>
                <w:bCs/>
                <w:lang w:eastAsia="en-US"/>
              </w:rPr>
              <w:t xml:space="preserve"> </w:t>
            </w:r>
            <w:r w:rsidRPr="009841AB">
              <w:rPr>
                <w:i/>
                <w:iCs/>
                <w:color w:val="000000"/>
              </w:rPr>
              <w:t>2.pielikums "Rīcības virzieni un uzdevumi"</w:t>
            </w:r>
          </w:p>
          <w:p w14:paraId="7EAAD0AE" w14:textId="77777777" w:rsidR="00FE0078" w:rsidRPr="009841AB" w:rsidRDefault="00FE0078" w:rsidP="00FE0078">
            <w:pPr>
              <w:tabs>
                <w:tab w:val="left" w:pos="720"/>
              </w:tabs>
              <w:contextualSpacing/>
              <w:jc w:val="both"/>
              <w:rPr>
                <w:i/>
                <w:iCs/>
                <w:color w:val="000000"/>
              </w:rPr>
            </w:pPr>
            <w:r w:rsidRPr="009841AB">
              <w:rPr>
                <w:i/>
                <w:iCs/>
                <w:color w:val="000000"/>
              </w:rPr>
              <w:t>Ieviest plānu digitālo prasmju pilnveidei valsts un pašvaldību iestādēm</w:t>
            </w:r>
          </w:p>
          <w:p w14:paraId="7A14A9EE" w14:textId="77777777" w:rsidR="00FE0078" w:rsidRPr="009841AB" w:rsidRDefault="00FE0078" w:rsidP="00FE0078">
            <w:pPr>
              <w:tabs>
                <w:tab w:val="left" w:pos="720"/>
              </w:tabs>
              <w:contextualSpacing/>
              <w:jc w:val="both"/>
              <w:rPr>
                <w:color w:val="000000"/>
              </w:rPr>
            </w:pPr>
            <w:r w:rsidRPr="009841AB">
              <w:rPr>
                <w:color w:val="000000"/>
              </w:rPr>
              <w:t>Vai plāna ieviešana paredzēta bez LPS un pašvaldību līdzdalības?</w:t>
            </w:r>
          </w:p>
        </w:tc>
        <w:tc>
          <w:tcPr>
            <w:tcW w:w="2480" w:type="dxa"/>
            <w:tcBorders>
              <w:left w:val="single" w:sz="6" w:space="0" w:color="000000" w:themeColor="text1"/>
              <w:bottom w:val="single" w:sz="4" w:space="0" w:color="auto"/>
            </w:tcBorders>
            <w:shd w:val="clear" w:color="auto" w:fill="auto"/>
          </w:tcPr>
          <w:p w14:paraId="05C80015" w14:textId="77777777" w:rsidR="00FE0078" w:rsidRPr="009841AB" w:rsidRDefault="00FE0078" w:rsidP="00FE0078">
            <w:pPr>
              <w:pStyle w:val="naisc"/>
              <w:spacing w:before="0" w:after="0"/>
              <w:jc w:val="left"/>
              <w:rPr>
                <w:b/>
                <w:bCs/>
              </w:rPr>
            </w:pPr>
            <w:r w:rsidRPr="009841AB">
              <w:rPr>
                <w:b/>
                <w:bCs/>
              </w:rPr>
              <w:t>Ņemts vērā</w:t>
            </w:r>
          </w:p>
          <w:p w14:paraId="64B7D967" w14:textId="77777777" w:rsidR="00FE0078" w:rsidRPr="009841AB" w:rsidRDefault="00FE0078" w:rsidP="00FE0078">
            <w:pPr>
              <w:tabs>
                <w:tab w:val="left" w:pos="720"/>
              </w:tabs>
              <w:contextualSpacing/>
              <w:jc w:val="both"/>
              <w:rPr>
                <w:iCs/>
                <w:color w:val="000000"/>
              </w:rPr>
            </w:pPr>
            <w:r w:rsidRPr="009841AB">
              <w:t xml:space="preserve">Otrā pielikuma </w:t>
            </w:r>
            <w:r w:rsidRPr="009841AB">
              <w:rPr>
                <w:iCs/>
                <w:color w:val="000000"/>
              </w:rPr>
              <w:t>uzdevuma 4.1.1.-2 “Ieviest plānu digitālo prasmju pilnveidei valsts un pašvaldību iestādēm”</w:t>
            </w:r>
          </w:p>
          <w:p w14:paraId="7C1C31F6" w14:textId="77777777" w:rsidR="00FE0078" w:rsidRPr="009841AB" w:rsidRDefault="00FE0078" w:rsidP="00FE0078">
            <w:pPr>
              <w:pStyle w:val="naisc"/>
              <w:spacing w:before="0" w:after="0"/>
              <w:jc w:val="left"/>
              <w:rPr>
                <w:b/>
                <w:bCs/>
              </w:rPr>
            </w:pPr>
            <w:r w:rsidRPr="009841AB">
              <w:rPr>
                <w:iCs/>
                <w:color w:val="000000"/>
              </w:rPr>
              <w:t xml:space="preserve"> teksts precizēts par atbildīgo nosakot Valsts administrācijas skolu (VAS), līdzatbildīgo saraksts precizēts ietverot visas </w:t>
            </w:r>
            <w:r w:rsidRPr="009841AB">
              <w:rPr>
                <w:iCs/>
                <w:color w:val="000000"/>
              </w:rPr>
              <w:lastRenderedPageBreak/>
              <w:t>ministrijas, LPS un pašvaldības. Precizējums saskaņots ar VAS.</w:t>
            </w:r>
          </w:p>
        </w:tc>
        <w:tc>
          <w:tcPr>
            <w:tcW w:w="3497" w:type="dxa"/>
            <w:tcBorders>
              <w:left w:val="single" w:sz="6" w:space="0" w:color="000000" w:themeColor="text1"/>
              <w:bottom w:val="single" w:sz="4" w:space="0" w:color="auto"/>
            </w:tcBorders>
            <w:shd w:val="clear" w:color="auto" w:fill="auto"/>
          </w:tcPr>
          <w:p w14:paraId="60B599A2" w14:textId="77777777" w:rsidR="00FE0078" w:rsidRPr="009841AB" w:rsidRDefault="00FE0078" w:rsidP="00FE0078">
            <w:pPr>
              <w:rPr>
                <w:i/>
                <w:color w:val="000000"/>
              </w:rPr>
            </w:pPr>
            <w:r w:rsidRPr="009841AB">
              <w:lastRenderedPageBreak/>
              <w:t>Lūdzam skatīt 2.pielikumu</w:t>
            </w:r>
          </w:p>
        </w:tc>
      </w:tr>
      <w:tr w:rsidR="009C4D01" w:rsidRPr="009841AB" w14:paraId="7831B051"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62CA817" w14:textId="77777777" w:rsidR="009C4D01" w:rsidRPr="009841AB" w:rsidRDefault="00FE7F6C" w:rsidP="009C4D01">
            <w:pPr>
              <w:pStyle w:val="naisc"/>
              <w:spacing w:before="0" w:after="0"/>
            </w:pPr>
            <w:r>
              <w:t>535</w:t>
            </w:r>
          </w:p>
        </w:tc>
        <w:tc>
          <w:tcPr>
            <w:tcW w:w="2427" w:type="dxa"/>
            <w:tcBorders>
              <w:left w:val="single" w:sz="6" w:space="0" w:color="000000" w:themeColor="text1"/>
              <w:bottom w:val="single" w:sz="4" w:space="0" w:color="auto"/>
            </w:tcBorders>
            <w:shd w:val="clear" w:color="auto" w:fill="auto"/>
          </w:tcPr>
          <w:p w14:paraId="1A393C85" w14:textId="77777777" w:rsidR="009C4D01" w:rsidRPr="009841AB" w:rsidRDefault="009C4D01" w:rsidP="009C4D01">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20D37CB5" w14:textId="77777777" w:rsidR="009C4D01" w:rsidRPr="009841AB" w:rsidRDefault="009C4D01" w:rsidP="009C4D01">
            <w:pPr>
              <w:jc w:val="both"/>
              <w:rPr>
                <w:i/>
                <w:iCs/>
                <w:color w:val="000000"/>
              </w:rPr>
            </w:pPr>
            <w:r w:rsidRPr="009841AB">
              <w:rPr>
                <w:color w:val="000000"/>
              </w:rPr>
              <w:t xml:space="preserve">2. </w:t>
            </w:r>
            <w:r w:rsidRPr="009841AB">
              <w:rPr>
                <w:i/>
                <w:iCs/>
                <w:color w:val="000000"/>
              </w:rPr>
              <w:t>2.pielikums "Rīcības virzieni un uzdevumi"</w:t>
            </w:r>
          </w:p>
          <w:p w14:paraId="6C63DCAE" w14:textId="77777777" w:rsidR="009C4D01" w:rsidRPr="009841AB" w:rsidRDefault="009C4D01" w:rsidP="009C4D01">
            <w:pPr>
              <w:tabs>
                <w:tab w:val="left" w:pos="720"/>
              </w:tabs>
              <w:contextualSpacing/>
              <w:jc w:val="both"/>
              <w:rPr>
                <w:i/>
                <w:iCs/>
                <w:color w:val="000000"/>
              </w:rPr>
            </w:pPr>
            <w:r w:rsidRPr="009841AB">
              <w:rPr>
                <w:i/>
                <w:iCs/>
                <w:color w:val="000000"/>
              </w:rPr>
              <w:t>Moderna un atvērta valsts pārvalde</w:t>
            </w:r>
          </w:p>
          <w:p w14:paraId="4E15F081" w14:textId="77777777" w:rsidR="009C4D01" w:rsidRPr="009841AB" w:rsidRDefault="009C4D01" w:rsidP="009C4D01">
            <w:pPr>
              <w:jc w:val="both"/>
              <w:rPr>
                <w:lang w:eastAsia="en-US"/>
              </w:rPr>
            </w:pPr>
            <w:r w:rsidRPr="009841AB">
              <w:rPr>
                <w:color w:val="000000"/>
              </w:rPr>
              <w:t xml:space="preserve">Sadaļā tikai divās </w:t>
            </w:r>
            <w:proofErr w:type="spellStart"/>
            <w:r w:rsidRPr="009841AB">
              <w:rPr>
                <w:color w:val="000000"/>
              </w:rPr>
              <w:t>apakšadaļās</w:t>
            </w:r>
            <w:proofErr w:type="spellEnd"/>
            <w:r w:rsidRPr="009841AB">
              <w:rPr>
                <w:color w:val="000000"/>
              </w:rPr>
              <w:t xml:space="preserve"> pašvaldības minētas kā līdzatbildīgās institūcijas, taču uz pašvaldību darbu un to iekļaušanos kopējā valsts pārvaldes sistēmā attiecas visi septiņi apakšpunkti. Veidojot </w:t>
            </w:r>
            <w:proofErr w:type="spellStart"/>
            <w:r w:rsidRPr="009841AB">
              <w:rPr>
                <w:color w:val="000000"/>
              </w:rPr>
              <w:t>lietotājorientētu</w:t>
            </w:r>
            <w:proofErr w:type="spellEnd"/>
            <w:r w:rsidRPr="009841AB">
              <w:rPr>
                <w:color w:val="000000"/>
              </w:rPr>
              <w:t xml:space="preserve"> pieeju visu pakalpojumu sniegšanā un vienotu datu pārvaldību, iedzīvotājiem un uzņēmējiem nebūtu vairs jādomā, kuru pakalpojumu sniedz valsts, kuru pašvaldības institūcija. Visos procesos būs nepieciešama cieša valsts un pašvaldību institūciju sadarbība.</w:t>
            </w:r>
          </w:p>
        </w:tc>
        <w:tc>
          <w:tcPr>
            <w:tcW w:w="2480" w:type="dxa"/>
            <w:tcBorders>
              <w:left w:val="single" w:sz="6" w:space="0" w:color="000000" w:themeColor="text1"/>
              <w:bottom w:val="single" w:sz="4" w:space="0" w:color="auto"/>
            </w:tcBorders>
            <w:shd w:val="clear" w:color="auto" w:fill="auto"/>
          </w:tcPr>
          <w:p w14:paraId="3AB850EB" w14:textId="77777777" w:rsidR="009C4D01" w:rsidRPr="009841AB" w:rsidRDefault="009C4D01" w:rsidP="009C4D01">
            <w:pPr>
              <w:pStyle w:val="naisc"/>
              <w:spacing w:before="0" w:after="0"/>
              <w:jc w:val="left"/>
              <w:rPr>
                <w:b/>
                <w:bCs/>
              </w:rPr>
            </w:pPr>
            <w:r w:rsidRPr="009841AB">
              <w:rPr>
                <w:b/>
                <w:bCs/>
              </w:rPr>
              <w:t>Ņemts vērā</w:t>
            </w:r>
          </w:p>
        </w:tc>
        <w:tc>
          <w:tcPr>
            <w:tcW w:w="3497" w:type="dxa"/>
            <w:tcBorders>
              <w:left w:val="single" w:sz="6" w:space="0" w:color="000000" w:themeColor="text1"/>
              <w:bottom w:val="single" w:sz="4" w:space="0" w:color="auto"/>
            </w:tcBorders>
            <w:shd w:val="clear" w:color="auto" w:fill="auto"/>
          </w:tcPr>
          <w:p w14:paraId="4C0508DC" w14:textId="77777777" w:rsidR="009C4D01" w:rsidRPr="009841AB" w:rsidRDefault="009C4D01" w:rsidP="009C4D01">
            <w:pPr>
              <w:pStyle w:val="naisc"/>
              <w:spacing w:before="0" w:after="0"/>
              <w:jc w:val="left"/>
            </w:pPr>
            <w:r w:rsidRPr="009841AB">
              <w:t>Lūdzam skatīt 2.pielikumu</w:t>
            </w:r>
          </w:p>
        </w:tc>
      </w:tr>
      <w:tr w:rsidR="00FE0078" w:rsidRPr="009841AB" w14:paraId="0BD93FC2"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25460FCF" w14:textId="77777777" w:rsidR="00FE0078" w:rsidRPr="001C26E9" w:rsidRDefault="00FE0078" w:rsidP="00FE0078">
            <w:pPr>
              <w:widowControl w:val="0"/>
              <w:jc w:val="both"/>
              <w:rPr>
                <w:rFonts w:cstheme="minorHAnsi"/>
                <w:b/>
              </w:rPr>
            </w:pPr>
            <w:proofErr w:type="spellStart"/>
            <w:r>
              <w:rPr>
                <w:rFonts w:cstheme="minorHAnsi"/>
                <w:b/>
              </w:rPr>
              <w:t>Pārresoru</w:t>
            </w:r>
            <w:proofErr w:type="spellEnd"/>
            <w:r>
              <w:rPr>
                <w:rFonts w:cstheme="minorHAnsi"/>
                <w:b/>
              </w:rPr>
              <w:t xml:space="preserve"> koordinācijas centra</w:t>
            </w:r>
            <w:r w:rsidRPr="00507245">
              <w:rPr>
                <w:rFonts w:cstheme="minorHAnsi"/>
                <w:b/>
              </w:rPr>
              <w:t xml:space="preserve"> 0</w:t>
            </w:r>
            <w:r>
              <w:rPr>
                <w:rFonts w:cstheme="minorHAnsi"/>
                <w:b/>
              </w:rPr>
              <w:t>2</w:t>
            </w:r>
            <w:r w:rsidRPr="00507245">
              <w:rPr>
                <w:rFonts w:cstheme="minorHAnsi"/>
                <w:b/>
              </w:rPr>
              <w:t>.02.2021. atzinums:</w:t>
            </w:r>
          </w:p>
        </w:tc>
      </w:tr>
      <w:tr w:rsidR="00FE0078" w:rsidRPr="009841AB" w14:paraId="1A606FA3"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286FBADD" w14:textId="77777777" w:rsidR="00FE0078" w:rsidRPr="009841AB" w:rsidRDefault="00FE7F6C" w:rsidP="00FE0078">
            <w:pPr>
              <w:pStyle w:val="naisc"/>
              <w:spacing w:before="0" w:after="0"/>
            </w:pPr>
            <w:r>
              <w:t>536</w:t>
            </w:r>
          </w:p>
        </w:tc>
        <w:tc>
          <w:tcPr>
            <w:tcW w:w="2427" w:type="dxa"/>
            <w:tcBorders>
              <w:left w:val="single" w:sz="6" w:space="0" w:color="000000" w:themeColor="text1"/>
              <w:bottom w:val="single" w:sz="4" w:space="0" w:color="auto"/>
            </w:tcBorders>
            <w:shd w:val="clear" w:color="auto" w:fill="auto"/>
          </w:tcPr>
          <w:p w14:paraId="61606B67"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4B053452" w14:textId="77777777" w:rsidR="00FE0078" w:rsidRPr="009841AB" w:rsidRDefault="00FE0078" w:rsidP="00FE0078">
            <w:pPr>
              <w:tabs>
                <w:tab w:val="left" w:pos="720"/>
              </w:tabs>
              <w:contextualSpacing/>
              <w:jc w:val="both"/>
              <w:rPr>
                <w:lang w:eastAsia="en-US"/>
              </w:rPr>
            </w:pPr>
            <w:r w:rsidRPr="009841AB">
              <w:rPr>
                <w:lang w:eastAsia="en-US"/>
              </w:rPr>
              <w:t>1.</w:t>
            </w:r>
            <w:r w:rsidRPr="009841AB">
              <w:rPr>
                <w:b/>
                <w:bCs/>
                <w:lang w:eastAsia="en-US"/>
              </w:rPr>
              <w:t xml:space="preserve"> </w:t>
            </w:r>
            <w:r w:rsidRPr="009841AB">
              <w:rPr>
                <w:lang w:eastAsia="en-US"/>
              </w:rPr>
              <w:t>Lūdzam precizēt informāciju par Pamatnostādņu projektā definēto politikas rezultātu sasaisti ar NAP2027, Pamatnostādņu projekta 1.pielikumu  "Politikas rezultāti un rezultatīvie rādītāji" papildinot ar kolonnu, kur norādīti NAP2027 indikatori, kuru sasniegšanu ietekmēs attiecīgā pamatnostādņu politikas rezultāta sasniegšana, īstenojot pamatnostādņu rīcības virzienos paredzēto.</w:t>
            </w:r>
          </w:p>
        </w:tc>
        <w:tc>
          <w:tcPr>
            <w:tcW w:w="2480" w:type="dxa"/>
            <w:tcBorders>
              <w:left w:val="single" w:sz="6" w:space="0" w:color="000000" w:themeColor="text1"/>
              <w:bottom w:val="single" w:sz="4" w:space="0" w:color="auto"/>
            </w:tcBorders>
            <w:shd w:val="clear" w:color="auto" w:fill="auto"/>
          </w:tcPr>
          <w:p w14:paraId="21B508D4" w14:textId="3D3503F0" w:rsidR="00FE0078" w:rsidRDefault="006427A3" w:rsidP="06A656C8">
            <w:pPr>
              <w:pStyle w:val="naisc"/>
              <w:spacing w:before="0" w:after="0"/>
              <w:jc w:val="left"/>
              <w:rPr>
                <w:b/>
                <w:bCs/>
              </w:rPr>
            </w:pPr>
            <w:r>
              <w:rPr>
                <w:b/>
                <w:bCs/>
              </w:rPr>
              <w:t>Panākta vienošanās</w:t>
            </w:r>
          </w:p>
          <w:p w14:paraId="39207B17" w14:textId="77777777" w:rsidR="00FE0078" w:rsidRDefault="1E661C33" w:rsidP="06A656C8">
            <w:pPr>
              <w:pStyle w:val="naisc"/>
              <w:spacing w:before="0" w:after="0"/>
              <w:jc w:val="left"/>
              <w:rPr>
                <w:lang w:eastAsia="en-US"/>
              </w:rPr>
            </w:pPr>
            <w:r w:rsidRPr="06A656C8">
              <w:t xml:space="preserve">Saskaņā ar MK 2014.gada 2.decembra noteikumu Nr.737 18.3. punktu: "Pamatnostādnes ietver informāciju par politikas mērķu sasaisti ar Nacionālo attīstības plānu ...". 'Šāda sasaiste ir veikta. </w:t>
            </w:r>
            <w:r w:rsidR="5C5A263D" w:rsidRPr="06A656C8">
              <w:t xml:space="preserve"> </w:t>
            </w:r>
          </w:p>
          <w:p w14:paraId="2E1F0589" w14:textId="77777777" w:rsidR="00FE0078" w:rsidRDefault="1E661C33" w:rsidP="06A656C8">
            <w:pPr>
              <w:pStyle w:val="naisc"/>
              <w:spacing w:before="0" w:after="0"/>
              <w:jc w:val="left"/>
              <w:rPr>
                <w:lang w:eastAsia="en-US"/>
              </w:rPr>
            </w:pPr>
            <w:r w:rsidRPr="06A656C8">
              <w:t xml:space="preserve">18.6. punktu: "... rīcības virzienus un tiem pakārtotos uzdevumus politikas mērķu un rezultātu sasniegšanai ...", kas arī ir īstenots. </w:t>
            </w:r>
            <w:r w:rsidR="1F170482" w:rsidRPr="06A656C8">
              <w:t xml:space="preserve"> </w:t>
            </w:r>
          </w:p>
          <w:p w14:paraId="77242CFC" w14:textId="77777777" w:rsidR="00FE0078" w:rsidRDefault="1E661C33" w:rsidP="00FE0078">
            <w:pPr>
              <w:pStyle w:val="naisc"/>
              <w:spacing w:before="0" w:after="0"/>
              <w:jc w:val="left"/>
              <w:rPr>
                <w:lang w:eastAsia="en-US"/>
              </w:rPr>
            </w:pPr>
            <w:r w:rsidRPr="06A656C8">
              <w:lastRenderedPageBreak/>
              <w:t>Minētie noteikumi neparedz 2. pielikumā “Rīcības virzieni un uzdevumi” veidot sasaisti ar Latvijas Nacionālā attīstības plāna 2021.-2027. gadam pasākumiem</w:t>
            </w:r>
            <w:r w:rsidR="36BCCC21" w:rsidRPr="06A656C8">
              <w:t xml:space="preserve"> </w:t>
            </w:r>
          </w:p>
        </w:tc>
        <w:tc>
          <w:tcPr>
            <w:tcW w:w="3497" w:type="dxa"/>
            <w:tcBorders>
              <w:left w:val="single" w:sz="6" w:space="0" w:color="000000" w:themeColor="text1"/>
              <w:bottom w:val="single" w:sz="4" w:space="0" w:color="auto"/>
            </w:tcBorders>
            <w:shd w:val="clear" w:color="auto" w:fill="auto"/>
          </w:tcPr>
          <w:p w14:paraId="41DEC60B" w14:textId="77777777" w:rsidR="00FE0078" w:rsidRPr="009841AB" w:rsidRDefault="00FE0078" w:rsidP="00FE0078">
            <w:pPr>
              <w:pStyle w:val="naisc"/>
              <w:spacing w:before="0" w:after="0"/>
              <w:jc w:val="both"/>
            </w:pPr>
          </w:p>
        </w:tc>
      </w:tr>
      <w:tr w:rsidR="00FE0078" w:rsidRPr="009841AB" w14:paraId="5C68C3E8"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0A77950" w14:textId="77777777" w:rsidR="00FE0078" w:rsidRPr="009841AB" w:rsidRDefault="00FE7F6C" w:rsidP="00FE0078">
            <w:pPr>
              <w:pStyle w:val="naisc"/>
              <w:spacing w:before="0" w:after="0"/>
            </w:pPr>
            <w:r>
              <w:t>537</w:t>
            </w:r>
          </w:p>
        </w:tc>
        <w:tc>
          <w:tcPr>
            <w:tcW w:w="2427" w:type="dxa"/>
            <w:tcBorders>
              <w:left w:val="single" w:sz="6" w:space="0" w:color="000000" w:themeColor="text1"/>
              <w:bottom w:val="single" w:sz="4" w:space="0" w:color="auto"/>
            </w:tcBorders>
            <w:shd w:val="clear" w:color="auto" w:fill="auto"/>
          </w:tcPr>
          <w:p w14:paraId="33E5B546"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0E6815A7" w14:textId="77777777" w:rsidR="00FE0078" w:rsidRPr="009841AB" w:rsidRDefault="00FE0078" w:rsidP="00FE0078">
            <w:pPr>
              <w:shd w:val="clear" w:color="auto" w:fill="FFFFFF"/>
              <w:jc w:val="both"/>
            </w:pPr>
            <w:r w:rsidRPr="009841AB">
              <w:t xml:space="preserve">2. Lai nodrošinātu Pamatnostādņu projekta saskaņotību ar NAP2027 paredzēto, nepieciešams pārliecināties par NAP2027 paredzētā indikatīvā finansējuma un Pamatnostādņu projektā plānoto uzdevumu finansējuma savstarpēju </w:t>
            </w:r>
            <w:proofErr w:type="spellStart"/>
            <w:r w:rsidRPr="009841AB">
              <w:t>attiecināmību</w:t>
            </w:r>
            <w:proofErr w:type="spellEnd"/>
            <w:r w:rsidRPr="009841AB">
              <w:t xml:space="preserve">. Šobrīd Pamatnostādņu projektā un pielikumos nav identificēta pamatnostādņu uzdevumu sasaiste ar NAP2027 indikatīvajiem investīciju projektiem, kas apgrūtina NAP2027 plānoto investīciju identificēšanu pamatnostādņu projektā. Ņemot vērā minēto, aicinām papildināt pamatnostādņu projektu ar vēl vienu pielikumu, tajā ietverot uz katru Pamatnostādņu projekta uzdevumu attiecināmos  </w:t>
            </w:r>
            <w:r w:rsidRPr="009841AB">
              <w:rPr>
                <w:b/>
              </w:rPr>
              <w:t>NAP2027 indikatīvos investīciju projektus</w:t>
            </w:r>
            <w:r w:rsidRPr="009841AB">
              <w:t xml:space="preserve">, kā arī katram Pamatnostādņu projekta uzdevumam no NAP2027  attiecināmo finansējumu. Ja pamatnostādņu projektā nav ietvertas kādas no NAP2027 indikatīvā finansējuma tabulā ietverto projektu </w:t>
            </w:r>
            <w:proofErr w:type="spellStart"/>
            <w:r w:rsidRPr="009841AB">
              <w:t>apakšaktivitātēm</w:t>
            </w:r>
            <w:proofErr w:type="spellEnd"/>
            <w:r w:rsidRPr="009841AB">
              <w:t xml:space="preserve"> un finansējums tiek pārdalīts tikai daļai NAP2027 investīciju projektā apredzēto aktivitāšu, būtu norādāms šo aktivitāšu neiekļaušanas atbilstošs pamatojums. Piedāvājam informāciju par Pamatnostādņu projektā ietverto uzdevumu sasaisti ar NAP2027 pasākumiem sniegt šādas tabulas formā (skat. zemāk):</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692"/>
              <w:gridCol w:w="1701"/>
              <w:gridCol w:w="2551"/>
              <w:gridCol w:w="2693"/>
            </w:tblGrid>
            <w:tr w:rsidR="00FE0078" w:rsidRPr="009841AB" w14:paraId="1363279E" w14:textId="77777777" w:rsidTr="00190C08">
              <w:tc>
                <w:tcPr>
                  <w:tcW w:w="576" w:type="dxa"/>
                  <w:shd w:val="clear" w:color="auto" w:fill="auto"/>
                </w:tcPr>
                <w:p w14:paraId="4A1350C4" w14:textId="77777777" w:rsidR="00FE0078" w:rsidRPr="009841AB" w:rsidRDefault="00FE0078" w:rsidP="00FE0078">
                  <w:pPr>
                    <w:shd w:val="clear" w:color="auto" w:fill="FFFFFF"/>
                    <w:jc w:val="both"/>
                  </w:pPr>
                  <w:r w:rsidRPr="009841AB">
                    <w:lastRenderedPageBreak/>
                    <w:t>Nr.</w:t>
                  </w:r>
                </w:p>
              </w:tc>
              <w:tc>
                <w:tcPr>
                  <w:tcW w:w="1692" w:type="dxa"/>
                  <w:shd w:val="clear" w:color="auto" w:fill="auto"/>
                </w:tcPr>
                <w:p w14:paraId="620E4E06" w14:textId="77777777" w:rsidR="00FE0078" w:rsidRPr="009841AB" w:rsidRDefault="00FE0078" w:rsidP="00FE0078">
                  <w:pPr>
                    <w:shd w:val="clear" w:color="auto" w:fill="FFFFFF"/>
                    <w:jc w:val="both"/>
                  </w:pPr>
                  <w:r w:rsidRPr="009841AB">
                    <w:t>Pamatnostādņu uzdevums</w:t>
                  </w:r>
                </w:p>
              </w:tc>
              <w:tc>
                <w:tcPr>
                  <w:tcW w:w="1701" w:type="dxa"/>
                  <w:shd w:val="clear" w:color="auto" w:fill="auto"/>
                </w:tcPr>
                <w:p w14:paraId="59D42407" w14:textId="77777777" w:rsidR="00FE0078" w:rsidRPr="009841AB" w:rsidRDefault="00FE0078" w:rsidP="00FE0078">
                  <w:pPr>
                    <w:shd w:val="clear" w:color="auto" w:fill="FFFFFF"/>
                    <w:jc w:val="both"/>
                  </w:pPr>
                  <w:r w:rsidRPr="009841AB">
                    <w:t>Pamatnostādņu uzdevuma finansējums</w:t>
                  </w:r>
                </w:p>
              </w:tc>
              <w:tc>
                <w:tcPr>
                  <w:tcW w:w="2551" w:type="dxa"/>
                  <w:shd w:val="clear" w:color="auto" w:fill="auto"/>
                </w:tcPr>
                <w:p w14:paraId="3A77174E" w14:textId="77777777" w:rsidR="00FE0078" w:rsidRPr="009841AB" w:rsidRDefault="00FE0078" w:rsidP="00FE0078">
                  <w:pPr>
                    <w:shd w:val="clear" w:color="auto" w:fill="FFFFFF"/>
                    <w:jc w:val="both"/>
                  </w:pPr>
                  <w:r w:rsidRPr="009841AB">
                    <w:t>NAP2027 investīciju projekts</w:t>
                  </w:r>
                  <w:r w:rsidRPr="009841AB">
                    <w:rPr>
                      <w:rStyle w:val="FootnoteReference"/>
                    </w:rPr>
                    <w:footnoteReference w:id="6"/>
                  </w:r>
                  <w:r w:rsidRPr="009841AB">
                    <w:t xml:space="preserve">, kurš ietverts pamatnostādņu uzdevumā (ministrija, investīciju projekta  nr.) </w:t>
                  </w:r>
                </w:p>
              </w:tc>
              <w:tc>
                <w:tcPr>
                  <w:tcW w:w="2693" w:type="dxa"/>
                  <w:shd w:val="clear" w:color="auto" w:fill="auto"/>
                </w:tcPr>
                <w:p w14:paraId="05C5E15C" w14:textId="77777777" w:rsidR="00FE0078" w:rsidRPr="009841AB" w:rsidRDefault="00FE0078" w:rsidP="00FE0078">
                  <w:pPr>
                    <w:shd w:val="clear" w:color="auto" w:fill="FFFFFF"/>
                    <w:jc w:val="both"/>
                  </w:pPr>
                  <w:r w:rsidRPr="009841AB">
                    <w:t>NAP2027  finansējums, kas attiecināms uz attiecīgo uzdevumu</w:t>
                  </w:r>
                </w:p>
              </w:tc>
            </w:tr>
            <w:tr w:rsidR="00FE0078" w:rsidRPr="009841AB" w14:paraId="3C456A05" w14:textId="77777777" w:rsidTr="00190C08">
              <w:tc>
                <w:tcPr>
                  <w:tcW w:w="576" w:type="dxa"/>
                  <w:shd w:val="clear" w:color="auto" w:fill="auto"/>
                </w:tcPr>
                <w:p w14:paraId="5DF39DC8" w14:textId="77777777" w:rsidR="00FE0078" w:rsidRPr="009841AB" w:rsidRDefault="00FE0078" w:rsidP="00FE0078">
                  <w:pPr>
                    <w:shd w:val="clear" w:color="auto" w:fill="FFFFFF"/>
                    <w:jc w:val="both"/>
                  </w:pPr>
                  <w:r w:rsidRPr="009841AB">
                    <w:t>......</w:t>
                  </w:r>
                </w:p>
              </w:tc>
              <w:tc>
                <w:tcPr>
                  <w:tcW w:w="1692" w:type="dxa"/>
                  <w:shd w:val="clear" w:color="auto" w:fill="auto"/>
                </w:tcPr>
                <w:p w14:paraId="65F8E323" w14:textId="77777777" w:rsidR="00FE0078" w:rsidRPr="009841AB" w:rsidRDefault="00FE0078" w:rsidP="00FE0078">
                  <w:pPr>
                    <w:shd w:val="clear" w:color="auto" w:fill="FFFFFF"/>
                    <w:jc w:val="both"/>
                  </w:pPr>
                </w:p>
              </w:tc>
              <w:tc>
                <w:tcPr>
                  <w:tcW w:w="1701" w:type="dxa"/>
                  <w:shd w:val="clear" w:color="auto" w:fill="auto"/>
                </w:tcPr>
                <w:p w14:paraId="182E9B9F" w14:textId="77777777" w:rsidR="00FE0078" w:rsidRPr="009841AB" w:rsidRDefault="00FE0078" w:rsidP="00FE0078">
                  <w:pPr>
                    <w:shd w:val="clear" w:color="auto" w:fill="FFFFFF"/>
                    <w:jc w:val="both"/>
                  </w:pPr>
                </w:p>
              </w:tc>
              <w:tc>
                <w:tcPr>
                  <w:tcW w:w="2551" w:type="dxa"/>
                  <w:shd w:val="clear" w:color="auto" w:fill="auto"/>
                </w:tcPr>
                <w:p w14:paraId="4F14D770" w14:textId="77777777" w:rsidR="00FE0078" w:rsidRPr="009841AB" w:rsidRDefault="00FE0078" w:rsidP="00FE0078">
                  <w:pPr>
                    <w:shd w:val="clear" w:color="auto" w:fill="FFFFFF"/>
                    <w:jc w:val="both"/>
                  </w:pPr>
                </w:p>
              </w:tc>
              <w:tc>
                <w:tcPr>
                  <w:tcW w:w="2693" w:type="dxa"/>
                  <w:shd w:val="clear" w:color="auto" w:fill="auto"/>
                </w:tcPr>
                <w:p w14:paraId="6D99B1C3" w14:textId="77777777" w:rsidR="00FE0078" w:rsidRPr="009841AB" w:rsidRDefault="00FE0078" w:rsidP="00FE0078">
                  <w:pPr>
                    <w:shd w:val="clear" w:color="auto" w:fill="FFFFFF"/>
                    <w:jc w:val="both"/>
                  </w:pPr>
                </w:p>
              </w:tc>
            </w:tr>
            <w:tr w:rsidR="00FE0078" w:rsidRPr="009841AB" w14:paraId="6B585846" w14:textId="77777777" w:rsidTr="00190C08">
              <w:tc>
                <w:tcPr>
                  <w:tcW w:w="576" w:type="dxa"/>
                  <w:shd w:val="clear" w:color="auto" w:fill="auto"/>
                </w:tcPr>
                <w:p w14:paraId="4E01161C" w14:textId="77777777" w:rsidR="00FE0078" w:rsidRPr="009841AB" w:rsidRDefault="00FE0078" w:rsidP="00FE0078">
                  <w:pPr>
                    <w:shd w:val="clear" w:color="auto" w:fill="FFFFFF"/>
                    <w:jc w:val="both"/>
                  </w:pPr>
                </w:p>
              </w:tc>
              <w:tc>
                <w:tcPr>
                  <w:tcW w:w="1692" w:type="dxa"/>
                  <w:shd w:val="clear" w:color="auto" w:fill="auto"/>
                </w:tcPr>
                <w:p w14:paraId="1ABA1747" w14:textId="77777777" w:rsidR="00FE0078" w:rsidRPr="009841AB" w:rsidRDefault="00FE0078" w:rsidP="00FE0078">
                  <w:pPr>
                    <w:shd w:val="clear" w:color="auto" w:fill="FFFFFF"/>
                    <w:jc w:val="both"/>
                  </w:pPr>
                </w:p>
              </w:tc>
              <w:tc>
                <w:tcPr>
                  <w:tcW w:w="1701" w:type="dxa"/>
                  <w:shd w:val="clear" w:color="auto" w:fill="auto"/>
                </w:tcPr>
                <w:p w14:paraId="701BAFDE" w14:textId="77777777" w:rsidR="00FE0078" w:rsidRPr="009841AB" w:rsidRDefault="00FE0078" w:rsidP="00FE0078">
                  <w:pPr>
                    <w:shd w:val="clear" w:color="auto" w:fill="FFFFFF"/>
                    <w:jc w:val="both"/>
                  </w:pPr>
                </w:p>
              </w:tc>
              <w:tc>
                <w:tcPr>
                  <w:tcW w:w="2551" w:type="dxa"/>
                  <w:shd w:val="clear" w:color="auto" w:fill="auto"/>
                </w:tcPr>
                <w:p w14:paraId="7136D6E0" w14:textId="77777777" w:rsidR="00FE0078" w:rsidRPr="009841AB" w:rsidRDefault="00FE0078" w:rsidP="00FE0078">
                  <w:pPr>
                    <w:shd w:val="clear" w:color="auto" w:fill="FFFFFF"/>
                    <w:jc w:val="both"/>
                  </w:pPr>
                </w:p>
              </w:tc>
              <w:tc>
                <w:tcPr>
                  <w:tcW w:w="2693" w:type="dxa"/>
                  <w:shd w:val="clear" w:color="auto" w:fill="auto"/>
                </w:tcPr>
                <w:p w14:paraId="5FDE39B2" w14:textId="77777777" w:rsidR="00FE0078" w:rsidRPr="009841AB" w:rsidRDefault="00FE0078" w:rsidP="00FE0078">
                  <w:pPr>
                    <w:shd w:val="clear" w:color="auto" w:fill="FFFFFF"/>
                    <w:jc w:val="both"/>
                  </w:pPr>
                </w:p>
              </w:tc>
            </w:tr>
          </w:tbl>
          <w:p w14:paraId="373F63E0" w14:textId="77777777" w:rsidR="00FE0078" w:rsidRPr="009841AB" w:rsidRDefault="00FE0078" w:rsidP="00FE0078">
            <w:pPr>
              <w:pStyle w:val="ListParagraph"/>
              <w:shd w:val="clear" w:color="auto" w:fill="FFFFFF"/>
              <w:spacing w:after="0" w:line="240" w:lineRule="auto"/>
              <w:ind w:left="360"/>
              <w:jc w:val="both"/>
              <w:rPr>
                <w:rFonts w:ascii="Times New Roman" w:hAnsi="Times New Roman"/>
                <w:sz w:val="24"/>
                <w:szCs w:val="24"/>
              </w:rPr>
            </w:pPr>
          </w:p>
          <w:p w14:paraId="15E75854" w14:textId="77777777" w:rsidR="00FE0078" w:rsidRPr="009841AB" w:rsidRDefault="00FE0078" w:rsidP="00FE0078">
            <w:pPr>
              <w:shd w:val="clear" w:color="auto" w:fill="FFFFFF"/>
              <w:jc w:val="both"/>
            </w:pPr>
            <w:r w:rsidRPr="009841AB">
              <w:t>Papildus vēršam uzmanību, ka Pamatnostādņu projekta 3.pielikumā “Indikatīvais ietekmes novērtējums uz valsts un pašvaldību budžetiem” plānoto finansējumu nepieciešams saskaņot ar NAP2027 indikatīvajā investīciju tabulā plānoto finansējumu.</w:t>
            </w:r>
          </w:p>
        </w:tc>
        <w:tc>
          <w:tcPr>
            <w:tcW w:w="2480" w:type="dxa"/>
            <w:tcBorders>
              <w:left w:val="single" w:sz="6" w:space="0" w:color="000000" w:themeColor="text1"/>
              <w:bottom w:val="single" w:sz="4" w:space="0" w:color="auto"/>
            </w:tcBorders>
            <w:shd w:val="clear" w:color="auto" w:fill="auto"/>
          </w:tcPr>
          <w:p w14:paraId="67343AB9" w14:textId="254104FA" w:rsidR="00FE0078" w:rsidRPr="009841AB" w:rsidRDefault="003118F5" w:rsidP="00FE0078">
            <w:pPr>
              <w:pStyle w:val="naisc"/>
              <w:spacing w:before="0" w:after="0"/>
              <w:jc w:val="left"/>
              <w:rPr>
                <w:b/>
                <w:bCs/>
              </w:rPr>
            </w:pPr>
            <w:r>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59BDAB7D" w14:textId="77777777" w:rsidR="00FE0078" w:rsidRPr="009841AB" w:rsidRDefault="00FE0078" w:rsidP="00FE0078">
            <w:pPr>
              <w:pStyle w:val="naisc"/>
              <w:spacing w:before="0" w:after="0"/>
              <w:jc w:val="both"/>
            </w:pPr>
          </w:p>
        </w:tc>
      </w:tr>
      <w:tr w:rsidR="00FE0078" w:rsidRPr="009841AB" w14:paraId="38B293C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A3091E5" w14:textId="77777777" w:rsidR="00FE0078" w:rsidRPr="009841AB" w:rsidRDefault="00FE7F6C" w:rsidP="00FE0078">
            <w:pPr>
              <w:pStyle w:val="naisc"/>
              <w:spacing w:before="0" w:after="0"/>
            </w:pPr>
            <w:r>
              <w:t>538</w:t>
            </w:r>
          </w:p>
        </w:tc>
        <w:tc>
          <w:tcPr>
            <w:tcW w:w="2427" w:type="dxa"/>
            <w:tcBorders>
              <w:left w:val="single" w:sz="6" w:space="0" w:color="000000" w:themeColor="text1"/>
              <w:bottom w:val="single" w:sz="4" w:space="0" w:color="auto"/>
            </w:tcBorders>
            <w:shd w:val="clear" w:color="auto" w:fill="auto"/>
          </w:tcPr>
          <w:p w14:paraId="7459C645"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33183B3B" w14:textId="77777777" w:rsidR="00FE0078" w:rsidRPr="009841AB" w:rsidRDefault="00FE0078" w:rsidP="00FE0078">
            <w:pPr>
              <w:jc w:val="both"/>
            </w:pPr>
            <w:r w:rsidRPr="009841AB">
              <w:t>3. ņemot vērā, ka Pamatnostādņu projektā minēts, ka “</w:t>
            </w:r>
            <w:r w:rsidRPr="009841AB">
              <w:rPr>
                <w:bCs/>
                <w:i/>
                <w:color w:val="000000" w:themeColor="text1"/>
              </w:rPr>
              <w:t>Pamatnostādņu paredzēto rīcību īstenošanai ir plānots piesaistīt gan ES struktūrfondu, gan valsts budžeta, gan citu finanšu instrumentu finansējumu</w:t>
            </w:r>
            <w:r w:rsidRPr="009841AB">
              <w:rPr>
                <w:bCs/>
                <w:color w:val="000000" w:themeColor="text1"/>
              </w:rPr>
              <w:t>”(9 lpp.) un “</w:t>
            </w:r>
            <w:r w:rsidRPr="009841AB">
              <w:rPr>
                <w:i/>
                <w:color w:val="000000" w:themeColor="text1"/>
                <w:u w:val="single"/>
              </w:rPr>
              <w:t>Pamatnostādņu īstenošana notiks no valsts budžeta līdzekļiem</w:t>
            </w:r>
            <w:r w:rsidRPr="009841AB">
              <w:rPr>
                <w:i/>
                <w:color w:val="000000" w:themeColor="text1"/>
              </w:rPr>
              <w:t>, kā arī piesaistot ES struktūrfondu līdzekļus un privāto finansējumu</w:t>
            </w:r>
            <w:r w:rsidRPr="009841AB">
              <w:rPr>
                <w:bCs/>
                <w:color w:val="000000" w:themeColor="text1"/>
              </w:rPr>
              <w:t xml:space="preserve">” (10 lpp.), lūdzam papildināt </w:t>
            </w:r>
            <w:r w:rsidRPr="009841AB">
              <w:t>Pamatnostādņu projekta 3.pielikumu “Indikatīvais ietekmes novērtējums uz valsts un pašvaldību budžetiem”,  norādot valsts budžeta un privātā finansējuma apmēru;</w:t>
            </w:r>
          </w:p>
        </w:tc>
        <w:tc>
          <w:tcPr>
            <w:tcW w:w="2480" w:type="dxa"/>
            <w:tcBorders>
              <w:left w:val="single" w:sz="6" w:space="0" w:color="000000" w:themeColor="text1"/>
              <w:bottom w:val="single" w:sz="4" w:space="0" w:color="auto"/>
            </w:tcBorders>
            <w:shd w:val="clear" w:color="auto" w:fill="auto"/>
          </w:tcPr>
          <w:p w14:paraId="43A50B25" w14:textId="77777777" w:rsidR="00FE0078" w:rsidRPr="009841AB" w:rsidRDefault="00FE0078" w:rsidP="00FE0078">
            <w:pPr>
              <w:pStyle w:val="naisc"/>
              <w:spacing w:before="0" w:after="0"/>
              <w:jc w:val="left"/>
              <w:rPr>
                <w:b/>
                <w:bCs/>
              </w:rPr>
            </w:pPr>
            <w:r w:rsidRPr="009841AB">
              <w:rPr>
                <w:b/>
                <w:bCs/>
              </w:rPr>
              <w:t>Ņemts vērā</w:t>
            </w:r>
          </w:p>
          <w:p w14:paraId="2DA95393" w14:textId="77777777" w:rsidR="00FE0078" w:rsidRPr="009841AB" w:rsidRDefault="00FE0078" w:rsidP="00FE0078">
            <w:pPr>
              <w:pStyle w:val="naisc"/>
              <w:spacing w:before="0" w:after="0"/>
              <w:jc w:val="left"/>
              <w:rPr>
                <w:b/>
                <w:bCs/>
              </w:rPr>
            </w:pPr>
          </w:p>
          <w:p w14:paraId="53F7ECAB" w14:textId="77777777" w:rsidR="00FE0078" w:rsidRPr="009841AB" w:rsidRDefault="00FE0078"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693F33C9" w14:textId="77777777" w:rsidR="00FE0078" w:rsidRPr="009841AB" w:rsidRDefault="00FE0078" w:rsidP="00FE0078">
            <w:pPr>
              <w:pStyle w:val="naisc"/>
              <w:spacing w:before="0" w:after="0"/>
              <w:jc w:val="left"/>
            </w:pPr>
            <w:r w:rsidRPr="009841AB">
              <w:t>Lūdzam skatīt 3.pielikumu</w:t>
            </w:r>
          </w:p>
        </w:tc>
      </w:tr>
      <w:tr w:rsidR="00FE0078" w:rsidRPr="009841AB" w14:paraId="694E4372"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5DC8A32" w14:textId="77777777" w:rsidR="00FE0078" w:rsidRPr="009841AB" w:rsidRDefault="00FE7F6C" w:rsidP="00FE0078">
            <w:pPr>
              <w:pStyle w:val="naisc"/>
              <w:spacing w:before="0" w:after="0"/>
            </w:pPr>
            <w:r>
              <w:t>539</w:t>
            </w:r>
          </w:p>
        </w:tc>
        <w:tc>
          <w:tcPr>
            <w:tcW w:w="2427" w:type="dxa"/>
            <w:tcBorders>
              <w:left w:val="single" w:sz="6" w:space="0" w:color="000000" w:themeColor="text1"/>
              <w:bottom w:val="single" w:sz="4" w:space="0" w:color="auto"/>
            </w:tcBorders>
            <w:shd w:val="clear" w:color="auto" w:fill="auto"/>
          </w:tcPr>
          <w:p w14:paraId="68AE6386" w14:textId="77777777" w:rsidR="00FE0078" w:rsidRPr="009841AB" w:rsidRDefault="00FE0078"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052CF0D6" w14:textId="77777777" w:rsidR="00FE0078" w:rsidRPr="00F44824" w:rsidRDefault="00FE0078" w:rsidP="00F44824">
            <w:pPr>
              <w:jc w:val="both"/>
            </w:pPr>
            <w:r w:rsidRPr="009841AB">
              <w:t xml:space="preserve">4. lūdzam Pamatnostādņu projekta 3.pielikumā “Indikatīvais ietekmes novērtējums uz valsts un pašvaldību budžetiem” plānoto finansējumu saskaņot ar citos plānošanas dokumentos identificēto finansējumu atsevišķiem uzdevumiem. Piemēram, veicot Pamatnostādņu rīcības virziena “4.3. Telekomunikāciju pakalpojumu pieejamība” </w:t>
            </w:r>
            <w:r w:rsidRPr="009841AB">
              <w:lastRenderedPageBreak/>
              <w:t>uzdevumu saturisko analīzi konstatējams, ka daļa uzdevumu ir identiski Transporta attīstības pamatnostādņu 2021.-2027.gadam projektā iekļautajiem uzdevumiem.  Ir pieļaujama identisku uzdevumu iekļaušana dažādu nozaru plānošanas dokumentos (gan būtu vēlams norādīt atsauci uz attiecīgo dokumentu), tomēr indikatīvais finansējums nedrīkstētu atšķirties, kas ir novērojams Pamatnostādņu projekta esošajā redakcijā (zemāk):</w:t>
            </w:r>
          </w:p>
          <w:p w14:paraId="281FFD76" w14:textId="77777777" w:rsidR="00FE0078" w:rsidRPr="009841AB" w:rsidRDefault="00FE0078" w:rsidP="00FE0078">
            <w:pPr>
              <w:jc w:val="both"/>
            </w:pPr>
            <w:r w:rsidRPr="009841AB">
              <w:t>No šī vienkāršotā salīdzinājuma secināms, ka  Pamatnostādņu attīstības virzienā iekļauto 11 uzdevumu īstenošanai būs nepieciešami mazāki līdzekļi nekā Transporta attīstības pamatnostādņu 2021.-2027.gadam projektā iekļauto 3 uzdevumu īstenošanai, kaut arī šie 3 uzdevumi tiek saturiski dublēti Pamatnostādņu projektā.</w:t>
            </w:r>
          </w:p>
        </w:tc>
        <w:tc>
          <w:tcPr>
            <w:tcW w:w="2480" w:type="dxa"/>
            <w:tcBorders>
              <w:left w:val="single" w:sz="6" w:space="0" w:color="000000" w:themeColor="text1"/>
              <w:bottom w:val="single" w:sz="4" w:space="0" w:color="auto"/>
            </w:tcBorders>
            <w:shd w:val="clear" w:color="auto" w:fill="auto"/>
          </w:tcPr>
          <w:p w14:paraId="6E4B68CA" w14:textId="77777777" w:rsidR="00FE0078" w:rsidRPr="009841AB" w:rsidRDefault="00FE0078" w:rsidP="00FE0078">
            <w:pPr>
              <w:pStyle w:val="naisc"/>
              <w:spacing w:before="0" w:after="0"/>
              <w:jc w:val="left"/>
              <w:rPr>
                <w:b/>
                <w:bCs/>
              </w:rPr>
            </w:pPr>
            <w:r w:rsidRPr="009841AB">
              <w:rPr>
                <w:b/>
                <w:bCs/>
              </w:rPr>
              <w:lastRenderedPageBreak/>
              <w:t>Ņemts vērā</w:t>
            </w:r>
          </w:p>
          <w:p w14:paraId="5DFFEDD0" w14:textId="77777777" w:rsidR="00FE0078" w:rsidRPr="009841AB" w:rsidRDefault="00FE0078" w:rsidP="00FE0078">
            <w:pPr>
              <w:pStyle w:val="naisc"/>
              <w:spacing w:before="0" w:after="0"/>
              <w:jc w:val="left"/>
              <w:rPr>
                <w:b/>
                <w:bCs/>
              </w:rPr>
            </w:pPr>
          </w:p>
          <w:p w14:paraId="3E533C13" w14:textId="77777777" w:rsidR="00FE0078" w:rsidRPr="009841AB" w:rsidRDefault="00FE0078"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1A3473E1" w14:textId="77777777" w:rsidR="00FE0078" w:rsidRPr="009841AB" w:rsidRDefault="00FE0078" w:rsidP="00FE0078">
            <w:pPr>
              <w:pStyle w:val="naisc"/>
              <w:spacing w:before="0" w:after="0"/>
              <w:jc w:val="both"/>
            </w:pPr>
            <w:r w:rsidRPr="009841AB">
              <w:t>Lūdzam skatīt 3.pielikumu</w:t>
            </w:r>
          </w:p>
        </w:tc>
      </w:tr>
      <w:tr w:rsidR="00FE0078" w:rsidRPr="009841AB" w14:paraId="2381BD0C" w14:textId="77777777" w:rsidTr="15B1D617">
        <w:trPr>
          <w:gridAfter w:val="1"/>
          <w:wAfter w:w="7" w:type="dxa"/>
        </w:trPr>
        <w:tc>
          <w:tcPr>
            <w:tcW w:w="613" w:type="dxa"/>
            <w:tcBorders>
              <w:left w:val="single" w:sz="6" w:space="0" w:color="000000" w:themeColor="text1"/>
              <w:bottom w:val="single" w:sz="4" w:space="0" w:color="auto"/>
            </w:tcBorders>
            <w:shd w:val="clear" w:color="auto" w:fill="auto"/>
          </w:tcPr>
          <w:p w14:paraId="7A7E5BE7" w14:textId="77777777" w:rsidR="00FE0078" w:rsidRPr="009841AB" w:rsidRDefault="00FE7F6C" w:rsidP="00FE0078">
            <w:pPr>
              <w:pStyle w:val="naisc"/>
              <w:spacing w:before="0" w:after="0"/>
            </w:pPr>
            <w:r>
              <w:t>539</w:t>
            </w:r>
          </w:p>
        </w:tc>
        <w:tc>
          <w:tcPr>
            <w:tcW w:w="13831" w:type="dxa"/>
            <w:gridSpan w:val="4"/>
            <w:tcBorders>
              <w:left w:val="single" w:sz="6" w:space="0" w:color="000000" w:themeColor="text1"/>
              <w:bottom w:val="single" w:sz="4" w:space="0" w:color="auto"/>
            </w:tcBorders>
            <w:shd w:val="clear" w:color="auto" w:fill="auto"/>
          </w:tcPr>
          <w:tbl>
            <w:tblPr>
              <w:tblStyle w:val="TableGrid"/>
              <w:tblW w:w="9355" w:type="dxa"/>
              <w:tblInd w:w="279" w:type="dxa"/>
              <w:tblLayout w:type="fixed"/>
              <w:tblLook w:val="04A0" w:firstRow="1" w:lastRow="0" w:firstColumn="1" w:lastColumn="0" w:noHBand="0" w:noVBand="1"/>
            </w:tblPr>
            <w:tblGrid>
              <w:gridCol w:w="4678"/>
              <w:gridCol w:w="4677"/>
            </w:tblGrid>
            <w:tr w:rsidR="00FE0078" w:rsidRPr="009841AB" w14:paraId="0E43CD58" w14:textId="77777777" w:rsidTr="00C76577">
              <w:tc>
                <w:tcPr>
                  <w:tcW w:w="4678" w:type="dxa"/>
                </w:tcPr>
                <w:p w14:paraId="5C98B7E9" w14:textId="77777777" w:rsidR="00FE0078" w:rsidRPr="009841AB" w:rsidRDefault="00FE0078" w:rsidP="00FE0078">
                  <w:pPr>
                    <w:jc w:val="both"/>
                    <w:rPr>
                      <w:b/>
                    </w:rPr>
                  </w:pPr>
                  <w:r w:rsidRPr="009841AB">
                    <w:rPr>
                      <w:b/>
                    </w:rPr>
                    <w:t>Pamatnostādņu projekta attīstības virzienā “4.3. Telekomunikāciju pakalpojumu pieejamība” iekļautie uzdevumi</w:t>
                  </w:r>
                </w:p>
              </w:tc>
              <w:tc>
                <w:tcPr>
                  <w:tcW w:w="4677" w:type="dxa"/>
                </w:tcPr>
                <w:p w14:paraId="69D43D62" w14:textId="77777777" w:rsidR="00FE0078" w:rsidRPr="009841AB" w:rsidRDefault="00FE0078" w:rsidP="00FE0078">
                  <w:pPr>
                    <w:jc w:val="both"/>
                    <w:rPr>
                      <w:b/>
                    </w:rPr>
                  </w:pPr>
                  <w:r w:rsidRPr="009841AB">
                    <w:rPr>
                      <w:b/>
                    </w:rPr>
                    <w:t>Transporta attīstības pamatnostādņu 2021.-2027.gadam projektā</w:t>
                  </w:r>
                  <w:r w:rsidRPr="009841AB">
                    <w:rPr>
                      <w:rStyle w:val="FootnoteReference"/>
                      <w:b/>
                    </w:rPr>
                    <w:footnoteReference w:id="7"/>
                  </w:r>
                  <w:r w:rsidRPr="009841AB">
                    <w:rPr>
                      <w:b/>
                    </w:rPr>
                    <w:t xml:space="preserve"> iekļautie uzdevumi</w:t>
                  </w:r>
                </w:p>
              </w:tc>
            </w:tr>
            <w:tr w:rsidR="00FE0078" w:rsidRPr="009841AB" w14:paraId="5A803468" w14:textId="77777777" w:rsidTr="00C76577">
              <w:tc>
                <w:tcPr>
                  <w:tcW w:w="4678" w:type="dxa"/>
                </w:tcPr>
                <w:p w14:paraId="5A295C4B" w14:textId="77777777" w:rsidR="00FE0078" w:rsidRPr="009841AB" w:rsidRDefault="00FE0078" w:rsidP="00FE0078">
                  <w:pPr>
                    <w:jc w:val="both"/>
                  </w:pPr>
                  <w:r w:rsidRPr="009841AB">
                    <w:t xml:space="preserve">U4.3.1.1.-1 </w:t>
                  </w:r>
                </w:p>
                <w:p w14:paraId="7FC69357" w14:textId="77777777" w:rsidR="00FE0078" w:rsidRPr="009841AB" w:rsidRDefault="00FE0078" w:rsidP="00FE0078">
                  <w:pPr>
                    <w:jc w:val="both"/>
                  </w:pPr>
                  <w:r w:rsidRPr="009841AB">
                    <w:t xml:space="preserve">VIA </w:t>
                  </w:r>
                  <w:proofErr w:type="spellStart"/>
                  <w:r w:rsidRPr="009841AB">
                    <w:t>Baltica</w:t>
                  </w:r>
                  <w:proofErr w:type="spellEnd"/>
                  <w:r w:rsidRPr="009841AB">
                    <w:t xml:space="preserve"> - 5G pieejamība gar visiem galvenajiem sauszemes transporta ceļiem</w:t>
                  </w:r>
                </w:p>
              </w:tc>
              <w:tc>
                <w:tcPr>
                  <w:tcW w:w="4677" w:type="dxa"/>
                </w:tcPr>
                <w:p w14:paraId="000F789B" w14:textId="77777777" w:rsidR="00FE0078" w:rsidRPr="009841AB" w:rsidRDefault="00FE0078" w:rsidP="00FE0078">
                  <w:pPr>
                    <w:jc w:val="both"/>
                  </w:pPr>
                  <w:r w:rsidRPr="009841AB">
                    <w:t xml:space="preserve">2.3.1. 5 (NAP uzdevums 315.; NAP pasākums 540.) </w:t>
                  </w:r>
                </w:p>
                <w:p w14:paraId="6C92797E" w14:textId="77777777" w:rsidR="00FE0078" w:rsidRPr="009841AB" w:rsidRDefault="00FE0078" w:rsidP="00FE0078">
                  <w:pPr>
                    <w:jc w:val="both"/>
                  </w:pPr>
                  <w:r w:rsidRPr="009841AB">
                    <w:t xml:space="preserve">Nodrošināt 5G mobilo sakaru pārklājuma izvēršanu gar VIA </w:t>
                  </w:r>
                  <w:proofErr w:type="spellStart"/>
                  <w:r w:rsidRPr="009841AB">
                    <w:t>Baltica</w:t>
                  </w:r>
                  <w:proofErr w:type="spellEnd"/>
                  <w:r w:rsidRPr="009841AB">
                    <w:t xml:space="preserve"> transporta koridoru</w:t>
                  </w:r>
                </w:p>
                <w:p w14:paraId="4A4BD6E7" w14:textId="77777777" w:rsidR="00FE0078" w:rsidRPr="009841AB" w:rsidRDefault="00FE0078" w:rsidP="00FE0078">
                  <w:pPr>
                    <w:jc w:val="both"/>
                  </w:pPr>
                  <w:r w:rsidRPr="009841AB">
                    <w:t xml:space="preserve">12 500 000 </w:t>
                  </w:r>
                  <w:proofErr w:type="spellStart"/>
                  <w:r w:rsidRPr="009841AB">
                    <w:t>euro</w:t>
                  </w:r>
                  <w:proofErr w:type="spellEnd"/>
                  <w:r w:rsidRPr="009841AB">
                    <w:t xml:space="preserve"> </w:t>
                  </w:r>
                  <w:r w:rsidRPr="009841AB">
                    <w:rPr>
                      <w:i/>
                    </w:rPr>
                    <w:t>(pārsniedz NAP plānoto finansējumu)</w:t>
                  </w:r>
                </w:p>
              </w:tc>
            </w:tr>
            <w:tr w:rsidR="00FE0078" w:rsidRPr="009841AB" w14:paraId="7137B598" w14:textId="77777777" w:rsidTr="00C76577">
              <w:tc>
                <w:tcPr>
                  <w:tcW w:w="4678" w:type="dxa"/>
                </w:tcPr>
                <w:p w14:paraId="0367677B" w14:textId="77777777" w:rsidR="00FE0078" w:rsidRPr="009841AB" w:rsidRDefault="00FE0078" w:rsidP="00FE0078">
                  <w:pPr>
                    <w:jc w:val="both"/>
                  </w:pPr>
                  <w:r w:rsidRPr="009841AB">
                    <w:t xml:space="preserve">U4.3.1.1.-2 </w:t>
                  </w:r>
                </w:p>
                <w:p w14:paraId="30F98A2A" w14:textId="77777777" w:rsidR="00FE0078" w:rsidRPr="009841AB" w:rsidRDefault="00FE0078" w:rsidP="00FE0078">
                  <w:pPr>
                    <w:jc w:val="both"/>
                  </w:pPr>
                  <w:r w:rsidRPr="009841AB">
                    <w:t xml:space="preserve">Rail </w:t>
                  </w:r>
                  <w:proofErr w:type="spellStart"/>
                  <w:r w:rsidRPr="009841AB">
                    <w:t>Baltica</w:t>
                  </w:r>
                  <w:proofErr w:type="spellEnd"/>
                  <w:r w:rsidRPr="009841AB">
                    <w:t xml:space="preserve"> (RB) elektronisko sakaru infrastruktūras izveide</w:t>
                  </w:r>
                </w:p>
                <w:p w14:paraId="703634BD" w14:textId="77777777" w:rsidR="00FE0078" w:rsidRPr="009841AB" w:rsidRDefault="00FE0078" w:rsidP="00FE0078">
                  <w:pPr>
                    <w:jc w:val="both"/>
                  </w:pPr>
                </w:p>
              </w:tc>
              <w:tc>
                <w:tcPr>
                  <w:tcW w:w="4677" w:type="dxa"/>
                </w:tcPr>
                <w:p w14:paraId="6A921B70" w14:textId="77777777" w:rsidR="00FE0078" w:rsidRPr="009841AB" w:rsidRDefault="00FE0078" w:rsidP="00FE0078">
                  <w:pPr>
                    <w:jc w:val="both"/>
                  </w:pPr>
                  <w:r w:rsidRPr="009841AB">
                    <w:t xml:space="preserve">2.1.4. (NAP uzdevums 281., 282., 283., 313., 335.; NAP pasākums 572.) </w:t>
                  </w:r>
                </w:p>
                <w:p w14:paraId="02337D5F" w14:textId="77777777" w:rsidR="00FE0078" w:rsidRPr="009841AB" w:rsidRDefault="00FE0078" w:rsidP="00FE0078">
                  <w:pPr>
                    <w:jc w:val="both"/>
                  </w:pPr>
                  <w:r w:rsidRPr="009841AB">
                    <w:t xml:space="preserve">Nodrošināt pasīvo infrastruktūru 5G mobilo sakaru tīkla izvēršanai Rail </w:t>
                  </w:r>
                  <w:proofErr w:type="spellStart"/>
                  <w:r w:rsidRPr="009841AB">
                    <w:t>Baltica</w:t>
                  </w:r>
                  <w:proofErr w:type="spellEnd"/>
                  <w:r w:rsidRPr="009841AB">
                    <w:t xml:space="preserve"> dzelzceļa līnijas trasē</w:t>
                  </w:r>
                </w:p>
                <w:p w14:paraId="0C5D4549" w14:textId="77777777" w:rsidR="00FE0078" w:rsidRPr="009841AB" w:rsidRDefault="00FE0078" w:rsidP="00FE0078">
                  <w:pPr>
                    <w:jc w:val="both"/>
                  </w:pPr>
                  <w:r w:rsidRPr="009841AB">
                    <w:t xml:space="preserve">8 265 000 </w:t>
                  </w:r>
                  <w:proofErr w:type="spellStart"/>
                  <w:r w:rsidRPr="009841AB">
                    <w:t>euro</w:t>
                  </w:r>
                  <w:proofErr w:type="spellEnd"/>
                </w:p>
              </w:tc>
            </w:tr>
            <w:tr w:rsidR="00FE0078" w:rsidRPr="009841AB" w14:paraId="1E0F18B5" w14:textId="77777777" w:rsidTr="00C76577">
              <w:tc>
                <w:tcPr>
                  <w:tcW w:w="4678" w:type="dxa"/>
                </w:tcPr>
                <w:p w14:paraId="013E8246" w14:textId="77777777" w:rsidR="00FE0078" w:rsidRPr="009841AB" w:rsidRDefault="00FE0078" w:rsidP="00FE0078">
                  <w:pPr>
                    <w:jc w:val="both"/>
                  </w:pPr>
                  <w:r w:rsidRPr="009841AB">
                    <w:t xml:space="preserve">U4.3.1.1.-3 </w:t>
                  </w:r>
                </w:p>
                <w:p w14:paraId="56185793" w14:textId="77777777" w:rsidR="00FE0078" w:rsidRPr="009841AB" w:rsidRDefault="00FE0078" w:rsidP="00FE0078">
                  <w:pPr>
                    <w:jc w:val="both"/>
                  </w:pPr>
                  <w:r w:rsidRPr="009841AB">
                    <w:lastRenderedPageBreak/>
                    <w:t xml:space="preserve">Platjoslas infrastruktūras attīstība – pēdējās jūdzes </w:t>
                  </w:r>
                  <w:proofErr w:type="spellStart"/>
                  <w:r w:rsidRPr="009841AB">
                    <w:t>pieslēgumu</w:t>
                  </w:r>
                  <w:proofErr w:type="spellEnd"/>
                  <w:r w:rsidRPr="009841AB">
                    <w:t xml:space="preserve"> izveide</w:t>
                  </w:r>
                </w:p>
              </w:tc>
              <w:tc>
                <w:tcPr>
                  <w:tcW w:w="4677" w:type="dxa"/>
                </w:tcPr>
                <w:p w14:paraId="7EE47951" w14:textId="77777777" w:rsidR="00FE0078" w:rsidRPr="009841AB" w:rsidRDefault="00FE0078" w:rsidP="00FE0078">
                  <w:pPr>
                    <w:jc w:val="both"/>
                  </w:pPr>
                  <w:r w:rsidRPr="009841AB">
                    <w:lastRenderedPageBreak/>
                    <w:t>Nav iekļauts</w:t>
                  </w:r>
                </w:p>
              </w:tc>
            </w:tr>
            <w:tr w:rsidR="00FE0078" w:rsidRPr="009841AB" w14:paraId="40D10882" w14:textId="77777777" w:rsidTr="00C76577">
              <w:tc>
                <w:tcPr>
                  <w:tcW w:w="4678" w:type="dxa"/>
                </w:tcPr>
                <w:p w14:paraId="44338A08" w14:textId="77777777" w:rsidR="00FE0078" w:rsidRPr="009841AB" w:rsidRDefault="00FE0078" w:rsidP="00FE0078">
                  <w:pPr>
                    <w:jc w:val="both"/>
                  </w:pPr>
                  <w:r w:rsidRPr="009841AB">
                    <w:t xml:space="preserve">U4.3.1.1.-4 </w:t>
                  </w:r>
                </w:p>
                <w:p w14:paraId="08432A2E" w14:textId="77777777" w:rsidR="00FE0078" w:rsidRPr="009841AB" w:rsidRDefault="00FE0078" w:rsidP="00FE0078">
                  <w:pPr>
                    <w:jc w:val="both"/>
                  </w:pPr>
                  <w:r w:rsidRPr="009841AB">
                    <w:t>Nākamās paaudzes tīkla izveide lauku teritorijām</w:t>
                  </w:r>
                </w:p>
              </w:tc>
              <w:tc>
                <w:tcPr>
                  <w:tcW w:w="4677" w:type="dxa"/>
                </w:tcPr>
                <w:p w14:paraId="13B5CEF3" w14:textId="77777777" w:rsidR="00FE0078" w:rsidRPr="009841AB" w:rsidRDefault="00FE0078" w:rsidP="00FE0078">
                  <w:pPr>
                    <w:jc w:val="both"/>
                  </w:pPr>
                  <w:r w:rsidRPr="009841AB">
                    <w:t>Nav iekļauts</w:t>
                  </w:r>
                </w:p>
              </w:tc>
            </w:tr>
            <w:tr w:rsidR="00FE0078" w:rsidRPr="009841AB" w14:paraId="5146FAC5" w14:textId="77777777" w:rsidTr="00C76577">
              <w:tc>
                <w:tcPr>
                  <w:tcW w:w="4678" w:type="dxa"/>
                </w:tcPr>
                <w:p w14:paraId="2E4040F7" w14:textId="77777777" w:rsidR="00FE0078" w:rsidRPr="009841AB" w:rsidRDefault="00FE0078" w:rsidP="00FE0078">
                  <w:pPr>
                    <w:jc w:val="both"/>
                  </w:pPr>
                  <w:r w:rsidRPr="009841AB">
                    <w:t xml:space="preserve">U4.3.1.1.-5 </w:t>
                  </w:r>
                </w:p>
                <w:p w14:paraId="7209001F" w14:textId="77777777" w:rsidR="00FE0078" w:rsidRPr="009841AB" w:rsidRDefault="00FE0078" w:rsidP="00FE0078">
                  <w:pPr>
                    <w:jc w:val="both"/>
                  </w:pPr>
                  <w:r w:rsidRPr="009841AB">
                    <w:t>Datu pārraides pamattīkla atjaunošana un funkciju paplašināšana, nodrošinot vilcienu kustības vadību un citus dzelzceļa tehnoloģiskos procesus dzelzceļa stacijās, parkos, posmos un citos objektos</w:t>
                  </w:r>
                </w:p>
              </w:tc>
              <w:tc>
                <w:tcPr>
                  <w:tcW w:w="4677" w:type="dxa"/>
                </w:tcPr>
                <w:p w14:paraId="5E568E89" w14:textId="77777777" w:rsidR="00FE0078" w:rsidRPr="009841AB" w:rsidRDefault="00FE0078" w:rsidP="00FE0078">
                  <w:pPr>
                    <w:jc w:val="both"/>
                  </w:pPr>
                  <w:r w:rsidRPr="009841AB">
                    <w:t xml:space="preserve">1.1.2.1. (NAP uzdevumi 281., 283., 315./ NAP pasākums 554.) </w:t>
                  </w:r>
                </w:p>
                <w:p w14:paraId="39A6FF8D" w14:textId="77777777" w:rsidR="00FE0078" w:rsidRPr="009841AB" w:rsidRDefault="00FE0078" w:rsidP="00FE0078">
                  <w:pPr>
                    <w:jc w:val="both"/>
                  </w:pPr>
                  <w:r w:rsidRPr="009841AB">
                    <w:t>Atjaunot datu pārraides pamattīklu un paplašināt funkcijas, nodrošinot vilcienu kustības vadību un citus dzelzceļa tehnoloģiskos procesus dzelzceļa stacijās, parkos, posmos un citos objektos</w:t>
                  </w:r>
                </w:p>
                <w:p w14:paraId="56A69FA2" w14:textId="77777777" w:rsidR="00FE0078" w:rsidRPr="009841AB" w:rsidRDefault="00FE0078" w:rsidP="00FE0078">
                  <w:pPr>
                    <w:jc w:val="both"/>
                  </w:pPr>
                  <w:r w:rsidRPr="009841AB">
                    <w:t xml:space="preserve">60000000 </w:t>
                  </w:r>
                  <w:proofErr w:type="spellStart"/>
                  <w:r w:rsidRPr="009841AB">
                    <w:t>euro</w:t>
                  </w:r>
                  <w:proofErr w:type="spellEnd"/>
                  <w:r w:rsidRPr="009841AB">
                    <w:t xml:space="preserve"> </w:t>
                  </w:r>
                  <w:r w:rsidRPr="009841AB">
                    <w:rPr>
                      <w:i/>
                    </w:rPr>
                    <w:t>(pārsniedz NAP plānoto finansējumu)</w:t>
                  </w:r>
                </w:p>
              </w:tc>
            </w:tr>
            <w:tr w:rsidR="00FE0078" w:rsidRPr="009841AB" w14:paraId="60F386DA" w14:textId="77777777" w:rsidTr="00C76577">
              <w:tc>
                <w:tcPr>
                  <w:tcW w:w="4678" w:type="dxa"/>
                </w:tcPr>
                <w:p w14:paraId="2B0F2724" w14:textId="77777777" w:rsidR="00FE0078" w:rsidRPr="009841AB" w:rsidRDefault="00FE0078" w:rsidP="00FE0078">
                  <w:pPr>
                    <w:jc w:val="both"/>
                  </w:pPr>
                  <w:r w:rsidRPr="009841AB">
                    <w:t xml:space="preserve">U4.3.1.2.-1 </w:t>
                  </w:r>
                </w:p>
                <w:p w14:paraId="7F5D662B" w14:textId="77777777" w:rsidR="00FE0078" w:rsidRPr="009841AB" w:rsidRDefault="00FE0078" w:rsidP="00FE0078">
                  <w:pPr>
                    <w:jc w:val="both"/>
                  </w:pPr>
                  <w:r w:rsidRPr="009841AB">
                    <w:t>Noteikt koplietošanai paredzēto elektronisko sakaru infrastruktūru (pasīvo un aktīvo)</w:t>
                  </w:r>
                </w:p>
              </w:tc>
              <w:tc>
                <w:tcPr>
                  <w:tcW w:w="4677" w:type="dxa"/>
                </w:tcPr>
                <w:p w14:paraId="3D257482" w14:textId="77777777" w:rsidR="00FE0078" w:rsidRPr="009841AB" w:rsidRDefault="00FE0078" w:rsidP="00FE0078">
                  <w:pPr>
                    <w:jc w:val="both"/>
                  </w:pPr>
                  <w:r w:rsidRPr="009841AB">
                    <w:t>Nav iekļauts</w:t>
                  </w:r>
                </w:p>
              </w:tc>
            </w:tr>
            <w:tr w:rsidR="00FE0078" w:rsidRPr="009841AB" w14:paraId="65608650" w14:textId="77777777" w:rsidTr="00C76577">
              <w:tc>
                <w:tcPr>
                  <w:tcW w:w="4678" w:type="dxa"/>
                </w:tcPr>
                <w:p w14:paraId="79893B0C" w14:textId="77777777" w:rsidR="00FE0078" w:rsidRPr="009841AB" w:rsidRDefault="00FE0078" w:rsidP="00FE0078">
                  <w:pPr>
                    <w:jc w:val="both"/>
                  </w:pPr>
                  <w:r w:rsidRPr="009841AB">
                    <w:t>U4.3.1.3.-1 Tiesiskā regulējuma izstrāde kartēšanas funkcijas nodefinēšanai</w:t>
                  </w:r>
                </w:p>
              </w:tc>
              <w:tc>
                <w:tcPr>
                  <w:tcW w:w="4677" w:type="dxa"/>
                </w:tcPr>
                <w:p w14:paraId="20AB441B" w14:textId="77777777" w:rsidR="00FE0078" w:rsidRPr="009841AB" w:rsidRDefault="00FE0078" w:rsidP="00FE0078">
                  <w:pPr>
                    <w:jc w:val="both"/>
                  </w:pPr>
                  <w:r w:rsidRPr="009841AB">
                    <w:t>Nav iekļauts</w:t>
                  </w:r>
                </w:p>
              </w:tc>
            </w:tr>
            <w:tr w:rsidR="00FE0078" w:rsidRPr="009841AB" w14:paraId="62031787" w14:textId="77777777" w:rsidTr="00C76577">
              <w:tc>
                <w:tcPr>
                  <w:tcW w:w="4678" w:type="dxa"/>
                </w:tcPr>
                <w:p w14:paraId="430DA858" w14:textId="77777777" w:rsidR="00FE0078" w:rsidRPr="009841AB" w:rsidRDefault="00FE0078" w:rsidP="00FE0078">
                  <w:pPr>
                    <w:jc w:val="both"/>
                  </w:pPr>
                  <w:r w:rsidRPr="009841AB">
                    <w:t>U4.3.1.3.-2 Veikt elektronisko sakaru infrastruktūras kartēšanu (t.sk. izstrādāta sistēma)</w:t>
                  </w:r>
                </w:p>
              </w:tc>
              <w:tc>
                <w:tcPr>
                  <w:tcW w:w="4677" w:type="dxa"/>
                </w:tcPr>
                <w:p w14:paraId="7E00066A" w14:textId="77777777" w:rsidR="00FE0078" w:rsidRPr="009841AB" w:rsidRDefault="00FE0078" w:rsidP="00FE0078">
                  <w:pPr>
                    <w:jc w:val="both"/>
                  </w:pPr>
                  <w:r w:rsidRPr="009841AB">
                    <w:t>Nav iekļauts</w:t>
                  </w:r>
                </w:p>
              </w:tc>
            </w:tr>
            <w:tr w:rsidR="00FE0078" w:rsidRPr="009841AB" w14:paraId="7BFA1562" w14:textId="77777777" w:rsidTr="00C76577">
              <w:tc>
                <w:tcPr>
                  <w:tcW w:w="4678" w:type="dxa"/>
                </w:tcPr>
                <w:p w14:paraId="2BAA7C2C" w14:textId="77777777" w:rsidR="00FE0078" w:rsidRPr="009841AB" w:rsidRDefault="00FE0078" w:rsidP="00FE0078">
                  <w:pPr>
                    <w:jc w:val="both"/>
                  </w:pPr>
                  <w:r w:rsidRPr="009841AB">
                    <w:t>U4.3.2.-1 Centralizētas IPv6 un IPv4 adresācijas pārvaldības un izmantošanas politikas izveide valsts pārvaldē</w:t>
                  </w:r>
                </w:p>
              </w:tc>
              <w:tc>
                <w:tcPr>
                  <w:tcW w:w="4677" w:type="dxa"/>
                </w:tcPr>
                <w:p w14:paraId="466A6D90" w14:textId="77777777" w:rsidR="00FE0078" w:rsidRPr="009841AB" w:rsidRDefault="00FE0078" w:rsidP="00FE0078">
                  <w:pPr>
                    <w:jc w:val="both"/>
                  </w:pPr>
                  <w:r w:rsidRPr="009841AB">
                    <w:t>Nav iekļauts</w:t>
                  </w:r>
                </w:p>
              </w:tc>
            </w:tr>
            <w:tr w:rsidR="00FE0078" w:rsidRPr="009841AB" w14:paraId="436E5DE3" w14:textId="77777777" w:rsidTr="00C76577">
              <w:tc>
                <w:tcPr>
                  <w:tcW w:w="4678" w:type="dxa"/>
                </w:tcPr>
                <w:p w14:paraId="44135C45" w14:textId="77777777" w:rsidR="00FE0078" w:rsidRPr="009841AB" w:rsidRDefault="00FE0078" w:rsidP="00FE0078">
                  <w:pPr>
                    <w:jc w:val="both"/>
                  </w:pPr>
                  <w:r w:rsidRPr="009841AB">
                    <w:t>U4.3.2.-2 IPv6 ieviešana valsts pārvadē atbilstoši noteiktajai politikai</w:t>
                  </w:r>
                </w:p>
              </w:tc>
              <w:tc>
                <w:tcPr>
                  <w:tcW w:w="4677" w:type="dxa"/>
                </w:tcPr>
                <w:p w14:paraId="35C78CB9" w14:textId="77777777" w:rsidR="00FE0078" w:rsidRPr="009841AB" w:rsidRDefault="00FE0078" w:rsidP="00FE0078">
                  <w:pPr>
                    <w:jc w:val="both"/>
                  </w:pPr>
                  <w:r w:rsidRPr="009841AB">
                    <w:t>Nav iekļauts</w:t>
                  </w:r>
                </w:p>
              </w:tc>
            </w:tr>
            <w:tr w:rsidR="00FE0078" w:rsidRPr="009841AB" w14:paraId="35CA23FF" w14:textId="77777777" w:rsidTr="00C76577">
              <w:tc>
                <w:tcPr>
                  <w:tcW w:w="4678" w:type="dxa"/>
                </w:tcPr>
                <w:p w14:paraId="7C14AEA5" w14:textId="77777777" w:rsidR="00FE0078" w:rsidRPr="009841AB" w:rsidRDefault="00FE0078" w:rsidP="00FE0078">
                  <w:pPr>
                    <w:jc w:val="both"/>
                    <w:rPr>
                      <w:b/>
                      <w:bCs/>
                      <w:color w:val="000000"/>
                    </w:rPr>
                  </w:pPr>
                  <w:r w:rsidRPr="009841AB">
                    <w:rPr>
                      <w:bCs/>
                      <w:color w:val="000000"/>
                    </w:rPr>
                    <w:t xml:space="preserve">Attīstības virziena  uzdevumu finansējums kopā </w:t>
                  </w:r>
                  <w:r w:rsidRPr="009841AB">
                    <w:rPr>
                      <w:b/>
                      <w:bCs/>
                      <w:color w:val="000000"/>
                    </w:rPr>
                    <w:t xml:space="preserve">50 865 000 </w:t>
                  </w:r>
                  <w:proofErr w:type="spellStart"/>
                  <w:r w:rsidRPr="009841AB">
                    <w:rPr>
                      <w:b/>
                      <w:bCs/>
                      <w:color w:val="000000"/>
                    </w:rPr>
                    <w:t>euro</w:t>
                  </w:r>
                  <w:proofErr w:type="spellEnd"/>
                </w:p>
              </w:tc>
              <w:tc>
                <w:tcPr>
                  <w:tcW w:w="4677" w:type="dxa"/>
                </w:tcPr>
                <w:p w14:paraId="407CE056" w14:textId="77777777" w:rsidR="00FE0078" w:rsidRPr="009841AB" w:rsidRDefault="00FE0078" w:rsidP="00FE0078">
                  <w:pPr>
                    <w:jc w:val="both"/>
                  </w:pPr>
                  <w:r w:rsidRPr="009841AB">
                    <w:t>3 uzdevumu summa kopā</w:t>
                  </w:r>
                </w:p>
                <w:p w14:paraId="11B70867" w14:textId="77777777" w:rsidR="00FE0078" w:rsidRPr="009841AB" w:rsidRDefault="00FE0078" w:rsidP="00FE0078">
                  <w:pPr>
                    <w:jc w:val="both"/>
                  </w:pPr>
                  <w:r w:rsidRPr="009841AB">
                    <w:rPr>
                      <w:b/>
                      <w:color w:val="000000"/>
                    </w:rPr>
                    <w:t xml:space="preserve">80 765 000 </w:t>
                  </w:r>
                  <w:proofErr w:type="spellStart"/>
                  <w:r w:rsidRPr="009841AB">
                    <w:rPr>
                      <w:b/>
                      <w:color w:val="000000"/>
                    </w:rPr>
                    <w:t>euro</w:t>
                  </w:r>
                  <w:proofErr w:type="spellEnd"/>
                  <w:r w:rsidRPr="009841AB">
                    <w:t xml:space="preserve"> </w:t>
                  </w:r>
                </w:p>
              </w:tc>
            </w:tr>
          </w:tbl>
          <w:p w14:paraId="26D3B98A" w14:textId="77777777" w:rsidR="00FE0078" w:rsidRPr="009841AB" w:rsidRDefault="00FE0078" w:rsidP="00FE0078">
            <w:pPr>
              <w:pStyle w:val="naisc"/>
              <w:spacing w:before="0" w:after="0"/>
              <w:jc w:val="both"/>
            </w:pPr>
          </w:p>
        </w:tc>
      </w:tr>
      <w:tr w:rsidR="00FE0078" w:rsidRPr="009841AB" w14:paraId="48432B45"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433E4E00" w14:textId="77777777" w:rsidR="00FE0078" w:rsidRPr="009841AB" w:rsidRDefault="00021941" w:rsidP="00FE0078">
            <w:pPr>
              <w:tabs>
                <w:tab w:val="left" w:pos="720"/>
              </w:tabs>
              <w:contextualSpacing/>
              <w:jc w:val="both"/>
              <w:rPr>
                <w:b/>
                <w:bCs/>
                <w:lang w:eastAsia="en-US"/>
              </w:rPr>
            </w:pPr>
            <w:proofErr w:type="spellStart"/>
            <w:r>
              <w:rPr>
                <w:rFonts w:cstheme="minorHAnsi"/>
                <w:b/>
              </w:rPr>
              <w:lastRenderedPageBreak/>
              <w:t>Pārresoru</w:t>
            </w:r>
            <w:proofErr w:type="spellEnd"/>
            <w:r>
              <w:rPr>
                <w:rFonts w:cstheme="minorHAnsi"/>
                <w:b/>
              </w:rPr>
              <w:t xml:space="preserve"> koordinācijas centra</w:t>
            </w:r>
            <w:r w:rsidRPr="00507245">
              <w:rPr>
                <w:rFonts w:cstheme="minorHAnsi"/>
                <w:b/>
              </w:rPr>
              <w:t xml:space="preserve"> </w:t>
            </w:r>
            <w:r>
              <w:rPr>
                <w:rFonts w:cstheme="minorHAnsi"/>
                <w:b/>
              </w:rPr>
              <w:t>30</w:t>
            </w:r>
            <w:r w:rsidRPr="00507245">
              <w:rPr>
                <w:rFonts w:cstheme="minorHAnsi"/>
                <w:b/>
              </w:rPr>
              <w:t>.0</w:t>
            </w:r>
            <w:r>
              <w:rPr>
                <w:rFonts w:cstheme="minorHAnsi"/>
                <w:b/>
              </w:rPr>
              <w:t>4</w:t>
            </w:r>
            <w:r w:rsidRPr="00507245">
              <w:rPr>
                <w:rFonts w:cstheme="minorHAnsi"/>
                <w:b/>
              </w:rPr>
              <w:t>.2021. atzinums:</w:t>
            </w:r>
          </w:p>
        </w:tc>
      </w:tr>
      <w:tr w:rsidR="00FE0078" w:rsidRPr="009841AB" w14:paraId="5ECFAD3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3DFC4AA" w14:textId="77777777" w:rsidR="00FE0078" w:rsidRPr="009841AB" w:rsidRDefault="000A48F0" w:rsidP="00FE0078">
            <w:pPr>
              <w:pStyle w:val="naisc"/>
              <w:spacing w:before="0" w:after="0"/>
            </w:pPr>
            <w:r>
              <w:t>540</w:t>
            </w:r>
          </w:p>
        </w:tc>
        <w:tc>
          <w:tcPr>
            <w:tcW w:w="2427" w:type="dxa"/>
            <w:tcBorders>
              <w:left w:val="single" w:sz="6" w:space="0" w:color="000000" w:themeColor="text1"/>
              <w:bottom w:val="single" w:sz="4" w:space="0" w:color="auto"/>
            </w:tcBorders>
            <w:shd w:val="clear" w:color="auto" w:fill="auto"/>
          </w:tcPr>
          <w:p w14:paraId="4A889C5A" w14:textId="77777777" w:rsidR="00FE0078" w:rsidRPr="009841AB" w:rsidRDefault="006A176F"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75E3066D" w14:textId="77777777" w:rsidR="00FE0078" w:rsidRDefault="00021941" w:rsidP="00FE0078">
            <w:pPr>
              <w:tabs>
                <w:tab w:val="left" w:pos="720"/>
              </w:tabs>
              <w:contextualSpacing/>
              <w:jc w:val="both"/>
              <w:rPr>
                <w:color w:val="000000"/>
              </w:rPr>
            </w:pPr>
            <w:r w:rsidRPr="00021941">
              <w:rPr>
                <w:lang w:eastAsia="en-US"/>
              </w:rPr>
              <w:t>1.</w:t>
            </w:r>
            <w:r w:rsidRPr="02D800DB">
              <w:rPr>
                <w:color w:val="000000" w:themeColor="text1"/>
              </w:rPr>
              <w:t xml:space="preserve"> Atkārtoti lūdzam precizēt informāciju </w:t>
            </w:r>
            <w:r w:rsidR="00C857FC" w:rsidRPr="02D800DB">
              <w:rPr>
                <w:color w:val="000000" w:themeColor="text1"/>
              </w:rPr>
              <w:t>par</w:t>
            </w:r>
            <w:r w:rsidRPr="02D800DB">
              <w:rPr>
                <w:color w:val="000000" w:themeColor="text1"/>
              </w:rPr>
              <w:t xml:space="preserve"> Pamatnostādņu projektā definēto politikas rezultātu sasaisti ar NAP2027, Pamatnostādņu projekta 1.pielikumu  "Politikas rezultāti un rezultatīvie </w:t>
            </w:r>
            <w:r w:rsidRPr="02D800DB">
              <w:rPr>
                <w:color w:val="000000" w:themeColor="text1"/>
              </w:rPr>
              <w:lastRenderedPageBreak/>
              <w:t xml:space="preserve">rādītāji" </w:t>
            </w:r>
            <w:r w:rsidRPr="02D800DB">
              <w:rPr>
                <w:b/>
                <w:color w:val="000000" w:themeColor="text1"/>
              </w:rPr>
              <w:t>papildinot ar kolonnu, kur norādīti NAP2027 indikatori</w:t>
            </w:r>
            <w:r w:rsidRPr="02D800DB">
              <w:rPr>
                <w:color w:val="000000" w:themeColor="text1"/>
              </w:rPr>
              <w:t>, kuru sasniegšanu ietekmēs attiecīgā pamatnostādņu politikas rezultāta sasniegšana</w:t>
            </w:r>
            <w:r>
              <w:rPr>
                <w:color w:val="212121"/>
                <w:sz w:val="16"/>
                <w:szCs w:val="16"/>
              </w:rPr>
              <w:t xml:space="preserve">, </w:t>
            </w:r>
            <w:r w:rsidRPr="02D800DB">
              <w:rPr>
                <w:color w:val="000000" w:themeColor="text1"/>
              </w:rPr>
              <w:t>īstenojot pamatnostādņu rīcības virzienos paredzēto. Piedāvājam minēto kolonnu šādā redakcijā (vienlaikus svītrojot atsauces uz NAP2027 kolonnā “Piezīmes”):</w:t>
            </w:r>
          </w:p>
          <w:p w14:paraId="217A8CB8" w14:textId="77777777" w:rsidR="00021941" w:rsidRDefault="00021941" w:rsidP="00021941">
            <w:pPr>
              <w:rPr>
                <w:color w:val="000000"/>
              </w:rPr>
            </w:pPr>
          </w:p>
          <w:tbl>
            <w:tblPr>
              <w:tblW w:w="8789" w:type="dxa"/>
              <w:tblLayout w:type="fixed"/>
              <w:tblCellMar>
                <w:left w:w="0" w:type="dxa"/>
                <w:right w:w="0" w:type="dxa"/>
              </w:tblCellMar>
              <w:tblLook w:val="04A0" w:firstRow="1" w:lastRow="0" w:firstColumn="1" w:lastColumn="0" w:noHBand="0" w:noVBand="1"/>
            </w:tblPr>
            <w:tblGrid>
              <w:gridCol w:w="1560"/>
              <w:gridCol w:w="283"/>
              <w:gridCol w:w="6946"/>
            </w:tblGrid>
            <w:tr w:rsidR="00021941" w14:paraId="73E3E11E" w14:textId="77777777" w:rsidTr="00021941">
              <w:trPr>
                <w:trHeight w:val="630"/>
              </w:trPr>
              <w:tc>
                <w:tcPr>
                  <w:tcW w:w="1560" w:type="dxa"/>
                  <w:noWrap/>
                  <w:tcMar>
                    <w:top w:w="0" w:type="dxa"/>
                    <w:left w:w="108" w:type="dxa"/>
                    <w:bottom w:w="0" w:type="dxa"/>
                    <w:right w:w="108" w:type="dxa"/>
                  </w:tcMar>
                  <w:vAlign w:val="bottom"/>
                  <w:hideMark/>
                </w:tcPr>
                <w:p w14:paraId="757531E7" w14:textId="77777777" w:rsidR="00021941" w:rsidRDefault="00021941" w:rsidP="00021941">
                  <w:pPr>
                    <w:spacing w:before="100" w:beforeAutospacing="1"/>
                    <w:rPr>
                      <w:sz w:val="22"/>
                      <w:szCs w:val="22"/>
                    </w:rPr>
                  </w:pPr>
                  <w:r>
                    <w:t>RR</w:t>
                  </w:r>
                </w:p>
              </w:tc>
              <w:tc>
                <w:tcPr>
                  <w:tcW w:w="283" w:type="dxa"/>
                  <w:noWrap/>
                  <w:tcMar>
                    <w:top w:w="0" w:type="dxa"/>
                    <w:left w:w="108" w:type="dxa"/>
                    <w:bottom w:w="0" w:type="dxa"/>
                    <w:right w:w="108" w:type="dxa"/>
                  </w:tcMar>
                  <w:vAlign w:val="bottom"/>
                  <w:hideMark/>
                </w:tcPr>
                <w:p w14:paraId="2C085A90" w14:textId="77777777" w:rsidR="00021941" w:rsidRDefault="00021941" w:rsidP="00021941"/>
              </w:tc>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8712AA" w14:textId="77777777" w:rsidR="00021941" w:rsidRDefault="00021941" w:rsidP="00021941">
                  <w:pPr>
                    <w:spacing w:before="100" w:beforeAutospacing="1"/>
                    <w:rPr>
                      <w:rFonts w:ascii="Calibri" w:eastAsiaTheme="minorHAnsi" w:hAnsi="Calibri" w:cs="Calibri"/>
                      <w:sz w:val="22"/>
                      <w:szCs w:val="22"/>
                    </w:rPr>
                  </w:pPr>
                  <w:r>
                    <w:t>NAP2027 indikatori, kurus  ietekmēs politikas rezultāta sasniegšana</w:t>
                  </w:r>
                </w:p>
              </w:tc>
            </w:tr>
            <w:tr w:rsidR="00021941" w14:paraId="68F2BBD7" w14:textId="77777777" w:rsidTr="00021941">
              <w:trPr>
                <w:trHeight w:val="315"/>
              </w:trPr>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0840222E" w14:textId="77777777" w:rsidR="00021941" w:rsidRDefault="00021941" w:rsidP="00021941">
                  <w:pPr>
                    <w:spacing w:before="100" w:beforeAutospacing="1"/>
                  </w:pPr>
                  <w:r>
                    <w:t xml:space="preserve">4.1.-1-1 </w:t>
                  </w:r>
                </w:p>
              </w:tc>
              <w:tc>
                <w:tcPr>
                  <w:tcW w:w="283" w:type="dxa"/>
                  <w:tcMar>
                    <w:top w:w="0" w:type="dxa"/>
                    <w:left w:w="108" w:type="dxa"/>
                    <w:bottom w:w="0" w:type="dxa"/>
                    <w:right w:w="108" w:type="dxa"/>
                  </w:tcMar>
                  <w:vAlign w:val="center"/>
                  <w:hideMark/>
                </w:tcPr>
                <w:p w14:paraId="1F6BEFF1"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E0B0FE" w14:textId="77777777" w:rsidR="00021941" w:rsidRDefault="00021941" w:rsidP="00021941">
                  <w:pPr>
                    <w:spacing w:before="100" w:beforeAutospacing="1"/>
                    <w:rPr>
                      <w:rFonts w:ascii="Calibri" w:eastAsiaTheme="minorHAnsi" w:hAnsi="Calibri" w:cs="Calibri"/>
                      <w:sz w:val="22"/>
                      <w:szCs w:val="22"/>
                    </w:rPr>
                  </w:pPr>
                  <w:r>
                    <w:t>[162], [212], [214], [307]</w:t>
                  </w:r>
                </w:p>
              </w:tc>
            </w:tr>
            <w:tr w:rsidR="00021941" w14:paraId="18A62A4D"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431D1074" w14:textId="77777777" w:rsidR="00021941" w:rsidRDefault="00021941" w:rsidP="00021941">
                  <w:pPr>
                    <w:spacing w:before="100" w:beforeAutospacing="1"/>
                  </w:pPr>
                  <w:r>
                    <w:t xml:space="preserve">4.1.-1-2 </w:t>
                  </w:r>
                </w:p>
              </w:tc>
              <w:tc>
                <w:tcPr>
                  <w:tcW w:w="283" w:type="dxa"/>
                  <w:tcMar>
                    <w:top w:w="0" w:type="dxa"/>
                    <w:left w:w="108" w:type="dxa"/>
                    <w:bottom w:w="0" w:type="dxa"/>
                    <w:right w:w="108" w:type="dxa"/>
                  </w:tcMar>
                  <w:vAlign w:val="center"/>
                  <w:hideMark/>
                </w:tcPr>
                <w:p w14:paraId="4D0D1AD1"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CA9441" w14:textId="77777777" w:rsidR="00021941" w:rsidRDefault="00021941" w:rsidP="00021941">
                  <w:pPr>
                    <w:spacing w:before="100" w:beforeAutospacing="1"/>
                    <w:rPr>
                      <w:rFonts w:ascii="Calibri" w:eastAsiaTheme="minorHAnsi" w:hAnsi="Calibri" w:cs="Calibri"/>
                      <w:sz w:val="22"/>
                      <w:szCs w:val="22"/>
                    </w:rPr>
                  </w:pPr>
                  <w:r>
                    <w:t>[162], [212], [214], [307]</w:t>
                  </w:r>
                </w:p>
              </w:tc>
            </w:tr>
            <w:tr w:rsidR="00021941" w14:paraId="3B48C257"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39B197A7" w14:textId="77777777" w:rsidR="00021941" w:rsidRDefault="00021941" w:rsidP="00021941">
                  <w:pPr>
                    <w:spacing w:before="100" w:beforeAutospacing="1"/>
                  </w:pPr>
                  <w:r>
                    <w:t xml:space="preserve">4.1.-2-1 </w:t>
                  </w:r>
                </w:p>
              </w:tc>
              <w:tc>
                <w:tcPr>
                  <w:tcW w:w="283" w:type="dxa"/>
                  <w:tcMar>
                    <w:top w:w="0" w:type="dxa"/>
                    <w:left w:w="108" w:type="dxa"/>
                    <w:bottom w:w="0" w:type="dxa"/>
                    <w:right w:w="108" w:type="dxa"/>
                  </w:tcMar>
                  <w:vAlign w:val="center"/>
                  <w:hideMark/>
                </w:tcPr>
                <w:p w14:paraId="6D13A6AD"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EE1FDA" w14:textId="77777777" w:rsidR="00021941" w:rsidRDefault="00021941" w:rsidP="00021941">
                  <w:pPr>
                    <w:spacing w:before="100" w:beforeAutospacing="1"/>
                    <w:rPr>
                      <w:rFonts w:ascii="Calibri" w:eastAsiaTheme="minorHAnsi" w:hAnsi="Calibri" w:cs="Calibri"/>
                      <w:sz w:val="22"/>
                      <w:szCs w:val="22"/>
                    </w:rPr>
                  </w:pPr>
                  <w:r>
                    <w:t>[134], [162], [163], [307]</w:t>
                  </w:r>
                </w:p>
              </w:tc>
            </w:tr>
            <w:tr w:rsidR="00021941" w14:paraId="351E2CE0"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71545CC4" w14:textId="77777777" w:rsidR="00021941" w:rsidRDefault="00021941" w:rsidP="00021941">
                  <w:pPr>
                    <w:spacing w:before="100" w:beforeAutospacing="1"/>
                  </w:pPr>
                  <w:r>
                    <w:t xml:space="preserve">4.1.-2-2 </w:t>
                  </w:r>
                </w:p>
              </w:tc>
              <w:tc>
                <w:tcPr>
                  <w:tcW w:w="283" w:type="dxa"/>
                  <w:tcMar>
                    <w:top w:w="0" w:type="dxa"/>
                    <w:left w:w="108" w:type="dxa"/>
                    <w:bottom w:w="0" w:type="dxa"/>
                    <w:right w:w="108" w:type="dxa"/>
                  </w:tcMar>
                  <w:vAlign w:val="center"/>
                  <w:hideMark/>
                </w:tcPr>
                <w:p w14:paraId="4C77D140"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A35C71" w14:textId="77777777" w:rsidR="00021941" w:rsidRDefault="00021941" w:rsidP="00021941">
                  <w:pPr>
                    <w:spacing w:before="100" w:beforeAutospacing="1"/>
                    <w:rPr>
                      <w:rFonts w:ascii="Calibri" w:eastAsiaTheme="minorHAnsi" w:hAnsi="Calibri" w:cs="Calibri"/>
                      <w:sz w:val="22"/>
                      <w:szCs w:val="22"/>
                    </w:rPr>
                  </w:pPr>
                  <w:r>
                    <w:t>[134], [162], [163], [307]</w:t>
                  </w:r>
                </w:p>
              </w:tc>
            </w:tr>
            <w:tr w:rsidR="00021941" w14:paraId="4E8B345B"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61AC4E56" w14:textId="77777777" w:rsidR="00021941" w:rsidRDefault="00021941" w:rsidP="00021941">
                  <w:pPr>
                    <w:spacing w:before="100" w:beforeAutospacing="1"/>
                  </w:pPr>
                  <w:r>
                    <w:t xml:space="preserve">4.2.-1-1 </w:t>
                  </w:r>
                </w:p>
              </w:tc>
              <w:tc>
                <w:tcPr>
                  <w:tcW w:w="283" w:type="dxa"/>
                  <w:tcMar>
                    <w:top w:w="0" w:type="dxa"/>
                    <w:left w:w="108" w:type="dxa"/>
                    <w:bottom w:w="0" w:type="dxa"/>
                    <w:right w:w="108" w:type="dxa"/>
                  </w:tcMar>
                  <w:vAlign w:val="center"/>
                  <w:hideMark/>
                </w:tcPr>
                <w:p w14:paraId="2A462597"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1CDE5B" w14:textId="77777777" w:rsidR="00021941" w:rsidRDefault="00021941" w:rsidP="00021941">
                  <w:pPr>
                    <w:spacing w:before="100" w:beforeAutospacing="1"/>
                    <w:rPr>
                      <w:rFonts w:ascii="Calibri" w:eastAsiaTheme="minorHAnsi" w:hAnsi="Calibri" w:cs="Calibri"/>
                      <w:sz w:val="22"/>
                      <w:szCs w:val="22"/>
                    </w:rPr>
                  </w:pPr>
                  <w:r>
                    <w:t>[307]</w:t>
                  </w:r>
                </w:p>
              </w:tc>
            </w:tr>
            <w:tr w:rsidR="00021941" w14:paraId="231A5B73"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4D646518" w14:textId="77777777" w:rsidR="00021941" w:rsidRDefault="00021941" w:rsidP="00021941">
                  <w:pPr>
                    <w:spacing w:before="100" w:beforeAutospacing="1"/>
                  </w:pPr>
                  <w:r>
                    <w:t xml:space="preserve">4.2.-1-2 </w:t>
                  </w:r>
                </w:p>
              </w:tc>
              <w:tc>
                <w:tcPr>
                  <w:tcW w:w="283" w:type="dxa"/>
                  <w:tcMar>
                    <w:top w:w="0" w:type="dxa"/>
                    <w:left w:w="108" w:type="dxa"/>
                    <w:bottom w:w="0" w:type="dxa"/>
                    <w:right w:w="108" w:type="dxa"/>
                  </w:tcMar>
                  <w:vAlign w:val="center"/>
                  <w:hideMark/>
                </w:tcPr>
                <w:p w14:paraId="1F8721FD"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2F9957" w14:textId="77777777" w:rsidR="00021941" w:rsidRDefault="00021941" w:rsidP="00021941">
                  <w:pPr>
                    <w:spacing w:before="100" w:beforeAutospacing="1"/>
                    <w:rPr>
                      <w:rFonts w:ascii="Calibri" w:eastAsiaTheme="minorHAnsi" w:hAnsi="Calibri" w:cs="Calibri"/>
                      <w:sz w:val="22"/>
                      <w:szCs w:val="22"/>
                    </w:rPr>
                  </w:pPr>
                  <w:r>
                    <w:t>[307]</w:t>
                  </w:r>
                </w:p>
              </w:tc>
            </w:tr>
            <w:tr w:rsidR="00021941" w14:paraId="6180EDF7"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45331123" w14:textId="77777777" w:rsidR="00021941" w:rsidRDefault="00021941" w:rsidP="00021941">
                  <w:pPr>
                    <w:spacing w:before="100" w:beforeAutospacing="1"/>
                  </w:pPr>
                  <w:r>
                    <w:t xml:space="preserve">4.2.-2-1 </w:t>
                  </w:r>
                </w:p>
              </w:tc>
              <w:tc>
                <w:tcPr>
                  <w:tcW w:w="283" w:type="dxa"/>
                  <w:tcMar>
                    <w:top w:w="0" w:type="dxa"/>
                    <w:left w:w="108" w:type="dxa"/>
                    <w:bottom w:w="0" w:type="dxa"/>
                    <w:right w:w="108" w:type="dxa"/>
                  </w:tcMar>
                  <w:vAlign w:val="center"/>
                  <w:hideMark/>
                </w:tcPr>
                <w:p w14:paraId="532534B2"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63675B" w14:textId="77777777" w:rsidR="00021941" w:rsidRDefault="00021941" w:rsidP="00021941">
                  <w:pPr>
                    <w:spacing w:before="100" w:beforeAutospacing="1"/>
                    <w:rPr>
                      <w:rFonts w:ascii="Calibri" w:eastAsiaTheme="minorHAnsi" w:hAnsi="Calibri" w:cs="Calibri"/>
                      <w:sz w:val="22"/>
                      <w:szCs w:val="22"/>
                    </w:rPr>
                  </w:pPr>
                  <w:r>
                    <w:t>[307]</w:t>
                  </w:r>
                </w:p>
              </w:tc>
            </w:tr>
            <w:tr w:rsidR="00021941" w14:paraId="30835070"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2A3609C1" w14:textId="77777777" w:rsidR="00021941" w:rsidRDefault="00021941" w:rsidP="00021941">
                  <w:pPr>
                    <w:spacing w:before="100" w:beforeAutospacing="1"/>
                  </w:pPr>
                  <w:r>
                    <w:t xml:space="preserve">4.2.-2-2 </w:t>
                  </w:r>
                </w:p>
              </w:tc>
              <w:tc>
                <w:tcPr>
                  <w:tcW w:w="283" w:type="dxa"/>
                  <w:tcMar>
                    <w:top w:w="0" w:type="dxa"/>
                    <w:left w:w="108" w:type="dxa"/>
                    <w:bottom w:w="0" w:type="dxa"/>
                    <w:right w:w="108" w:type="dxa"/>
                  </w:tcMar>
                  <w:vAlign w:val="center"/>
                  <w:hideMark/>
                </w:tcPr>
                <w:p w14:paraId="7620EF9A"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94D384" w14:textId="77777777" w:rsidR="00021941" w:rsidRDefault="00021941" w:rsidP="00021941">
                  <w:pPr>
                    <w:spacing w:before="100" w:beforeAutospacing="1"/>
                    <w:rPr>
                      <w:rFonts w:ascii="Calibri" w:eastAsiaTheme="minorHAnsi" w:hAnsi="Calibri" w:cs="Calibri"/>
                      <w:sz w:val="22"/>
                      <w:szCs w:val="22"/>
                    </w:rPr>
                  </w:pPr>
                  <w:r>
                    <w:t>[307], [424]</w:t>
                  </w:r>
                </w:p>
              </w:tc>
            </w:tr>
            <w:tr w:rsidR="00021941" w14:paraId="38C23911"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38B1983A" w14:textId="77777777" w:rsidR="00021941" w:rsidRDefault="00021941" w:rsidP="00021941">
                  <w:pPr>
                    <w:spacing w:before="100" w:beforeAutospacing="1"/>
                  </w:pPr>
                  <w:r>
                    <w:t>4.3.-1-1</w:t>
                  </w:r>
                </w:p>
              </w:tc>
              <w:tc>
                <w:tcPr>
                  <w:tcW w:w="283" w:type="dxa"/>
                  <w:tcMar>
                    <w:top w:w="0" w:type="dxa"/>
                    <w:left w:w="108" w:type="dxa"/>
                    <w:bottom w:w="0" w:type="dxa"/>
                    <w:right w:w="108" w:type="dxa"/>
                  </w:tcMar>
                  <w:vAlign w:val="center"/>
                  <w:hideMark/>
                </w:tcPr>
                <w:p w14:paraId="1029C41D"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553440" w14:textId="77777777" w:rsidR="00021941" w:rsidRDefault="00021941" w:rsidP="00021941">
                  <w:pPr>
                    <w:spacing w:before="100" w:beforeAutospacing="1"/>
                    <w:rPr>
                      <w:rFonts w:ascii="Calibri" w:eastAsiaTheme="minorHAnsi" w:hAnsi="Calibri" w:cs="Calibri"/>
                      <w:sz w:val="22"/>
                      <w:szCs w:val="22"/>
                    </w:rPr>
                  </w:pPr>
                  <w:r>
                    <w:t>[307], [330], [417], [424]</w:t>
                  </w:r>
                </w:p>
              </w:tc>
            </w:tr>
            <w:tr w:rsidR="00021941" w14:paraId="4E9D6378"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0E141566" w14:textId="77777777" w:rsidR="00021941" w:rsidRDefault="00021941" w:rsidP="00021941">
                  <w:pPr>
                    <w:spacing w:before="100" w:beforeAutospacing="1"/>
                  </w:pPr>
                  <w:r>
                    <w:t>4.3.-1-2</w:t>
                  </w:r>
                </w:p>
              </w:tc>
              <w:tc>
                <w:tcPr>
                  <w:tcW w:w="283" w:type="dxa"/>
                  <w:tcMar>
                    <w:top w:w="0" w:type="dxa"/>
                    <w:left w:w="108" w:type="dxa"/>
                    <w:bottom w:w="0" w:type="dxa"/>
                    <w:right w:w="108" w:type="dxa"/>
                  </w:tcMar>
                  <w:vAlign w:val="center"/>
                  <w:hideMark/>
                </w:tcPr>
                <w:p w14:paraId="3385A3D3"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EAB137" w14:textId="77777777" w:rsidR="00021941" w:rsidRDefault="00021941" w:rsidP="00021941">
                  <w:pPr>
                    <w:spacing w:before="100" w:beforeAutospacing="1"/>
                    <w:rPr>
                      <w:rFonts w:ascii="Calibri" w:eastAsiaTheme="minorHAnsi" w:hAnsi="Calibri" w:cs="Calibri"/>
                      <w:sz w:val="22"/>
                      <w:szCs w:val="22"/>
                    </w:rPr>
                  </w:pPr>
                  <w:r>
                    <w:t>[302], [303], [307]</w:t>
                  </w:r>
                </w:p>
              </w:tc>
            </w:tr>
            <w:tr w:rsidR="00021941" w14:paraId="5E54F780"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06FDE04B" w14:textId="77777777" w:rsidR="00021941" w:rsidRDefault="00021941" w:rsidP="00021941">
                  <w:pPr>
                    <w:spacing w:before="100" w:beforeAutospacing="1"/>
                  </w:pPr>
                  <w:r>
                    <w:t>4.3.-1-3</w:t>
                  </w:r>
                </w:p>
              </w:tc>
              <w:tc>
                <w:tcPr>
                  <w:tcW w:w="283" w:type="dxa"/>
                  <w:tcMar>
                    <w:top w:w="0" w:type="dxa"/>
                    <w:left w:w="108" w:type="dxa"/>
                    <w:bottom w:w="0" w:type="dxa"/>
                    <w:right w:w="108" w:type="dxa"/>
                  </w:tcMar>
                  <w:vAlign w:val="center"/>
                  <w:hideMark/>
                </w:tcPr>
                <w:p w14:paraId="54924DB9"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BCA00E" w14:textId="77777777" w:rsidR="00021941" w:rsidRDefault="00021941" w:rsidP="00021941">
                  <w:pPr>
                    <w:spacing w:before="100" w:beforeAutospacing="1"/>
                    <w:rPr>
                      <w:rFonts w:ascii="Calibri" w:eastAsiaTheme="minorHAnsi" w:hAnsi="Calibri" w:cs="Calibri"/>
                      <w:sz w:val="22"/>
                      <w:szCs w:val="22"/>
                    </w:rPr>
                  </w:pPr>
                  <w:r>
                    <w:t>[307], [330]</w:t>
                  </w:r>
                </w:p>
              </w:tc>
            </w:tr>
            <w:tr w:rsidR="00021941" w14:paraId="70951400"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7CA7CF19" w14:textId="77777777" w:rsidR="00021941" w:rsidRDefault="00021941" w:rsidP="00021941">
                  <w:pPr>
                    <w:spacing w:before="100" w:beforeAutospacing="1"/>
                  </w:pPr>
                  <w:r>
                    <w:t>4.3.-1-4</w:t>
                  </w:r>
                </w:p>
              </w:tc>
              <w:tc>
                <w:tcPr>
                  <w:tcW w:w="283" w:type="dxa"/>
                  <w:tcMar>
                    <w:top w:w="0" w:type="dxa"/>
                    <w:left w:w="108" w:type="dxa"/>
                    <w:bottom w:w="0" w:type="dxa"/>
                    <w:right w:w="108" w:type="dxa"/>
                  </w:tcMar>
                  <w:vAlign w:val="center"/>
                  <w:hideMark/>
                </w:tcPr>
                <w:p w14:paraId="4CC0FDF9"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DC1818" w14:textId="77777777" w:rsidR="00021941" w:rsidRDefault="00021941" w:rsidP="00021941">
                  <w:pPr>
                    <w:spacing w:before="100" w:beforeAutospacing="1"/>
                    <w:rPr>
                      <w:rFonts w:ascii="Calibri" w:eastAsiaTheme="minorHAnsi" w:hAnsi="Calibri" w:cs="Calibri"/>
                      <w:sz w:val="22"/>
                      <w:szCs w:val="22"/>
                    </w:rPr>
                  </w:pPr>
                  <w:r>
                    <w:t>[307], [329], [417], [424]</w:t>
                  </w:r>
                </w:p>
              </w:tc>
            </w:tr>
            <w:tr w:rsidR="00021941" w14:paraId="32C4C645"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222D488D" w14:textId="77777777" w:rsidR="00021941" w:rsidRDefault="00021941" w:rsidP="00021941">
                  <w:pPr>
                    <w:spacing w:before="100" w:beforeAutospacing="1"/>
                  </w:pPr>
                  <w:r>
                    <w:t xml:space="preserve">4.3.-2-1 </w:t>
                  </w:r>
                </w:p>
              </w:tc>
              <w:tc>
                <w:tcPr>
                  <w:tcW w:w="283" w:type="dxa"/>
                  <w:tcMar>
                    <w:top w:w="0" w:type="dxa"/>
                    <w:left w:w="108" w:type="dxa"/>
                    <w:bottom w:w="0" w:type="dxa"/>
                    <w:right w:w="108" w:type="dxa"/>
                  </w:tcMar>
                  <w:vAlign w:val="center"/>
                  <w:hideMark/>
                </w:tcPr>
                <w:p w14:paraId="3E450923"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7C5B3A" w14:textId="77777777" w:rsidR="00021941" w:rsidRDefault="00021941" w:rsidP="00021941">
                  <w:pPr>
                    <w:spacing w:before="100" w:beforeAutospacing="1"/>
                    <w:rPr>
                      <w:rFonts w:ascii="Calibri" w:eastAsiaTheme="minorHAnsi" w:hAnsi="Calibri" w:cs="Calibri"/>
                      <w:sz w:val="22"/>
                      <w:szCs w:val="22"/>
                    </w:rPr>
                  </w:pPr>
                  <w:r>
                    <w:t>[420], [424]</w:t>
                  </w:r>
                </w:p>
              </w:tc>
            </w:tr>
            <w:tr w:rsidR="00021941" w14:paraId="0DA10F92"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41F704D5" w14:textId="77777777" w:rsidR="00021941" w:rsidRDefault="00021941" w:rsidP="00021941">
                  <w:pPr>
                    <w:spacing w:before="100" w:beforeAutospacing="1"/>
                  </w:pPr>
                  <w:r>
                    <w:t xml:space="preserve">4.3.-2-2 </w:t>
                  </w:r>
                </w:p>
              </w:tc>
              <w:tc>
                <w:tcPr>
                  <w:tcW w:w="283" w:type="dxa"/>
                  <w:tcMar>
                    <w:top w:w="0" w:type="dxa"/>
                    <w:left w:w="108" w:type="dxa"/>
                    <w:bottom w:w="0" w:type="dxa"/>
                    <w:right w:w="108" w:type="dxa"/>
                  </w:tcMar>
                  <w:vAlign w:val="center"/>
                  <w:hideMark/>
                </w:tcPr>
                <w:p w14:paraId="3C8128F6"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0D2714" w14:textId="77777777" w:rsidR="00021941" w:rsidRDefault="00021941" w:rsidP="00021941">
                  <w:pPr>
                    <w:spacing w:before="100" w:beforeAutospacing="1"/>
                    <w:rPr>
                      <w:rFonts w:ascii="Calibri" w:eastAsiaTheme="minorHAnsi" w:hAnsi="Calibri" w:cs="Calibri"/>
                      <w:sz w:val="22"/>
                      <w:szCs w:val="22"/>
                    </w:rPr>
                  </w:pPr>
                  <w:r>
                    <w:t>[330], [424]</w:t>
                  </w:r>
                </w:p>
              </w:tc>
            </w:tr>
            <w:tr w:rsidR="00021941" w14:paraId="1875FCF1"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76DF1DB1" w14:textId="77777777" w:rsidR="00021941" w:rsidRDefault="00021941" w:rsidP="00021941">
                  <w:pPr>
                    <w:spacing w:before="100" w:beforeAutospacing="1"/>
                  </w:pPr>
                  <w:r>
                    <w:t xml:space="preserve">4.4.-1-1 </w:t>
                  </w:r>
                </w:p>
              </w:tc>
              <w:tc>
                <w:tcPr>
                  <w:tcW w:w="283" w:type="dxa"/>
                  <w:tcMar>
                    <w:top w:w="0" w:type="dxa"/>
                    <w:left w:w="108" w:type="dxa"/>
                    <w:bottom w:w="0" w:type="dxa"/>
                    <w:right w:w="108" w:type="dxa"/>
                  </w:tcMar>
                  <w:vAlign w:val="center"/>
                  <w:hideMark/>
                </w:tcPr>
                <w:p w14:paraId="6882FE58"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64574E" w14:textId="77777777" w:rsidR="00021941" w:rsidRDefault="00021941" w:rsidP="00021941">
                  <w:pPr>
                    <w:spacing w:before="100" w:beforeAutospacing="1"/>
                    <w:rPr>
                      <w:rFonts w:ascii="Calibri" w:eastAsiaTheme="minorHAnsi" w:hAnsi="Calibri" w:cs="Calibri"/>
                      <w:sz w:val="22"/>
                      <w:szCs w:val="22"/>
                    </w:rPr>
                  </w:pPr>
                  <w:r>
                    <w:t>[416], [417], [420], [421], [422]</w:t>
                  </w:r>
                </w:p>
              </w:tc>
            </w:tr>
            <w:tr w:rsidR="00021941" w14:paraId="2E7A09CA"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01756679" w14:textId="77777777" w:rsidR="00021941" w:rsidRDefault="00021941" w:rsidP="00021941">
                  <w:pPr>
                    <w:spacing w:before="100" w:beforeAutospacing="1"/>
                  </w:pPr>
                  <w:r>
                    <w:t xml:space="preserve">4.4.-1-2 </w:t>
                  </w:r>
                </w:p>
              </w:tc>
              <w:tc>
                <w:tcPr>
                  <w:tcW w:w="283" w:type="dxa"/>
                  <w:tcMar>
                    <w:top w:w="0" w:type="dxa"/>
                    <w:left w:w="108" w:type="dxa"/>
                    <w:bottom w:w="0" w:type="dxa"/>
                    <w:right w:w="108" w:type="dxa"/>
                  </w:tcMar>
                  <w:vAlign w:val="center"/>
                  <w:hideMark/>
                </w:tcPr>
                <w:p w14:paraId="0FE8D6EC"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89E098" w14:textId="77777777" w:rsidR="00021941" w:rsidRDefault="00021941" w:rsidP="00021941">
                  <w:pPr>
                    <w:spacing w:before="100" w:beforeAutospacing="1"/>
                    <w:rPr>
                      <w:rFonts w:ascii="Calibri" w:eastAsiaTheme="minorHAnsi" w:hAnsi="Calibri" w:cs="Calibri"/>
                      <w:sz w:val="22"/>
                      <w:szCs w:val="22"/>
                    </w:rPr>
                  </w:pPr>
                  <w:r>
                    <w:t>[424]</w:t>
                  </w:r>
                </w:p>
              </w:tc>
            </w:tr>
            <w:tr w:rsidR="00021941" w14:paraId="7F945F88"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1AD64F18" w14:textId="77777777" w:rsidR="00021941" w:rsidRDefault="00021941" w:rsidP="00021941">
                  <w:pPr>
                    <w:spacing w:before="100" w:beforeAutospacing="1"/>
                  </w:pPr>
                  <w:r>
                    <w:t xml:space="preserve">4.4.-2-1 </w:t>
                  </w:r>
                </w:p>
              </w:tc>
              <w:tc>
                <w:tcPr>
                  <w:tcW w:w="283" w:type="dxa"/>
                  <w:tcMar>
                    <w:top w:w="0" w:type="dxa"/>
                    <w:left w:w="108" w:type="dxa"/>
                    <w:bottom w:w="0" w:type="dxa"/>
                    <w:right w:w="108" w:type="dxa"/>
                  </w:tcMar>
                  <w:vAlign w:val="center"/>
                  <w:hideMark/>
                </w:tcPr>
                <w:p w14:paraId="2AA514DA"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1DAD77" w14:textId="77777777" w:rsidR="00021941" w:rsidRDefault="00021941" w:rsidP="00021941">
                  <w:pPr>
                    <w:spacing w:before="100" w:beforeAutospacing="1"/>
                    <w:rPr>
                      <w:rFonts w:ascii="Calibri" w:eastAsiaTheme="minorHAnsi" w:hAnsi="Calibri" w:cs="Calibri"/>
                      <w:sz w:val="22"/>
                      <w:szCs w:val="22"/>
                    </w:rPr>
                  </w:pPr>
                  <w:r>
                    <w:t>[424]</w:t>
                  </w:r>
                </w:p>
              </w:tc>
            </w:tr>
            <w:tr w:rsidR="00021941" w14:paraId="32F8CA9B"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7A21D22C" w14:textId="77777777" w:rsidR="00021941" w:rsidRDefault="00021941" w:rsidP="00021941">
                  <w:pPr>
                    <w:spacing w:before="100" w:beforeAutospacing="1"/>
                  </w:pPr>
                  <w:r>
                    <w:t xml:space="preserve">4.4.-2-2 </w:t>
                  </w:r>
                </w:p>
              </w:tc>
              <w:tc>
                <w:tcPr>
                  <w:tcW w:w="283" w:type="dxa"/>
                  <w:tcMar>
                    <w:top w:w="0" w:type="dxa"/>
                    <w:left w:w="108" w:type="dxa"/>
                    <w:bottom w:w="0" w:type="dxa"/>
                    <w:right w:w="108" w:type="dxa"/>
                  </w:tcMar>
                  <w:vAlign w:val="center"/>
                  <w:hideMark/>
                </w:tcPr>
                <w:p w14:paraId="7E88E63B"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F55633" w14:textId="77777777" w:rsidR="00021941" w:rsidRDefault="00021941" w:rsidP="00021941">
                  <w:pPr>
                    <w:spacing w:before="100" w:beforeAutospacing="1"/>
                    <w:rPr>
                      <w:rFonts w:ascii="Calibri" w:eastAsiaTheme="minorHAnsi" w:hAnsi="Calibri" w:cs="Calibri"/>
                      <w:sz w:val="22"/>
                      <w:szCs w:val="22"/>
                    </w:rPr>
                  </w:pPr>
                  <w:r>
                    <w:t>[424]</w:t>
                  </w:r>
                </w:p>
              </w:tc>
            </w:tr>
            <w:tr w:rsidR="00021941" w14:paraId="474FC18D"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0D815B40" w14:textId="77777777" w:rsidR="00021941" w:rsidRDefault="00021941" w:rsidP="00021941">
                  <w:pPr>
                    <w:spacing w:before="100" w:beforeAutospacing="1"/>
                  </w:pPr>
                  <w:r>
                    <w:t xml:space="preserve">4.4.-2-3 </w:t>
                  </w:r>
                </w:p>
              </w:tc>
              <w:tc>
                <w:tcPr>
                  <w:tcW w:w="283" w:type="dxa"/>
                  <w:tcMar>
                    <w:top w:w="0" w:type="dxa"/>
                    <w:left w:w="108" w:type="dxa"/>
                    <w:bottom w:w="0" w:type="dxa"/>
                    <w:right w:w="108" w:type="dxa"/>
                  </w:tcMar>
                  <w:vAlign w:val="center"/>
                  <w:hideMark/>
                </w:tcPr>
                <w:p w14:paraId="36966FE8"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4FDFF6" w14:textId="77777777" w:rsidR="00021941" w:rsidRDefault="00021941" w:rsidP="00021941">
                  <w:pPr>
                    <w:spacing w:before="100" w:beforeAutospacing="1"/>
                    <w:rPr>
                      <w:rFonts w:ascii="Calibri" w:eastAsiaTheme="minorHAnsi" w:hAnsi="Calibri" w:cs="Calibri"/>
                      <w:sz w:val="22"/>
                      <w:szCs w:val="22"/>
                    </w:rPr>
                  </w:pPr>
                  <w:r>
                    <w:t>[307], [424]</w:t>
                  </w:r>
                </w:p>
              </w:tc>
            </w:tr>
            <w:tr w:rsidR="00021941" w14:paraId="4F091921"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59C10840" w14:textId="77777777" w:rsidR="00021941" w:rsidRDefault="00021941" w:rsidP="00021941">
                  <w:pPr>
                    <w:spacing w:before="100" w:beforeAutospacing="1"/>
                  </w:pPr>
                  <w:r>
                    <w:t xml:space="preserve">4.4.-3-1 </w:t>
                  </w:r>
                </w:p>
              </w:tc>
              <w:tc>
                <w:tcPr>
                  <w:tcW w:w="283" w:type="dxa"/>
                  <w:tcMar>
                    <w:top w:w="0" w:type="dxa"/>
                    <w:left w:w="108" w:type="dxa"/>
                    <w:bottom w:w="0" w:type="dxa"/>
                    <w:right w:w="108" w:type="dxa"/>
                  </w:tcMar>
                  <w:vAlign w:val="center"/>
                  <w:hideMark/>
                </w:tcPr>
                <w:p w14:paraId="5D666AC5"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AFA82" w14:textId="77777777" w:rsidR="00021941" w:rsidRDefault="00021941" w:rsidP="00021941">
                  <w:pPr>
                    <w:spacing w:before="100" w:beforeAutospacing="1"/>
                    <w:rPr>
                      <w:rFonts w:ascii="Calibri" w:eastAsiaTheme="minorHAnsi" w:hAnsi="Calibri" w:cs="Calibri"/>
                      <w:sz w:val="22"/>
                      <w:szCs w:val="22"/>
                    </w:rPr>
                  </w:pPr>
                  <w:r>
                    <w:t>[44], [198]</w:t>
                  </w:r>
                </w:p>
              </w:tc>
            </w:tr>
            <w:tr w:rsidR="00021941" w14:paraId="07488FF3"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2B15E0E7" w14:textId="77777777" w:rsidR="00021941" w:rsidRDefault="00021941" w:rsidP="00021941">
                  <w:pPr>
                    <w:spacing w:before="100" w:beforeAutospacing="1"/>
                  </w:pPr>
                  <w:r>
                    <w:lastRenderedPageBreak/>
                    <w:t xml:space="preserve">4.4.-3-2 </w:t>
                  </w:r>
                </w:p>
              </w:tc>
              <w:tc>
                <w:tcPr>
                  <w:tcW w:w="283" w:type="dxa"/>
                  <w:tcMar>
                    <w:top w:w="0" w:type="dxa"/>
                    <w:left w:w="108" w:type="dxa"/>
                    <w:bottom w:w="0" w:type="dxa"/>
                    <w:right w:w="108" w:type="dxa"/>
                  </w:tcMar>
                  <w:vAlign w:val="center"/>
                  <w:hideMark/>
                </w:tcPr>
                <w:p w14:paraId="0161D690"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710138" w14:textId="77777777" w:rsidR="00021941" w:rsidRDefault="00021941" w:rsidP="00021941">
                  <w:pPr>
                    <w:spacing w:before="100" w:beforeAutospacing="1"/>
                    <w:rPr>
                      <w:rFonts w:ascii="Calibri" w:eastAsiaTheme="minorHAnsi" w:hAnsi="Calibri" w:cs="Calibri"/>
                      <w:sz w:val="22"/>
                      <w:szCs w:val="22"/>
                    </w:rPr>
                  </w:pPr>
                  <w:r>
                    <w:t>[43], [194], [234]</w:t>
                  </w:r>
                </w:p>
              </w:tc>
            </w:tr>
            <w:tr w:rsidR="00021941" w14:paraId="066ECED0"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05C70AA6" w14:textId="77777777" w:rsidR="00021941" w:rsidRDefault="00021941" w:rsidP="00021941">
                  <w:pPr>
                    <w:spacing w:before="100" w:beforeAutospacing="1"/>
                  </w:pPr>
                  <w:r>
                    <w:t xml:space="preserve">4.4.-3-3 </w:t>
                  </w:r>
                </w:p>
              </w:tc>
              <w:tc>
                <w:tcPr>
                  <w:tcW w:w="283" w:type="dxa"/>
                  <w:tcMar>
                    <w:top w:w="0" w:type="dxa"/>
                    <w:left w:w="108" w:type="dxa"/>
                    <w:bottom w:w="0" w:type="dxa"/>
                    <w:right w:w="108" w:type="dxa"/>
                  </w:tcMar>
                  <w:vAlign w:val="center"/>
                  <w:hideMark/>
                </w:tcPr>
                <w:p w14:paraId="3FF04853"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137B53" w14:textId="77777777" w:rsidR="00021941" w:rsidRDefault="00021941" w:rsidP="00021941">
                  <w:pPr>
                    <w:spacing w:before="100" w:beforeAutospacing="1"/>
                    <w:rPr>
                      <w:rFonts w:ascii="Calibri" w:eastAsiaTheme="minorHAnsi" w:hAnsi="Calibri" w:cs="Calibri"/>
                      <w:sz w:val="22"/>
                      <w:szCs w:val="22"/>
                    </w:rPr>
                  </w:pPr>
                  <w:r>
                    <w:t>[43], [194], [234]</w:t>
                  </w:r>
                </w:p>
              </w:tc>
            </w:tr>
            <w:tr w:rsidR="00021941" w14:paraId="63C24DED"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6400A2C1" w14:textId="77777777" w:rsidR="00021941" w:rsidRDefault="00021941" w:rsidP="00021941">
                  <w:pPr>
                    <w:spacing w:before="100" w:beforeAutospacing="1"/>
                  </w:pPr>
                  <w:r>
                    <w:t xml:space="preserve">4.4.-4-1 </w:t>
                  </w:r>
                </w:p>
              </w:tc>
              <w:tc>
                <w:tcPr>
                  <w:tcW w:w="283" w:type="dxa"/>
                  <w:tcMar>
                    <w:top w:w="0" w:type="dxa"/>
                    <w:left w:w="108" w:type="dxa"/>
                    <w:bottom w:w="0" w:type="dxa"/>
                    <w:right w:w="108" w:type="dxa"/>
                  </w:tcMar>
                  <w:vAlign w:val="center"/>
                  <w:hideMark/>
                </w:tcPr>
                <w:p w14:paraId="0770BF85"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7006D2" w14:textId="77777777" w:rsidR="00021941" w:rsidRDefault="00021941" w:rsidP="00021941">
                  <w:pPr>
                    <w:spacing w:before="100" w:beforeAutospacing="1"/>
                    <w:rPr>
                      <w:rFonts w:ascii="Calibri" w:eastAsiaTheme="minorHAnsi" w:hAnsi="Calibri" w:cs="Calibri"/>
                      <w:sz w:val="22"/>
                      <w:szCs w:val="22"/>
                    </w:rPr>
                  </w:pPr>
                  <w:r>
                    <w:t>[44], [234]</w:t>
                  </w:r>
                </w:p>
              </w:tc>
            </w:tr>
            <w:tr w:rsidR="00021941" w14:paraId="2758876A"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30345A4F" w14:textId="77777777" w:rsidR="00021941" w:rsidRDefault="00021941" w:rsidP="00021941">
                  <w:pPr>
                    <w:spacing w:before="100" w:beforeAutospacing="1"/>
                  </w:pPr>
                  <w:r>
                    <w:t xml:space="preserve">4.4.-4-2 </w:t>
                  </w:r>
                </w:p>
              </w:tc>
              <w:tc>
                <w:tcPr>
                  <w:tcW w:w="283" w:type="dxa"/>
                  <w:tcMar>
                    <w:top w:w="0" w:type="dxa"/>
                    <w:left w:w="108" w:type="dxa"/>
                    <w:bottom w:w="0" w:type="dxa"/>
                    <w:right w:w="108" w:type="dxa"/>
                  </w:tcMar>
                  <w:vAlign w:val="center"/>
                  <w:hideMark/>
                </w:tcPr>
                <w:p w14:paraId="6379610A"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8C9C64" w14:textId="77777777" w:rsidR="00021941" w:rsidRDefault="00021941" w:rsidP="00021941">
                  <w:pPr>
                    <w:spacing w:before="100" w:beforeAutospacing="1"/>
                    <w:rPr>
                      <w:rFonts w:ascii="Calibri" w:eastAsiaTheme="minorHAnsi" w:hAnsi="Calibri" w:cs="Calibri"/>
                      <w:sz w:val="22"/>
                      <w:szCs w:val="22"/>
                    </w:rPr>
                  </w:pPr>
                  <w:r>
                    <w:t>[235]</w:t>
                  </w:r>
                </w:p>
              </w:tc>
            </w:tr>
            <w:tr w:rsidR="00021941" w14:paraId="0ED0C4A3"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0A4FB43E" w14:textId="77777777" w:rsidR="00021941" w:rsidRDefault="00021941" w:rsidP="00021941">
                  <w:pPr>
                    <w:spacing w:before="100" w:beforeAutospacing="1"/>
                  </w:pPr>
                  <w:r>
                    <w:t xml:space="preserve">4.4.-5-1 </w:t>
                  </w:r>
                </w:p>
              </w:tc>
              <w:tc>
                <w:tcPr>
                  <w:tcW w:w="283" w:type="dxa"/>
                  <w:tcMar>
                    <w:top w:w="0" w:type="dxa"/>
                    <w:left w:w="108" w:type="dxa"/>
                    <w:bottom w:w="0" w:type="dxa"/>
                    <w:right w:w="108" w:type="dxa"/>
                  </w:tcMar>
                  <w:vAlign w:val="center"/>
                  <w:hideMark/>
                </w:tcPr>
                <w:p w14:paraId="2EC273FC"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E84CA1" w14:textId="77777777" w:rsidR="00021941" w:rsidRDefault="00021941" w:rsidP="00021941">
                  <w:pPr>
                    <w:spacing w:before="100" w:beforeAutospacing="1"/>
                    <w:rPr>
                      <w:rFonts w:ascii="Calibri" w:eastAsiaTheme="minorHAnsi" w:hAnsi="Calibri" w:cs="Calibri"/>
                      <w:sz w:val="22"/>
                      <w:szCs w:val="22"/>
                    </w:rPr>
                  </w:pPr>
                  <w:r>
                    <w:t>[307], [424]</w:t>
                  </w:r>
                </w:p>
              </w:tc>
            </w:tr>
            <w:tr w:rsidR="00021941" w14:paraId="7D2F0F97"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7A145656" w14:textId="77777777" w:rsidR="00021941" w:rsidRDefault="00021941" w:rsidP="00021941">
                  <w:pPr>
                    <w:spacing w:before="100" w:beforeAutospacing="1"/>
                  </w:pPr>
                  <w:r>
                    <w:t xml:space="preserve">4.4.-5-2 </w:t>
                  </w:r>
                </w:p>
              </w:tc>
              <w:tc>
                <w:tcPr>
                  <w:tcW w:w="283" w:type="dxa"/>
                  <w:tcMar>
                    <w:top w:w="0" w:type="dxa"/>
                    <w:left w:w="108" w:type="dxa"/>
                    <w:bottom w:w="0" w:type="dxa"/>
                    <w:right w:w="108" w:type="dxa"/>
                  </w:tcMar>
                  <w:vAlign w:val="center"/>
                  <w:hideMark/>
                </w:tcPr>
                <w:p w14:paraId="79411920"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6DD271" w14:textId="77777777" w:rsidR="00021941" w:rsidRDefault="00021941" w:rsidP="00021941">
                  <w:pPr>
                    <w:spacing w:before="100" w:beforeAutospacing="1"/>
                    <w:rPr>
                      <w:rFonts w:ascii="Calibri" w:eastAsiaTheme="minorHAnsi" w:hAnsi="Calibri" w:cs="Calibri"/>
                      <w:sz w:val="22"/>
                      <w:szCs w:val="22"/>
                    </w:rPr>
                  </w:pPr>
                  <w:r>
                    <w:t>[307], [424]</w:t>
                  </w:r>
                </w:p>
              </w:tc>
            </w:tr>
            <w:tr w:rsidR="00021941" w14:paraId="2BC44689"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11760C32" w14:textId="77777777" w:rsidR="00021941" w:rsidRDefault="00021941" w:rsidP="00021941">
                  <w:pPr>
                    <w:spacing w:before="100" w:beforeAutospacing="1"/>
                  </w:pPr>
                  <w:r>
                    <w:t xml:space="preserve">4.4.-6-1 </w:t>
                  </w:r>
                </w:p>
              </w:tc>
              <w:tc>
                <w:tcPr>
                  <w:tcW w:w="283" w:type="dxa"/>
                  <w:tcMar>
                    <w:top w:w="0" w:type="dxa"/>
                    <w:left w:w="108" w:type="dxa"/>
                    <w:bottom w:w="0" w:type="dxa"/>
                    <w:right w:w="108" w:type="dxa"/>
                  </w:tcMar>
                  <w:vAlign w:val="center"/>
                  <w:hideMark/>
                </w:tcPr>
                <w:p w14:paraId="78BE82D9"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AEB0E0" w14:textId="77777777" w:rsidR="00021941" w:rsidRDefault="00021941" w:rsidP="00021941">
                  <w:pPr>
                    <w:spacing w:before="100" w:beforeAutospacing="1"/>
                    <w:rPr>
                      <w:rFonts w:ascii="Calibri" w:eastAsiaTheme="minorHAnsi" w:hAnsi="Calibri" w:cs="Calibri"/>
                      <w:sz w:val="22"/>
                      <w:szCs w:val="22"/>
                    </w:rPr>
                  </w:pPr>
                  <w:r>
                    <w:t>[307], [424]</w:t>
                  </w:r>
                </w:p>
              </w:tc>
            </w:tr>
            <w:tr w:rsidR="00021941" w14:paraId="614DB5C1"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23D2C259" w14:textId="77777777" w:rsidR="00021941" w:rsidRDefault="00021941" w:rsidP="00021941">
                  <w:pPr>
                    <w:spacing w:before="100" w:beforeAutospacing="1"/>
                  </w:pPr>
                  <w:r>
                    <w:t xml:space="preserve">4.4.-6-2 </w:t>
                  </w:r>
                </w:p>
              </w:tc>
              <w:tc>
                <w:tcPr>
                  <w:tcW w:w="283" w:type="dxa"/>
                  <w:tcMar>
                    <w:top w:w="0" w:type="dxa"/>
                    <w:left w:w="108" w:type="dxa"/>
                    <w:bottom w:w="0" w:type="dxa"/>
                    <w:right w:w="108" w:type="dxa"/>
                  </w:tcMar>
                  <w:vAlign w:val="center"/>
                  <w:hideMark/>
                </w:tcPr>
                <w:p w14:paraId="67769C3B"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5483B6" w14:textId="77777777" w:rsidR="00021941" w:rsidRDefault="00021941" w:rsidP="00021941">
                  <w:pPr>
                    <w:spacing w:before="100" w:beforeAutospacing="1"/>
                    <w:rPr>
                      <w:rFonts w:ascii="Calibri" w:eastAsiaTheme="minorHAnsi" w:hAnsi="Calibri" w:cs="Calibri"/>
                      <w:sz w:val="22"/>
                      <w:szCs w:val="22"/>
                    </w:rPr>
                  </w:pPr>
                  <w:r>
                    <w:t>[307]</w:t>
                  </w:r>
                </w:p>
              </w:tc>
            </w:tr>
            <w:tr w:rsidR="00021941" w14:paraId="3C78A9B0"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7D42A8BE" w14:textId="77777777" w:rsidR="00021941" w:rsidRDefault="00021941" w:rsidP="00021941">
                  <w:pPr>
                    <w:spacing w:before="100" w:beforeAutospacing="1"/>
                  </w:pPr>
                  <w:r>
                    <w:t>4.5.-1-1</w:t>
                  </w:r>
                </w:p>
              </w:tc>
              <w:tc>
                <w:tcPr>
                  <w:tcW w:w="283" w:type="dxa"/>
                  <w:tcMar>
                    <w:top w:w="0" w:type="dxa"/>
                    <w:left w:w="108" w:type="dxa"/>
                    <w:bottom w:w="0" w:type="dxa"/>
                    <w:right w:w="108" w:type="dxa"/>
                  </w:tcMar>
                  <w:vAlign w:val="center"/>
                  <w:hideMark/>
                </w:tcPr>
                <w:p w14:paraId="015075FE"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CB3338" w14:textId="77777777" w:rsidR="00021941" w:rsidRDefault="00021941" w:rsidP="00021941">
                  <w:pPr>
                    <w:spacing w:before="100" w:beforeAutospacing="1"/>
                    <w:rPr>
                      <w:rFonts w:ascii="Calibri" w:eastAsiaTheme="minorHAnsi" w:hAnsi="Calibri" w:cs="Calibri"/>
                      <w:sz w:val="22"/>
                      <w:szCs w:val="22"/>
                    </w:rPr>
                  </w:pPr>
                  <w:r>
                    <w:t>[138], [194], [234]</w:t>
                  </w:r>
                </w:p>
              </w:tc>
            </w:tr>
            <w:tr w:rsidR="00021941" w14:paraId="2C797E89"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7C1288B5" w14:textId="77777777" w:rsidR="00021941" w:rsidRDefault="00021941" w:rsidP="00021941">
                  <w:pPr>
                    <w:spacing w:before="100" w:beforeAutospacing="1"/>
                  </w:pPr>
                  <w:r>
                    <w:t>4.5.-1-2</w:t>
                  </w:r>
                </w:p>
              </w:tc>
              <w:tc>
                <w:tcPr>
                  <w:tcW w:w="283" w:type="dxa"/>
                  <w:tcMar>
                    <w:top w:w="0" w:type="dxa"/>
                    <w:left w:w="108" w:type="dxa"/>
                    <w:bottom w:w="0" w:type="dxa"/>
                    <w:right w:w="108" w:type="dxa"/>
                  </w:tcMar>
                  <w:vAlign w:val="center"/>
                  <w:hideMark/>
                </w:tcPr>
                <w:p w14:paraId="6E138016"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25C167" w14:textId="77777777" w:rsidR="00021941" w:rsidRDefault="00021941" w:rsidP="00021941">
                  <w:pPr>
                    <w:spacing w:before="100" w:beforeAutospacing="1"/>
                    <w:rPr>
                      <w:rFonts w:ascii="Calibri" w:eastAsiaTheme="minorHAnsi" w:hAnsi="Calibri" w:cs="Calibri"/>
                      <w:sz w:val="22"/>
                      <w:szCs w:val="22"/>
                    </w:rPr>
                  </w:pPr>
                  <w:r>
                    <w:t>[138], [234]</w:t>
                  </w:r>
                </w:p>
              </w:tc>
            </w:tr>
            <w:tr w:rsidR="00021941" w14:paraId="47B23C56"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4BF819D2" w14:textId="77777777" w:rsidR="00021941" w:rsidRDefault="00021941" w:rsidP="00021941">
                  <w:pPr>
                    <w:spacing w:before="100" w:beforeAutospacing="1"/>
                  </w:pPr>
                  <w:r>
                    <w:t xml:space="preserve">4.5.-2-1 </w:t>
                  </w:r>
                </w:p>
              </w:tc>
              <w:tc>
                <w:tcPr>
                  <w:tcW w:w="283" w:type="dxa"/>
                  <w:tcMar>
                    <w:top w:w="0" w:type="dxa"/>
                    <w:left w:w="108" w:type="dxa"/>
                    <w:bottom w:w="0" w:type="dxa"/>
                    <w:right w:w="108" w:type="dxa"/>
                  </w:tcMar>
                  <w:vAlign w:val="center"/>
                  <w:hideMark/>
                </w:tcPr>
                <w:p w14:paraId="08037525"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B1B67B" w14:textId="77777777" w:rsidR="00021941" w:rsidRDefault="00021941" w:rsidP="00021941">
                  <w:pPr>
                    <w:spacing w:before="100" w:beforeAutospacing="1"/>
                    <w:rPr>
                      <w:rFonts w:ascii="Calibri" w:eastAsiaTheme="minorHAnsi" w:hAnsi="Calibri" w:cs="Calibri"/>
                      <w:sz w:val="22"/>
                      <w:szCs w:val="22"/>
                    </w:rPr>
                  </w:pPr>
                  <w:r>
                    <w:t>[44], [307]</w:t>
                  </w:r>
                </w:p>
              </w:tc>
            </w:tr>
            <w:tr w:rsidR="00021941" w14:paraId="0040476E" w14:textId="77777777" w:rsidTr="00021941">
              <w:trPr>
                <w:trHeight w:val="315"/>
              </w:trPr>
              <w:tc>
                <w:tcPr>
                  <w:tcW w:w="1560" w:type="dxa"/>
                  <w:tcBorders>
                    <w:top w:val="nil"/>
                    <w:left w:val="nil"/>
                    <w:bottom w:val="single" w:sz="8" w:space="0" w:color="auto"/>
                    <w:right w:val="nil"/>
                  </w:tcBorders>
                  <w:tcMar>
                    <w:top w:w="0" w:type="dxa"/>
                    <w:left w:w="108" w:type="dxa"/>
                    <w:bottom w:w="0" w:type="dxa"/>
                    <w:right w:w="108" w:type="dxa"/>
                  </w:tcMar>
                  <w:vAlign w:val="center"/>
                  <w:hideMark/>
                </w:tcPr>
                <w:p w14:paraId="1BC19D2A" w14:textId="77777777" w:rsidR="00021941" w:rsidRDefault="00021941" w:rsidP="00021941">
                  <w:pPr>
                    <w:spacing w:before="100" w:beforeAutospacing="1"/>
                  </w:pPr>
                  <w:r>
                    <w:t xml:space="preserve">4.5.-2-2 </w:t>
                  </w:r>
                </w:p>
              </w:tc>
              <w:tc>
                <w:tcPr>
                  <w:tcW w:w="283" w:type="dxa"/>
                  <w:tcMar>
                    <w:top w:w="0" w:type="dxa"/>
                    <w:left w:w="108" w:type="dxa"/>
                    <w:bottom w:w="0" w:type="dxa"/>
                    <w:right w:w="108" w:type="dxa"/>
                  </w:tcMar>
                  <w:vAlign w:val="center"/>
                  <w:hideMark/>
                </w:tcPr>
                <w:p w14:paraId="6DB719A4" w14:textId="77777777" w:rsidR="00021941" w:rsidRDefault="00021941" w:rsidP="00021941"/>
              </w:tc>
              <w:tc>
                <w:tcPr>
                  <w:tcW w:w="6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5F8A10" w14:textId="77777777" w:rsidR="00021941" w:rsidRDefault="00021941" w:rsidP="00021941">
                  <w:pPr>
                    <w:spacing w:before="100" w:beforeAutospacing="1"/>
                    <w:rPr>
                      <w:rFonts w:ascii="Calibri" w:eastAsiaTheme="minorHAnsi" w:hAnsi="Calibri" w:cs="Calibri"/>
                      <w:sz w:val="22"/>
                      <w:szCs w:val="22"/>
                    </w:rPr>
                  </w:pPr>
                  <w:r>
                    <w:t>[307]</w:t>
                  </w:r>
                </w:p>
              </w:tc>
            </w:tr>
          </w:tbl>
          <w:p w14:paraId="3D01029B" w14:textId="77777777" w:rsidR="00021941" w:rsidRPr="00021941" w:rsidRDefault="00021941" w:rsidP="00FE0078">
            <w:pPr>
              <w:tabs>
                <w:tab w:val="left" w:pos="720"/>
              </w:tabs>
              <w:contextualSpacing/>
              <w:jc w:val="both"/>
              <w:rPr>
                <w:lang w:eastAsia="en-US"/>
              </w:rPr>
            </w:pPr>
          </w:p>
        </w:tc>
        <w:tc>
          <w:tcPr>
            <w:tcW w:w="2480" w:type="dxa"/>
            <w:tcBorders>
              <w:left w:val="single" w:sz="6" w:space="0" w:color="000000" w:themeColor="text1"/>
              <w:bottom w:val="single" w:sz="4" w:space="0" w:color="auto"/>
            </w:tcBorders>
            <w:shd w:val="clear" w:color="auto" w:fill="auto"/>
          </w:tcPr>
          <w:p w14:paraId="6ACDBE43" w14:textId="77777777" w:rsidR="00FE0078" w:rsidRPr="009841AB" w:rsidRDefault="5B7FA89D" w:rsidP="00FE0078">
            <w:pPr>
              <w:pStyle w:val="naisc"/>
              <w:spacing w:before="0" w:after="0"/>
              <w:jc w:val="left"/>
              <w:rPr>
                <w:b/>
                <w:bCs/>
              </w:rPr>
            </w:pPr>
            <w:r w:rsidRPr="02D800DB">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72090347" w14:textId="36FC29F9" w:rsidR="00FE0078" w:rsidRPr="009841AB" w:rsidRDefault="5B7FA89D" w:rsidP="00FE0078">
            <w:pPr>
              <w:pStyle w:val="naisc"/>
              <w:spacing w:before="0" w:after="0"/>
              <w:jc w:val="both"/>
            </w:pPr>
            <w:r>
              <w:t>Skatīt precizēto 1.pi</w:t>
            </w:r>
            <w:r w:rsidR="00DD2DF9">
              <w:t>e</w:t>
            </w:r>
            <w:r>
              <w:t>likumu.</w:t>
            </w:r>
          </w:p>
        </w:tc>
      </w:tr>
      <w:tr w:rsidR="00021941" w:rsidRPr="009841AB" w14:paraId="00C14645"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034B22E" w14:textId="77777777" w:rsidR="00021941" w:rsidRPr="009841AB" w:rsidRDefault="008C10EE" w:rsidP="00FE0078">
            <w:pPr>
              <w:pStyle w:val="naisc"/>
              <w:spacing w:before="0" w:after="0"/>
            </w:pPr>
            <w:r>
              <w:lastRenderedPageBreak/>
              <w:t>541</w:t>
            </w:r>
          </w:p>
        </w:tc>
        <w:tc>
          <w:tcPr>
            <w:tcW w:w="2427" w:type="dxa"/>
            <w:tcBorders>
              <w:left w:val="single" w:sz="6" w:space="0" w:color="000000" w:themeColor="text1"/>
              <w:bottom w:val="single" w:sz="4" w:space="0" w:color="auto"/>
            </w:tcBorders>
            <w:shd w:val="clear" w:color="auto" w:fill="auto"/>
          </w:tcPr>
          <w:p w14:paraId="60A46613" w14:textId="77777777" w:rsidR="00021941" w:rsidRPr="009841AB" w:rsidRDefault="006A176F"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1DECDF2A" w14:textId="77777777" w:rsidR="00C6176D" w:rsidRDefault="00021941" w:rsidP="00C6176D">
            <w:pPr>
              <w:tabs>
                <w:tab w:val="left" w:pos="720"/>
              </w:tabs>
              <w:contextualSpacing/>
              <w:jc w:val="both"/>
              <w:rPr>
                <w:lang w:eastAsia="en-US"/>
              </w:rPr>
            </w:pPr>
            <w:r>
              <w:rPr>
                <w:lang w:eastAsia="en-US"/>
              </w:rPr>
              <w:t>2.</w:t>
            </w:r>
            <w:r w:rsidR="00C6176D">
              <w:rPr>
                <w:lang w:eastAsia="en-US"/>
              </w:rPr>
              <w:t xml:space="preserve"> Pamatnostādņu pielikuma Excel tabulā “</w:t>
            </w:r>
            <w:proofErr w:type="spellStart"/>
            <w:r w:rsidR="00C6176D">
              <w:rPr>
                <w:lang w:eastAsia="en-US"/>
              </w:rPr>
              <w:t>avots_Finansējums</w:t>
            </w:r>
            <w:proofErr w:type="spellEnd"/>
            <w:r w:rsidR="00C6176D">
              <w:rPr>
                <w:lang w:eastAsia="en-US"/>
              </w:rPr>
              <w:t xml:space="preserve"> NAP” ir iekļauti 177 investīciju pasākumi (par kopējo summu 4 776 926 201 </w:t>
            </w:r>
            <w:proofErr w:type="spellStart"/>
            <w:r w:rsidR="00C6176D">
              <w:rPr>
                <w:lang w:eastAsia="en-US"/>
              </w:rPr>
              <w:t>euro</w:t>
            </w:r>
            <w:proofErr w:type="spellEnd"/>
            <w:r w:rsidR="00C6176D">
              <w:rPr>
                <w:lang w:eastAsia="en-US"/>
              </w:rPr>
              <w:t xml:space="preserve">). No tiem tikai uz daļu ir sniegta atsauce Pamatnostādņu 3.pielikuma "Indikatīvais ietekmes novērtējums uz valsts un pašvaldību budžetiem" kolonnā “Piezīmes” (attiecīgi, par kopējo summu 386 153 129,59 </w:t>
            </w:r>
            <w:proofErr w:type="spellStart"/>
            <w:r w:rsidR="00C6176D">
              <w:rPr>
                <w:lang w:eastAsia="en-US"/>
              </w:rPr>
              <w:t>euro</w:t>
            </w:r>
            <w:proofErr w:type="spellEnd"/>
            <w:r w:rsidR="00C6176D">
              <w:rPr>
                <w:lang w:eastAsia="en-US"/>
              </w:rPr>
              <w:t>). Līdz ar to nav skaidra tabulā “</w:t>
            </w:r>
            <w:proofErr w:type="spellStart"/>
            <w:r w:rsidR="00C6176D">
              <w:rPr>
                <w:lang w:eastAsia="en-US"/>
              </w:rPr>
              <w:t>avots_Finansējums</w:t>
            </w:r>
            <w:proofErr w:type="spellEnd"/>
            <w:r w:rsidR="00C6176D">
              <w:rPr>
                <w:lang w:eastAsia="en-US"/>
              </w:rPr>
              <w:t xml:space="preserve"> NAP” iekļauto NAP2027 indikatīvo finanšu pasākumu izvēle un finansējuma atbilstība. </w:t>
            </w:r>
          </w:p>
          <w:p w14:paraId="233A1631" w14:textId="77777777" w:rsidR="00C6176D" w:rsidRDefault="00C6176D" w:rsidP="00C6176D">
            <w:pPr>
              <w:tabs>
                <w:tab w:val="left" w:pos="720"/>
              </w:tabs>
              <w:contextualSpacing/>
              <w:jc w:val="both"/>
              <w:rPr>
                <w:lang w:eastAsia="en-US"/>
              </w:rPr>
            </w:pPr>
            <w:r>
              <w:rPr>
                <w:lang w:eastAsia="en-US"/>
              </w:rPr>
              <w:t>Līdz ar to piedāvājam aizvietot tabulu “</w:t>
            </w:r>
            <w:proofErr w:type="spellStart"/>
            <w:r>
              <w:rPr>
                <w:lang w:eastAsia="en-US"/>
              </w:rPr>
              <w:t>avots_Finansējums</w:t>
            </w:r>
            <w:proofErr w:type="spellEnd"/>
            <w:r>
              <w:rPr>
                <w:lang w:eastAsia="en-US"/>
              </w:rPr>
              <w:t xml:space="preserve"> NAP” ar tabulu “NAP2027 paredzētā indikatīvā finansējuma un Pamatnostādņu projektā plānoto uzdevumu finansējuma savstarpējā </w:t>
            </w:r>
            <w:proofErr w:type="spellStart"/>
            <w:r>
              <w:rPr>
                <w:lang w:eastAsia="en-US"/>
              </w:rPr>
              <w:t>attiecināmība</w:t>
            </w:r>
            <w:proofErr w:type="spellEnd"/>
            <w:r>
              <w:rPr>
                <w:lang w:eastAsia="en-US"/>
              </w:rPr>
              <w:t xml:space="preserve">” (skat. šīs vēstules pielikumā). Vienlaikus vēršam uzmanību, ka konstatētas vairākas tehniskas neprecizitātes, kuras jānovērš, t.sk. neatbilstība vairāku NAP2027 pasākumu Nr., pasākuma Nr.274 kopējās summa pārsniegums, vairāku NAP2027 pasākumu summas 200% </w:t>
            </w:r>
            <w:r>
              <w:rPr>
                <w:lang w:eastAsia="en-US"/>
              </w:rPr>
              <w:lastRenderedPageBreak/>
              <w:t xml:space="preserve">izlietojums (lūdzam skatīt kolonnu “Piezīmes” pievienotajā Excel failā). </w:t>
            </w:r>
          </w:p>
          <w:p w14:paraId="067217AB" w14:textId="77777777" w:rsidR="00021941" w:rsidRPr="00021941" w:rsidRDefault="00C6176D" w:rsidP="00C6176D">
            <w:pPr>
              <w:tabs>
                <w:tab w:val="left" w:pos="720"/>
              </w:tabs>
              <w:contextualSpacing/>
              <w:jc w:val="both"/>
              <w:rPr>
                <w:lang w:eastAsia="en-US"/>
              </w:rPr>
            </w:pPr>
            <w:r>
              <w:rPr>
                <w:lang w:eastAsia="en-US"/>
              </w:rPr>
              <w:t xml:space="preserve">Ja VARAM neuzskata par lietderīgu piedāvāto risinājumu, lūdzam precizēt 3.pielikumu (“Piezīmes”), lai panāktu </w:t>
            </w:r>
            <w:r w:rsidR="00C857FC">
              <w:rPr>
                <w:lang w:eastAsia="en-US"/>
              </w:rPr>
              <w:t>finansējuma</w:t>
            </w:r>
            <w:r>
              <w:rPr>
                <w:lang w:eastAsia="en-US"/>
              </w:rPr>
              <w:t xml:space="preserve"> saskaņotību ar NAP2027 un vienlaikus pievienot skaidrojumu attiecībā uz tabulu “</w:t>
            </w:r>
            <w:proofErr w:type="spellStart"/>
            <w:r>
              <w:rPr>
                <w:lang w:eastAsia="en-US"/>
              </w:rPr>
              <w:t>avots_Finansējums</w:t>
            </w:r>
            <w:proofErr w:type="spellEnd"/>
            <w:r>
              <w:rPr>
                <w:lang w:eastAsia="en-US"/>
              </w:rPr>
              <w:t xml:space="preserve"> NAP”, lai būtu skaidrs, kāpēc tajā ir iekļauti pasākumi, kas nekorelē ar 3.pielikumu.</w:t>
            </w:r>
          </w:p>
        </w:tc>
        <w:tc>
          <w:tcPr>
            <w:tcW w:w="2480" w:type="dxa"/>
            <w:tcBorders>
              <w:left w:val="single" w:sz="6" w:space="0" w:color="000000" w:themeColor="text1"/>
              <w:bottom w:val="single" w:sz="4" w:space="0" w:color="auto"/>
            </w:tcBorders>
            <w:shd w:val="clear" w:color="auto" w:fill="auto"/>
          </w:tcPr>
          <w:p w14:paraId="6202A1A2" w14:textId="77777777" w:rsidR="00021941" w:rsidRDefault="00C857FC" w:rsidP="00FE0078">
            <w:pPr>
              <w:pStyle w:val="naisc"/>
              <w:spacing w:before="0" w:after="0"/>
              <w:jc w:val="left"/>
              <w:rPr>
                <w:b/>
                <w:bCs/>
              </w:rPr>
            </w:pPr>
            <w:r>
              <w:rPr>
                <w:b/>
                <w:bCs/>
              </w:rPr>
              <w:lastRenderedPageBreak/>
              <w:t>Ņemts vērā</w:t>
            </w:r>
          </w:p>
          <w:p w14:paraId="19FFABA1" w14:textId="77777777" w:rsidR="005E6FD3" w:rsidRDefault="001015A6" w:rsidP="00FE0078">
            <w:pPr>
              <w:pStyle w:val="naisc"/>
              <w:spacing w:before="0" w:after="0"/>
              <w:jc w:val="left"/>
            </w:pPr>
            <w:r w:rsidRPr="001015A6">
              <w:t xml:space="preserve">Pielikumā atstāti finansējuma avoti, kas tikuši attiecināti uz pamatnostādņu pasākumiem. </w:t>
            </w:r>
          </w:p>
          <w:p w14:paraId="006808EC" w14:textId="77777777" w:rsidR="001015A6" w:rsidRDefault="007156CE" w:rsidP="00FE0078">
            <w:pPr>
              <w:pStyle w:val="naisc"/>
              <w:spacing w:before="0" w:after="0"/>
              <w:jc w:val="left"/>
            </w:pPr>
            <w:r>
              <w:t xml:space="preserve">Atbilstoši konstatētajām nepilnībām novērstas neprecīzas atsauces uz NAP uzdevumiem, kā arī </w:t>
            </w:r>
            <w:r w:rsidR="004008EF">
              <w:t xml:space="preserve">novērsta dublējoša finansējuma </w:t>
            </w:r>
            <w:proofErr w:type="spellStart"/>
            <w:r w:rsidR="004008EF">
              <w:t>attiecināmība</w:t>
            </w:r>
            <w:proofErr w:type="spellEnd"/>
            <w:r w:rsidR="004008EF">
              <w:t xml:space="preserve">. Vienlaikus, pārskatīta </w:t>
            </w:r>
            <w:r w:rsidR="001B61AC">
              <w:t xml:space="preserve">NAP </w:t>
            </w:r>
            <w:r w:rsidR="004008EF">
              <w:t xml:space="preserve">pasākuma </w:t>
            </w:r>
            <w:r w:rsidR="001B61AC">
              <w:t xml:space="preserve">274 kopējā summa – esošie </w:t>
            </w:r>
            <w:r w:rsidR="006031BC">
              <w:t xml:space="preserve">DTP iekļautie </w:t>
            </w:r>
            <w:r w:rsidR="001B61AC">
              <w:t>pasākumi nepārsniedz kopsum</w:t>
            </w:r>
            <w:r w:rsidR="006031BC">
              <w:t>mu</w:t>
            </w:r>
            <w:r w:rsidR="00B2165A">
              <w:t xml:space="preserve"> (</w:t>
            </w:r>
            <w:r w:rsidR="00DD4AA7">
              <w:t xml:space="preserve">pasākumi </w:t>
            </w:r>
            <w:r w:rsidR="00DD4AA7">
              <w:lastRenderedPageBreak/>
              <w:t xml:space="preserve">ir par summu </w:t>
            </w:r>
            <w:r w:rsidR="00B2165A">
              <w:t>108 619</w:t>
            </w:r>
            <w:r w:rsidR="00DD4AA7">
              <w:t> </w:t>
            </w:r>
            <w:r w:rsidR="00B2165A">
              <w:t>000</w:t>
            </w:r>
            <w:r w:rsidR="00DD4AA7">
              <w:t>)</w:t>
            </w:r>
            <w:r w:rsidR="006031BC">
              <w:t xml:space="preserve">. </w:t>
            </w:r>
          </w:p>
          <w:p w14:paraId="322AF983" w14:textId="77777777" w:rsidR="006031BC" w:rsidRDefault="006031BC" w:rsidP="00FE0078">
            <w:pPr>
              <w:pStyle w:val="naisc"/>
              <w:spacing w:before="0" w:after="0"/>
              <w:jc w:val="left"/>
            </w:pPr>
          </w:p>
          <w:p w14:paraId="35B2DDC6" w14:textId="77777777" w:rsidR="006031BC" w:rsidRDefault="006031BC" w:rsidP="00FE0078">
            <w:pPr>
              <w:pStyle w:val="naisc"/>
              <w:spacing w:before="0" w:after="0"/>
              <w:jc w:val="left"/>
            </w:pPr>
            <w:r>
              <w:t xml:space="preserve">Vienlaikus neesam iekļāvuši </w:t>
            </w:r>
            <w:r w:rsidR="00956481">
              <w:t xml:space="preserve">PKC piedāvāto tabulu, ņemot vērā, ka pamatnostādņu uzdevumi ir tikuši precizēti. </w:t>
            </w:r>
          </w:p>
          <w:p w14:paraId="29F2CC39" w14:textId="77777777" w:rsidR="00021941" w:rsidRPr="001015A6" w:rsidRDefault="00021941" w:rsidP="00FE0078">
            <w:pPr>
              <w:pStyle w:val="naisc"/>
              <w:spacing w:before="0" w:after="0"/>
              <w:jc w:val="left"/>
            </w:pPr>
          </w:p>
        </w:tc>
        <w:tc>
          <w:tcPr>
            <w:tcW w:w="3497" w:type="dxa"/>
            <w:tcBorders>
              <w:left w:val="single" w:sz="6" w:space="0" w:color="000000" w:themeColor="text1"/>
              <w:bottom w:val="single" w:sz="4" w:space="0" w:color="auto"/>
            </w:tcBorders>
            <w:shd w:val="clear" w:color="auto" w:fill="auto"/>
          </w:tcPr>
          <w:p w14:paraId="629171A2" w14:textId="77777777" w:rsidR="00021941" w:rsidRPr="009841AB" w:rsidRDefault="005E6FD3" w:rsidP="00FE0078">
            <w:pPr>
              <w:pStyle w:val="naisc"/>
              <w:spacing w:before="0" w:after="0"/>
              <w:jc w:val="both"/>
            </w:pPr>
            <w:r>
              <w:lastRenderedPageBreak/>
              <w:t>Lūdzu skat. 3. pielikumu</w:t>
            </w:r>
          </w:p>
        </w:tc>
      </w:tr>
      <w:tr w:rsidR="00021941" w:rsidRPr="009841AB" w14:paraId="0B8B7D09"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1B1868F" w14:textId="77777777" w:rsidR="00021941" w:rsidRPr="009841AB" w:rsidRDefault="00287AB5" w:rsidP="00FE0078">
            <w:pPr>
              <w:pStyle w:val="naisc"/>
              <w:spacing w:before="0" w:after="0"/>
            </w:pPr>
            <w:r>
              <w:t>542</w:t>
            </w:r>
          </w:p>
        </w:tc>
        <w:tc>
          <w:tcPr>
            <w:tcW w:w="2427" w:type="dxa"/>
            <w:tcBorders>
              <w:left w:val="single" w:sz="6" w:space="0" w:color="000000" w:themeColor="text1"/>
              <w:bottom w:val="single" w:sz="4" w:space="0" w:color="auto"/>
            </w:tcBorders>
            <w:shd w:val="clear" w:color="auto" w:fill="auto"/>
          </w:tcPr>
          <w:p w14:paraId="6283C5FC" w14:textId="77777777" w:rsidR="00021941" w:rsidRPr="009841AB" w:rsidRDefault="006A176F"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744F3610" w14:textId="77777777" w:rsidR="00C6176D" w:rsidRDefault="00021941" w:rsidP="00C6176D">
            <w:pPr>
              <w:tabs>
                <w:tab w:val="left" w:pos="720"/>
              </w:tabs>
              <w:contextualSpacing/>
              <w:jc w:val="both"/>
              <w:rPr>
                <w:lang w:eastAsia="en-US"/>
              </w:rPr>
            </w:pPr>
            <w:r>
              <w:rPr>
                <w:lang w:eastAsia="en-US"/>
              </w:rPr>
              <w:t>3.</w:t>
            </w:r>
            <w:r w:rsidR="00C6176D">
              <w:rPr>
                <w:lang w:eastAsia="en-US"/>
              </w:rPr>
              <w:t xml:space="preserve"> Lūdzam novērs tehniskas neprecizitātes 3.pielikumā:</w:t>
            </w:r>
          </w:p>
          <w:p w14:paraId="1DDA0059" w14:textId="77777777" w:rsidR="00C6176D" w:rsidRDefault="00C6176D" w:rsidP="00C6176D">
            <w:pPr>
              <w:tabs>
                <w:tab w:val="left" w:pos="720"/>
              </w:tabs>
              <w:contextualSpacing/>
              <w:jc w:val="both"/>
              <w:rPr>
                <w:lang w:eastAsia="en-US"/>
              </w:rPr>
            </w:pPr>
            <w:r>
              <w:rPr>
                <w:lang w:eastAsia="en-US"/>
              </w:rPr>
              <w:t>•</w:t>
            </w:r>
            <w:r>
              <w:rPr>
                <w:lang w:eastAsia="en-US"/>
              </w:rPr>
              <w:tab/>
              <w:t xml:space="preserve">3.pielikuma nosaukums ir neprecīzs (esošajā </w:t>
            </w:r>
            <w:proofErr w:type="spellStart"/>
            <w:r>
              <w:rPr>
                <w:lang w:eastAsia="en-US"/>
              </w:rPr>
              <w:t>red</w:t>
            </w:r>
            <w:proofErr w:type="spellEnd"/>
            <w:r>
              <w:rPr>
                <w:lang w:eastAsia="en-US"/>
              </w:rPr>
              <w:t>. tas ir nosaukts par 2.pielikumu);</w:t>
            </w:r>
          </w:p>
          <w:p w14:paraId="4F4C059C" w14:textId="77777777" w:rsidR="00C6176D" w:rsidRDefault="00C6176D" w:rsidP="00C6176D">
            <w:pPr>
              <w:tabs>
                <w:tab w:val="left" w:pos="720"/>
              </w:tabs>
              <w:contextualSpacing/>
              <w:jc w:val="both"/>
              <w:rPr>
                <w:lang w:eastAsia="en-US"/>
              </w:rPr>
            </w:pPr>
            <w:r>
              <w:rPr>
                <w:lang w:eastAsia="en-US"/>
              </w:rPr>
              <w:t>•</w:t>
            </w:r>
            <w:r>
              <w:rPr>
                <w:lang w:eastAsia="en-US"/>
              </w:rPr>
              <w:tab/>
            </w:r>
            <w:r w:rsidRPr="0037381E">
              <w:rPr>
                <w:lang w:eastAsia="en-US"/>
              </w:rPr>
              <w:t>4.4.5.-5 vietā jābūt 4.4.6.-5 (gan 3.pielikumā, gan Pamatnostādņu tekstā);</w:t>
            </w:r>
            <w:r w:rsidR="00C857FC">
              <w:rPr>
                <w:lang w:eastAsia="en-US"/>
              </w:rPr>
              <w:t xml:space="preserve"> </w:t>
            </w:r>
          </w:p>
          <w:p w14:paraId="3280231D" w14:textId="77777777" w:rsidR="00021941" w:rsidRPr="00021941" w:rsidRDefault="00C6176D" w:rsidP="00C6176D">
            <w:pPr>
              <w:tabs>
                <w:tab w:val="left" w:pos="720"/>
              </w:tabs>
              <w:contextualSpacing/>
              <w:jc w:val="both"/>
              <w:rPr>
                <w:lang w:eastAsia="en-US"/>
              </w:rPr>
            </w:pPr>
            <w:r>
              <w:rPr>
                <w:lang w:eastAsia="en-US"/>
              </w:rPr>
              <w:t>•</w:t>
            </w:r>
            <w:r>
              <w:rPr>
                <w:lang w:eastAsia="en-US"/>
              </w:rPr>
              <w:tab/>
              <w:t>kopsummā K513 neieskaitās šūna K517.</w:t>
            </w:r>
          </w:p>
        </w:tc>
        <w:tc>
          <w:tcPr>
            <w:tcW w:w="2480" w:type="dxa"/>
            <w:tcBorders>
              <w:left w:val="single" w:sz="6" w:space="0" w:color="000000" w:themeColor="text1"/>
              <w:bottom w:val="single" w:sz="4" w:space="0" w:color="auto"/>
            </w:tcBorders>
            <w:shd w:val="clear" w:color="auto" w:fill="auto"/>
          </w:tcPr>
          <w:p w14:paraId="78CFE985" w14:textId="77777777" w:rsidR="00021941" w:rsidRPr="009841AB" w:rsidRDefault="00C857FC" w:rsidP="00FE0078">
            <w:pPr>
              <w:pStyle w:val="naisc"/>
              <w:spacing w:before="0" w:after="0"/>
              <w:jc w:val="left"/>
              <w:rPr>
                <w:b/>
                <w:bCs/>
              </w:rPr>
            </w:pPr>
            <w:r>
              <w:rPr>
                <w:b/>
                <w:bCs/>
              </w:rPr>
              <w:t xml:space="preserve">Ņemts vērā </w:t>
            </w:r>
          </w:p>
        </w:tc>
        <w:tc>
          <w:tcPr>
            <w:tcW w:w="3497" w:type="dxa"/>
            <w:tcBorders>
              <w:left w:val="single" w:sz="6" w:space="0" w:color="000000" w:themeColor="text1"/>
              <w:bottom w:val="single" w:sz="4" w:space="0" w:color="auto"/>
            </w:tcBorders>
            <w:shd w:val="clear" w:color="auto" w:fill="auto"/>
          </w:tcPr>
          <w:p w14:paraId="5B3E9949" w14:textId="77777777" w:rsidR="00021941" w:rsidRPr="009841AB" w:rsidRDefault="00C857FC" w:rsidP="00FE0078">
            <w:pPr>
              <w:pStyle w:val="naisc"/>
              <w:spacing w:before="0" w:after="0"/>
              <w:jc w:val="both"/>
            </w:pPr>
            <w:r>
              <w:t>Skat. 3. pielikumu</w:t>
            </w:r>
          </w:p>
        </w:tc>
      </w:tr>
      <w:tr w:rsidR="00021941" w:rsidRPr="009841AB" w14:paraId="523924CF"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01486AE3" w14:textId="77777777" w:rsidR="00021941" w:rsidRPr="009841AB" w:rsidRDefault="00021941" w:rsidP="00FE0078">
            <w:pPr>
              <w:pStyle w:val="naisc"/>
              <w:spacing w:before="0" w:after="0"/>
              <w:jc w:val="both"/>
            </w:pPr>
            <w:r w:rsidRPr="009841AB">
              <w:rPr>
                <w:b/>
                <w:bCs/>
                <w:lang w:eastAsia="en-US"/>
              </w:rPr>
              <w:t>Tieslietu ministrijas 05.02.2021. atzinums:</w:t>
            </w:r>
          </w:p>
        </w:tc>
      </w:tr>
      <w:tr w:rsidR="00021941" w:rsidRPr="009841AB" w14:paraId="39F78CAE"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754608B1" w14:textId="77777777" w:rsidR="00021941" w:rsidRPr="009841AB" w:rsidRDefault="00021941" w:rsidP="00FE0078">
            <w:pPr>
              <w:pStyle w:val="naisc"/>
              <w:spacing w:before="0" w:after="0"/>
            </w:pPr>
          </w:p>
        </w:tc>
        <w:tc>
          <w:tcPr>
            <w:tcW w:w="2427" w:type="dxa"/>
            <w:tcBorders>
              <w:left w:val="single" w:sz="6" w:space="0" w:color="000000" w:themeColor="text1"/>
              <w:bottom w:val="single" w:sz="4" w:space="0" w:color="auto"/>
            </w:tcBorders>
            <w:shd w:val="clear" w:color="auto" w:fill="auto"/>
          </w:tcPr>
          <w:p w14:paraId="1AC85E65" w14:textId="77777777" w:rsidR="00021941" w:rsidRPr="009841AB" w:rsidRDefault="00021941" w:rsidP="00FE0078">
            <w:pPr>
              <w:pStyle w:val="naisc"/>
              <w:spacing w:before="0" w:after="0"/>
              <w:jc w:val="left"/>
            </w:pPr>
          </w:p>
        </w:tc>
        <w:tc>
          <w:tcPr>
            <w:tcW w:w="5427" w:type="dxa"/>
            <w:tcBorders>
              <w:left w:val="single" w:sz="6" w:space="0" w:color="000000" w:themeColor="text1"/>
              <w:bottom w:val="single" w:sz="4" w:space="0" w:color="auto"/>
            </w:tcBorders>
            <w:shd w:val="clear" w:color="auto" w:fill="auto"/>
          </w:tcPr>
          <w:p w14:paraId="13DA1858" w14:textId="77777777" w:rsidR="00021941" w:rsidRPr="009841AB" w:rsidRDefault="00021941" w:rsidP="00FE0078">
            <w:pPr>
              <w:tabs>
                <w:tab w:val="left" w:pos="720"/>
              </w:tabs>
              <w:contextualSpacing/>
              <w:jc w:val="both"/>
              <w:rPr>
                <w:b/>
                <w:bCs/>
                <w:lang w:eastAsia="en-US"/>
              </w:rPr>
            </w:pPr>
            <w:r w:rsidRPr="009841AB">
              <w:rPr>
                <w:b/>
                <w:bCs/>
                <w:lang w:eastAsia="en-US"/>
              </w:rPr>
              <w:t>Priekšlikumi:</w:t>
            </w:r>
          </w:p>
        </w:tc>
        <w:tc>
          <w:tcPr>
            <w:tcW w:w="2480" w:type="dxa"/>
            <w:tcBorders>
              <w:left w:val="single" w:sz="6" w:space="0" w:color="000000" w:themeColor="text1"/>
              <w:bottom w:val="single" w:sz="4" w:space="0" w:color="auto"/>
            </w:tcBorders>
            <w:shd w:val="clear" w:color="auto" w:fill="auto"/>
          </w:tcPr>
          <w:p w14:paraId="30E49EAB" w14:textId="77777777" w:rsidR="00021941" w:rsidRPr="009841AB" w:rsidRDefault="00021941"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4DA7D086" w14:textId="77777777" w:rsidR="00021941" w:rsidRPr="009841AB" w:rsidRDefault="00021941" w:rsidP="00FE0078">
            <w:pPr>
              <w:pStyle w:val="naisc"/>
              <w:spacing w:before="0" w:after="0"/>
              <w:jc w:val="both"/>
            </w:pPr>
          </w:p>
        </w:tc>
      </w:tr>
      <w:tr w:rsidR="001F78DF" w:rsidRPr="009841AB" w14:paraId="78A7940F"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8DCCD8B" w14:textId="77777777" w:rsidR="001F78DF" w:rsidRPr="009841AB" w:rsidRDefault="00287AB5" w:rsidP="00FE0078">
            <w:pPr>
              <w:pStyle w:val="naisc"/>
              <w:spacing w:before="0" w:after="0"/>
            </w:pPr>
            <w:r>
              <w:t>543</w:t>
            </w:r>
          </w:p>
        </w:tc>
        <w:tc>
          <w:tcPr>
            <w:tcW w:w="2427" w:type="dxa"/>
            <w:tcBorders>
              <w:left w:val="single" w:sz="6" w:space="0" w:color="000000" w:themeColor="text1"/>
              <w:bottom w:val="single" w:sz="4" w:space="0" w:color="auto"/>
            </w:tcBorders>
            <w:shd w:val="clear" w:color="auto" w:fill="auto"/>
          </w:tcPr>
          <w:p w14:paraId="79C641A2" w14:textId="77777777" w:rsidR="001F78DF" w:rsidRPr="009841AB" w:rsidRDefault="001F78DF"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45D0D285" w14:textId="77777777" w:rsidR="001F78DF" w:rsidRPr="009841AB" w:rsidRDefault="001F78DF" w:rsidP="00FE0078">
            <w:pPr>
              <w:tabs>
                <w:tab w:val="left" w:pos="720"/>
              </w:tabs>
              <w:contextualSpacing/>
              <w:jc w:val="both"/>
              <w:rPr>
                <w:b/>
                <w:bCs/>
                <w:lang w:eastAsia="en-US"/>
              </w:rPr>
            </w:pPr>
            <w:r w:rsidRPr="009841AB">
              <w:rPr>
                <w:lang w:eastAsia="en-US"/>
              </w:rPr>
              <w:t>Pamatnostādņu projekta 3. pielikumā sniegts vispārīgs pamatnostādņu projektā iekļauto iniciatīvu īstenošanai nepieciešamais/ pieejamais finansējums, bet vienlaikus nerodas priekšstats par tā sadalījumu starp resoriem. Ņemot vērā minēto, aicinām izvērtēt iespēju norādīt resoru ietvaros pieejamo finansējumu.</w:t>
            </w:r>
          </w:p>
        </w:tc>
        <w:tc>
          <w:tcPr>
            <w:tcW w:w="2480" w:type="dxa"/>
            <w:tcBorders>
              <w:left w:val="single" w:sz="6" w:space="0" w:color="000000" w:themeColor="text1"/>
              <w:bottom w:val="single" w:sz="4" w:space="0" w:color="auto"/>
            </w:tcBorders>
            <w:shd w:val="clear" w:color="auto" w:fill="auto"/>
          </w:tcPr>
          <w:p w14:paraId="77291D18" w14:textId="77777777" w:rsidR="001F78DF" w:rsidRPr="009841AB" w:rsidRDefault="001F78DF" w:rsidP="001F78DF">
            <w:pPr>
              <w:pStyle w:val="naisc"/>
              <w:spacing w:before="0" w:after="0"/>
              <w:jc w:val="left"/>
              <w:rPr>
                <w:b/>
                <w:bCs/>
              </w:rPr>
            </w:pPr>
            <w:r w:rsidRPr="009841AB">
              <w:rPr>
                <w:b/>
                <w:bCs/>
              </w:rPr>
              <w:t>Ņemts vērā</w:t>
            </w:r>
          </w:p>
          <w:p w14:paraId="7F4E0751" w14:textId="77777777" w:rsidR="001F78DF" w:rsidRPr="009841AB" w:rsidRDefault="001F78DF" w:rsidP="00FE0078">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6F7BBA50" w14:textId="77777777" w:rsidR="001F78DF" w:rsidRPr="009841AB" w:rsidRDefault="001F78DF" w:rsidP="00FE0078">
            <w:pPr>
              <w:pStyle w:val="naisc"/>
              <w:spacing w:before="0" w:after="0"/>
              <w:jc w:val="both"/>
            </w:pPr>
            <w:r w:rsidRPr="009841AB">
              <w:t>Lūdzam skatīt 3.pielikumu</w:t>
            </w:r>
          </w:p>
        </w:tc>
      </w:tr>
      <w:tr w:rsidR="00347D00" w:rsidRPr="009841AB" w14:paraId="0F829637" w14:textId="77777777" w:rsidTr="15B1D617">
        <w:tc>
          <w:tcPr>
            <w:tcW w:w="14451" w:type="dxa"/>
            <w:gridSpan w:val="6"/>
            <w:tcBorders>
              <w:left w:val="single" w:sz="6" w:space="0" w:color="000000" w:themeColor="text1"/>
              <w:bottom w:val="single" w:sz="4" w:space="0" w:color="auto"/>
            </w:tcBorders>
            <w:shd w:val="clear" w:color="auto" w:fill="auto"/>
          </w:tcPr>
          <w:p w14:paraId="4FE7ED2C" w14:textId="77777777" w:rsidR="00347D00" w:rsidRPr="009841AB" w:rsidRDefault="00347D00" w:rsidP="00FE0078">
            <w:pPr>
              <w:pStyle w:val="naisc"/>
              <w:spacing w:before="0" w:after="0"/>
              <w:jc w:val="both"/>
            </w:pPr>
            <w:r w:rsidRPr="009841AB">
              <w:rPr>
                <w:b/>
                <w:bCs/>
                <w:lang w:eastAsia="en-US"/>
              </w:rPr>
              <w:t>Tieslietu ministrijas 0</w:t>
            </w:r>
            <w:r w:rsidR="00410F66">
              <w:rPr>
                <w:b/>
                <w:bCs/>
                <w:lang w:eastAsia="en-US"/>
              </w:rPr>
              <w:t>7</w:t>
            </w:r>
            <w:r w:rsidRPr="009841AB">
              <w:rPr>
                <w:b/>
                <w:bCs/>
                <w:lang w:eastAsia="en-US"/>
              </w:rPr>
              <w:t>.05.2021. atzinums:</w:t>
            </w:r>
          </w:p>
        </w:tc>
      </w:tr>
      <w:tr w:rsidR="00347D00" w:rsidRPr="009841AB" w14:paraId="2E4B5A08" w14:textId="77777777" w:rsidTr="00DC72A3">
        <w:tc>
          <w:tcPr>
            <w:tcW w:w="613" w:type="dxa"/>
            <w:tcBorders>
              <w:left w:val="single" w:sz="6" w:space="0" w:color="000000" w:themeColor="text1"/>
              <w:bottom w:val="single" w:sz="4" w:space="0" w:color="auto"/>
            </w:tcBorders>
            <w:shd w:val="clear" w:color="auto" w:fill="auto"/>
          </w:tcPr>
          <w:p w14:paraId="1FC97EAB" w14:textId="77777777" w:rsidR="00347D00" w:rsidRDefault="00287AB5" w:rsidP="00FE0078">
            <w:pPr>
              <w:pStyle w:val="naisc"/>
              <w:spacing w:before="0" w:after="0"/>
            </w:pPr>
            <w:r>
              <w:t>544</w:t>
            </w:r>
          </w:p>
        </w:tc>
        <w:tc>
          <w:tcPr>
            <w:tcW w:w="2427" w:type="dxa"/>
            <w:tcBorders>
              <w:left w:val="single" w:sz="6" w:space="0" w:color="000000" w:themeColor="text1"/>
              <w:bottom w:val="single" w:sz="4" w:space="0" w:color="auto"/>
            </w:tcBorders>
            <w:shd w:val="clear" w:color="auto" w:fill="auto"/>
          </w:tcPr>
          <w:p w14:paraId="100D32ED" w14:textId="77777777" w:rsidR="00347D00" w:rsidRPr="009841AB" w:rsidRDefault="00410F66"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6567688A" w14:textId="77777777" w:rsidR="00347D00" w:rsidRPr="009841AB" w:rsidRDefault="00331191" w:rsidP="00FE0078">
            <w:pPr>
              <w:tabs>
                <w:tab w:val="left" w:pos="720"/>
              </w:tabs>
              <w:contextualSpacing/>
              <w:jc w:val="both"/>
              <w:rPr>
                <w:lang w:eastAsia="en-US"/>
              </w:rPr>
            </w:pPr>
            <w:r>
              <w:rPr>
                <w:lang w:eastAsia="en-US"/>
              </w:rPr>
              <w:t xml:space="preserve">1. </w:t>
            </w:r>
            <w:r w:rsidRPr="00331191">
              <w:rPr>
                <w:lang w:eastAsia="en-US"/>
              </w:rPr>
              <w:t xml:space="preserve">Nepieciešams precizēt pamatnostādņu projekta 2. pielikuma uzdevuma Nr.4.1.1.-1 K ailē norādīto, atbilstoši pamatteksta saturam, proti, šobrīd 2. pielikumā kā līdzatbildīgā nav minēta Tieslietu ministrija. Vienlaikus vēršam uzmanību, ka Tieslietu ministrija kā līdzatbildīgā ministrija šī uzdevuma kontekstā ir minēta, jo rīcības virziena ietvaros esam uzsvēruši nepieciešamību nodrošināt digitālo prasmju </w:t>
            </w:r>
            <w:r w:rsidRPr="00331191">
              <w:rPr>
                <w:lang w:eastAsia="en-US"/>
              </w:rPr>
              <w:lastRenderedPageBreak/>
              <w:t>apguvi arī īpašajām grupām – ieslodzītie un probācijas klienti. Savukārt pamatnostādņu projekta 3. pielikuma uzdevuma Nr.4.1.1.-1 V ailē “Piezīmes” ir jādzēš norāde par normatīvo aktu izmaiņām, jo uzdevumā minētā plāna ieviešana nevar tikt aprobežota tikai ar normatīvo aktu izmaiņām. Šī aile būtu papildināma ar tekstu “Daļa NAP 11 (4.3.4.SAM)”.</w:t>
            </w:r>
          </w:p>
        </w:tc>
        <w:tc>
          <w:tcPr>
            <w:tcW w:w="2480" w:type="dxa"/>
            <w:tcBorders>
              <w:left w:val="single" w:sz="6" w:space="0" w:color="000000" w:themeColor="text1"/>
              <w:bottom w:val="single" w:sz="4" w:space="0" w:color="auto"/>
            </w:tcBorders>
            <w:shd w:val="clear" w:color="auto" w:fill="auto"/>
          </w:tcPr>
          <w:p w14:paraId="4B226A0C" w14:textId="77777777" w:rsidR="00D31F5F" w:rsidRPr="009841AB" w:rsidRDefault="00D31F5F" w:rsidP="00D31F5F">
            <w:pPr>
              <w:pStyle w:val="naisc"/>
              <w:spacing w:before="0" w:after="0"/>
              <w:jc w:val="left"/>
              <w:rPr>
                <w:b/>
                <w:bCs/>
              </w:rPr>
            </w:pPr>
            <w:r w:rsidRPr="009841AB">
              <w:rPr>
                <w:b/>
                <w:bCs/>
              </w:rPr>
              <w:lastRenderedPageBreak/>
              <w:t>Ņemts vērā</w:t>
            </w:r>
          </w:p>
          <w:p w14:paraId="024B2821" w14:textId="77777777" w:rsidR="00347D00" w:rsidRPr="009841AB" w:rsidRDefault="00347D00" w:rsidP="001F78DF">
            <w:pPr>
              <w:pStyle w:val="naisc"/>
              <w:spacing w:before="0" w:after="0"/>
              <w:jc w:val="left"/>
              <w:rPr>
                <w:b/>
                <w:bCs/>
              </w:rPr>
            </w:pPr>
          </w:p>
        </w:tc>
        <w:tc>
          <w:tcPr>
            <w:tcW w:w="3504" w:type="dxa"/>
            <w:gridSpan w:val="2"/>
            <w:tcBorders>
              <w:left w:val="single" w:sz="6" w:space="0" w:color="000000" w:themeColor="text1"/>
              <w:bottom w:val="single" w:sz="4" w:space="0" w:color="auto"/>
            </w:tcBorders>
            <w:shd w:val="clear" w:color="auto" w:fill="auto"/>
          </w:tcPr>
          <w:p w14:paraId="184F1E55" w14:textId="77777777" w:rsidR="00347D00" w:rsidRPr="009841AB" w:rsidRDefault="00D31F5F" w:rsidP="00FE0078">
            <w:pPr>
              <w:pStyle w:val="naisc"/>
              <w:spacing w:before="0" w:after="0"/>
              <w:jc w:val="both"/>
            </w:pPr>
            <w:r w:rsidRPr="009841AB">
              <w:t xml:space="preserve">Lūdzam skatīt </w:t>
            </w:r>
            <w:r>
              <w:t xml:space="preserve"> </w:t>
            </w:r>
            <w:r>
              <w:rPr>
                <w:color w:val="000000"/>
              </w:rPr>
              <w:t>uzdevumu</w:t>
            </w:r>
            <w:r w:rsidRPr="00142FAB">
              <w:rPr>
                <w:color w:val="000000"/>
              </w:rPr>
              <w:t xml:space="preserve"> Nr.4.1.1.-1</w:t>
            </w:r>
            <w:r>
              <w:rPr>
                <w:color w:val="000000"/>
              </w:rPr>
              <w:t xml:space="preserve"> </w:t>
            </w:r>
            <w:r w:rsidRPr="00142FAB">
              <w:rPr>
                <w:color w:val="000000"/>
              </w:rPr>
              <w:t>pam</w:t>
            </w:r>
            <w:r>
              <w:rPr>
                <w:color w:val="000000"/>
              </w:rPr>
              <w:t>atnostādņu projekta 2. pielikumā</w:t>
            </w:r>
            <w:r>
              <w:t xml:space="preserve"> un uzdevumu </w:t>
            </w:r>
            <w:r w:rsidRPr="00142FAB">
              <w:rPr>
                <w:color w:val="000000"/>
              </w:rPr>
              <w:t>uzdevuma Nr.4.1.1.-</w:t>
            </w:r>
            <w:r>
              <w:rPr>
                <w:color w:val="000000"/>
              </w:rPr>
              <w:t xml:space="preserve"> </w:t>
            </w:r>
            <w:r w:rsidRPr="00142FAB">
              <w:rPr>
                <w:color w:val="000000"/>
              </w:rPr>
              <w:t>pam</w:t>
            </w:r>
            <w:r>
              <w:rPr>
                <w:color w:val="000000"/>
              </w:rPr>
              <w:t>atnostādņu projekta 3. </w:t>
            </w:r>
            <w:r w:rsidRPr="00142FAB">
              <w:rPr>
                <w:color w:val="000000"/>
              </w:rPr>
              <w:t>pielikum</w:t>
            </w:r>
            <w:r>
              <w:rPr>
                <w:color w:val="000000"/>
              </w:rPr>
              <w:t>ā</w:t>
            </w:r>
          </w:p>
        </w:tc>
      </w:tr>
      <w:tr w:rsidR="00347D00" w:rsidRPr="009841AB" w14:paraId="1E2CA044" w14:textId="77777777" w:rsidTr="00DC72A3">
        <w:tc>
          <w:tcPr>
            <w:tcW w:w="613" w:type="dxa"/>
            <w:tcBorders>
              <w:left w:val="single" w:sz="6" w:space="0" w:color="000000" w:themeColor="text1"/>
              <w:bottom w:val="single" w:sz="4" w:space="0" w:color="auto"/>
            </w:tcBorders>
            <w:shd w:val="clear" w:color="auto" w:fill="auto"/>
          </w:tcPr>
          <w:p w14:paraId="1BC9A366" w14:textId="77777777" w:rsidR="00347D00" w:rsidRDefault="00287AB5" w:rsidP="00FE0078">
            <w:pPr>
              <w:pStyle w:val="naisc"/>
              <w:spacing w:before="0" w:after="0"/>
            </w:pPr>
            <w:r>
              <w:t>545</w:t>
            </w:r>
          </w:p>
        </w:tc>
        <w:tc>
          <w:tcPr>
            <w:tcW w:w="2427" w:type="dxa"/>
            <w:tcBorders>
              <w:left w:val="single" w:sz="6" w:space="0" w:color="000000" w:themeColor="text1"/>
              <w:bottom w:val="single" w:sz="4" w:space="0" w:color="auto"/>
            </w:tcBorders>
            <w:shd w:val="clear" w:color="auto" w:fill="auto"/>
          </w:tcPr>
          <w:p w14:paraId="218E4644" w14:textId="77777777" w:rsidR="00347D00" w:rsidRPr="009841AB" w:rsidRDefault="00410F66"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6A2A59BF" w14:textId="77777777" w:rsidR="00347D00" w:rsidRPr="009841AB" w:rsidRDefault="00616F97" w:rsidP="00FE0078">
            <w:pPr>
              <w:tabs>
                <w:tab w:val="left" w:pos="720"/>
              </w:tabs>
              <w:contextualSpacing/>
              <w:jc w:val="both"/>
              <w:rPr>
                <w:lang w:eastAsia="en-US"/>
              </w:rPr>
            </w:pPr>
            <w:r>
              <w:rPr>
                <w:lang w:eastAsia="en-US"/>
              </w:rPr>
              <w:t xml:space="preserve">2. </w:t>
            </w:r>
            <w:r w:rsidRPr="00616F97">
              <w:rPr>
                <w:lang w:eastAsia="en-US"/>
              </w:rPr>
              <w:t>Nepieciešams precizēt pamatnostādņu projekta 2. pielikuma rīcības virziena Nr.4.1.2. “Pakalpojumu sniegšana” iepretim uzdevumiem J un K ailēs norādīto atbilstoši pamatteksta saturam.</w:t>
            </w:r>
          </w:p>
        </w:tc>
        <w:tc>
          <w:tcPr>
            <w:tcW w:w="2480" w:type="dxa"/>
            <w:tcBorders>
              <w:left w:val="single" w:sz="6" w:space="0" w:color="000000" w:themeColor="text1"/>
              <w:bottom w:val="single" w:sz="4" w:space="0" w:color="auto"/>
            </w:tcBorders>
            <w:shd w:val="clear" w:color="auto" w:fill="auto"/>
          </w:tcPr>
          <w:p w14:paraId="75C1D351" w14:textId="77777777" w:rsidR="00096B67" w:rsidRPr="009841AB" w:rsidRDefault="00096B67" w:rsidP="00096B67">
            <w:pPr>
              <w:pStyle w:val="naisc"/>
              <w:spacing w:before="0" w:after="0"/>
              <w:jc w:val="left"/>
              <w:rPr>
                <w:b/>
                <w:bCs/>
              </w:rPr>
            </w:pPr>
            <w:r w:rsidRPr="009841AB">
              <w:rPr>
                <w:b/>
                <w:bCs/>
              </w:rPr>
              <w:t>Ņemts vērā</w:t>
            </w:r>
          </w:p>
          <w:p w14:paraId="27D4CFF3" w14:textId="77777777" w:rsidR="00347D00" w:rsidRPr="009841AB" w:rsidRDefault="00347D00" w:rsidP="001F78DF">
            <w:pPr>
              <w:pStyle w:val="naisc"/>
              <w:spacing w:before="0" w:after="0"/>
              <w:jc w:val="left"/>
              <w:rPr>
                <w:b/>
                <w:bCs/>
              </w:rPr>
            </w:pPr>
          </w:p>
        </w:tc>
        <w:tc>
          <w:tcPr>
            <w:tcW w:w="3504" w:type="dxa"/>
            <w:gridSpan w:val="2"/>
            <w:tcBorders>
              <w:left w:val="single" w:sz="6" w:space="0" w:color="000000" w:themeColor="text1"/>
              <w:bottom w:val="single" w:sz="4" w:space="0" w:color="auto"/>
            </w:tcBorders>
            <w:shd w:val="clear" w:color="auto" w:fill="auto"/>
          </w:tcPr>
          <w:p w14:paraId="2A3A6B21" w14:textId="77777777" w:rsidR="00347D00" w:rsidRPr="009841AB" w:rsidRDefault="00096B67" w:rsidP="00FE0078">
            <w:pPr>
              <w:pStyle w:val="naisc"/>
              <w:spacing w:before="0" w:after="0"/>
              <w:jc w:val="both"/>
            </w:pPr>
            <w:r w:rsidRPr="00096B67">
              <w:t>Lūdzam skatīt pamatnostādņu projekta 2. pielikuma rīcības virzienu Nr.4.1.2. “Pakalpojumu sniegšana”</w:t>
            </w:r>
          </w:p>
        </w:tc>
      </w:tr>
      <w:tr w:rsidR="00410F66" w:rsidRPr="009841AB" w14:paraId="5967FF28" w14:textId="77777777" w:rsidTr="00DC72A3">
        <w:tc>
          <w:tcPr>
            <w:tcW w:w="613" w:type="dxa"/>
            <w:tcBorders>
              <w:left w:val="single" w:sz="6" w:space="0" w:color="000000" w:themeColor="text1"/>
              <w:bottom w:val="single" w:sz="4" w:space="0" w:color="auto"/>
            </w:tcBorders>
            <w:shd w:val="clear" w:color="auto" w:fill="auto"/>
          </w:tcPr>
          <w:p w14:paraId="310D0AEC" w14:textId="77777777" w:rsidR="00410F66" w:rsidRDefault="00287AB5" w:rsidP="00FE0078">
            <w:pPr>
              <w:pStyle w:val="naisc"/>
              <w:spacing w:before="0" w:after="0"/>
            </w:pPr>
            <w:r>
              <w:t>546</w:t>
            </w:r>
          </w:p>
        </w:tc>
        <w:tc>
          <w:tcPr>
            <w:tcW w:w="2427" w:type="dxa"/>
            <w:tcBorders>
              <w:left w:val="single" w:sz="6" w:space="0" w:color="000000" w:themeColor="text1"/>
              <w:bottom w:val="single" w:sz="4" w:space="0" w:color="auto"/>
            </w:tcBorders>
            <w:shd w:val="clear" w:color="auto" w:fill="auto"/>
          </w:tcPr>
          <w:p w14:paraId="5C68DEBE" w14:textId="77777777" w:rsidR="00410F66" w:rsidRPr="009841AB" w:rsidRDefault="00410F66"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3E360527" w14:textId="77777777" w:rsidR="00410F66" w:rsidRPr="009841AB" w:rsidRDefault="00C02CE1" w:rsidP="00FE0078">
            <w:pPr>
              <w:tabs>
                <w:tab w:val="left" w:pos="720"/>
              </w:tabs>
              <w:contextualSpacing/>
              <w:jc w:val="both"/>
              <w:rPr>
                <w:lang w:eastAsia="en-US"/>
              </w:rPr>
            </w:pPr>
            <w:r w:rsidRPr="00C02CE1">
              <w:rPr>
                <w:lang w:eastAsia="en-US"/>
              </w:rPr>
              <w:t>3.</w:t>
            </w:r>
            <w:r>
              <w:rPr>
                <w:lang w:eastAsia="en-US"/>
              </w:rPr>
              <w:t xml:space="preserve"> </w:t>
            </w:r>
            <w:r w:rsidRPr="00C02CE1">
              <w:rPr>
                <w:lang w:eastAsia="en-US"/>
              </w:rPr>
              <w:t>Pamatnostādņu projekta 3.pielikumā 4.4.5.2.-1 uzdevumam papildus nepieciešamais finansējums būtu norādāms 2744000 EUR apmērā  (finansējuma avots - valsts budžets; pamatojums – Nacionālā attīstības plāna 2021.-2027.gadam (turpmāk – NAP) indikatīvās finanšu tabulas 426.uzd.).</w:t>
            </w:r>
          </w:p>
        </w:tc>
        <w:tc>
          <w:tcPr>
            <w:tcW w:w="2480" w:type="dxa"/>
            <w:tcBorders>
              <w:left w:val="single" w:sz="6" w:space="0" w:color="000000" w:themeColor="text1"/>
              <w:bottom w:val="single" w:sz="4" w:space="0" w:color="auto"/>
            </w:tcBorders>
            <w:shd w:val="clear" w:color="auto" w:fill="auto"/>
          </w:tcPr>
          <w:p w14:paraId="397072C0" w14:textId="77777777" w:rsidR="00F05EF8" w:rsidRDefault="00A70B39" w:rsidP="00F05EF8">
            <w:pPr>
              <w:pStyle w:val="naisc"/>
              <w:spacing w:before="0" w:after="0"/>
              <w:jc w:val="left"/>
              <w:rPr>
                <w:b/>
                <w:bCs/>
              </w:rPr>
            </w:pPr>
            <w:r>
              <w:rPr>
                <w:b/>
                <w:bCs/>
              </w:rPr>
              <w:t>Ņemts vērā</w:t>
            </w:r>
          </w:p>
          <w:p w14:paraId="29EEF177" w14:textId="77777777" w:rsidR="00A70B39" w:rsidRPr="00A70B39" w:rsidRDefault="00A70B39" w:rsidP="00F05EF8">
            <w:pPr>
              <w:pStyle w:val="naisc"/>
              <w:spacing w:before="0" w:after="0"/>
              <w:jc w:val="left"/>
            </w:pPr>
            <w:r w:rsidRPr="00A70B39">
              <w:t>Iekļauta atsauce uz NAP 450 uzdevumu</w:t>
            </w:r>
          </w:p>
          <w:p w14:paraId="4EB2212B" w14:textId="77777777" w:rsidR="00410F66" w:rsidRPr="009841AB" w:rsidRDefault="00410F66" w:rsidP="001F78DF">
            <w:pPr>
              <w:pStyle w:val="naisc"/>
              <w:spacing w:before="0" w:after="0"/>
              <w:jc w:val="left"/>
              <w:rPr>
                <w:b/>
                <w:bCs/>
              </w:rPr>
            </w:pPr>
          </w:p>
        </w:tc>
        <w:tc>
          <w:tcPr>
            <w:tcW w:w="3504" w:type="dxa"/>
            <w:gridSpan w:val="2"/>
            <w:tcBorders>
              <w:left w:val="single" w:sz="6" w:space="0" w:color="000000" w:themeColor="text1"/>
              <w:bottom w:val="single" w:sz="4" w:space="0" w:color="auto"/>
            </w:tcBorders>
            <w:shd w:val="clear" w:color="auto" w:fill="auto"/>
          </w:tcPr>
          <w:p w14:paraId="22AF5EA4" w14:textId="77777777" w:rsidR="00F05EF8" w:rsidRDefault="00A70B39" w:rsidP="00F05EF8">
            <w:pPr>
              <w:pStyle w:val="naisc"/>
              <w:spacing w:before="0" w:after="0"/>
              <w:jc w:val="both"/>
            </w:pPr>
            <w:r>
              <w:t xml:space="preserve">Lūdzu skat. </w:t>
            </w:r>
            <w:r w:rsidR="004C7006">
              <w:t>3. pielikumu U.4.4.5.2.-1</w:t>
            </w:r>
          </w:p>
          <w:p w14:paraId="3CCE8242" w14:textId="77777777" w:rsidR="00410F66" w:rsidRPr="009841AB" w:rsidRDefault="00410F66" w:rsidP="00FE0078">
            <w:pPr>
              <w:pStyle w:val="naisc"/>
              <w:spacing w:before="0" w:after="0"/>
              <w:jc w:val="both"/>
            </w:pPr>
          </w:p>
        </w:tc>
      </w:tr>
      <w:tr w:rsidR="00410F66" w:rsidRPr="009841AB" w14:paraId="48AE9435" w14:textId="77777777" w:rsidTr="00DC72A3">
        <w:tc>
          <w:tcPr>
            <w:tcW w:w="613" w:type="dxa"/>
            <w:tcBorders>
              <w:left w:val="single" w:sz="6" w:space="0" w:color="000000" w:themeColor="text1"/>
              <w:bottom w:val="single" w:sz="4" w:space="0" w:color="auto"/>
            </w:tcBorders>
            <w:shd w:val="clear" w:color="auto" w:fill="auto"/>
          </w:tcPr>
          <w:p w14:paraId="05B491ED" w14:textId="77777777" w:rsidR="00410F66" w:rsidRDefault="00287AB5" w:rsidP="00FE0078">
            <w:pPr>
              <w:pStyle w:val="naisc"/>
              <w:spacing w:before="0" w:after="0"/>
            </w:pPr>
            <w:r>
              <w:t>547</w:t>
            </w:r>
          </w:p>
        </w:tc>
        <w:tc>
          <w:tcPr>
            <w:tcW w:w="2427" w:type="dxa"/>
            <w:tcBorders>
              <w:left w:val="single" w:sz="6" w:space="0" w:color="000000" w:themeColor="text1"/>
              <w:bottom w:val="single" w:sz="4" w:space="0" w:color="auto"/>
            </w:tcBorders>
            <w:shd w:val="clear" w:color="auto" w:fill="auto"/>
          </w:tcPr>
          <w:p w14:paraId="7B4EF641" w14:textId="77777777" w:rsidR="00410F66" w:rsidRPr="009841AB" w:rsidRDefault="00410F66"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1F4A0E8E" w14:textId="77777777" w:rsidR="00410F66" w:rsidRPr="009841AB" w:rsidRDefault="0052107C" w:rsidP="00FE0078">
            <w:pPr>
              <w:tabs>
                <w:tab w:val="left" w:pos="720"/>
              </w:tabs>
              <w:contextualSpacing/>
              <w:jc w:val="both"/>
              <w:rPr>
                <w:lang w:eastAsia="en-US"/>
              </w:rPr>
            </w:pPr>
            <w:r>
              <w:rPr>
                <w:lang w:eastAsia="en-US"/>
              </w:rPr>
              <w:t xml:space="preserve">4. </w:t>
            </w:r>
            <w:r w:rsidRPr="0052107C">
              <w:rPr>
                <w:lang w:eastAsia="en-US"/>
              </w:rPr>
              <w:t>Nepieciešams veikt labojumus pamatnostādņu projekta 3.pielikuma attiecībā uz 4.4.9.2.-1. uzdevuma finansējumu Tieslietu ministrijai, papildinot to ar 3973725 EUR, attiecīgi precizējot arī V aili. Vēršam uzmanību, ka šī uzdevuma saturs atbilst arī Tieslietu ministrijas pasākumam, kuram paredzēts NAP finansējums 3973725 EUR apjomā ar finansējuma avotu ERAF (skat. Excel pielikuma 5.izklājlapas pasākumu Nr.16).</w:t>
            </w:r>
          </w:p>
        </w:tc>
        <w:tc>
          <w:tcPr>
            <w:tcW w:w="2480" w:type="dxa"/>
            <w:tcBorders>
              <w:left w:val="single" w:sz="6" w:space="0" w:color="000000" w:themeColor="text1"/>
              <w:bottom w:val="single" w:sz="4" w:space="0" w:color="auto"/>
            </w:tcBorders>
            <w:shd w:val="clear" w:color="auto" w:fill="auto"/>
          </w:tcPr>
          <w:p w14:paraId="34D33A11" w14:textId="572F24D5" w:rsidR="00D93A87" w:rsidRPr="00B8424E" w:rsidRDefault="00B8424E" w:rsidP="00B8424E">
            <w:pPr>
              <w:pStyle w:val="naisc"/>
              <w:jc w:val="left"/>
              <w:rPr>
                <w:b/>
                <w:bCs/>
                <w:color w:val="000000"/>
                <w:shd w:val="clear" w:color="auto" w:fill="FFFFFF"/>
              </w:rPr>
            </w:pPr>
            <w:r>
              <w:rPr>
                <w:b/>
                <w:bCs/>
                <w:color w:val="000000"/>
                <w:shd w:val="clear" w:color="auto" w:fill="FFFFFF"/>
              </w:rPr>
              <w:t>Panākta vienošanās</w:t>
            </w:r>
          </w:p>
          <w:p w14:paraId="26676EBA" w14:textId="77777777" w:rsidR="00D93A87" w:rsidRDefault="00D93A87" w:rsidP="00F05EF8">
            <w:pPr>
              <w:pStyle w:val="naisc"/>
              <w:spacing w:before="0" w:after="0"/>
              <w:jc w:val="left"/>
            </w:pPr>
            <w:r>
              <w:t xml:space="preserve">Finansējums paredzēts, taču tas pilnā mērā attiecināts uz uzdevumu 4.4.5.1.-1 , nodrošinot precīzāku </w:t>
            </w:r>
            <w:r w:rsidR="00CB5E05">
              <w:t>atbilstību pasākumam.</w:t>
            </w:r>
            <w:r w:rsidR="00682A9F">
              <w:t xml:space="preserve"> Ņemot vērā, ka finansējuma dublēšanās nav </w:t>
            </w:r>
            <w:r w:rsidR="00014644">
              <w:t xml:space="preserve">pieļaujama, pie uzdevuma </w:t>
            </w:r>
            <w:r w:rsidR="00C620CC">
              <w:t>4.4.9.2.</w:t>
            </w:r>
            <w:r w:rsidR="00A76C65">
              <w:t>-1 norādīta sasaiste ar uzdevumu 4.4.5.1.-1.</w:t>
            </w:r>
          </w:p>
          <w:p w14:paraId="690F9329" w14:textId="77777777" w:rsidR="00410F66" w:rsidRPr="009841AB" w:rsidRDefault="00410F66" w:rsidP="001F78DF">
            <w:pPr>
              <w:pStyle w:val="naisc"/>
              <w:spacing w:before="0" w:after="0"/>
              <w:jc w:val="left"/>
              <w:rPr>
                <w:b/>
                <w:bCs/>
              </w:rPr>
            </w:pPr>
          </w:p>
        </w:tc>
        <w:tc>
          <w:tcPr>
            <w:tcW w:w="3504" w:type="dxa"/>
            <w:gridSpan w:val="2"/>
            <w:tcBorders>
              <w:left w:val="single" w:sz="6" w:space="0" w:color="000000" w:themeColor="text1"/>
              <w:bottom w:val="single" w:sz="4" w:space="0" w:color="auto"/>
            </w:tcBorders>
            <w:shd w:val="clear" w:color="auto" w:fill="auto"/>
          </w:tcPr>
          <w:p w14:paraId="158D7193" w14:textId="77777777" w:rsidR="00F05EF8" w:rsidRDefault="00D93A87" w:rsidP="00F05EF8">
            <w:pPr>
              <w:pStyle w:val="naisc"/>
              <w:spacing w:before="0" w:after="0"/>
              <w:jc w:val="both"/>
            </w:pPr>
            <w:r>
              <w:t xml:space="preserve">Skat. uzdevumu </w:t>
            </w:r>
            <w:r w:rsidR="00CB5E05">
              <w:t>4.4.5.1.-1.</w:t>
            </w:r>
            <w:r w:rsidR="00A76C65">
              <w:t>, 4.4.</w:t>
            </w:r>
            <w:r w:rsidR="001D4419">
              <w:t>9.2.-1.</w:t>
            </w:r>
          </w:p>
          <w:p w14:paraId="6E4ADA88" w14:textId="77777777" w:rsidR="00410F66" w:rsidRPr="009841AB" w:rsidRDefault="00410F66" w:rsidP="00FE0078">
            <w:pPr>
              <w:pStyle w:val="naisc"/>
              <w:spacing w:before="0" w:after="0"/>
              <w:jc w:val="both"/>
            </w:pPr>
          </w:p>
        </w:tc>
      </w:tr>
      <w:tr w:rsidR="00410F66" w:rsidRPr="009841AB" w14:paraId="4919D1C2" w14:textId="77777777" w:rsidTr="00DC72A3">
        <w:tc>
          <w:tcPr>
            <w:tcW w:w="613" w:type="dxa"/>
            <w:tcBorders>
              <w:left w:val="single" w:sz="6" w:space="0" w:color="000000" w:themeColor="text1"/>
              <w:bottom w:val="single" w:sz="4" w:space="0" w:color="auto"/>
            </w:tcBorders>
            <w:shd w:val="clear" w:color="auto" w:fill="auto"/>
          </w:tcPr>
          <w:p w14:paraId="6C789862" w14:textId="77777777" w:rsidR="00410F66" w:rsidRDefault="00287AB5" w:rsidP="00FE0078">
            <w:pPr>
              <w:pStyle w:val="naisc"/>
              <w:spacing w:before="0" w:after="0"/>
            </w:pPr>
            <w:r>
              <w:t>548</w:t>
            </w:r>
          </w:p>
        </w:tc>
        <w:tc>
          <w:tcPr>
            <w:tcW w:w="2427" w:type="dxa"/>
            <w:tcBorders>
              <w:left w:val="single" w:sz="6" w:space="0" w:color="000000" w:themeColor="text1"/>
              <w:bottom w:val="single" w:sz="4" w:space="0" w:color="auto"/>
            </w:tcBorders>
            <w:shd w:val="clear" w:color="auto" w:fill="auto"/>
          </w:tcPr>
          <w:p w14:paraId="697ACD5A" w14:textId="77777777" w:rsidR="00410F66" w:rsidRPr="009841AB" w:rsidRDefault="00410F66"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2724E950" w14:textId="77777777" w:rsidR="00410F66" w:rsidRPr="009841AB" w:rsidRDefault="004E67F9" w:rsidP="00FE0078">
            <w:pPr>
              <w:tabs>
                <w:tab w:val="left" w:pos="720"/>
              </w:tabs>
              <w:contextualSpacing/>
              <w:jc w:val="both"/>
              <w:rPr>
                <w:lang w:eastAsia="en-US"/>
              </w:rPr>
            </w:pPr>
            <w:r>
              <w:rPr>
                <w:lang w:eastAsia="en-US"/>
              </w:rPr>
              <w:t xml:space="preserve">5. </w:t>
            </w:r>
            <w:r w:rsidRPr="004E67F9">
              <w:rPr>
                <w:lang w:eastAsia="en-US"/>
              </w:rPr>
              <w:t>Lūdzam papildināt pamatnostādņu projekta Excel pielikuma 5.izklājlapu “</w:t>
            </w:r>
            <w:proofErr w:type="spellStart"/>
            <w:r w:rsidRPr="004E67F9">
              <w:rPr>
                <w:lang w:eastAsia="en-US"/>
              </w:rPr>
              <w:t>avots_Finansējums</w:t>
            </w:r>
            <w:proofErr w:type="spellEnd"/>
            <w:r w:rsidRPr="004E67F9">
              <w:rPr>
                <w:lang w:eastAsia="en-US"/>
              </w:rPr>
              <w:t xml:space="preserve"> NAP” </w:t>
            </w:r>
            <w:r w:rsidRPr="004E67F9">
              <w:rPr>
                <w:lang w:eastAsia="en-US"/>
              </w:rPr>
              <w:lastRenderedPageBreak/>
              <w:t>norādītos NAP pasākumus ar atsauci uz NAP pasākumu numerāciju, vai arī aizstāt šobrīd piedāvāto numerāciju ar NAP numerāciju, tādējādi nodrošinot pamatnostādņu projekta pielikumā norādīto pasākumu pārskatāmību sasaistē ar NAP</w:t>
            </w:r>
            <w:r>
              <w:rPr>
                <w:lang w:eastAsia="en-US"/>
              </w:rPr>
              <w:t>.</w:t>
            </w:r>
          </w:p>
        </w:tc>
        <w:tc>
          <w:tcPr>
            <w:tcW w:w="2480" w:type="dxa"/>
            <w:tcBorders>
              <w:left w:val="single" w:sz="6" w:space="0" w:color="000000" w:themeColor="text1"/>
              <w:bottom w:val="single" w:sz="4" w:space="0" w:color="auto"/>
            </w:tcBorders>
            <w:shd w:val="clear" w:color="auto" w:fill="auto"/>
          </w:tcPr>
          <w:p w14:paraId="4E175FF4" w14:textId="77777777" w:rsidR="00F05EF8" w:rsidRDefault="000A21D3" w:rsidP="00F05EF8">
            <w:pPr>
              <w:pStyle w:val="naisc"/>
              <w:spacing w:before="0" w:after="0"/>
              <w:jc w:val="left"/>
              <w:rPr>
                <w:b/>
                <w:bCs/>
              </w:rPr>
            </w:pPr>
            <w:r>
              <w:rPr>
                <w:b/>
                <w:bCs/>
              </w:rPr>
              <w:lastRenderedPageBreak/>
              <w:t>Ņemts vērā</w:t>
            </w:r>
          </w:p>
          <w:p w14:paraId="71C8EED3" w14:textId="77777777" w:rsidR="000A21D3" w:rsidRDefault="000A21D3" w:rsidP="00F05EF8">
            <w:pPr>
              <w:pStyle w:val="naisc"/>
              <w:spacing w:before="0" w:after="0"/>
              <w:jc w:val="left"/>
            </w:pPr>
            <w:r>
              <w:lastRenderedPageBreak/>
              <w:t xml:space="preserve">Atsauces </w:t>
            </w:r>
            <w:r w:rsidRPr="000A21D3">
              <w:t>precizēta</w:t>
            </w:r>
            <w:r>
              <w:t>s, atbilstoši PKC norādēm</w:t>
            </w:r>
          </w:p>
          <w:p w14:paraId="447F1707" w14:textId="77777777" w:rsidR="00410F66" w:rsidRPr="000A21D3" w:rsidRDefault="00410F66" w:rsidP="001F78DF">
            <w:pPr>
              <w:pStyle w:val="naisc"/>
              <w:spacing w:before="0" w:after="0"/>
              <w:jc w:val="left"/>
            </w:pPr>
          </w:p>
        </w:tc>
        <w:tc>
          <w:tcPr>
            <w:tcW w:w="3504" w:type="dxa"/>
            <w:gridSpan w:val="2"/>
            <w:tcBorders>
              <w:left w:val="single" w:sz="6" w:space="0" w:color="000000" w:themeColor="text1"/>
              <w:bottom w:val="single" w:sz="4" w:space="0" w:color="auto"/>
            </w:tcBorders>
            <w:shd w:val="clear" w:color="auto" w:fill="auto"/>
          </w:tcPr>
          <w:p w14:paraId="5AA3437B" w14:textId="77777777" w:rsidR="00F05EF8" w:rsidRDefault="00292F36" w:rsidP="00F05EF8">
            <w:pPr>
              <w:pStyle w:val="naisc"/>
              <w:spacing w:before="0" w:after="0"/>
              <w:jc w:val="both"/>
            </w:pPr>
            <w:r>
              <w:lastRenderedPageBreak/>
              <w:t>Lūdzu skat. 3. pielikumu</w:t>
            </w:r>
          </w:p>
          <w:p w14:paraId="44609AA7" w14:textId="77777777" w:rsidR="00410F66" w:rsidRPr="009841AB" w:rsidRDefault="00410F66" w:rsidP="00FE0078">
            <w:pPr>
              <w:pStyle w:val="naisc"/>
              <w:spacing w:before="0" w:after="0"/>
              <w:jc w:val="both"/>
            </w:pPr>
          </w:p>
        </w:tc>
      </w:tr>
      <w:tr w:rsidR="00410F66" w:rsidRPr="009076D9" w14:paraId="74690599" w14:textId="77777777" w:rsidTr="00DC72A3">
        <w:tc>
          <w:tcPr>
            <w:tcW w:w="613" w:type="dxa"/>
            <w:tcBorders>
              <w:left w:val="single" w:sz="6" w:space="0" w:color="000000" w:themeColor="text1"/>
              <w:bottom w:val="single" w:sz="4" w:space="0" w:color="auto"/>
            </w:tcBorders>
            <w:shd w:val="clear" w:color="auto" w:fill="auto"/>
          </w:tcPr>
          <w:p w14:paraId="7E90D830" w14:textId="77777777" w:rsidR="00410F66" w:rsidRPr="009076D9" w:rsidRDefault="00287AB5" w:rsidP="009076D9">
            <w:pPr>
              <w:pStyle w:val="naisc"/>
              <w:spacing w:before="0" w:after="0"/>
            </w:pPr>
            <w:r w:rsidRPr="009076D9">
              <w:t>549</w:t>
            </w:r>
          </w:p>
        </w:tc>
        <w:tc>
          <w:tcPr>
            <w:tcW w:w="2427" w:type="dxa"/>
            <w:tcBorders>
              <w:left w:val="single" w:sz="6" w:space="0" w:color="000000" w:themeColor="text1"/>
              <w:bottom w:val="single" w:sz="4" w:space="0" w:color="auto"/>
            </w:tcBorders>
            <w:shd w:val="clear" w:color="auto" w:fill="auto"/>
          </w:tcPr>
          <w:p w14:paraId="15C2AC0A" w14:textId="77777777" w:rsidR="00410F66" w:rsidRPr="009076D9" w:rsidRDefault="00410F66" w:rsidP="009076D9">
            <w:pPr>
              <w:pStyle w:val="naisc"/>
              <w:spacing w:before="0" w:after="0"/>
              <w:jc w:val="left"/>
            </w:pPr>
            <w:r w:rsidRPr="009076D9">
              <w:t>6. sadaļa</w:t>
            </w:r>
          </w:p>
        </w:tc>
        <w:tc>
          <w:tcPr>
            <w:tcW w:w="5427" w:type="dxa"/>
            <w:tcBorders>
              <w:left w:val="single" w:sz="6" w:space="0" w:color="000000" w:themeColor="text1"/>
              <w:bottom w:val="single" w:sz="4" w:space="0" w:color="auto"/>
            </w:tcBorders>
            <w:shd w:val="clear" w:color="auto" w:fill="auto"/>
          </w:tcPr>
          <w:p w14:paraId="684EC62F" w14:textId="77777777" w:rsidR="00410F66" w:rsidRPr="009076D9" w:rsidRDefault="009D21EA" w:rsidP="009076D9">
            <w:pPr>
              <w:tabs>
                <w:tab w:val="left" w:pos="720"/>
              </w:tabs>
              <w:jc w:val="both"/>
              <w:rPr>
                <w:lang w:eastAsia="en-US"/>
              </w:rPr>
            </w:pPr>
            <w:r w:rsidRPr="009076D9">
              <w:rPr>
                <w:lang w:eastAsia="en-US"/>
              </w:rPr>
              <w:t>6. Lūdzam 2. pielikumā 4.4.7.rīcības virziena nosaukumā un 4.4.7.-1. uzdevumā terminu “valodu tehnoloģijas” labot uz “valodas tehnoloģijas”.</w:t>
            </w:r>
          </w:p>
        </w:tc>
        <w:tc>
          <w:tcPr>
            <w:tcW w:w="2480" w:type="dxa"/>
            <w:tcBorders>
              <w:left w:val="single" w:sz="6" w:space="0" w:color="000000" w:themeColor="text1"/>
              <w:bottom w:val="single" w:sz="4" w:space="0" w:color="auto"/>
            </w:tcBorders>
            <w:shd w:val="clear" w:color="auto" w:fill="auto"/>
          </w:tcPr>
          <w:p w14:paraId="3115EF03" w14:textId="77777777" w:rsidR="00410F66" w:rsidRPr="009076D9" w:rsidRDefault="00292F36" w:rsidP="009076D9">
            <w:pPr>
              <w:pStyle w:val="naisc"/>
              <w:spacing w:before="0" w:after="0"/>
              <w:jc w:val="left"/>
              <w:rPr>
                <w:b/>
                <w:bCs/>
              </w:rPr>
            </w:pPr>
            <w:r w:rsidRPr="009076D9">
              <w:rPr>
                <w:b/>
                <w:bCs/>
              </w:rPr>
              <w:t>Ņemts vērā</w:t>
            </w:r>
          </w:p>
        </w:tc>
        <w:tc>
          <w:tcPr>
            <w:tcW w:w="3504" w:type="dxa"/>
            <w:gridSpan w:val="2"/>
            <w:tcBorders>
              <w:left w:val="single" w:sz="6" w:space="0" w:color="000000" w:themeColor="text1"/>
              <w:bottom w:val="single" w:sz="4" w:space="0" w:color="auto"/>
            </w:tcBorders>
            <w:shd w:val="clear" w:color="auto" w:fill="auto"/>
          </w:tcPr>
          <w:p w14:paraId="317F1C2F" w14:textId="77777777" w:rsidR="00410F66" w:rsidRPr="009076D9" w:rsidRDefault="009076D9" w:rsidP="009076D9">
            <w:pPr>
              <w:pStyle w:val="naisc"/>
              <w:spacing w:before="0" w:after="0"/>
              <w:jc w:val="both"/>
            </w:pPr>
            <w:r w:rsidRPr="009076D9">
              <w:t xml:space="preserve">2.pielikums, </w:t>
            </w:r>
            <w:r w:rsidR="00790ACF" w:rsidRPr="009076D9">
              <w:t>4.4.7.-1. uzdevum</w:t>
            </w:r>
            <w:r w:rsidRPr="009076D9">
              <w:t xml:space="preserve">s: </w:t>
            </w:r>
            <w:r w:rsidRPr="009076D9">
              <w:rPr>
                <w:color w:val="000000"/>
                <w:shd w:val="clear" w:color="auto" w:fill="FFFFFF"/>
              </w:rPr>
              <w:t>Izveidot stratēģisku plānu valod</w:t>
            </w:r>
            <w:r w:rsidRPr="00DD2DF9">
              <w:rPr>
                <w:shd w:val="clear" w:color="auto" w:fill="FFFFFF"/>
              </w:rPr>
              <w:t>as</w:t>
            </w:r>
            <w:r w:rsidRPr="009076D9">
              <w:rPr>
                <w:color w:val="000000"/>
                <w:shd w:val="clear" w:color="auto" w:fill="FFFFFF"/>
              </w:rPr>
              <w:t xml:space="preserve"> tehnoloģiju pieejamībai uzņēmējiem.</w:t>
            </w:r>
          </w:p>
        </w:tc>
      </w:tr>
      <w:tr w:rsidR="00410F66" w:rsidRPr="009841AB" w14:paraId="085C0964" w14:textId="77777777" w:rsidTr="00DC72A3">
        <w:tc>
          <w:tcPr>
            <w:tcW w:w="613" w:type="dxa"/>
            <w:tcBorders>
              <w:left w:val="single" w:sz="6" w:space="0" w:color="000000" w:themeColor="text1"/>
              <w:bottom w:val="single" w:sz="4" w:space="0" w:color="auto"/>
            </w:tcBorders>
            <w:shd w:val="clear" w:color="auto" w:fill="auto"/>
          </w:tcPr>
          <w:p w14:paraId="7C08A634" w14:textId="77777777" w:rsidR="00410F66" w:rsidRPr="000604A8" w:rsidRDefault="00287AB5" w:rsidP="00FE0078">
            <w:pPr>
              <w:pStyle w:val="naisc"/>
              <w:spacing w:before="0" w:after="0"/>
            </w:pPr>
            <w:r w:rsidRPr="000604A8">
              <w:t>550</w:t>
            </w:r>
          </w:p>
        </w:tc>
        <w:tc>
          <w:tcPr>
            <w:tcW w:w="2427" w:type="dxa"/>
            <w:tcBorders>
              <w:left w:val="single" w:sz="6" w:space="0" w:color="000000" w:themeColor="text1"/>
              <w:bottom w:val="single" w:sz="4" w:space="0" w:color="auto"/>
            </w:tcBorders>
            <w:shd w:val="clear" w:color="auto" w:fill="auto"/>
          </w:tcPr>
          <w:p w14:paraId="72DD212F" w14:textId="77777777" w:rsidR="00410F66" w:rsidRPr="000604A8" w:rsidRDefault="00410F66" w:rsidP="00FE0078">
            <w:pPr>
              <w:pStyle w:val="naisc"/>
              <w:spacing w:before="0" w:after="0"/>
              <w:jc w:val="left"/>
            </w:pPr>
            <w:r w:rsidRPr="000604A8">
              <w:t>6. sadaļa</w:t>
            </w:r>
          </w:p>
        </w:tc>
        <w:tc>
          <w:tcPr>
            <w:tcW w:w="5427" w:type="dxa"/>
            <w:tcBorders>
              <w:left w:val="single" w:sz="6" w:space="0" w:color="000000" w:themeColor="text1"/>
              <w:bottom w:val="single" w:sz="4" w:space="0" w:color="auto"/>
            </w:tcBorders>
            <w:shd w:val="clear" w:color="auto" w:fill="auto"/>
          </w:tcPr>
          <w:p w14:paraId="284EF180" w14:textId="77777777" w:rsidR="00410F66" w:rsidRPr="000604A8" w:rsidRDefault="003E7FC1" w:rsidP="00FE0078">
            <w:pPr>
              <w:tabs>
                <w:tab w:val="left" w:pos="720"/>
              </w:tabs>
              <w:contextualSpacing/>
              <w:jc w:val="both"/>
              <w:rPr>
                <w:lang w:eastAsia="en-US"/>
              </w:rPr>
            </w:pPr>
            <w:r w:rsidRPr="000604A8">
              <w:rPr>
                <w:lang w:eastAsia="en-US"/>
              </w:rPr>
              <w:t>7. Lūdzam 2. pielikumā, lai būtu konsekvence ar pamatnostādņu pamattekstu, 4.4.7.-2. uzdevumā pie līdzatbildīgajām institūcijām norādīt arī TM ar VVC kā konkrēto institūciju, izsakot šādā redakcijā: “IZM, TM (VVC)”.</w:t>
            </w:r>
          </w:p>
        </w:tc>
        <w:tc>
          <w:tcPr>
            <w:tcW w:w="2480" w:type="dxa"/>
            <w:tcBorders>
              <w:left w:val="single" w:sz="6" w:space="0" w:color="000000" w:themeColor="text1"/>
              <w:bottom w:val="single" w:sz="4" w:space="0" w:color="auto"/>
            </w:tcBorders>
            <w:shd w:val="clear" w:color="auto" w:fill="auto"/>
          </w:tcPr>
          <w:p w14:paraId="779384DA" w14:textId="77777777" w:rsidR="00410F66" w:rsidRPr="000604A8" w:rsidRDefault="00790ACF" w:rsidP="001F78DF">
            <w:pPr>
              <w:pStyle w:val="naisc"/>
              <w:spacing w:before="0" w:after="0"/>
              <w:jc w:val="left"/>
              <w:rPr>
                <w:b/>
                <w:bCs/>
              </w:rPr>
            </w:pPr>
            <w:r w:rsidRPr="000604A8">
              <w:rPr>
                <w:b/>
                <w:bCs/>
              </w:rPr>
              <w:t>Ņemts vērā</w:t>
            </w:r>
          </w:p>
        </w:tc>
        <w:tc>
          <w:tcPr>
            <w:tcW w:w="3504" w:type="dxa"/>
            <w:gridSpan w:val="2"/>
            <w:tcBorders>
              <w:left w:val="single" w:sz="6" w:space="0" w:color="000000" w:themeColor="text1"/>
              <w:bottom w:val="single" w:sz="4" w:space="0" w:color="auto"/>
            </w:tcBorders>
            <w:shd w:val="clear" w:color="auto" w:fill="auto"/>
          </w:tcPr>
          <w:p w14:paraId="715C98BA" w14:textId="77777777" w:rsidR="00410F66" w:rsidRPr="009841AB" w:rsidRDefault="000604A8" w:rsidP="000604A8">
            <w:pPr>
              <w:pStyle w:val="naisc"/>
              <w:spacing w:before="0" w:after="0"/>
              <w:jc w:val="both"/>
            </w:pPr>
            <w:r>
              <w:t xml:space="preserve">2.pielikums, </w:t>
            </w:r>
            <w:r w:rsidR="007E0356" w:rsidRPr="000604A8">
              <w:t>4.4.7.-2. uzdevum</w:t>
            </w:r>
            <w:r>
              <w:t>s: Līdzatbildīgās insti</w:t>
            </w:r>
            <w:r w:rsidR="00971403">
              <w:t>tūcijas</w:t>
            </w:r>
            <w:r>
              <w:t>: IZM, TM (VVC)</w:t>
            </w:r>
          </w:p>
        </w:tc>
      </w:tr>
      <w:tr w:rsidR="003E7FC1" w:rsidRPr="009841AB" w14:paraId="6AD65FE8" w14:textId="77777777" w:rsidTr="00DC72A3">
        <w:tc>
          <w:tcPr>
            <w:tcW w:w="613" w:type="dxa"/>
            <w:tcBorders>
              <w:left w:val="single" w:sz="6" w:space="0" w:color="000000" w:themeColor="text1"/>
              <w:bottom w:val="single" w:sz="4" w:space="0" w:color="auto"/>
            </w:tcBorders>
            <w:shd w:val="clear" w:color="auto" w:fill="auto"/>
          </w:tcPr>
          <w:p w14:paraId="4DE0F182" w14:textId="77777777" w:rsidR="003E7FC1" w:rsidRDefault="00287AB5" w:rsidP="00FE0078">
            <w:pPr>
              <w:pStyle w:val="naisc"/>
              <w:spacing w:before="0" w:after="0"/>
            </w:pPr>
            <w:r>
              <w:t>551</w:t>
            </w:r>
          </w:p>
        </w:tc>
        <w:tc>
          <w:tcPr>
            <w:tcW w:w="2427" w:type="dxa"/>
            <w:tcBorders>
              <w:left w:val="single" w:sz="6" w:space="0" w:color="000000" w:themeColor="text1"/>
              <w:bottom w:val="single" w:sz="4" w:space="0" w:color="auto"/>
            </w:tcBorders>
            <w:shd w:val="clear" w:color="auto" w:fill="auto"/>
          </w:tcPr>
          <w:p w14:paraId="499DDA33" w14:textId="77777777" w:rsidR="003E7FC1" w:rsidRPr="009841AB" w:rsidRDefault="003E7FC1"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47C8A56D" w14:textId="77777777" w:rsidR="003E7FC1" w:rsidRPr="009841AB" w:rsidRDefault="003E7FC1" w:rsidP="00FE0078">
            <w:pPr>
              <w:tabs>
                <w:tab w:val="left" w:pos="720"/>
              </w:tabs>
              <w:contextualSpacing/>
              <w:jc w:val="both"/>
              <w:rPr>
                <w:lang w:eastAsia="en-US"/>
              </w:rPr>
            </w:pPr>
            <w:r>
              <w:rPr>
                <w:lang w:eastAsia="en-US"/>
              </w:rPr>
              <w:t xml:space="preserve">8. </w:t>
            </w:r>
            <w:r w:rsidR="00EE412C" w:rsidRPr="00EE412C">
              <w:rPr>
                <w:lang w:eastAsia="en-US"/>
              </w:rPr>
              <w:t xml:space="preserve">Lūdzam 3. pielikumā 4.4.7. rīcības virziena nosaukumā un 4.4.7.-1. </w:t>
            </w:r>
            <w:r w:rsidR="00EE412C" w:rsidRPr="02D800DB">
              <w:rPr>
                <w:lang w:eastAsia="en-US"/>
              </w:rPr>
              <w:t>uzdev</w:t>
            </w:r>
            <w:r w:rsidR="00B24B26">
              <w:rPr>
                <w:lang w:eastAsia="en-US"/>
              </w:rPr>
              <w:t>u</w:t>
            </w:r>
            <w:r w:rsidR="00EE412C" w:rsidRPr="02D800DB">
              <w:rPr>
                <w:lang w:eastAsia="en-US"/>
              </w:rPr>
              <w:t>mā</w:t>
            </w:r>
            <w:r w:rsidR="00EE412C" w:rsidRPr="00EE412C">
              <w:rPr>
                <w:lang w:eastAsia="en-US"/>
              </w:rPr>
              <w:t xml:space="preserve"> terminu “valodu tehnoloģijas” labot uz “valodas tehnoloģijas”.</w:t>
            </w:r>
          </w:p>
        </w:tc>
        <w:tc>
          <w:tcPr>
            <w:tcW w:w="2480" w:type="dxa"/>
            <w:tcBorders>
              <w:left w:val="single" w:sz="6" w:space="0" w:color="000000" w:themeColor="text1"/>
              <w:bottom w:val="single" w:sz="4" w:space="0" w:color="auto"/>
            </w:tcBorders>
            <w:shd w:val="clear" w:color="auto" w:fill="auto"/>
          </w:tcPr>
          <w:p w14:paraId="777F2AB3" w14:textId="77777777" w:rsidR="003E7FC1" w:rsidRPr="009841AB" w:rsidRDefault="007E0356" w:rsidP="001F78DF">
            <w:pPr>
              <w:pStyle w:val="naisc"/>
              <w:spacing w:before="0" w:after="0"/>
              <w:jc w:val="left"/>
              <w:rPr>
                <w:b/>
                <w:bCs/>
              </w:rPr>
            </w:pPr>
            <w:r>
              <w:rPr>
                <w:b/>
                <w:bCs/>
              </w:rPr>
              <w:t>Ņemts vērā</w:t>
            </w:r>
          </w:p>
        </w:tc>
        <w:tc>
          <w:tcPr>
            <w:tcW w:w="3504" w:type="dxa"/>
            <w:gridSpan w:val="2"/>
            <w:tcBorders>
              <w:left w:val="single" w:sz="6" w:space="0" w:color="000000" w:themeColor="text1"/>
              <w:bottom w:val="single" w:sz="4" w:space="0" w:color="auto"/>
            </w:tcBorders>
            <w:shd w:val="clear" w:color="auto" w:fill="auto"/>
          </w:tcPr>
          <w:p w14:paraId="649608A4" w14:textId="77777777" w:rsidR="003E7FC1" w:rsidRPr="009841AB" w:rsidRDefault="007E0356" w:rsidP="00B24B26">
            <w:pPr>
              <w:pStyle w:val="naisc"/>
              <w:spacing w:before="0" w:after="0"/>
              <w:jc w:val="both"/>
            </w:pPr>
            <w:r>
              <w:t xml:space="preserve">Lūdzu skat. </w:t>
            </w:r>
            <w:r w:rsidR="6E5BAFBB">
              <w:t>3</w:t>
            </w:r>
            <w:r w:rsidR="74931B01">
              <w:t>.pielikumu</w:t>
            </w:r>
            <w:r>
              <w:t xml:space="preserve"> 4.4.7.-1. uzdevumu</w:t>
            </w:r>
            <w:r w:rsidR="61C0DC58">
              <w:t>.</w:t>
            </w:r>
          </w:p>
        </w:tc>
      </w:tr>
      <w:tr w:rsidR="001F78DF" w:rsidRPr="009841AB" w14:paraId="158485BB"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D2A2970" w14:textId="77777777" w:rsidR="001F78DF" w:rsidRPr="009841AB" w:rsidRDefault="001F78DF" w:rsidP="00FE0078">
            <w:pPr>
              <w:pStyle w:val="naisc"/>
              <w:spacing w:before="0" w:after="0"/>
              <w:jc w:val="both"/>
            </w:pPr>
            <w:r w:rsidRPr="009841AB">
              <w:rPr>
                <w:b/>
                <w:bCs/>
                <w:lang w:eastAsia="en-US"/>
              </w:rPr>
              <w:t xml:space="preserve">Labklājības ministrijas </w:t>
            </w:r>
            <w:r>
              <w:rPr>
                <w:b/>
                <w:bCs/>
                <w:lang w:eastAsia="en-US"/>
              </w:rPr>
              <w:t>30</w:t>
            </w:r>
            <w:r w:rsidRPr="009841AB">
              <w:rPr>
                <w:b/>
                <w:bCs/>
                <w:lang w:eastAsia="en-US"/>
              </w:rPr>
              <w:t>.0</w:t>
            </w:r>
            <w:r>
              <w:rPr>
                <w:b/>
                <w:bCs/>
                <w:lang w:eastAsia="en-US"/>
              </w:rPr>
              <w:t>4</w:t>
            </w:r>
            <w:r w:rsidRPr="009841AB">
              <w:rPr>
                <w:b/>
                <w:bCs/>
                <w:lang w:eastAsia="en-US"/>
              </w:rPr>
              <w:t>.2021. atzinums:</w:t>
            </w:r>
          </w:p>
        </w:tc>
      </w:tr>
      <w:tr w:rsidR="001F78DF" w:rsidRPr="009841AB" w14:paraId="76F75D2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80B1AD2" w14:textId="77777777" w:rsidR="001F78DF" w:rsidRPr="009841AB" w:rsidRDefault="00287AB5" w:rsidP="00FE0078">
            <w:pPr>
              <w:pStyle w:val="naisc"/>
              <w:spacing w:before="0" w:after="0"/>
            </w:pPr>
            <w:r>
              <w:t>552</w:t>
            </w:r>
          </w:p>
        </w:tc>
        <w:tc>
          <w:tcPr>
            <w:tcW w:w="2427" w:type="dxa"/>
            <w:tcBorders>
              <w:left w:val="single" w:sz="6" w:space="0" w:color="000000" w:themeColor="text1"/>
              <w:bottom w:val="single" w:sz="4" w:space="0" w:color="auto"/>
            </w:tcBorders>
            <w:shd w:val="clear" w:color="auto" w:fill="auto"/>
          </w:tcPr>
          <w:p w14:paraId="7D10B37E" w14:textId="77777777" w:rsidR="001F78DF" w:rsidRPr="009841AB" w:rsidRDefault="001F78DF"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04C2D460" w14:textId="77777777" w:rsidR="001F78DF" w:rsidRPr="001F78DF" w:rsidRDefault="001F78DF" w:rsidP="00FE0078">
            <w:pPr>
              <w:tabs>
                <w:tab w:val="left" w:pos="720"/>
              </w:tabs>
              <w:contextualSpacing/>
              <w:jc w:val="both"/>
              <w:rPr>
                <w:lang w:eastAsia="en-US"/>
              </w:rPr>
            </w:pPr>
            <w:r>
              <w:rPr>
                <w:lang w:eastAsia="en-US"/>
              </w:rPr>
              <w:t xml:space="preserve">1. </w:t>
            </w:r>
            <w:r w:rsidRPr="001F78DF">
              <w:rPr>
                <w:lang w:eastAsia="en-US"/>
              </w:rPr>
              <w:t xml:space="preserve">Lūdzam precizēt Pamatnostādņu projekta 3.pielikumā sniegto informāciju par </w:t>
            </w:r>
            <w:r w:rsidRPr="00930243">
              <w:rPr>
                <w:lang w:eastAsia="en-US"/>
              </w:rPr>
              <w:t>4.4.</w:t>
            </w:r>
            <w:r w:rsidR="00C857FC" w:rsidRPr="00930243">
              <w:rPr>
                <w:lang w:eastAsia="en-US"/>
              </w:rPr>
              <w:t>6</w:t>
            </w:r>
            <w:r w:rsidRPr="00930243">
              <w:rPr>
                <w:lang w:eastAsia="en-US"/>
              </w:rPr>
              <w:t>.-5.uzdevuma</w:t>
            </w:r>
            <w:r w:rsidRPr="001F78DF">
              <w:rPr>
                <w:lang w:eastAsia="en-US"/>
              </w:rPr>
              <w:t xml:space="preserve"> </w:t>
            </w:r>
            <w:r w:rsidR="00C857FC" w:rsidRPr="00930243">
              <w:rPr>
                <w:lang w:eastAsia="en-US"/>
              </w:rPr>
              <w:t>DOMĀTS</w:t>
            </w:r>
            <w:r w:rsidR="00C857FC">
              <w:rPr>
                <w:lang w:eastAsia="en-US"/>
              </w:rPr>
              <w:t xml:space="preserve"> </w:t>
            </w:r>
            <w:r w:rsidRPr="001F78DF">
              <w:rPr>
                <w:lang w:eastAsia="en-US"/>
              </w:rPr>
              <w:t>finansējumu, iekļaujot tikai ANM paredzētos 3 200 000 eiro, kas paredzēti e-aprūpes izstrādei. Pašreizējā redakcijā norādītā finansējuma mērķis nav atbilstošs šī uzdevuma saturam. Tāpat norādām, ka šis finansējums ir VARAM atbildībā esošajās ārvalstu finanšu programmu aktivitātēs, tāpēc lūdzam aizstāt finanšu tabulā resoru sadalījumā Labklājības ministriju ar VARAM.</w:t>
            </w:r>
          </w:p>
        </w:tc>
        <w:tc>
          <w:tcPr>
            <w:tcW w:w="2480" w:type="dxa"/>
            <w:tcBorders>
              <w:left w:val="single" w:sz="6" w:space="0" w:color="000000" w:themeColor="text1"/>
              <w:bottom w:val="single" w:sz="4" w:space="0" w:color="auto"/>
            </w:tcBorders>
            <w:shd w:val="clear" w:color="auto" w:fill="auto"/>
          </w:tcPr>
          <w:p w14:paraId="0067CDB0" w14:textId="77777777" w:rsidR="00B8424E" w:rsidRPr="009841AB" w:rsidRDefault="00B8424E" w:rsidP="00B8424E">
            <w:pPr>
              <w:pStyle w:val="naisc"/>
              <w:jc w:val="left"/>
              <w:rPr>
                <w:b/>
                <w:bCs/>
                <w:color w:val="000000"/>
                <w:shd w:val="clear" w:color="auto" w:fill="FFFFFF"/>
              </w:rPr>
            </w:pPr>
            <w:r>
              <w:rPr>
                <w:b/>
                <w:bCs/>
                <w:color w:val="000000"/>
                <w:shd w:val="clear" w:color="auto" w:fill="FFFFFF"/>
              </w:rPr>
              <w:t>Panākta vienošanās</w:t>
            </w:r>
          </w:p>
          <w:p w14:paraId="37C04B3B" w14:textId="77777777" w:rsidR="00BF4710" w:rsidRDefault="00BF4710" w:rsidP="00FE0078">
            <w:pPr>
              <w:pStyle w:val="naisc"/>
              <w:spacing w:before="0" w:after="0"/>
              <w:jc w:val="left"/>
            </w:pPr>
            <w:r>
              <w:t>Summa samazināta, attiecinot aktivitātes “</w:t>
            </w:r>
            <w:r w:rsidR="007438B1" w:rsidRPr="007438B1">
              <w:t xml:space="preserve">LM SPOLIS attīstība un sociālās aprūpes </w:t>
            </w:r>
            <w:proofErr w:type="spellStart"/>
            <w:r w:rsidR="007438B1" w:rsidRPr="007438B1">
              <w:t>digitalizācija</w:t>
            </w:r>
            <w:proofErr w:type="spellEnd"/>
            <w:r w:rsidR="007438B1" w:rsidRPr="007438B1">
              <w:t xml:space="preserve"> (IS SPOLIS pārbūve)</w:t>
            </w:r>
            <w:r w:rsidR="007438B1">
              <w:t xml:space="preserve">” daļu, kas iekļauts ERAF DP </w:t>
            </w:r>
            <w:r w:rsidR="00854106">
              <w:t>SAM 1.3.1.</w:t>
            </w:r>
            <w:r w:rsidR="007438B1">
              <w:t xml:space="preserve"> indikatīvo projektu sarakstā. </w:t>
            </w:r>
          </w:p>
          <w:p w14:paraId="6712F0B8" w14:textId="77777777" w:rsidR="001F78DF" w:rsidRPr="00B845A3" w:rsidRDefault="00854106" w:rsidP="00FE0078">
            <w:pPr>
              <w:pStyle w:val="naisc"/>
              <w:spacing w:before="0" w:after="0"/>
              <w:jc w:val="left"/>
            </w:pPr>
            <w:r>
              <w:t>Atbildība nav mainīta, jo n</w:t>
            </w:r>
            <w:r w:rsidR="00B845A3">
              <w:t xml:space="preserve">av paredzēts, ka finansējuma saņēmējs šajā gadījumā būs VARAM, nevis </w:t>
            </w:r>
            <w:r w:rsidR="00B845A3">
              <w:lastRenderedPageBreak/>
              <w:t xml:space="preserve">nozares ministrija, </w:t>
            </w:r>
            <w:r w:rsidR="00D05B70">
              <w:t xml:space="preserve">lai arī VARAM uzdevums ir nodrošināto kopējo programmas sagatavošanu iesnigšanai valdībā apstiprināšanai. </w:t>
            </w:r>
            <w:r w:rsidR="00634F2D">
              <w:t xml:space="preserve">Līdz ar to finansējuma saņēmējs nav koriģēts. </w:t>
            </w:r>
          </w:p>
        </w:tc>
        <w:tc>
          <w:tcPr>
            <w:tcW w:w="3497" w:type="dxa"/>
            <w:tcBorders>
              <w:left w:val="single" w:sz="6" w:space="0" w:color="000000" w:themeColor="text1"/>
              <w:bottom w:val="single" w:sz="4" w:space="0" w:color="auto"/>
            </w:tcBorders>
            <w:shd w:val="clear" w:color="auto" w:fill="auto"/>
          </w:tcPr>
          <w:p w14:paraId="5CA9BE53" w14:textId="77777777" w:rsidR="001F78DF" w:rsidRPr="009841AB" w:rsidRDefault="004640DE" w:rsidP="00FE0078">
            <w:pPr>
              <w:pStyle w:val="naisc"/>
              <w:spacing w:before="0" w:after="0"/>
              <w:jc w:val="both"/>
            </w:pPr>
            <w:r>
              <w:lastRenderedPageBreak/>
              <w:t>Skat. 3. pielikumu, uzdevumu ar atbilstošu aktualizēto numerāciju</w:t>
            </w:r>
            <w:r w:rsidR="001D4DBD">
              <w:t xml:space="preserve"> – 4.4.6.-6</w:t>
            </w:r>
            <w:r>
              <w:t xml:space="preserve">. </w:t>
            </w:r>
          </w:p>
        </w:tc>
      </w:tr>
      <w:tr w:rsidR="0087106A" w:rsidRPr="009841AB" w14:paraId="5D76E1EB"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ABE7E30" w14:textId="77777777" w:rsidR="0087106A" w:rsidRPr="009841AB" w:rsidRDefault="001A043A" w:rsidP="00FE0078">
            <w:pPr>
              <w:pStyle w:val="naisc"/>
              <w:spacing w:before="0" w:after="0"/>
            </w:pPr>
            <w:r>
              <w:t>553</w:t>
            </w:r>
          </w:p>
        </w:tc>
        <w:tc>
          <w:tcPr>
            <w:tcW w:w="2427" w:type="dxa"/>
            <w:tcBorders>
              <w:left w:val="single" w:sz="6" w:space="0" w:color="000000" w:themeColor="text1"/>
              <w:bottom w:val="single" w:sz="4" w:space="0" w:color="auto"/>
            </w:tcBorders>
            <w:shd w:val="clear" w:color="auto" w:fill="auto"/>
          </w:tcPr>
          <w:p w14:paraId="48FBAE36" w14:textId="77777777" w:rsidR="0087106A" w:rsidRPr="009841AB" w:rsidRDefault="0087106A"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7A571EFC" w14:textId="77777777" w:rsidR="0087106A" w:rsidRDefault="0087106A" w:rsidP="00FE0078">
            <w:pPr>
              <w:tabs>
                <w:tab w:val="left" w:pos="720"/>
              </w:tabs>
              <w:contextualSpacing/>
              <w:jc w:val="both"/>
              <w:rPr>
                <w:lang w:eastAsia="en-US"/>
              </w:rPr>
            </w:pPr>
            <w:r w:rsidRPr="001F78DF">
              <w:rPr>
                <w:lang w:eastAsia="en-US"/>
              </w:rPr>
              <w:t>2. Lūdzam precizēt Pamatnostādņu projekta 4.pielikumu, labojot pielikuma numerāciju faila sākumā un iestrādājot Labklājības ministrijas sniegtos komentārus (skat. labošanas režīmā 4.pielikumā e-pasta pielikumā).</w:t>
            </w:r>
          </w:p>
        </w:tc>
        <w:tc>
          <w:tcPr>
            <w:tcW w:w="2480" w:type="dxa"/>
            <w:tcBorders>
              <w:left w:val="single" w:sz="6" w:space="0" w:color="000000" w:themeColor="text1"/>
              <w:bottom w:val="single" w:sz="4" w:space="0" w:color="auto"/>
            </w:tcBorders>
            <w:shd w:val="clear" w:color="auto" w:fill="auto"/>
          </w:tcPr>
          <w:p w14:paraId="7B4CB3C9" w14:textId="6C3D89A9" w:rsidR="0087106A" w:rsidRPr="009841AB" w:rsidRDefault="00A22D38" w:rsidP="00FE0078">
            <w:pPr>
              <w:pStyle w:val="naisc"/>
              <w:spacing w:before="0" w:after="0"/>
              <w:jc w:val="left"/>
              <w:rPr>
                <w:b/>
                <w:bCs/>
              </w:rPr>
            </w:pPr>
            <w:r>
              <w:rPr>
                <w:b/>
                <w:bCs/>
              </w:rPr>
              <w:t>Ņemts vērā</w:t>
            </w:r>
          </w:p>
        </w:tc>
        <w:tc>
          <w:tcPr>
            <w:tcW w:w="3497" w:type="dxa"/>
            <w:tcBorders>
              <w:left w:val="single" w:sz="6" w:space="0" w:color="000000" w:themeColor="text1"/>
              <w:bottom w:val="single" w:sz="4" w:space="0" w:color="auto"/>
            </w:tcBorders>
            <w:shd w:val="clear" w:color="auto" w:fill="auto"/>
          </w:tcPr>
          <w:p w14:paraId="489A2B2B" w14:textId="178DC8F1" w:rsidR="0087106A" w:rsidRPr="009841AB" w:rsidRDefault="00A22D38" w:rsidP="00FE0078">
            <w:pPr>
              <w:pStyle w:val="naisc"/>
              <w:spacing w:before="0" w:after="0"/>
              <w:jc w:val="both"/>
            </w:pPr>
            <w:r>
              <w:t>Lūdzu skat. 4.pielikumu</w:t>
            </w:r>
          </w:p>
        </w:tc>
      </w:tr>
      <w:tr w:rsidR="0087106A" w:rsidRPr="009841AB" w14:paraId="23FA99FD"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4C5D148" w14:textId="77777777" w:rsidR="0087106A" w:rsidRPr="00B8424E" w:rsidRDefault="0087106A" w:rsidP="000F0B76">
            <w:pPr>
              <w:tabs>
                <w:tab w:val="left" w:pos="720"/>
              </w:tabs>
              <w:contextualSpacing/>
              <w:jc w:val="both"/>
              <w:rPr>
                <w:b/>
                <w:bCs/>
                <w:lang w:eastAsia="en-US"/>
              </w:rPr>
            </w:pPr>
            <w:r w:rsidRPr="00B8424E">
              <w:rPr>
                <w:b/>
                <w:bCs/>
                <w:lang w:eastAsia="en-US"/>
              </w:rPr>
              <w:t>Biofarmaceitisko zāļu ražotāju asociācijas Latvijā 30.04.2021. atzinums:</w:t>
            </w:r>
          </w:p>
        </w:tc>
      </w:tr>
      <w:tr w:rsidR="0087106A" w:rsidRPr="009841AB" w14:paraId="0AB98844"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5FF248CA" w14:textId="77777777" w:rsidR="0087106A" w:rsidRPr="009841AB" w:rsidRDefault="00D3769C" w:rsidP="00FE0078">
            <w:pPr>
              <w:pStyle w:val="naisc"/>
              <w:spacing w:before="0" w:after="0"/>
            </w:pPr>
            <w:r>
              <w:t>554</w:t>
            </w:r>
          </w:p>
        </w:tc>
        <w:tc>
          <w:tcPr>
            <w:tcW w:w="2427" w:type="dxa"/>
            <w:tcBorders>
              <w:left w:val="single" w:sz="6" w:space="0" w:color="000000" w:themeColor="text1"/>
              <w:bottom w:val="single" w:sz="4" w:space="0" w:color="auto"/>
            </w:tcBorders>
            <w:shd w:val="clear" w:color="auto" w:fill="auto"/>
          </w:tcPr>
          <w:p w14:paraId="6CDF4AF7" w14:textId="77777777" w:rsidR="0087106A" w:rsidRPr="009841AB" w:rsidRDefault="0087106A" w:rsidP="00FE0078">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4D4BE0E9" w14:textId="77777777" w:rsidR="0087106A" w:rsidRPr="000F0B76" w:rsidRDefault="0087106A" w:rsidP="00FE0078">
            <w:pPr>
              <w:tabs>
                <w:tab w:val="left" w:pos="720"/>
              </w:tabs>
              <w:contextualSpacing/>
              <w:jc w:val="both"/>
              <w:rPr>
                <w:lang w:eastAsia="en-US"/>
              </w:rPr>
            </w:pPr>
            <w:r w:rsidRPr="000F0B76">
              <w:rPr>
                <w:lang w:eastAsia="en-US"/>
              </w:rPr>
              <w:t>1. Uzdevums Nr. 4.4.6.-1:</w:t>
            </w:r>
          </w:p>
          <w:p w14:paraId="73003C28" w14:textId="77777777" w:rsidR="0087106A" w:rsidRDefault="0087106A" w:rsidP="00FE0078">
            <w:pPr>
              <w:tabs>
                <w:tab w:val="left" w:pos="720"/>
              </w:tabs>
              <w:contextualSpacing/>
              <w:jc w:val="both"/>
              <w:rPr>
                <w:lang w:eastAsia="en-US"/>
              </w:rPr>
            </w:pPr>
            <w:r w:rsidRPr="0087106A">
              <w:rPr>
                <w:lang w:eastAsia="en-US"/>
              </w:rPr>
              <w:t>Lūdzam pamatnostādņu 3. pielikuma projektā norādīt uzdevuma izpildei nepieciešamo finansējumu, ņemot vērā to, ka likumdošanas ieviešanai būs nepieciešami atbilstoši līdzekļi (piemēram, otrreizējo veselības datu likumdošanas ieviešanai nepieciešamā infrastruktūra un pārvaldības institūcija).</w:t>
            </w:r>
          </w:p>
        </w:tc>
        <w:tc>
          <w:tcPr>
            <w:tcW w:w="2480" w:type="dxa"/>
            <w:tcBorders>
              <w:left w:val="single" w:sz="6" w:space="0" w:color="000000" w:themeColor="text1"/>
              <w:bottom w:val="single" w:sz="4" w:space="0" w:color="auto"/>
            </w:tcBorders>
            <w:shd w:val="clear" w:color="auto" w:fill="auto"/>
          </w:tcPr>
          <w:p w14:paraId="62F77295" w14:textId="77777777" w:rsidR="00B8424E" w:rsidRPr="009841AB" w:rsidRDefault="00B8424E" w:rsidP="00B8424E">
            <w:pPr>
              <w:pStyle w:val="naisc"/>
              <w:jc w:val="left"/>
              <w:rPr>
                <w:b/>
                <w:bCs/>
                <w:color w:val="000000"/>
                <w:shd w:val="clear" w:color="auto" w:fill="FFFFFF"/>
              </w:rPr>
            </w:pPr>
            <w:r>
              <w:rPr>
                <w:b/>
                <w:bCs/>
                <w:color w:val="000000"/>
                <w:shd w:val="clear" w:color="auto" w:fill="FFFFFF"/>
              </w:rPr>
              <w:t>Panākta vienošanās</w:t>
            </w:r>
          </w:p>
          <w:p w14:paraId="7F4F73D4" w14:textId="77777777" w:rsidR="0087106A" w:rsidRPr="00B64035" w:rsidRDefault="00C033A9" w:rsidP="00FE0078">
            <w:pPr>
              <w:pStyle w:val="naisc"/>
              <w:spacing w:before="0" w:after="0"/>
              <w:jc w:val="left"/>
            </w:pPr>
            <w:r w:rsidRPr="00B64035">
              <w:t xml:space="preserve">Kā uzdevums ir noformulēts regulējuma sagatavošana. Ņemot vērā, ka potenciālās regulējuma izmaksas būs atkarīgas no izvēlētajiem risinājumiem, tad </w:t>
            </w:r>
            <w:r w:rsidR="00DC7D6D" w:rsidRPr="00B64035">
              <w:t xml:space="preserve">finansiālā </w:t>
            </w:r>
            <w:proofErr w:type="spellStart"/>
            <w:r w:rsidR="00DC7D6D" w:rsidRPr="00B64035">
              <w:t>itekme</w:t>
            </w:r>
            <w:proofErr w:type="spellEnd"/>
            <w:r w:rsidR="00DC7D6D" w:rsidRPr="00B64035">
              <w:t xml:space="preserve">, kas saistīta ar regulējuma izveidi būs jāidentificē regulējuma anotācijā, atbilstoši </w:t>
            </w:r>
            <w:r w:rsidR="00B64035" w:rsidRPr="00B64035">
              <w:t>noteiktajai kārtībai</w:t>
            </w:r>
            <w:r w:rsidR="00B64035">
              <w:t xml:space="preserve"> par tiesību aktu izstrādi un to finanšu ietekmes </w:t>
            </w:r>
            <w:r w:rsidR="00921E07">
              <w:t>novērtēšanu</w:t>
            </w:r>
            <w:r w:rsidR="00B64035" w:rsidRPr="00B64035">
              <w:t xml:space="preserve">. </w:t>
            </w:r>
          </w:p>
        </w:tc>
        <w:tc>
          <w:tcPr>
            <w:tcW w:w="3497" w:type="dxa"/>
            <w:tcBorders>
              <w:left w:val="single" w:sz="6" w:space="0" w:color="000000" w:themeColor="text1"/>
              <w:bottom w:val="single" w:sz="4" w:space="0" w:color="auto"/>
            </w:tcBorders>
            <w:shd w:val="clear" w:color="auto" w:fill="auto"/>
          </w:tcPr>
          <w:p w14:paraId="261B91EA" w14:textId="77777777" w:rsidR="0087106A" w:rsidRPr="009841AB" w:rsidRDefault="0087106A" w:rsidP="00FE0078">
            <w:pPr>
              <w:pStyle w:val="naisc"/>
              <w:spacing w:before="0" w:after="0"/>
              <w:jc w:val="both"/>
            </w:pPr>
          </w:p>
        </w:tc>
      </w:tr>
      <w:tr w:rsidR="00C857FC" w:rsidRPr="009841AB" w14:paraId="676579B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0AAD4C68" w14:textId="77777777" w:rsidR="00C857FC" w:rsidRPr="009841AB" w:rsidRDefault="00D3769C" w:rsidP="00C857FC">
            <w:pPr>
              <w:pStyle w:val="naisc"/>
              <w:spacing w:before="0" w:after="0"/>
            </w:pPr>
            <w:r>
              <w:lastRenderedPageBreak/>
              <w:t>555</w:t>
            </w:r>
          </w:p>
        </w:tc>
        <w:tc>
          <w:tcPr>
            <w:tcW w:w="2427" w:type="dxa"/>
            <w:tcBorders>
              <w:left w:val="single" w:sz="6" w:space="0" w:color="000000" w:themeColor="text1"/>
              <w:bottom w:val="single" w:sz="4" w:space="0" w:color="auto"/>
            </w:tcBorders>
            <w:shd w:val="clear" w:color="auto" w:fill="auto"/>
          </w:tcPr>
          <w:p w14:paraId="3558F1FF" w14:textId="77777777" w:rsidR="00C857FC" w:rsidRPr="009841AB" w:rsidRDefault="00C857FC" w:rsidP="00C857FC">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304890AA" w14:textId="77777777" w:rsidR="00C857FC" w:rsidRDefault="00C857FC" w:rsidP="00C857FC">
            <w:pPr>
              <w:tabs>
                <w:tab w:val="left" w:pos="720"/>
              </w:tabs>
              <w:contextualSpacing/>
              <w:jc w:val="both"/>
              <w:rPr>
                <w:lang w:eastAsia="en-US"/>
              </w:rPr>
            </w:pPr>
            <w:r>
              <w:rPr>
                <w:lang w:eastAsia="en-US"/>
              </w:rPr>
              <w:t xml:space="preserve">2. Uzdevums Nr. 4.4.6.-4: </w:t>
            </w:r>
          </w:p>
          <w:p w14:paraId="6AE2991B" w14:textId="77777777" w:rsidR="00C857FC" w:rsidRDefault="00C857FC" w:rsidP="00C857FC">
            <w:pPr>
              <w:tabs>
                <w:tab w:val="left" w:pos="720"/>
              </w:tabs>
              <w:contextualSpacing/>
              <w:jc w:val="both"/>
              <w:rPr>
                <w:color w:val="222222"/>
                <w:highlight w:val="yellow"/>
              </w:rPr>
            </w:pPr>
            <w:r>
              <w:rPr>
                <w:lang w:eastAsia="en-US"/>
              </w:rPr>
              <w:t>Aicinām pamatnostādņu 3. pielikuma projektā identificēt uzdevuma īstenošanai nepieciešamo finansējuma apjomu un avotu.</w:t>
            </w:r>
          </w:p>
        </w:tc>
        <w:tc>
          <w:tcPr>
            <w:tcW w:w="2480" w:type="dxa"/>
            <w:tcBorders>
              <w:left w:val="single" w:sz="6" w:space="0" w:color="000000" w:themeColor="text1"/>
              <w:bottom w:val="single" w:sz="4" w:space="0" w:color="auto"/>
            </w:tcBorders>
            <w:shd w:val="clear" w:color="auto" w:fill="auto"/>
          </w:tcPr>
          <w:p w14:paraId="1218885D" w14:textId="77777777" w:rsidR="004B6CFF" w:rsidRDefault="00CD1DD9" w:rsidP="00FE0078">
            <w:pPr>
              <w:pStyle w:val="naisc"/>
              <w:spacing w:before="0" w:after="0"/>
              <w:jc w:val="left"/>
              <w:rPr>
                <w:b/>
                <w:bCs/>
              </w:rPr>
            </w:pPr>
            <w:r>
              <w:rPr>
                <w:b/>
                <w:bCs/>
              </w:rPr>
              <w:t xml:space="preserve">Ņemts vērā </w:t>
            </w:r>
          </w:p>
          <w:p w14:paraId="52340C75" w14:textId="77777777" w:rsidR="00C857FC" w:rsidRPr="00CD1DD9" w:rsidRDefault="00CD1DD9" w:rsidP="00C857FC">
            <w:pPr>
              <w:pStyle w:val="naisc"/>
              <w:spacing w:before="0" w:after="0"/>
              <w:jc w:val="left"/>
            </w:pPr>
            <w:r w:rsidRPr="00CD1DD9">
              <w:t>Identificēta šobrīd apzi</w:t>
            </w:r>
            <w:r>
              <w:t>n</w:t>
            </w:r>
            <w:r w:rsidRPr="00CD1DD9">
              <w:t>ātā aktivitāte</w:t>
            </w:r>
            <w:r w:rsidR="00377B45">
              <w:t>, kuras ietvaros tam indikatīvi būtu pa</w:t>
            </w:r>
            <w:r w:rsidR="001C3C39">
              <w:t xml:space="preserve">redzams </w:t>
            </w:r>
            <w:r w:rsidR="00BF657A">
              <w:t>finansējums.</w:t>
            </w:r>
          </w:p>
        </w:tc>
        <w:tc>
          <w:tcPr>
            <w:tcW w:w="3497" w:type="dxa"/>
            <w:tcBorders>
              <w:left w:val="single" w:sz="6" w:space="0" w:color="000000" w:themeColor="text1"/>
              <w:bottom w:val="single" w:sz="4" w:space="0" w:color="auto"/>
            </w:tcBorders>
            <w:shd w:val="clear" w:color="auto" w:fill="auto"/>
          </w:tcPr>
          <w:p w14:paraId="31CED8F2" w14:textId="77777777" w:rsidR="00C857FC" w:rsidRPr="009841AB" w:rsidRDefault="00BF657A" w:rsidP="00C857FC">
            <w:pPr>
              <w:pStyle w:val="naisc"/>
              <w:spacing w:before="0" w:after="0"/>
              <w:jc w:val="both"/>
            </w:pPr>
            <w:r>
              <w:t>Lūdzu skat. 3. pielikumu</w:t>
            </w:r>
          </w:p>
        </w:tc>
      </w:tr>
      <w:tr w:rsidR="00C857FC" w:rsidRPr="009841AB" w14:paraId="6946EB4C" w14:textId="77777777" w:rsidTr="15B1D617">
        <w:trPr>
          <w:gridAfter w:val="1"/>
          <w:wAfter w:w="7" w:type="dxa"/>
        </w:trPr>
        <w:tc>
          <w:tcPr>
            <w:tcW w:w="14444" w:type="dxa"/>
            <w:gridSpan w:val="5"/>
            <w:tcBorders>
              <w:left w:val="single" w:sz="6" w:space="0" w:color="000000" w:themeColor="text1"/>
              <w:bottom w:val="single" w:sz="4" w:space="0" w:color="auto"/>
            </w:tcBorders>
            <w:shd w:val="clear" w:color="auto" w:fill="auto"/>
          </w:tcPr>
          <w:p w14:paraId="3AFBCF27" w14:textId="77777777" w:rsidR="00C857FC" w:rsidRPr="009841AB" w:rsidRDefault="00C857FC" w:rsidP="00C857FC">
            <w:pPr>
              <w:pStyle w:val="naisc"/>
              <w:spacing w:before="0" w:after="0"/>
              <w:jc w:val="both"/>
            </w:pPr>
            <w:r w:rsidRPr="009841AB">
              <w:rPr>
                <w:b/>
                <w:bCs/>
                <w:lang w:eastAsia="en-US"/>
              </w:rPr>
              <w:t>Veselības ministrijas 0</w:t>
            </w:r>
            <w:r>
              <w:rPr>
                <w:b/>
                <w:bCs/>
                <w:lang w:eastAsia="en-US"/>
              </w:rPr>
              <w:t>5</w:t>
            </w:r>
            <w:r w:rsidRPr="009841AB">
              <w:rPr>
                <w:b/>
                <w:bCs/>
                <w:lang w:eastAsia="en-US"/>
              </w:rPr>
              <w:t>.0</w:t>
            </w:r>
            <w:r>
              <w:rPr>
                <w:b/>
                <w:bCs/>
                <w:lang w:eastAsia="en-US"/>
              </w:rPr>
              <w:t>5</w:t>
            </w:r>
            <w:r w:rsidRPr="009841AB">
              <w:rPr>
                <w:b/>
                <w:bCs/>
                <w:lang w:eastAsia="en-US"/>
              </w:rPr>
              <w:t>.2021. atzinums:</w:t>
            </w:r>
          </w:p>
        </w:tc>
      </w:tr>
      <w:tr w:rsidR="00C857FC" w:rsidRPr="009841AB" w14:paraId="7C6A8596"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60BDC489" w14:textId="77777777" w:rsidR="00C857FC" w:rsidRPr="009841AB" w:rsidRDefault="00D3769C" w:rsidP="00C857FC">
            <w:pPr>
              <w:pStyle w:val="naisc"/>
              <w:spacing w:before="0" w:after="0"/>
            </w:pPr>
            <w:r>
              <w:t>556</w:t>
            </w:r>
          </w:p>
        </w:tc>
        <w:tc>
          <w:tcPr>
            <w:tcW w:w="2427" w:type="dxa"/>
            <w:tcBorders>
              <w:left w:val="single" w:sz="6" w:space="0" w:color="000000" w:themeColor="text1"/>
              <w:bottom w:val="single" w:sz="4" w:space="0" w:color="auto"/>
            </w:tcBorders>
            <w:shd w:val="clear" w:color="auto" w:fill="auto"/>
          </w:tcPr>
          <w:p w14:paraId="6B299442" w14:textId="77777777" w:rsidR="00C857FC" w:rsidRPr="009841AB" w:rsidRDefault="00C857FC" w:rsidP="00C857FC">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352995AC" w14:textId="77777777" w:rsidR="00C857FC" w:rsidRDefault="00C857FC" w:rsidP="00C857FC">
            <w:pPr>
              <w:tabs>
                <w:tab w:val="left" w:pos="720"/>
              </w:tabs>
              <w:contextualSpacing/>
              <w:jc w:val="both"/>
              <w:rPr>
                <w:color w:val="222222"/>
                <w:highlight w:val="yellow"/>
              </w:rPr>
            </w:pPr>
            <w:r w:rsidRPr="00E91A5B">
              <w:rPr>
                <w:color w:val="222222"/>
              </w:rPr>
              <w:t xml:space="preserve">1. </w:t>
            </w:r>
            <w:r w:rsidRPr="00C40745">
              <w:rPr>
                <w:color w:val="222222"/>
              </w:rPr>
              <w:t xml:space="preserve">Pamatnostādņu 3.pielikumā “Finansējums” lūdzam svītrot 92.-95.rindā iekļauto atsauci uz Sabiedrības veselības pamatnostādnēm 2021.-2027.gadam, jo Sabiedrības veselības pamatnostādņu 2021.-2027.gadam projektā nav iekļauts finansējums uzdevuma 4.1.6.-1. īstenošanai - ārstniecības personu digitālo prasmju pilnveide. Uzskatām, ka finansējums ārstniecības personu digitālo prasmju pilnveidei ir jāparedz uzdevuma U4.1.1.-2. ietvaros, jo uzdevums paredz sabiedrības digitālo prasmju attīstības programmas īstenošanu ar kopējo finansējumu 29,306 milj. </w:t>
            </w:r>
            <w:proofErr w:type="spellStart"/>
            <w:r w:rsidRPr="00C40745">
              <w:rPr>
                <w:color w:val="222222"/>
              </w:rPr>
              <w:t>euro</w:t>
            </w:r>
            <w:proofErr w:type="spellEnd"/>
            <w:r w:rsidRPr="00C40745">
              <w:rPr>
                <w:color w:val="222222"/>
              </w:rPr>
              <w:t>.</w:t>
            </w:r>
          </w:p>
        </w:tc>
        <w:tc>
          <w:tcPr>
            <w:tcW w:w="2480" w:type="dxa"/>
            <w:tcBorders>
              <w:left w:val="single" w:sz="6" w:space="0" w:color="000000" w:themeColor="text1"/>
              <w:bottom w:val="single" w:sz="4" w:space="0" w:color="auto"/>
            </w:tcBorders>
            <w:shd w:val="clear" w:color="auto" w:fill="auto"/>
          </w:tcPr>
          <w:p w14:paraId="0A66B317" w14:textId="77777777" w:rsidR="00AC3D88" w:rsidRPr="009841AB" w:rsidRDefault="00AC3D88" w:rsidP="00AC3D88">
            <w:pPr>
              <w:pStyle w:val="naisc"/>
              <w:jc w:val="left"/>
              <w:rPr>
                <w:b/>
                <w:bCs/>
                <w:color w:val="000000"/>
                <w:shd w:val="clear" w:color="auto" w:fill="FFFFFF"/>
              </w:rPr>
            </w:pPr>
            <w:r>
              <w:rPr>
                <w:b/>
                <w:bCs/>
                <w:color w:val="000000"/>
                <w:shd w:val="clear" w:color="auto" w:fill="FFFFFF"/>
              </w:rPr>
              <w:t>Panākta vienošanās</w:t>
            </w:r>
          </w:p>
          <w:p w14:paraId="4F1563FF" w14:textId="77777777" w:rsidR="000E27F8" w:rsidRPr="007F2B98" w:rsidRDefault="002B0A35" w:rsidP="00FE0078">
            <w:pPr>
              <w:pStyle w:val="naisc"/>
              <w:spacing w:before="0" w:after="0"/>
              <w:jc w:val="left"/>
            </w:pPr>
            <w:r w:rsidRPr="007F2B98">
              <w:t>Iekļauta atsauce uz pasākuma daļēju īstenošanu 4.1.1</w:t>
            </w:r>
            <w:r w:rsidR="00642E29" w:rsidRPr="007F2B98">
              <w:t xml:space="preserve">. pasākuma ietvaros, vienlaikus saglabājot atsauci uz Sabiedrības veselības pamatnostādņu </w:t>
            </w:r>
            <w:r w:rsidR="007F2B98" w:rsidRPr="007F2B98">
              <w:t>4.2.2. uzdevumu, kuram i</w:t>
            </w:r>
            <w:r w:rsidR="007F2B98">
              <w:t>r</w:t>
            </w:r>
            <w:r w:rsidR="007F2B98" w:rsidRPr="007F2B98">
              <w:t xml:space="preserve"> saturiska atbilstība. </w:t>
            </w:r>
          </w:p>
          <w:p w14:paraId="02AA126B" w14:textId="77777777" w:rsidR="00C857FC" w:rsidRPr="009841AB" w:rsidRDefault="00C857FC" w:rsidP="00C857FC">
            <w:pPr>
              <w:pStyle w:val="naisc"/>
              <w:spacing w:before="0" w:after="0"/>
              <w:jc w:val="left"/>
              <w:rPr>
                <w:b/>
                <w:bCs/>
              </w:rPr>
            </w:pPr>
          </w:p>
        </w:tc>
        <w:tc>
          <w:tcPr>
            <w:tcW w:w="3497" w:type="dxa"/>
            <w:tcBorders>
              <w:left w:val="single" w:sz="6" w:space="0" w:color="000000" w:themeColor="text1"/>
              <w:bottom w:val="single" w:sz="4" w:space="0" w:color="auto"/>
            </w:tcBorders>
            <w:shd w:val="clear" w:color="auto" w:fill="auto"/>
          </w:tcPr>
          <w:p w14:paraId="5191521C" w14:textId="77777777" w:rsidR="004B6CFF" w:rsidRDefault="000E27F8" w:rsidP="00FE0078">
            <w:pPr>
              <w:pStyle w:val="naisc"/>
              <w:spacing w:before="0" w:after="0"/>
              <w:jc w:val="both"/>
            </w:pPr>
            <w:r>
              <w:t>Lūdzu skat. 3. pielikumu.</w:t>
            </w:r>
          </w:p>
          <w:p w14:paraId="4F07E1B4" w14:textId="77777777" w:rsidR="00C857FC" w:rsidRPr="009841AB" w:rsidRDefault="00C857FC" w:rsidP="00C857FC">
            <w:pPr>
              <w:pStyle w:val="naisc"/>
              <w:spacing w:before="0" w:after="0"/>
              <w:jc w:val="both"/>
            </w:pPr>
          </w:p>
        </w:tc>
      </w:tr>
      <w:tr w:rsidR="00C857FC" w:rsidRPr="009841AB" w14:paraId="51A75DFA"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1D93CB79" w14:textId="77777777" w:rsidR="00C857FC" w:rsidRPr="009841AB" w:rsidRDefault="00D3769C" w:rsidP="00C857FC">
            <w:pPr>
              <w:pStyle w:val="naisc"/>
              <w:spacing w:before="0" w:after="0"/>
            </w:pPr>
            <w:r>
              <w:t>557</w:t>
            </w:r>
          </w:p>
        </w:tc>
        <w:tc>
          <w:tcPr>
            <w:tcW w:w="2427" w:type="dxa"/>
            <w:tcBorders>
              <w:left w:val="single" w:sz="6" w:space="0" w:color="000000" w:themeColor="text1"/>
              <w:bottom w:val="single" w:sz="4" w:space="0" w:color="auto"/>
            </w:tcBorders>
            <w:shd w:val="clear" w:color="auto" w:fill="auto"/>
          </w:tcPr>
          <w:p w14:paraId="49F19DB9" w14:textId="77777777" w:rsidR="00C857FC" w:rsidRPr="009841AB" w:rsidRDefault="00C857FC" w:rsidP="00C857FC">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553CA7F5" w14:textId="77777777" w:rsidR="00C857FC" w:rsidRDefault="00C857FC" w:rsidP="00C857FC">
            <w:pPr>
              <w:tabs>
                <w:tab w:val="left" w:pos="720"/>
              </w:tabs>
              <w:contextualSpacing/>
              <w:jc w:val="both"/>
              <w:rPr>
                <w:color w:val="222222"/>
                <w:highlight w:val="yellow"/>
              </w:rPr>
            </w:pPr>
            <w:r w:rsidRPr="00E91A5B">
              <w:rPr>
                <w:color w:val="222222"/>
              </w:rPr>
              <w:t xml:space="preserve">2. </w:t>
            </w:r>
            <w:r w:rsidRPr="004D4A77">
              <w:rPr>
                <w:color w:val="222222"/>
              </w:rPr>
              <w:t>Lūdzam svītrot no Pamatnostādņu 3.pielikuma papildus nepieciešamo finansējumu Veselības ministrijai 4.4.6. rīcības virziena īstenošanai, lai nodrošinātu, ka viss papildus nepieciešamais finansējums (gan valsts budžets, gan ES fondu finansējums) digitālo tehnoloģiju attīstīšanai veselības nozarē ir iekļauts vienā politikas plānošanas dokumentā - Sabiedrības veselības pamatnostādnēs 2021.-2027.gadam. Pamatnostādņu 3.pielikumā lūdzam iekļaut norādi, ka nepieciešamais finansējums uzdevumu īstenošanai iekļauts Sabiedrības veselības pamatnostādnēs 2021.-2027.gdam.</w:t>
            </w:r>
          </w:p>
        </w:tc>
        <w:tc>
          <w:tcPr>
            <w:tcW w:w="2480" w:type="dxa"/>
            <w:tcBorders>
              <w:left w:val="single" w:sz="6" w:space="0" w:color="000000" w:themeColor="text1"/>
              <w:bottom w:val="single" w:sz="4" w:space="0" w:color="auto"/>
            </w:tcBorders>
            <w:shd w:val="clear" w:color="auto" w:fill="auto"/>
          </w:tcPr>
          <w:p w14:paraId="00C74A71" w14:textId="77777777" w:rsidR="00AC3D88" w:rsidRPr="009841AB" w:rsidRDefault="00AC3D88" w:rsidP="00AC3D88">
            <w:pPr>
              <w:pStyle w:val="naisc"/>
              <w:jc w:val="left"/>
              <w:rPr>
                <w:b/>
                <w:bCs/>
                <w:color w:val="000000"/>
                <w:shd w:val="clear" w:color="auto" w:fill="FFFFFF"/>
              </w:rPr>
            </w:pPr>
            <w:r>
              <w:rPr>
                <w:b/>
                <w:bCs/>
                <w:color w:val="000000"/>
                <w:shd w:val="clear" w:color="auto" w:fill="FFFFFF"/>
              </w:rPr>
              <w:t>Panākta vienošanās</w:t>
            </w:r>
          </w:p>
          <w:p w14:paraId="284FB2EA" w14:textId="77777777" w:rsidR="0006611C" w:rsidRDefault="0006611C" w:rsidP="00FE0078">
            <w:pPr>
              <w:pStyle w:val="naisc"/>
              <w:spacing w:before="0" w:after="0"/>
              <w:jc w:val="left"/>
            </w:pPr>
            <w:r w:rsidRPr="0006611C">
              <w:t xml:space="preserve">Ņemot vērā </w:t>
            </w:r>
            <w:proofErr w:type="spellStart"/>
            <w:r w:rsidRPr="0006611C">
              <w:t>Pārresoru</w:t>
            </w:r>
            <w:proofErr w:type="spellEnd"/>
            <w:r w:rsidRPr="0006611C">
              <w:t xml:space="preserve"> koordinācijas centra norādes, ka Digitālās transformācijas pamatnostādn</w:t>
            </w:r>
            <w:r>
              <w:t xml:space="preserve">ēs ir jāatspoguļo visu ar Digitālo transformāciju saistīto NAP uzdevumu </w:t>
            </w:r>
            <w:r w:rsidR="00161242">
              <w:t xml:space="preserve">saistītais finansējums, tas atbilstošajā detalizācijā ir iekļauts 3. pielikumā. </w:t>
            </w:r>
            <w:r w:rsidR="008C7C66">
              <w:t xml:space="preserve">Vienlaikus, </w:t>
            </w:r>
            <w:r w:rsidR="008C7C66">
              <w:lastRenderedPageBreak/>
              <w:t xml:space="preserve">tas neliedz šo finansējumu detalizēt arī Sabiedrības veselības pamatnostādnēs, norādot sasaisti ar Digitālās transformācijas pamatnostādnēm, līdzīgi kā tas ir jau tiek nodrošināts ar </w:t>
            </w:r>
            <w:r w:rsidR="00A503B2">
              <w:t>i</w:t>
            </w:r>
            <w:r w:rsidR="008C7C66">
              <w:t>zglītības</w:t>
            </w:r>
            <w:r w:rsidR="00A503B2">
              <w:t xml:space="preserve"> un s</w:t>
            </w:r>
            <w:r w:rsidR="008C7C66">
              <w:t xml:space="preserve">akaru </w:t>
            </w:r>
            <w:r w:rsidR="00A503B2">
              <w:t>jomas politikas plānošanas dokumentiem.</w:t>
            </w:r>
            <w:r w:rsidR="008C7C66">
              <w:t xml:space="preserve"> </w:t>
            </w:r>
          </w:p>
          <w:p w14:paraId="148F7814" w14:textId="77777777" w:rsidR="00B00B04" w:rsidRDefault="00B00B04" w:rsidP="00FE0078">
            <w:pPr>
              <w:pStyle w:val="naisc"/>
              <w:spacing w:before="0" w:after="0"/>
              <w:jc w:val="left"/>
            </w:pPr>
          </w:p>
          <w:p w14:paraId="5EFE4C2A" w14:textId="77777777" w:rsidR="00C857FC" w:rsidRPr="0006611C" w:rsidRDefault="00B00B04" w:rsidP="00C857FC">
            <w:pPr>
              <w:pStyle w:val="naisc"/>
              <w:spacing w:before="0" w:after="0"/>
              <w:jc w:val="left"/>
            </w:pPr>
            <w:r>
              <w:t xml:space="preserve">Vienlaikus 4.4.6. </w:t>
            </w:r>
            <w:proofErr w:type="spellStart"/>
            <w:r>
              <w:t>apakšsadaļas</w:t>
            </w:r>
            <w:proofErr w:type="spellEnd"/>
            <w:r>
              <w:t xml:space="preserve"> </w:t>
            </w:r>
            <w:r w:rsidR="00AD040D">
              <w:t xml:space="preserve">“Nepieciešamā rīcība” papildināta ar atsauci uz topošajām Sabiedrības veselības pamatnostādnēm. </w:t>
            </w:r>
          </w:p>
        </w:tc>
        <w:tc>
          <w:tcPr>
            <w:tcW w:w="3497" w:type="dxa"/>
            <w:tcBorders>
              <w:left w:val="single" w:sz="6" w:space="0" w:color="000000" w:themeColor="text1"/>
              <w:bottom w:val="single" w:sz="4" w:space="0" w:color="auto"/>
            </w:tcBorders>
            <w:shd w:val="clear" w:color="auto" w:fill="auto"/>
          </w:tcPr>
          <w:p w14:paraId="5CBCCA3D" w14:textId="77777777" w:rsidR="00C857FC" w:rsidRPr="009841AB" w:rsidRDefault="00AD040D" w:rsidP="00C857FC">
            <w:pPr>
              <w:pStyle w:val="naisc"/>
              <w:spacing w:before="0" w:after="0"/>
              <w:jc w:val="both"/>
            </w:pPr>
            <w:r>
              <w:lastRenderedPageBreak/>
              <w:t xml:space="preserve">Lūdzu skat. </w:t>
            </w:r>
            <w:r w:rsidR="008B2DB5">
              <w:t>4.4.6. rīcības virzienu “Nepieciešamā rīcība”</w:t>
            </w:r>
          </w:p>
        </w:tc>
      </w:tr>
      <w:tr w:rsidR="00C0526B" w:rsidRPr="009841AB" w14:paraId="0B2B71CD" w14:textId="77777777" w:rsidTr="00DC72A3">
        <w:trPr>
          <w:gridAfter w:val="1"/>
          <w:wAfter w:w="7" w:type="dxa"/>
        </w:trPr>
        <w:tc>
          <w:tcPr>
            <w:tcW w:w="613" w:type="dxa"/>
            <w:tcBorders>
              <w:left w:val="single" w:sz="6" w:space="0" w:color="000000" w:themeColor="text1"/>
              <w:bottom w:val="single" w:sz="4" w:space="0" w:color="auto"/>
            </w:tcBorders>
            <w:shd w:val="clear" w:color="auto" w:fill="auto"/>
          </w:tcPr>
          <w:p w14:paraId="33F86553" w14:textId="5218ED02" w:rsidR="00C0526B" w:rsidRDefault="00C0526B" w:rsidP="00C857FC">
            <w:pPr>
              <w:pStyle w:val="naisc"/>
              <w:spacing w:before="0" w:after="0"/>
            </w:pPr>
            <w:r>
              <w:t>558</w:t>
            </w:r>
          </w:p>
        </w:tc>
        <w:tc>
          <w:tcPr>
            <w:tcW w:w="2427" w:type="dxa"/>
            <w:tcBorders>
              <w:left w:val="single" w:sz="6" w:space="0" w:color="000000" w:themeColor="text1"/>
              <w:bottom w:val="single" w:sz="4" w:space="0" w:color="auto"/>
            </w:tcBorders>
            <w:shd w:val="clear" w:color="auto" w:fill="auto"/>
          </w:tcPr>
          <w:p w14:paraId="5B53F36C" w14:textId="43C0BF05" w:rsidR="00C0526B" w:rsidRPr="009841AB" w:rsidRDefault="00C0526B" w:rsidP="00C857FC">
            <w:pPr>
              <w:pStyle w:val="naisc"/>
              <w:spacing w:before="0" w:after="0"/>
              <w:jc w:val="left"/>
            </w:pPr>
            <w:r w:rsidRPr="009841AB">
              <w:t>6. sadaļa</w:t>
            </w:r>
          </w:p>
        </w:tc>
        <w:tc>
          <w:tcPr>
            <w:tcW w:w="5427" w:type="dxa"/>
            <w:tcBorders>
              <w:left w:val="single" w:sz="6" w:space="0" w:color="000000" w:themeColor="text1"/>
              <w:bottom w:val="single" w:sz="4" w:space="0" w:color="auto"/>
            </w:tcBorders>
            <w:shd w:val="clear" w:color="auto" w:fill="auto"/>
          </w:tcPr>
          <w:p w14:paraId="2D986BF1" w14:textId="77777777" w:rsidR="00C0526B" w:rsidRPr="009E1C21" w:rsidRDefault="00C0526B" w:rsidP="00C0526B">
            <w:pPr>
              <w:tabs>
                <w:tab w:val="left" w:pos="720"/>
              </w:tabs>
              <w:contextualSpacing/>
              <w:jc w:val="both"/>
              <w:rPr>
                <w:color w:val="222222"/>
              </w:rPr>
            </w:pPr>
            <w:r w:rsidRPr="00E91A5B">
              <w:rPr>
                <w:color w:val="222222"/>
              </w:rPr>
              <w:t xml:space="preserve">3. </w:t>
            </w:r>
            <w:r w:rsidRPr="009E1C21">
              <w:rPr>
                <w:color w:val="222222"/>
              </w:rPr>
              <w:t xml:space="preserve">Lūdzam pamatnostādņu 4.pielikumā sadaļā “4.4.6. Rīcības virziens: Sabiedrības veselība un sociālā labklājība” svītrot rindkopu: </w:t>
            </w:r>
          </w:p>
          <w:p w14:paraId="3EAE6102" w14:textId="4B71BD23" w:rsidR="00C0526B" w:rsidRPr="00E91A5B" w:rsidRDefault="00C0526B" w:rsidP="00C0526B">
            <w:pPr>
              <w:tabs>
                <w:tab w:val="left" w:pos="720"/>
              </w:tabs>
              <w:contextualSpacing/>
              <w:jc w:val="both"/>
              <w:rPr>
                <w:color w:val="222222"/>
              </w:rPr>
            </w:pPr>
            <w:r w:rsidRPr="009E1C21">
              <w:rPr>
                <w:color w:val="222222"/>
              </w:rPr>
              <w:t>“</w:t>
            </w:r>
            <w:proofErr w:type="spellStart"/>
            <w:r w:rsidRPr="009E1C21">
              <w:rPr>
                <w:color w:val="222222"/>
              </w:rPr>
              <w:t>Telemedicīnas</w:t>
            </w:r>
            <w:proofErr w:type="spellEnd"/>
            <w:r w:rsidRPr="009E1C21">
              <w:rPr>
                <w:color w:val="222222"/>
              </w:rPr>
              <w:t xml:space="preserve"> rīku izstrāde ir dārga, to nevar nodrošināt mazo uzņēmumu komercdarbība, tāpēc valsts nodrošinātas pakalpojumu platformas komersantiem ļautu attālināti novērot pacientu veselības stāvokli un sniegt pirmo nepieciešamo atbalstu.” Vēršam uzmanību, ka šī rindkopa ir pretrunā kvalitatīvai veselības aprūpei, jo </w:t>
            </w:r>
            <w:proofErr w:type="spellStart"/>
            <w:r w:rsidRPr="009E1C21">
              <w:rPr>
                <w:color w:val="222222"/>
              </w:rPr>
              <w:t>telemedicīnas</w:t>
            </w:r>
            <w:proofErr w:type="spellEnd"/>
            <w:r w:rsidRPr="009E1C21">
              <w:rPr>
                <w:color w:val="222222"/>
              </w:rPr>
              <w:t xml:space="preserve"> risinājumu attīšanas primārais mērķis ir tikai gadījumos, kad tas no medicīniskā un tehnoloģiskā </w:t>
            </w:r>
            <w:r w:rsidRPr="009E1C21">
              <w:rPr>
                <w:color w:val="222222"/>
              </w:rPr>
              <w:lastRenderedPageBreak/>
              <w:t xml:space="preserve">viedokļa iespējams, nodrošināt veselības aprūpes pakalpojumu pieejamību attālināti, nevis nodrošināt iespēju komersantiem attālināti novērot pacienta veselības stāvokli un sniegt pirmo nepieciešamo atbalstu.  </w:t>
            </w:r>
          </w:p>
        </w:tc>
        <w:tc>
          <w:tcPr>
            <w:tcW w:w="2480" w:type="dxa"/>
            <w:tcBorders>
              <w:left w:val="single" w:sz="6" w:space="0" w:color="000000" w:themeColor="text1"/>
              <w:bottom w:val="single" w:sz="4" w:space="0" w:color="auto"/>
            </w:tcBorders>
            <w:shd w:val="clear" w:color="auto" w:fill="auto"/>
          </w:tcPr>
          <w:p w14:paraId="42CC5D59" w14:textId="386357C1" w:rsidR="00C0526B" w:rsidRDefault="00C0526B" w:rsidP="00FE0078">
            <w:pPr>
              <w:pStyle w:val="naisc"/>
              <w:spacing w:before="0" w:after="0"/>
              <w:jc w:val="left"/>
              <w:rPr>
                <w:b/>
                <w:bCs/>
              </w:rPr>
            </w:pPr>
            <w:r w:rsidRPr="2D7F609A">
              <w:rPr>
                <w:b/>
                <w:bCs/>
              </w:rPr>
              <w:lastRenderedPageBreak/>
              <w:t>Ņemts vērā</w:t>
            </w:r>
          </w:p>
        </w:tc>
        <w:tc>
          <w:tcPr>
            <w:tcW w:w="3497" w:type="dxa"/>
            <w:tcBorders>
              <w:left w:val="single" w:sz="6" w:space="0" w:color="000000" w:themeColor="text1"/>
              <w:bottom w:val="single" w:sz="4" w:space="0" w:color="auto"/>
            </w:tcBorders>
            <w:shd w:val="clear" w:color="auto" w:fill="auto"/>
          </w:tcPr>
          <w:p w14:paraId="3525EE15" w14:textId="0021FA55" w:rsidR="00C0526B" w:rsidRDefault="00C0526B" w:rsidP="00C857FC">
            <w:pPr>
              <w:pStyle w:val="naisc"/>
              <w:spacing w:before="0" w:after="0"/>
              <w:jc w:val="both"/>
            </w:pPr>
            <w:r>
              <w:t>Norādītā rindkopa ir dzēsta no pielikuma teksta.</w:t>
            </w:r>
          </w:p>
        </w:tc>
      </w:tr>
      <w:tr w:rsidR="00DC72A3" w:rsidRPr="009841AB" w14:paraId="755E16C0" w14:textId="77777777" w:rsidTr="00242E87">
        <w:trPr>
          <w:gridAfter w:val="1"/>
          <w:wAfter w:w="7" w:type="dxa"/>
        </w:trPr>
        <w:tc>
          <w:tcPr>
            <w:tcW w:w="14444" w:type="dxa"/>
            <w:gridSpan w:val="5"/>
            <w:tcBorders>
              <w:left w:val="single" w:sz="6" w:space="0" w:color="000000" w:themeColor="text1"/>
              <w:bottom w:val="single" w:sz="4" w:space="0" w:color="auto"/>
            </w:tcBorders>
            <w:shd w:val="clear" w:color="auto" w:fill="auto"/>
          </w:tcPr>
          <w:p w14:paraId="5FE6E4C0" w14:textId="77777777" w:rsidR="00DC72A3" w:rsidRDefault="00DC72A3" w:rsidP="00C857FC">
            <w:pPr>
              <w:pStyle w:val="naisc"/>
              <w:spacing w:before="0" w:after="0"/>
              <w:jc w:val="both"/>
              <w:rPr>
                <w:color w:val="222222"/>
              </w:rPr>
            </w:pPr>
            <w:r w:rsidRPr="009E1C21">
              <w:rPr>
                <w:color w:val="222222"/>
              </w:rPr>
              <w:t xml:space="preserve"> </w:t>
            </w:r>
          </w:p>
          <w:p w14:paraId="060BD2F0" w14:textId="57A75F39" w:rsidR="00DC72A3" w:rsidRPr="00DC72A3" w:rsidRDefault="00DC72A3" w:rsidP="00DC72A3">
            <w:pPr>
              <w:pStyle w:val="naisc"/>
              <w:spacing w:before="0" w:after="0"/>
              <w:rPr>
                <w:b/>
                <w:bCs/>
              </w:rPr>
            </w:pPr>
            <w:r w:rsidRPr="00DC72A3">
              <w:rPr>
                <w:b/>
                <w:bCs/>
              </w:rPr>
              <w:t xml:space="preserve">10.05.2021. </w:t>
            </w:r>
            <w:proofErr w:type="spellStart"/>
            <w:r w:rsidRPr="00DC72A3">
              <w:rPr>
                <w:b/>
                <w:bCs/>
              </w:rPr>
              <w:t>starpministriju</w:t>
            </w:r>
            <w:proofErr w:type="spellEnd"/>
            <w:r w:rsidRPr="00DC72A3">
              <w:rPr>
                <w:b/>
                <w:bCs/>
              </w:rPr>
              <w:t xml:space="preserve"> elektroniskā saskaņošana</w:t>
            </w:r>
          </w:p>
          <w:p w14:paraId="0B707C52" w14:textId="37E27769" w:rsidR="00DC72A3" w:rsidRPr="009841AB" w:rsidRDefault="00DC72A3" w:rsidP="00C857FC">
            <w:pPr>
              <w:pStyle w:val="naisc"/>
              <w:spacing w:before="0" w:after="0"/>
              <w:jc w:val="both"/>
            </w:pPr>
          </w:p>
        </w:tc>
      </w:tr>
      <w:tr w:rsidR="00C0526B" w:rsidRPr="009841AB" w14:paraId="67ABFA46" w14:textId="77777777" w:rsidTr="00242E87">
        <w:tc>
          <w:tcPr>
            <w:tcW w:w="14451" w:type="dxa"/>
            <w:gridSpan w:val="6"/>
            <w:tcBorders>
              <w:left w:val="single" w:sz="6" w:space="0" w:color="000000" w:themeColor="text1"/>
              <w:bottom w:val="single" w:sz="4" w:space="0" w:color="auto"/>
            </w:tcBorders>
            <w:shd w:val="clear" w:color="auto" w:fill="auto"/>
          </w:tcPr>
          <w:p w14:paraId="46B9F9AB" w14:textId="77777777" w:rsidR="00C0526B" w:rsidRPr="009841AB" w:rsidRDefault="00C0526B" w:rsidP="00242E87">
            <w:pPr>
              <w:tabs>
                <w:tab w:val="left" w:pos="720"/>
              </w:tabs>
              <w:contextualSpacing/>
              <w:rPr>
                <w:b/>
                <w:bCs/>
                <w:lang w:eastAsia="en-US"/>
              </w:rPr>
            </w:pPr>
            <w:r>
              <w:rPr>
                <w:b/>
                <w:bCs/>
                <w:lang w:eastAsia="en-US"/>
              </w:rPr>
              <w:t>Ārlietu</w:t>
            </w:r>
            <w:r w:rsidRPr="009841AB">
              <w:rPr>
                <w:b/>
                <w:bCs/>
                <w:lang w:eastAsia="en-US"/>
              </w:rPr>
              <w:t xml:space="preserve"> ministrijas </w:t>
            </w:r>
            <w:r>
              <w:rPr>
                <w:b/>
                <w:bCs/>
                <w:lang w:eastAsia="en-US"/>
              </w:rPr>
              <w:t>14</w:t>
            </w:r>
            <w:r w:rsidRPr="009841AB">
              <w:rPr>
                <w:b/>
                <w:bCs/>
                <w:lang w:eastAsia="en-US"/>
              </w:rPr>
              <w:t>.0</w:t>
            </w:r>
            <w:r>
              <w:rPr>
                <w:b/>
                <w:bCs/>
                <w:lang w:eastAsia="en-US"/>
              </w:rPr>
              <w:t>5</w:t>
            </w:r>
            <w:r w:rsidRPr="009841AB">
              <w:rPr>
                <w:b/>
                <w:bCs/>
                <w:lang w:eastAsia="en-US"/>
              </w:rPr>
              <w:t>.2021. atzinums:</w:t>
            </w:r>
          </w:p>
        </w:tc>
      </w:tr>
      <w:tr w:rsidR="00C0526B" w:rsidRPr="009841AB" w14:paraId="44D09598"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4BAD3183" w14:textId="77777777" w:rsidR="00C0526B" w:rsidRPr="009841AB" w:rsidRDefault="00C0526B" w:rsidP="00242E87">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E513F83" w14:textId="77777777" w:rsidR="00C0526B" w:rsidRPr="009841AB" w:rsidRDefault="00C0526B" w:rsidP="00242E8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DFE6506" w14:textId="77777777" w:rsidR="00C0526B" w:rsidRPr="00A35FF2" w:rsidRDefault="00C0526B" w:rsidP="00242E87">
            <w:pPr>
              <w:tabs>
                <w:tab w:val="left" w:pos="720"/>
              </w:tabs>
              <w:contextualSpacing/>
              <w:jc w:val="both"/>
              <w:rPr>
                <w:b/>
                <w:bCs/>
                <w:lang w:eastAsia="en-US"/>
              </w:rPr>
            </w:pPr>
            <w:r w:rsidRPr="00A35FF2">
              <w:rPr>
                <w:b/>
                <w:bCs/>
                <w:lang w:eastAsia="en-U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3766841" w14:textId="77777777" w:rsidR="00C0526B" w:rsidRPr="009841AB" w:rsidRDefault="00C0526B" w:rsidP="00242E87">
            <w:pPr>
              <w:pStyle w:val="naisc"/>
              <w:spacing w:before="0" w:after="0"/>
              <w:jc w:val="both"/>
            </w:pPr>
          </w:p>
        </w:tc>
        <w:tc>
          <w:tcPr>
            <w:tcW w:w="3504" w:type="dxa"/>
            <w:gridSpan w:val="2"/>
            <w:tcBorders>
              <w:top w:val="single" w:sz="4" w:space="0" w:color="auto"/>
              <w:left w:val="single" w:sz="4" w:space="0" w:color="auto"/>
              <w:bottom w:val="single" w:sz="4" w:space="0" w:color="auto"/>
            </w:tcBorders>
            <w:shd w:val="clear" w:color="auto" w:fill="auto"/>
          </w:tcPr>
          <w:p w14:paraId="308A4D9F" w14:textId="77777777" w:rsidR="00C0526B" w:rsidRPr="009841AB" w:rsidRDefault="00C0526B" w:rsidP="00242E87"/>
        </w:tc>
      </w:tr>
      <w:tr w:rsidR="00C0526B" w:rsidRPr="009841AB" w14:paraId="4DDD58C5"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1107B0FA" w14:textId="28BEDA91" w:rsidR="00C0526B" w:rsidRPr="00837008" w:rsidRDefault="00DC72A3" w:rsidP="00242E87">
            <w:pPr>
              <w:pStyle w:val="naisc"/>
              <w:spacing w:before="0" w:after="0"/>
            </w:pPr>
            <w:r>
              <w:t>559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F1D289B" w14:textId="77777777" w:rsidR="00C0526B" w:rsidRPr="00837008" w:rsidRDefault="00C0526B" w:rsidP="00242E87">
            <w:pPr>
              <w:pStyle w:val="naisc"/>
              <w:spacing w:before="0" w:after="0"/>
              <w:jc w:val="left"/>
            </w:pPr>
            <w:r w:rsidRPr="00837008">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CABAE94" w14:textId="77777777" w:rsidR="00C0526B" w:rsidRPr="00837008" w:rsidRDefault="00C0526B" w:rsidP="00242E87">
            <w:pPr>
              <w:jc w:val="both"/>
            </w:pPr>
            <w:r w:rsidRPr="00837008">
              <w:t>1. Ārlietu ministrija izsaka priekšlikumu pamatnostādņu 4.1.3. punkta sadaļas “Sagaidāmie rezultāti” 9.apakšpunkta (30.lpp.) pirmo teikumu noformulēt šādi:</w:t>
            </w:r>
          </w:p>
          <w:p w14:paraId="71554FBC" w14:textId="77777777" w:rsidR="00C0526B" w:rsidRPr="00837008" w:rsidRDefault="00C0526B" w:rsidP="00242E87">
            <w:pPr>
              <w:tabs>
                <w:tab w:val="left" w:pos="720"/>
              </w:tabs>
              <w:contextualSpacing/>
              <w:jc w:val="both"/>
              <w:rPr>
                <w:lang w:eastAsia="en-US"/>
              </w:rPr>
            </w:pPr>
            <w:r w:rsidRPr="00837008">
              <w:t xml:space="preserve">“9. Latvijas vēstniecību un diplomātisko un konsulāro pārstāvniecību darbinieki ārvalstīs ir izglītoti un informēti par Latvijas valsts e-risinājumiem un sniedz kvalitatīvu atbalstu un informāciju ārvalstīs dzīvojošajiem Latvijas </w:t>
            </w:r>
            <w:proofErr w:type="spellStart"/>
            <w:r w:rsidRPr="00837008">
              <w:t>valstspiederīgajiem</w:t>
            </w:r>
            <w:proofErr w:type="spellEnd"/>
            <w:r w:rsidRPr="00837008">
              <w:t xml:space="preserve">, sadarbībā ar Latvijas iestādēm veicinot elektronisko risinājumu patstāvīgu izmantošanu Latvijas </w:t>
            </w:r>
            <w:proofErr w:type="spellStart"/>
            <w:r w:rsidRPr="00837008">
              <w:t>valstspiederīgo</w:t>
            </w:r>
            <w:proofErr w:type="spellEnd"/>
            <w:r w:rsidRPr="00837008">
              <w:t xml:space="preserve"> ārvalstīs vidū.”.</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0E0D5AE" w14:textId="77777777" w:rsidR="00C0526B" w:rsidRPr="00837008" w:rsidRDefault="00C0526B" w:rsidP="00242E87">
            <w:pPr>
              <w:pStyle w:val="naisc"/>
              <w:spacing w:before="0" w:after="0"/>
              <w:jc w:val="both"/>
              <w:rPr>
                <w:b/>
                <w:bCs/>
              </w:rPr>
            </w:pPr>
            <w:r w:rsidRPr="00837008">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7C72741C" w14:textId="77777777" w:rsidR="00C0526B" w:rsidRPr="00837008" w:rsidRDefault="00C0526B" w:rsidP="00242E87">
            <w:r w:rsidRPr="00837008">
              <w:t>Lūdzu skatīt 4.1. sadaļu</w:t>
            </w:r>
          </w:p>
        </w:tc>
      </w:tr>
      <w:tr w:rsidR="00C0526B" w:rsidRPr="009841AB" w14:paraId="15C3295D"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3FA36E7C" w14:textId="0A9F279E" w:rsidR="00C0526B" w:rsidRPr="00837008" w:rsidRDefault="00DC72A3" w:rsidP="00242E87">
            <w:pPr>
              <w:pStyle w:val="naisc"/>
              <w:spacing w:before="0" w:after="0"/>
            </w:pPr>
            <w:r>
              <w:t>560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BD25A9E" w14:textId="77777777" w:rsidR="00C0526B" w:rsidRPr="00837008" w:rsidRDefault="00C0526B" w:rsidP="00242E87">
            <w:pPr>
              <w:pStyle w:val="naisc"/>
              <w:spacing w:before="0" w:after="0"/>
              <w:jc w:val="left"/>
            </w:pPr>
            <w:r w:rsidRPr="00837008">
              <w:t>Ievads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FEB5BDB" w14:textId="77777777" w:rsidR="00C0526B" w:rsidRPr="00837008" w:rsidRDefault="00C0526B" w:rsidP="00242E87">
            <w:pPr>
              <w:jc w:val="both"/>
            </w:pPr>
            <w:r w:rsidRPr="00837008">
              <w:t xml:space="preserve">2. Ārlietu ministrija izsaka priekšlikumu pamatnostādnēs iekļaut atsauci uz Attīstības sadarbības politikas pamatnostādnēm 2021. – 2027. gadam (apstiprinātas ar Ministru kabineta 2021. gada 14. aprīļa rīkojumu Nr. 245 “Par Attīstības sadarbības politikas pamatnostādnēm 2021. – 2027. gadam”), kur īpaši pievērsta uzmanība </w:t>
            </w:r>
            <w:proofErr w:type="spellStart"/>
            <w:r w:rsidRPr="00837008">
              <w:t>digitalizācijai</w:t>
            </w:r>
            <w:proofErr w:type="spellEnd"/>
            <w:r w:rsidRPr="00837008">
              <w:t xml:space="preserve"> kā partnervalstu attīstības veicinātajam un inovatīvu un pārbaudītu digitālu risinājumu atbalstam, kas var veicināt valstu pārvaldes efektivitāti, sabiedrības līdzdalību lēmumu pieņemšanā un jaunu ekonomisko iespēju radīšanu.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32FAF29" w14:textId="77777777" w:rsidR="00C0526B" w:rsidRPr="00837008" w:rsidRDefault="00C0526B" w:rsidP="00242E87">
            <w:pPr>
              <w:pStyle w:val="naisc"/>
              <w:spacing w:before="0" w:after="0"/>
              <w:jc w:val="both"/>
            </w:pPr>
            <w:r w:rsidRPr="00837008">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275F8021" w14:textId="77777777" w:rsidR="00C0526B" w:rsidRPr="00837008" w:rsidRDefault="00C0526B" w:rsidP="00242E87">
            <w:r w:rsidRPr="00837008">
              <w:t>Lūdzu skatīt Ievadu</w:t>
            </w:r>
          </w:p>
        </w:tc>
      </w:tr>
      <w:tr w:rsidR="00C0526B" w:rsidRPr="009841AB" w14:paraId="28A8B91A"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B16912D" w14:textId="534058FC" w:rsidR="00C0526B" w:rsidRPr="00837008" w:rsidRDefault="00DC72A3" w:rsidP="00242E87">
            <w:pPr>
              <w:pStyle w:val="naisc"/>
              <w:spacing w:before="0" w:after="0"/>
            </w:pPr>
            <w:r>
              <w:lastRenderedPageBreak/>
              <w:t>561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BCC54A0" w14:textId="77777777" w:rsidR="00C0526B" w:rsidRPr="00837008" w:rsidRDefault="00C0526B" w:rsidP="00242E87">
            <w:pPr>
              <w:pStyle w:val="naisc"/>
              <w:spacing w:before="0" w:after="0"/>
              <w:jc w:val="left"/>
            </w:pPr>
            <w:r w:rsidRPr="00837008">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8D7398B" w14:textId="77777777" w:rsidR="00C0526B" w:rsidRPr="00837008" w:rsidRDefault="00C0526B" w:rsidP="00242E87">
            <w:pPr>
              <w:jc w:val="both"/>
            </w:pPr>
            <w:r w:rsidRPr="00837008">
              <w:rPr>
                <w:lang w:eastAsia="en-US"/>
              </w:rPr>
              <w:t xml:space="preserve">3. </w:t>
            </w:r>
            <w:r w:rsidRPr="00837008">
              <w:t>Vienlaikus lūdzam tekstā precizēt, ka Digitālo inovāciju centra pakalpojumu grozā minētā līdzdalība attīstības sadarbības projektos (119.lpp.) ir skatāma kontekstā ar Digitālās Eiropas programmu, tādējādi novēršot iespējamo pārpratumu rašanos attiecībā uz Ārlietu ministrijas budžeta programmu “Attīstības sadarbības projekti un starptautiskā palīdzība”.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3C764E8" w14:textId="77777777" w:rsidR="00C0526B" w:rsidRPr="00837008" w:rsidRDefault="00C0526B" w:rsidP="00242E87">
            <w:pPr>
              <w:pStyle w:val="naisc"/>
              <w:spacing w:before="0" w:after="0"/>
              <w:jc w:val="both"/>
            </w:pPr>
            <w:r w:rsidRPr="00837008">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23770933" w14:textId="77777777" w:rsidR="00C0526B" w:rsidRPr="00837008" w:rsidRDefault="00C0526B" w:rsidP="00242E87">
            <w:r w:rsidRPr="00837008">
              <w:t>Lūdzu skatīt 4.4. sadaļu</w:t>
            </w:r>
          </w:p>
        </w:tc>
      </w:tr>
      <w:tr w:rsidR="00C0526B" w:rsidRPr="009841AB" w14:paraId="7005ACA8" w14:textId="77777777" w:rsidTr="00242E87">
        <w:trPr>
          <w:trHeight w:val="315"/>
        </w:trPr>
        <w:tc>
          <w:tcPr>
            <w:tcW w:w="14451" w:type="dxa"/>
            <w:gridSpan w:val="6"/>
            <w:tcBorders>
              <w:left w:val="single" w:sz="6" w:space="0" w:color="000000" w:themeColor="text1"/>
              <w:bottom w:val="single" w:sz="4" w:space="0" w:color="auto"/>
            </w:tcBorders>
            <w:shd w:val="clear" w:color="auto" w:fill="auto"/>
          </w:tcPr>
          <w:p w14:paraId="6BD1F089" w14:textId="77777777" w:rsidR="00C0526B" w:rsidRPr="009841AB" w:rsidRDefault="00C0526B" w:rsidP="00242E87">
            <w:r>
              <w:rPr>
                <w:b/>
                <w:bCs/>
                <w:lang w:eastAsia="en-US"/>
              </w:rPr>
              <w:t>Datu valsts inspekcijas</w:t>
            </w:r>
            <w:r w:rsidRPr="009841AB">
              <w:rPr>
                <w:b/>
                <w:bCs/>
                <w:lang w:eastAsia="en-US"/>
              </w:rPr>
              <w:t xml:space="preserve"> </w:t>
            </w:r>
            <w:r>
              <w:rPr>
                <w:b/>
                <w:bCs/>
                <w:lang w:eastAsia="en-US"/>
              </w:rPr>
              <w:t>14</w:t>
            </w:r>
            <w:r w:rsidRPr="009841AB">
              <w:rPr>
                <w:b/>
                <w:bCs/>
                <w:lang w:eastAsia="en-US"/>
              </w:rPr>
              <w:t>.0</w:t>
            </w:r>
            <w:r>
              <w:rPr>
                <w:b/>
                <w:bCs/>
                <w:lang w:eastAsia="en-US"/>
              </w:rPr>
              <w:t>5</w:t>
            </w:r>
            <w:r w:rsidRPr="009841AB">
              <w:rPr>
                <w:b/>
                <w:bCs/>
                <w:lang w:eastAsia="en-US"/>
              </w:rPr>
              <w:t>.2021. atzinums:</w:t>
            </w:r>
          </w:p>
        </w:tc>
      </w:tr>
      <w:tr w:rsidR="00C0526B" w:rsidRPr="009841AB" w14:paraId="708880D5"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24BD90A9" w14:textId="68972B16" w:rsidR="00C0526B" w:rsidRPr="009841AB" w:rsidRDefault="00DC72A3" w:rsidP="00242E87">
            <w:pPr>
              <w:pStyle w:val="naisc"/>
              <w:spacing w:before="0" w:after="0"/>
            </w:pPr>
            <w:r>
              <w:t>562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7635EF7"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A3EECB7" w14:textId="77777777" w:rsidR="00C0526B" w:rsidRDefault="00C0526B" w:rsidP="00242E87">
            <w:pPr>
              <w:tabs>
                <w:tab w:val="left" w:pos="720"/>
              </w:tabs>
              <w:contextualSpacing/>
              <w:jc w:val="both"/>
              <w:rPr>
                <w:lang w:eastAsia="en-US"/>
              </w:rPr>
            </w:pPr>
            <w:r>
              <w:rPr>
                <w:lang w:eastAsia="en-US"/>
              </w:rPr>
              <w:t xml:space="preserve">Uzturam spēkā Inspekcijas 2021. gada 30. aprīļa atzinuma Nr. 7-4.2/151-N [1] punktā ietverto iebildumu daļā pret uzdevuma U.4.4.2.2.-1 teksta redakciju. Proti, Inspekcija attiecībā uz uzdevuma U.4.4.2.2.-1 – “Izveidot un ieviest plānu regulārai sabiedrības izpratnes veicināšanai par fizisko personu datu aizsardzību, it īpaši saistībā ar jauno digitālo tehnoloģiju izmantošanu, tajā skaitā mākslīgo intelektu un lietu internetu, un uzdevums”, izteica ierosinājumu </w:t>
            </w:r>
            <w:r w:rsidRPr="00634BBE">
              <w:rPr>
                <w:lang w:eastAsia="en-US"/>
              </w:rPr>
              <w:t>aizstāt uzdevuma U4.4.2.2.-1 redakcijā norādīto “plānu” ar pasākumiem</w:t>
            </w:r>
            <w:r>
              <w:rPr>
                <w:lang w:eastAsia="en-US"/>
              </w:rPr>
              <w:t>, jo nebija saprotams, kas ir domāts ar “plānu”. Inspekcija izteica ierosinājumu precizēt uzdevumu U4.4.2.2.-1 šādā redakcijā: “Veikt pasākumus regulārai sabiedrības izpratnes veicināšanai par fizisko personu datu aizsardzību, it īpaši saistībā ar jauno digitālo tehnoloģiju izmantošanu, tajā skaitā mākslīgo intelektu un lietu internetu, un uzdevums”.</w:t>
            </w:r>
          </w:p>
          <w:p w14:paraId="3B0C1128" w14:textId="77777777" w:rsidR="00C0526B" w:rsidRDefault="00C0526B" w:rsidP="00242E87">
            <w:pPr>
              <w:tabs>
                <w:tab w:val="left" w:pos="720"/>
              </w:tabs>
              <w:contextualSpacing/>
              <w:jc w:val="both"/>
              <w:rPr>
                <w:lang w:eastAsia="en-US"/>
              </w:rPr>
            </w:pPr>
            <w:r>
              <w:rPr>
                <w:lang w:eastAsia="en-US"/>
              </w:rPr>
              <w:t xml:space="preserve">Iepazīstoties ar Pamatnostādņu projekta 4.4.2.2. </w:t>
            </w:r>
            <w:proofErr w:type="spellStart"/>
            <w:r>
              <w:rPr>
                <w:lang w:eastAsia="en-US"/>
              </w:rPr>
              <w:t>apakšsadaļas</w:t>
            </w:r>
            <w:proofErr w:type="spellEnd"/>
            <w:r>
              <w:rPr>
                <w:lang w:eastAsia="en-US"/>
              </w:rPr>
              <w:t xml:space="preserve"> Rīcības </w:t>
            </w:r>
            <w:proofErr w:type="spellStart"/>
            <w:r>
              <w:rPr>
                <w:lang w:eastAsia="en-US"/>
              </w:rPr>
              <w:t>apakšvirziens</w:t>
            </w:r>
            <w:proofErr w:type="spellEnd"/>
            <w:r>
              <w:rPr>
                <w:lang w:eastAsia="en-US"/>
              </w:rPr>
              <w:t xml:space="preserve">: Fizisko personu datu aizsardzība </w:t>
            </w:r>
            <w:proofErr w:type="spellStart"/>
            <w:r>
              <w:rPr>
                <w:lang w:eastAsia="en-US"/>
              </w:rPr>
              <w:t>apakšsadaļu</w:t>
            </w:r>
            <w:proofErr w:type="spellEnd"/>
            <w:r>
              <w:rPr>
                <w:lang w:eastAsia="en-US"/>
              </w:rPr>
              <w:t xml:space="preserve">”, “Uzdevumi” (66.lpp.) definēto uzdevumu U4.4.2.2.-1 “Izveidot un ieviest pasākumu plānu regulārai sabiedrības izpratnes veicināšanai par fizisko personu datu aizsardzību, it īpaši saistībā ar jauno digitālo tehnoloģiju izmantošanu, t.sk. mākslīgo intelektu un </w:t>
            </w:r>
            <w:proofErr w:type="spellStart"/>
            <w:r>
              <w:rPr>
                <w:lang w:eastAsia="en-US"/>
              </w:rPr>
              <w:t>IoT</w:t>
            </w:r>
            <w:proofErr w:type="spellEnd"/>
            <w:r>
              <w:rPr>
                <w:lang w:eastAsia="en-US"/>
              </w:rPr>
              <w:t xml:space="preserve">.”, Inspekcija nepiekrīt jaunajai uzdevuma redakcijai </w:t>
            </w:r>
            <w:r>
              <w:rPr>
                <w:lang w:eastAsia="en-US"/>
              </w:rPr>
              <w:lastRenderedPageBreak/>
              <w:t xml:space="preserve">teksta daļā, kurā lietots vārdu virknējums “pasākumu plāns”. </w:t>
            </w:r>
          </w:p>
          <w:p w14:paraId="58FAFBDA" w14:textId="77777777" w:rsidR="00C0526B" w:rsidRPr="009841AB" w:rsidRDefault="00C0526B" w:rsidP="00242E87">
            <w:pPr>
              <w:tabs>
                <w:tab w:val="left" w:pos="720"/>
              </w:tabs>
              <w:contextualSpacing/>
              <w:jc w:val="both"/>
              <w:rPr>
                <w:lang w:eastAsia="en-US"/>
              </w:rPr>
            </w:pPr>
            <w:r>
              <w:rPr>
                <w:lang w:eastAsia="en-US"/>
              </w:rPr>
              <w:t xml:space="preserve">Vēršam uzmanību, ka Inspekcija jau šobrīd veic regulārus pasākumus, kas ir vērsti uz regulāru sabiedrības izpratnes veicināšanu par fizisko personu datu aizsardzību. Šādu pasākumu īstenošana ir ietverta arī Inspekcijas ikgadējā darba plānā. Vienlaikus </w:t>
            </w:r>
            <w:r w:rsidRPr="00634BBE">
              <w:rPr>
                <w:lang w:eastAsia="en-US"/>
              </w:rPr>
              <w:t>Inspekcija nesaskata nepieciešamību izstrādāt pasākuma plānu</w:t>
            </w:r>
            <w:r>
              <w:rPr>
                <w:lang w:eastAsia="en-US"/>
              </w:rPr>
              <w:t>, ja ar to tiek saprasts politikas plānošanas dokuments Ministru kabineta 2014.gada 2.decembra noteikumu Nr.737 “Attīstības plānošanas dokumentu izstrādes un ietekmes izvērtēšanas noteikumi” 11.punkta izpratnē.</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F9CCF9C" w14:textId="77777777" w:rsidR="00C0526B" w:rsidRPr="009841AB" w:rsidRDefault="00C0526B" w:rsidP="00242E87">
            <w:pPr>
              <w:pStyle w:val="naisc"/>
              <w:spacing w:before="0" w:after="0"/>
              <w:jc w:val="both"/>
              <w:rPr>
                <w:b/>
                <w:bCs/>
              </w:rPr>
            </w:pPr>
            <w:r w:rsidRPr="4479B38B">
              <w:rPr>
                <w:b/>
                <w:bCs/>
              </w:rPr>
              <w:lastRenderedPageBreak/>
              <w:t xml:space="preserve">Ņemts vērā </w:t>
            </w:r>
          </w:p>
          <w:p w14:paraId="2DD55F5A" w14:textId="77777777" w:rsidR="00C0526B" w:rsidRPr="009841AB" w:rsidRDefault="00C0526B" w:rsidP="00242E87">
            <w:pPr>
              <w:pStyle w:val="naisc"/>
              <w:spacing w:before="0" w:after="0"/>
              <w:jc w:val="both"/>
            </w:pPr>
            <w:r w:rsidRPr="4479B38B">
              <w:t>(kompromisa redakcija)</w:t>
            </w:r>
          </w:p>
        </w:tc>
        <w:tc>
          <w:tcPr>
            <w:tcW w:w="3504" w:type="dxa"/>
            <w:gridSpan w:val="2"/>
            <w:tcBorders>
              <w:top w:val="single" w:sz="4" w:space="0" w:color="auto"/>
              <w:left w:val="single" w:sz="4" w:space="0" w:color="auto"/>
              <w:bottom w:val="single" w:sz="4" w:space="0" w:color="auto"/>
            </w:tcBorders>
            <w:shd w:val="clear" w:color="auto" w:fill="auto"/>
          </w:tcPr>
          <w:p w14:paraId="6DB7C4B4" w14:textId="77777777" w:rsidR="00C0526B" w:rsidRPr="009841AB" w:rsidRDefault="00C0526B" w:rsidP="00242E87">
            <w:pPr>
              <w:jc w:val="both"/>
            </w:pPr>
            <w:r>
              <w:t>Lūdzu skatīt 4.4. sadaļu</w:t>
            </w:r>
          </w:p>
          <w:p w14:paraId="3E021265" w14:textId="77777777" w:rsidR="00C0526B" w:rsidRPr="009841AB" w:rsidRDefault="00C0526B" w:rsidP="00242E87"/>
        </w:tc>
      </w:tr>
      <w:tr w:rsidR="00C0526B" w:rsidRPr="009841AB" w14:paraId="46E9261D" w14:textId="77777777" w:rsidTr="00242E87">
        <w:tc>
          <w:tcPr>
            <w:tcW w:w="14451" w:type="dxa"/>
            <w:gridSpan w:val="6"/>
            <w:tcBorders>
              <w:left w:val="single" w:sz="6" w:space="0" w:color="000000" w:themeColor="text1"/>
              <w:bottom w:val="single" w:sz="4" w:space="0" w:color="auto"/>
            </w:tcBorders>
            <w:shd w:val="clear" w:color="auto" w:fill="auto"/>
          </w:tcPr>
          <w:p w14:paraId="3FC36AE8" w14:textId="77777777" w:rsidR="00C0526B" w:rsidRPr="009841AB" w:rsidRDefault="00C0526B" w:rsidP="00242E87">
            <w:r>
              <w:rPr>
                <w:b/>
                <w:bCs/>
                <w:lang w:eastAsia="en-US"/>
              </w:rPr>
              <w:t>Finanšu</w:t>
            </w:r>
            <w:r w:rsidRPr="009841AB">
              <w:rPr>
                <w:b/>
                <w:bCs/>
                <w:lang w:eastAsia="en-US"/>
              </w:rPr>
              <w:t xml:space="preserve"> ministrijas </w:t>
            </w:r>
            <w:r>
              <w:rPr>
                <w:b/>
                <w:bCs/>
                <w:lang w:eastAsia="en-US"/>
              </w:rPr>
              <w:t>14</w:t>
            </w:r>
            <w:r w:rsidRPr="009841AB">
              <w:rPr>
                <w:b/>
                <w:bCs/>
                <w:lang w:eastAsia="en-US"/>
              </w:rPr>
              <w:t>.0</w:t>
            </w:r>
            <w:r>
              <w:rPr>
                <w:b/>
                <w:bCs/>
                <w:lang w:eastAsia="en-US"/>
              </w:rPr>
              <w:t>5</w:t>
            </w:r>
            <w:r w:rsidRPr="009841AB">
              <w:rPr>
                <w:b/>
                <w:bCs/>
                <w:lang w:eastAsia="en-US"/>
              </w:rPr>
              <w:t>.2021. atzinums:</w:t>
            </w:r>
          </w:p>
        </w:tc>
      </w:tr>
      <w:tr w:rsidR="00C0526B" w:rsidRPr="009841AB" w14:paraId="1E004251"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9680C96" w14:textId="01D57FD7" w:rsidR="00C0526B" w:rsidRPr="009841AB" w:rsidRDefault="00DC72A3" w:rsidP="00242E87">
            <w:pPr>
              <w:pStyle w:val="naisc"/>
              <w:spacing w:before="0" w:after="0"/>
            </w:pPr>
            <w:r>
              <w:t>563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7B7BF78" w14:textId="77777777" w:rsidR="00C0526B" w:rsidRPr="009841AB" w:rsidRDefault="00C0526B" w:rsidP="00242E87">
            <w:pPr>
              <w:pStyle w:val="naisc"/>
              <w:spacing w:before="0" w:after="0"/>
              <w:jc w:val="left"/>
            </w:pPr>
            <w:r>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F392480" w14:textId="77777777" w:rsidR="00C0526B" w:rsidRDefault="00C0526B" w:rsidP="00242E87">
            <w:pPr>
              <w:tabs>
                <w:tab w:val="left" w:pos="720"/>
              </w:tabs>
              <w:contextualSpacing/>
              <w:jc w:val="both"/>
              <w:rPr>
                <w:lang w:eastAsia="en-US"/>
              </w:rPr>
            </w:pPr>
            <w:r>
              <w:rPr>
                <w:lang w:eastAsia="en-US"/>
              </w:rPr>
              <w:t>1.</w:t>
            </w:r>
            <w:r>
              <w:rPr>
                <w:lang w:eastAsia="en-US"/>
              </w:rPr>
              <w:tab/>
              <w:t xml:space="preserve">Vēršam uzmanību, ka iepriekš izteiktais iebildums nav pilnīgi ielabots pamatnostādņu projektā. Atbilstoši iepriekšējās pamatnostādņu projekta redakcijas numerācijai lūdzām </w:t>
            </w:r>
            <w:r w:rsidRPr="00CD741D">
              <w:rPr>
                <w:lang w:eastAsia="en-US"/>
              </w:rPr>
              <w:t>precizēt uzdevuma U4.1.2.-1 formulējumu, papildinot to ar vārdiem "un amatu grupām". Tas ir ielabots 2.pielikumā "Rīcības virzieni un uzdevumi", bet nav labots pamatnostādņu projekta pamattekstā.</w:t>
            </w:r>
            <w:r>
              <w:rPr>
                <w:lang w:eastAsia="en-US"/>
              </w:rPr>
              <w:t xml:space="preserve"> Līdz ar to lūdzam precizēt pamatnostādņu projekta pamattekstā uzdevumu (atbilstoši jaunajai numerācijai) “U4.1.3.-2 Izstrādāt un ieviest plānu digitālo prasmju pilnveidei valsts iestādēm, </w:t>
            </w:r>
            <w:proofErr w:type="spellStart"/>
            <w:r>
              <w:rPr>
                <w:lang w:eastAsia="en-US"/>
              </w:rPr>
              <w:t>monitorēt</w:t>
            </w:r>
            <w:proofErr w:type="spellEnd"/>
            <w:r>
              <w:rPr>
                <w:lang w:eastAsia="en-US"/>
              </w:rPr>
              <w:t xml:space="preserve"> rezultātus un izvērtēt efektivitāti", papildinot ar vārdiem "un amatu grupām", izsakot to šādi: "Izstrādāt un ieviest plānu digitālo prasmju pilnveidei valsts iestādēm un amatu grupām, </w:t>
            </w:r>
            <w:proofErr w:type="spellStart"/>
            <w:r>
              <w:rPr>
                <w:lang w:eastAsia="en-US"/>
              </w:rPr>
              <w:t>monitorēt</w:t>
            </w:r>
            <w:proofErr w:type="spellEnd"/>
            <w:r>
              <w:rPr>
                <w:lang w:eastAsia="en-US"/>
              </w:rPr>
              <w:t xml:space="preserve"> rezultātus un izvērtēt efektivitāti." </w:t>
            </w:r>
          </w:p>
          <w:p w14:paraId="5E3A2E65" w14:textId="77777777" w:rsidR="00C0526B" w:rsidRPr="009841AB" w:rsidRDefault="00C0526B" w:rsidP="00242E87">
            <w:pPr>
              <w:tabs>
                <w:tab w:val="left" w:pos="720"/>
              </w:tabs>
              <w:contextualSpacing/>
              <w:jc w:val="both"/>
              <w:rPr>
                <w:lang w:eastAsia="en-US"/>
              </w:rPr>
            </w:pPr>
            <w:r>
              <w:rPr>
                <w:lang w:eastAsia="en-US"/>
              </w:rPr>
              <w:t xml:space="preserve">Vienlaikus vēršam uzmanību, ka Izziņas 86., 88.punktā par izteiktajiem iebildumiem ir neprecizitātes skaidrojumos (atbildīgās ministrijas norādēs par to, ka iebildums ir ņemts vērā, vai </w:t>
            </w:r>
            <w:r>
              <w:rPr>
                <w:lang w:eastAsia="en-US"/>
              </w:rPr>
              <w:lastRenderedPageBreak/>
              <w:t>informācija par saskaņošanā panākto alternatīvo risinājumu).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912C81B" w14:textId="77777777" w:rsidR="00C0526B" w:rsidRPr="00CD741D" w:rsidRDefault="00C0526B" w:rsidP="00242E87">
            <w:pPr>
              <w:pStyle w:val="naisc"/>
              <w:spacing w:before="0" w:after="0"/>
              <w:jc w:val="both"/>
              <w:rPr>
                <w:b/>
                <w:bCs/>
              </w:rPr>
            </w:pPr>
            <w:r w:rsidRPr="00CD741D">
              <w:rPr>
                <w:b/>
                <w:bCs/>
              </w:rPr>
              <w:lastRenderedPageBreak/>
              <w:t>Ņemts vērā</w:t>
            </w:r>
          </w:p>
        </w:tc>
        <w:tc>
          <w:tcPr>
            <w:tcW w:w="3504" w:type="dxa"/>
            <w:gridSpan w:val="2"/>
            <w:tcBorders>
              <w:top w:val="single" w:sz="4" w:space="0" w:color="auto"/>
              <w:left w:val="single" w:sz="4" w:space="0" w:color="auto"/>
              <w:bottom w:val="single" w:sz="4" w:space="0" w:color="auto"/>
            </w:tcBorders>
            <w:shd w:val="clear" w:color="auto" w:fill="auto"/>
          </w:tcPr>
          <w:p w14:paraId="6093B7D5" w14:textId="77777777" w:rsidR="00C0526B" w:rsidRPr="009841AB" w:rsidRDefault="00C0526B" w:rsidP="00242E87">
            <w:r>
              <w:t>Lūdzu skatīt 4.1. sadaļu</w:t>
            </w:r>
          </w:p>
        </w:tc>
      </w:tr>
      <w:tr w:rsidR="00C0526B" w:rsidRPr="009841AB" w14:paraId="4163D20A"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AFCF266" w14:textId="664C65A3" w:rsidR="00C0526B" w:rsidRPr="009841AB" w:rsidRDefault="00DC72A3" w:rsidP="00242E87">
            <w:pPr>
              <w:pStyle w:val="naisc"/>
              <w:spacing w:before="0" w:after="0"/>
            </w:pPr>
            <w:r>
              <w:t>564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4EBE5C8" w14:textId="77777777" w:rsidR="00C0526B" w:rsidRPr="009841AB" w:rsidRDefault="00C0526B" w:rsidP="00242E87">
            <w:pPr>
              <w:pStyle w:val="naisc"/>
              <w:spacing w:before="0" w:after="0"/>
              <w:jc w:val="left"/>
            </w:pPr>
            <w:r>
              <w:t>5.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8DB0260" w14:textId="77777777" w:rsidR="00C0526B" w:rsidRPr="009841AB" w:rsidRDefault="00C0526B" w:rsidP="00242E87">
            <w:pPr>
              <w:tabs>
                <w:tab w:val="left" w:pos="720"/>
              </w:tabs>
              <w:contextualSpacing/>
              <w:jc w:val="both"/>
              <w:rPr>
                <w:lang w:eastAsia="en-US"/>
              </w:rPr>
            </w:pPr>
            <w:r w:rsidRPr="006F2F84">
              <w:rPr>
                <w:lang w:eastAsia="en-US"/>
              </w:rPr>
              <w:t>2.</w:t>
            </w:r>
            <w:r w:rsidRPr="006F2F84">
              <w:rPr>
                <w:lang w:eastAsia="en-US"/>
              </w:rPr>
              <w:tab/>
              <w:t xml:space="preserve">Ņemot vērā pamatnostādņu projekta 5.sadaļas “Digitālās transformācijas pārvaldība” </w:t>
            </w:r>
            <w:proofErr w:type="spellStart"/>
            <w:r w:rsidRPr="006F2F84">
              <w:rPr>
                <w:lang w:eastAsia="en-US"/>
              </w:rPr>
              <w:t>apakšsadaļā</w:t>
            </w:r>
            <w:proofErr w:type="spellEnd"/>
            <w:r w:rsidRPr="006F2F84">
              <w:rPr>
                <w:lang w:eastAsia="en-US"/>
              </w:rPr>
              <w:t xml:space="preserve"> “Kompetenču un infrastruktūras konsolidācija un koplietošana” norādīto informāciju par projektu uzturēšanas izmaksu pamatotības kontroles un ar metodiskā atbalsta un resursu izvērtēšanu un uzraudzību, lūdzam papildināt ar informāciju, ka katra IKT risinājuma ieviešana rada arī ieguvums, t.sk. finansiālus, kas ir jāņem vērā pie IKT risinājuma uzturēšanas izmaksu izvērtēšanas, kas ietver arī lēmumu pieņemšanu par finansējuma pārdalēm, ņemot vērā ietaupījumus, ko IKT risinājumu ieviešana rada (šādi nepieciešamie precizējumi tika nosūtīti VARAM elektroniski pamatnostādņu projekta neoficiālas saskaņošanas laikā 2021.gada 10.maijā).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4F6D2BF" w14:textId="77777777" w:rsidR="00C0526B" w:rsidRPr="006F2F84" w:rsidRDefault="00C0526B" w:rsidP="00242E87">
            <w:pPr>
              <w:pStyle w:val="naisc"/>
              <w:spacing w:before="0" w:after="0"/>
              <w:jc w:val="both"/>
              <w:rPr>
                <w:b/>
                <w:bCs/>
              </w:rPr>
            </w:pPr>
            <w:r w:rsidRPr="006F2F84">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1BFFDA3B" w14:textId="77777777" w:rsidR="00C0526B" w:rsidRPr="009841AB" w:rsidRDefault="00C0526B" w:rsidP="00242E87">
            <w:r>
              <w:t>Lūdzu skatīt 5. sadaļu</w:t>
            </w:r>
          </w:p>
        </w:tc>
      </w:tr>
      <w:tr w:rsidR="00C0526B" w:rsidRPr="009841AB" w14:paraId="70277258"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2D7DA3D9" w14:textId="123E0B32" w:rsidR="00C0526B" w:rsidRPr="009841AB" w:rsidRDefault="00DC72A3" w:rsidP="00242E87">
            <w:pPr>
              <w:pStyle w:val="naisc"/>
              <w:spacing w:before="0" w:after="0"/>
            </w:pPr>
            <w:r>
              <w:t>565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80389FB" w14:textId="77777777" w:rsidR="00C0526B" w:rsidRPr="009841AB" w:rsidRDefault="00C0526B" w:rsidP="00242E87">
            <w:pPr>
              <w:pStyle w:val="naisc"/>
              <w:spacing w:before="0" w:after="0"/>
              <w:jc w:val="left"/>
            </w:pPr>
            <w:r>
              <w:t>3.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AD14D55" w14:textId="77777777" w:rsidR="00C0526B" w:rsidRPr="009841AB" w:rsidRDefault="00C0526B" w:rsidP="00242E87">
            <w:pPr>
              <w:tabs>
                <w:tab w:val="left" w:pos="720"/>
              </w:tabs>
              <w:contextualSpacing/>
              <w:jc w:val="both"/>
              <w:rPr>
                <w:lang w:eastAsia="en-US"/>
              </w:rPr>
            </w:pPr>
            <w:r w:rsidRPr="000F48DA">
              <w:rPr>
                <w:lang w:eastAsia="en-US"/>
              </w:rPr>
              <w:t>3.</w:t>
            </w:r>
            <w:r w:rsidRPr="000F48DA">
              <w:rPr>
                <w:lang w:eastAsia="en-US"/>
              </w:rPr>
              <w:tab/>
              <w:t xml:space="preserve">Lūdzam atkārtoti </w:t>
            </w:r>
            <w:r w:rsidRPr="00226709">
              <w:rPr>
                <w:lang w:eastAsia="en-US"/>
              </w:rPr>
              <w:t xml:space="preserve">pārskatīt pamatnostādņu projekta 3.pielikumā 4.3.1.1.-2 uzdevumam “Nodrošināta pasīvā infrastruktūra 5G mobilo sakaru tīkla izvēršanai Rail </w:t>
            </w:r>
            <w:proofErr w:type="spellStart"/>
            <w:r w:rsidRPr="00226709">
              <w:rPr>
                <w:lang w:eastAsia="en-US"/>
              </w:rPr>
              <w:t>Baltica</w:t>
            </w:r>
            <w:proofErr w:type="spellEnd"/>
            <w:r w:rsidRPr="00226709">
              <w:rPr>
                <w:lang w:eastAsia="en-US"/>
              </w:rPr>
              <w:t xml:space="preserve"> dzelzceļa līnijas trasē” norādīto finansējuma apmēru kopā un sadalījumā pa gadiem atbilstoši Satiksmes ministrijas precizētajam pamatnostādņu projektam “Transporta attīstības pamatnostādnes 2021.-2027. gadam”</w:t>
            </w:r>
            <w:r w:rsidRPr="000F48DA">
              <w:rPr>
                <w:lang w:eastAsia="en-US"/>
              </w:rPr>
              <w:t xml:space="preserve"> un tā 5.pielikumā sniegtajai informācijai (no Satiksmes ministrijas 2021.gada 10.maijā saskaņošanai saņemtajā pamatnostādņu projekta “Transporta attīstības pamatnostādnes 2021.-2027. gadam” 5.pielikumā pasākumam “Nodrošināt pasīvo infrastruktūru 5G mobilo sakaru tīkla izvēršanai Rail </w:t>
            </w:r>
            <w:proofErr w:type="spellStart"/>
            <w:r w:rsidRPr="000F48DA">
              <w:rPr>
                <w:lang w:eastAsia="en-US"/>
              </w:rPr>
              <w:t>Baltica</w:t>
            </w:r>
            <w:proofErr w:type="spellEnd"/>
            <w:r w:rsidRPr="000F48DA">
              <w:rPr>
                <w:lang w:eastAsia="en-US"/>
              </w:rPr>
              <w:t xml:space="preserve"> dzelzceļa līnijas trasē” nepieciešamais Eiropas Savienības politiku instrumentu un pārējās ārvalstu finanšu palīdzības līdzfinansēto projektu un pasākumu īstenošanas finansējums ik gadu ir 1 653 000 EUR, </w:t>
            </w:r>
            <w:r w:rsidRPr="000F48DA">
              <w:rPr>
                <w:lang w:eastAsia="en-US"/>
              </w:rPr>
              <w:lastRenderedPageBreak/>
              <w:t>attiecīgi periodā no 2022.-2026.gadam kopsummā veidojot 8 265 000 EUR).</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A9085FA" w14:textId="77777777" w:rsidR="00C0526B" w:rsidRDefault="00C0526B" w:rsidP="00242E87">
            <w:pPr>
              <w:pStyle w:val="naisc"/>
              <w:spacing w:before="0" w:after="0"/>
              <w:jc w:val="both"/>
              <w:rPr>
                <w:b/>
                <w:bCs/>
              </w:rPr>
            </w:pPr>
            <w:r w:rsidRPr="008B7EE4">
              <w:rPr>
                <w:b/>
                <w:bCs/>
              </w:rPr>
              <w:lastRenderedPageBreak/>
              <w:t>Ņemts vērā</w:t>
            </w:r>
          </w:p>
          <w:p w14:paraId="7570A853" w14:textId="77777777" w:rsidR="00C0526B" w:rsidRDefault="00C0526B" w:rsidP="00242E87">
            <w:pPr>
              <w:pStyle w:val="naisc"/>
              <w:spacing w:before="0" w:after="0"/>
              <w:jc w:val="both"/>
            </w:pPr>
            <w:r w:rsidRPr="00556FAD">
              <w:t>Precizēts atbilstoši SM iesūtītajai aktuālajai informācijai.</w:t>
            </w:r>
            <w:r>
              <w:t xml:space="preserve"> Kopsumma atbilst FM norādītajai, bet sadalījumā pa gadiem VARAM ņēmis vērā SM atsūtīto.</w:t>
            </w:r>
          </w:p>
          <w:p w14:paraId="7DF6768E" w14:textId="77777777" w:rsidR="00C0526B" w:rsidRPr="00556FAD" w:rsidRDefault="00C0526B" w:rsidP="00242E87">
            <w:pPr>
              <w:pStyle w:val="naisc"/>
              <w:spacing w:before="0" w:after="0"/>
              <w:jc w:val="both"/>
            </w:pPr>
          </w:p>
        </w:tc>
        <w:tc>
          <w:tcPr>
            <w:tcW w:w="3504" w:type="dxa"/>
            <w:gridSpan w:val="2"/>
            <w:tcBorders>
              <w:top w:val="single" w:sz="4" w:space="0" w:color="auto"/>
              <w:left w:val="single" w:sz="4" w:space="0" w:color="auto"/>
              <w:bottom w:val="single" w:sz="4" w:space="0" w:color="auto"/>
            </w:tcBorders>
            <w:shd w:val="clear" w:color="auto" w:fill="auto"/>
          </w:tcPr>
          <w:p w14:paraId="732F0FE8" w14:textId="77777777" w:rsidR="00C0526B" w:rsidRDefault="00C0526B" w:rsidP="00242E87">
            <w:r>
              <w:t>Lūdzu skatīt. 3. pielikumu</w:t>
            </w:r>
          </w:p>
          <w:p w14:paraId="6F822DE4" w14:textId="77777777" w:rsidR="00C0526B" w:rsidRPr="009841AB" w:rsidRDefault="00C0526B" w:rsidP="00242E87"/>
        </w:tc>
      </w:tr>
      <w:tr w:rsidR="00C0526B" w:rsidRPr="009841AB" w14:paraId="3D93767A"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345A972D" w14:textId="7D8C96A7" w:rsidR="00C0526B" w:rsidRPr="009841AB" w:rsidRDefault="00DC72A3" w:rsidP="00242E87">
            <w:pPr>
              <w:pStyle w:val="naisc"/>
              <w:spacing w:before="0" w:after="0"/>
            </w:pPr>
            <w:r>
              <w:t>566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26660E8" w14:textId="77777777" w:rsidR="00C0526B" w:rsidRPr="009841AB" w:rsidRDefault="00C0526B" w:rsidP="00242E87">
            <w:pPr>
              <w:pStyle w:val="naisc"/>
              <w:spacing w:before="0" w:after="0"/>
              <w:jc w:val="left"/>
            </w:pPr>
            <w:r>
              <w:t>3.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CA069A9" w14:textId="77777777" w:rsidR="00C0526B" w:rsidRPr="009841AB" w:rsidRDefault="00C0526B" w:rsidP="00242E87">
            <w:pPr>
              <w:tabs>
                <w:tab w:val="left" w:pos="720"/>
              </w:tabs>
              <w:contextualSpacing/>
              <w:jc w:val="both"/>
              <w:rPr>
                <w:lang w:eastAsia="en-US"/>
              </w:rPr>
            </w:pPr>
            <w:r w:rsidRPr="000F48DA">
              <w:rPr>
                <w:lang w:eastAsia="en-US"/>
              </w:rPr>
              <w:t>4.</w:t>
            </w:r>
            <w:r w:rsidRPr="000F48DA">
              <w:rPr>
                <w:lang w:eastAsia="en-US"/>
              </w:rPr>
              <w:tab/>
              <w:t xml:space="preserve">Lūdzam pamatnostādņu projekta </w:t>
            </w:r>
            <w:r w:rsidRPr="00226709">
              <w:rPr>
                <w:lang w:eastAsia="en-US"/>
              </w:rPr>
              <w:t>3.pielikumā pārskatīt formulas, kas aprēķina nepieciešamā finansējuma kopsummas ailē “Summa” un sadalījumā pa gadiem “Nepieciešamais papildu finansējums”,</w:t>
            </w:r>
            <w:r w:rsidRPr="000F48DA">
              <w:rPr>
                <w:lang w:eastAsia="en-US"/>
              </w:rPr>
              <w:t xml:space="preserve"> atbilstoši nosūtītajā 3.pielikumā violetā krāsā iezīmētajām pārbaudes formulām (sk. pielikumā).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102803E" w14:textId="77777777" w:rsidR="00C0526B" w:rsidRDefault="00C0526B" w:rsidP="00242E87">
            <w:pPr>
              <w:pStyle w:val="naisc"/>
              <w:spacing w:before="0" w:after="0"/>
              <w:jc w:val="both"/>
              <w:rPr>
                <w:b/>
                <w:bCs/>
              </w:rPr>
            </w:pPr>
            <w:r w:rsidRPr="00650FFC">
              <w:rPr>
                <w:b/>
                <w:bCs/>
              </w:rPr>
              <w:t>Ņemts vērā</w:t>
            </w:r>
            <w:r>
              <w:rPr>
                <w:b/>
                <w:bCs/>
              </w:rPr>
              <w:t xml:space="preserve"> </w:t>
            </w:r>
          </w:p>
          <w:p w14:paraId="47FE8A23" w14:textId="77777777" w:rsidR="00C0526B" w:rsidRDefault="00C0526B" w:rsidP="00242E87">
            <w:pPr>
              <w:pStyle w:val="naisc"/>
              <w:spacing w:before="0" w:after="0"/>
              <w:jc w:val="both"/>
            </w:pPr>
            <w:r>
              <w:t>Koriģēts, pievienotas pārbaudes kolonnas.</w:t>
            </w:r>
          </w:p>
          <w:p w14:paraId="0B0642B9" w14:textId="77777777" w:rsidR="00C0526B" w:rsidRPr="00650FFC" w:rsidRDefault="00C0526B" w:rsidP="00242E87">
            <w:pPr>
              <w:pStyle w:val="naisc"/>
              <w:spacing w:before="0" w:after="0"/>
              <w:jc w:val="both"/>
            </w:pPr>
          </w:p>
        </w:tc>
        <w:tc>
          <w:tcPr>
            <w:tcW w:w="3504" w:type="dxa"/>
            <w:gridSpan w:val="2"/>
            <w:tcBorders>
              <w:top w:val="single" w:sz="4" w:space="0" w:color="auto"/>
              <w:left w:val="single" w:sz="4" w:space="0" w:color="auto"/>
              <w:bottom w:val="single" w:sz="4" w:space="0" w:color="auto"/>
            </w:tcBorders>
            <w:shd w:val="clear" w:color="auto" w:fill="auto"/>
          </w:tcPr>
          <w:p w14:paraId="0A3A7D2A" w14:textId="77777777" w:rsidR="00C0526B" w:rsidRDefault="00C0526B" w:rsidP="00242E87">
            <w:r>
              <w:t>Lūdzu skatīt. 3. pielikumu</w:t>
            </w:r>
          </w:p>
          <w:p w14:paraId="00E07274" w14:textId="77777777" w:rsidR="00C0526B" w:rsidRPr="009841AB" w:rsidRDefault="00C0526B" w:rsidP="00242E87"/>
        </w:tc>
      </w:tr>
      <w:tr w:rsidR="00C0526B" w:rsidRPr="009841AB" w14:paraId="0A3E034B"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5D34F1D9" w14:textId="42BCBB7D" w:rsidR="00C0526B" w:rsidRPr="009841AB" w:rsidRDefault="00DC72A3" w:rsidP="00242E87">
            <w:pPr>
              <w:pStyle w:val="naisc"/>
              <w:spacing w:before="0" w:after="0"/>
            </w:pPr>
            <w:r>
              <w:t>567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32EFABB" w14:textId="77777777" w:rsidR="00C0526B" w:rsidRPr="009841AB" w:rsidRDefault="00C0526B" w:rsidP="00242E87">
            <w:pPr>
              <w:pStyle w:val="naisc"/>
              <w:spacing w:before="0" w:after="0"/>
              <w:jc w:val="left"/>
            </w:pPr>
            <w:r>
              <w:t>4.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C55BD29" w14:textId="77777777" w:rsidR="00C0526B" w:rsidRPr="009841AB" w:rsidRDefault="00C0526B" w:rsidP="00242E87">
            <w:pPr>
              <w:tabs>
                <w:tab w:val="left" w:pos="720"/>
              </w:tabs>
              <w:contextualSpacing/>
              <w:jc w:val="both"/>
              <w:rPr>
                <w:lang w:eastAsia="en-US"/>
              </w:rPr>
            </w:pPr>
            <w:r w:rsidRPr="000F48DA">
              <w:rPr>
                <w:lang w:eastAsia="en-US"/>
              </w:rPr>
              <w:t>5.</w:t>
            </w:r>
            <w:r w:rsidRPr="000F48DA">
              <w:rPr>
                <w:lang w:eastAsia="en-US"/>
              </w:rPr>
              <w:tab/>
            </w:r>
            <w:r w:rsidRPr="003D271C">
              <w:rPr>
                <w:lang w:eastAsia="en-US"/>
              </w:rPr>
              <w:t xml:space="preserve">Lūdzam svītrot 4. pielikumā 4.4.3. Rīcības virziens: Finanses un nodokļi sadaļā Inovatīva un efektīva maksājumu infrastruktūra teikumu “Šobrīd Finanšu sektora attīstības plāna 2021.–2023. gadam 2.2.5. uzdevumā FM ir noteikts pienākums veicināt nacionālās e-rēķinu un e-čeku infrastruktūras attīstību un tās salāgošanu ar maksājumu risinājumiem, t.sk. </w:t>
            </w:r>
            <w:proofErr w:type="spellStart"/>
            <w:r w:rsidRPr="003D271C">
              <w:rPr>
                <w:lang w:eastAsia="en-US"/>
              </w:rPr>
              <w:t>zibprasījumiem</w:t>
            </w:r>
            <w:proofErr w:type="spellEnd"/>
            <w:r w:rsidRPr="003D271C">
              <w:rPr>
                <w:lang w:eastAsia="en-US"/>
              </w:rPr>
              <w:t xml:space="preserve">.” 10. punkts ir izrauts no Finanšu sektora attīstības plāna rīcības virziena </w:t>
            </w:r>
            <w:proofErr w:type="spellStart"/>
            <w:r w:rsidRPr="003D271C">
              <w:rPr>
                <w:lang w:eastAsia="en-US"/>
              </w:rPr>
              <w:t>Digitalizācija</w:t>
            </w:r>
            <w:proofErr w:type="spellEnd"/>
            <w:r w:rsidRPr="000F48DA">
              <w:rPr>
                <w:lang w:eastAsia="en-US"/>
              </w:rPr>
              <w:t xml:space="preserve"> un inovatīva pakalpojumu pieejamība iekļauto pasākumu secības un attīstības laikā. </w:t>
            </w:r>
            <w:r w:rsidRPr="003D271C">
              <w:rPr>
                <w:lang w:eastAsia="en-US"/>
              </w:rPr>
              <w:t>Ja VARAM saskata nepieciešamību iekļaut pasākumus no Finanšu sektora attīstības plāna, tad ir nepieciešams iekļaut visus pasākumus,</w:t>
            </w:r>
            <w:r w:rsidRPr="000F48DA">
              <w:rPr>
                <w:lang w:eastAsia="en-US"/>
              </w:rPr>
              <w:t xml:space="preserve"> kas iekļauti šajā Finanšu sektora attīstības plāna rīcības virzienā, kā arī atbilstoši neformālajā saskaņošanas sanāksmē runātajam, tad 2.2.5. uzdevumam kā atbildīgā iestāde ir jānorāda VARAM, savukārt FM var tikt norādīta kā viena no līdzatbildīgajām iestādēm.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046B6F2" w14:textId="77777777" w:rsidR="00C0526B" w:rsidRPr="00A024BB" w:rsidRDefault="00C0526B" w:rsidP="00242E87">
            <w:pPr>
              <w:pStyle w:val="naisc"/>
              <w:spacing w:before="0" w:after="0"/>
              <w:jc w:val="both"/>
              <w:rPr>
                <w:b/>
                <w:bCs/>
              </w:rPr>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03E52EB8" w14:textId="77777777" w:rsidR="00C0526B" w:rsidRPr="009841AB" w:rsidRDefault="00C0526B" w:rsidP="00242E87">
            <w:r>
              <w:t>Lūdzu skatīt 4. pielikumu</w:t>
            </w:r>
          </w:p>
        </w:tc>
      </w:tr>
      <w:tr w:rsidR="00C0526B" w:rsidRPr="009841AB" w14:paraId="2E071A9F"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810FB70" w14:textId="77777777" w:rsidR="00C0526B" w:rsidRPr="009841AB" w:rsidRDefault="00C0526B" w:rsidP="00242E87">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E8AAB17" w14:textId="77777777" w:rsidR="00C0526B" w:rsidRPr="009841AB" w:rsidRDefault="00C0526B" w:rsidP="00242E8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8D25C0E" w14:textId="77777777" w:rsidR="00C0526B" w:rsidRPr="000F48DA" w:rsidRDefault="00C0526B" w:rsidP="00242E87">
            <w:pPr>
              <w:tabs>
                <w:tab w:val="left" w:pos="720"/>
              </w:tabs>
              <w:contextualSpacing/>
              <w:jc w:val="both"/>
              <w:rPr>
                <w:b/>
                <w:bCs/>
                <w:lang w:eastAsia="en-US"/>
              </w:rPr>
            </w:pPr>
            <w:r w:rsidRPr="000F48DA">
              <w:rPr>
                <w:b/>
                <w:bCs/>
                <w:lang w:eastAsia="en-U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92288F6" w14:textId="77777777" w:rsidR="00C0526B" w:rsidRPr="009841AB" w:rsidRDefault="00C0526B" w:rsidP="00242E87">
            <w:pPr>
              <w:pStyle w:val="naisc"/>
              <w:spacing w:before="0" w:after="0"/>
              <w:jc w:val="both"/>
            </w:pPr>
          </w:p>
        </w:tc>
        <w:tc>
          <w:tcPr>
            <w:tcW w:w="3504" w:type="dxa"/>
            <w:gridSpan w:val="2"/>
            <w:tcBorders>
              <w:top w:val="single" w:sz="4" w:space="0" w:color="auto"/>
              <w:left w:val="single" w:sz="4" w:space="0" w:color="auto"/>
              <w:bottom w:val="single" w:sz="4" w:space="0" w:color="auto"/>
            </w:tcBorders>
            <w:shd w:val="clear" w:color="auto" w:fill="auto"/>
          </w:tcPr>
          <w:p w14:paraId="7CED1337" w14:textId="77777777" w:rsidR="00C0526B" w:rsidRPr="009841AB" w:rsidRDefault="00C0526B" w:rsidP="00242E87"/>
        </w:tc>
      </w:tr>
      <w:tr w:rsidR="00C0526B" w:rsidRPr="009841AB" w14:paraId="048589E0"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61950021" w14:textId="1FE077F4" w:rsidR="00C0526B" w:rsidRPr="009841AB" w:rsidRDefault="00DC72A3" w:rsidP="00242E87">
            <w:pPr>
              <w:pStyle w:val="naisc"/>
              <w:spacing w:before="0" w:after="0"/>
            </w:pPr>
            <w:r>
              <w:t>568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C32DEF0" w14:textId="77777777" w:rsidR="00C0526B" w:rsidRPr="009841AB" w:rsidRDefault="00C0526B" w:rsidP="00242E8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69F54B6" w14:textId="77777777" w:rsidR="00C0526B" w:rsidRPr="009841AB" w:rsidRDefault="00C0526B" w:rsidP="00242E87">
            <w:pPr>
              <w:tabs>
                <w:tab w:val="left" w:pos="720"/>
              </w:tabs>
              <w:contextualSpacing/>
              <w:jc w:val="both"/>
              <w:rPr>
                <w:lang w:eastAsia="en-US"/>
              </w:rPr>
            </w:pPr>
            <w:r w:rsidRPr="000F48DA">
              <w:rPr>
                <w:lang w:eastAsia="en-US"/>
              </w:rPr>
              <w:t>1.</w:t>
            </w:r>
            <w:r w:rsidRPr="000F48DA">
              <w:rPr>
                <w:lang w:eastAsia="en-US"/>
              </w:rPr>
              <w:tab/>
              <w:t xml:space="preserve">Ņemot vērā 2021. gada 7. maija VARAM un Finanšu ministrijas sanāksmē panākto vienošanos attiecībā uz Kompetences centru (turpmāk – KC) jēdziena lietošanu pamatnostādņu tekstā, lūdzam vēlreiz caurskatīt dokumenta redakciju un </w:t>
            </w:r>
            <w:r w:rsidRPr="00435511">
              <w:rPr>
                <w:lang w:eastAsia="en-US"/>
              </w:rPr>
              <w:t>izlabot KC terminu visās sadaļās, kur tas ir nepieciešams</w:t>
            </w:r>
            <w:r w:rsidRPr="000F48DA">
              <w:rPr>
                <w:lang w:eastAsia="en-US"/>
              </w:rPr>
              <w: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9819473" w14:textId="77777777" w:rsidR="00C0526B" w:rsidRPr="009841AB" w:rsidRDefault="00C0526B" w:rsidP="00242E87">
            <w:pPr>
              <w:pStyle w:val="naisc"/>
              <w:spacing w:before="0" w:after="0"/>
              <w:jc w:val="left"/>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1B28BA73" w14:textId="77777777" w:rsidR="00C0526B" w:rsidRPr="009841AB" w:rsidRDefault="00C0526B" w:rsidP="00242E87"/>
        </w:tc>
      </w:tr>
      <w:tr w:rsidR="00C0526B" w:rsidRPr="009841AB" w14:paraId="52F8C95B"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1206FD6A" w14:textId="389FA3E2" w:rsidR="00C0526B" w:rsidRPr="009841AB" w:rsidRDefault="00DC72A3" w:rsidP="00242E87">
            <w:pPr>
              <w:pStyle w:val="naisc"/>
              <w:spacing w:before="0" w:after="0"/>
            </w:pPr>
            <w:r>
              <w:lastRenderedPageBreak/>
              <w:t>569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1349756"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99E9130" w14:textId="77777777" w:rsidR="00C0526B" w:rsidRPr="009841AB" w:rsidRDefault="00C0526B" w:rsidP="00242E87">
            <w:pPr>
              <w:tabs>
                <w:tab w:val="left" w:pos="720"/>
              </w:tabs>
              <w:contextualSpacing/>
              <w:jc w:val="both"/>
              <w:rPr>
                <w:lang w:eastAsia="en-US"/>
              </w:rPr>
            </w:pPr>
            <w:r w:rsidRPr="000F48DA">
              <w:rPr>
                <w:lang w:eastAsia="en-US"/>
              </w:rPr>
              <w:t>2.</w:t>
            </w:r>
            <w:r w:rsidRPr="000F48DA">
              <w:rPr>
                <w:lang w:eastAsia="en-US"/>
              </w:rPr>
              <w:tab/>
            </w:r>
            <w:r w:rsidRPr="00BC1A8A">
              <w:rPr>
                <w:lang w:eastAsia="en-US"/>
              </w:rPr>
              <w:t>Lūdzam precizēt 4.4.3. Rīcības virziens: “Finanses un nodokļi” Vīzija sadaļā vārdu “ātrākā” uz “ātrāka”.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334BB32" w14:textId="77777777" w:rsidR="00C0526B" w:rsidRPr="00BC1A8A" w:rsidRDefault="00C0526B" w:rsidP="00242E87">
            <w:pPr>
              <w:pStyle w:val="naisc"/>
              <w:spacing w:before="0" w:after="0"/>
              <w:jc w:val="both"/>
              <w:rPr>
                <w:b/>
                <w:bCs/>
              </w:rPr>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78FE686B" w14:textId="77777777" w:rsidR="00C0526B" w:rsidRPr="009841AB" w:rsidRDefault="00C0526B" w:rsidP="00242E87">
            <w:r>
              <w:t>Lūdzu skatīt 4.4. sadaļu</w:t>
            </w:r>
          </w:p>
        </w:tc>
      </w:tr>
      <w:tr w:rsidR="00C0526B" w:rsidRPr="009841AB" w14:paraId="2D849332"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2D5184E5" w14:textId="03D29CD7" w:rsidR="00C0526B" w:rsidRPr="009841AB" w:rsidRDefault="00DC72A3" w:rsidP="00242E87">
            <w:pPr>
              <w:pStyle w:val="naisc"/>
              <w:spacing w:before="0" w:after="0"/>
            </w:pPr>
            <w:r>
              <w:t>570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B64210E"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B54E416" w14:textId="77777777" w:rsidR="00C0526B" w:rsidRPr="009841AB" w:rsidRDefault="00C0526B" w:rsidP="00242E87">
            <w:pPr>
              <w:tabs>
                <w:tab w:val="left" w:pos="720"/>
              </w:tabs>
              <w:contextualSpacing/>
              <w:jc w:val="both"/>
              <w:rPr>
                <w:lang w:eastAsia="en-US"/>
              </w:rPr>
            </w:pPr>
            <w:r w:rsidRPr="009B4BE7">
              <w:rPr>
                <w:lang w:eastAsia="en-US"/>
              </w:rPr>
              <w:t>3.</w:t>
            </w:r>
            <w:r w:rsidRPr="009B4BE7">
              <w:rPr>
                <w:lang w:eastAsia="en-US"/>
              </w:rPr>
              <w:tab/>
              <w:t xml:space="preserve">Pie “Inovatīva un efektīva maksājumu infrastruktūra” nepieciešamās rīcības lūdzam teikumu “Finanšu </w:t>
            </w:r>
            <w:proofErr w:type="spellStart"/>
            <w:r w:rsidRPr="009B4BE7">
              <w:rPr>
                <w:lang w:eastAsia="en-US"/>
              </w:rPr>
              <w:t>digitalizācija</w:t>
            </w:r>
            <w:proofErr w:type="spellEnd"/>
            <w:r w:rsidRPr="009B4BE7">
              <w:rPr>
                <w:lang w:eastAsia="en-US"/>
              </w:rPr>
              <w:t xml:space="preserve"> ir skatāma kontekstā ar Finanšu sektora attīstības plāna 2021.–2023. gadam 2.2.4. un 2.2.5. uzdevumiem.” aizstāt ar teikumu “Finanšu </w:t>
            </w:r>
            <w:proofErr w:type="spellStart"/>
            <w:r w:rsidRPr="009B4BE7">
              <w:rPr>
                <w:lang w:eastAsia="en-US"/>
              </w:rPr>
              <w:t>digitalizācija</w:t>
            </w:r>
            <w:proofErr w:type="spellEnd"/>
            <w:r w:rsidRPr="009B4BE7">
              <w:rPr>
                <w:lang w:eastAsia="en-US"/>
              </w:rPr>
              <w:t xml:space="preserve"> ir skatāma kontekstā ar Finanšu sektora attīstības plāna 2021.–2023. gadam rīcības virzienu </w:t>
            </w:r>
            <w:proofErr w:type="spellStart"/>
            <w:r w:rsidRPr="009B4BE7">
              <w:rPr>
                <w:lang w:eastAsia="en-US"/>
              </w:rPr>
              <w:t>Digitalizācija</w:t>
            </w:r>
            <w:proofErr w:type="spellEnd"/>
            <w:r w:rsidRPr="009B4BE7">
              <w:rPr>
                <w:lang w:eastAsia="en-US"/>
              </w:rPr>
              <w:t xml:space="preserve"> un inovatīvu pakalpojumu pieejamība.”.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2BEFD34" w14:textId="77777777" w:rsidR="00C0526B" w:rsidRPr="009B4BE7" w:rsidRDefault="00C0526B" w:rsidP="00242E87">
            <w:pPr>
              <w:pStyle w:val="naisc"/>
              <w:spacing w:before="0" w:after="0"/>
              <w:jc w:val="both"/>
              <w:rPr>
                <w:b/>
                <w:bCs/>
              </w:rPr>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34048C3B" w14:textId="77777777" w:rsidR="00C0526B" w:rsidRPr="009841AB" w:rsidRDefault="00C0526B" w:rsidP="00242E87">
            <w:r>
              <w:t>Lūdzu skatīt 4.4. sadaļu</w:t>
            </w:r>
          </w:p>
        </w:tc>
      </w:tr>
      <w:tr w:rsidR="00C0526B" w:rsidRPr="009841AB" w14:paraId="79530048"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520F9DE2" w14:textId="6FB50199" w:rsidR="00C0526B" w:rsidRDefault="00DC72A3" w:rsidP="00242E87">
            <w:pPr>
              <w:pStyle w:val="naisc"/>
              <w:spacing w:before="0" w:after="0"/>
            </w:pPr>
            <w:r>
              <w:t>571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C28D433" w14:textId="77777777" w:rsidR="00C0526B" w:rsidRPr="009841AB" w:rsidRDefault="00C0526B" w:rsidP="00242E87">
            <w:pPr>
              <w:pStyle w:val="naisc"/>
              <w:spacing w:before="0" w:after="0"/>
              <w:jc w:val="left"/>
            </w:pPr>
            <w:r>
              <w:t>4.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5616DFD" w14:textId="77777777" w:rsidR="00C0526B" w:rsidRPr="000F48DA" w:rsidRDefault="00C0526B" w:rsidP="00242E87">
            <w:pPr>
              <w:tabs>
                <w:tab w:val="left" w:pos="720"/>
              </w:tabs>
              <w:contextualSpacing/>
              <w:jc w:val="both"/>
              <w:rPr>
                <w:lang w:eastAsia="en-US"/>
              </w:rPr>
            </w:pPr>
            <w:r w:rsidRPr="00A2793F">
              <w:rPr>
                <w:lang w:eastAsia="en-US"/>
              </w:rPr>
              <w:t>4.</w:t>
            </w:r>
            <w:r w:rsidRPr="00A2793F">
              <w:rPr>
                <w:lang w:eastAsia="en-US"/>
              </w:rPr>
              <w:tab/>
              <w:t xml:space="preserve">Lūdzam </w:t>
            </w:r>
            <w:r w:rsidRPr="008E65B6">
              <w:rPr>
                <w:lang w:eastAsia="en-US"/>
              </w:rPr>
              <w:t xml:space="preserve">precizēt 4. pielikumā 4.4.3. Rīcības virziens: “Finanses un nodokļi” </w:t>
            </w:r>
            <w:proofErr w:type="spellStart"/>
            <w:r w:rsidRPr="008E65B6">
              <w:rPr>
                <w:lang w:eastAsia="en-US"/>
              </w:rPr>
              <w:t>apakšsadaļas</w:t>
            </w:r>
            <w:proofErr w:type="spellEnd"/>
            <w:r w:rsidRPr="008E65B6">
              <w:rPr>
                <w:lang w:eastAsia="en-US"/>
              </w:rPr>
              <w:t xml:space="preserve"> nosaukumu no “Digitālo finanšu aktīvu attīstība” uz “Digitālo finanšu aktīvu, datu apmaiņas attīstība”.</w:t>
            </w:r>
            <w:r w:rsidRPr="00A2793F">
              <w:rPr>
                <w:lang w:eastAsia="en-US"/>
              </w:rPr>
              <w:t xml:space="preserve"> Kā arī teikumā “Strauji attīstās privātie digitālie finanšu virtuālie aktīvi, kas atsevišķajos gadījumos potenciāli mēdz radīt izaicinājumus valsts un starptautisko maksājumu sistēmu suverenitātei vai veidot riskus efektīvai monetārās politikai transmisijai un vispārējai finanšu stabilitātei.” vārdu “politikai” aizstāt ar “politikas”. Lūdzam vārdus “</w:t>
            </w:r>
            <w:proofErr w:type="spellStart"/>
            <w:r w:rsidRPr="00A2793F">
              <w:rPr>
                <w:lang w:eastAsia="en-US"/>
              </w:rPr>
              <w:t>be</w:t>
            </w:r>
            <w:proofErr w:type="spellEnd"/>
            <w:r w:rsidRPr="00A2793F">
              <w:rPr>
                <w:lang w:eastAsia="en-US"/>
              </w:rPr>
              <w:t xml:space="preserve"> </w:t>
            </w:r>
            <w:proofErr w:type="spellStart"/>
            <w:r w:rsidRPr="00A2793F">
              <w:rPr>
                <w:lang w:eastAsia="en-US"/>
              </w:rPr>
              <w:t>trešas</w:t>
            </w:r>
            <w:proofErr w:type="spellEnd"/>
            <w:r w:rsidRPr="00A2793F">
              <w:rPr>
                <w:lang w:eastAsia="en-US"/>
              </w:rPr>
              <w:t xml:space="preserve"> puses” aizstāt ar “bez trešās puses”, “naudas paskaitījumiem” aizstāt ar “naudas </w:t>
            </w:r>
            <w:proofErr w:type="spellStart"/>
            <w:r w:rsidRPr="00A2793F">
              <w:rPr>
                <w:lang w:eastAsia="en-US"/>
              </w:rPr>
              <w:t>pārskaitījumiem</w:t>
            </w:r>
            <w:proofErr w:type="spellEnd"/>
            <w:r w:rsidRPr="00A2793F">
              <w:rPr>
                <w:lang w:eastAsia="en-US"/>
              </w:rPr>
              <w:t xml:space="preserve">”, “uzņēmumu iniciatīvam” aizstāt ar “uzņēmumu iniciatīvām”, “šādās būtiskas” aizstāt ar “šādas būtiskas”. Lūdzam </w:t>
            </w:r>
            <w:proofErr w:type="spellStart"/>
            <w:r w:rsidRPr="00A2793F">
              <w:rPr>
                <w:lang w:eastAsia="en-US"/>
              </w:rPr>
              <w:t>apakšsadaļā</w:t>
            </w:r>
            <w:proofErr w:type="spellEnd"/>
            <w:r w:rsidRPr="00A2793F">
              <w:rPr>
                <w:lang w:eastAsia="en-US"/>
              </w:rPr>
              <w:t xml:space="preserve"> Finanšu dokumentu </w:t>
            </w:r>
            <w:proofErr w:type="spellStart"/>
            <w:r w:rsidRPr="00A2793F">
              <w:rPr>
                <w:lang w:eastAsia="en-US"/>
              </w:rPr>
              <w:t>maiņvieta</w:t>
            </w:r>
            <w:proofErr w:type="spellEnd"/>
            <w:r w:rsidRPr="00A2793F">
              <w:rPr>
                <w:lang w:eastAsia="en-US"/>
              </w:rPr>
              <w:t xml:space="preserve"> vārdu “</w:t>
            </w:r>
            <w:proofErr w:type="spellStart"/>
            <w:r w:rsidRPr="00A2793F">
              <w:rPr>
                <w:lang w:eastAsia="en-US"/>
              </w:rPr>
              <w:t>finnašu</w:t>
            </w:r>
            <w:proofErr w:type="spellEnd"/>
            <w:r w:rsidRPr="00A2793F">
              <w:rPr>
                <w:lang w:eastAsia="en-US"/>
              </w:rPr>
              <w:t>” aizstāt ar “finanšu”, “banka” aizstāt ar “kredītiestāde”, “</w:t>
            </w:r>
            <w:proofErr w:type="spellStart"/>
            <w:r w:rsidRPr="00A2793F">
              <w:rPr>
                <w:lang w:eastAsia="en-US"/>
              </w:rPr>
              <w:t>nodrošinas</w:t>
            </w:r>
            <w:proofErr w:type="spellEnd"/>
            <w:r w:rsidRPr="00A2793F">
              <w:rPr>
                <w:lang w:eastAsia="en-US"/>
              </w:rPr>
              <w:t xml:space="preserve">” ar vārdu “nodrošinās”, “uzņēmuma pašam” ar vārdiem “uzņēmumam pašam”, “samēra komplicēts” ar vārdiem “samērā sarežģīts”, “citām kontrolējošiem dienestiem” ar vārdiem “citām kontrolējošām iestādēm”, “fiziskam personām saimnieciskas darbības veicējam” ar vārdiem “fiziskām personām saimnieciskas darbības </w:t>
            </w:r>
            <w:r w:rsidRPr="00A2793F">
              <w:rPr>
                <w:lang w:eastAsia="en-US"/>
              </w:rPr>
              <w:lastRenderedPageBreak/>
              <w:t xml:space="preserve">veicējām”. Lūdzam </w:t>
            </w:r>
            <w:proofErr w:type="spellStart"/>
            <w:r w:rsidRPr="00A2793F">
              <w:rPr>
                <w:lang w:eastAsia="en-US"/>
              </w:rPr>
              <w:t>apakšsadaļā</w:t>
            </w:r>
            <w:proofErr w:type="spellEnd"/>
            <w:r w:rsidRPr="00A2793F">
              <w:rPr>
                <w:lang w:eastAsia="en-US"/>
              </w:rPr>
              <w:t xml:space="preserve"> Inovatīva un efektīva maksājumu infrastruktūra vārdus “Latvijas Bankas” aizstāt ar “Latvijas Banka”, “bankas” ar vārdu “kredītiestādes”, “š.g.” ar vārdiem “2020. gada”.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5C54500" w14:textId="77777777" w:rsidR="00C0526B" w:rsidRPr="008E65B6" w:rsidRDefault="00C0526B" w:rsidP="00242E87">
            <w:pPr>
              <w:pStyle w:val="naisc"/>
              <w:spacing w:before="0" w:after="0"/>
              <w:jc w:val="both"/>
              <w:rPr>
                <w:b/>
              </w:rPr>
            </w:pPr>
            <w:r>
              <w:rPr>
                <w:b/>
                <w:bCs/>
              </w:rPr>
              <w:lastRenderedPageBreak/>
              <w:t>Ņemts vērā</w:t>
            </w:r>
          </w:p>
        </w:tc>
        <w:tc>
          <w:tcPr>
            <w:tcW w:w="3504" w:type="dxa"/>
            <w:gridSpan w:val="2"/>
            <w:tcBorders>
              <w:top w:val="single" w:sz="4" w:space="0" w:color="auto"/>
              <w:left w:val="single" w:sz="4" w:space="0" w:color="auto"/>
              <w:bottom w:val="single" w:sz="4" w:space="0" w:color="auto"/>
            </w:tcBorders>
            <w:shd w:val="clear" w:color="auto" w:fill="auto"/>
          </w:tcPr>
          <w:p w14:paraId="7BF4CC6A" w14:textId="77777777" w:rsidR="00C0526B" w:rsidRPr="009841AB" w:rsidRDefault="00C0526B" w:rsidP="00242E87">
            <w:r>
              <w:t>Lūdzu skatīt 4. pielikumu</w:t>
            </w:r>
          </w:p>
        </w:tc>
      </w:tr>
      <w:tr w:rsidR="00C0526B" w:rsidRPr="009841AB" w14:paraId="119FA7F2"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03EBB14" w14:textId="40912AC8" w:rsidR="00C0526B" w:rsidRDefault="00DC72A3" w:rsidP="00242E87">
            <w:pPr>
              <w:pStyle w:val="naisc"/>
              <w:spacing w:before="0" w:after="0"/>
            </w:pPr>
            <w:r>
              <w:t>572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19B978E" w14:textId="77777777" w:rsidR="00C0526B" w:rsidRPr="009841AB" w:rsidRDefault="00C0526B" w:rsidP="00242E87">
            <w:pPr>
              <w:pStyle w:val="naisc"/>
              <w:spacing w:before="0" w:after="0"/>
              <w:jc w:val="left"/>
            </w:pPr>
            <w:r>
              <w:t>2.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911D949" w14:textId="77777777" w:rsidR="00C0526B" w:rsidRPr="000F48DA" w:rsidRDefault="00C0526B" w:rsidP="00242E87">
            <w:pPr>
              <w:tabs>
                <w:tab w:val="left" w:pos="720"/>
              </w:tabs>
              <w:contextualSpacing/>
              <w:jc w:val="both"/>
              <w:rPr>
                <w:lang w:eastAsia="en-US"/>
              </w:rPr>
            </w:pPr>
            <w:r w:rsidRPr="00A2793F">
              <w:rPr>
                <w:lang w:eastAsia="en-US"/>
              </w:rPr>
              <w:t>5.</w:t>
            </w:r>
            <w:r w:rsidRPr="00A2793F">
              <w:rPr>
                <w:lang w:eastAsia="en-US"/>
              </w:rPr>
              <w:tab/>
              <w:t xml:space="preserve">Saskaņā ar Izziņas </w:t>
            </w:r>
            <w:proofErr w:type="spellStart"/>
            <w:r w:rsidRPr="00A2793F">
              <w:rPr>
                <w:lang w:eastAsia="en-US"/>
              </w:rPr>
              <w:t>II.sadaļas</w:t>
            </w:r>
            <w:proofErr w:type="spellEnd"/>
            <w:r w:rsidRPr="00A2793F">
              <w:rPr>
                <w:lang w:eastAsia="en-US"/>
              </w:rPr>
              <w:t xml:space="preserve"> 481.punktu Finanšu ministrijas iebildums ir ņemts vērā un attiecīgi ir labota pamatnostādņu projekta 4.5.1. </w:t>
            </w:r>
            <w:proofErr w:type="spellStart"/>
            <w:r w:rsidRPr="00A2793F">
              <w:rPr>
                <w:lang w:eastAsia="en-US"/>
              </w:rPr>
              <w:t>apakšsadaļa</w:t>
            </w:r>
            <w:proofErr w:type="spellEnd"/>
            <w:r w:rsidRPr="00A2793F">
              <w:rPr>
                <w:lang w:eastAsia="en-US"/>
              </w:rPr>
              <w:t xml:space="preserve"> “Rīcības virziens: Cilvēkresursu un infrastruktūras attīstība digitālo inovāciju sekmēšanai” no uzdevuma U4.5.1.-1 „Veicināt valsts pārvaldes un komersantu izpratni un spējas Inovāciju iepirkuma pielietošanai” izslēdzot Iepirkumu uzraudzības biroju kā līdzatbildīgo institūciju. Ievērojot minēto, Finanšu ministrija lūdz </w:t>
            </w:r>
            <w:r w:rsidRPr="00885024">
              <w:rPr>
                <w:lang w:eastAsia="en-US"/>
              </w:rPr>
              <w:t>atbilstoši precizēt arī pamatnostādņu projekta 2.pielikuma “Rīcības virzieni un uzdevumi” 4.5.1.apakšsadaļas “Cilvēkresursu un infrastruktūras attīstība digitālo inovāciju sekmēšanai” uzdevumam 4.5.1.-1 “Veicināt valsts pārvaldes un komersantu izpratni un spējas Inovāciju iepirkuma pielietošanai” norādīto līdzatbildīgo institūciju sarakstu, izslēdzot no tā Iepirkumu uzraudzības biroju.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CC99E4C" w14:textId="77777777" w:rsidR="00C0526B" w:rsidRPr="009841A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6DCAA16C" w14:textId="77777777" w:rsidR="00C0526B" w:rsidRPr="009841AB" w:rsidRDefault="00C0526B" w:rsidP="00242E87">
            <w:r>
              <w:t>Lūdzu skatīt 2. pielikumu</w:t>
            </w:r>
          </w:p>
        </w:tc>
      </w:tr>
      <w:tr w:rsidR="00C0526B" w:rsidRPr="009841AB" w14:paraId="0D93AF3F" w14:textId="77777777" w:rsidTr="00242E87">
        <w:tc>
          <w:tcPr>
            <w:tcW w:w="14451" w:type="dxa"/>
            <w:gridSpan w:val="6"/>
            <w:tcBorders>
              <w:left w:val="single" w:sz="6" w:space="0" w:color="000000" w:themeColor="text1"/>
              <w:bottom w:val="single" w:sz="4" w:space="0" w:color="auto"/>
            </w:tcBorders>
            <w:shd w:val="clear" w:color="auto" w:fill="auto"/>
          </w:tcPr>
          <w:p w14:paraId="34FA9E32" w14:textId="77777777" w:rsidR="00C0526B" w:rsidRPr="009841AB" w:rsidRDefault="00C0526B" w:rsidP="00242E87">
            <w:r>
              <w:rPr>
                <w:b/>
                <w:bCs/>
                <w:lang w:eastAsia="en-US"/>
              </w:rPr>
              <w:t>Labklājības</w:t>
            </w:r>
            <w:r w:rsidRPr="009841AB">
              <w:rPr>
                <w:b/>
                <w:bCs/>
                <w:lang w:eastAsia="en-US"/>
              </w:rPr>
              <w:t xml:space="preserve"> ministrijas </w:t>
            </w:r>
            <w:r>
              <w:rPr>
                <w:b/>
                <w:bCs/>
                <w:lang w:eastAsia="en-US"/>
              </w:rPr>
              <w:t>14</w:t>
            </w:r>
            <w:r w:rsidRPr="009841AB">
              <w:rPr>
                <w:b/>
                <w:bCs/>
                <w:lang w:eastAsia="en-US"/>
              </w:rPr>
              <w:t>.0</w:t>
            </w:r>
            <w:r>
              <w:rPr>
                <w:b/>
                <w:bCs/>
                <w:lang w:eastAsia="en-US"/>
              </w:rPr>
              <w:t>5</w:t>
            </w:r>
            <w:r w:rsidRPr="009841AB">
              <w:rPr>
                <w:b/>
                <w:bCs/>
                <w:lang w:eastAsia="en-US"/>
              </w:rPr>
              <w:t>.2021. atzinums:</w:t>
            </w:r>
          </w:p>
        </w:tc>
      </w:tr>
      <w:tr w:rsidR="00C0526B" w:rsidRPr="009841AB" w14:paraId="4374F1CE"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5B6B782" w14:textId="279E1D77" w:rsidR="00C0526B" w:rsidRDefault="00DC72A3" w:rsidP="00242E87">
            <w:pPr>
              <w:pStyle w:val="naisc"/>
              <w:spacing w:before="0" w:after="0"/>
            </w:pPr>
            <w:r>
              <w:t>573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DAAFC32" w14:textId="77777777" w:rsidR="00C0526B" w:rsidRPr="009841AB" w:rsidRDefault="00C0526B" w:rsidP="00242E87">
            <w:pPr>
              <w:pStyle w:val="naisc"/>
              <w:spacing w:before="0" w:after="0"/>
              <w:jc w:val="left"/>
            </w:pPr>
            <w:r>
              <w:t>4.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39A01AD" w14:textId="77777777" w:rsidR="00C0526B" w:rsidRPr="000F48DA" w:rsidRDefault="00C0526B" w:rsidP="00242E87">
            <w:pPr>
              <w:tabs>
                <w:tab w:val="left" w:pos="720"/>
              </w:tabs>
              <w:contextualSpacing/>
              <w:jc w:val="both"/>
              <w:rPr>
                <w:lang w:eastAsia="en-US"/>
              </w:rPr>
            </w:pPr>
            <w:r>
              <w:rPr>
                <w:lang w:eastAsia="en-US"/>
              </w:rPr>
              <w:t xml:space="preserve">Informējam, ka uzturam spēkā š.g. 30.aprīlī sniegto Labklājības ministrijas iebildumu par </w:t>
            </w:r>
            <w:r w:rsidRPr="00E71B47">
              <w:rPr>
                <w:lang w:eastAsia="en-US"/>
              </w:rPr>
              <w:t>4.pielikuma 4.6.sadaļas precizēšanu.</w:t>
            </w:r>
            <w:r>
              <w:rPr>
                <w:lang w:eastAsia="en-US"/>
              </w:rPr>
              <w:t xml:space="preserve"> Atkārtoti lūdzam iestrādāt Labklājības ministrijas labotās teksta redakcijas, kas tika nosūtītas 30.aprīļa atzinumā pievienotajā failā.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63F18E5" w14:textId="77777777" w:rsidR="00C0526B" w:rsidRPr="00E71B47" w:rsidRDefault="00C0526B" w:rsidP="00242E87">
            <w:pPr>
              <w:pStyle w:val="naisc"/>
              <w:spacing w:before="0" w:after="0"/>
              <w:jc w:val="both"/>
              <w:rPr>
                <w:b/>
              </w:rPr>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1DAAFB3C" w14:textId="77777777" w:rsidR="00C0526B" w:rsidRPr="009841AB" w:rsidRDefault="00C0526B" w:rsidP="00242E87">
            <w:r>
              <w:t>Lūdzu skatīt 4. pielikumu</w:t>
            </w:r>
          </w:p>
        </w:tc>
      </w:tr>
      <w:tr w:rsidR="00C0526B" w:rsidRPr="009841AB" w14:paraId="0917C36E"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86D50D6" w14:textId="77777777" w:rsidR="00C0526B" w:rsidRDefault="00C0526B" w:rsidP="00242E87">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4C31C41" w14:textId="77777777" w:rsidR="00C0526B" w:rsidRPr="009841AB" w:rsidRDefault="00C0526B" w:rsidP="00242E8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C1F9C7E" w14:textId="77777777" w:rsidR="00C0526B" w:rsidRPr="00A2793F" w:rsidRDefault="00C0526B" w:rsidP="00242E87">
            <w:pPr>
              <w:tabs>
                <w:tab w:val="left" w:pos="720"/>
              </w:tabs>
              <w:contextualSpacing/>
              <w:jc w:val="both"/>
              <w:rPr>
                <w:b/>
                <w:bCs/>
                <w:lang w:eastAsia="en-US"/>
              </w:rPr>
            </w:pPr>
            <w:r w:rsidRPr="00A2793F">
              <w:rPr>
                <w:b/>
                <w:bCs/>
                <w:lang w:eastAsia="en-U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3C34E11" w14:textId="77777777" w:rsidR="00C0526B" w:rsidRPr="009841AB" w:rsidRDefault="00C0526B" w:rsidP="00242E87">
            <w:pPr>
              <w:pStyle w:val="naisc"/>
              <w:spacing w:before="0" w:after="0"/>
              <w:jc w:val="both"/>
            </w:pPr>
          </w:p>
        </w:tc>
        <w:tc>
          <w:tcPr>
            <w:tcW w:w="3504" w:type="dxa"/>
            <w:gridSpan w:val="2"/>
            <w:tcBorders>
              <w:top w:val="single" w:sz="4" w:space="0" w:color="auto"/>
              <w:left w:val="single" w:sz="4" w:space="0" w:color="auto"/>
              <w:bottom w:val="single" w:sz="4" w:space="0" w:color="auto"/>
            </w:tcBorders>
            <w:shd w:val="clear" w:color="auto" w:fill="auto"/>
          </w:tcPr>
          <w:p w14:paraId="76968FCE" w14:textId="77777777" w:rsidR="00C0526B" w:rsidRPr="009841AB" w:rsidRDefault="00C0526B" w:rsidP="00242E87"/>
        </w:tc>
      </w:tr>
      <w:tr w:rsidR="00C0526B" w:rsidRPr="009841AB" w14:paraId="35115766"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6FB11485" w14:textId="6A0DA8A0" w:rsidR="00C0526B" w:rsidRDefault="00DC72A3" w:rsidP="00242E87">
            <w:pPr>
              <w:pStyle w:val="naisc"/>
              <w:spacing w:before="0" w:after="0"/>
            </w:pPr>
            <w:r>
              <w:t>574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76D300B" w14:textId="77777777" w:rsidR="00C0526B" w:rsidRPr="009841AB" w:rsidRDefault="00C0526B" w:rsidP="00242E87">
            <w:pPr>
              <w:pStyle w:val="naisc"/>
              <w:spacing w:before="0" w:after="0"/>
              <w:jc w:val="left"/>
            </w:pPr>
            <w:r>
              <w:t>MK rīkojuma projekts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2D90E68" w14:textId="77777777" w:rsidR="00C0526B" w:rsidRPr="000F48DA" w:rsidRDefault="00C0526B" w:rsidP="00242E87">
            <w:pPr>
              <w:tabs>
                <w:tab w:val="left" w:pos="720"/>
              </w:tabs>
              <w:contextualSpacing/>
              <w:jc w:val="both"/>
              <w:rPr>
                <w:lang w:eastAsia="en-US"/>
              </w:rPr>
            </w:pPr>
            <w:r w:rsidRPr="00A2793F">
              <w:rPr>
                <w:lang w:eastAsia="en-US"/>
              </w:rPr>
              <w:t xml:space="preserve">Līdztekus norādām, ka Ministru kabineta rīkojuma projektā būtu </w:t>
            </w:r>
            <w:r w:rsidRPr="002D7B02">
              <w:rPr>
                <w:lang w:eastAsia="en-US"/>
              </w:rPr>
              <w:t>dzēšams 2.1.apakšpunkts, bet 3.1.apakšpunkts kā vienīgais būtu savienojams ar 3.punkta tekstu.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C0A81B9" w14:textId="77777777" w:rsidR="00C0526B" w:rsidRPr="00732549" w:rsidRDefault="00C0526B" w:rsidP="00242E87">
            <w:pPr>
              <w:pStyle w:val="naisc"/>
              <w:spacing w:before="0" w:after="0"/>
              <w:jc w:val="both"/>
              <w:rPr>
                <w:b/>
              </w:rPr>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4A1F7D29" w14:textId="77777777" w:rsidR="00C0526B" w:rsidRPr="009841AB" w:rsidRDefault="00C0526B" w:rsidP="00242E87">
            <w:r>
              <w:t>Lūdzu skatīt MK rīkojuma projektu</w:t>
            </w:r>
          </w:p>
        </w:tc>
      </w:tr>
      <w:tr w:rsidR="00C0526B" w:rsidRPr="009841AB" w14:paraId="03629F53" w14:textId="77777777" w:rsidTr="00242E87">
        <w:tc>
          <w:tcPr>
            <w:tcW w:w="14451" w:type="dxa"/>
            <w:gridSpan w:val="6"/>
            <w:tcBorders>
              <w:left w:val="single" w:sz="6" w:space="0" w:color="000000" w:themeColor="text1"/>
              <w:bottom w:val="single" w:sz="4" w:space="0" w:color="auto"/>
            </w:tcBorders>
            <w:shd w:val="clear" w:color="auto" w:fill="auto"/>
          </w:tcPr>
          <w:p w14:paraId="7552C529" w14:textId="77777777" w:rsidR="00C0526B" w:rsidRPr="009841AB" w:rsidRDefault="00C0526B" w:rsidP="00242E87">
            <w:r>
              <w:rPr>
                <w:b/>
                <w:bCs/>
                <w:lang w:eastAsia="en-US"/>
              </w:rPr>
              <w:t>Satiksmes</w:t>
            </w:r>
            <w:r w:rsidRPr="009841AB">
              <w:rPr>
                <w:b/>
                <w:bCs/>
                <w:lang w:eastAsia="en-US"/>
              </w:rPr>
              <w:t xml:space="preserve"> ministrijas </w:t>
            </w:r>
            <w:r>
              <w:rPr>
                <w:b/>
                <w:bCs/>
                <w:lang w:eastAsia="en-US"/>
              </w:rPr>
              <w:t>14</w:t>
            </w:r>
            <w:r w:rsidRPr="009841AB">
              <w:rPr>
                <w:b/>
                <w:bCs/>
                <w:lang w:eastAsia="en-US"/>
              </w:rPr>
              <w:t>.0</w:t>
            </w:r>
            <w:r>
              <w:rPr>
                <w:b/>
                <w:bCs/>
                <w:lang w:eastAsia="en-US"/>
              </w:rPr>
              <w:t>5</w:t>
            </w:r>
            <w:r w:rsidRPr="009841AB">
              <w:rPr>
                <w:b/>
                <w:bCs/>
                <w:lang w:eastAsia="en-US"/>
              </w:rPr>
              <w:t>.2021. atzinums:</w:t>
            </w:r>
          </w:p>
        </w:tc>
      </w:tr>
      <w:tr w:rsidR="00C0526B" w:rsidRPr="009841AB" w14:paraId="61C2D50B"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986D624" w14:textId="77777777" w:rsidR="00C0526B" w:rsidRDefault="00C0526B" w:rsidP="00242E87">
            <w:pPr>
              <w:pStyle w:val="naisc"/>
              <w:spacing w:before="0" w:after="0"/>
            </w:pP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4D21C9D" w14:textId="77777777" w:rsidR="00C0526B" w:rsidRPr="009841AB" w:rsidRDefault="00C0526B" w:rsidP="00242E8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BA07E7D" w14:textId="77777777" w:rsidR="00C0526B" w:rsidRPr="00A2793F" w:rsidRDefault="00C0526B" w:rsidP="00242E87">
            <w:pPr>
              <w:tabs>
                <w:tab w:val="left" w:pos="720"/>
              </w:tabs>
              <w:contextualSpacing/>
              <w:jc w:val="both"/>
              <w:rPr>
                <w:b/>
                <w:bCs/>
                <w:lang w:eastAsia="en-US"/>
              </w:rPr>
            </w:pPr>
            <w:r w:rsidRPr="00A2793F">
              <w:rPr>
                <w:b/>
                <w:bCs/>
                <w:lang w:eastAsia="en-US"/>
              </w:rPr>
              <w:t>Priekšlikumi: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72157E0" w14:textId="77777777" w:rsidR="00C0526B" w:rsidRPr="009841AB" w:rsidRDefault="00C0526B" w:rsidP="00242E87">
            <w:pPr>
              <w:pStyle w:val="naisc"/>
              <w:spacing w:before="0" w:after="0"/>
              <w:jc w:val="both"/>
            </w:pPr>
          </w:p>
        </w:tc>
        <w:tc>
          <w:tcPr>
            <w:tcW w:w="3504" w:type="dxa"/>
            <w:gridSpan w:val="2"/>
            <w:tcBorders>
              <w:top w:val="single" w:sz="4" w:space="0" w:color="auto"/>
              <w:left w:val="single" w:sz="4" w:space="0" w:color="auto"/>
              <w:bottom w:val="single" w:sz="4" w:space="0" w:color="auto"/>
            </w:tcBorders>
            <w:shd w:val="clear" w:color="auto" w:fill="auto"/>
          </w:tcPr>
          <w:p w14:paraId="05351DBF" w14:textId="77777777" w:rsidR="00C0526B" w:rsidRPr="009841AB" w:rsidRDefault="00C0526B" w:rsidP="00242E87"/>
        </w:tc>
      </w:tr>
      <w:tr w:rsidR="00C0526B" w:rsidRPr="009841AB" w14:paraId="5CE8D2CF"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A73EABB" w14:textId="2AB8A78B" w:rsidR="00C0526B" w:rsidRDefault="00DC72A3" w:rsidP="00242E87">
            <w:pPr>
              <w:pStyle w:val="naisc"/>
              <w:spacing w:before="0" w:after="0"/>
            </w:pPr>
            <w:r>
              <w:lastRenderedPageBreak/>
              <w:t>575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C00B258" w14:textId="77777777" w:rsidR="00C0526B" w:rsidRDefault="00C0526B" w:rsidP="00242E87">
            <w:pPr>
              <w:pStyle w:val="naisc"/>
              <w:spacing w:before="0" w:after="0"/>
              <w:jc w:val="left"/>
            </w:pPr>
            <w:r>
              <w:t>4.3. sadaļa,</w:t>
            </w:r>
          </w:p>
          <w:p w14:paraId="61C6AC77" w14:textId="77777777" w:rsidR="00C0526B" w:rsidRPr="009841AB" w:rsidRDefault="00C0526B" w:rsidP="00242E87">
            <w:pPr>
              <w:pStyle w:val="naisc"/>
              <w:spacing w:before="0" w:after="0"/>
              <w:jc w:val="left"/>
            </w:pPr>
            <w:r>
              <w:t>3.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DD32A8C" w14:textId="77777777" w:rsidR="00C0526B" w:rsidRPr="000F48DA" w:rsidRDefault="00C0526B" w:rsidP="00242E87">
            <w:pPr>
              <w:tabs>
                <w:tab w:val="left" w:pos="720"/>
              </w:tabs>
              <w:contextualSpacing/>
              <w:jc w:val="both"/>
              <w:rPr>
                <w:lang w:eastAsia="en-US"/>
              </w:rPr>
            </w:pPr>
            <w:r w:rsidRPr="00A2793F">
              <w:rPr>
                <w:lang w:eastAsia="en-US"/>
              </w:rPr>
              <w:t xml:space="preserve">Lūdzam precizēt pamatnostādņu projekta </w:t>
            </w:r>
            <w:r w:rsidRPr="00B40A8F">
              <w:rPr>
                <w:lang w:eastAsia="en-US"/>
              </w:rPr>
              <w:t>4.3.attīstības virzienā „Telekomunikāciju pakalpojumu pieejamība” un pamatnostādņu projekta 3.pielikumā indikatīvo finansējuma apmēru atbilstoši pēdējai aktuālajai informācijai</w:t>
            </w:r>
            <w:r w:rsidRPr="00A2793F">
              <w:rPr>
                <w:lang w:eastAsia="en-US"/>
              </w:rPr>
              <w:t>, kas iekļauta Transporta attīstības pamatnostādnēs 2021.-2027.gadam projektā (skatīt pielikumu).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914041E" w14:textId="77777777" w:rsidR="00C0526B" w:rsidRPr="009841A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1FEEC2C6" w14:textId="77777777" w:rsidR="00C0526B" w:rsidRDefault="00C0526B" w:rsidP="00242E87">
            <w:r>
              <w:t>Lūdzu skatīt 4.3. sadaļu, 3. pielikumu</w:t>
            </w:r>
          </w:p>
          <w:p w14:paraId="25B2F189" w14:textId="77777777" w:rsidR="00C0526B" w:rsidRPr="009841AB" w:rsidRDefault="00C0526B" w:rsidP="00242E87"/>
        </w:tc>
      </w:tr>
      <w:tr w:rsidR="00C0526B" w:rsidRPr="009841AB" w14:paraId="03399BED" w14:textId="77777777" w:rsidTr="00242E87">
        <w:tc>
          <w:tcPr>
            <w:tcW w:w="14451" w:type="dxa"/>
            <w:gridSpan w:val="6"/>
            <w:tcBorders>
              <w:left w:val="single" w:sz="6" w:space="0" w:color="000000" w:themeColor="text1"/>
              <w:bottom w:val="single" w:sz="4" w:space="0" w:color="auto"/>
            </w:tcBorders>
            <w:shd w:val="clear" w:color="auto" w:fill="auto"/>
          </w:tcPr>
          <w:p w14:paraId="6AEC3852" w14:textId="77777777" w:rsidR="00C0526B" w:rsidRPr="00A2793F" w:rsidRDefault="00C0526B" w:rsidP="00242E87">
            <w:pPr>
              <w:rPr>
                <w:b/>
                <w:bCs/>
              </w:rPr>
            </w:pPr>
            <w:r>
              <w:rPr>
                <w:b/>
                <w:bCs/>
              </w:rPr>
              <w:t>Veselības</w:t>
            </w:r>
            <w:r w:rsidRPr="00A2793F">
              <w:rPr>
                <w:b/>
                <w:bCs/>
              </w:rPr>
              <w:t xml:space="preserve"> ministrijas 14.05.2021. atzinums:</w:t>
            </w:r>
          </w:p>
        </w:tc>
      </w:tr>
      <w:tr w:rsidR="00C0526B" w:rsidRPr="009841AB" w14:paraId="74C821C0"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541F8992" w14:textId="49495E1F" w:rsidR="00C0526B" w:rsidRDefault="00DC72A3" w:rsidP="00242E87">
            <w:pPr>
              <w:pStyle w:val="naisc"/>
              <w:spacing w:before="0" w:after="0"/>
            </w:pPr>
            <w:r>
              <w:t>576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8ED81E7" w14:textId="77777777" w:rsidR="00C0526B" w:rsidRPr="009841AB" w:rsidRDefault="00C0526B" w:rsidP="00242E8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A9D5FEC" w14:textId="77777777" w:rsidR="00C0526B" w:rsidRPr="000F48DA" w:rsidRDefault="00C0526B" w:rsidP="00242E87">
            <w:pPr>
              <w:tabs>
                <w:tab w:val="left" w:pos="720"/>
              </w:tabs>
              <w:contextualSpacing/>
              <w:jc w:val="both"/>
              <w:rPr>
                <w:lang w:eastAsia="en-US"/>
              </w:rPr>
            </w:pPr>
            <w:r w:rsidRPr="00A2793F">
              <w:rPr>
                <w:lang w:eastAsia="en-US"/>
              </w:rPr>
              <w:t xml:space="preserve">1. Lūdzam pamatnostādnēs tomēr </w:t>
            </w:r>
            <w:r w:rsidRPr="0052397D">
              <w:rPr>
                <w:lang w:eastAsia="en-US"/>
              </w:rPr>
              <w:t>svītrot visur e-veselība un aizstāt to ar citiem terminiem</w:t>
            </w:r>
            <w:r w:rsidRPr="00A2793F">
              <w:rPr>
                <w:lang w:eastAsia="en-US"/>
              </w:rPr>
              <w:t xml:space="preserve"> (galvenokārt pacienta EVK). Pielikumā pievienoju </w:t>
            </w:r>
            <w:proofErr w:type="spellStart"/>
            <w:r w:rsidRPr="00A2793F">
              <w:rPr>
                <w:lang w:eastAsia="en-US"/>
              </w:rPr>
              <w:t>track</w:t>
            </w:r>
            <w:proofErr w:type="spellEnd"/>
            <w:r w:rsidRPr="00A2793F">
              <w:rPr>
                <w:lang w:eastAsia="en-US"/>
              </w:rPr>
              <w:t xml:space="preserve"> </w:t>
            </w:r>
            <w:proofErr w:type="spellStart"/>
            <w:r w:rsidRPr="00A2793F">
              <w:rPr>
                <w:lang w:eastAsia="en-US"/>
              </w:rPr>
              <w:t>changes</w:t>
            </w:r>
            <w:proofErr w:type="spellEnd"/>
            <w:r w:rsidRPr="00A2793F">
              <w:rPr>
                <w:lang w:eastAsia="en-US"/>
              </w:rPr>
              <w:t xml:space="preserve"> precizētu projektu. Līdz ar to atsaucam VARAM 05.05.2021.nosūtīto iebildumu (izziņas 65.punkts) : Pamatnostādnēs tiek lietots termins “e-veselība”, “e-veselības sistēma”, bet nekur tas nav paskaidrots, tāpēc lūdzam saīsinājumu sarakstu papildināt ar sekojošu skaidrojumu - “e-veselības sistēma - Vienotā veselības nozares elektroniskā informācijas sistēma”.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275B4E0" w14:textId="77777777" w:rsidR="00C0526B" w:rsidRPr="009841A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28A8F4E8" w14:textId="77777777" w:rsidR="00C0526B" w:rsidRPr="009841AB" w:rsidRDefault="00C0526B" w:rsidP="00242E87"/>
        </w:tc>
      </w:tr>
      <w:tr w:rsidR="00C0526B" w:rsidRPr="009841AB" w14:paraId="15E72BBF"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3CC3A8CE" w14:textId="7D2B55EA" w:rsidR="00C0526B" w:rsidRDefault="00DC72A3" w:rsidP="00242E87">
            <w:pPr>
              <w:pStyle w:val="naisc"/>
              <w:spacing w:before="0" w:after="0"/>
            </w:pPr>
            <w:r>
              <w:t>577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92FA999" w14:textId="77777777" w:rsidR="00C0526B" w:rsidRPr="009841AB" w:rsidRDefault="00C0526B" w:rsidP="00242E87">
            <w:pPr>
              <w:pStyle w:val="naisc"/>
              <w:spacing w:before="0" w:after="0"/>
              <w:jc w:val="left"/>
            </w:pPr>
            <w:r>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48A2659" w14:textId="77777777" w:rsidR="00C0526B" w:rsidRPr="00A2793F" w:rsidRDefault="00C0526B" w:rsidP="00242E87">
            <w:pPr>
              <w:tabs>
                <w:tab w:val="left" w:pos="720"/>
              </w:tabs>
              <w:contextualSpacing/>
              <w:jc w:val="both"/>
              <w:rPr>
                <w:lang w:eastAsia="en-US"/>
              </w:rPr>
            </w:pPr>
            <w:r w:rsidRPr="00210564">
              <w:rPr>
                <w:lang w:eastAsia="en-US"/>
              </w:rPr>
              <w:t xml:space="preserve">2. </w:t>
            </w:r>
            <w:r>
              <w:rPr>
                <w:lang w:eastAsia="en-US"/>
              </w:rPr>
              <w:t>I</w:t>
            </w:r>
            <w:r w:rsidRPr="00210564">
              <w:rPr>
                <w:lang w:eastAsia="en-US"/>
              </w:rPr>
              <w:t xml:space="preserve">zziņas 119.punksts. </w:t>
            </w:r>
            <w:r w:rsidRPr="00790597">
              <w:rPr>
                <w:lang w:eastAsia="en-US"/>
              </w:rPr>
              <w:t>U4.1.1.-1. uzdevumā kā līdzatbildīgo ministriju lūdzam norādīt arī Veselības ministriju.</w:t>
            </w:r>
            <w:r w:rsidRPr="00210564">
              <w:rPr>
                <w:lang w:eastAsia="en-US"/>
              </w:rPr>
              <w:t xml:space="preserve"> Izziņā minēts, ka papildināts, bet realitātē nav. Lūdzam papildināt.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2EE2761" w14:textId="77777777" w:rsidR="00C0526B" w:rsidRPr="00830B65" w:rsidRDefault="00C0526B" w:rsidP="00242E87">
            <w:pPr>
              <w:pStyle w:val="naisc"/>
              <w:spacing w:before="0" w:after="0"/>
              <w:jc w:val="both"/>
              <w:rPr>
                <w:b/>
              </w:rPr>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3569A89A" w14:textId="77777777" w:rsidR="00C0526B" w:rsidRDefault="00C0526B" w:rsidP="00242E87">
            <w:r>
              <w:t>Lūdzu skatīt 4.1. sadaļu,</w:t>
            </w:r>
          </w:p>
          <w:p w14:paraId="3175F93B" w14:textId="77777777" w:rsidR="00C0526B" w:rsidRPr="009841AB" w:rsidRDefault="00C0526B" w:rsidP="00242E87">
            <w:r w:rsidRPr="004F73E1">
              <w:t>U4.1.2.-1</w:t>
            </w:r>
            <w:r>
              <w:t xml:space="preserve"> (iepriekš </w:t>
            </w:r>
            <w:r w:rsidRPr="00D21B7C">
              <w:t>U4.1.1.-1</w:t>
            </w:r>
            <w:r>
              <w:t>)</w:t>
            </w:r>
          </w:p>
        </w:tc>
      </w:tr>
      <w:tr w:rsidR="00C0526B" w:rsidRPr="009841AB" w14:paraId="3B2E3A89"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6085F3A9" w14:textId="58C421DA" w:rsidR="00C0526B" w:rsidRDefault="00DC72A3" w:rsidP="00242E87">
            <w:pPr>
              <w:pStyle w:val="naisc"/>
              <w:spacing w:before="0" w:after="0"/>
            </w:pPr>
            <w:r>
              <w:t>578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DE179DB" w14:textId="77777777" w:rsidR="00C0526B" w:rsidRPr="009841AB" w:rsidRDefault="00C0526B" w:rsidP="00242E87">
            <w:pPr>
              <w:pStyle w:val="naisc"/>
              <w:spacing w:before="0" w:after="0"/>
              <w:jc w:val="left"/>
            </w:pPr>
            <w:r>
              <w:t>3.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E0C89C6" w14:textId="77777777" w:rsidR="00C0526B" w:rsidRPr="00A2793F" w:rsidRDefault="00C0526B" w:rsidP="00242E87">
            <w:pPr>
              <w:tabs>
                <w:tab w:val="left" w:pos="720"/>
              </w:tabs>
              <w:contextualSpacing/>
              <w:jc w:val="both"/>
              <w:rPr>
                <w:lang w:eastAsia="en-US"/>
              </w:rPr>
            </w:pPr>
            <w:r w:rsidRPr="00210564">
              <w:rPr>
                <w:lang w:eastAsia="en-US"/>
              </w:rPr>
              <w:t>3.</w:t>
            </w:r>
            <w:r>
              <w:rPr>
                <w:lang w:eastAsia="en-US"/>
              </w:rPr>
              <w:t xml:space="preserve"> </w:t>
            </w:r>
            <w:r w:rsidRPr="00210564">
              <w:rPr>
                <w:lang w:eastAsia="en-US"/>
              </w:rPr>
              <w:t xml:space="preserve">Par </w:t>
            </w:r>
            <w:r w:rsidRPr="00E10EAE">
              <w:rPr>
                <w:lang w:eastAsia="en-US"/>
              </w:rPr>
              <w:t>U4.1.5.-1 uzdevumu. Tā  redakcija 3.pielikumā nesakrīt ar redakciju pamatnostādnēs</w:t>
            </w:r>
            <w:r w:rsidRPr="00210564">
              <w:rPr>
                <w:lang w:eastAsia="en-US"/>
              </w:rPr>
              <w:t xml:space="preserve">. Lūdzam precizēt. Kā aprēķināts nepieciešamais finansējums šim pasākumam – 14 </w:t>
            </w:r>
            <w:proofErr w:type="spellStart"/>
            <w:r w:rsidRPr="00210564">
              <w:rPr>
                <w:lang w:eastAsia="en-US"/>
              </w:rPr>
              <w:t>milj</w:t>
            </w:r>
            <w:proofErr w:type="spellEnd"/>
            <w:r w:rsidRPr="00210564">
              <w:rPr>
                <w:lang w:eastAsia="en-US"/>
              </w:rPr>
              <w:t xml:space="preserve">? Lūdzam </w:t>
            </w:r>
            <w:r w:rsidRPr="00E10EAE">
              <w:rPr>
                <w:lang w:eastAsia="en-US"/>
              </w:rPr>
              <w:t xml:space="preserve">svītrot 3.pielikumā atsauci uz </w:t>
            </w:r>
            <w:proofErr w:type="spellStart"/>
            <w:r w:rsidRPr="00E10EAE">
              <w:rPr>
                <w:lang w:eastAsia="en-US"/>
              </w:rPr>
              <w:t>Sab.ves.pam</w:t>
            </w:r>
            <w:proofErr w:type="spellEnd"/>
            <w:r w:rsidRPr="00E10EAE">
              <w:rPr>
                <w:lang w:eastAsia="en-US"/>
              </w:rPr>
              <w:t xml:space="preserve"> 4.2.2 uzdevumu</w:t>
            </w:r>
            <w:r w:rsidRPr="00210564">
              <w:rPr>
                <w:lang w:eastAsia="en-US"/>
              </w:rPr>
              <w:t xml:space="preserve">., jo ārstniecības personu </w:t>
            </w:r>
            <w:proofErr w:type="spellStart"/>
            <w:r w:rsidRPr="00210564">
              <w:rPr>
                <w:lang w:eastAsia="en-US"/>
              </w:rPr>
              <w:t>tālāizglītības</w:t>
            </w:r>
            <w:proofErr w:type="spellEnd"/>
            <w:r w:rsidRPr="00210564">
              <w:rPr>
                <w:lang w:eastAsia="en-US"/>
              </w:rPr>
              <w:t xml:space="preserve"> ietvaros nav paredzēts īstenot digitālo prasmju programmas ārstniecības personām. Var likt šādu atsauci uz </w:t>
            </w:r>
            <w:proofErr w:type="spellStart"/>
            <w:r w:rsidRPr="00210564">
              <w:rPr>
                <w:lang w:eastAsia="en-US"/>
              </w:rPr>
              <w:t>Sab.ves.pamatnostādnēm</w:t>
            </w:r>
            <w:proofErr w:type="spellEnd"/>
            <w:r w:rsidRPr="00210564">
              <w:rPr>
                <w:lang w:eastAsia="en-US"/>
              </w:rPr>
              <w:t xml:space="preserve">: …kā arī daļēji atbilst Sabiedrības veselības pamatnostādnēm 2021.-2027. gadam – attīstot pacienta EVK, un jaunus digitālos risinājumus, tiks nodrošināti mācību materiāli ārstniecības personām par to izmantošanu”.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20E21C8" w14:textId="77777777" w:rsidR="00C0526B" w:rsidRDefault="00C0526B" w:rsidP="00242E87">
            <w:pPr>
              <w:pStyle w:val="naisc"/>
              <w:spacing w:before="0" w:after="0"/>
              <w:jc w:val="both"/>
              <w:rPr>
                <w:b/>
              </w:rPr>
            </w:pPr>
            <w:r>
              <w:rPr>
                <w:b/>
                <w:bCs/>
              </w:rPr>
              <w:t>Ņemts vērā</w:t>
            </w:r>
          </w:p>
          <w:p w14:paraId="5332DFFB" w14:textId="77777777" w:rsidR="00C0526B" w:rsidRPr="009841AB" w:rsidRDefault="00C0526B" w:rsidP="00242E87">
            <w:pPr>
              <w:pStyle w:val="naisc"/>
              <w:spacing w:before="0" w:after="0"/>
              <w:jc w:val="both"/>
            </w:pPr>
            <w:r>
              <w:t xml:space="preserve">Ņemot vērā, ka šobrīd nav precīzi definēts cik lielā mērā Sabiedrības veselības pamatnostādņu uzdevuma 4.2.2. ietvaros tiks iekļautas arī Digitālo prasmju mācības, summa ir dzēsta, iekļautas atsauces arī uz citiem </w:t>
            </w:r>
            <w:r>
              <w:lastRenderedPageBreak/>
              <w:t xml:space="preserve">Digitālo prasmju pasākumiem. </w:t>
            </w:r>
          </w:p>
        </w:tc>
        <w:tc>
          <w:tcPr>
            <w:tcW w:w="3504" w:type="dxa"/>
            <w:gridSpan w:val="2"/>
            <w:tcBorders>
              <w:top w:val="single" w:sz="4" w:space="0" w:color="auto"/>
              <w:left w:val="single" w:sz="4" w:space="0" w:color="auto"/>
              <w:bottom w:val="single" w:sz="4" w:space="0" w:color="auto"/>
            </w:tcBorders>
            <w:shd w:val="clear" w:color="auto" w:fill="auto"/>
          </w:tcPr>
          <w:p w14:paraId="61C7705B" w14:textId="77777777" w:rsidR="00C0526B" w:rsidRPr="009841AB" w:rsidRDefault="00C0526B" w:rsidP="00242E87">
            <w:r>
              <w:lastRenderedPageBreak/>
              <w:t>Lūdzu skatīt 3. pielikumu</w:t>
            </w:r>
          </w:p>
        </w:tc>
      </w:tr>
      <w:tr w:rsidR="00C0526B" w:rsidRPr="009841AB" w14:paraId="175B3706"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7886DB0" w14:textId="516CEA61" w:rsidR="00C0526B" w:rsidRDefault="00DC72A3" w:rsidP="00242E87">
            <w:pPr>
              <w:pStyle w:val="naisc"/>
              <w:spacing w:before="0" w:after="0"/>
            </w:pPr>
            <w:r>
              <w:t>579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7E4E38F" w14:textId="77777777" w:rsidR="00C0526B" w:rsidRPr="009841AB" w:rsidRDefault="00C0526B" w:rsidP="00242E87">
            <w:pPr>
              <w:pStyle w:val="naisc"/>
              <w:spacing w:before="0" w:after="0"/>
              <w:jc w:val="left"/>
            </w:pPr>
            <w:r>
              <w:t>3.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2FAD112" w14:textId="77777777" w:rsidR="00C0526B" w:rsidRPr="00A2793F" w:rsidRDefault="00C0526B" w:rsidP="00242E87">
            <w:pPr>
              <w:tabs>
                <w:tab w:val="left" w:pos="720"/>
              </w:tabs>
              <w:contextualSpacing/>
              <w:jc w:val="both"/>
              <w:rPr>
                <w:lang w:eastAsia="en-US"/>
              </w:rPr>
            </w:pPr>
            <w:r w:rsidRPr="00210564">
              <w:rPr>
                <w:lang w:eastAsia="en-US"/>
              </w:rPr>
              <w:t>4.</w:t>
            </w:r>
            <w:r>
              <w:rPr>
                <w:lang w:eastAsia="en-US"/>
              </w:rPr>
              <w:t xml:space="preserve"> </w:t>
            </w:r>
            <w:r w:rsidRPr="00210564">
              <w:rPr>
                <w:lang w:eastAsia="en-US"/>
              </w:rPr>
              <w:t xml:space="preserve">Par izziņas 557.punktu. </w:t>
            </w:r>
            <w:r w:rsidRPr="00B40A8F">
              <w:rPr>
                <w:lang w:eastAsia="en-US"/>
              </w:rPr>
              <w:t xml:space="preserve">Pamatnostādņu 3.pielikumā tomēr nav </w:t>
            </w:r>
            <w:proofErr w:type="spellStart"/>
            <w:r w:rsidRPr="00B40A8F">
              <w:rPr>
                <w:lang w:eastAsia="en-US"/>
              </w:rPr>
              <w:t>ieklauts</w:t>
            </w:r>
            <w:proofErr w:type="spellEnd"/>
            <w:r w:rsidRPr="00B40A8F">
              <w:rPr>
                <w:lang w:eastAsia="en-US"/>
              </w:rPr>
              <w:t xml:space="preserve"> viss veselības nozares IT attīstībai nepieciešamais papildu finansējums, kā to vēlas PKC</w:t>
            </w:r>
            <w:r w:rsidRPr="00210564">
              <w:rPr>
                <w:lang w:eastAsia="en-US"/>
              </w:rPr>
              <w:t xml:space="preserve">. Tas ir, nav iekļauts papildus nepieciešamais finansējums no VB. Lūdzam to iekļaut. Šeit informācija par informācija par papildus nepieciešamo valsts budžeta finansējumu veselības nozares </w:t>
            </w:r>
            <w:proofErr w:type="spellStart"/>
            <w:r w:rsidRPr="00210564">
              <w:rPr>
                <w:lang w:eastAsia="en-US"/>
              </w:rPr>
              <w:t>digitalizācijai</w:t>
            </w:r>
            <w:proofErr w:type="spellEnd"/>
            <w:r w:rsidRPr="00210564">
              <w:rPr>
                <w:lang w:eastAsia="en-US"/>
              </w:rPr>
              <w:t xml:space="preserve"> līdz 2027.gadam.</w:t>
            </w:r>
            <w:r>
              <w:rPr>
                <w:lang w:eastAsia="en-US"/>
              </w:rPr>
              <w:t xml:space="preserve">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B337D7F" w14:textId="77777777" w:rsidR="00C0526B" w:rsidRPr="00DD751F" w:rsidRDefault="00C0526B" w:rsidP="00242E87">
            <w:pPr>
              <w:pStyle w:val="naisc"/>
              <w:spacing w:before="0" w:after="0"/>
              <w:jc w:val="both"/>
              <w:rPr>
                <w:b/>
                <w:bCs/>
              </w:rPr>
            </w:pPr>
            <w:r w:rsidRPr="00DD751F">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616268CC" w14:textId="77777777" w:rsidR="00C0526B" w:rsidRPr="009841AB" w:rsidRDefault="00C0526B" w:rsidP="00242E87">
            <w:r>
              <w:t>Lūdzu skatīt 3. pielikumu</w:t>
            </w:r>
          </w:p>
        </w:tc>
      </w:tr>
      <w:tr w:rsidR="00C0526B" w:rsidRPr="009841AB" w14:paraId="53761F30"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215A9DA6" w14:textId="03CB82CD" w:rsidR="00C0526B" w:rsidRDefault="00DC72A3" w:rsidP="00242E87">
            <w:pPr>
              <w:pStyle w:val="naisc"/>
              <w:spacing w:before="0" w:after="0"/>
            </w:pPr>
            <w:r>
              <w:t>580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C5EB32F" w14:textId="77777777" w:rsidR="00C0526B" w:rsidRPr="009841AB" w:rsidRDefault="00C0526B" w:rsidP="00242E87">
            <w:pPr>
              <w:pStyle w:val="naisc"/>
              <w:spacing w:before="0" w:after="0"/>
              <w:jc w:val="left"/>
            </w:pPr>
            <w:r>
              <w:t>3.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80CEFA9" w14:textId="77777777" w:rsidR="00C0526B" w:rsidRPr="00A2793F" w:rsidRDefault="00C0526B" w:rsidP="00242E87">
            <w:pPr>
              <w:tabs>
                <w:tab w:val="left" w:pos="720"/>
              </w:tabs>
              <w:contextualSpacing/>
              <w:jc w:val="both"/>
              <w:rPr>
                <w:lang w:eastAsia="en-US"/>
              </w:rPr>
            </w:pPr>
            <w:r w:rsidRPr="00210564">
              <w:rPr>
                <w:lang w:eastAsia="en-US"/>
              </w:rPr>
              <w:t>5.</w:t>
            </w:r>
            <w:r>
              <w:rPr>
                <w:lang w:eastAsia="en-US"/>
              </w:rPr>
              <w:t xml:space="preserve"> </w:t>
            </w:r>
            <w:r w:rsidRPr="00210564">
              <w:rPr>
                <w:lang w:eastAsia="en-US"/>
              </w:rPr>
              <w:t xml:space="preserve">Pamatnostādņu </w:t>
            </w:r>
            <w:r w:rsidRPr="00B40A8F">
              <w:rPr>
                <w:lang w:eastAsia="en-US"/>
              </w:rPr>
              <w:t>3.pielikumā ir norādīts, ka 4.4.6.-2. un 4.4.6.-3</w:t>
            </w:r>
            <w:r w:rsidRPr="00210564">
              <w:rPr>
                <w:lang w:eastAsia="en-US"/>
              </w:rPr>
              <w:t xml:space="preserve"> paredzēts ANM finansējums 10 milj. Tas ir bez PVN. </w:t>
            </w:r>
            <w:r w:rsidRPr="00B40A8F">
              <w:rPr>
                <w:lang w:eastAsia="en-US"/>
              </w:rPr>
              <w:t>Lūdzam palielināt šo summu, iekļaujot arī PVN</w:t>
            </w:r>
            <w:r w:rsidRPr="00210564">
              <w:rPr>
                <w:lang w:eastAsia="en-US"/>
              </w:rPr>
              <w:t>, tas ir, 12 100 000 eiro.</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4916B02" w14:textId="77777777" w:rsidR="00AC3D88" w:rsidRPr="009841AB" w:rsidRDefault="00AC3D88" w:rsidP="00AC3D88">
            <w:pPr>
              <w:pStyle w:val="naisc"/>
              <w:jc w:val="left"/>
              <w:rPr>
                <w:b/>
                <w:bCs/>
                <w:color w:val="000000"/>
                <w:shd w:val="clear" w:color="auto" w:fill="FFFFFF"/>
              </w:rPr>
            </w:pPr>
            <w:r>
              <w:rPr>
                <w:b/>
                <w:bCs/>
                <w:color w:val="000000"/>
                <w:shd w:val="clear" w:color="auto" w:fill="FFFFFF"/>
              </w:rPr>
              <w:t>Panākta vienošanās</w:t>
            </w:r>
          </w:p>
          <w:p w14:paraId="117C3823" w14:textId="77777777" w:rsidR="00C0526B" w:rsidRPr="002244B2" w:rsidRDefault="00C0526B" w:rsidP="00242E87">
            <w:pPr>
              <w:pStyle w:val="naisc"/>
              <w:spacing w:before="0" w:after="0"/>
              <w:jc w:val="both"/>
            </w:pPr>
            <w:r w:rsidRPr="002244B2">
              <w:t>A</w:t>
            </w:r>
            <w:r>
              <w:t xml:space="preserve">tbilstoši FM sniegtajai informācijai, ANM instruments neattiecina/ nesedz PVN izmaksas, līdz ar to ANM plānā noteiktās summas Valsts pārvaldes </w:t>
            </w:r>
            <w:proofErr w:type="spellStart"/>
            <w:r>
              <w:t>digitalizācijas</w:t>
            </w:r>
            <w:proofErr w:type="spellEnd"/>
            <w:r>
              <w:t xml:space="preserve"> komponentē ir norādītas jau iekļaujot PVN daļu, kura tiks segta no Valsts budžeta. Attiecīgi no ANM instrumenta tiks segta summa bez PVN visām Valsts pārvaldes </w:t>
            </w:r>
            <w:proofErr w:type="spellStart"/>
            <w:r>
              <w:t>digitalizācijas</w:t>
            </w:r>
            <w:proofErr w:type="spellEnd"/>
            <w:r>
              <w:t xml:space="preserve"> komponentes aktivitātēm (vidēji 84%).</w:t>
            </w:r>
          </w:p>
        </w:tc>
        <w:tc>
          <w:tcPr>
            <w:tcW w:w="3504" w:type="dxa"/>
            <w:gridSpan w:val="2"/>
            <w:tcBorders>
              <w:top w:val="single" w:sz="4" w:space="0" w:color="auto"/>
              <w:left w:val="single" w:sz="4" w:space="0" w:color="auto"/>
              <w:bottom w:val="single" w:sz="4" w:space="0" w:color="auto"/>
            </w:tcBorders>
            <w:shd w:val="clear" w:color="auto" w:fill="auto"/>
          </w:tcPr>
          <w:p w14:paraId="6582514F" w14:textId="77777777" w:rsidR="00C0526B" w:rsidRPr="009841AB" w:rsidRDefault="00C0526B" w:rsidP="00242E87">
            <w:r>
              <w:t>Lūdzu skatīt 3. pielikumu</w:t>
            </w:r>
          </w:p>
        </w:tc>
      </w:tr>
      <w:tr w:rsidR="00C0526B" w:rsidRPr="009841AB" w14:paraId="0F8E7951"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59745F5" w14:textId="2D9FAF7E" w:rsidR="00C0526B" w:rsidRDefault="00DC72A3" w:rsidP="00242E87">
            <w:pPr>
              <w:pStyle w:val="naisc"/>
              <w:spacing w:before="0" w:after="0"/>
            </w:pPr>
            <w:r>
              <w:t>581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763B9D2" w14:textId="77777777" w:rsidR="00C0526B" w:rsidRPr="009841AB" w:rsidRDefault="00C0526B" w:rsidP="00242E87">
            <w:pPr>
              <w:pStyle w:val="naisc"/>
              <w:spacing w:before="0" w:after="0"/>
              <w:jc w:val="left"/>
            </w:pPr>
            <w:r>
              <w:t>3.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7DC83D5" w14:textId="77777777" w:rsidR="00C0526B" w:rsidRPr="00A2793F" w:rsidRDefault="00C0526B" w:rsidP="00242E87">
            <w:pPr>
              <w:tabs>
                <w:tab w:val="left" w:pos="720"/>
              </w:tabs>
              <w:contextualSpacing/>
              <w:jc w:val="both"/>
              <w:rPr>
                <w:lang w:eastAsia="en-US"/>
              </w:rPr>
            </w:pPr>
            <w:r w:rsidRPr="00210564">
              <w:rPr>
                <w:lang w:eastAsia="en-US"/>
              </w:rPr>
              <w:t>6.</w:t>
            </w:r>
            <w:r>
              <w:rPr>
                <w:lang w:eastAsia="en-US"/>
              </w:rPr>
              <w:t xml:space="preserve"> </w:t>
            </w:r>
            <w:r w:rsidRPr="00210564">
              <w:rPr>
                <w:lang w:eastAsia="en-US"/>
              </w:rPr>
              <w:t xml:space="preserve">Vēršam uzmanību, ka uzdevums 4.4.6.-2. paredz ne tikai veselības, bet arī labklājības nozares datu </w:t>
            </w:r>
            <w:r w:rsidRPr="00210564">
              <w:rPr>
                <w:lang w:eastAsia="en-US"/>
              </w:rPr>
              <w:lastRenderedPageBreak/>
              <w:t xml:space="preserve">pieejamības koplietošanai nodrošināšanu, tomēr 3.pielikumā papildus finansējums plānots tikai Veselības ministrijai. </w:t>
            </w:r>
            <w:r w:rsidRPr="00B40A8F">
              <w:rPr>
                <w:lang w:eastAsia="en-US"/>
              </w:rPr>
              <w:t>Lūdzam 3.pielikumā norādīt, no kāda finansējuma tiks finansēta labklājības nozares  datu koplietošanas veicināšana un kāds finansējums tam paredzēts.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2030C928" w14:textId="77777777" w:rsidR="00AC3D88" w:rsidRPr="009841AB" w:rsidRDefault="00AC3D88" w:rsidP="00AC3D88">
            <w:pPr>
              <w:pStyle w:val="naisc"/>
              <w:jc w:val="left"/>
              <w:rPr>
                <w:b/>
                <w:bCs/>
                <w:color w:val="000000"/>
                <w:shd w:val="clear" w:color="auto" w:fill="FFFFFF"/>
              </w:rPr>
            </w:pPr>
            <w:r>
              <w:rPr>
                <w:b/>
                <w:bCs/>
                <w:color w:val="000000"/>
                <w:shd w:val="clear" w:color="auto" w:fill="FFFFFF"/>
              </w:rPr>
              <w:lastRenderedPageBreak/>
              <w:t>Panākta vienošanās</w:t>
            </w:r>
          </w:p>
          <w:p w14:paraId="2442CF99" w14:textId="77777777" w:rsidR="00C0526B" w:rsidRDefault="00C0526B" w:rsidP="00242E87">
            <w:pPr>
              <w:pStyle w:val="naisc"/>
              <w:spacing w:before="0" w:after="0"/>
              <w:jc w:val="both"/>
            </w:pPr>
            <w:r w:rsidRPr="00451FBA">
              <w:lastRenderedPageBreak/>
              <w:t>Labklājības ministrijas i</w:t>
            </w:r>
            <w:r>
              <w:t>nvestīcijas norādītas saistītajā aktivitāte “</w:t>
            </w:r>
            <w:r w:rsidRPr="00097E26">
              <w:t>4.4.6.-6</w:t>
            </w:r>
            <w:r>
              <w:t xml:space="preserve">  </w:t>
            </w:r>
            <w:r w:rsidRPr="00972AD4">
              <w:t>Nodrošināt e-aprūpes platformā vienotu sociālo pakalpojumu un sociālās palīdzības datu uzkrāšanu un analītiku par personai sniegto sociālo atbalstu</w:t>
            </w:r>
            <w:r>
              <w:t>”</w:t>
            </w:r>
          </w:p>
          <w:p w14:paraId="3222DE53" w14:textId="77777777" w:rsidR="00C0526B" w:rsidRDefault="00C0526B" w:rsidP="00242E87">
            <w:pPr>
              <w:pStyle w:val="naisc"/>
              <w:spacing w:before="0" w:after="0"/>
              <w:jc w:val="both"/>
            </w:pPr>
            <w:r>
              <w:t>Uzdevuma paskaidrojumu kolonnā iekļauta sasaiste ar uzdevumu 4.4.6.-6.</w:t>
            </w:r>
          </w:p>
          <w:p w14:paraId="7EB7E366" w14:textId="77777777" w:rsidR="00C0526B" w:rsidRDefault="00C0526B" w:rsidP="00242E87">
            <w:pPr>
              <w:pStyle w:val="naisc"/>
              <w:spacing w:before="0" w:after="0"/>
              <w:jc w:val="both"/>
            </w:pPr>
          </w:p>
          <w:p w14:paraId="6F9BCAAB" w14:textId="77777777" w:rsidR="00C0526B" w:rsidRPr="00451FBA" w:rsidRDefault="00C0526B" w:rsidP="00242E87">
            <w:pPr>
              <w:pStyle w:val="naisc"/>
              <w:spacing w:before="0" w:after="0"/>
              <w:jc w:val="both"/>
            </w:pPr>
            <w:r>
              <w:t>Detalizēta pasākumu plānošana īstenojama projektu plānošanas fāzē.</w:t>
            </w:r>
          </w:p>
        </w:tc>
        <w:tc>
          <w:tcPr>
            <w:tcW w:w="3504" w:type="dxa"/>
            <w:gridSpan w:val="2"/>
            <w:tcBorders>
              <w:top w:val="single" w:sz="4" w:space="0" w:color="auto"/>
              <w:left w:val="single" w:sz="4" w:space="0" w:color="auto"/>
              <w:bottom w:val="single" w:sz="4" w:space="0" w:color="auto"/>
            </w:tcBorders>
            <w:shd w:val="clear" w:color="auto" w:fill="auto"/>
          </w:tcPr>
          <w:p w14:paraId="46BB03D2" w14:textId="77777777" w:rsidR="00C0526B" w:rsidRPr="009841AB" w:rsidRDefault="00C0526B" w:rsidP="00242E87">
            <w:r>
              <w:lastRenderedPageBreak/>
              <w:t>Lūdzu skatīt 3. pielikumu</w:t>
            </w:r>
          </w:p>
        </w:tc>
      </w:tr>
      <w:tr w:rsidR="00C0526B" w:rsidRPr="009841AB" w14:paraId="29CD3DD5"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67D0CCB9" w14:textId="35AC9FB6" w:rsidR="00C0526B" w:rsidRDefault="00DC72A3" w:rsidP="00242E87">
            <w:pPr>
              <w:pStyle w:val="naisc"/>
              <w:spacing w:before="0" w:after="0"/>
            </w:pPr>
            <w:r>
              <w:t>582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04ACD2B" w14:textId="77777777" w:rsidR="00C0526B" w:rsidRPr="009841AB" w:rsidRDefault="00C0526B" w:rsidP="00242E87">
            <w:pPr>
              <w:pStyle w:val="naisc"/>
              <w:spacing w:before="0" w:after="0"/>
              <w:jc w:val="left"/>
            </w:pPr>
            <w:r>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0ADBD0A" w14:textId="77777777" w:rsidR="00C0526B" w:rsidRPr="00A2793F" w:rsidRDefault="00C0526B" w:rsidP="00242E87">
            <w:pPr>
              <w:tabs>
                <w:tab w:val="left" w:pos="720"/>
              </w:tabs>
              <w:contextualSpacing/>
              <w:jc w:val="both"/>
              <w:rPr>
                <w:lang w:eastAsia="en-US"/>
              </w:rPr>
            </w:pPr>
            <w:r w:rsidRPr="00210564">
              <w:rPr>
                <w:lang w:eastAsia="en-US"/>
              </w:rPr>
              <w:t>7.</w:t>
            </w:r>
            <w:r>
              <w:rPr>
                <w:lang w:eastAsia="en-US"/>
              </w:rPr>
              <w:t xml:space="preserve"> </w:t>
            </w:r>
            <w:r w:rsidRPr="00210564">
              <w:rPr>
                <w:lang w:eastAsia="en-US"/>
              </w:rPr>
              <w:t xml:space="preserve">Lūdzam norādīt </w:t>
            </w:r>
            <w:r w:rsidRPr="007409A5">
              <w:rPr>
                <w:lang w:eastAsia="en-US"/>
              </w:rPr>
              <w:t>VM kā līdzatbildīgo arī uzdevumā U4.1.2.-3 un U4.1.2.-1.</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43A2159" w14:textId="77777777" w:rsidR="00C0526B" w:rsidRPr="009E5445" w:rsidRDefault="00C0526B" w:rsidP="00242E87">
            <w:pPr>
              <w:pStyle w:val="naisc"/>
              <w:spacing w:before="0" w:after="0"/>
              <w:jc w:val="both"/>
              <w:rPr>
                <w:b/>
              </w:rPr>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451DF859" w14:textId="77777777" w:rsidR="00C0526B" w:rsidRPr="009841AB" w:rsidRDefault="00C0526B" w:rsidP="00242E87">
            <w:r w:rsidRPr="007409A5">
              <w:t>Lūdzu skatīt 4.1. sadaļu</w:t>
            </w:r>
          </w:p>
        </w:tc>
      </w:tr>
      <w:tr w:rsidR="00C0526B" w:rsidRPr="009841AB" w14:paraId="53322D06"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41C9E381" w14:textId="36FB4B23" w:rsidR="00C0526B" w:rsidRDefault="00DC72A3" w:rsidP="00242E87">
            <w:pPr>
              <w:pStyle w:val="naisc"/>
              <w:spacing w:before="0" w:after="0"/>
            </w:pPr>
            <w:r>
              <w:t>583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9299E82" w14:textId="77777777" w:rsidR="00C0526B" w:rsidRDefault="00C0526B" w:rsidP="00242E87">
            <w:pPr>
              <w:pStyle w:val="naisc"/>
              <w:spacing w:before="0" w:after="0"/>
              <w:jc w:val="left"/>
            </w:pPr>
            <w:r>
              <w:t>4.4. sadaļa</w:t>
            </w:r>
          </w:p>
          <w:p w14:paraId="4CB2C87A" w14:textId="77777777" w:rsidR="00C0526B" w:rsidRPr="009841AB" w:rsidRDefault="00C0526B" w:rsidP="00242E8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1C1D5DA" w14:textId="77777777" w:rsidR="00C0526B" w:rsidRPr="00A2793F" w:rsidRDefault="00C0526B" w:rsidP="00242E87">
            <w:pPr>
              <w:tabs>
                <w:tab w:val="left" w:pos="720"/>
              </w:tabs>
              <w:contextualSpacing/>
              <w:jc w:val="both"/>
              <w:rPr>
                <w:lang w:eastAsia="en-US"/>
              </w:rPr>
            </w:pPr>
            <w:r w:rsidRPr="00210564">
              <w:rPr>
                <w:lang w:eastAsia="en-US"/>
              </w:rPr>
              <w:t>8.</w:t>
            </w:r>
            <w:r>
              <w:rPr>
                <w:lang w:eastAsia="en-US"/>
              </w:rPr>
              <w:t xml:space="preserve"> </w:t>
            </w:r>
            <w:r w:rsidRPr="00210564">
              <w:rPr>
                <w:lang w:eastAsia="en-US"/>
              </w:rPr>
              <w:t xml:space="preserve">Lūdzam </w:t>
            </w:r>
            <w:r w:rsidRPr="00B83F38">
              <w:rPr>
                <w:lang w:eastAsia="en-US"/>
              </w:rPr>
              <w:t>RV 4.4.6. Nepieciešamās rīcības 7. punktu izteikt šādi:</w:t>
            </w:r>
            <w:r w:rsidRPr="00210564">
              <w:rPr>
                <w:lang w:eastAsia="en-US"/>
              </w:rPr>
              <w:t xml:space="preserve"> "7.Jārisina jautājums par resursu piesaisti veselības un labklājības nozares IS uzturēšanai, attīstībai un pieaugošā datu apjoma uzkrāšanai. Jā</w:t>
            </w:r>
            <w:r>
              <w:rPr>
                <w:lang w:eastAsia="en-US"/>
              </w:rPr>
              <w:t>u</w:t>
            </w:r>
            <w:r w:rsidRPr="00210564">
              <w:rPr>
                <w:lang w:eastAsia="en-US"/>
              </w:rPr>
              <w:t xml:space="preserve">zlabo veselības nozares digitālo risinājumu pārvaldība, stiprinot VM resora digitālo risinājumu projektu vadības un IT atbalsta kapacitāti un kompetenci.".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435C465" w14:textId="77777777" w:rsidR="00C0526B" w:rsidRPr="009841A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1DBC1303" w14:textId="77777777" w:rsidR="00C0526B" w:rsidRPr="009841AB" w:rsidRDefault="00C0526B" w:rsidP="00242E87">
            <w:r w:rsidRPr="007409A5">
              <w:t>Lūdzu skatīt 4.</w:t>
            </w:r>
            <w:r>
              <w:t>4</w:t>
            </w:r>
            <w:r w:rsidRPr="007409A5">
              <w:t>. sadaļu</w:t>
            </w:r>
          </w:p>
        </w:tc>
      </w:tr>
      <w:tr w:rsidR="00C0526B" w:rsidRPr="009841AB" w14:paraId="554E17E9"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46F6330E" w14:textId="7E009223" w:rsidR="00C0526B" w:rsidRDefault="00DC72A3" w:rsidP="00242E87">
            <w:pPr>
              <w:pStyle w:val="naisc"/>
              <w:spacing w:before="0" w:after="0"/>
            </w:pPr>
            <w:r>
              <w:t>584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E118995"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1D80FBE" w14:textId="77777777" w:rsidR="00C0526B" w:rsidRDefault="00C0526B" w:rsidP="00242E87">
            <w:pPr>
              <w:tabs>
                <w:tab w:val="left" w:pos="720"/>
              </w:tabs>
              <w:contextualSpacing/>
              <w:jc w:val="both"/>
              <w:rPr>
                <w:lang w:eastAsia="en-US"/>
              </w:rPr>
            </w:pPr>
            <w:r w:rsidRPr="00210564">
              <w:rPr>
                <w:lang w:eastAsia="en-US"/>
              </w:rPr>
              <w:t>9.</w:t>
            </w:r>
            <w:r>
              <w:rPr>
                <w:lang w:eastAsia="en-US"/>
              </w:rPr>
              <w:t xml:space="preserve"> </w:t>
            </w:r>
            <w:r w:rsidRPr="00391952">
              <w:rPr>
                <w:lang w:eastAsia="en-US"/>
              </w:rPr>
              <w:t>Izteikt pamatnostādņu 41.atsauci šādā redakcijā</w:t>
            </w:r>
            <w:r w:rsidRPr="00210564">
              <w:rPr>
                <w:lang w:eastAsia="en-US"/>
              </w:rPr>
              <w:t xml:space="preserve">:  Jāņem vērā, ka izstrādē ir arī Sabiedrības veselības pamatnostādnes 2021-2027. gadam, kas var detalizēt atsevišķus Digitālās transformācijas pamatnostādnēs </w:t>
            </w:r>
            <w:r w:rsidRPr="00210564">
              <w:rPr>
                <w:lang w:eastAsia="en-US"/>
              </w:rPr>
              <w:lastRenderedPageBreak/>
              <w:t>2021-2027. gadam noteiktos uzdevumus un sagaidāmos rezultātus, kā arī tos papildināt."</w:t>
            </w:r>
          </w:p>
          <w:p w14:paraId="48E0B42E" w14:textId="77777777" w:rsidR="00C0526B" w:rsidRPr="00210564" w:rsidRDefault="00C0526B" w:rsidP="00242E87">
            <w:pPr>
              <w:rPr>
                <w:color w:val="000000"/>
              </w:rPr>
            </w:pPr>
            <w:r>
              <w:rPr>
                <w:rFonts w:cstheme="minorBidi"/>
                <w:color w:val="000000"/>
                <w:sz w:val="20"/>
                <w:szCs w:val="20"/>
                <w:lang w:eastAsia="en-US"/>
              </w:rPr>
              <w:t>Pielikumā VM precizējumi pamatnostādnēs.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F6D1F7A" w14:textId="77777777" w:rsidR="00C0526B" w:rsidRDefault="00C0526B" w:rsidP="00242E87">
            <w:pPr>
              <w:pStyle w:val="naisc"/>
              <w:spacing w:before="0" w:after="0"/>
              <w:jc w:val="both"/>
              <w:rPr>
                <w:b/>
                <w:bCs/>
              </w:rPr>
            </w:pPr>
            <w:r>
              <w:rPr>
                <w:b/>
                <w:bCs/>
              </w:rPr>
              <w:lastRenderedPageBreak/>
              <w:t>Ņemts vērā</w:t>
            </w:r>
          </w:p>
          <w:p w14:paraId="485D7232" w14:textId="77777777" w:rsidR="00C0526B" w:rsidRPr="009841AB" w:rsidRDefault="00C0526B" w:rsidP="00242E87">
            <w:pPr>
              <w:pStyle w:val="naisc"/>
              <w:spacing w:before="0" w:after="0"/>
              <w:jc w:val="both"/>
            </w:pPr>
            <w:r>
              <w:t>Pamatnostādņu 43. (iepriekš 41.) atsauce izteikta jaunā redakcijā</w:t>
            </w:r>
          </w:p>
        </w:tc>
        <w:tc>
          <w:tcPr>
            <w:tcW w:w="3504" w:type="dxa"/>
            <w:gridSpan w:val="2"/>
            <w:tcBorders>
              <w:top w:val="single" w:sz="4" w:space="0" w:color="auto"/>
              <w:left w:val="single" w:sz="4" w:space="0" w:color="auto"/>
              <w:bottom w:val="single" w:sz="4" w:space="0" w:color="auto"/>
            </w:tcBorders>
            <w:shd w:val="clear" w:color="auto" w:fill="auto"/>
          </w:tcPr>
          <w:p w14:paraId="43F2D124" w14:textId="77777777" w:rsidR="00C0526B" w:rsidRPr="009841AB" w:rsidRDefault="00C0526B" w:rsidP="00242E87">
            <w:r w:rsidRPr="007409A5">
              <w:t>Lūdzu skatīt 4.</w:t>
            </w:r>
            <w:r>
              <w:t>4</w:t>
            </w:r>
            <w:r w:rsidRPr="007409A5">
              <w:t>. sadaļu</w:t>
            </w:r>
          </w:p>
        </w:tc>
      </w:tr>
      <w:tr w:rsidR="00C0526B" w:rsidRPr="009841AB" w14:paraId="5E861694" w14:textId="77777777" w:rsidTr="00242E87">
        <w:tc>
          <w:tcPr>
            <w:tcW w:w="14451" w:type="dxa"/>
            <w:gridSpan w:val="6"/>
            <w:tcBorders>
              <w:left w:val="single" w:sz="6" w:space="0" w:color="000000" w:themeColor="text1"/>
              <w:bottom w:val="single" w:sz="4" w:space="0" w:color="auto"/>
            </w:tcBorders>
            <w:shd w:val="clear" w:color="auto" w:fill="auto"/>
          </w:tcPr>
          <w:p w14:paraId="2FF82A93" w14:textId="77777777" w:rsidR="00C0526B" w:rsidRPr="009841AB" w:rsidRDefault="00C0526B" w:rsidP="00242E87">
            <w:r>
              <w:rPr>
                <w:b/>
                <w:bCs/>
              </w:rPr>
              <w:t>Izglītības un zinātnes</w:t>
            </w:r>
            <w:r w:rsidRPr="00A2793F">
              <w:rPr>
                <w:b/>
                <w:bCs/>
              </w:rPr>
              <w:t xml:space="preserve"> ministrijas 1</w:t>
            </w:r>
            <w:r>
              <w:rPr>
                <w:b/>
                <w:bCs/>
              </w:rPr>
              <w:t>7</w:t>
            </w:r>
            <w:r w:rsidRPr="00A2793F">
              <w:rPr>
                <w:b/>
                <w:bCs/>
              </w:rPr>
              <w:t>.05.2021. atzinums:</w:t>
            </w:r>
          </w:p>
        </w:tc>
      </w:tr>
      <w:tr w:rsidR="00C0526B" w:rsidRPr="009841AB" w14:paraId="7F780B7C"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591D090D" w14:textId="113BA00B" w:rsidR="00C0526B" w:rsidRDefault="00DC72A3" w:rsidP="00242E87">
            <w:pPr>
              <w:pStyle w:val="naisc"/>
              <w:spacing w:before="0" w:after="0"/>
            </w:pPr>
            <w:r>
              <w:t>585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9F11708" w14:textId="77777777" w:rsidR="00C0526B" w:rsidRDefault="00C0526B" w:rsidP="00242E87">
            <w:pPr>
              <w:pStyle w:val="naisc"/>
              <w:spacing w:before="0" w:after="0"/>
              <w:jc w:val="left"/>
            </w:pPr>
            <w:r>
              <w:t>Ievads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10D698B" w14:textId="77777777" w:rsidR="00C0526B" w:rsidRPr="00210564" w:rsidRDefault="00C0526B" w:rsidP="00242E87">
            <w:pPr>
              <w:tabs>
                <w:tab w:val="left" w:pos="720"/>
              </w:tabs>
              <w:contextualSpacing/>
              <w:jc w:val="both"/>
              <w:rPr>
                <w:lang w:eastAsia="en-US"/>
              </w:rPr>
            </w:pPr>
            <w:r w:rsidRPr="0097355C">
              <w:rPr>
                <w:lang w:eastAsia="en-US"/>
              </w:rPr>
              <w:t>1.</w:t>
            </w:r>
            <w:r w:rsidRPr="0097355C">
              <w:rPr>
                <w:lang w:eastAsia="en-US"/>
              </w:rPr>
              <w:tab/>
            </w:r>
            <w:r w:rsidRPr="008E28A4">
              <w:rPr>
                <w:lang w:eastAsia="en-US"/>
              </w:rPr>
              <w:t>Iekļaut “Izglītības attīstības pamatnostādnes 2021.-2027.gadam “Nākotnes prasmes nākotnes sabiedrībai”</w:t>
            </w:r>
            <w:r w:rsidRPr="0097355C">
              <w:rPr>
                <w:lang w:eastAsia="en-US"/>
              </w:rPr>
              <w:t xml:space="preserve"> (atbalstītas Saeimā 2021.gada 21.aprīlī) kā attīstības plānošanas dokumentu ar kuru ir veikta </w:t>
            </w:r>
            <w:proofErr w:type="spellStart"/>
            <w:r w:rsidRPr="0097355C">
              <w:rPr>
                <w:lang w:eastAsia="en-US"/>
              </w:rPr>
              <w:t>sasaite</w:t>
            </w:r>
            <w:proofErr w:type="spellEnd"/>
            <w:r w:rsidRPr="0097355C">
              <w:rPr>
                <w:lang w:eastAsia="en-US"/>
              </w:rPr>
              <w:t xml:space="preserve"> pamatnostādnēs.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A96D8F5" w14:textId="77777777" w:rsidR="00C0526B" w:rsidRDefault="00C0526B" w:rsidP="00242E87">
            <w:pPr>
              <w:pStyle w:val="naisc"/>
              <w:spacing w:before="0" w:after="0"/>
              <w:jc w:val="both"/>
              <w:rPr>
                <w:b/>
                <w:bCs/>
              </w:rPr>
            </w:pPr>
            <w:r>
              <w:rPr>
                <w:b/>
                <w:bCs/>
              </w:rPr>
              <w:t>Ņemts vērā</w:t>
            </w:r>
          </w:p>
          <w:p w14:paraId="480DF237" w14:textId="77777777" w:rsidR="00C0526B" w:rsidRPr="009841AB" w:rsidRDefault="00C0526B" w:rsidP="00242E87">
            <w:pPr>
              <w:pStyle w:val="naisc"/>
              <w:spacing w:before="0" w:after="0"/>
              <w:jc w:val="both"/>
            </w:pPr>
          </w:p>
        </w:tc>
        <w:tc>
          <w:tcPr>
            <w:tcW w:w="3504" w:type="dxa"/>
            <w:gridSpan w:val="2"/>
            <w:tcBorders>
              <w:top w:val="single" w:sz="4" w:space="0" w:color="auto"/>
              <w:left w:val="single" w:sz="4" w:space="0" w:color="auto"/>
              <w:bottom w:val="single" w:sz="4" w:space="0" w:color="auto"/>
            </w:tcBorders>
            <w:shd w:val="clear" w:color="auto" w:fill="auto"/>
          </w:tcPr>
          <w:p w14:paraId="5A11FF32" w14:textId="77777777" w:rsidR="00C0526B" w:rsidRPr="009841AB" w:rsidRDefault="00C0526B" w:rsidP="00242E87">
            <w:r w:rsidRPr="00837008">
              <w:t>Lūdzu skatīt Ievadu</w:t>
            </w:r>
          </w:p>
        </w:tc>
      </w:tr>
      <w:tr w:rsidR="00C0526B" w:rsidRPr="009841AB" w14:paraId="11023463"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3B5D8A96" w14:textId="2A9FA3DC" w:rsidR="00C0526B" w:rsidRDefault="00DC72A3" w:rsidP="00242E87">
            <w:pPr>
              <w:pStyle w:val="naisc"/>
              <w:spacing w:before="0" w:after="0"/>
            </w:pPr>
            <w:r>
              <w:t>586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E9A5DC2" w14:textId="77777777" w:rsidR="00C0526B" w:rsidRDefault="00C0526B" w:rsidP="00242E87">
            <w:pPr>
              <w:pStyle w:val="naisc"/>
              <w:spacing w:before="0" w:after="0"/>
              <w:jc w:val="left"/>
            </w:pPr>
            <w:r>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30B96F8" w14:textId="77777777" w:rsidR="00C0526B" w:rsidRPr="00210564" w:rsidRDefault="00C0526B" w:rsidP="00242E87">
            <w:pPr>
              <w:tabs>
                <w:tab w:val="left" w:pos="720"/>
              </w:tabs>
              <w:contextualSpacing/>
              <w:jc w:val="both"/>
              <w:rPr>
                <w:lang w:eastAsia="en-US"/>
              </w:rPr>
            </w:pPr>
            <w:r w:rsidRPr="0097355C">
              <w:rPr>
                <w:lang w:eastAsia="en-US"/>
              </w:rPr>
              <w:t>2.</w:t>
            </w:r>
            <w:r w:rsidRPr="0097355C">
              <w:rPr>
                <w:lang w:eastAsia="en-US"/>
              </w:rPr>
              <w:tab/>
              <w:t xml:space="preserve">Atkārtoti lūdzam </w:t>
            </w:r>
            <w:r w:rsidRPr="00977956">
              <w:rPr>
                <w:lang w:eastAsia="en-US"/>
              </w:rPr>
              <w:t>izteikt uzdevumu U4.1.2.-1 šādā redakcijā</w:t>
            </w:r>
            <w:r w:rsidRPr="0097355C">
              <w:rPr>
                <w:lang w:eastAsia="en-US"/>
              </w:rPr>
              <w:t xml:space="preserve"> “Stiprināt Pieaugušo izglītības pārvaldības padomes funkcijas attiecībā uz digitālo prasmju pārvaldību”, uzdevuma beigu izpildes termiņu nosakot 2023.gadu.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EAB8A79" w14:textId="77777777" w:rsidR="00C0526B" w:rsidRDefault="00C0526B" w:rsidP="00242E87">
            <w:pPr>
              <w:pStyle w:val="naisc"/>
              <w:spacing w:before="0" w:after="0"/>
              <w:jc w:val="both"/>
              <w:rPr>
                <w:b/>
                <w:bCs/>
              </w:rPr>
            </w:pPr>
            <w:r>
              <w:rPr>
                <w:b/>
                <w:bCs/>
              </w:rPr>
              <w:t>Ņemts vērā</w:t>
            </w:r>
          </w:p>
          <w:p w14:paraId="15EC30C1" w14:textId="77777777" w:rsidR="00C0526B" w:rsidRPr="009841AB" w:rsidRDefault="00C0526B" w:rsidP="00242E87">
            <w:pPr>
              <w:pStyle w:val="naisc"/>
              <w:spacing w:before="0" w:after="0"/>
              <w:jc w:val="both"/>
            </w:pPr>
            <w:r>
              <w:t>Vienlaikus apvienojot ar v</w:t>
            </w:r>
            <w:r w:rsidRPr="00607DD6">
              <w:t>ienot</w:t>
            </w:r>
            <w:r>
              <w:t>u</w:t>
            </w:r>
            <w:r w:rsidRPr="00607DD6">
              <w:t xml:space="preserve"> koordinētas rīcības plāna izstrād</w:t>
            </w:r>
            <w:r>
              <w:t>i</w:t>
            </w:r>
            <w:r w:rsidRPr="00607DD6">
              <w:t xml:space="preserve"> un ieviešan</w:t>
            </w:r>
            <w:r>
              <w:t>u</w:t>
            </w:r>
            <w:r w:rsidRPr="00607DD6">
              <w:t xml:space="preserve"> digitālo prasmju kā caurviju </w:t>
            </w:r>
            <w:proofErr w:type="spellStart"/>
            <w:r w:rsidRPr="00607DD6">
              <w:t>pamatprasmju</w:t>
            </w:r>
            <w:proofErr w:type="spellEnd"/>
            <w:r w:rsidRPr="00607DD6">
              <w:t xml:space="preserve"> apguves nodrošināšanai iedzīvotājiem, tostarp meitenēm un sievietēm, un uzņēmējiem ar mērķi sasniegt ES dalībvalstu vidējo līmeni digitālo kompetenču jomā.</w:t>
            </w:r>
          </w:p>
        </w:tc>
        <w:tc>
          <w:tcPr>
            <w:tcW w:w="3504" w:type="dxa"/>
            <w:gridSpan w:val="2"/>
            <w:tcBorders>
              <w:top w:val="single" w:sz="4" w:space="0" w:color="auto"/>
              <w:left w:val="single" w:sz="4" w:space="0" w:color="auto"/>
              <w:bottom w:val="single" w:sz="4" w:space="0" w:color="auto"/>
            </w:tcBorders>
            <w:shd w:val="clear" w:color="auto" w:fill="auto"/>
          </w:tcPr>
          <w:p w14:paraId="21172C10" w14:textId="77777777" w:rsidR="00C0526B" w:rsidRPr="009841AB" w:rsidRDefault="00C0526B" w:rsidP="00242E87">
            <w:r w:rsidRPr="007409A5">
              <w:t>Lūdzu skatīt 4.</w:t>
            </w:r>
            <w:r>
              <w:t>1</w:t>
            </w:r>
            <w:r w:rsidRPr="007409A5">
              <w:t>. sadaļu</w:t>
            </w:r>
          </w:p>
        </w:tc>
      </w:tr>
      <w:tr w:rsidR="00C0526B" w:rsidRPr="009841AB" w14:paraId="11171591"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1CA073E3" w14:textId="26A191A9" w:rsidR="00C0526B" w:rsidRDefault="00DC72A3" w:rsidP="00242E87">
            <w:pPr>
              <w:pStyle w:val="naisc"/>
              <w:spacing w:before="0" w:after="0"/>
            </w:pPr>
            <w:r>
              <w:t>587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28A8E9A" w14:textId="77777777" w:rsidR="00C0526B" w:rsidRDefault="00C0526B" w:rsidP="00242E87">
            <w:pPr>
              <w:pStyle w:val="naisc"/>
              <w:spacing w:before="0" w:after="0"/>
              <w:jc w:val="left"/>
            </w:pPr>
            <w:r>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88D7A32" w14:textId="77777777" w:rsidR="00C0526B" w:rsidRPr="00210564" w:rsidRDefault="00C0526B" w:rsidP="00242E87">
            <w:pPr>
              <w:tabs>
                <w:tab w:val="left" w:pos="720"/>
              </w:tabs>
              <w:contextualSpacing/>
              <w:jc w:val="both"/>
              <w:rPr>
                <w:lang w:eastAsia="en-US"/>
              </w:rPr>
            </w:pPr>
            <w:r w:rsidRPr="0097355C">
              <w:rPr>
                <w:lang w:eastAsia="en-US"/>
              </w:rPr>
              <w:t>3.</w:t>
            </w:r>
            <w:r w:rsidRPr="0097355C">
              <w:rPr>
                <w:lang w:eastAsia="en-US"/>
              </w:rPr>
              <w:tab/>
              <w:t xml:space="preserve">Lūdzam </w:t>
            </w:r>
            <w:r w:rsidRPr="00A24502">
              <w:rPr>
                <w:lang w:eastAsia="en-US"/>
              </w:rPr>
              <w:t>izteikt uzdevumu U4.1.2.-2 šādā redakcijā</w:t>
            </w:r>
            <w:r w:rsidRPr="0097355C">
              <w:rPr>
                <w:lang w:eastAsia="en-US"/>
              </w:rPr>
              <w:t xml:space="preserve"> “Individuālo mācību kontu pieejas attīstība un pilotēšana digitālo prasmju apgūšanai pieaugušajiem (ANM)”.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695983E" w14:textId="77777777" w:rsidR="00C0526B" w:rsidRDefault="00C0526B" w:rsidP="00242E87">
            <w:pPr>
              <w:pStyle w:val="naisc"/>
              <w:spacing w:before="0" w:after="0"/>
              <w:jc w:val="both"/>
              <w:rPr>
                <w:b/>
                <w:bCs/>
              </w:rPr>
            </w:pPr>
            <w:r>
              <w:rPr>
                <w:b/>
                <w:bCs/>
              </w:rPr>
              <w:t>Ņemts vērā</w:t>
            </w:r>
          </w:p>
          <w:p w14:paraId="43FE78AF" w14:textId="77777777" w:rsidR="00C0526B" w:rsidRPr="009841AB" w:rsidRDefault="00C0526B" w:rsidP="00242E87">
            <w:pPr>
              <w:pStyle w:val="naisc"/>
              <w:spacing w:before="0" w:after="0"/>
              <w:jc w:val="both"/>
            </w:pPr>
            <w:r>
              <w:t>Vienlaikus minēto redakciju ietverot kā daļu no uzdevuma: “</w:t>
            </w:r>
            <w:r w:rsidRPr="00443900">
              <w:t>Sabiedrības digitālo prasmju attīstības programmas īstenošana</w:t>
            </w:r>
            <w:r>
              <w:t>.”</w:t>
            </w:r>
          </w:p>
        </w:tc>
        <w:tc>
          <w:tcPr>
            <w:tcW w:w="3504" w:type="dxa"/>
            <w:gridSpan w:val="2"/>
            <w:tcBorders>
              <w:top w:val="single" w:sz="4" w:space="0" w:color="auto"/>
              <w:left w:val="single" w:sz="4" w:space="0" w:color="auto"/>
              <w:bottom w:val="single" w:sz="4" w:space="0" w:color="auto"/>
            </w:tcBorders>
            <w:shd w:val="clear" w:color="auto" w:fill="auto"/>
          </w:tcPr>
          <w:p w14:paraId="1468BC93" w14:textId="77777777" w:rsidR="00C0526B" w:rsidRPr="009841AB" w:rsidRDefault="00C0526B" w:rsidP="00242E87">
            <w:r w:rsidRPr="007409A5">
              <w:t>Lūdzu skatīt 4.</w:t>
            </w:r>
            <w:r>
              <w:t>1</w:t>
            </w:r>
            <w:r w:rsidRPr="007409A5">
              <w:t>. sadaļu</w:t>
            </w:r>
          </w:p>
        </w:tc>
      </w:tr>
      <w:tr w:rsidR="00C0526B" w:rsidRPr="009841AB" w14:paraId="65ACE04D"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3DA31E10" w14:textId="7C371CF4" w:rsidR="00C0526B" w:rsidRDefault="00346F53" w:rsidP="00242E87">
            <w:pPr>
              <w:pStyle w:val="naisc"/>
              <w:spacing w:before="0" w:after="0"/>
            </w:pPr>
            <w:r>
              <w:t>588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5C5231B" w14:textId="77777777" w:rsidR="00C0526B" w:rsidRPr="009841AB" w:rsidRDefault="00C0526B" w:rsidP="00242E87">
            <w:pPr>
              <w:pStyle w:val="naisc"/>
              <w:spacing w:before="0" w:after="0"/>
              <w:jc w:val="left"/>
            </w:pPr>
            <w:r>
              <w:t>4.1.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6E08DBC" w14:textId="77777777" w:rsidR="00C0526B" w:rsidRPr="00A2793F" w:rsidRDefault="00C0526B" w:rsidP="00242E87">
            <w:pPr>
              <w:tabs>
                <w:tab w:val="left" w:pos="720"/>
              </w:tabs>
              <w:contextualSpacing/>
              <w:jc w:val="both"/>
              <w:rPr>
                <w:lang w:eastAsia="en-US"/>
              </w:rPr>
            </w:pPr>
            <w:r w:rsidRPr="0097355C">
              <w:rPr>
                <w:lang w:eastAsia="en-US"/>
              </w:rPr>
              <w:t>4.</w:t>
            </w:r>
            <w:r w:rsidRPr="0097355C">
              <w:rPr>
                <w:lang w:eastAsia="en-US"/>
              </w:rPr>
              <w:tab/>
              <w:t xml:space="preserve">Atkārtoti lūdzam </w:t>
            </w:r>
            <w:r w:rsidRPr="0038723E">
              <w:rPr>
                <w:lang w:eastAsia="en-US"/>
              </w:rPr>
              <w:t>papildināt pamatnostādņu projektu ar uzdevumu U4.1.2.-5</w:t>
            </w:r>
            <w:r w:rsidRPr="0097355C">
              <w:rPr>
                <w:lang w:eastAsia="en-US"/>
              </w:rPr>
              <w:t xml:space="preserve"> “Komunikācijas un  iesaistes motivēšanas iniciatīvas, t.sk. sieviešu </w:t>
            </w:r>
            <w:r w:rsidRPr="0097355C">
              <w:rPr>
                <w:lang w:eastAsia="en-US"/>
              </w:rPr>
              <w:lastRenderedPageBreak/>
              <w:t xml:space="preserve">līdzdalības veicināšanu”, nosakot par atbildīgo VARAM un IZM, kā arī Labklājības ministriju par līdzatbildīgiem.  </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FAA57B6" w14:textId="77777777" w:rsidR="00C0526B" w:rsidRDefault="00C0526B" w:rsidP="00242E87">
            <w:pPr>
              <w:pStyle w:val="naisc"/>
              <w:spacing w:before="0" w:after="0"/>
              <w:jc w:val="both"/>
              <w:rPr>
                <w:b/>
                <w:bCs/>
              </w:rPr>
            </w:pPr>
            <w:r>
              <w:rPr>
                <w:b/>
                <w:bCs/>
              </w:rPr>
              <w:lastRenderedPageBreak/>
              <w:t>Ņemts vērā</w:t>
            </w:r>
          </w:p>
          <w:p w14:paraId="54F3C8F8" w14:textId="77777777" w:rsidR="00C0526B" w:rsidRPr="00FF41F8" w:rsidRDefault="00C0526B" w:rsidP="00242E87">
            <w:pPr>
              <w:pStyle w:val="naisc"/>
              <w:spacing w:before="0" w:after="0"/>
              <w:jc w:val="both"/>
            </w:pPr>
            <w:r>
              <w:t>Iestrādāts U4.1.2.-4.</w:t>
            </w:r>
          </w:p>
          <w:p w14:paraId="2771A27E" w14:textId="77777777" w:rsidR="00C0526B" w:rsidRPr="009841AB" w:rsidRDefault="00C0526B" w:rsidP="00242E87">
            <w:pPr>
              <w:pStyle w:val="naisc"/>
              <w:spacing w:before="0" w:after="0"/>
              <w:jc w:val="both"/>
            </w:pPr>
          </w:p>
        </w:tc>
        <w:tc>
          <w:tcPr>
            <w:tcW w:w="3504" w:type="dxa"/>
            <w:gridSpan w:val="2"/>
            <w:tcBorders>
              <w:top w:val="single" w:sz="4" w:space="0" w:color="auto"/>
              <w:left w:val="single" w:sz="4" w:space="0" w:color="auto"/>
              <w:bottom w:val="single" w:sz="4" w:space="0" w:color="auto"/>
            </w:tcBorders>
            <w:shd w:val="clear" w:color="auto" w:fill="auto"/>
          </w:tcPr>
          <w:p w14:paraId="4D7391CA" w14:textId="77777777" w:rsidR="00C0526B" w:rsidRPr="009841AB" w:rsidRDefault="00C0526B" w:rsidP="00242E87">
            <w:r w:rsidRPr="007409A5">
              <w:t>Lūdzu skatīt 4.</w:t>
            </w:r>
            <w:r>
              <w:t>1</w:t>
            </w:r>
            <w:r w:rsidRPr="007409A5">
              <w:t>. sadaļu</w:t>
            </w:r>
          </w:p>
        </w:tc>
      </w:tr>
      <w:tr w:rsidR="00C0526B" w:rsidRPr="009841AB" w14:paraId="2A84D554" w14:textId="77777777" w:rsidTr="00242E87">
        <w:tc>
          <w:tcPr>
            <w:tcW w:w="14451" w:type="dxa"/>
            <w:gridSpan w:val="6"/>
            <w:tcBorders>
              <w:left w:val="single" w:sz="6" w:space="0" w:color="000000" w:themeColor="text1"/>
              <w:bottom w:val="single" w:sz="4" w:space="0" w:color="auto"/>
            </w:tcBorders>
            <w:shd w:val="clear" w:color="auto" w:fill="auto"/>
          </w:tcPr>
          <w:p w14:paraId="3425D5B8" w14:textId="77777777" w:rsidR="00C0526B" w:rsidRPr="009841AB" w:rsidRDefault="00C0526B" w:rsidP="00242E87">
            <w:r>
              <w:rPr>
                <w:b/>
                <w:bCs/>
              </w:rPr>
              <w:t>Ekonomikas</w:t>
            </w:r>
            <w:r w:rsidRPr="00A2793F">
              <w:rPr>
                <w:b/>
                <w:bCs/>
              </w:rPr>
              <w:t xml:space="preserve"> ministrijas 1</w:t>
            </w:r>
            <w:r>
              <w:rPr>
                <w:b/>
                <w:bCs/>
              </w:rPr>
              <w:t>9</w:t>
            </w:r>
            <w:r w:rsidRPr="00A2793F">
              <w:rPr>
                <w:b/>
                <w:bCs/>
              </w:rPr>
              <w:t>.05.2021.</w:t>
            </w:r>
            <w:r>
              <w:rPr>
                <w:b/>
                <w:bCs/>
              </w:rPr>
              <w:t xml:space="preserve"> </w:t>
            </w:r>
            <w:r w:rsidRPr="00A2793F">
              <w:rPr>
                <w:b/>
                <w:bCs/>
              </w:rPr>
              <w:t>atzinums:</w:t>
            </w:r>
          </w:p>
        </w:tc>
      </w:tr>
      <w:tr w:rsidR="00C0526B" w:rsidRPr="009841AB" w14:paraId="7C1C7E25"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44F8B70E" w14:textId="098708CE" w:rsidR="00C0526B" w:rsidRDefault="00346F53" w:rsidP="00242E87">
            <w:pPr>
              <w:pStyle w:val="naisc"/>
              <w:spacing w:before="0" w:after="0"/>
            </w:pPr>
            <w:r>
              <w:t>589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4936F20" w14:textId="77777777" w:rsidR="00C0526B" w:rsidRPr="009841AB" w:rsidRDefault="00C0526B" w:rsidP="00242E87">
            <w:pPr>
              <w:pStyle w:val="naisc"/>
              <w:spacing w:before="0" w:after="0"/>
              <w:jc w:val="left"/>
            </w:pPr>
            <w:r>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71AECB2" w14:textId="77777777" w:rsidR="00C0526B" w:rsidRDefault="00C0526B" w:rsidP="00242E87">
            <w:pPr>
              <w:tabs>
                <w:tab w:val="left" w:pos="720"/>
              </w:tabs>
              <w:contextualSpacing/>
              <w:jc w:val="both"/>
              <w:rPr>
                <w:lang w:eastAsia="en-US"/>
              </w:rPr>
            </w:pPr>
            <w:r>
              <w:rPr>
                <w:lang w:eastAsia="en-US"/>
              </w:rPr>
              <w:t>1.</w:t>
            </w:r>
            <w:r>
              <w:tab/>
            </w:r>
            <w:r>
              <w:rPr>
                <w:lang w:eastAsia="en-US"/>
              </w:rPr>
              <w:t xml:space="preserve">Lūdzam </w:t>
            </w:r>
            <w:r w:rsidRPr="201E3FBA">
              <w:rPr>
                <w:lang w:eastAsia="en-US"/>
              </w:rPr>
              <w:t>papildināt Pamatnostādņu projektu ar prasību izstrādāt vienotās prasības ārvalstniekiem attiecībā uz e-identifikāciju un e-pakalpojumu izmantošanu, kā arī pilnveidot regulējumu, nosakot visu ministriju regulējumos vienoto datu apjomu ārvalstniekiem. Noteikt pārejas periodu vēsturisko datu sakārtošanai valstī.</w:t>
            </w:r>
            <w:r>
              <w:rPr>
                <w:lang w:eastAsia="en-US"/>
              </w:rPr>
              <w:t xml:space="preserve"> </w:t>
            </w:r>
          </w:p>
          <w:p w14:paraId="5EF77334" w14:textId="77777777" w:rsidR="00C0526B" w:rsidRDefault="00C0526B" w:rsidP="00242E87">
            <w:pPr>
              <w:tabs>
                <w:tab w:val="left" w:pos="720"/>
              </w:tabs>
              <w:contextualSpacing/>
              <w:jc w:val="both"/>
              <w:rPr>
                <w:lang w:eastAsia="en-US"/>
              </w:rPr>
            </w:pPr>
            <w:r>
              <w:rPr>
                <w:lang w:eastAsia="en-US"/>
              </w:rPr>
              <w:tab/>
              <w:t xml:space="preserve">Tāpat būtu nepieciešams </w:t>
            </w:r>
            <w:r w:rsidRPr="201E3FBA">
              <w:rPr>
                <w:lang w:eastAsia="en-US"/>
              </w:rPr>
              <w:t>precizēt Pamatnostādņu projekta 3. apakšpunktu attiecībā uz metodēm, ar kādām plānots panākt ārvalstnieku attālināto identifikāciju</w:t>
            </w:r>
            <w:r>
              <w:rPr>
                <w:lang w:eastAsia="en-US"/>
              </w:rPr>
              <w:t xml:space="preserve"> – </w:t>
            </w:r>
            <w:proofErr w:type="spellStart"/>
            <w:r>
              <w:rPr>
                <w:lang w:eastAsia="en-US"/>
              </w:rPr>
              <w:t>eIDAS</w:t>
            </w:r>
            <w:proofErr w:type="spellEnd"/>
            <w:r>
              <w:rPr>
                <w:lang w:eastAsia="en-US"/>
              </w:rPr>
              <w:t xml:space="preserve"> </w:t>
            </w:r>
            <w:proofErr w:type="spellStart"/>
            <w:r>
              <w:rPr>
                <w:lang w:eastAsia="en-US"/>
              </w:rPr>
              <w:t>ucc</w:t>
            </w:r>
            <w:proofErr w:type="spellEnd"/>
            <w:r>
              <w:rPr>
                <w:lang w:eastAsia="en-US"/>
              </w:rPr>
              <w:t xml:space="preserve">. Šobrīd esošo redakciju var interpretēt tādējādi, ka šajā procesā tiek iesaistīti notāri, kas nav atbilstoša VARAM un Tieslietu  ministrijas sniegtajai informācijai. </w:t>
            </w:r>
          </w:p>
          <w:p w14:paraId="560B8C8C" w14:textId="77777777" w:rsidR="00C0526B" w:rsidRPr="00A2793F" w:rsidRDefault="00C0526B" w:rsidP="00242E87">
            <w:pPr>
              <w:tabs>
                <w:tab w:val="left" w:pos="720"/>
              </w:tabs>
              <w:contextualSpacing/>
              <w:jc w:val="both"/>
              <w:rPr>
                <w:lang w:eastAsia="en-US"/>
              </w:rPr>
            </w:pPr>
            <w:r>
              <w:rPr>
                <w:lang w:eastAsia="en-US"/>
              </w:rPr>
              <w:tab/>
              <w:t xml:space="preserve">Kā arī lūdzam </w:t>
            </w:r>
            <w:r w:rsidRPr="201E3FBA">
              <w:rPr>
                <w:lang w:eastAsia="en-US"/>
              </w:rPr>
              <w:t>papildināt uzdevumu tabulu ar darba uzdevumu VARAM par vienotās datu kopas definēšanu ārvalstniekiem e-pakalpojumu izmantošanai Latvijā</w:t>
            </w:r>
            <w:r>
              <w:rPr>
                <w:lang w:eastAsia="en-US"/>
              </w:rPr>
              <w:t xml:space="preserve"> un priekšlikumu sagatavošanu un iesniegšanu Eiropas komisijai </w:t>
            </w:r>
            <w:proofErr w:type="spellStart"/>
            <w:r>
              <w:rPr>
                <w:lang w:eastAsia="en-US"/>
              </w:rPr>
              <w:t>eIDAS</w:t>
            </w:r>
            <w:proofErr w:type="spellEnd"/>
            <w:r>
              <w:rPr>
                <w:lang w:eastAsia="en-US"/>
              </w:rPr>
              <w:t xml:space="preserve"> pakalpojuma pilnveidei.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C755CAA" w14:textId="77777777" w:rsidR="00AC3D88" w:rsidRPr="009841AB" w:rsidRDefault="00AC3D88" w:rsidP="00AC3D88">
            <w:pPr>
              <w:pStyle w:val="naisc"/>
              <w:jc w:val="left"/>
              <w:rPr>
                <w:b/>
                <w:bCs/>
                <w:color w:val="000000"/>
                <w:shd w:val="clear" w:color="auto" w:fill="FFFFFF"/>
              </w:rPr>
            </w:pPr>
            <w:r>
              <w:rPr>
                <w:b/>
                <w:bCs/>
                <w:color w:val="000000"/>
                <w:shd w:val="clear" w:color="auto" w:fill="FFFFFF"/>
              </w:rPr>
              <w:t>Panākta vienošanās</w:t>
            </w:r>
          </w:p>
          <w:p w14:paraId="07535DD0" w14:textId="77777777" w:rsidR="00C0526B" w:rsidRPr="009841AB" w:rsidRDefault="00C0526B" w:rsidP="00242E87">
            <w:pPr>
              <w:pStyle w:val="naisc"/>
              <w:spacing w:before="0" w:after="0"/>
              <w:jc w:val="both"/>
            </w:pPr>
            <w:r>
              <w:t xml:space="preserve">Papildus sniedzam skaidrojumu: </w:t>
            </w:r>
            <w:r w:rsidRPr="00647DA4">
              <w:t xml:space="preserve">Pamatnostādnes ir stratēģiskās plānošanas līmeņa dokuments, kura uzdevums ir sniegt konceptuālu un stratēģisku attīstības redzējumu. </w:t>
            </w:r>
            <w:r w:rsidRPr="4B34DD20">
              <w:t xml:space="preserve">Konkrētu specifisku </w:t>
            </w:r>
            <w:proofErr w:type="spellStart"/>
            <w:r w:rsidRPr="4B34DD20">
              <w:t>problēmjautājumu</w:t>
            </w:r>
            <w:proofErr w:type="spellEnd"/>
            <w:r w:rsidRPr="4B34DD20">
              <w:t xml:space="preserve"> valsts pārvaldes pakalpojumu </w:t>
            </w:r>
            <w:proofErr w:type="spellStart"/>
            <w:r w:rsidRPr="4B34DD20">
              <w:t>sniegšnas</w:t>
            </w:r>
            <w:proofErr w:type="spellEnd"/>
            <w:r w:rsidRPr="4B34DD20">
              <w:t xml:space="preserve"> jomā identificēšana un risināšana ir paredzēta pamatnostādņu projektā ietvertā uzdevuma </w:t>
            </w:r>
            <w:r>
              <w:t>“</w:t>
            </w:r>
            <w:r w:rsidRPr="4B34DD20">
              <w:t>U4.4.9.1.-1</w:t>
            </w:r>
          </w:p>
          <w:p w14:paraId="2442A711" w14:textId="77777777" w:rsidR="00C0526B" w:rsidRPr="009841AB" w:rsidRDefault="00C0526B" w:rsidP="00242E87">
            <w:pPr>
              <w:pStyle w:val="naisc"/>
              <w:spacing w:before="0" w:after="0"/>
              <w:jc w:val="both"/>
            </w:pPr>
            <w:r w:rsidRPr="4B34DD20">
              <w:t>Izstrādāt vienotu valsts pakalpojumu pilnveides stratēģisko plānu.</w:t>
            </w:r>
            <w:r>
              <w:t>”</w:t>
            </w:r>
            <w:r w:rsidRPr="4B34DD20">
              <w:t xml:space="preserve"> ietvaros.</w:t>
            </w:r>
          </w:p>
        </w:tc>
        <w:tc>
          <w:tcPr>
            <w:tcW w:w="3504" w:type="dxa"/>
            <w:gridSpan w:val="2"/>
            <w:tcBorders>
              <w:top w:val="single" w:sz="4" w:space="0" w:color="auto"/>
              <w:left w:val="single" w:sz="4" w:space="0" w:color="auto"/>
              <w:bottom w:val="single" w:sz="4" w:space="0" w:color="auto"/>
            </w:tcBorders>
            <w:shd w:val="clear" w:color="auto" w:fill="auto"/>
          </w:tcPr>
          <w:p w14:paraId="2C0FFAFD" w14:textId="77777777" w:rsidR="00C0526B" w:rsidRPr="009841AB" w:rsidRDefault="00C0526B" w:rsidP="00242E87">
            <w:r>
              <w:t>Lūdzu skatīt 4.2. sadaļu, 4. pielikumu</w:t>
            </w:r>
          </w:p>
        </w:tc>
      </w:tr>
      <w:tr w:rsidR="00C0526B" w:rsidRPr="009841AB" w14:paraId="39E3D353"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6C204128" w14:textId="3A8A8F99" w:rsidR="00C0526B" w:rsidRDefault="00346F53" w:rsidP="00242E87">
            <w:pPr>
              <w:pStyle w:val="naisc"/>
              <w:spacing w:before="0" w:after="0"/>
            </w:pPr>
            <w:r>
              <w:t>590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C709524"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616586C" w14:textId="77777777" w:rsidR="00C0526B" w:rsidRDefault="00C0526B" w:rsidP="00242E87">
            <w:pPr>
              <w:tabs>
                <w:tab w:val="left" w:pos="720"/>
              </w:tabs>
              <w:contextualSpacing/>
              <w:jc w:val="both"/>
              <w:rPr>
                <w:lang w:eastAsia="en-US"/>
              </w:rPr>
            </w:pPr>
            <w:r>
              <w:rPr>
                <w:lang w:eastAsia="en-US"/>
              </w:rPr>
              <w:t>2</w:t>
            </w:r>
            <w:r w:rsidRPr="0097355C">
              <w:rPr>
                <w:lang w:eastAsia="en-US"/>
              </w:rPr>
              <w:t>.</w:t>
            </w:r>
            <w:r>
              <w:tab/>
            </w:r>
            <w:r w:rsidRPr="0097355C">
              <w:rPr>
                <w:lang w:eastAsia="en-US"/>
              </w:rPr>
              <w:t xml:space="preserve">Atbalstam Pamatnostādņu projekta 4.4. apakšpunktā minēto vīziju attiecībā uz komunikāciju un datu apmaiņu transformāciju no dokumentu aprites uz datu apriti, tomēr vienlaikus lūdzam </w:t>
            </w:r>
            <w:r w:rsidRPr="201E3FBA">
              <w:rPr>
                <w:lang w:eastAsia="en-US"/>
              </w:rPr>
              <w:t xml:space="preserve">papildināt Pamatnostādņu projekta 4.4. apakšpunktā minēto vīziju attiecībā uz komunikāciju un datu apmaiņu transformāciju no dokumentu aprites uz datu apriti, kā </w:t>
            </w:r>
            <w:r w:rsidRPr="201E3FBA">
              <w:rPr>
                <w:lang w:eastAsia="en-US"/>
              </w:rPr>
              <w:lastRenderedPageBreak/>
              <w:t>arī lūdzam papildināt šo apakšpunktu ar nepieciešamiem priekšnosacījumiem, lai to veiksmīgi varētu realizēt.</w:t>
            </w:r>
            <w:r w:rsidRPr="0097355C">
              <w:rPr>
                <w:lang w:eastAsia="en-US"/>
              </w:rPr>
              <w:t xml:space="preserve"> BVKB 2021. gada 22. februāra VARAM adresētajā vēstulē Nr. 1-7.1/2021/490-nd bija minējis problemātiskos jautājumus saistībā ar E-zīmoga produkta pieejamību par maksu un faktisko VAS “Latvijas valsts radio un televīzijas centrs” monopola statusu E-zīmoga pakalpojuma nodrošināšanā. Kā jau ir parādījusi prakse, ar e-paraksta pakalpojuma attīstību – par pakalpojumu noteikta maksa ir liels šķērslis pakalpojumu attīstībā un popularizēšanā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3DE77F2" w14:textId="77777777" w:rsidR="00AC3D88" w:rsidRPr="009841AB" w:rsidRDefault="00AC3D88" w:rsidP="00AC3D88">
            <w:pPr>
              <w:pStyle w:val="naisc"/>
              <w:jc w:val="left"/>
              <w:rPr>
                <w:b/>
                <w:bCs/>
                <w:color w:val="000000"/>
                <w:shd w:val="clear" w:color="auto" w:fill="FFFFFF"/>
              </w:rPr>
            </w:pPr>
            <w:r>
              <w:rPr>
                <w:b/>
                <w:bCs/>
                <w:color w:val="000000"/>
                <w:shd w:val="clear" w:color="auto" w:fill="FFFFFF"/>
              </w:rPr>
              <w:lastRenderedPageBreak/>
              <w:t>Panākta vienošanās</w:t>
            </w:r>
          </w:p>
          <w:p w14:paraId="2609FE79" w14:textId="77777777" w:rsidR="00C0526B" w:rsidRPr="009841AB" w:rsidRDefault="00C0526B" w:rsidP="00242E87">
            <w:pPr>
              <w:pStyle w:val="naisc"/>
              <w:spacing w:before="0" w:after="0"/>
              <w:jc w:val="both"/>
            </w:pPr>
            <w:r>
              <w:t xml:space="preserve">Papildus sniedzam skaidrojumu: </w:t>
            </w:r>
            <w:r w:rsidRPr="4B34DD20">
              <w:t xml:space="preserve">Konkrētu specifisku </w:t>
            </w:r>
            <w:proofErr w:type="spellStart"/>
            <w:r w:rsidRPr="4B34DD20">
              <w:t>problēmjautājumu</w:t>
            </w:r>
            <w:proofErr w:type="spellEnd"/>
            <w:r w:rsidRPr="4B34DD20">
              <w:t xml:space="preserve"> valsts pārvaldes pakalpojumu </w:t>
            </w:r>
            <w:proofErr w:type="spellStart"/>
            <w:r w:rsidRPr="4B34DD20">
              <w:t>sniegšnas</w:t>
            </w:r>
            <w:proofErr w:type="spellEnd"/>
            <w:r w:rsidRPr="4B34DD20">
              <w:t xml:space="preserve"> </w:t>
            </w:r>
            <w:r w:rsidRPr="4B34DD20">
              <w:lastRenderedPageBreak/>
              <w:t xml:space="preserve">jomā identificēšana un risināšana ir paredzēta pamatnostādņu projektā ietvertā uzdevuma </w:t>
            </w:r>
            <w:r>
              <w:t>“</w:t>
            </w:r>
            <w:r w:rsidRPr="4B34DD20">
              <w:t>U4.4.9.1.-1</w:t>
            </w:r>
          </w:p>
          <w:p w14:paraId="68741EA7" w14:textId="77777777" w:rsidR="00C0526B" w:rsidRPr="009841AB" w:rsidRDefault="00C0526B" w:rsidP="00242E87">
            <w:pPr>
              <w:pStyle w:val="naisc"/>
              <w:spacing w:before="0" w:after="0"/>
              <w:jc w:val="both"/>
            </w:pPr>
            <w:r w:rsidRPr="4B34DD20">
              <w:t>Izstrādāt vienotu valsts pakalpojumu pilnveides stratēģisko plānu.</w:t>
            </w:r>
            <w:r>
              <w:t>”</w:t>
            </w:r>
            <w:r w:rsidRPr="4B34DD20">
              <w:t xml:space="preserve"> ietvaros.</w:t>
            </w:r>
          </w:p>
        </w:tc>
        <w:tc>
          <w:tcPr>
            <w:tcW w:w="3504" w:type="dxa"/>
            <w:gridSpan w:val="2"/>
            <w:tcBorders>
              <w:top w:val="single" w:sz="4" w:space="0" w:color="auto"/>
              <w:left w:val="single" w:sz="4" w:space="0" w:color="auto"/>
              <w:bottom w:val="single" w:sz="4" w:space="0" w:color="auto"/>
            </w:tcBorders>
            <w:shd w:val="clear" w:color="auto" w:fill="auto"/>
          </w:tcPr>
          <w:p w14:paraId="49C8DD6F" w14:textId="77777777" w:rsidR="00C0526B" w:rsidRPr="009841AB" w:rsidRDefault="00C0526B" w:rsidP="00242E87">
            <w:r>
              <w:lastRenderedPageBreak/>
              <w:t>Lūdzu skatīt 4. pielikumu</w:t>
            </w:r>
          </w:p>
        </w:tc>
      </w:tr>
      <w:tr w:rsidR="00C0526B" w:rsidRPr="009841AB" w14:paraId="2A4BA90F"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42EF57C" w14:textId="1685EBDD" w:rsidR="00C0526B" w:rsidRDefault="00346F53" w:rsidP="00242E87">
            <w:pPr>
              <w:pStyle w:val="naisc"/>
              <w:spacing w:before="0" w:after="0"/>
            </w:pPr>
            <w:r>
              <w:t>591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88C8A2F"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29E1BE4" w14:textId="77777777" w:rsidR="00C0526B" w:rsidRDefault="00C0526B" w:rsidP="00242E87">
            <w:pPr>
              <w:tabs>
                <w:tab w:val="left" w:pos="720"/>
              </w:tabs>
              <w:contextualSpacing/>
              <w:jc w:val="both"/>
              <w:rPr>
                <w:lang w:eastAsia="en-US"/>
              </w:rPr>
            </w:pPr>
            <w:r w:rsidRPr="0097355C">
              <w:rPr>
                <w:lang w:eastAsia="en-US"/>
              </w:rPr>
              <w:t>3.</w:t>
            </w:r>
            <w:r>
              <w:tab/>
            </w:r>
            <w:r w:rsidRPr="0097355C">
              <w:rPr>
                <w:lang w:eastAsia="en-US"/>
              </w:rPr>
              <w:t xml:space="preserve">Tāpat atbalstam Pamatnostādņu projekta 4.4.1. apakšpunkta 5.2. apakšpunkta minēto attiecībā uz plašāku e-adreses izmantošanu, nosakot to obligātumu arī privātajam sektoram, bet tajā pašā laikā lūdzam </w:t>
            </w:r>
            <w:r w:rsidRPr="201E3FBA">
              <w:rPr>
                <w:lang w:eastAsia="en-US"/>
              </w:rPr>
              <w:t>papildināt ar prasību izveidot valsts līmenī vienotu pasta reģistru, kurā būtu apvienota visu Latvijas iedzīvotāju kontaktinformācija, tādējādi nosakot vienotu kontaktpunktu komunikācijai ar iedzīvotājiem, nodrošinot iespēju vienmēr sasniegt konkrētu personu</w:t>
            </w:r>
            <w:r w:rsidRPr="0097355C">
              <w:rPr>
                <w:lang w:eastAsia="en-US"/>
              </w:rPr>
              <w:t>.</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CC0770E" w14:textId="77777777" w:rsidR="00AC3D88" w:rsidRPr="009841AB" w:rsidRDefault="00AC3D88" w:rsidP="00AC3D88">
            <w:pPr>
              <w:pStyle w:val="naisc"/>
              <w:jc w:val="left"/>
              <w:rPr>
                <w:b/>
                <w:bCs/>
                <w:color w:val="000000"/>
                <w:shd w:val="clear" w:color="auto" w:fill="FFFFFF"/>
              </w:rPr>
            </w:pPr>
            <w:r>
              <w:rPr>
                <w:b/>
                <w:bCs/>
                <w:color w:val="000000"/>
                <w:shd w:val="clear" w:color="auto" w:fill="FFFFFF"/>
              </w:rPr>
              <w:t>Panākta vienošanās</w:t>
            </w:r>
          </w:p>
          <w:p w14:paraId="369C8DFD" w14:textId="77777777" w:rsidR="00C0526B" w:rsidRPr="009841AB" w:rsidRDefault="00C0526B" w:rsidP="00242E87">
            <w:pPr>
              <w:pStyle w:val="naisc"/>
              <w:spacing w:before="0" w:after="0"/>
              <w:jc w:val="both"/>
            </w:pPr>
            <w:r>
              <w:t xml:space="preserve">Papildus sniedzam skaidrojumu: Valsts pārvaldes formālā komunikācija ar iedzīvotājiem un uzņēmumiem stratēģiski ir pārorientējama uz Oficiālās elektroniskās adreses izmantošanu, pozicionējot to sabiedrībā kā vienīgo universālo uzticamo digitālās personalizētās </w:t>
            </w:r>
            <w:r w:rsidRPr="201E3FBA">
              <w:t>asinhronās</w:t>
            </w:r>
            <w:r>
              <w:t xml:space="preserve"> komunikācijas kanālu. Tādējādi novēršot nepieciešamību uzturēt alternatīvus dublējošus vai savstarpēji pārklājošos digitālās </w:t>
            </w:r>
            <w:r>
              <w:lastRenderedPageBreak/>
              <w:t xml:space="preserve">komunikācijas risinājumus un uzturēt to pārvaldībai papildus reģistru. </w:t>
            </w:r>
          </w:p>
        </w:tc>
        <w:tc>
          <w:tcPr>
            <w:tcW w:w="3504" w:type="dxa"/>
            <w:gridSpan w:val="2"/>
            <w:tcBorders>
              <w:top w:val="single" w:sz="4" w:space="0" w:color="auto"/>
              <w:left w:val="single" w:sz="4" w:space="0" w:color="auto"/>
              <w:bottom w:val="single" w:sz="4" w:space="0" w:color="auto"/>
            </w:tcBorders>
            <w:shd w:val="clear" w:color="auto" w:fill="auto"/>
          </w:tcPr>
          <w:p w14:paraId="2EFFE6F2" w14:textId="77777777" w:rsidR="00C0526B" w:rsidRPr="009841AB" w:rsidRDefault="00C0526B" w:rsidP="00242E87">
            <w:r>
              <w:lastRenderedPageBreak/>
              <w:t>Lūdzu skatīt 4. pielikumu</w:t>
            </w:r>
          </w:p>
        </w:tc>
      </w:tr>
      <w:tr w:rsidR="00C0526B" w:rsidRPr="009841AB" w14:paraId="0BE1A04A"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33A16171" w14:textId="6A7AC342" w:rsidR="00C0526B" w:rsidRDefault="00346F53" w:rsidP="00242E87">
            <w:pPr>
              <w:pStyle w:val="naisc"/>
              <w:spacing w:before="0" w:after="0"/>
            </w:pPr>
            <w:r>
              <w:t>592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1240058"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D2E1711" w14:textId="77777777" w:rsidR="00C0526B" w:rsidRDefault="00C0526B" w:rsidP="00242E87">
            <w:pPr>
              <w:tabs>
                <w:tab w:val="left" w:pos="720"/>
              </w:tabs>
              <w:contextualSpacing/>
              <w:jc w:val="both"/>
              <w:rPr>
                <w:lang w:eastAsia="en-US"/>
              </w:rPr>
            </w:pPr>
            <w:r w:rsidRPr="0097355C">
              <w:rPr>
                <w:lang w:eastAsia="en-US"/>
              </w:rPr>
              <w:t>4.</w:t>
            </w:r>
            <w:r>
              <w:tab/>
            </w:r>
            <w:r w:rsidRPr="0097355C">
              <w:rPr>
                <w:lang w:eastAsia="en-US"/>
              </w:rPr>
              <w:t xml:space="preserve">Atbalstam 4.4.9.3. apakšpunktā minēto attiecībā uz valsts pārvaldes procesu un pakalpojumu automatizāciju, bet uzskatām, ka būtu </w:t>
            </w:r>
            <w:r w:rsidRPr="201E3FBA">
              <w:rPr>
                <w:lang w:eastAsia="en-US"/>
              </w:rPr>
              <w:t>nepieciešams precizēt 4.4.9.3. apakšpunktā minēto uzdevumu</w:t>
            </w:r>
            <w:r w:rsidRPr="0097355C">
              <w:rPr>
                <w:lang w:eastAsia="en-US"/>
              </w:rPr>
              <w:t xml:space="preserve"> “Valsts pārvaldes darbības digitālā transformācija, savietojamības un automatizācijas nodrošināšana. Ieviest uz </w:t>
            </w:r>
            <w:proofErr w:type="spellStart"/>
            <w:r w:rsidRPr="0097355C">
              <w:rPr>
                <w:lang w:eastAsia="en-US"/>
              </w:rPr>
              <w:t>mašīninterpretējamu</w:t>
            </w:r>
            <w:proofErr w:type="spellEnd"/>
            <w:r w:rsidRPr="0097355C">
              <w:rPr>
                <w:lang w:eastAsia="en-US"/>
              </w:rPr>
              <w:t xml:space="preserve"> un automatizētu datu apriti balstītu valsts pārvaldes darbību un pakalpojumu sniegšanu” </w:t>
            </w:r>
            <w:r w:rsidRPr="201E3FBA">
              <w:rPr>
                <w:lang w:eastAsia="en-US"/>
              </w:rPr>
              <w:t>ar nepieciešamību izpētīt biznesa procesus un identificēt nepieciešamās izmaiņas dažādos regulējumos, lai būtu iespējams automatizēt loģisko datu nodošanu no viena biznesa procesu uz otro, trešo</w:t>
            </w:r>
            <w:r w:rsidRPr="0097355C">
              <w:rPr>
                <w:lang w:eastAsia="en-US"/>
              </w:rPr>
              <w:t xml:space="preserve"> utt. Piemērām, lai būtu iespējams no teritorijas izmantošanas koda (TAPIS dati) pāriet uz būvju klasifikāciju (būvju lietošanas veidiem – Kadastra dati), lai automatizēt būvniecības procesā kontroles mehānismus attiecībā uz būvniecības ierosināšanu. Šobrīd </w:t>
            </w:r>
            <w:proofErr w:type="spellStart"/>
            <w:r w:rsidRPr="0097355C">
              <w:rPr>
                <w:lang w:eastAsia="en-US"/>
              </w:rPr>
              <w:t>strapnozaru</w:t>
            </w:r>
            <w:proofErr w:type="spellEnd"/>
            <w:r w:rsidRPr="0097355C">
              <w:rPr>
                <w:lang w:eastAsia="en-US"/>
              </w:rPr>
              <w:t xml:space="preserve"> regulējums nav savstarpēji saskaņots un tas traucē </w:t>
            </w:r>
            <w:proofErr w:type="spellStart"/>
            <w:r w:rsidRPr="0097355C">
              <w:rPr>
                <w:lang w:eastAsia="en-US"/>
              </w:rPr>
              <w:t>digitalizēt</w:t>
            </w:r>
            <w:proofErr w:type="spellEnd"/>
            <w:r w:rsidRPr="0097355C">
              <w:rPr>
                <w:lang w:eastAsia="en-US"/>
              </w:rPr>
              <w:t xml:space="preserve"> procesus.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F69641D" w14:textId="77777777" w:rsidR="00AC3D88" w:rsidRPr="009841AB" w:rsidRDefault="00AC3D88" w:rsidP="00AC3D88">
            <w:pPr>
              <w:pStyle w:val="naisc"/>
              <w:jc w:val="left"/>
              <w:rPr>
                <w:b/>
                <w:bCs/>
                <w:color w:val="000000"/>
                <w:shd w:val="clear" w:color="auto" w:fill="FFFFFF"/>
              </w:rPr>
            </w:pPr>
            <w:r>
              <w:rPr>
                <w:b/>
                <w:bCs/>
                <w:color w:val="000000"/>
                <w:shd w:val="clear" w:color="auto" w:fill="FFFFFF"/>
              </w:rPr>
              <w:t>Panākta vienošanās</w:t>
            </w:r>
          </w:p>
          <w:p w14:paraId="27584A20" w14:textId="77777777" w:rsidR="00C0526B" w:rsidRPr="009841AB" w:rsidRDefault="00C0526B" w:rsidP="00242E87">
            <w:pPr>
              <w:pStyle w:val="naisc"/>
              <w:spacing w:before="0" w:after="0"/>
              <w:jc w:val="both"/>
            </w:pPr>
            <w:r>
              <w:t xml:space="preserve">Papildus sniedzam skaidrojumu: Konkrētu specifisku </w:t>
            </w:r>
            <w:proofErr w:type="spellStart"/>
            <w:r>
              <w:t>problēmjautājumu</w:t>
            </w:r>
            <w:proofErr w:type="spellEnd"/>
            <w:r>
              <w:t xml:space="preserve"> valsts pārvaldes pakalpojumu </w:t>
            </w:r>
            <w:proofErr w:type="spellStart"/>
            <w:r>
              <w:t>sniegšnas</w:t>
            </w:r>
            <w:proofErr w:type="spellEnd"/>
            <w:r>
              <w:t xml:space="preserve"> jomā identificēšana un risināšana ir paredzēta pamatnostādņu projektā ietvertā uzdevuma “U4.4.9.1.-1</w:t>
            </w:r>
          </w:p>
          <w:p w14:paraId="01207868" w14:textId="77777777" w:rsidR="00C0526B" w:rsidRPr="009841AB" w:rsidRDefault="00C0526B" w:rsidP="00242E87">
            <w:pPr>
              <w:pStyle w:val="naisc"/>
              <w:spacing w:before="0" w:after="0"/>
              <w:jc w:val="both"/>
            </w:pPr>
            <w:r>
              <w:t>Izstrādāt vienotu valsts pakalpojumu pilnveides stratēģisko plānu.” ietvaros.</w:t>
            </w:r>
          </w:p>
        </w:tc>
        <w:tc>
          <w:tcPr>
            <w:tcW w:w="3504" w:type="dxa"/>
            <w:gridSpan w:val="2"/>
            <w:tcBorders>
              <w:top w:val="single" w:sz="4" w:space="0" w:color="auto"/>
              <w:left w:val="single" w:sz="4" w:space="0" w:color="auto"/>
              <w:bottom w:val="single" w:sz="4" w:space="0" w:color="auto"/>
            </w:tcBorders>
            <w:shd w:val="clear" w:color="auto" w:fill="auto"/>
          </w:tcPr>
          <w:p w14:paraId="55B7EBE5" w14:textId="77777777" w:rsidR="00C0526B" w:rsidRPr="009841AB" w:rsidRDefault="00C0526B" w:rsidP="00242E87">
            <w:r>
              <w:t>Lūdzu skatīt 4. pielikumu</w:t>
            </w:r>
          </w:p>
        </w:tc>
      </w:tr>
      <w:tr w:rsidR="00C0526B" w:rsidRPr="009841AB" w14:paraId="3FF406A1"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69CEEBA1" w14:textId="0587EBB3" w:rsidR="00C0526B" w:rsidRDefault="00346F53" w:rsidP="00242E87">
            <w:pPr>
              <w:pStyle w:val="naisc"/>
              <w:spacing w:before="0" w:after="0"/>
            </w:pPr>
            <w:r>
              <w:t>593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2327AE5"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5A18340" w14:textId="77777777" w:rsidR="00C0526B" w:rsidRDefault="00C0526B" w:rsidP="00242E87">
            <w:pPr>
              <w:tabs>
                <w:tab w:val="left" w:pos="720"/>
              </w:tabs>
              <w:contextualSpacing/>
              <w:jc w:val="both"/>
              <w:rPr>
                <w:lang w:eastAsia="en-US"/>
              </w:rPr>
            </w:pPr>
            <w:r>
              <w:rPr>
                <w:lang w:eastAsia="en-US"/>
              </w:rPr>
              <w:t>5.</w:t>
            </w:r>
            <w:r>
              <w:tab/>
            </w:r>
            <w:r>
              <w:rPr>
                <w:lang w:eastAsia="en-US"/>
              </w:rPr>
              <w:t xml:space="preserve">Tāpat Ekonomikas ministrija </w:t>
            </w:r>
            <w:r w:rsidRPr="2380D4F0">
              <w:rPr>
                <w:lang w:eastAsia="en-US"/>
              </w:rPr>
              <w:t xml:space="preserve">uztur savu 2021. gada 3. februārī iesniegtā atzinuma Nr. 3.1-20/2021/36 1. iebildumu saistībā ar enerģētikas un elektroenerģijas nozaru </w:t>
            </w:r>
            <w:proofErr w:type="spellStart"/>
            <w:r w:rsidRPr="2380D4F0">
              <w:rPr>
                <w:lang w:eastAsia="en-US"/>
              </w:rPr>
              <w:t>digitalizācijas</w:t>
            </w:r>
            <w:proofErr w:type="spellEnd"/>
            <w:r w:rsidRPr="2380D4F0">
              <w:rPr>
                <w:lang w:eastAsia="en-US"/>
              </w:rPr>
              <w:t xml:space="preserve"> jautājumu iekļaušanu pamatnostādnēs.</w:t>
            </w:r>
          </w:p>
          <w:p w14:paraId="403502D8" w14:textId="77777777" w:rsidR="00C0526B" w:rsidRDefault="00C0526B" w:rsidP="00242E87">
            <w:pPr>
              <w:tabs>
                <w:tab w:val="left" w:pos="720"/>
              </w:tabs>
              <w:contextualSpacing/>
              <w:jc w:val="both"/>
              <w:rPr>
                <w:lang w:eastAsia="en-US"/>
              </w:rPr>
            </w:pPr>
            <w:r>
              <w:rPr>
                <w:lang w:eastAsia="en-US"/>
              </w:rPr>
              <w:t>Izziņā paustais arguments punktā Nr.240 nav pietiekams, atspēkojot Ekonomikas ministrijas iebildumu, jo Ekonomikas ministrijas 2021.gada 3.februāra atzinumā Nr. 3.1-20/2021/36 tika doti priekšlikumi papildinot pamatnostādņu tekstu ne tikai sadaļā, kas saistīta ar ģeotelpisko datu pārvaldības sadaļu.</w:t>
            </w:r>
          </w:p>
          <w:p w14:paraId="4CBAF514" w14:textId="77777777" w:rsidR="00C0526B" w:rsidRDefault="00C0526B" w:rsidP="00242E87">
            <w:pPr>
              <w:tabs>
                <w:tab w:val="left" w:pos="720"/>
              </w:tabs>
              <w:contextualSpacing/>
              <w:jc w:val="both"/>
              <w:rPr>
                <w:lang w:eastAsia="en-US"/>
              </w:rPr>
            </w:pPr>
            <w:r>
              <w:rPr>
                <w:lang w:eastAsia="en-US"/>
              </w:rPr>
              <w:lastRenderedPageBreak/>
              <w:t xml:space="preserve">Akcentējam, ka pamatnostādņu ievadā minēts: “NAP 2027[1]  </w:t>
            </w:r>
            <w:proofErr w:type="spellStart"/>
            <w:r>
              <w:rPr>
                <w:lang w:eastAsia="en-US"/>
              </w:rPr>
              <w:t>digitalizācijas</w:t>
            </w:r>
            <w:proofErr w:type="spellEnd"/>
            <w:r>
              <w:rPr>
                <w:lang w:eastAsia="en-US"/>
              </w:rPr>
              <w:t xml:space="preserve"> turpmāko attīstību identificē kā caurvijošu elementu attiecībā uz visām nozarēm, īpaši tādās jomās kā inovācijas un zinātne, izglītība, veselības aprūpe, iekļaujoša sabiedrība un darba tirgus, infrastruktūra, reģionālā attīstība, drošība, kā arī vide un enerģētika.” Pašās </w:t>
            </w:r>
            <w:r w:rsidRPr="2380D4F0">
              <w:rPr>
                <w:lang w:eastAsia="en-US"/>
              </w:rPr>
              <w:t xml:space="preserve">pamatnostādnēs netiek atspoguļoti uzstādījumi un uzdevumi, mērķi,  lai tieši veicinātu enerģētikas </w:t>
            </w:r>
            <w:proofErr w:type="spellStart"/>
            <w:r w:rsidRPr="2380D4F0">
              <w:rPr>
                <w:lang w:eastAsia="en-US"/>
              </w:rPr>
              <w:t>digitalizāciju</w:t>
            </w:r>
            <w:proofErr w:type="spellEnd"/>
            <w:r w:rsidRPr="2380D4F0">
              <w:rPr>
                <w:lang w:eastAsia="en-US"/>
              </w:rPr>
              <w:t>.</w:t>
            </w:r>
          </w:p>
          <w:p w14:paraId="3B58ED96" w14:textId="77777777" w:rsidR="00C0526B" w:rsidRDefault="00C0526B" w:rsidP="00242E87">
            <w:pPr>
              <w:tabs>
                <w:tab w:val="left" w:pos="720"/>
              </w:tabs>
              <w:contextualSpacing/>
              <w:jc w:val="both"/>
              <w:rPr>
                <w:lang w:eastAsia="en-US"/>
              </w:rPr>
            </w:pPr>
            <w:r w:rsidRPr="2380D4F0">
              <w:rPr>
                <w:lang w:eastAsia="en-US"/>
              </w:rPr>
              <w:t>Iesniegtie priekšlikumi ir kritiski nepieciešami elektroenerģijas tirgus digitālo attīstības aktivitāšu sinhronizēšanai ar publiskā finansējuma piesaistes programmām nākotnē</w:t>
            </w:r>
            <w:r>
              <w:rPr>
                <w:lang w:eastAsia="en-US"/>
              </w:rPr>
              <w:t>, piemēram, Atveseļošanās un noturības mehānisma iekļauto programmu.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586BDCF5" w14:textId="77777777" w:rsidR="00AC3D88" w:rsidRPr="009841AB" w:rsidRDefault="00AC3D88" w:rsidP="00AC3D88">
            <w:pPr>
              <w:pStyle w:val="naisc"/>
              <w:jc w:val="left"/>
              <w:rPr>
                <w:b/>
                <w:bCs/>
                <w:color w:val="000000"/>
                <w:shd w:val="clear" w:color="auto" w:fill="FFFFFF"/>
              </w:rPr>
            </w:pPr>
            <w:r>
              <w:rPr>
                <w:b/>
                <w:bCs/>
                <w:color w:val="000000"/>
                <w:shd w:val="clear" w:color="auto" w:fill="FFFFFF"/>
              </w:rPr>
              <w:lastRenderedPageBreak/>
              <w:t>Panākta vienošanās</w:t>
            </w:r>
          </w:p>
          <w:p w14:paraId="484646A5" w14:textId="77777777" w:rsidR="00C0526B" w:rsidRDefault="00C0526B" w:rsidP="00242E87">
            <w:pPr>
              <w:pStyle w:val="naisc"/>
              <w:spacing w:before="0" w:after="0"/>
              <w:jc w:val="both"/>
            </w:pPr>
            <w:r>
              <w:t>Minētā politika nav Digitālās transformācijas pamatnostādņu tvērumā un ir skatāma politikas plānošanas dokumenta “</w:t>
            </w:r>
            <w:r w:rsidRPr="003B177D">
              <w:t xml:space="preserve">Par Latvijas Nacionālo enerģētikas un klimata plānu 2021.-2030. </w:t>
            </w:r>
            <w:r w:rsidRPr="003B177D">
              <w:lastRenderedPageBreak/>
              <w:t>gadam</w:t>
            </w:r>
            <w:r>
              <w:t xml:space="preserve">”” ietvaros, kam būtu jānosaka visi konkrētie intervences pasākumi. </w:t>
            </w:r>
          </w:p>
          <w:p w14:paraId="4B110AD9" w14:textId="77777777" w:rsidR="00C0526B" w:rsidRDefault="00C0526B" w:rsidP="00242E87">
            <w:pPr>
              <w:pStyle w:val="naisc"/>
              <w:spacing w:before="0" w:after="0"/>
              <w:jc w:val="both"/>
            </w:pPr>
          </w:p>
          <w:p w14:paraId="67D9F7AD" w14:textId="77777777" w:rsidR="00C0526B" w:rsidRDefault="00C0526B" w:rsidP="00242E87">
            <w:pPr>
              <w:pStyle w:val="naisc"/>
              <w:spacing w:before="0" w:after="0"/>
              <w:jc w:val="both"/>
            </w:pPr>
            <w:r>
              <w:t>Tomēr Digitālās transformācijas p</w:t>
            </w:r>
            <w:r w:rsidRPr="006628BF">
              <w:t>amatnostādņu projekts</w:t>
            </w:r>
            <w:r>
              <w:t xml:space="preserve"> informatīvi</w:t>
            </w:r>
            <w:r w:rsidRPr="006628BF">
              <w:t xml:space="preserve"> papildināts ar atsaucēm uz problemātiku un nepieciešamajiem rīcības virzieniem</w:t>
            </w:r>
            <w:r>
              <w:t xml:space="preserve">, tos atbilstoši kontekstam iekļaujot 4.5.2. sadaļā.  </w:t>
            </w:r>
          </w:p>
          <w:p w14:paraId="2FFFA7AD" w14:textId="77777777" w:rsidR="00C0526B" w:rsidRPr="009841AB" w:rsidRDefault="00C0526B" w:rsidP="00242E87">
            <w:pPr>
              <w:pStyle w:val="naisc"/>
              <w:spacing w:before="0" w:after="0"/>
              <w:jc w:val="both"/>
            </w:pPr>
          </w:p>
        </w:tc>
        <w:tc>
          <w:tcPr>
            <w:tcW w:w="3504" w:type="dxa"/>
            <w:gridSpan w:val="2"/>
            <w:tcBorders>
              <w:top w:val="single" w:sz="4" w:space="0" w:color="auto"/>
              <w:left w:val="single" w:sz="4" w:space="0" w:color="auto"/>
              <w:bottom w:val="single" w:sz="4" w:space="0" w:color="auto"/>
            </w:tcBorders>
            <w:shd w:val="clear" w:color="auto" w:fill="auto"/>
          </w:tcPr>
          <w:p w14:paraId="7DD06D0A" w14:textId="77777777" w:rsidR="00C0526B" w:rsidRPr="009841AB" w:rsidRDefault="00C0526B" w:rsidP="00242E87">
            <w:r>
              <w:lastRenderedPageBreak/>
              <w:t>Lūdzu skatīt 4.5.2. sadaļu, kā arī 4. pielikuma 4.5.2. sadaļu.</w:t>
            </w:r>
          </w:p>
        </w:tc>
      </w:tr>
      <w:tr w:rsidR="00C0526B" w:rsidRPr="009841AB" w14:paraId="5952EF9C"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FAF1AD8" w14:textId="714DD94E" w:rsidR="00C0526B" w:rsidRDefault="00346F53" w:rsidP="00242E87">
            <w:pPr>
              <w:pStyle w:val="naisc"/>
              <w:spacing w:before="0" w:after="0"/>
            </w:pPr>
            <w:r>
              <w:t>594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BA58777" w14:textId="77777777" w:rsidR="00C0526B" w:rsidRPr="009841AB" w:rsidRDefault="00C0526B" w:rsidP="00242E8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84AC682" w14:textId="77777777" w:rsidR="00C0526B" w:rsidRDefault="00C0526B" w:rsidP="00242E87">
            <w:pPr>
              <w:tabs>
                <w:tab w:val="left" w:pos="720"/>
              </w:tabs>
              <w:contextualSpacing/>
              <w:jc w:val="both"/>
              <w:rPr>
                <w:lang w:eastAsia="en-US"/>
              </w:rPr>
            </w:pPr>
            <w:r w:rsidRPr="0097355C">
              <w:rPr>
                <w:lang w:eastAsia="en-US"/>
              </w:rPr>
              <w:t xml:space="preserve">6. Vienlaikus lūdzam Pamatnostādņu projektā iekļaut redakcijas precizējumus, kas iesniegtas </w:t>
            </w:r>
            <w:proofErr w:type="spellStart"/>
            <w:r w:rsidRPr="0097355C">
              <w:rPr>
                <w:lang w:eastAsia="en-US"/>
              </w:rPr>
              <w:t>Track</w:t>
            </w:r>
            <w:proofErr w:type="spellEnd"/>
            <w:r w:rsidRPr="0097355C">
              <w:rPr>
                <w:lang w:eastAsia="en-US"/>
              </w:rPr>
              <w:t xml:space="preserve"> </w:t>
            </w:r>
            <w:proofErr w:type="spellStart"/>
            <w:r w:rsidRPr="0097355C">
              <w:rPr>
                <w:lang w:eastAsia="en-US"/>
              </w:rPr>
              <w:t>changes</w:t>
            </w:r>
            <w:proofErr w:type="spellEnd"/>
            <w:r w:rsidRPr="0097355C">
              <w:rPr>
                <w:lang w:eastAsia="en-US"/>
              </w:rPr>
              <w:t xml:space="preserve"> versijā kā pielikums Ekonomikas ministrijas 2021.gada 3.februāra atzinumam Nr. 3.1-20/2021/36.</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AD52EB2" w14:textId="77777777" w:rsidR="00AC3D88" w:rsidRPr="009841AB" w:rsidRDefault="00AC3D88" w:rsidP="00AC3D88">
            <w:pPr>
              <w:pStyle w:val="naisc"/>
              <w:jc w:val="left"/>
              <w:rPr>
                <w:b/>
                <w:bCs/>
                <w:color w:val="000000"/>
                <w:shd w:val="clear" w:color="auto" w:fill="FFFFFF"/>
              </w:rPr>
            </w:pPr>
            <w:r>
              <w:rPr>
                <w:b/>
                <w:bCs/>
                <w:color w:val="000000"/>
                <w:shd w:val="clear" w:color="auto" w:fill="FFFFFF"/>
              </w:rPr>
              <w:t>Panākta vienošanās</w:t>
            </w:r>
          </w:p>
          <w:p w14:paraId="57AE40BE" w14:textId="3D0884A3" w:rsidR="00C0526B" w:rsidRPr="00660CAB" w:rsidRDefault="00C0526B" w:rsidP="00242E87">
            <w:pPr>
              <w:pStyle w:val="naisc"/>
              <w:spacing w:before="0" w:after="0"/>
              <w:jc w:val="both"/>
              <w:rPr>
                <w:b/>
              </w:rPr>
            </w:pPr>
            <w:r w:rsidRPr="00660CAB">
              <w:t>(skat. iepriekš)</w:t>
            </w:r>
          </w:p>
        </w:tc>
        <w:tc>
          <w:tcPr>
            <w:tcW w:w="3504" w:type="dxa"/>
            <w:gridSpan w:val="2"/>
            <w:tcBorders>
              <w:top w:val="single" w:sz="4" w:space="0" w:color="auto"/>
              <w:left w:val="single" w:sz="4" w:space="0" w:color="auto"/>
              <w:bottom w:val="single" w:sz="4" w:space="0" w:color="auto"/>
            </w:tcBorders>
            <w:shd w:val="clear" w:color="auto" w:fill="auto"/>
          </w:tcPr>
          <w:p w14:paraId="52F698DB" w14:textId="77777777" w:rsidR="00C0526B" w:rsidRPr="009841AB" w:rsidRDefault="00C0526B" w:rsidP="00242E87">
            <w:r>
              <w:t>Lūdzu skatīt 4.5.2. sadaļu, kā arī 4. pielikuma 4.5.2. sadaļu.</w:t>
            </w:r>
          </w:p>
        </w:tc>
      </w:tr>
      <w:tr w:rsidR="00C0526B" w:rsidRPr="009841AB" w14:paraId="07BAD224" w14:textId="77777777" w:rsidTr="00242E87">
        <w:tc>
          <w:tcPr>
            <w:tcW w:w="14451" w:type="dxa"/>
            <w:gridSpan w:val="6"/>
            <w:tcBorders>
              <w:left w:val="single" w:sz="6" w:space="0" w:color="000000" w:themeColor="text1"/>
              <w:bottom w:val="single" w:sz="4" w:space="0" w:color="auto"/>
            </w:tcBorders>
            <w:shd w:val="clear" w:color="auto" w:fill="auto"/>
          </w:tcPr>
          <w:p w14:paraId="5DBF1CA5" w14:textId="77777777" w:rsidR="00C0526B" w:rsidRPr="00B857F2" w:rsidRDefault="00C0526B" w:rsidP="00242E87">
            <w:pPr>
              <w:rPr>
                <w:b/>
                <w:bCs/>
              </w:rPr>
            </w:pPr>
            <w:r w:rsidRPr="00B857F2">
              <w:rPr>
                <w:b/>
                <w:bCs/>
              </w:rPr>
              <w:t>Latvijas Pašvaldību savienības 17.05.2021. atzinums:</w:t>
            </w:r>
          </w:p>
        </w:tc>
      </w:tr>
      <w:tr w:rsidR="000858AB" w:rsidRPr="009841AB" w14:paraId="432249AE" w14:textId="77777777" w:rsidTr="002F3F4D">
        <w:tc>
          <w:tcPr>
            <w:tcW w:w="14451" w:type="dxa"/>
            <w:gridSpan w:val="6"/>
            <w:tcBorders>
              <w:left w:val="single" w:sz="6" w:space="0" w:color="000000" w:themeColor="text1"/>
              <w:bottom w:val="single" w:sz="4" w:space="0" w:color="auto"/>
            </w:tcBorders>
            <w:shd w:val="clear" w:color="auto" w:fill="auto"/>
          </w:tcPr>
          <w:p w14:paraId="11BE0DC0" w14:textId="4B3B7516" w:rsidR="000858AB" w:rsidRPr="009841AB" w:rsidRDefault="000858AB" w:rsidP="000858AB">
            <w:pPr>
              <w:pStyle w:val="naisc"/>
              <w:spacing w:before="0" w:after="0"/>
              <w:jc w:val="left"/>
            </w:pPr>
            <w:r>
              <w:t xml:space="preserve">595  </w:t>
            </w:r>
            <w:r w:rsidR="00E964BC">
              <w:t xml:space="preserve"> </w:t>
            </w:r>
            <w:r>
              <w:t>P</w:t>
            </w:r>
            <w:r w:rsidRPr="000858AB">
              <w:t>ārcelts uz izziņas I. daļu “Jautājumi, par kuriem saskaņošanā vienošanās nav panākta”</w:t>
            </w:r>
          </w:p>
        </w:tc>
      </w:tr>
      <w:tr w:rsidR="00C0526B" w:rsidRPr="009841AB" w14:paraId="19DB1765"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15716444" w14:textId="3DAF6765" w:rsidR="00C0526B" w:rsidRDefault="00346F53" w:rsidP="00242E87">
            <w:pPr>
              <w:pStyle w:val="naisc"/>
              <w:spacing w:before="0" w:after="0"/>
            </w:pPr>
            <w:r>
              <w:t>596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A204631" w14:textId="77777777" w:rsidR="00C0526B" w:rsidRPr="009841AB" w:rsidRDefault="00C0526B" w:rsidP="00242E8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03319634" w14:textId="77777777" w:rsidR="00C0526B" w:rsidRPr="0097355C" w:rsidRDefault="00C0526B" w:rsidP="00242E87">
            <w:pPr>
              <w:tabs>
                <w:tab w:val="left" w:pos="720"/>
              </w:tabs>
              <w:contextualSpacing/>
              <w:jc w:val="both"/>
              <w:rPr>
                <w:lang w:eastAsia="en-US"/>
              </w:rPr>
            </w:pPr>
            <w:r>
              <w:rPr>
                <w:lang w:eastAsia="en-US"/>
              </w:rPr>
              <w:t xml:space="preserve">2. </w:t>
            </w:r>
            <w:r w:rsidRPr="00B857F2">
              <w:rPr>
                <w:lang w:eastAsia="en-US"/>
              </w:rPr>
              <w:t>Kā jau norādījusi Latvijas atvērto tehnoloģiju asociācija:  iztrūkst kvalitatīvo rādītāju sasniegšana ietvertajiem rīcības virzieniem, trūkst izmērāmu progresa vai izpildes indikatoru.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21821E5" w14:textId="77777777" w:rsidR="00E964BC" w:rsidRPr="009841AB" w:rsidRDefault="00E964BC" w:rsidP="00E964BC">
            <w:pPr>
              <w:pStyle w:val="naisc"/>
              <w:jc w:val="left"/>
              <w:rPr>
                <w:b/>
                <w:bCs/>
                <w:color w:val="000000"/>
                <w:shd w:val="clear" w:color="auto" w:fill="FFFFFF"/>
              </w:rPr>
            </w:pPr>
            <w:r>
              <w:rPr>
                <w:b/>
                <w:bCs/>
                <w:color w:val="000000"/>
                <w:shd w:val="clear" w:color="auto" w:fill="FFFFFF"/>
              </w:rPr>
              <w:t>Panākta vienošanās</w:t>
            </w:r>
          </w:p>
          <w:p w14:paraId="035ADA6C" w14:textId="77777777" w:rsidR="00C0526B" w:rsidRPr="009841AB" w:rsidRDefault="00C0526B" w:rsidP="00242E87">
            <w:pPr>
              <w:pStyle w:val="naisc"/>
              <w:spacing w:before="0" w:after="0"/>
              <w:jc w:val="both"/>
            </w:pPr>
            <w:r>
              <w:t xml:space="preserve">Digitālās transformācijas pamatnostādnes 2021.-2027. - 1.pielikums "Politikas rezultāti un rezultatīvie rādītāji" nosaka izmērāmos rādītājus, atbilstoši Attīstības plānošanas dokumentu izstrādes un ietekmes izvērtēšanas </w:t>
            </w:r>
            <w:r>
              <w:lastRenderedPageBreak/>
              <w:t xml:space="preserve">noteikumos noteiktajam. Papildus VARAM plāno izveidot monitoringa procesu regulārai pamatnostādņu ieviešanas progresa izmērīšanai. </w:t>
            </w:r>
          </w:p>
        </w:tc>
        <w:tc>
          <w:tcPr>
            <w:tcW w:w="3504" w:type="dxa"/>
            <w:gridSpan w:val="2"/>
            <w:tcBorders>
              <w:top w:val="single" w:sz="4" w:space="0" w:color="auto"/>
              <w:left w:val="single" w:sz="4" w:space="0" w:color="auto"/>
              <w:bottom w:val="single" w:sz="4" w:space="0" w:color="auto"/>
            </w:tcBorders>
            <w:shd w:val="clear" w:color="auto" w:fill="auto"/>
          </w:tcPr>
          <w:p w14:paraId="4F7A1742" w14:textId="77777777" w:rsidR="00C0526B" w:rsidRPr="009841AB" w:rsidRDefault="00C0526B" w:rsidP="00242E87">
            <w:r>
              <w:lastRenderedPageBreak/>
              <w:t xml:space="preserve">Lūdzu skatīt 1. pielikumu. </w:t>
            </w:r>
          </w:p>
        </w:tc>
      </w:tr>
      <w:tr w:rsidR="00C0526B" w:rsidRPr="009841AB" w14:paraId="4DE27A0C" w14:textId="77777777" w:rsidTr="00242E87">
        <w:tc>
          <w:tcPr>
            <w:tcW w:w="14451" w:type="dxa"/>
            <w:gridSpan w:val="6"/>
            <w:tcBorders>
              <w:left w:val="single" w:sz="6" w:space="0" w:color="000000" w:themeColor="text1"/>
              <w:bottom w:val="single" w:sz="4" w:space="0" w:color="auto"/>
            </w:tcBorders>
            <w:shd w:val="clear" w:color="auto" w:fill="auto"/>
          </w:tcPr>
          <w:p w14:paraId="051D3E0F" w14:textId="77777777" w:rsidR="00C0526B" w:rsidRPr="009841AB" w:rsidRDefault="00C0526B" w:rsidP="00242E87">
            <w:r w:rsidRPr="005E1C9E">
              <w:rPr>
                <w:b/>
                <w:bCs/>
              </w:rPr>
              <w:t>Aizsardzības ministrijas 1</w:t>
            </w:r>
            <w:r>
              <w:rPr>
                <w:b/>
                <w:bCs/>
              </w:rPr>
              <w:t>7</w:t>
            </w:r>
            <w:r w:rsidRPr="005E1C9E">
              <w:rPr>
                <w:b/>
                <w:bCs/>
              </w:rPr>
              <w:t>.05.2021. atzinums:</w:t>
            </w:r>
          </w:p>
        </w:tc>
      </w:tr>
      <w:tr w:rsidR="00C0526B" w:rsidRPr="009841AB" w14:paraId="1CD0139A"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4710BD5" w14:textId="24B4507A" w:rsidR="00C0526B" w:rsidRDefault="00346F53" w:rsidP="00242E87">
            <w:pPr>
              <w:pStyle w:val="naisc"/>
              <w:spacing w:before="0" w:after="0"/>
            </w:pPr>
            <w:r>
              <w:t>597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FDFAC50" w14:textId="77777777" w:rsidR="00C0526B" w:rsidRPr="009841AB" w:rsidRDefault="00C0526B" w:rsidP="00242E87">
            <w:pPr>
              <w:pStyle w:val="naisc"/>
              <w:spacing w:before="0" w:after="0"/>
              <w:jc w:val="left"/>
            </w:pPr>
            <w:r>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2E27345" w14:textId="77777777" w:rsidR="00C0526B" w:rsidRPr="0097355C" w:rsidRDefault="00C0526B" w:rsidP="00242E87">
            <w:pPr>
              <w:tabs>
                <w:tab w:val="left" w:pos="720"/>
              </w:tabs>
              <w:contextualSpacing/>
              <w:jc w:val="both"/>
              <w:rPr>
                <w:lang w:eastAsia="en-US"/>
              </w:rPr>
            </w:pPr>
            <w:r w:rsidRPr="00C11473">
              <w:rPr>
                <w:lang w:eastAsia="en-US"/>
              </w:rPr>
              <w:t>1</w:t>
            </w:r>
            <w:r>
              <w:rPr>
                <w:lang w:eastAsia="en-US"/>
              </w:rPr>
              <w:t xml:space="preserve">. </w:t>
            </w:r>
            <w:r w:rsidRPr="00C11473">
              <w:rPr>
                <w:lang w:eastAsia="en-US"/>
              </w:rPr>
              <w:t>4.2.2. Rīcības virziens: Elektroniskā identitāte un uzticamības pakalpojumi: nepieciešamās rīcības apraksta pirmās rindkopas otrajā teikumā vārdus “būtisku vai augstu uzticamības līmeni” aizstāt ar vārdiem “kvalificētiem līdzekļiem”.</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46D01CD" w14:textId="77777777" w:rsidR="00C0526B" w:rsidRPr="0030386D"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64EABFE1" w14:textId="77777777" w:rsidR="00C0526B" w:rsidRPr="009841AB" w:rsidRDefault="00C0526B" w:rsidP="00242E87">
            <w:r w:rsidRPr="007409A5">
              <w:t>Lūdzu skatīt 4.</w:t>
            </w:r>
            <w:r>
              <w:t>2</w:t>
            </w:r>
            <w:r w:rsidRPr="007409A5">
              <w:t>. sadaļu</w:t>
            </w:r>
          </w:p>
        </w:tc>
      </w:tr>
      <w:tr w:rsidR="00C0526B" w:rsidRPr="009841AB" w14:paraId="02993ADA"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58CADE5" w14:textId="1231E4A8" w:rsidR="00C0526B" w:rsidRDefault="00346F53" w:rsidP="00242E87">
            <w:pPr>
              <w:pStyle w:val="naisc"/>
              <w:spacing w:before="0" w:after="0"/>
            </w:pPr>
            <w:r>
              <w:t>598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0F817D0" w14:textId="77777777" w:rsidR="00C0526B" w:rsidRPr="009841AB" w:rsidRDefault="00C0526B" w:rsidP="00242E87">
            <w:pPr>
              <w:pStyle w:val="naisc"/>
              <w:spacing w:before="0" w:after="0"/>
              <w:jc w:val="left"/>
            </w:pPr>
            <w:r>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8B65683" w14:textId="77777777" w:rsidR="00C0526B" w:rsidRPr="0097355C" w:rsidRDefault="00C0526B" w:rsidP="00242E87">
            <w:pPr>
              <w:tabs>
                <w:tab w:val="left" w:pos="720"/>
              </w:tabs>
              <w:contextualSpacing/>
              <w:jc w:val="both"/>
              <w:rPr>
                <w:lang w:eastAsia="en-US"/>
              </w:rPr>
            </w:pPr>
            <w:r w:rsidRPr="00A1222E">
              <w:rPr>
                <w:lang w:eastAsia="en-US"/>
              </w:rPr>
              <w:t>2</w:t>
            </w:r>
            <w:r>
              <w:rPr>
                <w:lang w:eastAsia="en-US"/>
              </w:rPr>
              <w:t xml:space="preserve">. </w:t>
            </w:r>
            <w:r w:rsidRPr="00A1222E">
              <w:rPr>
                <w:lang w:eastAsia="en-US"/>
              </w:rPr>
              <w:t>4.2.2. Rīcības virziens: Elektroniskā identitāte un uzticamības pakalpojumi: nepieciešamās rīcības apraksta otrās rindkopas pirmajā teikumā vārdus “platformas pakalpojumus” aizstāt ar vārdu “klāstu”, vienlaikus svītrojot zemsvītras atsauci.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621B229" w14:textId="77777777" w:rsidR="00C0526B" w:rsidRPr="009841A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15BCAF2E" w14:textId="77777777" w:rsidR="00C0526B" w:rsidRPr="009841AB" w:rsidRDefault="00C0526B" w:rsidP="00242E87">
            <w:r w:rsidRPr="007409A5">
              <w:t>Lūdzu skatīt 4.</w:t>
            </w:r>
            <w:r>
              <w:t>2</w:t>
            </w:r>
            <w:r w:rsidRPr="007409A5">
              <w:t>. sadaļu</w:t>
            </w:r>
          </w:p>
        </w:tc>
      </w:tr>
      <w:tr w:rsidR="00C0526B" w:rsidRPr="009841AB" w14:paraId="00444E78"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4B736714" w14:textId="0B090BC7" w:rsidR="00C0526B" w:rsidRDefault="00346F53" w:rsidP="00242E87">
            <w:pPr>
              <w:pStyle w:val="naisc"/>
              <w:spacing w:before="0" w:after="0"/>
            </w:pPr>
            <w:r>
              <w:t>599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54658B7" w14:textId="77777777" w:rsidR="00C0526B" w:rsidRPr="009841AB" w:rsidRDefault="00C0526B" w:rsidP="00242E87">
            <w:pPr>
              <w:pStyle w:val="naisc"/>
              <w:spacing w:before="0" w:after="0"/>
              <w:jc w:val="left"/>
            </w:pPr>
            <w:r>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6C624EC" w14:textId="77777777" w:rsidR="00C0526B" w:rsidRPr="0097355C" w:rsidRDefault="00C0526B" w:rsidP="00242E87">
            <w:pPr>
              <w:tabs>
                <w:tab w:val="left" w:pos="720"/>
              </w:tabs>
              <w:contextualSpacing/>
              <w:jc w:val="both"/>
              <w:rPr>
                <w:lang w:eastAsia="en-US"/>
              </w:rPr>
            </w:pPr>
            <w:r w:rsidRPr="009A6185">
              <w:rPr>
                <w:lang w:eastAsia="en-US"/>
              </w:rPr>
              <w:t>3</w:t>
            </w:r>
            <w:r>
              <w:rPr>
                <w:lang w:eastAsia="en-US"/>
              </w:rPr>
              <w:t xml:space="preserve">. </w:t>
            </w:r>
            <w:r w:rsidRPr="009A6185">
              <w:rPr>
                <w:lang w:eastAsia="en-US"/>
              </w:rPr>
              <w:t>4.2.2. Rīcības virziens: Elektroniskā identitāte un uzticamības pakalpojumi:  nepiecienāmās rīcības apraksta otrajā punktā vārdus “elektroniskās identifikācijas” aizstāt ar vārdu “e-identifikācijas”.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A832D4D" w14:textId="77777777" w:rsidR="00C0526B" w:rsidRPr="009841A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256DCC53" w14:textId="77777777" w:rsidR="00C0526B" w:rsidRPr="009841AB" w:rsidRDefault="00C0526B" w:rsidP="00242E87">
            <w:r w:rsidRPr="007409A5">
              <w:t>Lūdzu skatīt 4.</w:t>
            </w:r>
            <w:r>
              <w:t>2</w:t>
            </w:r>
            <w:r w:rsidRPr="007409A5">
              <w:t>. sadaļu</w:t>
            </w:r>
          </w:p>
        </w:tc>
      </w:tr>
      <w:tr w:rsidR="00C0526B" w:rsidRPr="009841AB" w14:paraId="2C1DD47C"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5782FB8D" w14:textId="2D45A5B7" w:rsidR="00C0526B" w:rsidRDefault="00346F53" w:rsidP="00242E87">
            <w:pPr>
              <w:pStyle w:val="naisc"/>
              <w:spacing w:before="0" w:after="0"/>
            </w:pPr>
            <w:r>
              <w:t>600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6F945A3" w14:textId="77777777" w:rsidR="00C0526B" w:rsidRPr="009841AB" w:rsidRDefault="00C0526B" w:rsidP="00242E87">
            <w:pPr>
              <w:pStyle w:val="naisc"/>
              <w:spacing w:before="0" w:after="0"/>
              <w:jc w:val="left"/>
            </w:pPr>
            <w:r>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3F15848" w14:textId="77777777" w:rsidR="00C0526B" w:rsidRPr="0097355C" w:rsidRDefault="00C0526B" w:rsidP="00242E87">
            <w:pPr>
              <w:tabs>
                <w:tab w:val="left" w:pos="720"/>
              </w:tabs>
              <w:contextualSpacing/>
              <w:jc w:val="both"/>
              <w:rPr>
                <w:lang w:eastAsia="en-US"/>
              </w:rPr>
            </w:pPr>
            <w:r w:rsidRPr="005062CB">
              <w:rPr>
                <w:lang w:eastAsia="en-US"/>
              </w:rPr>
              <w:t>4</w:t>
            </w:r>
            <w:r>
              <w:rPr>
                <w:lang w:eastAsia="en-US"/>
              </w:rPr>
              <w:t xml:space="preserve">. </w:t>
            </w:r>
            <w:r w:rsidRPr="005062CB">
              <w:rPr>
                <w:lang w:eastAsia="en-US"/>
              </w:rPr>
              <w:t>4.2.2. Rīcības virziens: Elektroniskā identitāte un uzticamības pakalpojumi: nepieciešamās rīcības ceturto punktu izteikt šādā redakcijā: “Pilnveidot nacionālos e-identitātes un uzticamības pakalpojumus, attīstot to integrācijas iespējas (t.sk. plašai integrācijai vietnēs, kas pieņem autorizāciju un atbalsta pārrobežu pakalpojumu scenārijus, integrāciju ar resursu pārvaldības risinājumiem, pielietojumu fiziskās vides pakalpojumiem, datu šifrēšanas funkcionalitātei).”.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CD4825F" w14:textId="77777777" w:rsidR="00C0526B" w:rsidRPr="009841A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0F9A438B" w14:textId="77777777" w:rsidR="00C0526B" w:rsidRPr="009841AB" w:rsidRDefault="00C0526B" w:rsidP="00242E87">
            <w:r w:rsidRPr="007409A5">
              <w:t>Lūdzu skatīt 4.</w:t>
            </w:r>
            <w:r>
              <w:t>2</w:t>
            </w:r>
            <w:r w:rsidRPr="007409A5">
              <w:t>. sadaļu</w:t>
            </w:r>
          </w:p>
        </w:tc>
      </w:tr>
      <w:tr w:rsidR="00C0526B" w:rsidRPr="009841AB" w14:paraId="33EC08F0"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F6D5A3D" w14:textId="44F4BC03" w:rsidR="00C0526B" w:rsidRDefault="00346F53" w:rsidP="00242E87">
            <w:pPr>
              <w:pStyle w:val="naisc"/>
              <w:spacing w:before="0" w:after="0"/>
            </w:pPr>
            <w:r>
              <w:t>601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12B8AAF" w14:textId="77777777" w:rsidR="00C0526B" w:rsidRPr="009841AB" w:rsidRDefault="00C0526B" w:rsidP="00242E87">
            <w:pPr>
              <w:pStyle w:val="naisc"/>
              <w:spacing w:before="0" w:after="0"/>
              <w:jc w:val="left"/>
            </w:pPr>
            <w:r>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E744214" w14:textId="77777777" w:rsidR="00C0526B" w:rsidRPr="0097355C" w:rsidRDefault="00C0526B" w:rsidP="00242E87">
            <w:pPr>
              <w:tabs>
                <w:tab w:val="left" w:pos="720"/>
              </w:tabs>
              <w:contextualSpacing/>
              <w:jc w:val="both"/>
              <w:rPr>
                <w:lang w:eastAsia="en-US"/>
              </w:rPr>
            </w:pPr>
            <w:r>
              <w:rPr>
                <w:lang w:eastAsia="en-US"/>
              </w:rPr>
              <w:t xml:space="preserve">5. </w:t>
            </w:r>
            <w:r w:rsidRPr="007A2F30">
              <w:rPr>
                <w:lang w:eastAsia="en-US"/>
              </w:rPr>
              <w:t>4.2.2. Rīcības virziens: Elektroniskā identitāte un uzticamības pakalpojumi: sagaidāmo rezultātu pirmajā punktā svītrot vārdu “platformas”.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D17BF53" w14:textId="77777777" w:rsidR="00C0526B" w:rsidRPr="009841A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5313A69F" w14:textId="77777777" w:rsidR="00C0526B" w:rsidRPr="009841AB" w:rsidRDefault="00C0526B" w:rsidP="00242E87">
            <w:r w:rsidRPr="007409A5">
              <w:t>Lūdzu skatīt 4.</w:t>
            </w:r>
            <w:r>
              <w:t>2</w:t>
            </w:r>
            <w:r w:rsidRPr="007409A5">
              <w:t>. sadaļu</w:t>
            </w:r>
          </w:p>
        </w:tc>
      </w:tr>
      <w:tr w:rsidR="00C0526B" w:rsidRPr="009841AB" w14:paraId="65D09F0C"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11FBD9A" w14:textId="648BEF75" w:rsidR="00C0526B" w:rsidRDefault="00346F53" w:rsidP="00242E87">
            <w:pPr>
              <w:pStyle w:val="naisc"/>
              <w:spacing w:before="0" w:after="0"/>
            </w:pPr>
            <w:r>
              <w:lastRenderedPageBreak/>
              <w:t>602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9B96B54" w14:textId="77777777" w:rsidR="00C0526B" w:rsidRPr="009841AB" w:rsidRDefault="00C0526B" w:rsidP="00242E87">
            <w:pPr>
              <w:pStyle w:val="naisc"/>
              <w:spacing w:before="0" w:after="0"/>
              <w:jc w:val="left"/>
            </w:pPr>
            <w:r>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95739B4" w14:textId="77777777" w:rsidR="00C0526B" w:rsidRPr="0097355C" w:rsidRDefault="00C0526B" w:rsidP="00242E87">
            <w:pPr>
              <w:tabs>
                <w:tab w:val="left" w:pos="720"/>
              </w:tabs>
              <w:contextualSpacing/>
              <w:jc w:val="both"/>
              <w:rPr>
                <w:lang w:eastAsia="en-US"/>
              </w:rPr>
            </w:pPr>
            <w:r w:rsidRPr="006B21CB">
              <w:rPr>
                <w:lang w:eastAsia="en-US"/>
              </w:rPr>
              <w:t>6</w:t>
            </w:r>
            <w:r>
              <w:rPr>
                <w:lang w:eastAsia="en-US"/>
              </w:rPr>
              <w:t xml:space="preserve">. </w:t>
            </w:r>
            <w:r w:rsidRPr="006B21CB">
              <w:rPr>
                <w:lang w:eastAsia="en-US"/>
              </w:rPr>
              <w:t>4.2.2. Rīcības virziens: Elektroniskā identitāte un uzticamības pakalpojumi: uzdevumā U4.2.2.-1 vārdu “platformas” aizstāt ar vārdu “klāsta”.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24D7892" w14:textId="77777777" w:rsidR="00C0526B" w:rsidRPr="009841A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31174C23" w14:textId="77777777" w:rsidR="00C0526B" w:rsidRPr="009841AB" w:rsidRDefault="00C0526B" w:rsidP="00242E87">
            <w:r w:rsidRPr="007409A5">
              <w:t>Lūdzu skatīt 4.</w:t>
            </w:r>
            <w:r>
              <w:t>2</w:t>
            </w:r>
            <w:r w:rsidRPr="007409A5">
              <w:t>. sadaļu</w:t>
            </w:r>
          </w:p>
        </w:tc>
      </w:tr>
      <w:tr w:rsidR="00C0526B" w:rsidRPr="009841AB" w14:paraId="296A9DDC"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F728261" w14:textId="54C0C627" w:rsidR="00C0526B" w:rsidRDefault="00346F53" w:rsidP="00242E87">
            <w:pPr>
              <w:pStyle w:val="naisc"/>
              <w:spacing w:before="0" w:after="0"/>
            </w:pPr>
            <w:r>
              <w:t>603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7006FBF" w14:textId="77777777" w:rsidR="00C0526B" w:rsidRPr="009841AB" w:rsidRDefault="00C0526B" w:rsidP="00242E87">
            <w:pPr>
              <w:pStyle w:val="naisc"/>
              <w:spacing w:before="0" w:after="0"/>
              <w:jc w:val="left"/>
            </w:pPr>
            <w:r>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6CBC82E" w14:textId="77777777" w:rsidR="00C0526B" w:rsidRPr="0097355C" w:rsidRDefault="00C0526B" w:rsidP="00242E87">
            <w:pPr>
              <w:tabs>
                <w:tab w:val="left" w:pos="720"/>
              </w:tabs>
              <w:contextualSpacing/>
              <w:jc w:val="both"/>
              <w:rPr>
                <w:lang w:eastAsia="en-US"/>
              </w:rPr>
            </w:pPr>
            <w:r w:rsidRPr="00B41017">
              <w:rPr>
                <w:lang w:eastAsia="en-US"/>
              </w:rPr>
              <w:t>7</w:t>
            </w:r>
            <w:r>
              <w:rPr>
                <w:lang w:eastAsia="en-US"/>
              </w:rPr>
              <w:t xml:space="preserve">. </w:t>
            </w:r>
            <w:r w:rsidRPr="00B41017">
              <w:rPr>
                <w:lang w:eastAsia="en-US"/>
              </w:rPr>
              <w:t>4.2.2. Rīcības virziens: Elektroniskā identitāte un uzticamības pakalpojumi: uzdevumā U4.2.2.-3 vārdu “platformas” aizstāt ar vārdu “klāsta”.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2CB65B9" w14:textId="77777777" w:rsidR="00C0526B" w:rsidRPr="009841A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000A6252" w14:textId="77777777" w:rsidR="00C0526B" w:rsidRPr="009841AB" w:rsidRDefault="00C0526B" w:rsidP="00242E87">
            <w:r w:rsidRPr="007409A5">
              <w:t>Lūdzu skatīt 4.</w:t>
            </w:r>
            <w:r>
              <w:t>2</w:t>
            </w:r>
            <w:r w:rsidRPr="007409A5">
              <w:t>. sadaļu</w:t>
            </w:r>
          </w:p>
        </w:tc>
      </w:tr>
      <w:tr w:rsidR="00C0526B" w:rsidRPr="009841AB" w14:paraId="53A41F36"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A36D1FE" w14:textId="488826BF" w:rsidR="00C0526B" w:rsidRDefault="00346F53" w:rsidP="00242E87">
            <w:pPr>
              <w:pStyle w:val="naisc"/>
              <w:spacing w:before="0" w:after="0"/>
            </w:pPr>
            <w:r>
              <w:t>604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422F948"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CC20A4F" w14:textId="77777777" w:rsidR="00C0526B" w:rsidRPr="0097355C" w:rsidRDefault="00C0526B" w:rsidP="00242E87">
            <w:pPr>
              <w:tabs>
                <w:tab w:val="left" w:pos="720"/>
              </w:tabs>
              <w:contextualSpacing/>
              <w:jc w:val="both"/>
              <w:rPr>
                <w:lang w:eastAsia="en-US"/>
              </w:rPr>
            </w:pPr>
            <w:r w:rsidRPr="00EF1EBB">
              <w:rPr>
                <w:lang w:eastAsia="en-US"/>
              </w:rPr>
              <w:t>8</w:t>
            </w:r>
            <w:r>
              <w:rPr>
                <w:lang w:eastAsia="en-US"/>
              </w:rPr>
              <w:t xml:space="preserve">. </w:t>
            </w:r>
            <w:r w:rsidRPr="00EF1EBB">
              <w:rPr>
                <w:lang w:eastAsia="en-US"/>
              </w:rPr>
              <w:t xml:space="preserve">Atkārtoti norādām, ka Projektā nav iekļauta informācija par ģeotelpiskās informācijas infrastruktūras izveidi Latvijā. No </w:t>
            </w:r>
            <w:proofErr w:type="spellStart"/>
            <w:r w:rsidRPr="00EF1EBB">
              <w:rPr>
                <w:lang w:eastAsia="en-US"/>
              </w:rPr>
              <w:t>Copernicus</w:t>
            </w:r>
            <w:proofErr w:type="spellEnd"/>
            <w:r w:rsidRPr="00EF1EBB">
              <w:rPr>
                <w:lang w:eastAsia="en-US"/>
              </w:rPr>
              <w:t xml:space="preserve"> ES Vides novērošanas programmu un Eiropas Parlamenta un Padomes Direktīvas 2007/2/EK (2007. gada 14. marts), ar ko izveido Telpiskās informācijas infrastruktūru Eiropas Kopienā (INSPIRE direktīva) un Eiropas Parlamenta un Padomes 2003.gada 17.novembra direktīvas 2003/98/EK par valsts sektora informācijas </w:t>
            </w:r>
            <w:proofErr w:type="spellStart"/>
            <w:r w:rsidRPr="00EF1EBB">
              <w:rPr>
                <w:lang w:eastAsia="en-US"/>
              </w:rPr>
              <w:t>atkalizmantošanu</w:t>
            </w:r>
            <w:proofErr w:type="spellEnd"/>
            <w:r w:rsidRPr="00EF1EBB">
              <w:rPr>
                <w:lang w:eastAsia="en-US"/>
              </w:rPr>
              <w:t xml:space="preserve"> izrietošs ir Ģeotelpiskās informācijas likums (turpmāk - ĢIL), ar kuru tiek izveidota ģeotelpiskās informācijas infrastruktūra Latvijā.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B1259A7" w14:textId="77777777" w:rsidR="00C0526B" w:rsidRPr="0030386D" w:rsidRDefault="00C0526B" w:rsidP="00242E87">
            <w:pPr>
              <w:pStyle w:val="naisc"/>
              <w:spacing w:before="0" w:after="0"/>
              <w:jc w:val="both"/>
            </w:pPr>
            <w:r w:rsidRPr="004E5916">
              <w:rPr>
                <w:b/>
                <w:bCs/>
              </w:rPr>
              <w:t>Ņemts vērā</w:t>
            </w:r>
          </w:p>
          <w:p w14:paraId="3A065DAB" w14:textId="77777777" w:rsidR="00C0526B" w:rsidRPr="002811E9" w:rsidRDefault="00C0526B" w:rsidP="00242E87">
            <w:pPr>
              <w:pStyle w:val="naisc"/>
              <w:spacing w:before="0" w:after="0"/>
              <w:jc w:val="both"/>
            </w:pPr>
            <w:r w:rsidRPr="002811E9">
              <w:t>Iekļautas atsauces uz likumu un ģeotelpiskās informācijas infrastruktūru</w:t>
            </w:r>
          </w:p>
        </w:tc>
        <w:tc>
          <w:tcPr>
            <w:tcW w:w="3504" w:type="dxa"/>
            <w:gridSpan w:val="2"/>
            <w:tcBorders>
              <w:top w:val="single" w:sz="4" w:space="0" w:color="auto"/>
              <w:left w:val="single" w:sz="4" w:space="0" w:color="auto"/>
              <w:bottom w:val="single" w:sz="4" w:space="0" w:color="auto"/>
            </w:tcBorders>
            <w:shd w:val="clear" w:color="auto" w:fill="auto"/>
          </w:tcPr>
          <w:p w14:paraId="214448A8" w14:textId="77777777" w:rsidR="00C0526B" w:rsidRPr="009841AB" w:rsidRDefault="00C0526B" w:rsidP="00242E87">
            <w:r>
              <w:t xml:space="preserve">Lūdzu skatīt 4. pielikumu, </w:t>
            </w:r>
            <w:r w:rsidRPr="00876654">
              <w:t>4.4.4. Rīcības virzien</w:t>
            </w:r>
            <w:r>
              <w:t>u</w:t>
            </w:r>
            <w:r w:rsidRPr="00876654">
              <w:t>: Ģeotelpiskās, vides pārvaldības un attīstības plānošanas digitālā transformācija</w:t>
            </w:r>
          </w:p>
        </w:tc>
      </w:tr>
      <w:tr w:rsidR="00C0526B" w:rsidRPr="009841AB" w14:paraId="2C06365A"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5A4E2DB6" w14:textId="70130C1B" w:rsidR="00C0526B" w:rsidRDefault="00346F53" w:rsidP="00242E87">
            <w:pPr>
              <w:pStyle w:val="naisc"/>
              <w:spacing w:before="0" w:after="0"/>
            </w:pPr>
            <w:r>
              <w:t>605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43C89D2"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17FE394" w14:textId="77777777" w:rsidR="00C0526B" w:rsidRPr="00FF358C" w:rsidRDefault="00C0526B" w:rsidP="00242E87">
            <w:pPr>
              <w:jc w:val="both"/>
            </w:pPr>
            <w:r>
              <w:t xml:space="preserve">9. 4.4.4. Rīcības virziens: </w:t>
            </w:r>
            <w:r w:rsidRPr="00451579">
              <w:rPr>
                <w:lang w:val="lv"/>
              </w:rPr>
              <w:t>Ģeotelpiskās, vides pārvaldības un attīstības plānošanas digitālā transformācija</w:t>
            </w:r>
            <w:r w:rsidRPr="00612065">
              <w:t>:</w:t>
            </w:r>
            <w:r>
              <w:t xml:space="preserve"> Latvijas ģeotelpiskās informācijas aģentūra (turpmāk – </w:t>
            </w:r>
            <w:r w:rsidRPr="00FF358C">
              <w:t>LĢIA</w:t>
            </w:r>
            <w:r>
              <w:t xml:space="preserve">) vērš uzmanību uz terminu lietojumu nepieciešamās rīcības aprakstā, jo šādi termini neatbilst </w:t>
            </w:r>
            <w:r w:rsidRPr="00FF358C">
              <w:t>Ģ</w:t>
            </w:r>
            <w:r>
              <w:t>IL. Ņemot vērā iepriekš minēto,</w:t>
            </w:r>
            <w:r w:rsidRPr="00FF358C">
              <w:t xml:space="preserve"> lūdz</w:t>
            </w:r>
            <w:r>
              <w:t>u</w:t>
            </w:r>
            <w:r w:rsidRPr="00FF358C">
              <w:t xml:space="preserve"> skaidro</w:t>
            </w:r>
            <w:r>
              <w:t xml:space="preserve">t šādu </w:t>
            </w:r>
            <w:r w:rsidRPr="00FF358C">
              <w:t>termin</w:t>
            </w:r>
            <w:r>
              <w:t>u tvērumu</w:t>
            </w:r>
            <w:r w:rsidRPr="00FF358C">
              <w:t>:</w:t>
            </w:r>
          </w:p>
          <w:p w14:paraId="424A77A3" w14:textId="77777777" w:rsidR="00C0526B" w:rsidRPr="00FF358C" w:rsidRDefault="00C0526B" w:rsidP="000C28AE">
            <w:pPr>
              <w:widowControl w:val="0"/>
              <w:numPr>
                <w:ilvl w:val="0"/>
                <w:numId w:val="16"/>
              </w:numPr>
              <w:tabs>
                <w:tab w:val="clear" w:pos="720"/>
                <w:tab w:val="num" w:pos="1418"/>
              </w:tabs>
              <w:ind w:left="1418"/>
              <w:jc w:val="both"/>
            </w:pPr>
            <w:r>
              <w:t>ģeotelpiskie risinājumi,</w:t>
            </w:r>
          </w:p>
          <w:p w14:paraId="3DDC7E02" w14:textId="77777777" w:rsidR="00C0526B" w:rsidRPr="00FF358C" w:rsidRDefault="00C0526B" w:rsidP="000C28AE">
            <w:pPr>
              <w:widowControl w:val="0"/>
              <w:numPr>
                <w:ilvl w:val="0"/>
                <w:numId w:val="16"/>
              </w:numPr>
              <w:tabs>
                <w:tab w:val="clear" w:pos="720"/>
                <w:tab w:val="num" w:pos="1418"/>
              </w:tabs>
              <w:ind w:left="1418"/>
              <w:jc w:val="both"/>
            </w:pPr>
            <w:r w:rsidRPr="00FF358C">
              <w:t>terit</w:t>
            </w:r>
            <w:r>
              <w:t>orijas raksturojošie risinājumi,</w:t>
            </w:r>
          </w:p>
          <w:p w14:paraId="4EDAEBBE" w14:textId="77777777" w:rsidR="00C0526B" w:rsidRPr="00FF358C" w:rsidRDefault="00C0526B" w:rsidP="000C28AE">
            <w:pPr>
              <w:widowControl w:val="0"/>
              <w:numPr>
                <w:ilvl w:val="0"/>
                <w:numId w:val="16"/>
              </w:numPr>
              <w:tabs>
                <w:tab w:val="clear" w:pos="720"/>
                <w:tab w:val="num" w:pos="1418"/>
              </w:tabs>
              <w:ind w:left="1418"/>
              <w:jc w:val="both"/>
            </w:pPr>
            <w:r>
              <w:t>vides risinājumi,</w:t>
            </w:r>
          </w:p>
          <w:p w14:paraId="3F92A9C5" w14:textId="77777777" w:rsidR="00C0526B" w:rsidRPr="00FF358C" w:rsidRDefault="00C0526B" w:rsidP="000C28AE">
            <w:pPr>
              <w:widowControl w:val="0"/>
              <w:numPr>
                <w:ilvl w:val="0"/>
                <w:numId w:val="16"/>
              </w:numPr>
              <w:tabs>
                <w:tab w:val="clear" w:pos="720"/>
                <w:tab w:val="num" w:pos="1418"/>
              </w:tabs>
              <w:ind w:left="1418"/>
              <w:jc w:val="both"/>
            </w:pPr>
            <w:r>
              <w:t>vienota</w:t>
            </w:r>
            <w:r w:rsidRPr="00FF358C">
              <w:t xml:space="preserve"> ģeo</w:t>
            </w:r>
            <w:r>
              <w:t>telpisko risinājumu arhitektūra,</w:t>
            </w:r>
          </w:p>
          <w:p w14:paraId="7887CAEC" w14:textId="77777777" w:rsidR="00C0526B" w:rsidRPr="0097355C" w:rsidRDefault="00C0526B" w:rsidP="000C28AE">
            <w:pPr>
              <w:numPr>
                <w:ilvl w:val="0"/>
                <w:numId w:val="16"/>
              </w:numPr>
              <w:tabs>
                <w:tab w:val="clear" w:pos="720"/>
                <w:tab w:val="num" w:pos="1418"/>
              </w:tabs>
              <w:ind w:left="1418"/>
              <w:contextualSpacing/>
              <w:jc w:val="both"/>
              <w:rPr>
                <w:lang w:eastAsia="en-US"/>
              </w:rPr>
            </w:pPr>
            <w:r w:rsidRPr="00FF358C">
              <w:t>integrēts ģe</w:t>
            </w:r>
            <w:r>
              <w:t>otelpiskās arhitektūras modelis.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C80B035" w14:textId="77777777" w:rsidR="00C0526B" w:rsidRDefault="00C0526B" w:rsidP="00242E87">
            <w:pPr>
              <w:pStyle w:val="naisc"/>
              <w:spacing w:before="0" w:after="0"/>
              <w:jc w:val="both"/>
              <w:rPr>
                <w:b/>
                <w:bCs/>
              </w:rPr>
            </w:pPr>
            <w:r w:rsidRPr="000A6DE9">
              <w:rPr>
                <w:b/>
                <w:bCs/>
              </w:rPr>
              <w:t>Ņemts vērā</w:t>
            </w:r>
          </w:p>
          <w:p w14:paraId="3FF48718" w14:textId="77777777" w:rsidR="00C0526B" w:rsidRDefault="00C0526B" w:rsidP="00242E87">
            <w:pPr>
              <w:pStyle w:val="naisc"/>
              <w:spacing w:before="0" w:after="0"/>
              <w:jc w:val="both"/>
            </w:pPr>
            <w:r w:rsidRPr="000A6DE9">
              <w:t xml:space="preserve">Terminu lietojums precizēts, salāgojot ar </w:t>
            </w:r>
            <w:r>
              <w:t>ĢIL, vai tos papildus skaidrojot.</w:t>
            </w:r>
          </w:p>
          <w:p w14:paraId="22EF7325" w14:textId="77777777" w:rsidR="00C0526B" w:rsidRPr="000A6DE9" w:rsidRDefault="00C0526B" w:rsidP="00242E87">
            <w:pPr>
              <w:pStyle w:val="naisc"/>
              <w:spacing w:before="0" w:after="0"/>
              <w:jc w:val="both"/>
            </w:pPr>
            <w:r>
              <w:t>Jēdziens arhitektūra interpretējams Latvijas zinātņu akadēmijas apstiprinātā termina izpratnē.</w:t>
            </w:r>
          </w:p>
        </w:tc>
        <w:tc>
          <w:tcPr>
            <w:tcW w:w="3504" w:type="dxa"/>
            <w:gridSpan w:val="2"/>
            <w:tcBorders>
              <w:top w:val="single" w:sz="4" w:space="0" w:color="auto"/>
              <w:left w:val="single" w:sz="4" w:space="0" w:color="auto"/>
              <w:bottom w:val="single" w:sz="4" w:space="0" w:color="auto"/>
            </w:tcBorders>
            <w:shd w:val="clear" w:color="auto" w:fill="auto"/>
          </w:tcPr>
          <w:p w14:paraId="57211A99" w14:textId="77777777" w:rsidR="00C0526B" w:rsidRPr="009841AB" w:rsidRDefault="00C0526B" w:rsidP="00242E87">
            <w:r>
              <w:t xml:space="preserve">Lūdzu skatīt </w:t>
            </w:r>
            <w:r w:rsidRPr="00876654">
              <w:t>4.4.4. Rīcības virzien</w:t>
            </w:r>
            <w:r>
              <w:t>u</w:t>
            </w:r>
            <w:r w:rsidRPr="00876654">
              <w:t>: Ģeotelpiskās, vides pārvaldības un attīstības plānošanas digitālā transformācija</w:t>
            </w:r>
          </w:p>
        </w:tc>
      </w:tr>
      <w:tr w:rsidR="00C0526B" w:rsidRPr="009841AB" w14:paraId="3B355933"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55FDB36" w14:textId="35FEA56E" w:rsidR="00C0526B" w:rsidRDefault="00346F53" w:rsidP="00242E87">
            <w:pPr>
              <w:pStyle w:val="naisc"/>
              <w:spacing w:before="0" w:after="0"/>
            </w:pPr>
            <w:r>
              <w:lastRenderedPageBreak/>
              <w:t>606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9696927"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BF3E265" w14:textId="77777777" w:rsidR="00C0526B" w:rsidRPr="0097355C" w:rsidRDefault="00C0526B" w:rsidP="00242E87">
            <w:pPr>
              <w:tabs>
                <w:tab w:val="left" w:pos="720"/>
              </w:tabs>
              <w:contextualSpacing/>
              <w:jc w:val="both"/>
              <w:rPr>
                <w:lang w:eastAsia="en-US"/>
              </w:rPr>
            </w:pPr>
            <w:r w:rsidRPr="003F2793">
              <w:rPr>
                <w:lang w:eastAsia="en-US"/>
              </w:rPr>
              <w:t>10</w:t>
            </w:r>
            <w:r>
              <w:rPr>
                <w:lang w:eastAsia="en-US"/>
              </w:rPr>
              <w:t xml:space="preserve">. </w:t>
            </w:r>
            <w:r w:rsidRPr="003F2793">
              <w:rPr>
                <w:lang w:eastAsia="en-US"/>
              </w:rPr>
              <w:t xml:space="preserve">4.4.4. Rīcības virziens: Ģeotelpiskās, vides pārvaldības un attīstības plānošanas digitālā transformācija: LĢIA atkārtoti norāda, ka nepieciešamās rīcības trešajā punktā minēto funkciju pilda Valsts vienotais ģeotelpiskās informācijas portāls (turpmāk -  </w:t>
            </w:r>
            <w:proofErr w:type="spellStart"/>
            <w:r w:rsidRPr="003F2793">
              <w:rPr>
                <w:lang w:eastAsia="en-US"/>
              </w:rPr>
              <w:t>Ģeoportāls</w:t>
            </w:r>
            <w:proofErr w:type="spellEnd"/>
            <w:r w:rsidRPr="003F2793">
              <w:rPr>
                <w:lang w:eastAsia="en-US"/>
              </w:rPr>
              <w:t>), kura pārzinis ir Valsts reģionālās attīstības aģentūra (turpmāk – VRAA), saskaņā ar Ministru kabineta 2011.gada 30.augusta noteikumiem Nr.668 “Valsts vienotā ģeotelpiskās informācijas portāla noteikumi”. Papildus, iepriekšminētā nepieciešamās rīcības trešā punkta redakcija rada Projekta un tā 4. pielikuma pretrunu ar Projekta 3.pielikumu,  kurā ir teikts: “Attīstīt nacionālo ģeotelpisko datu apmaiņas un izplatīšanas platformu, kā arī digitāli transformēt vides pārvaldības procesus, t.sk. nodrošinot sabiedrības un komersantu iesaisti” kā jau esošu un pastāvošu platformu.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064125BF" w14:textId="77777777" w:rsidR="00C0526B" w:rsidRDefault="00C0526B" w:rsidP="00242E87">
            <w:pPr>
              <w:pStyle w:val="naisc"/>
              <w:spacing w:before="0" w:after="0"/>
              <w:jc w:val="both"/>
              <w:rPr>
                <w:b/>
                <w:bCs/>
              </w:rPr>
            </w:pPr>
            <w:r w:rsidRPr="00790A1E">
              <w:rPr>
                <w:b/>
                <w:bCs/>
              </w:rPr>
              <w:t>Ņemts vērā</w:t>
            </w:r>
          </w:p>
          <w:p w14:paraId="0C51B6FA" w14:textId="77777777" w:rsidR="00C0526B" w:rsidRPr="00357D62" w:rsidRDefault="00C0526B" w:rsidP="00242E87">
            <w:pPr>
              <w:pStyle w:val="naisc"/>
              <w:spacing w:before="0" w:after="0"/>
              <w:jc w:val="both"/>
            </w:pPr>
            <w:r w:rsidRPr="00357D62">
              <w:t>Nepieciešamās rīcības 3. punktā jēdziens</w:t>
            </w:r>
            <w:r>
              <w:t xml:space="preserve"> “izveide” aizstāts ar jēdzienu “attīstība”. Atzīstot </w:t>
            </w:r>
            <w:proofErr w:type="spellStart"/>
            <w:r>
              <w:t>Ģeoportāla</w:t>
            </w:r>
            <w:proofErr w:type="spellEnd"/>
            <w:r>
              <w:t xml:space="preserve"> lomu, tomēr jāņem vērā, ka pilnvērtīgai ģeotelpisko datu koplietošanas funkcionēšanai ir būtiski attīstīt arī datu avotus, to datu kvalitāti, standartizāciju, </w:t>
            </w:r>
            <w:proofErr w:type="spellStart"/>
            <w:r>
              <w:t>pieslēgumus</w:t>
            </w:r>
            <w:proofErr w:type="spellEnd"/>
            <w:r>
              <w:t xml:space="preserve"> </w:t>
            </w:r>
            <w:proofErr w:type="spellStart"/>
            <w:r>
              <w:t>Ģeoportālam</w:t>
            </w:r>
            <w:proofErr w:type="spellEnd"/>
            <w:r>
              <w:t xml:space="preserve">, līdz ar to, šis rīcības virziens nav uzskatāms par īstenotu un ir aktuāls.  </w:t>
            </w:r>
          </w:p>
        </w:tc>
        <w:tc>
          <w:tcPr>
            <w:tcW w:w="3504" w:type="dxa"/>
            <w:gridSpan w:val="2"/>
            <w:tcBorders>
              <w:top w:val="single" w:sz="4" w:space="0" w:color="auto"/>
              <w:left w:val="single" w:sz="4" w:space="0" w:color="auto"/>
              <w:bottom w:val="single" w:sz="4" w:space="0" w:color="auto"/>
            </w:tcBorders>
            <w:shd w:val="clear" w:color="auto" w:fill="auto"/>
          </w:tcPr>
          <w:p w14:paraId="35E55D34" w14:textId="77777777" w:rsidR="00C0526B" w:rsidRPr="009841AB" w:rsidRDefault="00C0526B" w:rsidP="00242E87">
            <w:r>
              <w:t>Lūdzu skatīt precizējumu 4.4.4. sadaļā Nepieciešamā rīcības trešo punktu.</w:t>
            </w:r>
          </w:p>
        </w:tc>
      </w:tr>
      <w:tr w:rsidR="00C0526B" w:rsidRPr="009841AB" w14:paraId="2BE7CDE4"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8ABD40B" w14:textId="26089255" w:rsidR="00C0526B" w:rsidRDefault="00346F53" w:rsidP="00242E87">
            <w:pPr>
              <w:pStyle w:val="naisc"/>
              <w:spacing w:before="0" w:after="0"/>
            </w:pPr>
            <w:r>
              <w:t>607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2F26DA8"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965A0B1" w14:textId="77777777" w:rsidR="00C0526B" w:rsidRPr="0097355C" w:rsidRDefault="00C0526B" w:rsidP="00242E87">
            <w:pPr>
              <w:tabs>
                <w:tab w:val="left" w:pos="720"/>
              </w:tabs>
              <w:contextualSpacing/>
              <w:jc w:val="both"/>
              <w:rPr>
                <w:lang w:eastAsia="en-US"/>
              </w:rPr>
            </w:pPr>
            <w:r w:rsidRPr="00CA4930">
              <w:rPr>
                <w:lang w:eastAsia="en-US"/>
              </w:rPr>
              <w:t>11</w:t>
            </w:r>
            <w:r>
              <w:rPr>
                <w:lang w:eastAsia="en-US"/>
              </w:rPr>
              <w:t xml:space="preserve">. </w:t>
            </w:r>
            <w:r w:rsidRPr="00CA4930">
              <w:rPr>
                <w:lang w:eastAsia="en-US"/>
              </w:rPr>
              <w:t xml:space="preserve">4.4.4. Rīcības virziens: Ģeotelpiskās, vides pārvaldības un attīstības plānošanas digitālā transformācija: nepieciešamās rīcības ceturtajā punktā minēto funkcionalitāti no VARAM un VRAA puses bija plānots attīstīt </w:t>
            </w:r>
            <w:proofErr w:type="spellStart"/>
            <w:r w:rsidRPr="00CA4930">
              <w:rPr>
                <w:lang w:eastAsia="en-US"/>
              </w:rPr>
              <w:t>Ģeoportāla</w:t>
            </w:r>
            <w:proofErr w:type="spellEnd"/>
            <w:r w:rsidRPr="00CA4930">
              <w:rPr>
                <w:lang w:eastAsia="en-US"/>
              </w:rPr>
              <w:t xml:space="preserve"> koncepcijas un Ministru kabineta 2011.gada 30.augusta noteikumu Nr.668 “Valsts vienotā ģeotelpiskās informācijas portāla noteikumi” izstrādes laikā, taču tā netika realizēta </w:t>
            </w:r>
            <w:proofErr w:type="spellStart"/>
            <w:r w:rsidRPr="00CA4930">
              <w:rPr>
                <w:lang w:eastAsia="en-US"/>
              </w:rPr>
              <w:t>Ģeoportāla</w:t>
            </w:r>
            <w:proofErr w:type="spellEnd"/>
            <w:r w:rsidRPr="00CA4930">
              <w:rPr>
                <w:lang w:eastAsia="en-US"/>
              </w:rPr>
              <w:t xml:space="preserve"> tehniskās izstrādes laikā. Pēc būtības iepriekšminētais nepieciešamās rīcības punkts uzsver nepieciešamību attīstīt </w:t>
            </w:r>
            <w:proofErr w:type="spellStart"/>
            <w:r w:rsidRPr="00CA4930">
              <w:rPr>
                <w:lang w:eastAsia="en-US"/>
              </w:rPr>
              <w:t>Ģeoportāla</w:t>
            </w:r>
            <w:proofErr w:type="spellEnd"/>
            <w:r w:rsidRPr="00CA4930">
              <w:rPr>
                <w:lang w:eastAsia="en-US"/>
              </w:rPr>
              <w:t xml:space="preserve"> funkcionalitāti, taču nekur citur Projektā šī iniciatīva nav izvērsta.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AD29E42" w14:textId="77777777" w:rsidR="00C0526B" w:rsidRDefault="00C0526B" w:rsidP="00242E87">
            <w:pPr>
              <w:pStyle w:val="naisc"/>
              <w:spacing w:before="0" w:after="0"/>
              <w:jc w:val="both"/>
              <w:rPr>
                <w:b/>
                <w:bCs/>
              </w:rPr>
            </w:pPr>
            <w:r w:rsidRPr="00D36D1E">
              <w:rPr>
                <w:b/>
                <w:bCs/>
              </w:rPr>
              <w:t>Ņemts vērā</w:t>
            </w:r>
          </w:p>
          <w:p w14:paraId="7D0E42C2" w14:textId="77777777" w:rsidR="00C0526B" w:rsidRPr="009F0C94" w:rsidRDefault="00C0526B" w:rsidP="00242E87">
            <w:pPr>
              <w:pStyle w:val="naisc"/>
              <w:spacing w:before="0" w:after="0"/>
              <w:jc w:val="both"/>
            </w:pPr>
            <w:r w:rsidRPr="009F0C94">
              <w:t xml:space="preserve">Precizēts </w:t>
            </w:r>
            <w:r>
              <w:t xml:space="preserve">nepieciešamās rīcības </w:t>
            </w:r>
            <w:r w:rsidRPr="009F0C94">
              <w:t>ceturtais punkts</w:t>
            </w:r>
            <w:r>
              <w:t xml:space="preserve">, jēdzienu “izveide” aizstājot ar jēdzienu “nodrošināšanu”. Detalizēti nodrošināšanas veids tiks noteikts attīstības projekta definēšanas fāzē. </w:t>
            </w:r>
          </w:p>
        </w:tc>
        <w:tc>
          <w:tcPr>
            <w:tcW w:w="3504" w:type="dxa"/>
            <w:gridSpan w:val="2"/>
            <w:tcBorders>
              <w:top w:val="single" w:sz="4" w:space="0" w:color="auto"/>
              <w:left w:val="single" w:sz="4" w:space="0" w:color="auto"/>
              <w:bottom w:val="single" w:sz="4" w:space="0" w:color="auto"/>
            </w:tcBorders>
            <w:shd w:val="clear" w:color="auto" w:fill="auto"/>
          </w:tcPr>
          <w:p w14:paraId="27240530" w14:textId="77777777" w:rsidR="00C0526B" w:rsidRPr="009841AB" w:rsidRDefault="00C0526B" w:rsidP="00242E87">
            <w:r>
              <w:t>Lūdzu skatīt precizējumu 4.4.4. sadaļā Nepieciešamā rīcības trešo punktu.</w:t>
            </w:r>
          </w:p>
        </w:tc>
      </w:tr>
      <w:tr w:rsidR="00C0526B" w:rsidRPr="009841AB" w14:paraId="3E4E4E5D"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6D27A4B" w14:textId="090CD5F5" w:rsidR="00C0526B" w:rsidRDefault="00346F53" w:rsidP="00242E87">
            <w:pPr>
              <w:pStyle w:val="naisc"/>
              <w:spacing w:before="0" w:after="0"/>
            </w:pPr>
            <w:r>
              <w:t>608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3AA809E"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F14DA22" w14:textId="77777777" w:rsidR="00C0526B" w:rsidRPr="0097355C" w:rsidRDefault="00C0526B" w:rsidP="00242E87">
            <w:pPr>
              <w:tabs>
                <w:tab w:val="left" w:pos="720"/>
              </w:tabs>
              <w:contextualSpacing/>
              <w:jc w:val="both"/>
              <w:rPr>
                <w:lang w:eastAsia="en-US"/>
              </w:rPr>
            </w:pPr>
            <w:r w:rsidRPr="008553AF">
              <w:rPr>
                <w:lang w:eastAsia="en-US"/>
              </w:rPr>
              <w:t>12</w:t>
            </w:r>
            <w:r>
              <w:rPr>
                <w:lang w:eastAsia="en-US"/>
              </w:rPr>
              <w:t xml:space="preserve">. </w:t>
            </w:r>
            <w:r w:rsidRPr="008553AF">
              <w:rPr>
                <w:lang w:eastAsia="en-US"/>
              </w:rPr>
              <w:t xml:space="preserve">4.4.4. Rīcības virziens: Ģeotelpiskās, vides pārvaldības un attīstības plānošanas digitālā transformācija: nepieciešamās rīcības sestais punkts </w:t>
            </w:r>
            <w:r w:rsidRPr="008553AF">
              <w:rPr>
                <w:lang w:eastAsia="en-US"/>
              </w:rPr>
              <w:lastRenderedPageBreak/>
              <w:t>pēc būtības runā par Vienoto vides informācijas sistēmu  (turpmāk - VVIS), kuras pārzinis ir VSIA "Latvijas Vides, ģeoloģijas un meteoroloģijas centrs" un kura, tāpat kā Ģeotelpisko pamatdatu informācijas sistēma (ĢPIS), kuras pārzinis ir LĢIA, Projektā netiek pieminēta. Taču šajā nepieciešamās rīcības punktā ir uzskaitītas ne tikai VVIS uzturētās datu kopas, bet arī ĢPIS datu kopas, kas ir platforma punktā uzskaitīto ekosistēmu darbības rezultātu attēlošanai vides pārvaldībai saprotamās formās. Tās satur daudzas jau šobrīd darbojošās sistēmas, kas nodrošina attiecīgo pakalpojumu sniegšanu sabiedrībai, piemēram, pastāvīgās globālās pozicionēšanas bāzes staciju sistēma „Latvijas pozicionēšanas sistēma” (</w:t>
            </w:r>
            <w:proofErr w:type="spellStart"/>
            <w:r w:rsidRPr="008553AF">
              <w:rPr>
                <w:lang w:eastAsia="en-US"/>
              </w:rPr>
              <w:t>LatPos</w:t>
            </w:r>
            <w:proofErr w:type="spellEnd"/>
            <w:r w:rsidRPr="008553AF">
              <w:rPr>
                <w:lang w:eastAsia="en-US"/>
              </w:rPr>
              <w:t xml:space="preserve">), </w:t>
            </w:r>
            <w:proofErr w:type="spellStart"/>
            <w:r w:rsidRPr="008553AF">
              <w:rPr>
                <w:lang w:eastAsia="en-US"/>
              </w:rPr>
              <w:t>ortofoto</w:t>
            </w:r>
            <w:proofErr w:type="spellEnd"/>
            <w:r w:rsidRPr="008553AF">
              <w:rPr>
                <w:lang w:eastAsia="en-US"/>
              </w:rPr>
              <w:t>, u.c. Uzskatam, ka nepieciešamās rīcības sestajā punktā jāuzskaita sistēmas, kas nodrošina datu kopas, kā arī jāmaina rīcības virziens no jaunas platformas izveides uz tālāku esošo informācijas sistēmu attīstību.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13951BB" w14:textId="77777777" w:rsidR="00E964BC" w:rsidRPr="009841AB" w:rsidRDefault="00E964BC" w:rsidP="00E964BC">
            <w:pPr>
              <w:pStyle w:val="naisc"/>
              <w:spacing w:after="0"/>
              <w:jc w:val="left"/>
              <w:rPr>
                <w:b/>
                <w:bCs/>
                <w:color w:val="000000"/>
                <w:shd w:val="clear" w:color="auto" w:fill="FFFFFF"/>
              </w:rPr>
            </w:pPr>
            <w:r>
              <w:rPr>
                <w:b/>
                <w:bCs/>
                <w:color w:val="000000"/>
                <w:shd w:val="clear" w:color="auto" w:fill="FFFFFF"/>
              </w:rPr>
              <w:lastRenderedPageBreak/>
              <w:t>Panākta vienošanās</w:t>
            </w:r>
          </w:p>
          <w:p w14:paraId="299D4297" w14:textId="77777777" w:rsidR="00C0526B" w:rsidRPr="00234C3D" w:rsidRDefault="00C0526B" w:rsidP="00242E87">
            <w:pPr>
              <w:pStyle w:val="naisc"/>
              <w:spacing w:before="0" w:after="0"/>
              <w:jc w:val="both"/>
            </w:pPr>
            <w:r>
              <w:t xml:space="preserve">Pamatnostādņu un šīs sadaļas mērķis nav </w:t>
            </w:r>
            <w:r>
              <w:lastRenderedPageBreak/>
              <w:t>detalizēt rīcību līdz konkrētu informācijas sistēmu līmenim, bet definēt konceptuālos attīstības virzienus. Turklāt ņemot vērā dažādo dažādu nozaru ģeotelpiskās informācijas sistēmu klāstu, to detalizēta uzskaitīšana konceptuālās rīcības daļā nebūtu mērķtiecīga. Attiecīgi ar atsaucēm uz ĢPIS sistēmu ir papildināts 4. pielikums, savukārt pamatteksta 4.4.4. sadaļas nepieciešamās rīcības sestajā punktā  jēdziens “izveide” aizstāts ar jēdzienu “attīstība”.</w:t>
            </w:r>
          </w:p>
        </w:tc>
        <w:tc>
          <w:tcPr>
            <w:tcW w:w="3504" w:type="dxa"/>
            <w:gridSpan w:val="2"/>
            <w:tcBorders>
              <w:top w:val="single" w:sz="4" w:space="0" w:color="auto"/>
              <w:left w:val="single" w:sz="4" w:space="0" w:color="auto"/>
              <w:bottom w:val="single" w:sz="4" w:space="0" w:color="auto"/>
            </w:tcBorders>
            <w:shd w:val="clear" w:color="auto" w:fill="auto"/>
          </w:tcPr>
          <w:p w14:paraId="11106DBB" w14:textId="77777777" w:rsidR="00C0526B" w:rsidRPr="009841AB" w:rsidRDefault="00C0526B" w:rsidP="00242E87">
            <w:r>
              <w:lastRenderedPageBreak/>
              <w:t xml:space="preserve">Lūdzu skatīt precizējumu 4.4.4. sadaļā Nepieciešamā rīcības sesto </w:t>
            </w:r>
            <w:r>
              <w:lastRenderedPageBreak/>
              <w:t>punktu, kā arī 4. pielikuma 4.4.4. sadaļu.</w:t>
            </w:r>
          </w:p>
        </w:tc>
      </w:tr>
      <w:tr w:rsidR="00C0526B" w:rsidRPr="009841AB" w14:paraId="51FCDD3F"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5D211ECC" w14:textId="3AED7DAF" w:rsidR="00C0526B" w:rsidRDefault="00346F53" w:rsidP="00242E87">
            <w:pPr>
              <w:pStyle w:val="naisc"/>
              <w:spacing w:before="0" w:after="0"/>
            </w:pPr>
            <w:r>
              <w:lastRenderedPageBreak/>
              <w:t>609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AA77038"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488F4B3" w14:textId="77777777" w:rsidR="00C0526B" w:rsidRPr="0097355C" w:rsidRDefault="00C0526B" w:rsidP="00242E87">
            <w:pPr>
              <w:tabs>
                <w:tab w:val="left" w:pos="720"/>
              </w:tabs>
              <w:contextualSpacing/>
              <w:jc w:val="both"/>
              <w:rPr>
                <w:lang w:eastAsia="en-US"/>
              </w:rPr>
            </w:pPr>
            <w:r w:rsidRPr="00395FAA">
              <w:rPr>
                <w:lang w:eastAsia="en-US"/>
              </w:rPr>
              <w:t>13</w:t>
            </w:r>
            <w:r>
              <w:rPr>
                <w:lang w:eastAsia="en-US"/>
              </w:rPr>
              <w:t xml:space="preserve">. </w:t>
            </w:r>
            <w:r w:rsidRPr="00395FAA">
              <w:rPr>
                <w:lang w:eastAsia="en-US"/>
              </w:rPr>
              <w:t>4.4.4. Rīcības virziens: Ģeotelpiskās, vides pārvaldības un attīstības plānošanas digitālā transformācija: nepieciešamās rīcības septītajā punktā ir jāuzsver sistēmu (TAPIS, BIS, NĪVKIS, utt.) tālāka attīstība.</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5A9BD3A" w14:textId="77777777" w:rsidR="00E964BC" w:rsidRPr="009841AB" w:rsidRDefault="00E964BC" w:rsidP="00E964BC">
            <w:pPr>
              <w:pStyle w:val="naisc"/>
              <w:jc w:val="left"/>
              <w:rPr>
                <w:b/>
                <w:bCs/>
                <w:color w:val="000000"/>
                <w:shd w:val="clear" w:color="auto" w:fill="FFFFFF"/>
              </w:rPr>
            </w:pPr>
            <w:r>
              <w:rPr>
                <w:b/>
                <w:bCs/>
                <w:color w:val="000000"/>
                <w:shd w:val="clear" w:color="auto" w:fill="FFFFFF"/>
              </w:rPr>
              <w:t>Panākta vienošanās</w:t>
            </w:r>
          </w:p>
          <w:p w14:paraId="772F3F43" w14:textId="77777777" w:rsidR="00C0526B" w:rsidRPr="009841AB" w:rsidRDefault="00C0526B" w:rsidP="00242E87">
            <w:pPr>
              <w:pStyle w:val="naisc"/>
              <w:spacing w:before="0" w:after="0"/>
              <w:jc w:val="both"/>
            </w:pPr>
            <w:r>
              <w:t xml:space="preserve">Pamatnostādņu un šīs sadaļas mērķis nav detalizēt rīcību līdz konkrētu informācijas sistēmu līmenim, bet definēt konceptuālos attīstības virzienus. Turklāt ņemot vērā dažādo dažādu nozaru ģeotelpiskās </w:t>
            </w:r>
            <w:r>
              <w:lastRenderedPageBreak/>
              <w:t>informācijas sistēmu klāstu, to detalizēta uzskaitīšana konceptuālās rīcības daļā nebūtu mērķtiecīga. Attiecīgi ar atsaucēm uz minētājām sistēmām un  to attīstības nepieciešamību papildināts 4.pielikums</w:t>
            </w:r>
          </w:p>
        </w:tc>
        <w:tc>
          <w:tcPr>
            <w:tcW w:w="3504" w:type="dxa"/>
            <w:gridSpan w:val="2"/>
            <w:tcBorders>
              <w:top w:val="single" w:sz="4" w:space="0" w:color="auto"/>
              <w:left w:val="single" w:sz="4" w:space="0" w:color="auto"/>
              <w:bottom w:val="single" w:sz="4" w:space="0" w:color="auto"/>
            </w:tcBorders>
            <w:shd w:val="clear" w:color="auto" w:fill="auto"/>
          </w:tcPr>
          <w:p w14:paraId="6A9ADC28" w14:textId="77777777" w:rsidR="00C0526B" w:rsidRPr="009841AB" w:rsidRDefault="00C0526B" w:rsidP="00242E87">
            <w:r>
              <w:lastRenderedPageBreak/>
              <w:t>Lūdzu skatīt 4. pielikuma 4.4.4. sadaļu.</w:t>
            </w:r>
          </w:p>
        </w:tc>
      </w:tr>
      <w:tr w:rsidR="00C0526B" w:rsidRPr="009841AB" w14:paraId="689FE914"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6CC0973F" w14:textId="11453A0B" w:rsidR="00C0526B" w:rsidRDefault="00346F53" w:rsidP="00242E87">
            <w:pPr>
              <w:pStyle w:val="naisc"/>
              <w:spacing w:before="0" w:after="0"/>
            </w:pPr>
            <w:r>
              <w:t>610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377322A" w14:textId="77777777" w:rsidR="00C0526B" w:rsidRPr="009841AB" w:rsidRDefault="00C0526B" w:rsidP="00242E87">
            <w:pPr>
              <w:pStyle w:val="naisc"/>
              <w:spacing w:before="0" w:after="0"/>
              <w:jc w:val="left"/>
            </w:pPr>
            <w:r>
              <w:t>4.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ECC4CD8" w14:textId="77777777" w:rsidR="00C0526B" w:rsidRPr="0097355C" w:rsidRDefault="00C0526B" w:rsidP="00242E87">
            <w:pPr>
              <w:tabs>
                <w:tab w:val="left" w:pos="720"/>
              </w:tabs>
              <w:contextualSpacing/>
              <w:jc w:val="both"/>
              <w:rPr>
                <w:lang w:eastAsia="en-US"/>
              </w:rPr>
            </w:pPr>
            <w:r w:rsidRPr="0068769B">
              <w:rPr>
                <w:lang w:eastAsia="en-US"/>
              </w:rPr>
              <w:t>14</w:t>
            </w:r>
            <w:r>
              <w:rPr>
                <w:lang w:eastAsia="en-US"/>
              </w:rPr>
              <w:t xml:space="preserve">. </w:t>
            </w:r>
            <w:r w:rsidRPr="0068769B">
              <w:rPr>
                <w:lang w:eastAsia="en-US"/>
              </w:rPr>
              <w:t xml:space="preserve">Projekta 4. pielikumā nodaļā “Vides digitālo risinājumu specifika un to izmantošanas potenciāls” (42.lpp.) ir teikts, ka “valstī šobrīd jau darbojas valsts vienotais ģeotelpisko datu portāls geolatvija.lv, kas satur arī teritorijas plānošanas moduli TAPIS, kuru aktīvi izmanto teritorijas attīstības plānotāji”. Vēršam uzmanību, ka bez lietotāja saskarsmes TAPIS uztur datu bāzēs visu pašvaldību teritorijas plānošanas informāciju, ieskaitot ģeotelpiskos datus, kuri </w:t>
            </w:r>
            <w:proofErr w:type="spellStart"/>
            <w:r w:rsidRPr="0068769B">
              <w:rPr>
                <w:lang w:eastAsia="en-US"/>
              </w:rPr>
              <w:t>Ģeoportālā</w:t>
            </w:r>
            <w:proofErr w:type="spellEnd"/>
            <w:r w:rsidRPr="0068769B">
              <w:rPr>
                <w:lang w:eastAsia="en-US"/>
              </w:rPr>
              <w:t xml:space="preserve"> nonāk </w:t>
            </w:r>
            <w:proofErr w:type="spellStart"/>
            <w:r w:rsidRPr="0068769B">
              <w:rPr>
                <w:lang w:eastAsia="en-US"/>
              </w:rPr>
              <w:t>pakalpju</w:t>
            </w:r>
            <w:proofErr w:type="spellEnd"/>
            <w:r w:rsidRPr="0068769B">
              <w:rPr>
                <w:lang w:eastAsia="en-US"/>
              </w:rPr>
              <w:t xml:space="preserve"> veidā. Daudzas iestādes šīs TAPIS ģeotelpisko datu </w:t>
            </w:r>
            <w:proofErr w:type="spellStart"/>
            <w:r w:rsidRPr="0068769B">
              <w:rPr>
                <w:lang w:eastAsia="en-US"/>
              </w:rPr>
              <w:t>pakalpes</w:t>
            </w:r>
            <w:proofErr w:type="spellEnd"/>
            <w:r w:rsidRPr="0068769B">
              <w:rPr>
                <w:lang w:eastAsia="en-US"/>
              </w:rPr>
              <w:t xml:space="preserve"> izmanto pa tiešo savu biznesa procesu nodrošināšanai, nevis pastarpināti caur </w:t>
            </w:r>
            <w:proofErr w:type="spellStart"/>
            <w:r w:rsidRPr="0068769B">
              <w:rPr>
                <w:lang w:eastAsia="en-US"/>
              </w:rPr>
              <w:t>Ģeoportālu</w:t>
            </w:r>
            <w:proofErr w:type="spellEnd"/>
            <w:r w:rsidRPr="0068769B">
              <w:rPr>
                <w:lang w:eastAsia="en-US"/>
              </w:rPr>
              <w:t xml:space="preserve">. Lietotāju </w:t>
            </w:r>
            <w:proofErr w:type="spellStart"/>
            <w:r w:rsidRPr="0068769B">
              <w:rPr>
                <w:lang w:eastAsia="en-US"/>
              </w:rPr>
              <w:t>saskarne</w:t>
            </w:r>
            <w:proofErr w:type="spellEnd"/>
            <w:r w:rsidRPr="0068769B">
              <w:rPr>
                <w:lang w:eastAsia="en-US"/>
              </w:rPr>
              <w:t xml:space="preserve"> starp TAPIS un pašvaldību teritoriju plānotājiem tiek nodrošināta nevis izmantojot </w:t>
            </w:r>
            <w:proofErr w:type="spellStart"/>
            <w:r w:rsidRPr="0068769B">
              <w:rPr>
                <w:lang w:eastAsia="en-US"/>
              </w:rPr>
              <w:t>Ģeoportālu</w:t>
            </w:r>
            <w:proofErr w:type="spellEnd"/>
            <w:r w:rsidRPr="0068769B">
              <w:rPr>
                <w:lang w:eastAsia="en-US"/>
              </w:rPr>
              <w:t>, bet pa tiešo ar TAPIS datu bāzi, lai nodrošinātu teritoriju plānojuma telpisko datu ievadi (</w:t>
            </w:r>
            <w:proofErr w:type="spellStart"/>
            <w:r w:rsidRPr="0068769B">
              <w:rPr>
                <w:lang w:eastAsia="en-US"/>
              </w:rPr>
              <w:t>digitalizāciju</w:t>
            </w:r>
            <w:proofErr w:type="spellEnd"/>
            <w:r w:rsidRPr="0068769B">
              <w:rPr>
                <w:lang w:eastAsia="en-US"/>
              </w:rPr>
              <w:t xml:space="preserve">), aktualizāciju un uzturēšanu. Teritoriju plānotāji izmanto TAPIS, taču sabiedriskā apspriešana tiek organizēta </w:t>
            </w:r>
            <w:proofErr w:type="spellStart"/>
            <w:r w:rsidRPr="0068769B">
              <w:rPr>
                <w:lang w:eastAsia="en-US"/>
              </w:rPr>
              <w:t>Ģeoportālā</w:t>
            </w:r>
            <w:proofErr w:type="spellEnd"/>
            <w:r w:rsidRPr="0068769B">
              <w:rPr>
                <w:lang w:eastAsia="en-US"/>
              </w:rPr>
              <w:t xml:space="preserve">, kā arī  sabiedrība datus iegūst </w:t>
            </w:r>
            <w:proofErr w:type="spellStart"/>
            <w:r w:rsidRPr="0068769B">
              <w:rPr>
                <w:lang w:eastAsia="en-US"/>
              </w:rPr>
              <w:t>Ģeoportālā</w:t>
            </w:r>
            <w:proofErr w:type="spellEnd"/>
            <w:r w:rsidRPr="0068769B">
              <w:rPr>
                <w:lang w:eastAsia="en-US"/>
              </w:rPr>
              <w:t>. Ņemot vērā iepriekš minēto, lūdzu precizēt Projekta tekstu.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EAD07A1" w14:textId="77777777" w:rsidR="00C0526B" w:rsidRPr="0078349D" w:rsidRDefault="00C0526B" w:rsidP="00242E87">
            <w:pPr>
              <w:pStyle w:val="naisc"/>
              <w:spacing w:before="0" w:after="0"/>
              <w:jc w:val="both"/>
              <w:rPr>
                <w:b/>
              </w:rPr>
            </w:pPr>
            <w:r w:rsidRPr="0078349D">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4F0AB3C8" w14:textId="77777777" w:rsidR="00C0526B" w:rsidRPr="009841AB" w:rsidRDefault="00C0526B" w:rsidP="00242E87">
            <w:r>
              <w:t>Lūdzu skatīt 4. pielikuma 4.4.4. sadaļu.</w:t>
            </w:r>
          </w:p>
        </w:tc>
      </w:tr>
      <w:tr w:rsidR="00C0526B" w:rsidRPr="009841AB" w14:paraId="5667B5D4"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59BD93E8" w14:textId="61459620" w:rsidR="00C0526B" w:rsidRDefault="00346F53" w:rsidP="00242E87">
            <w:pPr>
              <w:pStyle w:val="naisc"/>
              <w:spacing w:before="0" w:after="0"/>
            </w:pPr>
            <w:r>
              <w:t>611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8E01DD8" w14:textId="77777777" w:rsidR="00C0526B" w:rsidRPr="009841AB" w:rsidRDefault="00C0526B" w:rsidP="00242E87">
            <w:pPr>
              <w:pStyle w:val="naisc"/>
              <w:spacing w:before="0" w:after="0"/>
              <w:jc w:val="left"/>
            </w:pPr>
            <w:r>
              <w:t>4.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8E5DD42" w14:textId="77777777" w:rsidR="00C0526B" w:rsidRPr="0097355C" w:rsidRDefault="00C0526B" w:rsidP="00242E87">
            <w:pPr>
              <w:tabs>
                <w:tab w:val="left" w:pos="720"/>
              </w:tabs>
              <w:contextualSpacing/>
              <w:jc w:val="both"/>
              <w:rPr>
                <w:lang w:eastAsia="en-US"/>
              </w:rPr>
            </w:pPr>
            <w:r w:rsidRPr="00ED40DD">
              <w:rPr>
                <w:lang w:eastAsia="en-US"/>
              </w:rPr>
              <w:t>15</w:t>
            </w:r>
            <w:r>
              <w:rPr>
                <w:lang w:eastAsia="en-US"/>
              </w:rPr>
              <w:t xml:space="preserve">. </w:t>
            </w:r>
            <w:r w:rsidRPr="00ED40DD">
              <w:rPr>
                <w:lang w:eastAsia="en-US"/>
              </w:rPr>
              <w:t xml:space="preserve">LĢIA nepiekrīt Projekta 4. pielikumā nodaļā “Vides digitālo risinājumu specifika un to </w:t>
            </w:r>
            <w:r w:rsidRPr="00ED40DD">
              <w:rPr>
                <w:lang w:eastAsia="en-US"/>
              </w:rPr>
              <w:lastRenderedPageBreak/>
              <w:t>izmantošanas potenciāls” (42.lpp.) izteiktajam apgalvojumam, ka “ģeotelpiskajiem risinājumiem nav izveidots ne valstisks, ne nozares līmeņa arhitektūras stratēģiskais attīstības plāns”. Norādām, ka nozares stratēģiju nosaka “Latvijas ģeotelpiskās informācijas attīstības koncepcija”, līdz ar to veidojas Projekta 4.pielikuma pretruna ar Projekta 3.pielikumu, kurā ir teikta, ka ir “definēta vienota telpiskās informācijas pārvaldības politika (Ģeotelpiskās informācijas attīstības stratēģija)”. “Latvijas ģeotelpiskās informācijas attīstības koncepcija” tika apstiprināta 1995. gadā un līdz šim ir veiktas vairākas dokumenta aktualizācijas.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565F523" w14:textId="77777777" w:rsidR="00C0526B" w:rsidRDefault="00C0526B" w:rsidP="00242E87">
            <w:pPr>
              <w:pStyle w:val="naisc"/>
              <w:spacing w:before="0" w:after="0"/>
              <w:jc w:val="both"/>
              <w:rPr>
                <w:b/>
                <w:bCs/>
              </w:rPr>
            </w:pPr>
            <w:r w:rsidRPr="00C11499">
              <w:rPr>
                <w:b/>
                <w:bCs/>
              </w:rPr>
              <w:lastRenderedPageBreak/>
              <w:t>Ņemts vērā</w:t>
            </w:r>
          </w:p>
          <w:p w14:paraId="0379F01F" w14:textId="77777777" w:rsidR="00C0526B" w:rsidRPr="009841AB" w:rsidRDefault="00C0526B" w:rsidP="00242E87">
            <w:pPr>
              <w:pStyle w:val="naisc"/>
              <w:spacing w:before="0" w:after="0"/>
              <w:jc w:val="both"/>
            </w:pPr>
            <w:r w:rsidRPr="000A0F05">
              <w:lastRenderedPageBreak/>
              <w:t>Vārds “izveidots” aizstāts ar vārdu “aktualizēts”</w:t>
            </w:r>
            <w:r>
              <w:t>.</w:t>
            </w:r>
          </w:p>
        </w:tc>
        <w:tc>
          <w:tcPr>
            <w:tcW w:w="3504" w:type="dxa"/>
            <w:gridSpan w:val="2"/>
            <w:tcBorders>
              <w:top w:val="single" w:sz="4" w:space="0" w:color="auto"/>
              <w:left w:val="single" w:sz="4" w:space="0" w:color="auto"/>
              <w:bottom w:val="single" w:sz="4" w:space="0" w:color="auto"/>
            </w:tcBorders>
            <w:shd w:val="clear" w:color="auto" w:fill="auto"/>
          </w:tcPr>
          <w:p w14:paraId="77FD95C6" w14:textId="77777777" w:rsidR="00C0526B" w:rsidRPr="009841AB" w:rsidRDefault="00C0526B" w:rsidP="00242E87">
            <w:r>
              <w:lastRenderedPageBreak/>
              <w:t>Lūdzu skatīt 4. pielikuma 4.4.4. sadaļu.</w:t>
            </w:r>
          </w:p>
        </w:tc>
      </w:tr>
      <w:tr w:rsidR="00C0526B" w:rsidRPr="009841AB" w14:paraId="4BB66C1C"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63B76B3E" w14:textId="18AC0540" w:rsidR="00C0526B" w:rsidRDefault="00346F53" w:rsidP="00242E87">
            <w:pPr>
              <w:pStyle w:val="naisc"/>
              <w:spacing w:before="0" w:after="0"/>
            </w:pPr>
            <w:r>
              <w:t>612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0E9A1294" w14:textId="77777777" w:rsidR="00C0526B" w:rsidRPr="009841AB" w:rsidRDefault="00C0526B" w:rsidP="00242E87">
            <w:pPr>
              <w:pStyle w:val="naisc"/>
              <w:spacing w:before="0" w:after="0"/>
              <w:jc w:val="left"/>
            </w:pPr>
            <w:r>
              <w:t>4.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7C75E34" w14:textId="77777777" w:rsidR="00C0526B" w:rsidRPr="0097355C" w:rsidRDefault="00C0526B" w:rsidP="00242E87">
            <w:pPr>
              <w:tabs>
                <w:tab w:val="left" w:pos="720"/>
              </w:tabs>
              <w:contextualSpacing/>
              <w:jc w:val="both"/>
              <w:rPr>
                <w:lang w:eastAsia="en-US"/>
              </w:rPr>
            </w:pPr>
            <w:r w:rsidRPr="001666B3">
              <w:rPr>
                <w:lang w:eastAsia="en-US"/>
              </w:rPr>
              <w:t>16</w:t>
            </w:r>
            <w:r>
              <w:rPr>
                <w:lang w:eastAsia="en-US"/>
              </w:rPr>
              <w:t xml:space="preserve">. </w:t>
            </w:r>
            <w:r w:rsidRPr="001666B3">
              <w:rPr>
                <w:lang w:eastAsia="en-US"/>
              </w:rPr>
              <w:t>Projekta 4. pielikumā nav skaidrs termina “ģeotelpiskais risinājums” tvērums – vai ar to tiek saprasta ģeotelpisko datu resora infrastruktūra, vai platforma, vai datu apmaiņas formāts. Vēlamies norādīt, ka LĢIA ir piedāvājusi vairākām ministrijām veidot centralizētu platformu vides ģeotelpisko datu un papildus informācijas apkopošanai, taču par to nav izrādīta interese.</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4675D1B3" w14:textId="77777777" w:rsidR="00C0526B" w:rsidRDefault="00C0526B" w:rsidP="00242E87">
            <w:pPr>
              <w:pStyle w:val="naisc"/>
              <w:spacing w:before="0" w:after="0"/>
              <w:jc w:val="both"/>
              <w:rPr>
                <w:b/>
                <w:bCs/>
              </w:rPr>
            </w:pPr>
            <w:r w:rsidRPr="009C60A2">
              <w:rPr>
                <w:b/>
                <w:bCs/>
              </w:rPr>
              <w:t>Ņemts vērā</w:t>
            </w:r>
          </w:p>
          <w:p w14:paraId="30FA8D94" w14:textId="77777777" w:rsidR="00C0526B" w:rsidRPr="009841AB" w:rsidRDefault="00C0526B" w:rsidP="00242E87">
            <w:pPr>
              <w:pStyle w:val="naisc"/>
              <w:spacing w:before="0" w:after="0"/>
              <w:jc w:val="both"/>
            </w:pPr>
            <w:r w:rsidRPr="001F0E32">
              <w:t xml:space="preserve">Jēdziens lietots, lai iespējami plaši raksturotu </w:t>
            </w:r>
            <w:r>
              <w:t>ģeotelpisko datu infrastruktūru, t.sk. datu resora infrastruktūru un koplietošanas platformas, raksturojot kompetences trūkumu resoros ģeotelpisko datu apstrādes jautājumos,  Arī LĢIA sniegtais piemērs ir signāls izpratnes un kompetences trūkumam pilnvērtīgai jomas pārvaldībai un attīstībai.</w:t>
            </w:r>
          </w:p>
        </w:tc>
        <w:tc>
          <w:tcPr>
            <w:tcW w:w="3504" w:type="dxa"/>
            <w:gridSpan w:val="2"/>
            <w:tcBorders>
              <w:top w:val="single" w:sz="4" w:space="0" w:color="auto"/>
              <w:left w:val="single" w:sz="4" w:space="0" w:color="auto"/>
              <w:bottom w:val="single" w:sz="4" w:space="0" w:color="auto"/>
            </w:tcBorders>
            <w:shd w:val="clear" w:color="auto" w:fill="auto"/>
          </w:tcPr>
          <w:p w14:paraId="17164088" w14:textId="77777777" w:rsidR="00C0526B" w:rsidRPr="009841AB" w:rsidRDefault="00C0526B" w:rsidP="00242E87">
            <w:r>
              <w:t>Sniegts skaidrojums</w:t>
            </w:r>
          </w:p>
        </w:tc>
      </w:tr>
      <w:tr w:rsidR="00C0526B" w:rsidRPr="009841AB" w14:paraId="5C12481B"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305E4BAF" w14:textId="49A092B4" w:rsidR="00C0526B" w:rsidRDefault="00346F53" w:rsidP="00242E87">
            <w:pPr>
              <w:pStyle w:val="naisc"/>
              <w:spacing w:before="0" w:after="0"/>
            </w:pPr>
            <w:r>
              <w:t>613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C8A466D" w14:textId="77777777" w:rsidR="00C0526B" w:rsidRPr="009841AB" w:rsidRDefault="00C0526B" w:rsidP="00242E87">
            <w:pPr>
              <w:pStyle w:val="naisc"/>
              <w:spacing w:before="0" w:after="0"/>
              <w:jc w:val="left"/>
            </w:pPr>
            <w:r>
              <w:t>4.4. sadaļa, 4.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FBC92DF" w14:textId="77777777" w:rsidR="00C0526B" w:rsidRPr="0097355C" w:rsidRDefault="00C0526B" w:rsidP="00242E87">
            <w:pPr>
              <w:tabs>
                <w:tab w:val="left" w:pos="720"/>
              </w:tabs>
              <w:contextualSpacing/>
              <w:jc w:val="both"/>
              <w:rPr>
                <w:lang w:eastAsia="en-US"/>
              </w:rPr>
            </w:pPr>
            <w:r w:rsidRPr="00605001">
              <w:rPr>
                <w:lang w:eastAsia="en-US"/>
              </w:rPr>
              <w:t>17</w:t>
            </w:r>
            <w:r>
              <w:rPr>
                <w:lang w:eastAsia="en-US"/>
              </w:rPr>
              <w:t xml:space="preserve">. </w:t>
            </w:r>
            <w:r w:rsidRPr="00605001">
              <w:rPr>
                <w:lang w:eastAsia="en-US"/>
              </w:rPr>
              <w:t xml:space="preserve">LĢIA, ņemot vērā iepriekš norādītās nepilnības, uzsver nepieciešamību būtiski papildināt un labot </w:t>
            </w:r>
            <w:r w:rsidRPr="00605001">
              <w:rPr>
                <w:lang w:eastAsia="en-US"/>
              </w:rPr>
              <w:lastRenderedPageBreak/>
              <w:t>Projektu un tā 4. pielikumu (nodaļu “Vides digitālo risinājumu specifika un to izmantošanas potenciāls”).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05B5599" w14:textId="77777777" w:rsidR="00C0526B" w:rsidRDefault="00C0526B" w:rsidP="00242E87">
            <w:pPr>
              <w:pStyle w:val="naisc"/>
              <w:spacing w:before="0" w:after="0"/>
              <w:jc w:val="both"/>
              <w:rPr>
                <w:b/>
                <w:bCs/>
              </w:rPr>
            </w:pPr>
            <w:r w:rsidRPr="0024769E">
              <w:rPr>
                <w:b/>
                <w:bCs/>
              </w:rPr>
              <w:lastRenderedPageBreak/>
              <w:t>Ņemts vērā</w:t>
            </w:r>
          </w:p>
          <w:p w14:paraId="1AEF873B" w14:textId="77777777" w:rsidR="00C0526B" w:rsidRPr="009841AB" w:rsidRDefault="00C0526B" w:rsidP="00242E87">
            <w:pPr>
              <w:pStyle w:val="naisc"/>
              <w:spacing w:before="0" w:after="0"/>
              <w:jc w:val="both"/>
            </w:pPr>
            <w:r w:rsidRPr="0024769E">
              <w:t>Sadaļa papildināta</w:t>
            </w:r>
            <w:r>
              <w:t xml:space="preserve">, tomēr ņemot vērā, ka </w:t>
            </w:r>
            <w:r>
              <w:lastRenderedPageBreak/>
              <w:t xml:space="preserve">pamatnostādnes ir konceptuāla rakstura dokuments, detalizēta problemātika un pasākumi būtu </w:t>
            </w:r>
            <w:proofErr w:type="spellStart"/>
            <w:r>
              <w:t>indentificējami</w:t>
            </w:r>
            <w:proofErr w:type="spellEnd"/>
            <w:r>
              <w:t xml:space="preserve"> nozaru plānošanas dokumentos, t.sk. aktualizējot Ģeotelpiskās informācijas koncepciju. </w:t>
            </w:r>
          </w:p>
        </w:tc>
        <w:tc>
          <w:tcPr>
            <w:tcW w:w="3504" w:type="dxa"/>
            <w:gridSpan w:val="2"/>
            <w:tcBorders>
              <w:top w:val="single" w:sz="4" w:space="0" w:color="auto"/>
              <w:left w:val="single" w:sz="4" w:space="0" w:color="auto"/>
              <w:bottom w:val="single" w:sz="4" w:space="0" w:color="auto"/>
            </w:tcBorders>
            <w:shd w:val="clear" w:color="auto" w:fill="auto"/>
          </w:tcPr>
          <w:p w14:paraId="7223A232" w14:textId="77777777" w:rsidR="00C0526B" w:rsidRPr="009841AB" w:rsidRDefault="00C0526B" w:rsidP="00242E87">
            <w:r>
              <w:lastRenderedPageBreak/>
              <w:t xml:space="preserve">Lūdzu skatīt 4.4. sadaļu un 4. pielikuma 4.4. sadaļu. </w:t>
            </w:r>
          </w:p>
        </w:tc>
      </w:tr>
      <w:tr w:rsidR="00C0526B" w:rsidRPr="009841AB" w14:paraId="75F15225" w14:textId="77777777" w:rsidTr="00242E87">
        <w:tc>
          <w:tcPr>
            <w:tcW w:w="14451" w:type="dxa"/>
            <w:gridSpan w:val="6"/>
            <w:tcBorders>
              <w:left w:val="single" w:sz="6" w:space="0" w:color="000000" w:themeColor="text1"/>
              <w:bottom w:val="single" w:sz="4" w:space="0" w:color="auto"/>
            </w:tcBorders>
            <w:shd w:val="clear" w:color="auto" w:fill="auto"/>
          </w:tcPr>
          <w:p w14:paraId="44651C09" w14:textId="77777777" w:rsidR="00C0526B" w:rsidRPr="005E1C9E" w:rsidRDefault="00C0526B" w:rsidP="00242E87">
            <w:pPr>
              <w:rPr>
                <w:b/>
                <w:bCs/>
              </w:rPr>
            </w:pPr>
            <w:r w:rsidRPr="005E1C9E">
              <w:rPr>
                <w:b/>
                <w:bCs/>
              </w:rPr>
              <w:t>Tieslietu ministrijas 1</w:t>
            </w:r>
            <w:r>
              <w:rPr>
                <w:b/>
                <w:bCs/>
              </w:rPr>
              <w:t>8</w:t>
            </w:r>
            <w:r w:rsidRPr="005E1C9E">
              <w:rPr>
                <w:b/>
                <w:bCs/>
              </w:rPr>
              <w:t>.05.2021. atzinums:</w:t>
            </w:r>
          </w:p>
        </w:tc>
      </w:tr>
      <w:tr w:rsidR="00C0526B" w:rsidRPr="009841AB" w14:paraId="1BE505EA"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45E93D38" w14:textId="747B3F24" w:rsidR="00C0526B" w:rsidRDefault="00346F53" w:rsidP="00242E87">
            <w:pPr>
              <w:pStyle w:val="naisc"/>
              <w:spacing w:before="0" w:after="0"/>
            </w:pPr>
            <w:r>
              <w:t>614</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FDE56DA" w14:textId="77777777" w:rsidR="00C0526B" w:rsidRPr="009841AB" w:rsidRDefault="00C0526B" w:rsidP="00242E87">
            <w:pPr>
              <w:pStyle w:val="naisc"/>
              <w:spacing w:before="0" w:after="0"/>
              <w:jc w:val="left"/>
            </w:pPr>
            <w:r>
              <w:t>2.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FB6A3F1" w14:textId="77777777" w:rsidR="00C0526B" w:rsidRPr="0097355C" w:rsidRDefault="00C0526B" w:rsidP="00242E87">
            <w:pPr>
              <w:tabs>
                <w:tab w:val="left" w:pos="720"/>
              </w:tabs>
              <w:contextualSpacing/>
              <w:jc w:val="both"/>
              <w:rPr>
                <w:lang w:eastAsia="en-US"/>
              </w:rPr>
            </w:pPr>
            <w:r w:rsidRPr="00C46E50">
              <w:rPr>
                <w:lang w:eastAsia="en-US"/>
              </w:rPr>
              <w:t>1.</w:t>
            </w:r>
            <w:r w:rsidRPr="00C46E50">
              <w:rPr>
                <w:lang w:eastAsia="en-US"/>
              </w:rPr>
              <w:tab/>
              <w:t>Tieslietu ministrija atkāroti lūdz precizēt pamatnostādņu projekta 2. pielikuma uzdevuma Nr.4.1.1.-1 K ailē norādīto, atbilstoši pamatteksta saturam, proti, šobrīd 2. pielikumā kā līdzatbildīgā nav minēta Tieslietu ministrija. Vienlaikus vēršam uzmanību, ka Tieslietu ministrija kā līdzatbildīgā ministrija šī uzdevuma kontekstā ir minēta, jo rīcības virziena ietvaros esam uzsvēruši nepieciešamību nodrošināt digitālo prasmju apguvi arī īpašajām grupām – ieslodzītie  un probācijas klienti.</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AA43EF5" w14:textId="77777777" w:rsidR="00E964BC" w:rsidRPr="009841AB" w:rsidRDefault="00E964BC" w:rsidP="00E964BC">
            <w:pPr>
              <w:pStyle w:val="naisc"/>
              <w:jc w:val="left"/>
              <w:rPr>
                <w:b/>
                <w:bCs/>
                <w:color w:val="000000"/>
                <w:shd w:val="clear" w:color="auto" w:fill="FFFFFF"/>
              </w:rPr>
            </w:pPr>
            <w:r>
              <w:rPr>
                <w:b/>
                <w:bCs/>
                <w:color w:val="000000"/>
                <w:shd w:val="clear" w:color="auto" w:fill="FFFFFF"/>
              </w:rPr>
              <w:t>Panākta vienošanās</w:t>
            </w:r>
          </w:p>
          <w:p w14:paraId="26E2AB51" w14:textId="77777777" w:rsidR="00C0526B" w:rsidRPr="009841AB" w:rsidRDefault="00C0526B" w:rsidP="00242E87">
            <w:pPr>
              <w:pStyle w:val="naisc"/>
              <w:spacing w:before="0" w:after="0"/>
              <w:jc w:val="both"/>
            </w:pPr>
            <w:r>
              <w:t xml:space="preserve">Digitālo prasmju apguves nodrošināšana īpašajām grupām – ieslodzītajiem un probācijas klientiem, saskaņā ar IZM 30.04.2021. atzinumu tiek paredzēta </w:t>
            </w:r>
            <w:r w:rsidRPr="005A6239">
              <w:t>4.1.2. Rīcības virzien</w:t>
            </w:r>
            <w:r>
              <w:t>a</w:t>
            </w:r>
            <w:r w:rsidRPr="005A6239">
              <w:t xml:space="preserve"> </w:t>
            </w:r>
            <w:r>
              <w:t>“</w:t>
            </w:r>
            <w:r w:rsidRPr="005A6239">
              <w:t xml:space="preserve">Sabiedrības digitālo prasmju attīstība no </w:t>
            </w:r>
            <w:proofErr w:type="spellStart"/>
            <w:r w:rsidRPr="005A6239">
              <w:t>pamatprasmēm</w:t>
            </w:r>
            <w:proofErr w:type="spellEnd"/>
            <w:r w:rsidRPr="005A6239">
              <w:t xml:space="preserve"> līdz augsta līmeņa prasmēm</w:t>
            </w:r>
            <w:r>
              <w:t xml:space="preserve">” ietvaros, </w:t>
            </w:r>
            <w:r w:rsidRPr="00C54E4A">
              <w:t>U4.1.2.-1</w:t>
            </w:r>
            <w:r>
              <w:t xml:space="preserve"> uzdevums “</w:t>
            </w:r>
            <w:r w:rsidRPr="00DC4955">
              <w:t>Stiprināt Pieaugušo izglītības pārvaldības padomes funkcijas attiecībā uz digitālo prasmju pārvaldību.</w:t>
            </w:r>
            <w:r>
              <w:t xml:space="preserve">”, </w:t>
            </w:r>
            <w:r>
              <w:lastRenderedPageBreak/>
              <w:t>kur kā līdzatbildīgā norādīta TM, attiecīgi arī 2. pielikuma Nr.4.1.2.-1 K ailē.</w:t>
            </w:r>
          </w:p>
        </w:tc>
        <w:tc>
          <w:tcPr>
            <w:tcW w:w="3504" w:type="dxa"/>
            <w:gridSpan w:val="2"/>
            <w:tcBorders>
              <w:top w:val="single" w:sz="4" w:space="0" w:color="auto"/>
              <w:left w:val="single" w:sz="4" w:space="0" w:color="auto"/>
              <w:bottom w:val="single" w:sz="4" w:space="0" w:color="auto"/>
            </w:tcBorders>
            <w:shd w:val="clear" w:color="auto" w:fill="auto"/>
          </w:tcPr>
          <w:p w14:paraId="60D30EA0" w14:textId="77777777" w:rsidR="00C0526B" w:rsidRPr="009841AB" w:rsidRDefault="00C0526B" w:rsidP="00242E87">
            <w:r>
              <w:lastRenderedPageBreak/>
              <w:t>Lūdzu skatīt 4.1. sadaļu, 2. pielikumu</w:t>
            </w:r>
          </w:p>
        </w:tc>
      </w:tr>
      <w:tr w:rsidR="00C0526B" w:rsidRPr="009841AB" w14:paraId="30418BFD"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3C20AA2A" w14:textId="598EA0AC" w:rsidR="00C0526B" w:rsidRDefault="00346F53" w:rsidP="00242E87">
            <w:pPr>
              <w:pStyle w:val="naisc"/>
              <w:spacing w:before="0" w:after="0"/>
            </w:pPr>
            <w:r>
              <w:t>615</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C2CE406" w14:textId="77777777" w:rsidR="00C0526B" w:rsidRPr="009841AB" w:rsidRDefault="00C0526B" w:rsidP="00242E87">
            <w:pPr>
              <w:pStyle w:val="naisc"/>
              <w:spacing w:before="0" w:after="0"/>
              <w:jc w:val="left"/>
            </w:pPr>
            <w:r>
              <w:t>3.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134A10E" w14:textId="77777777" w:rsidR="00C0526B" w:rsidRPr="0097355C" w:rsidRDefault="00C0526B" w:rsidP="00242E87">
            <w:pPr>
              <w:tabs>
                <w:tab w:val="left" w:pos="720"/>
              </w:tabs>
              <w:contextualSpacing/>
              <w:jc w:val="both"/>
              <w:rPr>
                <w:lang w:eastAsia="en-US"/>
              </w:rPr>
            </w:pPr>
            <w:r w:rsidRPr="00986E0C">
              <w:rPr>
                <w:lang w:eastAsia="en-US"/>
              </w:rPr>
              <w:t>2.</w:t>
            </w:r>
            <w:r w:rsidRPr="00986E0C">
              <w:rPr>
                <w:lang w:eastAsia="en-US"/>
              </w:rPr>
              <w:tab/>
              <w:t>Atkāroti lūdzam veikt labojumus 3.pielikumā, attiecībā uz 4.4.9.2.-1. uzdevuma finansējumu (TM), papildinot to ar 3973725 EUR, attiecīgi precizējot arī V aili. Vēršam uzmanību, ka šī uzdevuma saturs atbilst arī Tieslietu ministrijas pasākumam, kuram paredzēts NAP finansējums 3973725 EUR apjomā ar finansējuma avotu ERAF (skat. Excel pielikuma 5.izklājlapas pasākumu Nr.16).</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ED08F34" w14:textId="77777777" w:rsidR="00E964BC" w:rsidRPr="009841AB" w:rsidRDefault="00E964BC" w:rsidP="00E964BC">
            <w:pPr>
              <w:pStyle w:val="naisc"/>
              <w:jc w:val="left"/>
              <w:rPr>
                <w:b/>
                <w:bCs/>
                <w:color w:val="000000"/>
                <w:shd w:val="clear" w:color="auto" w:fill="FFFFFF"/>
              </w:rPr>
            </w:pPr>
            <w:r>
              <w:rPr>
                <w:b/>
                <w:bCs/>
                <w:color w:val="000000"/>
                <w:shd w:val="clear" w:color="auto" w:fill="FFFFFF"/>
              </w:rPr>
              <w:t>Panākta vienošanās</w:t>
            </w:r>
          </w:p>
          <w:p w14:paraId="05FB6EC7" w14:textId="77777777" w:rsidR="00C0526B" w:rsidRPr="00B36CEC" w:rsidRDefault="00C0526B" w:rsidP="00242E87">
            <w:pPr>
              <w:pStyle w:val="naisc"/>
              <w:spacing w:before="0" w:after="0"/>
              <w:jc w:val="both"/>
              <w:rPr>
                <w:b/>
                <w:bCs/>
              </w:rPr>
            </w:pPr>
            <w:r>
              <w:t>NAP uzdevums 16 ir iekļauts kā uzdevuma 4.4.5.1.-1. finansējums, to atbilstoši norādot arī “V” kolonnā</w:t>
            </w:r>
          </w:p>
        </w:tc>
        <w:tc>
          <w:tcPr>
            <w:tcW w:w="3504" w:type="dxa"/>
            <w:gridSpan w:val="2"/>
            <w:tcBorders>
              <w:top w:val="single" w:sz="4" w:space="0" w:color="auto"/>
              <w:left w:val="single" w:sz="4" w:space="0" w:color="auto"/>
              <w:bottom w:val="single" w:sz="4" w:space="0" w:color="auto"/>
            </w:tcBorders>
            <w:shd w:val="clear" w:color="auto" w:fill="auto"/>
          </w:tcPr>
          <w:p w14:paraId="19D58AFB" w14:textId="77777777" w:rsidR="00C0526B" w:rsidRPr="009841AB" w:rsidRDefault="00C0526B" w:rsidP="00242E87">
            <w:r>
              <w:t xml:space="preserve">Lūdzu skatīt 3. pielikumu. </w:t>
            </w:r>
          </w:p>
        </w:tc>
      </w:tr>
      <w:tr w:rsidR="00C0526B" w:rsidRPr="009841AB" w14:paraId="087BACB0"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5DA4235A" w14:textId="4F0DA3C3" w:rsidR="00C0526B" w:rsidRDefault="00346F53" w:rsidP="00242E87">
            <w:pPr>
              <w:pStyle w:val="naisc"/>
              <w:spacing w:before="0" w:after="0"/>
            </w:pPr>
            <w:r>
              <w:t>616</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7CED279B" w14:textId="77777777" w:rsidR="00C0526B" w:rsidRPr="009841AB" w:rsidRDefault="00C0526B" w:rsidP="00242E87">
            <w:pPr>
              <w:pStyle w:val="naisc"/>
              <w:spacing w:before="0" w:after="0"/>
              <w:jc w:val="left"/>
            </w:pPr>
            <w:r>
              <w:t>4.4.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31156570" w14:textId="77777777" w:rsidR="00C0526B" w:rsidRPr="0097355C" w:rsidRDefault="00C0526B" w:rsidP="00242E87">
            <w:pPr>
              <w:tabs>
                <w:tab w:val="left" w:pos="720"/>
              </w:tabs>
              <w:contextualSpacing/>
              <w:jc w:val="both"/>
              <w:rPr>
                <w:lang w:eastAsia="en-US"/>
              </w:rPr>
            </w:pPr>
            <w:r w:rsidRPr="00BF1ACB">
              <w:rPr>
                <w:lang w:eastAsia="en-US"/>
              </w:rPr>
              <w:t>3.</w:t>
            </w:r>
            <w:r w:rsidRPr="00BF1ACB">
              <w:rPr>
                <w:lang w:eastAsia="en-US"/>
              </w:rPr>
              <w:tab/>
              <w:t xml:space="preserve">Uzturam iebildumu daļā pret uzdevuma U.4.4.2.2.-1 teksta redakciju. Proti, Tieslietu ministrija attiecībā uz uzdevuma U.4.4.2.2.-1 – “Izveidot un ieviest plānu regulārai sabiedrības izpratnes veicināšanai par fizisko personu datu aizsardzību, it īpaši saistībā ar jauno digitālo tehnoloģiju izmantošanu, tajā skaitā mākslīgo intelektu un lietu internetu, un uzdevums”, izteica ierosinājumu aizstāt uzdevuma U4.4.2.2.-1 redakcijā norādīto “plānu” ar pasākumiem, jo nebija saprotams, kas ir domāts ar “plānu”. Tika izteikts ierosinājums precizēt uzdevumu U4.4.2.2.-1 šādā redakcijā: “Veikt pasākumus regulārai sabiedrības izpratnes veicināšanai par fizisko personu datu aizsardzību, it īpaši saistībā ar jauno digitālo tehnoloģiju izmantošanu, tajā skaitā mākslīgo intelektu un lietu internetu, un uzdevums”. Iepazīstoties ar Pamatnostādņu projekta 4.4.2.2. </w:t>
            </w:r>
            <w:proofErr w:type="spellStart"/>
            <w:r w:rsidRPr="00BF1ACB">
              <w:rPr>
                <w:lang w:eastAsia="en-US"/>
              </w:rPr>
              <w:t>apakšsadaļas</w:t>
            </w:r>
            <w:proofErr w:type="spellEnd"/>
            <w:r w:rsidRPr="00BF1ACB">
              <w:rPr>
                <w:lang w:eastAsia="en-US"/>
              </w:rPr>
              <w:t xml:space="preserve"> Rīcības </w:t>
            </w:r>
            <w:proofErr w:type="spellStart"/>
            <w:r w:rsidRPr="00BF1ACB">
              <w:rPr>
                <w:lang w:eastAsia="en-US"/>
              </w:rPr>
              <w:t>apakšvirziens</w:t>
            </w:r>
            <w:proofErr w:type="spellEnd"/>
            <w:r w:rsidRPr="00BF1ACB">
              <w:rPr>
                <w:lang w:eastAsia="en-US"/>
              </w:rPr>
              <w:t xml:space="preserve">: Fizisko personu datu aizsardzība </w:t>
            </w:r>
            <w:proofErr w:type="spellStart"/>
            <w:r w:rsidRPr="00BF1ACB">
              <w:rPr>
                <w:lang w:eastAsia="en-US"/>
              </w:rPr>
              <w:t>apakšsadaļu</w:t>
            </w:r>
            <w:proofErr w:type="spellEnd"/>
            <w:r w:rsidRPr="00BF1ACB">
              <w:rPr>
                <w:lang w:eastAsia="en-US"/>
              </w:rPr>
              <w:t xml:space="preserve">”, “Uzdevumi” (66.lpp.) definēto uzdevumu U4.4.2.2.-1 “Izveidot un ieviest pasākumu  plānu regulārai sabiedrības izpratnes veicināšanai par fizisko personu datu aizsardzību, it īpaši saistībā ar jauno digitālo tehnoloģiju </w:t>
            </w:r>
            <w:r w:rsidRPr="00BF1ACB">
              <w:rPr>
                <w:lang w:eastAsia="en-US"/>
              </w:rPr>
              <w:lastRenderedPageBreak/>
              <w:t xml:space="preserve">izmantošanu, t.sk. mākslīgo intelektu un </w:t>
            </w:r>
            <w:proofErr w:type="spellStart"/>
            <w:r w:rsidRPr="00BF1ACB">
              <w:rPr>
                <w:lang w:eastAsia="en-US"/>
              </w:rPr>
              <w:t>IoT</w:t>
            </w:r>
            <w:proofErr w:type="spellEnd"/>
            <w:r w:rsidRPr="00BF1ACB">
              <w:rPr>
                <w:lang w:eastAsia="en-US"/>
              </w:rPr>
              <w:t xml:space="preserve">.”, nepiekrītam jaunajai uzdevuma redakcijai teksta daļā, kurā lietots vārdu virknējums “pasākumu plāns”. Vēršam uzmanību, ka Datu valsts inspekcija jau šobrīd veic regulārus pasākumus, kas ir vērsti uz regulāru sabiedrības izpratnes veicināšanu par fizisko personu datu aizsardzību. Šādu pasākumu īstenošana ir ietverta arī Datu valsts </w:t>
            </w:r>
            <w:proofErr w:type="spellStart"/>
            <w:r w:rsidRPr="00BF1ACB">
              <w:rPr>
                <w:lang w:eastAsia="en-US"/>
              </w:rPr>
              <w:t>inzpekcijas</w:t>
            </w:r>
            <w:proofErr w:type="spellEnd"/>
            <w:r w:rsidRPr="00BF1ACB">
              <w:rPr>
                <w:lang w:eastAsia="en-US"/>
              </w:rPr>
              <w:t xml:space="preserve"> ikgadējā darba plānā. Vienlaikus nesaskatām nepieciešamību izstrādāt pasākuma plānu, ja ar to tiek saprasts politikas plānošanas dokuments Ministru kabineta 2014.gada 2.decembra noteikumu Nr.737 “Attīstības plānošanas dokumentu izstrādes un ietekmes izvērtēšanas noteikumi” 11.punkta izpratnē.</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CE1448B" w14:textId="77777777" w:rsidR="00C0526B" w:rsidRPr="0030386D" w:rsidRDefault="00C0526B" w:rsidP="00242E87">
            <w:pPr>
              <w:pStyle w:val="naisc"/>
              <w:spacing w:before="0" w:after="0"/>
              <w:jc w:val="both"/>
            </w:pPr>
            <w:r w:rsidRPr="4479B38B">
              <w:rPr>
                <w:b/>
                <w:bCs/>
              </w:rPr>
              <w:lastRenderedPageBreak/>
              <w:t>Ņemts vērā</w:t>
            </w:r>
          </w:p>
          <w:p w14:paraId="090F4D95" w14:textId="77777777" w:rsidR="00C0526B" w:rsidRPr="009841AB" w:rsidRDefault="00C0526B" w:rsidP="00242E87">
            <w:pPr>
              <w:pStyle w:val="naisc"/>
              <w:spacing w:before="0" w:after="0"/>
              <w:jc w:val="both"/>
            </w:pPr>
            <w:r w:rsidRPr="4479B38B">
              <w:t>(kompromisa redakcija, saskaņots ar DVI)</w:t>
            </w:r>
          </w:p>
        </w:tc>
        <w:tc>
          <w:tcPr>
            <w:tcW w:w="3504" w:type="dxa"/>
            <w:gridSpan w:val="2"/>
            <w:tcBorders>
              <w:top w:val="single" w:sz="4" w:space="0" w:color="auto"/>
              <w:left w:val="single" w:sz="4" w:space="0" w:color="auto"/>
              <w:bottom w:val="single" w:sz="4" w:space="0" w:color="auto"/>
            </w:tcBorders>
            <w:shd w:val="clear" w:color="auto" w:fill="auto"/>
          </w:tcPr>
          <w:p w14:paraId="2B2012BD" w14:textId="77777777" w:rsidR="00C0526B" w:rsidRPr="009841AB" w:rsidRDefault="00C0526B" w:rsidP="00242E87">
            <w:r w:rsidRPr="00561116">
              <w:t>Lūdzu skatīt 4.</w:t>
            </w:r>
            <w:r>
              <w:t>4</w:t>
            </w:r>
            <w:r w:rsidRPr="00561116">
              <w:t xml:space="preserve">. sadaļu </w:t>
            </w:r>
          </w:p>
        </w:tc>
      </w:tr>
      <w:tr w:rsidR="00C0526B" w:rsidRPr="009841AB" w14:paraId="106508DA"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0B9C8F1E" w14:textId="3B0A780F" w:rsidR="00C0526B" w:rsidRDefault="00346F53" w:rsidP="00242E87">
            <w:pPr>
              <w:pStyle w:val="naisc"/>
              <w:spacing w:before="0" w:after="0"/>
            </w:pPr>
            <w:r>
              <w:t>617</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102B27B3" w14:textId="77777777" w:rsidR="00C0526B" w:rsidRDefault="00C0526B" w:rsidP="00242E87">
            <w:pPr>
              <w:pStyle w:val="naisc"/>
              <w:spacing w:before="0" w:after="0"/>
              <w:jc w:val="left"/>
            </w:pPr>
            <w:r>
              <w:t>4.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29EC189" w14:textId="77777777" w:rsidR="00C0526B" w:rsidRPr="00BF1ACB" w:rsidRDefault="00C0526B" w:rsidP="00242E87">
            <w:pPr>
              <w:tabs>
                <w:tab w:val="left" w:pos="720"/>
              </w:tabs>
              <w:contextualSpacing/>
              <w:jc w:val="both"/>
              <w:rPr>
                <w:lang w:eastAsia="en-US"/>
              </w:rPr>
            </w:pPr>
            <w:r w:rsidRPr="00C17A2E">
              <w:rPr>
                <w:lang w:eastAsia="en-US"/>
              </w:rPr>
              <w:t>4.</w:t>
            </w:r>
            <w:r w:rsidRPr="00C17A2E">
              <w:rPr>
                <w:lang w:eastAsia="en-US"/>
              </w:rPr>
              <w:tab/>
              <w:t xml:space="preserve">Vienlaikus lūdzam precizēt projekta 4.pielikuma 4.4.5.2. Rīcības </w:t>
            </w:r>
            <w:proofErr w:type="spellStart"/>
            <w:r w:rsidRPr="00C17A2E">
              <w:rPr>
                <w:lang w:eastAsia="en-US"/>
              </w:rPr>
              <w:t>apakšvirziena</w:t>
            </w:r>
            <w:proofErr w:type="spellEnd"/>
            <w:r w:rsidRPr="00C17A2E">
              <w:rPr>
                <w:lang w:eastAsia="en-US"/>
              </w:rPr>
              <w:t xml:space="preserve"> “Nacionālās drošības un informācijas telpas stiprināšana” sadaļu. Norādām, ka 4.4.5.2. Rīcības </w:t>
            </w:r>
            <w:proofErr w:type="spellStart"/>
            <w:r w:rsidRPr="00C17A2E">
              <w:rPr>
                <w:lang w:eastAsia="en-US"/>
              </w:rPr>
              <w:t>apakšvirziena</w:t>
            </w:r>
            <w:proofErr w:type="spellEnd"/>
            <w:r w:rsidRPr="00C17A2E">
              <w:rPr>
                <w:lang w:eastAsia="en-US"/>
              </w:rPr>
              <w:t xml:space="preserve"> 4., 5., 6. punkts nav attiecināms uz oficiālo izdevēju "Latvijas Vēstnesis", attiecīgi projekts ir precizējams.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6EFF8634" w14:textId="77777777" w:rsidR="00E964BC" w:rsidRPr="009841AB" w:rsidRDefault="00E964BC" w:rsidP="00E964BC">
            <w:pPr>
              <w:pStyle w:val="naisc"/>
              <w:jc w:val="left"/>
              <w:rPr>
                <w:b/>
                <w:bCs/>
                <w:color w:val="000000"/>
                <w:shd w:val="clear" w:color="auto" w:fill="FFFFFF"/>
              </w:rPr>
            </w:pPr>
            <w:r>
              <w:rPr>
                <w:b/>
                <w:bCs/>
                <w:color w:val="000000"/>
                <w:shd w:val="clear" w:color="auto" w:fill="FFFFFF"/>
              </w:rPr>
              <w:t>Panākta vienošanās</w:t>
            </w:r>
          </w:p>
          <w:p w14:paraId="1095ACC4" w14:textId="77777777" w:rsidR="00C0526B" w:rsidRPr="003D670E" w:rsidRDefault="00C0526B" w:rsidP="00242E87">
            <w:pPr>
              <w:pStyle w:val="naisc"/>
              <w:spacing w:before="0" w:after="0"/>
              <w:jc w:val="left"/>
            </w:pPr>
            <w:r w:rsidRPr="002E2656">
              <w:t>4.4.5. Rīcības virzien</w:t>
            </w:r>
            <w:r>
              <w:t>a</w:t>
            </w:r>
            <w:r w:rsidRPr="002E2656">
              <w:t xml:space="preserve"> </w:t>
            </w:r>
            <w:r>
              <w:t>“</w:t>
            </w:r>
            <w:r w:rsidRPr="002E2656">
              <w:t>Sabiedriskā drošība, kārtība un tieslietas</w:t>
            </w:r>
            <w:r>
              <w:t xml:space="preserve">”  </w:t>
            </w:r>
            <w:r w:rsidRPr="001250D2">
              <w:t xml:space="preserve">4.4.5.2. Rīcības </w:t>
            </w:r>
            <w:proofErr w:type="spellStart"/>
            <w:r w:rsidRPr="001250D2">
              <w:t>apakšvirziens</w:t>
            </w:r>
            <w:proofErr w:type="spellEnd"/>
            <w:r>
              <w:t xml:space="preserve"> </w:t>
            </w:r>
            <w:r w:rsidRPr="001250D2">
              <w:t>“Nacionālās drošības un informācijas telpas stiprināšana”</w:t>
            </w:r>
            <w:r>
              <w:t xml:space="preserve"> kopumā ietver gan jautājumus, kas attiecināmi </w:t>
            </w:r>
            <w:r w:rsidRPr="00E00182">
              <w:t xml:space="preserve">uz oficiālo izdevēju </w:t>
            </w:r>
            <w:r>
              <w:t>“</w:t>
            </w:r>
            <w:r w:rsidRPr="00E00182">
              <w:t>Latvijas Vēstnesis</w:t>
            </w:r>
            <w:r>
              <w:t xml:space="preserve">” (t.sk. minētais </w:t>
            </w:r>
            <w:r w:rsidRPr="00B30EC3">
              <w:t>4.</w:t>
            </w:r>
            <w:r>
              <w:t> </w:t>
            </w:r>
            <w:r w:rsidRPr="00B30EC3">
              <w:t xml:space="preserve">pielikuma 4.4.5.2. Rīcības </w:t>
            </w:r>
            <w:proofErr w:type="spellStart"/>
            <w:r w:rsidRPr="00B30EC3">
              <w:t>apakšvirzien</w:t>
            </w:r>
            <w:r>
              <w:t>a</w:t>
            </w:r>
            <w:proofErr w:type="spellEnd"/>
            <w:r>
              <w:t xml:space="preserve"> 1., 2. un 3. punkts), gan uz citām atbildīgajām un līdzatbildīgajām </w:t>
            </w:r>
            <w:r>
              <w:lastRenderedPageBreak/>
              <w:t xml:space="preserve">organizācijām, t.sk. </w:t>
            </w:r>
            <w:r w:rsidRPr="007C20C4">
              <w:t>VUGD, IeM</w:t>
            </w:r>
            <w:r>
              <w:t xml:space="preserve">, </w:t>
            </w:r>
            <w:proofErr w:type="spellStart"/>
            <w:r>
              <w:t>AiM</w:t>
            </w:r>
            <w:proofErr w:type="spellEnd"/>
            <w:r>
              <w:t xml:space="preserve">, u.c. </w:t>
            </w:r>
            <w:r w:rsidRPr="003D670E">
              <w:t>(4.</w:t>
            </w:r>
            <w:r>
              <w:t> </w:t>
            </w:r>
            <w:r w:rsidRPr="003D670E">
              <w:t xml:space="preserve">pielikuma 4.4.5.2. Rīcības </w:t>
            </w:r>
            <w:proofErr w:type="spellStart"/>
            <w:r w:rsidRPr="003D670E">
              <w:t>apakšvirziena</w:t>
            </w:r>
            <w:proofErr w:type="spellEnd"/>
            <w:r w:rsidRPr="003D670E">
              <w:t xml:space="preserve"> </w:t>
            </w:r>
            <w:r>
              <w:t>4</w:t>
            </w:r>
            <w:r w:rsidRPr="003D670E">
              <w:t xml:space="preserve">., </w:t>
            </w:r>
            <w:r>
              <w:t>5</w:t>
            </w:r>
            <w:r w:rsidRPr="003D670E">
              <w:t xml:space="preserve">. un </w:t>
            </w:r>
            <w:r>
              <w:t>6</w:t>
            </w:r>
            <w:r w:rsidRPr="003D670E">
              <w:t>. punkts)</w:t>
            </w:r>
            <w:r>
              <w:t>.</w:t>
            </w:r>
          </w:p>
        </w:tc>
        <w:tc>
          <w:tcPr>
            <w:tcW w:w="3504" w:type="dxa"/>
            <w:gridSpan w:val="2"/>
            <w:tcBorders>
              <w:top w:val="single" w:sz="4" w:space="0" w:color="auto"/>
              <w:left w:val="single" w:sz="4" w:space="0" w:color="auto"/>
              <w:bottom w:val="single" w:sz="4" w:space="0" w:color="auto"/>
            </w:tcBorders>
            <w:shd w:val="clear" w:color="auto" w:fill="auto"/>
          </w:tcPr>
          <w:p w14:paraId="59118696" w14:textId="77777777" w:rsidR="00C0526B" w:rsidRPr="009841AB" w:rsidRDefault="00C0526B" w:rsidP="00242E87"/>
        </w:tc>
      </w:tr>
      <w:tr w:rsidR="00C0526B" w:rsidRPr="009841AB" w14:paraId="28351F1A" w14:textId="77777777" w:rsidTr="00242E87">
        <w:tc>
          <w:tcPr>
            <w:tcW w:w="14451" w:type="dxa"/>
            <w:gridSpan w:val="6"/>
            <w:tcBorders>
              <w:left w:val="single" w:sz="6" w:space="0" w:color="000000" w:themeColor="text1"/>
              <w:bottom w:val="single" w:sz="4" w:space="0" w:color="auto"/>
            </w:tcBorders>
            <w:shd w:val="clear" w:color="auto" w:fill="auto"/>
          </w:tcPr>
          <w:p w14:paraId="0F115D4D" w14:textId="77777777" w:rsidR="00C0526B" w:rsidRPr="009841AB" w:rsidRDefault="00C0526B" w:rsidP="00242E87">
            <w:proofErr w:type="spellStart"/>
            <w:r>
              <w:rPr>
                <w:b/>
                <w:bCs/>
              </w:rPr>
              <w:t>Pārresoru</w:t>
            </w:r>
            <w:proofErr w:type="spellEnd"/>
            <w:r>
              <w:rPr>
                <w:b/>
                <w:bCs/>
              </w:rPr>
              <w:t xml:space="preserve"> koordinācijas centra</w:t>
            </w:r>
            <w:r w:rsidRPr="005E1C9E">
              <w:rPr>
                <w:b/>
                <w:bCs/>
              </w:rPr>
              <w:t xml:space="preserve"> 1</w:t>
            </w:r>
            <w:r>
              <w:rPr>
                <w:b/>
                <w:bCs/>
              </w:rPr>
              <w:t>8</w:t>
            </w:r>
            <w:r w:rsidRPr="005E1C9E">
              <w:rPr>
                <w:b/>
                <w:bCs/>
              </w:rPr>
              <w:t>.05.2021. atzinums:</w:t>
            </w:r>
          </w:p>
        </w:tc>
      </w:tr>
      <w:tr w:rsidR="00C0526B" w:rsidRPr="009841AB" w14:paraId="59A80C4B"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18F6F0E7" w14:textId="7B78446C" w:rsidR="00C0526B" w:rsidRPr="006D3348" w:rsidRDefault="00346F53" w:rsidP="00242E87">
            <w:pPr>
              <w:pStyle w:val="naisc"/>
              <w:spacing w:before="0" w:after="0"/>
            </w:pPr>
            <w:r>
              <w:t>618</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54849A32" w14:textId="77777777" w:rsidR="00C0526B" w:rsidRPr="006D3348" w:rsidRDefault="00C0526B" w:rsidP="00242E87">
            <w:pPr>
              <w:pStyle w:val="naisc"/>
              <w:spacing w:before="0" w:after="0"/>
              <w:jc w:val="left"/>
            </w:pPr>
            <w:r w:rsidRPr="006D3348">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7E1C468E" w14:textId="77777777" w:rsidR="00C0526B" w:rsidRPr="006D3348" w:rsidRDefault="00C0526B" w:rsidP="00242E87">
            <w:pPr>
              <w:tabs>
                <w:tab w:val="left" w:pos="720"/>
              </w:tabs>
              <w:contextualSpacing/>
              <w:jc w:val="both"/>
              <w:rPr>
                <w:lang w:eastAsia="en-US"/>
              </w:rPr>
            </w:pPr>
            <w:r w:rsidRPr="006D3348">
              <w:rPr>
                <w:lang w:eastAsia="en-US"/>
              </w:rPr>
              <w:t xml:space="preserve">1. Lūdzam mainīt atbildīgo par uzdevuma “U4.2.1.-2 Veikta analīze un sagatavoti priekšlikumi valsts pārvaldes efektīvākai iesaistei digitālās drošības horizontāla rakstura jautājumu veidošanā un īstenošanā (termiņš 2021.-2022.)” realizāciju. Vēršam uzmanību, ka IT un digitālās drošība ir noteiktu institūciju atbildības jomā. PKC var būt </w:t>
            </w:r>
            <w:proofErr w:type="spellStart"/>
            <w:r w:rsidRPr="006D3348">
              <w:rPr>
                <w:lang w:eastAsia="en-US"/>
              </w:rPr>
              <w:t>iesaitīts</w:t>
            </w:r>
            <w:proofErr w:type="spellEnd"/>
            <w:r w:rsidRPr="006D3348">
              <w:rPr>
                <w:lang w:eastAsia="en-US"/>
              </w:rPr>
              <w:t xml:space="preserve"> kā līdzatbildīgais kopā ar VARAM vai </w:t>
            </w:r>
            <w:proofErr w:type="spellStart"/>
            <w:r w:rsidRPr="006D3348">
              <w:rPr>
                <w:lang w:eastAsia="en-US"/>
              </w:rPr>
              <w:t>AIzM</w:t>
            </w:r>
            <w:proofErr w:type="spellEnd"/>
            <w:r w:rsidRPr="006D3348">
              <w:rPr>
                <w:lang w:eastAsia="en-US"/>
              </w:rPr>
              <w:t>, vai SM, bet ne galvenais atbildīgais par jautājumiem, kas saistīti ar digitālās drošības. Papildus informējam, ka PKC rīcībā nav specifisku resursu šajā  jomā, bet visi  resursi, zināšanas un atbildība ir ministriju aģentūrās.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DCB9FFD" w14:textId="77777777" w:rsidR="00C0526B" w:rsidRPr="003A2037" w:rsidRDefault="00C0526B" w:rsidP="00242E87">
            <w:pPr>
              <w:pStyle w:val="naisc"/>
              <w:spacing w:before="0" w:after="0"/>
              <w:jc w:val="both"/>
              <w:rPr>
                <w:b/>
                <w:bCs/>
              </w:rPr>
            </w:pPr>
            <w:r w:rsidRPr="003A2037">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27C55DB1" w14:textId="77777777" w:rsidR="00C0526B" w:rsidRPr="006D3348" w:rsidRDefault="00C0526B" w:rsidP="00242E87">
            <w:pPr>
              <w:pStyle w:val="naisc"/>
              <w:spacing w:before="0" w:after="0"/>
              <w:jc w:val="left"/>
            </w:pPr>
            <w:r>
              <w:t>Lūdzu skatīt 4.2. sadaļu</w:t>
            </w:r>
          </w:p>
        </w:tc>
      </w:tr>
      <w:tr w:rsidR="00C0526B" w:rsidRPr="009841AB" w14:paraId="7271BB2F"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1EEC6D8B" w14:textId="1BEC429F" w:rsidR="00C0526B" w:rsidRDefault="00346F53" w:rsidP="00242E87">
            <w:pPr>
              <w:pStyle w:val="naisc"/>
              <w:spacing w:before="0" w:after="0"/>
            </w:pPr>
            <w:r>
              <w:t>619</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F332E3B" w14:textId="77777777" w:rsidR="00C0526B" w:rsidRDefault="00C0526B" w:rsidP="00242E87">
            <w:pPr>
              <w:pStyle w:val="naisc"/>
              <w:spacing w:before="0" w:after="0"/>
              <w:jc w:val="left"/>
            </w:pPr>
            <w:r>
              <w:t>4.2. sadaļa</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19818B3E" w14:textId="77777777" w:rsidR="00C0526B" w:rsidRPr="00BF1ACB" w:rsidRDefault="00C0526B" w:rsidP="00242E87">
            <w:pPr>
              <w:tabs>
                <w:tab w:val="left" w:pos="720"/>
              </w:tabs>
              <w:contextualSpacing/>
              <w:jc w:val="both"/>
              <w:rPr>
                <w:lang w:eastAsia="en-US"/>
              </w:rPr>
            </w:pPr>
            <w:r w:rsidRPr="00A110A5">
              <w:rPr>
                <w:lang w:eastAsia="en-US"/>
              </w:rPr>
              <w:t>2.  Papildus vēršam uzmanību, ka uzdevums U4.2.1.-2 ir iekļauts 3.pielikumā ar citādu saturu, proti: “Nodrošināt sistēmu darbības atjaunošanas pakalpojumu iekļaušanu koplietošanas skaitļošanas infrastruktūras pakalpojumu sniedzēju pakalpojumu katalogos (VARAM)”. Attiecīgi, lūdzam saskaņot Pamatnostādņu tekstā nosaukto uzdevumu saskaņotību ar 3.pielikumu.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9C77C1A" w14:textId="77777777" w:rsidR="00C0526B" w:rsidRPr="006D3348" w:rsidRDefault="00C0526B" w:rsidP="00242E87">
            <w:pPr>
              <w:pStyle w:val="naisc"/>
              <w:spacing w:before="0" w:after="0"/>
              <w:jc w:val="both"/>
            </w:pPr>
            <w:r w:rsidRPr="00F82EA0">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14F0BC3A" w14:textId="77777777" w:rsidR="00C0526B" w:rsidRPr="009841AB" w:rsidRDefault="00C0526B" w:rsidP="00242E87">
            <w:r>
              <w:t xml:space="preserve">Lūdzu skatīt 3. pielikumu </w:t>
            </w:r>
          </w:p>
        </w:tc>
      </w:tr>
      <w:tr w:rsidR="00C0526B" w:rsidRPr="009841AB" w14:paraId="469D9BDA"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1026EA2C" w14:textId="24EAF753" w:rsidR="00C0526B" w:rsidRDefault="00346F53" w:rsidP="00242E87">
            <w:pPr>
              <w:pStyle w:val="naisc"/>
              <w:spacing w:before="0" w:after="0"/>
            </w:pPr>
            <w:r>
              <w:t>620</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3FF24345" w14:textId="77777777" w:rsidR="00C0526B" w:rsidRDefault="00C0526B" w:rsidP="00242E87">
            <w:pPr>
              <w:pStyle w:val="naisc"/>
              <w:spacing w:before="0" w:after="0"/>
              <w:jc w:val="left"/>
            </w:pP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4C0B8B20" w14:textId="77777777" w:rsidR="00C0526B" w:rsidRPr="00BF1ACB" w:rsidRDefault="00C0526B" w:rsidP="00242E87">
            <w:pPr>
              <w:tabs>
                <w:tab w:val="left" w:pos="720"/>
              </w:tabs>
              <w:contextualSpacing/>
              <w:jc w:val="both"/>
              <w:rPr>
                <w:lang w:eastAsia="en-US"/>
              </w:rPr>
            </w:pPr>
            <w:r w:rsidRPr="006B1472">
              <w:rPr>
                <w:lang w:eastAsia="en-US"/>
              </w:rPr>
              <w:t xml:space="preserve">3.  Atkārtoti lūdzam neveidot jaunus jēdzienus, kas netiek paredzēti MK noteikumos Nr.737, piemēram “attīstības virzieni”. Ņemot vērā, ka izziņas par atzinumos sniegtajiem iebildumiem punktā Nr.59 minēts, ka šis PKC iebildums ir ņemts vērā, lūdzam novērst redakcionālas neprecizitātes, kur minēts jēdziens “attīstības virziens” (tai skaitā sadaļu nosaukumos). Atgādinām, ka PKC un VARAM </w:t>
            </w:r>
            <w:r w:rsidRPr="006B1472">
              <w:rPr>
                <w:lang w:eastAsia="en-US"/>
              </w:rPr>
              <w:lastRenderedPageBreak/>
              <w:t>tikšanās laikā tika panākta vienošanās par jēdziena “attīstības joma” lietojumu.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71E53B64" w14:textId="77777777" w:rsidR="00C0526B" w:rsidRPr="0030386D" w:rsidRDefault="00C0526B" w:rsidP="00242E87">
            <w:pPr>
              <w:pStyle w:val="naisc"/>
              <w:spacing w:before="0" w:after="0"/>
              <w:jc w:val="both"/>
            </w:pPr>
            <w:r>
              <w:rPr>
                <w:b/>
                <w:bCs/>
              </w:rPr>
              <w:lastRenderedPageBreak/>
              <w:t>Ņemts vērā</w:t>
            </w:r>
          </w:p>
        </w:tc>
        <w:tc>
          <w:tcPr>
            <w:tcW w:w="3504" w:type="dxa"/>
            <w:gridSpan w:val="2"/>
            <w:tcBorders>
              <w:top w:val="single" w:sz="4" w:space="0" w:color="auto"/>
              <w:left w:val="single" w:sz="4" w:space="0" w:color="auto"/>
              <w:bottom w:val="single" w:sz="4" w:space="0" w:color="auto"/>
            </w:tcBorders>
            <w:shd w:val="clear" w:color="auto" w:fill="auto"/>
          </w:tcPr>
          <w:p w14:paraId="02245355" w14:textId="77777777" w:rsidR="00C0526B" w:rsidRPr="009841AB" w:rsidRDefault="00C0526B" w:rsidP="00242E87"/>
        </w:tc>
      </w:tr>
      <w:tr w:rsidR="00C0526B" w:rsidRPr="009841AB" w14:paraId="0E370FAF"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2770C7FA" w14:textId="7222AB5D" w:rsidR="00C0526B" w:rsidRDefault="00346F53" w:rsidP="00242E87">
            <w:pPr>
              <w:pStyle w:val="naisc"/>
              <w:spacing w:before="0" w:after="0"/>
            </w:pPr>
            <w:r>
              <w:t>621</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2CB47AC4" w14:textId="77777777" w:rsidR="00C0526B" w:rsidRDefault="00C0526B" w:rsidP="00242E87">
            <w:pPr>
              <w:pStyle w:val="naisc"/>
              <w:spacing w:before="0" w:after="0"/>
              <w:jc w:val="left"/>
            </w:pPr>
            <w:r>
              <w:t>1.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22D68CD8" w14:textId="77777777" w:rsidR="00C0526B" w:rsidRPr="00BF1ACB" w:rsidRDefault="00C0526B" w:rsidP="00242E87">
            <w:pPr>
              <w:tabs>
                <w:tab w:val="left" w:pos="720"/>
              </w:tabs>
              <w:contextualSpacing/>
              <w:jc w:val="both"/>
              <w:rPr>
                <w:lang w:eastAsia="en-US"/>
              </w:rPr>
            </w:pPr>
            <w:r w:rsidRPr="00763C53">
              <w:rPr>
                <w:lang w:eastAsia="en-US"/>
              </w:rPr>
              <w:t>4.  Ņemot vērā, ka izziņas par atzinumos sniegtajiem iebildumiem punktā Nr.540 minēts, ka šis PKC iebildums ir ņemts vērā, atkārtoti lūdzam precizēt informāciju par Pamatnostādņu projektā definēto politikas rezultātu sasaisti ar NAP2027, Pamatnostādņu projekta 1.pielikumu  "Politikas rezultāti un rezultatīvie rādītāji" papildinot ar kolonnu, kur norādīti NAP2027 indikatori, kuru sasniegšanu ietekmēs attiecīgā pamatnostādņu politikas rezultāta sasniegšana, īstenojot pamatnostādņu rīcības virzienos paredzēto. Vēršam uzmanību, ka esošajā redakcijā 1.pielikuma kolonnā “</w:t>
            </w:r>
            <w:proofErr w:type="spellStart"/>
            <w:r w:rsidRPr="00763C53">
              <w:rPr>
                <w:lang w:eastAsia="en-US"/>
              </w:rPr>
              <w:t>Piezīmes”ir</w:t>
            </w:r>
            <w:proofErr w:type="spellEnd"/>
            <w:r w:rsidRPr="00763C53">
              <w:rPr>
                <w:lang w:eastAsia="en-US"/>
              </w:rPr>
              <w:t xml:space="preserve"> norādītas atsauces uz NAP mērķu sasniegšanu, vienlaikus norādot gan NAP mērķu, gan uzdevumu, gan indikatoru numurus.</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BE5F391" w14:textId="77777777" w:rsidR="00C0526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5FBDC4E3" w14:textId="77777777" w:rsidR="00C0526B" w:rsidRPr="009841AB" w:rsidRDefault="00C0526B" w:rsidP="00242E87">
            <w:r>
              <w:t>Lūdzu skatīt 1. pielikumu</w:t>
            </w:r>
          </w:p>
        </w:tc>
      </w:tr>
      <w:tr w:rsidR="00C0526B" w:rsidRPr="009841AB" w14:paraId="2B614C9B"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71617088" w14:textId="578E7D79" w:rsidR="00C0526B" w:rsidRDefault="00346F53" w:rsidP="00242E87">
            <w:pPr>
              <w:pStyle w:val="naisc"/>
              <w:spacing w:before="0" w:after="0"/>
            </w:pPr>
            <w:r>
              <w:t>622</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422707F1" w14:textId="77777777" w:rsidR="00C0526B" w:rsidRDefault="00C0526B" w:rsidP="00242E87">
            <w:pPr>
              <w:pStyle w:val="naisc"/>
              <w:spacing w:before="0" w:after="0"/>
              <w:jc w:val="left"/>
            </w:pPr>
            <w:r>
              <w:t>2.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6E68902D" w14:textId="77777777" w:rsidR="00C0526B" w:rsidRPr="00BF1ACB" w:rsidRDefault="00C0526B" w:rsidP="00242E87">
            <w:pPr>
              <w:tabs>
                <w:tab w:val="left" w:pos="720"/>
              </w:tabs>
              <w:contextualSpacing/>
              <w:jc w:val="both"/>
              <w:rPr>
                <w:lang w:eastAsia="en-US"/>
              </w:rPr>
            </w:pPr>
            <w:r w:rsidRPr="009264F3">
              <w:rPr>
                <w:lang w:eastAsia="en-US"/>
              </w:rPr>
              <w:t xml:space="preserve">5.  Tā kā informāciju par politikas mērķu sasaisti ar NAP2027 ir realizēta iekļaujot atsauces uz NAP2027 mērķiem </w:t>
            </w:r>
            <w:proofErr w:type="spellStart"/>
            <w:r w:rsidRPr="009264F3">
              <w:rPr>
                <w:lang w:eastAsia="en-US"/>
              </w:rPr>
              <w:t>Pmatnostādņu</w:t>
            </w:r>
            <w:proofErr w:type="spellEnd"/>
            <w:r w:rsidRPr="009264F3">
              <w:rPr>
                <w:lang w:eastAsia="en-US"/>
              </w:rPr>
              <w:t xml:space="preserve"> tekstā, lūdzam svītrot Pamatnostādņu 2.pielikuma kolonnu “Sasaiste ar NAP mērķiem 2021.-2027.gadam”, vai nodrošināt šajā kolonnā iekļautās informācijas </w:t>
            </w:r>
            <w:proofErr w:type="spellStart"/>
            <w:r w:rsidRPr="009264F3">
              <w:rPr>
                <w:lang w:eastAsia="en-US"/>
              </w:rPr>
              <w:t>sakaņotību</w:t>
            </w:r>
            <w:proofErr w:type="spellEnd"/>
            <w:r w:rsidRPr="009264F3">
              <w:rPr>
                <w:lang w:eastAsia="en-US"/>
              </w:rPr>
              <w:t xml:space="preserve"> ar Pamatnostādņu tekstu.</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3C6FF034" w14:textId="77777777" w:rsidR="00C0526B" w:rsidRDefault="00C0526B" w:rsidP="00242E87">
            <w:pPr>
              <w:pStyle w:val="naisc"/>
              <w:spacing w:before="0" w:after="0"/>
              <w:jc w:val="both"/>
            </w:pPr>
            <w:r>
              <w:rPr>
                <w:b/>
                <w:bCs/>
              </w:rPr>
              <w:t>Ņemts vērā</w:t>
            </w:r>
          </w:p>
        </w:tc>
        <w:tc>
          <w:tcPr>
            <w:tcW w:w="3504" w:type="dxa"/>
            <w:gridSpan w:val="2"/>
            <w:tcBorders>
              <w:top w:val="single" w:sz="4" w:space="0" w:color="auto"/>
              <w:left w:val="single" w:sz="4" w:space="0" w:color="auto"/>
              <w:bottom w:val="single" w:sz="4" w:space="0" w:color="auto"/>
            </w:tcBorders>
            <w:shd w:val="clear" w:color="auto" w:fill="auto"/>
          </w:tcPr>
          <w:p w14:paraId="2D5EDD6C" w14:textId="77777777" w:rsidR="00C0526B" w:rsidRPr="009841AB" w:rsidRDefault="00C0526B" w:rsidP="00242E87">
            <w:r>
              <w:t>Lūdzu skatīt 2. pielikumu</w:t>
            </w:r>
          </w:p>
        </w:tc>
      </w:tr>
      <w:tr w:rsidR="00C0526B" w:rsidRPr="009841AB" w14:paraId="410B43A5" w14:textId="77777777" w:rsidTr="00DC72A3">
        <w:tc>
          <w:tcPr>
            <w:tcW w:w="613" w:type="dxa"/>
            <w:tcBorders>
              <w:left w:val="single" w:sz="6" w:space="0" w:color="000000" w:themeColor="text1"/>
              <w:bottom w:val="single" w:sz="4" w:space="0" w:color="auto"/>
              <w:right w:val="single" w:sz="6" w:space="0" w:color="000000" w:themeColor="text1"/>
            </w:tcBorders>
            <w:shd w:val="clear" w:color="auto" w:fill="auto"/>
          </w:tcPr>
          <w:p w14:paraId="4EC49E04" w14:textId="7DEA68EF" w:rsidR="00C0526B" w:rsidRDefault="00346F53" w:rsidP="00242E87">
            <w:pPr>
              <w:pStyle w:val="naisc"/>
              <w:spacing w:before="0" w:after="0"/>
            </w:pPr>
            <w:r>
              <w:t>623</w:t>
            </w:r>
          </w:p>
        </w:tc>
        <w:tc>
          <w:tcPr>
            <w:tcW w:w="2427" w:type="dxa"/>
            <w:tcBorders>
              <w:left w:val="single" w:sz="6" w:space="0" w:color="000000" w:themeColor="text1"/>
              <w:bottom w:val="single" w:sz="4" w:space="0" w:color="auto"/>
              <w:right w:val="single" w:sz="6" w:space="0" w:color="000000" w:themeColor="text1"/>
            </w:tcBorders>
            <w:shd w:val="clear" w:color="auto" w:fill="auto"/>
          </w:tcPr>
          <w:p w14:paraId="67EED2C5" w14:textId="77777777" w:rsidR="00C0526B" w:rsidRDefault="00C0526B" w:rsidP="00242E87">
            <w:pPr>
              <w:pStyle w:val="naisc"/>
              <w:spacing w:before="0" w:after="0"/>
              <w:jc w:val="left"/>
            </w:pPr>
            <w:r>
              <w:t>3. pielikums</w:t>
            </w:r>
          </w:p>
        </w:tc>
        <w:tc>
          <w:tcPr>
            <w:tcW w:w="5427" w:type="dxa"/>
            <w:tcBorders>
              <w:left w:val="single" w:sz="6" w:space="0" w:color="000000" w:themeColor="text1"/>
              <w:bottom w:val="single" w:sz="4" w:space="0" w:color="auto"/>
              <w:right w:val="single" w:sz="6" w:space="0" w:color="000000" w:themeColor="text1"/>
            </w:tcBorders>
            <w:shd w:val="clear" w:color="auto" w:fill="auto"/>
          </w:tcPr>
          <w:p w14:paraId="5018CF2B" w14:textId="77777777" w:rsidR="00C0526B" w:rsidRDefault="00C0526B" w:rsidP="00242E87">
            <w:pPr>
              <w:tabs>
                <w:tab w:val="left" w:pos="720"/>
              </w:tabs>
              <w:contextualSpacing/>
              <w:jc w:val="both"/>
              <w:rPr>
                <w:lang w:eastAsia="en-US"/>
              </w:rPr>
            </w:pPr>
            <w:r>
              <w:rPr>
                <w:lang w:eastAsia="en-US"/>
              </w:rPr>
              <w:t xml:space="preserve">6.  Atkārtoti lūdzam precizēt 3.pielikum kolonnu “Piezīmes”, lai panāktu </w:t>
            </w:r>
            <w:proofErr w:type="spellStart"/>
            <w:r>
              <w:rPr>
                <w:lang w:eastAsia="en-US"/>
              </w:rPr>
              <w:t>finasējuma</w:t>
            </w:r>
            <w:proofErr w:type="spellEnd"/>
            <w:r>
              <w:rPr>
                <w:lang w:eastAsia="en-US"/>
              </w:rPr>
              <w:t xml:space="preserve"> saskaņotību ar NAP2027, attiecīgi precizējot arī pievienoto tabulu “avots </w:t>
            </w:r>
            <w:proofErr w:type="spellStart"/>
            <w:r>
              <w:rPr>
                <w:lang w:eastAsia="en-US"/>
              </w:rPr>
              <w:t>finasējums</w:t>
            </w:r>
            <w:proofErr w:type="spellEnd"/>
            <w:r>
              <w:rPr>
                <w:lang w:eastAsia="en-US"/>
              </w:rPr>
              <w:t xml:space="preserve"> NAP”.  Šī brīža redakcijā saprotams, ka pievienotajā tabulā “avots </w:t>
            </w:r>
            <w:proofErr w:type="spellStart"/>
            <w:r>
              <w:rPr>
                <w:lang w:eastAsia="en-US"/>
              </w:rPr>
              <w:t>finasējums</w:t>
            </w:r>
            <w:proofErr w:type="spellEnd"/>
            <w:r>
              <w:rPr>
                <w:lang w:eastAsia="en-US"/>
              </w:rPr>
              <w:t xml:space="preserve"> NAP” ir iekļauti tie NAP indikatīvie pasākumi, uz kuriem ir atsauces 3.pielikumā, tomēr tabulā “avots </w:t>
            </w:r>
            <w:proofErr w:type="spellStart"/>
            <w:r>
              <w:rPr>
                <w:lang w:eastAsia="en-US"/>
              </w:rPr>
              <w:t>finasējums</w:t>
            </w:r>
            <w:proofErr w:type="spellEnd"/>
            <w:r>
              <w:rPr>
                <w:lang w:eastAsia="en-US"/>
              </w:rPr>
              <w:t xml:space="preserve"> NAP”:</w:t>
            </w:r>
          </w:p>
          <w:p w14:paraId="62D08B45" w14:textId="77777777" w:rsidR="00C0526B" w:rsidRDefault="00C0526B" w:rsidP="00242E87">
            <w:pPr>
              <w:tabs>
                <w:tab w:val="left" w:pos="720"/>
              </w:tabs>
              <w:contextualSpacing/>
              <w:jc w:val="both"/>
              <w:rPr>
                <w:lang w:eastAsia="en-US"/>
              </w:rPr>
            </w:pPr>
          </w:p>
          <w:p w14:paraId="757BD06C" w14:textId="77777777" w:rsidR="00C0526B" w:rsidRDefault="00C0526B" w:rsidP="00242E87">
            <w:pPr>
              <w:tabs>
                <w:tab w:val="left" w:pos="720"/>
              </w:tabs>
              <w:contextualSpacing/>
              <w:jc w:val="both"/>
              <w:rPr>
                <w:lang w:eastAsia="en-US"/>
              </w:rPr>
            </w:pPr>
            <w:r>
              <w:rPr>
                <w:lang w:eastAsia="en-US"/>
              </w:rPr>
              <w:t xml:space="preserve">  *   nav iekļauti pasākumi Nr.398 (iekļauts pasākums pielikumā) un Nr.456 (precizēta atsauce </w:t>
            </w:r>
            <w:proofErr w:type="spellStart"/>
            <w:r>
              <w:rPr>
                <w:lang w:eastAsia="en-US"/>
              </w:rPr>
              <w:t>excel</w:t>
            </w:r>
            <w:proofErr w:type="spellEnd"/>
            <w:r>
              <w:rPr>
                <w:lang w:eastAsia="en-US"/>
              </w:rPr>
              <w:t xml:space="preserve"> </w:t>
            </w:r>
            <w:r>
              <w:rPr>
                <w:lang w:eastAsia="en-US"/>
              </w:rPr>
              <w:lastRenderedPageBreak/>
              <w:t>pielikumos – tas ir NAP pasākums 455), uz kuriem ir atsauces 3.pielikumā</w:t>
            </w:r>
          </w:p>
          <w:p w14:paraId="29F7B0D4" w14:textId="77777777" w:rsidR="00C0526B" w:rsidRPr="00BF1ACB" w:rsidRDefault="00C0526B" w:rsidP="00242E87">
            <w:pPr>
              <w:tabs>
                <w:tab w:val="left" w:pos="720"/>
              </w:tabs>
              <w:contextualSpacing/>
              <w:jc w:val="both"/>
              <w:rPr>
                <w:lang w:eastAsia="en-US"/>
              </w:rPr>
            </w:pPr>
            <w:r>
              <w:rPr>
                <w:lang w:eastAsia="en-US"/>
              </w:rPr>
              <w:t xml:space="preserve">  *   savukārt ir iekļauti  </w:t>
            </w:r>
            <w:r w:rsidRPr="009420C9">
              <w:rPr>
                <w:lang w:eastAsia="en-US"/>
              </w:rPr>
              <w:t>Nr.275,</w:t>
            </w:r>
            <w:r>
              <w:rPr>
                <w:lang w:eastAsia="en-US"/>
              </w:rPr>
              <w:t xml:space="preserve"> </w:t>
            </w:r>
            <w:r w:rsidRPr="009420C9">
              <w:rPr>
                <w:lang w:eastAsia="en-US"/>
              </w:rPr>
              <w:t>Nr.386,</w:t>
            </w:r>
            <w:r>
              <w:rPr>
                <w:lang w:eastAsia="en-US"/>
              </w:rPr>
              <w:t xml:space="preserve"> </w:t>
            </w:r>
            <w:r w:rsidRPr="009420C9">
              <w:rPr>
                <w:lang w:eastAsia="en-US"/>
              </w:rPr>
              <w:t>Nr.444</w:t>
            </w:r>
            <w:r>
              <w:rPr>
                <w:lang w:eastAsia="en-US"/>
              </w:rPr>
              <w:t xml:space="preserve">, </w:t>
            </w:r>
            <w:r w:rsidRPr="009420C9">
              <w:rPr>
                <w:lang w:eastAsia="en-US"/>
              </w:rPr>
              <w:t>Nr.540</w:t>
            </w:r>
            <w:r>
              <w:rPr>
                <w:lang w:eastAsia="en-US"/>
              </w:rPr>
              <w:t xml:space="preserve">, </w:t>
            </w:r>
            <w:r w:rsidRPr="009420C9">
              <w:rPr>
                <w:lang w:eastAsia="en-US"/>
              </w:rPr>
              <w:t>Nr.275.1</w:t>
            </w:r>
            <w:r>
              <w:rPr>
                <w:lang w:eastAsia="en-US"/>
              </w:rPr>
              <w:t xml:space="preserve">, </w:t>
            </w:r>
            <w:r w:rsidRPr="009420C9">
              <w:rPr>
                <w:lang w:eastAsia="en-US"/>
              </w:rPr>
              <w:t>Nr.405.1</w:t>
            </w:r>
            <w:r>
              <w:rPr>
                <w:lang w:eastAsia="en-US"/>
              </w:rPr>
              <w:t>, uz kuriem nav atsauces 3.pielikumā.</w:t>
            </w:r>
          </w:p>
        </w:tc>
        <w:tc>
          <w:tcPr>
            <w:tcW w:w="2480" w:type="dxa"/>
            <w:tcBorders>
              <w:left w:val="single" w:sz="6" w:space="0" w:color="000000" w:themeColor="text1"/>
              <w:bottom w:val="single" w:sz="4" w:space="0" w:color="auto"/>
              <w:right w:val="single" w:sz="6" w:space="0" w:color="000000" w:themeColor="text1"/>
            </w:tcBorders>
            <w:shd w:val="clear" w:color="auto" w:fill="auto"/>
          </w:tcPr>
          <w:p w14:paraId="1E477695" w14:textId="77777777" w:rsidR="00C0526B" w:rsidRPr="0030386D" w:rsidRDefault="00C0526B" w:rsidP="00242E87">
            <w:pPr>
              <w:pStyle w:val="naisc"/>
              <w:spacing w:before="0" w:after="0"/>
              <w:jc w:val="both"/>
            </w:pPr>
            <w:r w:rsidRPr="001D2365">
              <w:rPr>
                <w:b/>
                <w:bCs/>
              </w:rPr>
              <w:lastRenderedPageBreak/>
              <w:t>Ņemts vērā</w:t>
            </w:r>
          </w:p>
          <w:p w14:paraId="369CE322" w14:textId="77777777" w:rsidR="00C0526B" w:rsidRDefault="00C0526B" w:rsidP="00242E87">
            <w:pPr>
              <w:pStyle w:val="naisc"/>
              <w:spacing w:before="0" w:after="0"/>
              <w:jc w:val="both"/>
              <w:rPr>
                <w:b/>
                <w:bCs/>
              </w:rPr>
            </w:pPr>
          </w:p>
          <w:p w14:paraId="3BC26140" w14:textId="77777777" w:rsidR="00C0526B" w:rsidRDefault="00C0526B" w:rsidP="00242E87">
            <w:pPr>
              <w:pStyle w:val="naisc"/>
              <w:spacing w:before="0" w:after="0"/>
              <w:jc w:val="both"/>
            </w:pPr>
            <w:r>
              <w:rPr>
                <w:u w:val="single"/>
              </w:rPr>
              <w:t>#</w:t>
            </w:r>
            <w:r w:rsidRPr="008248D9">
              <w:rPr>
                <w:u w:val="single"/>
              </w:rPr>
              <w:t>398</w:t>
            </w:r>
            <w:r w:rsidRPr="008248D9">
              <w:t xml:space="preserve"> – iekļauts pielikumā “avots finansējums NAP”</w:t>
            </w:r>
          </w:p>
          <w:p w14:paraId="2B199C2F" w14:textId="77777777" w:rsidR="00C0526B" w:rsidRDefault="00C0526B" w:rsidP="00242E87">
            <w:pPr>
              <w:pStyle w:val="naisc"/>
              <w:spacing w:before="0" w:after="0"/>
              <w:jc w:val="both"/>
            </w:pPr>
            <w:r w:rsidRPr="00721974">
              <w:rPr>
                <w:u w:val="single"/>
              </w:rPr>
              <w:t>#456</w:t>
            </w:r>
            <w:r>
              <w:t xml:space="preserve"> – precizēta atsauce, šis kļūdaini bija norādīts kā NAP 456 uzdevums, tas ir NAP 455 uzdevums, kurš ir iekļauts pielikumā. </w:t>
            </w:r>
          </w:p>
          <w:p w14:paraId="108978F0" w14:textId="77777777" w:rsidR="00C0526B" w:rsidRDefault="00C0526B" w:rsidP="00242E87">
            <w:pPr>
              <w:pStyle w:val="naisc"/>
              <w:spacing w:before="0" w:after="0"/>
              <w:jc w:val="both"/>
            </w:pPr>
          </w:p>
          <w:p w14:paraId="04F15C11" w14:textId="77777777" w:rsidR="00C0526B" w:rsidRDefault="00C0526B" w:rsidP="00242E87">
            <w:pPr>
              <w:pStyle w:val="naisc"/>
              <w:spacing w:before="0" w:after="0"/>
              <w:jc w:val="both"/>
            </w:pPr>
            <w:r>
              <w:t>Uzdevumi papildināti ar iztrūkstošām  atsaucēm uz NAP pasākumiem:</w:t>
            </w:r>
          </w:p>
          <w:p w14:paraId="3A65B997" w14:textId="77777777" w:rsidR="00C0526B" w:rsidRDefault="00C0526B" w:rsidP="00242E87">
            <w:pPr>
              <w:pStyle w:val="naisc"/>
              <w:spacing w:before="0" w:after="0"/>
              <w:jc w:val="both"/>
            </w:pPr>
          </w:p>
          <w:p w14:paraId="6B8D9F48" w14:textId="77777777" w:rsidR="00C0526B" w:rsidRDefault="00C0526B" w:rsidP="00242E87">
            <w:pPr>
              <w:pStyle w:val="naisc"/>
              <w:spacing w:before="0" w:after="0"/>
              <w:jc w:val="both"/>
            </w:pPr>
            <w:r>
              <w:t>#275 – U4.1.2.-4</w:t>
            </w:r>
          </w:p>
          <w:p w14:paraId="33248DA9" w14:textId="77777777" w:rsidR="00C0526B" w:rsidRDefault="00C0526B" w:rsidP="00242E87">
            <w:pPr>
              <w:pStyle w:val="naisc"/>
              <w:spacing w:before="0" w:after="0"/>
              <w:jc w:val="both"/>
            </w:pPr>
            <w:r w:rsidRPr="00FF2919">
              <w:t>#386 – U4.5.1.-2</w:t>
            </w:r>
          </w:p>
          <w:p w14:paraId="1C5B53A7" w14:textId="77777777" w:rsidR="00C0526B" w:rsidRDefault="00C0526B" w:rsidP="00242E87">
            <w:pPr>
              <w:pStyle w:val="naisc"/>
              <w:spacing w:before="0" w:after="0"/>
              <w:jc w:val="both"/>
            </w:pPr>
            <w:r>
              <w:t>#444 – U4.4.9.3.-1</w:t>
            </w:r>
          </w:p>
          <w:p w14:paraId="76A4FD8A" w14:textId="77777777" w:rsidR="00C0526B" w:rsidRDefault="00C0526B" w:rsidP="00242E87">
            <w:pPr>
              <w:pStyle w:val="naisc"/>
              <w:spacing w:before="0" w:after="0"/>
              <w:jc w:val="both"/>
            </w:pPr>
            <w:r>
              <w:t>#540 – U4.3.1.1.-1</w:t>
            </w:r>
          </w:p>
          <w:p w14:paraId="329F891A" w14:textId="77777777" w:rsidR="00C0526B" w:rsidRDefault="00C0526B" w:rsidP="00242E87">
            <w:pPr>
              <w:pStyle w:val="naisc"/>
              <w:spacing w:before="0" w:after="0"/>
              <w:jc w:val="both"/>
            </w:pPr>
            <w:r>
              <w:t>#275.1 – U4.4.10.1.-2</w:t>
            </w:r>
          </w:p>
          <w:p w14:paraId="2D5B6890" w14:textId="77777777" w:rsidR="00C0526B" w:rsidRPr="008248D9" w:rsidRDefault="00C0526B" w:rsidP="00242E87">
            <w:pPr>
              <w:pStyle w:val="naisc"/>
              <w:spacing w:before="0" w:after="0"/>
              <w:jc w:val="both"/>
            </w:pPr>
            <w:r>
              <w:t>#405.1 - dzēsts</w:t>
            </w:r>
          </w:p>
        </w:tc>
        <w:tc>
          <w:tcPr>
            <w:tcW w:w="3504" w:type="dxa"/>
            <w:gridSpan w:val="2"/>
            <w:tcBorders>
              <w:top w:val="single" w:sz="4" w:space="0" w:color="auto"/>
              <w:left w:val="single" w:sz="4" w:space="0" w:color="auto"/>
              <w:bottom w:val="single" w:sz="4" w:space="0" w:color="auto"/>
            </w:tcBorders>
            <w:shd w:val="clear" w:color="auto" w:fill="auto"/>
          </w:tcPr>
          <w:p w14:paraId="26C7260B" w14:textId="77777777" w:rsidR="00C0526B" w:rsidRPr="004B777E" w:rsidRDefault="00C0526B" w:rsidP="00242E87">
            <w:pPr>
              <w:rPr>
                <w:b/>
                <w:bCs/>
              </w:rPr>
            </w:pPr>
            <w:r>
              <w:lastRenderedPageBreak/>
              <w:t>Lūdzu skatīt 3. pielikumu</w:t>
            </w:r>
          </w:p>
        </w:tc>
      </w:tr>
    </w:tbl>
    <w:p w14:paraId="221F0C1C" w14:textId="77777777" w:rsidR="005F5D0D" w:rsidRDefault="005F5D0D" w:rsidP="00523BD2">
      <w:pPr>
        <w:pStyle w:val="naisf"/>
        <w:spacing w:before="0" w:after="0"/>
        <w:ind w:firstLine="0"/>
        <w:rPr>
          <w:sz w:val="20"/>
          <w:szCs w:val="20"/>
        </w:rPr>
      </w:pPr>
    </w:p>
    <w:p w14:paraId="1C205A4D" w14:textId="77777777" w:rsidR="005F5D0D" w:rsidRDefault="005F5D0D" w:rsidP="00523BD2">
      <w:pPr>
        <w:pStyle w:val="naisf"/>
        <w:spacing w:before="0" w:after="0"/>
        <w:ind w:firstLine="0"/>
        <w:rPr>
          <w:sz w:val="20"/>
          <w:szCs w:val="20"/>
        </w:rPr>
      </w:pPr>
    </w:p>
    <w:p w14:paraId="2035046E" w14:textId="77777777" w:rsidR="005F5D0D" w:rsidRDefault="005F5D0D" w:rsidP="00523BD2">
      <w:pPr>
        <w:pStyle w:val="naisf"/>
        <w:spacing w:before="0" w:after="0"/>
        <w:ind w:firstLine="0"/>
        <w:rPr>
          <w:sz w:val="20"/>
          <w:szCs w:val="20"/>
        </w:rPr>
      </w:pPr>
    </w:p>
    <w:p w14:paraId="2CF7BC3D" w14:textId="77777777" w:rsidR="005F5D0D" w:rsidRDefault="005F5D0D" w:rsidP="00523BD2">
      <w:pPr>
        <w:pStyle w:val="naisf"/>
        <w:spacing w:before="0" w:after="0"/>
        <w:ind w:firstLine="0"/>
        <w:rPr>
          <w:sz w:val="20"/>
          <w:szCs w:val="20"/>
        </w:rPr>
      </w:pPr>
    </w:p>
    <w:p w14:paraId="36FD468E" w14:textId="77777777" w:rsidR="004373E1" w:rsidRPr="0073419A" w:rsidRDefault="00C97D5B" w:rsidP="00523BD2">
      <w:pPr>
        <w:pStyle w:val="naisf"/>
        <w:spacing w:before="0" w:after="0"/>
        <w:ind w:firstLine="0"/>
        <w:rPr>
          <w:sz w:val="20"/>
          <w:szCs w:val="20"/>
        </w:rPr>
      </w:pPr>
      <w:r>
        <w:rPr>
          <w:sz w:val="20"/>
          <w:szCs w:val="20"/>
        </w:rPr>
        <w:t xml:space="preserve">  </w:t>
      </w:r>
      <w:r w:rsidR="002B0E76">
        <w:rPr>
          <w:sz w:val="20"/>
          <w:szCs w:val="20"/>
        </w:rPr>
        <w:t>Arnis Skraučs</w:t>
      </w:r>
    </w:p>
    <w:tbl>
      <w:tblPr>
        <w:tblW w:w="0" w:type="auto"/>
        <w:tblLook w:val="00A0" w:firstRow="1" w:lastRow="0" w:firstColumn="1" w:lastColumn="0" w:noHBand="0" w:noVBand="0"/>
      </w:tblPr>
      <w:tblGrid>
        <w:gridCol w:w="8268"/>
      </w:tblGrid>
      <w:tr w:rsidR="008655A2" w:rsidRPr="00712B66" w14:paraId="31394446" w14:textId="77777777">
        <w:tc>
          <w:tcPr>
            <w:tcW w:w="8268" w:type="dxa"/>
            <w:tcBorders>
              <w:top w:val="single" w:sz="4" w:space="0" w:color="000000"/>
            </w:tcBorders>
          </w:tcPr>
          <w:p w14:paraId="2D88799F" w14:textId="77777777" w:rsidR="008655A2" w:rsidRDefault="00184479" w:rsidP="00184479">
            <w:pPr>
              <w:jc w:val="center"/>
            </w:pPr>
            <w:r>
              <w:t>(</w:t>
            </w:r>
            <w:r w:rsidR="008655A2" w:rsidRPr="00712B66">
              <w:t xml:space="preserve">par projektu atbildīgās amatpersonas </w:t>
            </w:r>
            <w:r>
              <w:t xml:space="preserve">vārds un </w:t>
            </w:r>
            <w:r w:rsidR="008655A2" w:rsidRPr="00712B66">
              <w:t>uzvārds</w:t>
            </w:r>
            <w:r>
              <w:t>)</w:t>
            </w:r>
          </w:p>
          <w:p w14:paraId="67AE9FE7" w14:textId="77777777" w:rsidR="00F40DC3" w:rsidRPr="00712B66" w:rsidRDefault="00F40DC3" w:rsidP="00184479">
            <w:pPr>
              <w:jc w:val="center"/>
            </w:pPr>
          </w:p>
        </w:tc>
      </w:tr>
      <w:tr w:rsidR="008655A2" w:rsidRPr="00712B66" w14:paraId="2AF4BB24" w14:textId="77777777">
        <w:tc>
          <w:tcPr>
            <w:tcW w:w="8268" w:type="dxa"/>
            <w:tcBorders>
              <w:bottom w:val="single" w:sz="4" w:space="0" w:color="000000"/>
            </w:tcBorders>
          </w:tcPr>
          <w:p w14:paraId="7CFD05B8" w14:textId="77777777" w:rsidR="00B8433C" w:rsidRPr="00B8433C" w:rsidRDefault="00B8433C" w:rsidP="00B8433C">
            <w:pPr>
              <w:rPr>
                <w:sz w:val="20"/>
              </w:rPr>
            </w:pPr>
            <w:r w:rsidRPr="00B8433C">
              <w:rPr>
                <w:sz w:val="20"/>
              </w:rPr>
              <w:t>Informācijas sabiedrības attīstības departament</w:t>
            </w:r>
            <w:r>
              <w:rPr>
                <w:sz w:val="20"/>
              </w:rPr>
              <w:t xml:space="preserve">a direktora vietnieks – </w:t>
            </w:r>
            <w:r w:rsidRPr="00B8433C">
              <w:rPr>
                <w:sz w:val="20"/>
              </w:rPr>
              <w:t>Informācijas sabiedrības politikas plānošanas un izveides nodaļa</w:t>
            </w:r>
            <w:r>
              <w:rPr>
                <w:sz w:val="20"/>
              </w:rPr>
              <w:t>s vadītājs</w:t>
            </w:r>
          </w:p>
          <w:p w14:paraId="11D17150" w14:textId="77777777" w:rsidR="008655A2" w:rsidRPr="00C97D5B" w:rsidRDefault="008655A2" w:rsidP="00F40DC3">
            <w:pPr>
              <w:rPr>
                <w:sz w:val="20"/>
              </w:rPr>
            </w:pPr>
          </w:p>
        </w:tc>
      </w:tr>
      <w:tr w:rsidR="008655A2" w:rsidRPr="00712B66" w14:paraId="131503BA" w14:textId="77777777">
        <w:tc>
          <w:tcPr>
            <w:tcW w:w="8268" w:type="dxa"/>
            <w:tcBorders>
              <w:top w:val="single" w:sz="4" w:space="0" w:color="000000"/>
            </w:tcBorders>
          </w:tcPr>
          <w:p w14:paraId="09BC2CF2" w14:textId="77777777" w:rsidR="008655A2" w:rsidRPr="00712B66" w:rsidRDefault="00184479" w:rsidP="00184479">
            <w:pPr>
              <w:jc w:val="center"/>
            </w:pPr>
            <w:r>
              <w:t>(</w:t>
            </w:r>
            <w:r w:rsidR="008655A2" w:rsidRPr="00712B66">
              <w:t>amats</w:t>
            </w:r>
            <w:r>
              <w:t>)</w:t>
            </w:r>
          </w:p>
        </w:tc>
      </w:tr>
      <w:tr w:rsidR="008655A2" w:rsidRPr="00712B66" w14:paraId="2E2468C2" w14:textId="77777777">
        <w:tc>
          <w:tcPr>
            <w:tcW w:w="8268" w:type="dxa"/>
            <w:tcBorders>
              <w:bottom w:val="single" w:sz="4" w:space="0" w:color="000000"/>
            </w:tcBorders>
          </w:tcPr>
          <w:p w14:paraId="283CB8CF" w14:textId="77777777" w:rsidR="00F40DC3" w:rsidRDefault="00F40DC3" w:rsidP="0036160E">
            <w:pPr>
              <w:rPr>
                <w:sz w:val="20"/>
                <w:szCs w:val="20"/>
              </w:rPr>
            </w:pPr>
          </w:p>
          <w:p w14:paraId="3C8AA68E" w14:textId="77777777" w:rsidR="008655A2" w:rsidRPr="00F40DC3" w:rsidRDefault="002B0E76" w:rsidP="0036160E">
            <w:pPr>
              <w:rPr>
                <w:sz w:val="20"/>
                <w:szCs w:val="20"/>
              </w:rPr>
            </w:pPr>
            <w:r w:rsidRPr="00906BA0">
              <w:rPr>
                <w:sz w:val="20"/>
                <w:szCs w:val="20"/>
              </w:rPr>
              <w:t>67026942</w:t>
            </w:r>
          </w:p>
        </w:tc>
      </w:tr>
      <w:tr w:rsidR="008655A2" w:rsidRPr="00712B66" w14:paraId="638BB22F" w14:textId="77777777">
        <w:tc>
          <w:tcPr>
            <w:tcW w:w="8268" w:type="dxa"/>
            <w:tcBorders>
              <w:top w:val="single" w:sz="4" w:space="0" w:color="000000"/>
            </w:tcBorders>
          </w:tcPr>
          <w:p w14:paraId="45D3A5C8" w14:textId="77777777" w:rsidR="008655A2" w:rsidRPr="00712B66" w:rsidRDefault="00184479" w:rsidP="00F40DC3">
            <w:pPr>
              <w:jc w:val="center"/>
            </w:pPr>
            <w:r>
              <w:t>(</w:t>
            </w:r>
            <w:r w:rsidR="008655A2" w:rsidRPr="00712B66">
              <w:t>tālruņa un faksa numurs</w:t>
            </w:r>
            <w:r>
              <w:t>)</w:t>
            </w:r>
          </w:p>
        </w:tc>
      </w:tr>
      <w:tr w:rsidR="008655A2" w:rsidRPr="00712B66" w14:paraId="031D41D9" w14:textId="77777777">
        <w:tc>
          <w:tcPr>
            <w:tcW w:w="8268" w:type="dxa"/>
            <w:tcBorders>
              <w:bottom w:val="single" w:sz="4" w:space="0" w:color="000000"/>
            </w:tcBorders>
          </w:tcPr>
          <w:p w14:paraId="013FAEB0" w14:textId="77777777" w:rsidR="008655A2" w:rsidRPr="00712B66" w:rsidRDefault="008655A2" w:rsidP="002B0E76"/>
        </w:tc>
      </w:tr>
      <w:tr w:rsidR="008655A2" w:rsidRPr="00712B66" w14:paraId="3D54B7A5" w14:textId="77777777">
        <w:tc>
          <w:tcPr>
            <w:tcW w:w="8268" w:type="dxa"/>
            <w:tcBorders>
              <w:top w:val="single" w:sz="4" w:space="0" w:color="000000"/>
            </w:tcBorders>
          </w:tcPr>
          <w:p w14:paraId="1473E63F" w14:textId="77777777" w:rsidR="008655A2" w:rsidRPr="00712B66" w:rsidRDefault="00184479" w:rsidP="00184479">
            <w:pPr>
              <w:jc w:val="center"/>
            </w:pPr>
            <w:r>
              <w:t>(</w:t>
            </w:r>
            <w:r w:rsidR="008655A2" w:rsidRPr="00712B66">
              <w:t>e-pasta adrese</w:t>
            </w:r>
            <w:r>
              <w:t>)</w:t>
            </w:r>
          </w:p>
        </w:tc>
      </w:tr>
    </w:tbl>
    <w:p w14:paraId="7615FB55" w14:textId="77777777" w:rsidR="007116C7" w:rsidRDefault="007116C7" w:rsidP="00015C84">
      <w:pPr>
        <w:pStyle w:val="naisf"/>
        <w:spacing w:before="0" w:after="0"/>
        <w:ind w:firstLine="0"/>
        <w:jc w:val="left"/>
        <w:rPr>
          <w:sz w:val="28"/>
          <w:szCs w:val="28"/>
        </w:rPr>
      </w:pPr>
    </w:p>
    <w:sectPr w:rsidR="007116C7" w:rsidSect="00A57BE8">
      <w:headerReference w:type="even" r:id="rId19"/>
      <w:headerReference w:type="default" r:id="rId20"/>
      <w:footerReference w:type="default" r:id="rId21"/>
      <w:footerReference w:type="first" r:id="rId22"/>
      <w:pgSz w:w="16838" w:h="11906" w:orient="landscape"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CA10" w14:textId="77777777" w:rsidR="00673228" w:rsidRDefault="00673228">
      <w:r>
        <w:separator/>
      </w:r>
    </w:p>
  </w:endnote>
  <w:endnote w:type="continuationSeparator" w:id="0">
    <w:p w14:paraId="6FA384EE" w14:textId="77777777" w:rsidR="00673228" w:rsidRDefault="00673228">
      <w:r>
        <w:continuationSeparator/>
      </w:r>
    </w:p>
  </w:endnote>
  <w:endnote w:type="continuationNotice" w:id="1">
    <w:p w14:paraId="0E239152" w14:textId="77777777" w:rsidR="00673228" w:rsidRDefault="00673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D01A" w14:textId="4FC4FD3E" w:rsidR="008A0052" w:rsidRPr="00B8014F" w:rsidRDefault="008A0052" w:rsidP="00B8014F">
    <w:pPr>
      <w:pStyle w:val="Footer"/>
    </w:pPr>
    <w:r w:rsidRPr="00B8433C">
      <w:rPr>
        <w:rFonts w:cstheme="minorHAnsi"/>
        <w:bCs/>
        <w:sz w:val="20"/>
        <w:szCs w:val="20"/>
      </w:rPr>
      <w:t>VARAMizz_</w:t>
    </w:r>
    <w:r w:rsidR="00323463">
      <w:rPr>
        <w:rFonts w:cstheme="minorHAnsi"/>
        <w:bCs/>
        <w:sz w:val="20"/>
        <w:szCs w:val="20"/>
      </w:rPr>
      <w:t>09</w:t>
    </w:r>
    <w:r w:rsidRPr="00B8433C">
      <w:rPr>
        <w:rFonts w:cstheme="minorHAnsi"/>
        <w:bCs/>
        <w:sz w:val="20"/>
        <w:szCs w:val="20"/>
      </w:rPr>
      <w:t>0</w:t>
    </w:r>
    <w:r w:rsidR="00323463">
      <w:rPr>
        <w:rFonts w:cstheme="minorHAnsi"/>
        <w:bCs/>
        <w:sz w:val="20"/>
        <w:szCs w:val="20"/>
      </w:rPr>
      <w:t>6</w:t>
    </w:r>
    <w:r w:rsidRPr="00B8433C">
      <w:rPr>
        <w:rFonts w:cstheme="minorHAnsi"/>
        <w:bCs/>
        <w:sz w:val="20"/>
        <w:szCs w:val="20"/>
      </w:rPr>
      <w:t>21_DTP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BABD" w14:textId="71896AC7" w:rsidR="008A0052" w:rsidRPr="00B8433C" w:rsidRDefault="008A0052" w:rsidP="00B8433C">
    <w:pPr>
      <w:pStyle w:val="Footer"/>
    </w:pPr>
    <w:r w:rsidRPr="00B8433C">
      <w:rPr>
        <w:rFonts w:cstheme="minorHAnsi"/>
        <w:bCs/>
        <w:sz w:val="20"/>
        <w:szCs w:val="20"/>
      </w:rPr>
      <w:t>VARAMizz_</w:t>
    </w:r>
    <w:r w:rsidR="00323463">
      <w:rPr>
        <w:rFonts w:cstheme="minorHAnsi"/>
        <w:bCs/>
        <w:sz w:val="20"/>
        <w:szCs w:val="20"/>
      </w:rPr>
      <w:t>09</w:t>
    </w:r>
    <w:r w:rsidRPr="00B8433C">
      <w:rPr>
        <w:rFonts w:cstheme="minorHAnsi"/>
        <w:bCs/>
        <w:sz w:val="20"/>
        <w:szCs w:val="20"/>
      </w:rPr>
      <w:t>0</w:t>
    </w:r>
    <w:r w:rsidR="00323463">
      <w:rPr>
        <w:rFonts w:cstheme="minorHAnsi"/>
        <w:bCs/>
        <w:sz w:val="20"/>
        <w:szCs w:val="20"/>
      </w:rPr>
      <w:t>6</w:t>
    </w:r>
    <w:r w:rsidRPr="00B8433C">
      <w:rPr>
        <w:rFonts w:cstheme="minorHAnsi"/>
        <w:bCs/>
        <w:sz w:val="20"/>
        <w:szCs w:val="20"/>
      </w:rPr>
      <w:t>21_DTP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C831" w14:textId="77777777" w:rsidR="00673228" w:rsidRDefault="00673228">
      <w:r>
        <w:separator/>
      </w:r>
    </w:p>
  </w:footnote>
  <w:footnote w:type="continuationSeparator" w:id="0">
    <w:p w14:paraId="045DDD1A" w14:textId="77777777" w:rsidR="00673228" w:rsidRDefault="00673228">
      <w:r>
        <w:continuationSeparator/>
      </w:r>
    </w:p>
  </w:footnote>
  <w:footnote w:type="continuationNotice" w:id="1">
    <w:p w14:paraId="0304D386" w14:textId="77777777" w:rsidR="00673228" w:rsidRDefault="00673228"/>
  </w:footnote>
  <w:footnote w:id="2">
    <w:p w14:paraId="1B2B7EDE" w14:textId="77777777" w:rsidR="008A0052" w:rsidRPr="003C1CF1" w:rsidRDefault="008A0052" w:rsidP="00C144C1">
      <w:pPr>
        <w:pStyle w:val="FootnoteText"/>
      </w:pPr>
      <w:r w:rsidRPr="003C1CF1">
        <w:rPr>
          <w:rStyle w:val="FootnoteReference"/>
        </w:rPr>
        <w:footnoteRef/>
      </w:r>
      <w:r w:rsidRPr="003C1CF1">
        <w:t xml:space="preserve"> Izglītības attīstības pamatnostādenes 2021.-2027.gadam.</w:t>
      </w:r>
    </w:p>
  </w:footnote>
  <w:footnote w:id="3">
    <w:p w14:paraId="6EAEB9C7" w14:textId="77777777" w:rsidR="008A0052" w:rsidRPr="007F7A64" w:rsidRDefault="008A0052" w:rsidP="00427DF5">
      <w:pPr>
        <w:pStyle w:val="FootnoteText"/>
      </w:pPr>
      <w:r>
        <w:rPr>
          <w:rStyle w:val="FootnoteReference"/>
        </w:rPr>
        <w:footnoteRef/>
      </w:r>
      <w:r>
        <w:t xml:space="preserve"> Atbilstoši </w:t>
      </w:r>
      <w:r w:rsidRPr="00D45C93">
        <w:t>MK 20.08.2019 informatīv</w:t>
      </w:r>
      <w:r>
        <w:t>ajam</w:t>
      </w:r>
      <w:r w:rsidRPr="00D45C93">
        <w:t xml:space="preserve"> ziņojum</w:t>
      </w:r>
      <w:r>
        <w:t>am</w:t>
      </w:r>
      <w:r w:rsidRPr="00D45C93">
        <w:t xml:space="preserve"> “Latvijas atvērto datu stratēģija”</w:t>
      </w:r>
    </w:p>
  </w:footnote>
  <w:footnote w:id="4">
    <w:p w14:paraId="4019EACC" w14:textId="77777777" w:rsidR="008A0052" w:rsidRPr="00CB35EC" w:rsidRDefault="008A0052" w:rsidP="00A9647F">
      <w:pPr>
        <w:pStyle w:val="FootnoteText"/>
      </w:pPr>
      <w:r>
        <w:rPr>
          <w:rStyle w:val="FootnoteReference"/>
        </w:rPr>
        <w:footnoteRef/>
      </w:r>
      <w:r>
        <w:t xml:space="preserve"> </w:t>
      </w:r>
      <w:r w:rsidRPr="00091A2C">
        <w:t>https://www.bmwi.de/Redaktion/EN/Dossier/regulatory-test-beds-testing-environments-for-innovation-and-regulation.html</w:t>
      </w:r>
    </w:p>
  </w:footnote>
  <w:footnote w:id="5">
    <w:p w14:paraId="3D517657" w14:textId="77777777" w:rsidR="008A0052" w:rsidRPr="00582AFB" w:rsidRDefault="008A0052" w:rsidP="00FD5D14">
      <w:pPr>
        <w:pStyle w:val="FootnoteText"/>
        <w:rPr>
          <w:lang w:val="en-AU"/>
        </w:rPr>
      </w:pPr>
      <w:r>
        <w:rPr>
          <w:rStyle w:val="FootnoteReference"/>
        </w:rPr>
        <w:footnoteRef/>
      </w:r>
      <w:r>
        <w:t xml:space="preserve"> </w:t>
      </w:r>
      <w:r w:rsidRPr="00582AFB">
        <w:t>https://www.bmwi.de/Redaktion/EN/Dossier/regulatory-test-beds-testing-environments-for-innovation-and-regulation.html</w:t>
      </w:r>
    </w:p>
  </w:footnote>
  <w:footnote w:id="6">
    <w:p w14:paraId="7935C676" w14:textId="77777777" w:rsidR="008A0052" w:rsidRPr="00977543" w:rsidRDefault="008A0052" w:rsidP="001C26E9">
      <w:pPr>
        <w:shd w:val="clear" w:color="auto" w:fill="FFFFFF"/>
        <w:jc w:val="both"/>
        <w:rPr>
          <w:sz w:val="20"/>
          <w:szCs w:val="20"/>
        </w:rPr>
      </w:pPr>
      <w:r w:rsidRPr="00977543">
        <w:rPr>
          <w:rStyle w:val="FootnoteReference"/>
          <w:sz w:val="20"/>
          <w:szCs w:val="20"/>
        </w:rPr>
        <w:footnoteRef/>
      </w:r>
      <w:r w:rsidRPr="00977543">
        <w:rPr>
          <w:sz w:val="20"/>
          <w:szCs w:val="20"/>
        </w:rPr>
        <w:t xml:space="preserve"> NAP2027 pasākumi atrodas NAP2027 Indikatīvā investīciju tabulā</w:t>
      </w:r>
      <w:r>
        <w:rPr>
          <w:sz w:val="20"/>
          <w:szCs w:val="20"/>
        </w:rPr>
        <w:t xml:space="preserve"> - </w:t>
      </w:r>
      <w:hyperlink r:id="rId1" w:history="1">
        <w:r w:rsidRPr="00516D45">
          <w:rPr>
            <w:rStyle w:val="Hyperlink"/>
            <w:sz w:val="20"/>
            <w:szCs w:val="20"/>
          </w:rPr>
          <w:t>https://www.pkc.gov.lv/nap2027</w:t>
        </w:r>
      </w:hyperlink>
      <w:r>
        <w:rPr>
          <w:sz w:val="20"/>
          <w:szCs w:val="20"/>
        </w:rPr>
        <w:t xml:space="preserve"> </w:t>
      </w:r>
    </w:p>
    <w:p w14:paraId="1F0B9B6C" w14:textId="77777777" w:rsidR="008A0052" w:rsidRPr="00977543" w:rsidRDefault="008A0052" w:rsidP="001C26E9">
      <w:pPr>
        <w:pStyle w:val="FootnoteText"/>
      </w:pPr>
    </w:p>
  </w:footnote>
  <w:footnote w:id="7">
    <w:p w14:paraId="1B565022" w14:textId="77777777" w:rsidR="008A0052" w:rsidRPr="007210B3" w:rsidRDefault="008A0052" w:rsidP="00B911FA">
      <w:pPr>
        <w:pStyle w:val="FootnoteText"/>
      </w:pPr>
      <w:r w:rsidRPr="007210B3">
        <w:rPr>
          <w:rStyle w:val="FootnoteReference"/>
        </w:rPr>
        <w:footnoteRef/>
      </w:r>
      <w:r w:rsidRPr="007210B3">
        <w:t xml:space="preserve"> </w:t>
      </w:r>
      <w:hyperlink r:id="rId2" w:history="1">
        <w:r w:rsidRPr="007210B3">
          <w:rPr>
            <w:rStyle w:val="Hyperlink"/>
          </w:rPr>
          <w:t>https://www.sam.gov.lv/lv/sabiedriska-apspriesana-transporta-attistibas-pamatnostadnu-2021-2027gadam-projekts-un-strategiskas-ietekmes-uz-vidi-novertejuma-vides-parskata-projekts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FB3F" w14:textId="77777777" w:rsidR="008A0052" w:rsidRDefault="008A005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CF6CFD" w14:textId="77777777" w:rsidR="008A0052" w:rsidRDefault="008A0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2080" w14:textId="77777777" w:rsidR="008A0052" w:rsidRDefault="008A005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14:paraId="14F4A9C4" w14:textId="77777777" w:rsidR="008A0052" w:rsidRDefault="008A0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7D4"/>
    <w:multiLevelType w:val="hybridMultilevel"/>
    <w:tmpl w:val="D2FC98A0"/>
    <w:lvl w:ilvl="0" w:tplc="48C8A138">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1">
    <w:nsid w:val="0D674F22"/>
    <w:multiLevelType w:val="multilevel"/>
    <w:tmpl w:val="162014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12255A5F"/>
    <w:multiLevelType w:val="hybridMultilevel"/>
    <w:tmpl w:val="6C04600E"/>
    <w:lvl w:ilvl="0" w:tplc="EEAA81E4">
      <w:start w:val="5"/>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15:restartNumberingAfterBreak="0">
    <w:nsid w:val="26513BAF"/>
    <w:multiLevelType w:val="multilevel"/>
    <w:tmpl w:val="E314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0665E"/>
    <w:multiLevelType w:val="hybridMultilevel"/>
    <w:tmpl w:val="73D88428"/>
    <w:lvl w:ilvl="0" w:tplc="79927804">
      <w:start w:val="1"/>
      <w:numFmt w:val="decimal"/>
      <w:lvlText w:val="%1)"/>
      <w:lvlJc w:val="left"/>
      <w:pPr>
        <w:ind w:left="360" w:hanging="360"/>
      </w:pPr>
      <w:rPr>
        <w:rFonts w:ascii="Times New Roman" w:hAnsi="Times New Roman" w:hint="default"/>
        <w:sz w:val="24"/>
      </w:rPr>
    </w:lvl>
    <w:lvl w:ilvl="1" w:tplc="1C449B96">
      <w:start w:val="1"/>
      <w:numFmt w:val="bullet"/>
      <w:lvlText w:val=""/>
      <w:lvlJc w:val="left"/>
      <w:pPr>
        <w:ind w:left="1080" w:hanging="360"/>
      </w:pPr>
      <w:rPr>
        <w:rFonts w:ascii="Symbol" w:hAnsi="Symbol" w:hint="default"/>
      </w:rPr>
    </w:lvl>
    <w:lvl w:ilvl="2" w:tplc="1C449B96">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AB6A50"/>
    <w:multiLevelType w:val="hybridMultilevel"/>
    <w:tmpl w:val="A58ED4EC"/>
    <w:lvl w:ilvl="0" w:tplc="04090001">
      <w:start w:val="1"/>
      <w:numFmt w:val="bullet"/>
      <w:lvlText w:val=""/>
      <w:lvlJc w:val="left"/>
      <w:pPr>
        <w:ind w:left="502" w:hanging="360"/>
      </w:pPr>
      <w:rPr>
        <w:rFonts w:ascii="Symbol" w:hAnsi="Symbol" w:hint="default"/>
      </w:rPr>
    </w:lvl>
    <w:lvl w:ilvl="1" w:tplc="04260003">
      <w:start w:val="1"/>
      <w:numFmt w:val="bullet"/>
      <w:lvlText w:val="o"/>
      <w:lvlJc w:val="left"/>
      <w:pPr>
        <w:ind w:left="142" w:hanging="360"/>
      </w:pPr>
      <w:rPr>
        <w:rFonts w:ascii="Courier New" w:hAnsi="Courier New" w:cs="Courier New" w:hint="default"/>
      </w:rPr>
    </w:lvl>
    <w:lvl w:ilvl="2" w:tplc="04260005">
      <w:start w:val="1"/>
      <w:numFmt w:val="bullet"/>
      <w:lvlText w:val=""/>
      <w:lvlJc w:val="left"/>
      <w:pPr>
        <w:ind w:left="862" w:hanging="360"/>
      </w:pPr>
      <w:rPr>
        <w:rFonts w:ascii="Wingdings" w:hAnsi="Wingdings" w:hint="default"/>
      </w:rPr>
    </w:lvl>
    <w:lvl w:ilvl="3" w:tplc="04260001">
      <w:start w:val="1"/>
      <w:numFmt w:val="bullet"/>
      <w:lvlText w:val=""/>
      <w:lvlJc w:val="left"/>
      <w:pPr>
        <w:ind w:left="1582" w:hanging="360"/>
      </w:pPr>
      <w:rPr>
        <w:rFonts w:ascii="Symbol" w:hAnsi="Symbol" w:hint="default"/>
      </w:rPr>
    </w:lvl>
    <w:lvl w:ilvl="4" w:tplc="04260003">
      <w:start w:val="1"/>
      <w:numFmt w:val="bullet"/>
      <w:lvlText w:val="o"/>
      <w:lvlJc w:val="left"/>
      <w:pPr>
        <w:ind w:left="2302" w:hanging="360"/>
      </w:pPr>
      <w:rPr>
        <w:rFonts w:ascii="Courier New" w:hAnsi="Courier New" w:cs="Courier New" w:hint="default"/>
      </w:rPr>
    </w:lvl>
    <w:lvl w:ilvl="5" w:tplc="04260005">
      <w:start w:val="1"/>
      <w:numFmt w:val="bullet"/>
      <w:lvlText w:val=""/>
      <w:lvlJc w:val="left"/>
      <w:pPr>
        <w:ind w:left="3022" w:hanging="360"/>
      </w:pPr>
      <w:rPr>
        <w:rFonts w:ascii="Wingdings" w:hAnsi="Wingdings" w:hint="default"/>
      </w:rPr>
    </w:lvl>
    <w:lvl w:ilvl="6" w:tplc="04260001">
      <w:start w:val="1"/>
      <w:numFmt w:val="bullet"/>
      <w:lvlText w:val=""/>
      <w:lvlJc w:val="left"/>
      <w:pPr>
        <w:ind w:left="3742" w:hanging="360"/>
      </w:pPr>
      <w:rPr>
        <w:rFonts w:ascii="Symbol" w:hAnsi="Symbol" w:hint="default"/>
      </w:rPr>
    </w:lvl>
    <w:lvl w:ilvl="7" w:tplc="04260003">
      <w:start w:val="1"/>
      <w:numFmt w:val="bullet"/>
      <w:lvlText w:val="o"/>
      <w:lvlJc w:val="left"/>
      <w:pPr>
        <w:ind w:left="4462" w:hanging="360"/>
      </w:pPr>
      <w:rPr>
        <w:rFonts w:ascii="Courier New" w:hAnsi="Courier New" w:cs="Courier New" w:hint="default"/>
      </w:rPr>
    </w:lvl>
    <w:lvl w:ilvl="8" w:tplc="04260005">
      <w:start w:val="1"/>
      <w:numFmt w:val="bullet"/>
      <w:lvlText w:val=""/>
      <w:lvlJc w:val="left"/>
      <w:pPr>
        <w:ind w:left="5182" w:hanging="360"/>
      </w:pPr>
      <w:rPr>
        <w:rFonts w:ascii="Wingdings" w:hAnsi="Wingdings" w:hint="default"/>
      </w:rPr>
    </w:lvl>
  </w:abstractNum>
  <w:abstractNum w:abstractNumId="6" w15:restartNumberingAfterBreak="0">
    <w:nsid w:val="32BF0788"/>
    <w:multiLevelType w:val="multilevel"/>
    <w:tmpl w:val="2786B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F66DB"/>
    <w:multiLevelType w:val="hybridMultilevel"/>
    <w:tmpl w:val="996C3B74"/>
    <w:lvl w:ilvl="0" w:tplc="DA720AF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815993"/>
    <w:multiLevelType w:val="hybridMultilevel"/>
    <w:tmpl w:val="C1382822"/>
    <w:lvl w:ilvl="0" w:tplc="E4D8CAF6">
      <w:start w:val="1"/>
      <w:numFmt w:val="decimal"/>
      <w:lvlText w:val="%1."/>
      <w:lvlJc w:val="left"/>
      <w:pPr>
        <w:ind w:left="720" w:hanging="360"/>
      </w:pPr>
      <w:rPr>
        <w:color w:val="auto"/>
        <w:u w:val="none"/>
      </w:rPr>
    </w:lvl>
    <w:lvl w:ilvl="1" w:tplc="0F98A328">
      <w:start w:val="1"/>
      <w:numFmt w:val="lowerLetter"/>
      <w:lvlText w:val="%2."/>
      <w:lvlJc w:val="left"/>
      <w:pPr>
        <w:ind w:left="1440" w:hanging="360"/>
      </w:pPr>
      <w:rPr>
        <w:u w:val="none"/>
      </w:rPr>
    </w:lvl>
    <w:lvl w:ilvl="2" w:tplc="B852A1A0">
      <w:start w:val="1"/>
      <w:numFmt w:val="lowerRoman"/>
      <w:lvlText w:val="%3."/>
      <w:lvlJc w:val="right"/>
      <w:pPr>
        <w:ind w:left="2160" w:hanging="360"/>
      </w:pPr>
      <w:rPr>
        <w:u w:val="none"/>
      </w:rPr>
    </w:lvl>
    <w:lvl w:ilvl="3" w:tplc="ED36BB76">
      <w:start w:val="1"/>
      <w:numFmt w:val="decimal"/>
      <w:lvlText w:val="%4."/>
      <w:lvlJc w:val="left"/>
      <w:pPr>
        <w:ind w:left="2880" w:hanging="360"/>
      </w:pPr>
      <w:rPr>
        <w:u w:val="none"/>
      </w:rPr>
    </w:lvl>
    <w:lvl w:ilvl="4" w:tplc="11B6F442">
      <w:start w:val="1"/>
      <w:numFmt w:val="lowerLetter"/>
      <w:lvlText w:val="%5."/>
      <w:lvlJc w:val="left"/>
      <w:pPr>
        <w:ind w:left="3600" w:hanging="360"/>
      </w:pPr>
      <w:rPr>
        <w:u w:val="none"/>
      </w:rPr>
    </w:lvl>
    <w:lvl w:ilvl="5" w:tplc="4E966A7A">
      <w:start w:val="1"/>
      <w:numFmt w:val="lowerRoman"/>
      <w:lvlText w:val="%6."/>
      <w:lvlJc w:val="right"/>
      <w:pPr>
        <w:ind w:left="4320" w:hanging="360"/>
      </w:pPr>
      <w:rPr>
        <w:u w:val="none"/>
      </w:rPr>
    </w:lvl>
    <w:lvl w:ilvl="6" w:tplc="43FEE986">
      <w:start w:val="1"/>
      <w:numFmt w:val="decimal"/>
      <w:lvlText w:val="%7."/>
      <w:lvlJc w:val="left"/>
      <w:pPr>
        <w:ind w:left="5040" w:hanging="360"/>
      </w:pPr>
      <w:rPr>
        <w:u w:val="none"/>
      </w:rPr>
    </w:lvl>
    <w:lvl w:ilvl="7" w:tplc="475626D8">
      <w:start w:val="1"/>
      <w:numFmt w:val="lowerLetter"/>
      <w:lvlText w:val="%8."/>
      <w:lvlJc w:val="left"/>
      <w:pPr>
        <w:ind w:left="5760" w:hanging="360"/>
      </w:pPr>
      <w:rPr>
        <w:u w:val="none"/>
      </w:rPr>
    </w:lvl>
    <w:lvl w:ilvl="8" w:tplc="B046FF06">
      <w:start w:val="1"/>
      <w:numFmt w:val="lowerRoman"/>
      <w:lvlText w:val="%9."/>
      <w:lvlJc w:val="right"/>
      <w:pPr>
        <w:ind w:left="6480" w:hanging="360"/>
      </w:pPr>
      <w:rPr>
        <w:u w:val="none"/>
      </w:rPr>
    </w:lvl>
  </w:abstractNum>
  <w:abstractNum w:abstractNumId="9" w15:restartNumberingAfterBreak="0">
    <w:nsid w:val="39C576B6"/>
    <w:multiLevelType w:val="hybridMultilevel"/>
    <w:tmpl w:val="76B0BC3A"/>
    <w:lvl w:ilvl="0" w:tplc="48C8A138">
      <w:numFmt w:val="bullet"/>
      <w:lvlText w:val="-"/>
      <w:lvlJc w:val="left"/>
      <w:pPr>
        <w:ind w:left="862" w:hanging="360"/>
      </w:pPr>
      <w:rPr>
        <w:rFonts w:ascii="Times New Roman" w:eastAsia="Calibri" w:hAnsi="Times New Roman" w:cs="Times New Roman"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abstractNum w:abstractNumId="10" w15:restartNumberingAfterBreak="0">
    <w:nsid w:val="3A02279D"/>
    <w:multiLevelType w:val="hybridMultilevel"/>
    <w:tmpl w:val="2AFA386E"/>
    <w:lvl w:ilvl="0" w:tplc="574A1998">
      <w:start w:val="1"/>
      <w:numFmt w:val="decimal"/>
      <w:lvlText w:val="%1."/>
      <w:lvlJc w:val="left"/>
      <w:pPr>
        <w:ind w:left="720" w:hanging="360"/>
      </w:pPr>
      <w:rPr>
        <w:u w:val="none"/>
      </w:rPr>
    </w:lvl>
    <w:lvl w:ilvl="1" w:tplc="2D52FA44">
      <w:start w:val="1"/>
      <w:numFmt w:val="lowerLetter"/>
      <w:lvlText w:val="%2."/>
      <w:lvlJc w:val="left"/>
      <w:pPr>
        <w:ind w:left="1440" w:hanging="360"/>
      </w:pPr>
      <w:rPr>
        <w:u w:val="none"/>
      </w:rPr>
    </w:lvl>
    <w:lvl w:ilvl="2" w:tplc="CE2E4168">
      <w:start w:val="1"/>
      <w:numFmt w:val="lowerRoman"/>
      <w:lvlText w:val="%3."/>
      <w:lvlJc w:val="right"/>
      <w:pPr>
        <w:ind w:left="2160" w:hanging="360"/>
      </w:pPr>
      <w:rPr>
        <w:u w:val="none"/>
      </w:rPr>
    </w:lvl>
    <w:lvl w:ilvl="3" w:tplc="9A507C18">
      <w:start w:val="1"/>
      <w:numFmt w:val="decimal"/>
      <w:lvlText w:val="%4."/>
      <w:lvlJc w:val="left"/>
      <w:pPr>
        <w:ind w:left="2880" w:hanging="360"/>
      </w:pPr>
      <w:rPr>
        <w:u w:val="none"/>
      </w:rPr>
    </w:lvl>
    <w:lvl w:ilvl="4" w:tplc="20A00188">
      <w:start w:val="1"/>
      <w:numFmt w:val="lowerLetter"/>
      <w:lvlText w:val="%5."/>
      <w:lvlJc w:val="left"/>
      <w:pPr>
        <w:ind w:left="3600" w:hanging="360"/>
      </w:pPr>
      <w:rPr>
        <w:u w:val="none"/>
      </w:rPr>
    </w:lvl>
    <w:lvl w:ilvl="5" w:tplc="FCFCDF12">
      <w:start w:val="1"/>
      <w:numFmt w:val="lowerRoman"/>
      <w:lvlText w:val="%6."/>
      <w:lvlJc w:val="right"/>
      <w:pPr>
        <w:ind w:left="4320" w:hanging="360"/>
      </w:pPr>
      <w:rPr>
        <w:u w:val="none"/>
      </w:rPr>
    </w:lvl>
    <w:lvl w:ilvl="6" w:tplc="39FE1A50">
      <w:start w:val="1"/>
      <w:numFmt w:val="decimal"/>
      <w:lvlText w:val="%7."/>
      <w:lvlJc w:val="left"/>
      <w:pPr>
        <w:ind w:left="5040" w:hanging="360"/>
      </w:pPr>
      <w:rPr>
        <w:u w:val="none"/>
      </w:rPr>
    </w:lvl>
    <w:lvl w:ilvl="7" w:tplc="C4A0AE26">
      <w:start w:val="1"/>
      <w:numFmt w:val="lowerLetter"/>
      <w:lvlText w:val="%8."/>
      <w:lvlJc w:val="left"/>
      <w:pPr>
        <w:ind w:left="5760" w:hanging="360"/>
      </w:pPr>
      <w:rPr>
        <w:u w:val="none"/>
      </w:rPr>
    </w:lvl>
    <w:lvl w:ilvl="8" w:tplc="69FC8120">
      <w:start w:val="1"/>
      <w:numFmt w:val="lowerRoman"/>
      <w:lvlText w:val="%9."/>
      <w:lvlJc w:val="right"/>
      <w:pPr>
        <w:ind w:left="6480" w:hanging="360"/>
      </w:pPr>
      <w:rPr>
        <w:u w:val="none"/>
      </w:rPr>
    </w:lvl>
  </w:abstractNum>
  <w:abstractNum w:abstractNumId="11" w15:restartNumberingAfterBreak="0">
    <w:nsid w:val="3BE8632E"/>
    <w:multiLevelType w:val="hybridMultilevel"/>
    <w:tmpl w:val="63CAB108"/>
    <w:lvl w:ilvl="0" w:tplc="04090001">
      <w:start w:val="1"/>
      <w:numFmt w:val="bullet"/>
      <w:lvlText w:val=""/>
      <w:lvlJc w:val="left"/>
      <w:pPr>
        <w:ind w:left="502" w:hanging="360"/>
      </w:pPr>
      <w:rPr>
        <w:rFonts w:ascii="Symbol" w:hAnsi="Symbol" w:hint="default"/>
      </w:rPr>
    </w:lvl>
    <w:lvl w:ilvl="1" w:tplc="04260003">
      <w:start w:val="1"/>
      <w:numFmt w:val="bullet"/>
      <w:lvlText w:val="o"/>
      <w:lvlJc w:val="left"/>
      <w:pPr>
        <w:ind w:left="142" w:hanging="360"/>
      </w:pPr>
      <w:rPr>
        <w:rFonts w:ascii="Courier New" w:hAnsi="Courier New" w:cs="Courier New" w:hint="default"/>
      </w:rPr>
    </w:lvl>
    <w:lvl w:ilvl="2" w:tplc="04260005">
      <w:start w:val="1"/>
      <w:numFmt w:val="bullet"/>
      <w:lvlText w:val=""/>
      <w:lvlJc w:val="left"/>
      <w:pPr>
        <w:ind w:left="862" w:hanging="360"/>
      </w:pPr>
      <w:rPr>
        <w:rFonts w:ascii="Wingdings" w:hAnsi="Wingdings" w:hint="default"/>
      </w:rPr>
    </w:lvl>
    <w:lvl w:ilvl="3" w:tplc="04260001">
      <w:start w:val="1"/>
      <w:numFmt w:val="bullet"/>
      <w:lvlText w:val=""/>
      <w:lvlJc w:val="left"/>
      <w:pPr>
        <w:ind w:left="1582" w:hanging="360"/>
      </w:pPr>
      <w:rPr>
        <w:rFonts w:ascii="Symbol" w:hAnsi="Symbol" w:hint="default"/>
      </w:rPr>
    </w:lvl>
    <w:lvl w:ilvl="4" w:tplc="04260003">
      <w:start w:val="1"/>
      <w:numFmt w:val="bullet"/>
      <w:lvlText w:val="o"/>
      <w:lvlJc w:val="left"/>
      <w:pPr>
        <w:ind w:left="2302" w:hanging="360"/>
      </w:pPr>
      <w:rPr>
        <w:rFonts w:ascii="Courier New" w:hAnsi="Courier New" w:cs="Courier New" w:hint="default"/>
      </w:rPr>
    </w:lvl>
    <w:lvl w:ilvl="5" w:tplc="04260005">
      <w:start w:val="1"/>
      <w:numFmt w:val="bullet"/>
      <w:lvlText w:val=""/>
      <w:lvlJc w:val="left"/>
      <w:pPr>
        <w:ind w:left="3022" w:hanging="360"/>
      </w:pPr>
      <w:rPr>
        <w:rFonts w:ascii="Wingdings" w:hAnsi="Wingdings" w:hint="default"/>
      </w:rPr>
    </w:lvl>
    <w:lvl w:ilvl="6" w:tplc="04260001">
      <w:start w:val="1"/>
      <w:numFmt w:val="bullet"/>
      <w:lvlText w:val=""/>
      <w:lvlJc w:val="left"/>
      <w:pPr>
        <w:ind w:left="3742" w:hanging="360"/>
      </w:pPr>
      <w:rPr>
        <w:rFonts w:ascii="Symbol" w:hAnsi="Symbol" w:hint="default"/>
      </w:rPr>
    </w:lvl>
    <w:lvl w:ilvl="7" w:tplc="04260003">
      <w:start w:val="1"/>
      <w:numFmt w:val="bullet"/>
      <w:lvlText w:val="o"/>
      <w:lvlJc w:val="left"/>
      <w:pPr>
        <w:ind w:left="4462" w:hanging="360"/>
      </w:pPr>
      <w:rPr>
        <w:rFonts w:ascii="Courier New" w:hAnsi="Courier New" w:cs="Courier New" w:hint="default"/>
      </w:rPr>
    </w:lvl>
    <w:lvl w:ilvl="8" w:tplc="04260005">
      <w:start w:val="1"/>
      <w:numFmt w:val="bullet"/>
      <w:lvlText w:val=""/>
      <w:lvlJc w:val="left"/>
      <w:pPr>
        <w:ind w:left="5182" w:hanging="360"/>
      </w:pPr>
      <w:rPr>
        <w:rFonts w:ascii="Wingdings" w:hAnsi="Wingdings" w:hint="default"/>
      </w:rPr>
    </w:lvl>
  </w:abstractNum>
  <w:abstractNum w:abstractNumId="12" w15:restartNumberingAfterBreak="0">
    <w:nsid w:val="4B1411B9"/>
    <w:multiLevelType w:val="hybridMultilevel"/>
    <w:tmpl w:val="1F46074C"/>
    <w:lvl w:ilvl="0" w:tplc="2F56727E">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start w:val="1"/>
      <w:numFmt w:val="bullet"/>
      <w:lvlText w:val=""/>
      <w:lvlJc w:val="left"/>
      <w:pPr>
        <w:ind w:left="3022" w:hanging="360"/>
      </w:pPr>
      <w:rPr>
        <w:rFonts w:ascii="Symbol" w:hAnsi="Symbol" w:hint="default"/>
      </w:rPr>
    </w:lvl>
    <w:lvl w:ilvl="4" w:tplc="04260003">
      <w:start w:val="1"/>
      <w:numFmt w:val="bullet"/>
      <w:lvlText w:val="o"/>
      <w:lvlJc w:val="left"/>
      <w:pPr>
        <w:ind w:left="3742" w:hanging="360"/>
      </w:pPr>
      <w:rPr>
        <w:rFonts w:ascii="Courier New" w:hAnsi="Courier New" w:cs="Courier New" w:hint="default"/>
      </w:rPr>
    </w:lvl>
    <w:lvl w:ilvl="5" w:tplc="04260005">
      <w:start w:val="1"/>
      <w:numFmt w:val="bullet"/>
      <w:lvlText w:val=""/>
      <w:lvlJc w:val="left"/>
      <w:pPr>
        <w:ind w:left="4462" w:hanging="360"/>
      </w:pPr>
      <w:rPr>
        <w:rFonts w:ascii="Wingdings" w:hAnsi="Wingdings" w:hint="default"/>
      </w:rPr>
    </w:lvl>
    <w:lvl w:ilvl="6" w:tplc="04260001">
      <w:start w:val="1"/>
      <w:numFmt w:val="bullet"/>
      <w:lvlText w:val=""/>
      <w:lvlJc w:val="left"/>
      <w:pPr>
        <w:ind w:left="5182" w:hanging="360"/>
      </w:pPr>
      <w:rPr>
        <w:rFonts w:ascii="Symbol" w:hAnsi="Symbol" w:hint="default"/>
      </w:rPr>
    </w:lvl>
    <w:lvl w:ilvl="7" w:tplc="04260003">
      <w:start w:val="1"/>
      <w:numFmt w:val="bullet"/>
      <w:lvlText w:val="o"/>
      <w:lvlJc w:val="left"/>
      <w:pPr>
        <w:ind w:left="5902" w:hanging="360"/>
      </w:pPr>
      <w:rPr>
        <w:rFonts w:ascii="Courier New" w:hAnsi="Courier New" w:cs="Courier New" w:hint="default"/>
      </w:rPr>
    </w:lvl>
    <w:lvl w:ilvl="8" w:tplc="04260005">
      <w:start w:val="1"/>
      <w:numFmt w:val="bullet"/>
      <w:lvlText w:val=""/>
      <w:lvlJc w:val="left"/>
      <w:pPr>
        <w:ind w:left="6622" w:hanging="360"/>
      </w:pPr>
      <w:rPr>
        <w:rFonts w:ascii="Wingdings" w:hAnsi="Wingdings" w:hint="default"/>
      </w:rPr>
    </w:lvl>
  </w:abstractNum>
  <w:abstractNum w:abstractNumId="13" w15:restartNumberingAfterBreak="0">
    <w:nsid w:val="520546F5"/>
    <w:multiLevelType w:val="hybridMultilevel"/>
    <w:tmpl w:val="C444FFF2"/>
    <w:lvl w:ilvl="0" w:tplc="DA720AF4">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C851157"/>
    <w:multiLevelType w:val="hybridMultilevel"/>
    <w:tmpl w:val="DD802756"/>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15" w15:restartNumberingAfterBreak="0">
    <w:nsid w:val="748C6F9B"/>
    <w:multiLevelType w:val="multilevel"/>
    <w:tmpl w:val="A2D2D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12"/>
  </w:num>
  <w:num w:numId="5">
    <w:abstractNumId w:val="5"/>
  </w:num>
  <w:num w:numId="6">
    <w:abstractNumId w:val="9"/>
  </w:num>
  <w:num w:numId="7">
    <w:abstractNumId w:val="14"/>
  </w:num>
  <w:num w:numId="8">
    <w:abstractNumId w:val="2"/>
  </w:num>
  <w:num w:numId="9">
    <w:abstractNumId w:val="13"/>
  </w:num>
  <w:num w:numId="10">
    <w:abstractNumId w:val="7"/>
  </w:num>
  <w:num w:numId="11">
    <w:abstractNumId w:val="8"/>
  </w:num>
  <w:num w:numId="12">
    <w:abstractNumId w:val="6"/>
  </w:num>
  <w:num w:numId="13">
    <w:abstractNumId w:val="15"/>
  </w:num>
  <w:num w:numId="14">
    <w:abstractNumId w:val="3"/>
  </w:num>
  <w:num w:numId="15">
    <w:abstractNumId w:val="10"/>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zMTAxMzQwMLEwtDRV0lEKTi0uzszPAykwqgUA9rqZqSwAAAA="/>
  </w:docVars>
  <w:rsids>
    <w:rsidRoot w:val="00F86CE4"/>
    <w:rsid w:val="000002BF"/>
    <w:rsid w:val="00000354"/>
    <w:rsid w:val="00001800"/>
    <w:rsid w:val="00001F89"/>
    <w:rsid w:val="00003118"/>
    <w:rsid w:val="00003698"/>
    <w:rsid w:val="00003C53"/>
    <w:rsid w:val="0000456E"/>
    <w:rsid w:val="00004657"/>
    <w:rsid w:val="00004FB4"/>
    <w:rsid w:val="000055EA"/>
    <w:rsid w:val="00005D51"/>
    <w:rsid w:val="00006BB6"/>
    <w:rsid w:val="00006BF1"/>
    <w:rsid w:val="00007742"/>
    <w:rsid w:val="000102FF"/>
    <w:rsid w:val="0001068C"/>
    <w:rsid w:val="0001118D"/>
    <w:rsid w:val="0001131F"/>
    <w:rsid w:val="00011663"/>
    <w:rsid w:val="0001186E"/>
    <w:rsid w:val="0001246C"/>
    <w:rsid w:val="0001249F"/>
    <w:rsid w:val="000125C0"/>
    <w:rsid w:val="0001270C"/>
    <w:rsid w:val="00012AA6"/>
    <w:rsid w:val="00012E0A"/>
    <w:rsid w:val="00013178"/>
    <w:rsid w:val="000136AA"/>
    <w:rsid w:val="00013907"/>
    <w:rsid w:val="00013B4C"/>
    <w:rsid w:val="00013BF6"/>
    <w:rsid w:val="00014338"/>
    <w:rsid w:val="00014644"/>
    <w:rsid w:val="00014D86"/>
    <w:rsid w:val="0001554C"/>
    <w:rsid w:val="00015A06"/>
    <w:rsid w:val="00015B94"/>
    <w:rsid w:val="00015C84"/>
    <w:rsid w:val="00015DE5"/>
    <w:rsid w:val="00016E88"/>
    <w:rsid w:val="000172E2"/>
    <w:rsid w:val="00017449"/>
    <w:rsid w:val="000179BC"/>
    <w:rsid w:val="00017ABB"/>
    <w:rsid w:val="0002010E"/>
    <w:rsid w:val="00020249"/>
    <w:rsid w:val="00020BD6"/>
    <w:rsid w:val="00021135"/>
    <w:rsid w:val="00021941"/>
    <w:rsid w:val="00022238"/>
    <w:rsid w:val="00022338"/>
    <w:rsid w:val="00022351"/>
    <w:rsid w:val="000226C4"/>
    <w:rsid w:val="0002296A"/>
    <w:rsid w:val="00022B0F"/>
    <w:rsid w:val="00022B9A"/>
    <w:rsid w:val="0002311F"/>
    <w:rsid w:val="00023E32"/>
    <w:rsid w:val="00023FD6"/>
    <w:rsid w:val="00024110"/>
    <w:rsid w:val="0002416A"/>
    <w:rsid w:val="000245E2"/>
    <w:rsid w:val="00024A2E"/>
    <w:rsid w:val="00024CA1"/>
    <w:rsid w:val="00024CCD"/>
    <w:rsid w:val="00024D20"/>
    <w:rsid w:val="00024DA6"/>
    <w:rsid w:val="000253DB"/>
    <w:rsid w:val="00025EA2"/>
    <w:rsid w:val="000274DA"/>
    <w:rsid w:val="000278E7"/>
    <w:rsid w:val="00027913"/>
    <w:rsid w:val="00027A63"/>
    <w:rsid w:val="00027CF9"/>
    <w:rsid w:val="00027F9D"/>
    <w:rsid w:val="00030684"/>
    <w:rsid w:val="000306A3"/>
    <w:rsid w:val="000307B5"/>
    <w:rsid w:val="00030A46"/>
    <w:rsid w:val="00030A76"/>
    <w:rsid w:val="000312BE"/>
    <w:rsid w:val="00031D44"/>
    <w:rsid w:val="00032457"/>
    <w:rsid w:val="000324A6"/>
    <w:rsid w:val="00032AE6"/>
    <w:rsid w:val="00032CA9"/>
    <w:rsid w:val="000336D1"/>
    <w:rsid w:val="0003392E"/>
    <w:rsid w:val="00033B86"/>
    <w:rsid w:val="00033D84"/>
    <w:rsid w:val="00033FE6"/>
    <w:rsid w:val="0003413A"/>
    <w:rsid w:val="000344E8"/>
    <w:rsid w:val="000349CA"/>
    <w:rsid w:val="0003557A"/>
    <w:rsid w:val="00035C06"/>
    <w:rsid w:val="000366DF"/>
    <w:rsid w:val="00036C3D"/>
    <w:rsid w:val="00036E09"/>
    <w:rsid w:val="00037104"/>
    <w:rsid w:val="00037361"/>
    <w:rsid w:val="000376CD"/>
    <w:rsid w:val="00037FDE"/>
    <w:rsid w:val="00040A5C"/>
    <w:rsid w:val="00040C3D"/>
    <w:rsid w:val="000412CC"/>
    <w:rsid w:val="00041934"/>
    <w:rsid w:val="00041CE5"/>
    <w:rsid w:val="00041E9C"/>
    <w:rsid w:val="000421EC"/>
    <w:rsid w:val="00042D56"/>
    <w:rsid w:val="00042DE8"/>
    <w:rsid w:val="00042FAE"/>
    <w:rsid w:val="00043005"/>
    <w:rsid w:val="0004345F"/>
    <w:rsid w:val="00044026"/>
    <w:rsid w:val="00044536"/>
    <w:rsid w:val="000446B9"/>
    <w:rsid w:val="00044C97"/>
    <w:rsid w:val="00045A9A"/>
    <w:rsid w:val="00045C8D"/>
    <w:rsid w:val="00046075"/>
    <w:rsid w:val="000463C7"/>
    <w:rsid w:val="0004680B"/>
    <w:rsid w:val="00046C82"/>
    <w:rsid w:val="00046CAD"/>
    <w:rsid w:val="00046F5C"/>
    <w:rsid w:val="00046FF0"/>
    <w:rsid w:val="00047385"/>
    <w:rsid w:val="000475FF"/>
    <w:rsid w:val="00047653"/>
    <w:rsid w:val="0004794E"/>
    <w:rsid w:val="000501D1"/>
    <w:rsid w:val="00050461"/>
    <w:rsid w:val="00050554"/>
    <w:rsid w:val="00050599"/>
    <w:rsid w:val="00051D03"/>
    <w:rsid w:val="00051E4A"/>
    <w:rsid w:val="00051F3C"/>
    <w:rsid w:val="00052965"/>
    <w:rsid w:val="00053706"/>
    <w:rsid w:val="00053795"/>
    <w:rsid w:val="0005392A"/>
    <w:rsid w:val="00053E04"/>
    <w:rsid w:val="000540CF"/>
    <w:rsid w:val="000541B7"/>
    <w:rsid w:val="0005479C"/>
    <w:rsid w:val="00054863"/>
    <w:rsid w:val="00055801"/>
    <w:rsid w:val="00055A1A"/>
    <w:rsid w:val="00056584"/>
    <w:rsid w:val="00056C32"/>
    <w:rsid w:val="0005703D"/>
    <w:rsid w:val="000570B1"/>
    <w:rsid w:val="00057848"/>
    <w:rsid w:val="000579E6"/>
    <w:rsid w:val="00057CCF"/>
    <w:rsid w:val="000604A8"/>
    <w:rsid w:val="0006082D"/>
    <w:rsid w:val="00060E03"/>
    <w:rsid w:val="00061D51"/>
    <w:rsid w:val="00062D76"/>
    <w:rsid w:val="000641CE"/>
    <w:rsid w:val="000648BC"/>
    <w:rsid w:val="000650F5"/>
    <w:rsid w:val="00065271"/>
    <w:rsid w:val="0006559C"/>
    <w:rsid w:val="000658E6"/>
    <w:rsid w:val="0006611C"/>
    <w:rsid w:val="00066176"/>
    <w:rsid w:val="0006618D"/>
    <w:rsid w:val="000666C5"/>
    <w:rsid w:val="00066885"/>
    <w:rsid w:val="0006694E"/>
    <w:rsid w:val="0006698E"/>
    <w:rsid w:val="00066A37"/>
    <w:rsid w:val="00066F05"/>
    <w:rsid w:val="000706D6"/>
    <w:rsid w:val="00070952"/>
    <w:rsid w:val="0007139F"/>
    <w:rsid w:val="0007182D"/>
    <w:rsid w:val="00071F48"/>
    <w:rsid w:val="000723A5"/>
    <w:rsid w:val="00072628"/>
    <w:rsid w:val="000728ED"/>
    <w:rsid w:val="00072A61"/>
    <w:rsid w:val="0007334D"/>
    <w:rsid w:val="000733F5"/>
    <w:rsid w:val="000733FF"/>
    <w:rsid w:val="00074B32"/>
    <w:rsid w:val="000750C1"/>
    <w:rsid w:val="000751BC"/>
    <w:rsid w:val="0007577A"/>
    <w:rsid w:val="00075BD3"/>
    <w:rsid w:val="000760B6"/>
    <w:rsid w:val="000763E3"/>
    <w:rsid w:val="00077379"/>
    <w:rsid w:val="000775D0"/>
    <w:rsid w:val="00080843"/>
    <w:rsid w:val="00081B0F"/>
    <w:rsid w:val="00081F88"/>
    <w:rsid w:val="000822E4"/>
    <w:rsid w:val="0008283D"/>
    <w:rsid w:val="000828BD"/>
    <w:rsid w:val="00082D5B"/>
    <w:rsid w:val="00082DED"/>
    <w:rsid w:val="00082E37"/>
    <w:rsid w:val="00083090"/>
    <w:rsid w:val="00083107"/>
    <w:rsid w:val="000831F5"/>
    <w:rsid w:val="00083214"/>
    <w:rsid w:val="00083B8F"/>
    <w:rsid w:val="00084B11"/>
    <w:rsid w:val="00085322"/>
    <w:rsid w:val="00085362"/>
    <w:rsid w:val="000858AB"/>
    <w:rsid w:val="0008656F"/>
    <w:rsid w:val="00086AB9"/>
    <w:rsid w:val="00086BCE"/>
    <w:rsid w:val="00086BE0"/>
    <w:rsid w:val="00086F36"/>
    <w:rsid w:val="00087518"/>
    <w:rsid w:val="00087885"/>
    <w:rsid w:val="00087994"/>
    <w:rsid w:val="00087B58"/>
    <w:rsid w:val="00087DAD"/>
    <w:rsid w:val="00087F87"/>
    <w:rsid w:val="00090168"/>
    <w:rsid w:val="000901BB"/>
    <w:rsid w:val="0009030B"/>
    <w:rsid w:val="00090C76"/>
    <w:rsid w:val="00090DC1"/>
    <w:rsid w:val="00091033"/>
    <w:rsid w:val="00091F10"/>
    <w:rsid w:val="0009302B"/>
    <w:rsid w:val="00093EC2"/>
    <w:rsid w:val="00094101"/>
    <w:rsid w:val="00094890"/>
    <w:rsid w:val="00094A8F"/>
    <w:rsid w:val="00094B9E"/>
    <w:rsid w:val="0009562C"/>
    <w:rsid w:val="000958A2"/>
    <w:rsid w:val="00095C37"/>
    <w:rsid w:val="00095F05"/>
    <w:rsid w:val="00095FD7"/>
    <w:rsid w:val="00096342"/>
    <w:rsid w:val="000965E7"/>
    <w:rsid w:val="00096B67"/>
    <w:rsid w:val="00096CBA"/>
    <w:rsid w:val="000974DD"/>
    <w:rsid w:val="000979FF"/>
    <w:rsid w:val="00097C0A"/>
    <w:rsid w:val="000A0041"/>
    <w:rsid w:val="000A06FC"/>
    <w:rsid w:val="000A1A02"/>
    <w:rsid w:val="000A21D3"/>
    <w:rsid w:val="000A279D"/>
    <w:rsid w:val="000A3750"/>
    <w:rsid w:val="000A3881"/>
    <w:rsid w:val="000A3A27"/>
    <w:rsid w:val="000A3AFA"/>
    <w:rsid w:val="000A4035"/>
    <w:rsid w:val="000A483A"/>
    <w:rsid w:val="000A48F0"/>
    <w:rsid w:val="000A55D2"/>
    <w:rsid w:val="000A58AB"/>
    <w:rsid w:val="000A58B9"/>
    <w:rsid w:val="000A59C2"/>
    <w:rsid w:val="000A64D3"/>
    <w:rsid w:val="000A77B9"/>
    <w:rsid w:val="000A7DB4"/>
    <w:rsid w:val="000A7EA7"/>
    <w:rsid w:val="000A7F86"/>
    <w:rsid w:val="000B0403"/>
    <w:rsid w:val="000B057B"/>
    <w:rsid w:val="000B06E7"/>
    <w:rsid w:val="000B0C94"/>
    <w:rsid w:val="000B126D"/>
    <w:rsid w:val="000B15E5"/>
    <w:rsid w:val="000B1D82"/>
    <w:rsid w:val="000B2382"/>
    <w:rsid w:val="000B260A"/>
    <w:rsid w:val="000B2B18"/>
    <w:rsid w:val="000B2DED"/>
    <w:rsid w:val="000B3171"/>
    <w:rsid w:val="000B32B5"/>
    <w:rsid w:val="000B34A5"/>
    <w:rsid w:val="000B34AE"/>
    <w:rsid w:val="000B45DE"/>
    <w:rsid w:val="000B4699"/>
    <w:rsid w:val="000B4746"/>
    <w:rsid w:val="000B4CB6"/>
    <w:rsid w:val="000B5159"/>
    <w:rsid w:val="000B541E"/>
    <w:rsid w:val="000B5650"/>
    <w:rsid w:val="000B617F"/>
    <w:rsid w:val="000B6239"/>
    <w:rsid w:val="000B650F"/>
    <w:rsid w:val="000B731D"/>
    <w:rsid w:val="000B7447"/>
    <w:rsid w:val="000B7576"/>
    <w:rsid w:val="000B790D"/>
    <w:rsid w:val="000B7966"/>
    <w:rsid w:val="000B7CB1"/>
    <w:rsid w:val="000C0175"/>
    <w:rsid w:val="000C0AE6"/>
    <w:rsid w:val="000C0D0D"/>
    <w:rsid w:val="000C1A7C"/>
    <w:rsid w:val="000C1BCB"/>
    <w:rsid w:val="000C1FD8"/>
    <w:rsid w:val="000C2555"/>
    <w:rsid w:val="000C28AE"/>
    <w:rsid w:val="000C29A0"/>
    <w:rsid w:val="000C2D1B"/>
    <w:rsid w:val="000C33C9"/>
    <w:rsid w:val="000C3545"/>
    <w:rsid w:val="000C3C79"/>
    <w:rsid w:val="000C4428"/>
    <w:rsid w:val="000C4658"/>
    <w:rsid w:val="000C498A"/>
    <w:rsid w:val="000C4C16"/>
    <w:rsid w:val="000C4C73"/>
    <w:rsid w:val="000C56FC"/>
    <w:rsid w:val="000C5A02"/>
    <w:rsid w:val="000C5D81"/>
    <w:rsid w:val="000C6088"/>
    <w:rsid w:val="000C6BB7"/>
    <w:rsid w:val="000C7907"/>
    <w:rsid w:val="000C7A11"/>
    <w:rsid w:val="000C7F5E"/>
    <w:rsid w:val="000D00AC"/>
    <w:rsid w:val="000D02FB"/>
    <w:rsid w:val="000D0AED"/>
    <w:rsid w:val="000D1080"/>
    <w:rsid w:val="000D171B"/>
    <w:rsid w:val="000D17C6"/>
    <w:rsid w:val="000D2C18"/>
    <w:rsid w:val="000D2E46"/>
    <w:rsid w:val="000D3602"/>
    <w:rsid w:val="000D39CA"/>
    <w:rsid w:val="000D46DE"/>
    <w:rsid w:val="000D476D"/>
    <w:rsid w:val="000D47E7"/>
    <w:rsid w:val="000D4A93"/>
    <w:rsid w:val="000D4D76"/>
    <w:rsid w:val="000D4D89"/>
    <w:rsid w:val="000D513C"/>
    <w:rsid w:val="000D52AC"/>
    <w:rsid w:val="000D52B0"/>
    <w:rsid w:val="000D6475"/>
    <w:rsid w:val="000D6660"/>
    <w:rsid w:val="000D6BA9"/>
    <w:rsid w:val="000D6BBD"/>
    <w:rsid w:val="000D7356"/>
    <w:rsid w:val="000D7540"/>
    <w:rsid w:val="000D7751"/>
    <w:rsid w:val="000D7C23"/>
    <w:rsid w:val="000D7FE7"/>
    <w:rsid w:val="000E0496"/>
    <w:rsid w:val="000E0863"/>
    <w:rsid w:val="000E0A16"/>
    <w:rsid w:val="000E0C42"/>
    <w:rsid w:val="000E1330"/>
    <w:rsid w:val="000E14EE"/>
    <w:rsid w:val="000E16BB"/>
    <w:rsid w:val="000E1815"/>
    <w:rsid w:val="000E1BFA"/>
    <w:rsid w:val="000E2142"/>
    <w:rsid w:val="000E21D0"/>
    <w:rsid w:val="000E27F8"/>
    <w:rsid w:val="000E2A38"/>
    <w:rsid w:val="000E2ACC"/>
    <w:rsid w:val="000E3731"/>
    <w:rsid w:val="000E37DC"/>
    <w:rsid w:val="000E38DF"/>
    <w:rsid w:val="000E3DB8"/>
    <w:rsid w:val="000E3F29"/>
    <w:rsid w:val="000E4285"/>
    <w:rsid w:val="000E4287"/>
    <w:rsid w:val="000E5164"/>
    <w:rsid w:val="000E5509"/>
    <w:rsid w:val="000E572C"/>
    <w:rsid w:val="000E5853"/>
    <w:rsid w:val="000E585F"/>
    <w:rsid w:val="000E5C05"/>
    <w:rsid w:val="000E66F8"/>
    <w:rsid w:val="000E6ACE"/>
    <w:rsid w:val="000E6F54"/>
    <w:rsid w:val="000F041F"/>
    <w:rsid w:val="000F054F"/>
    <w:rsid w:val="000F0654"/>
    <w:rsid w:val="000F079D"/>
    <w:rsid w:val="000F0B76"/>
    <w:rsid w:val="000F0CF0"/>
    <w:rsid w:val="000F0D9D"/>
    <w:rsid w:val="000F0EB8"/>
    <w:rsid w:val="000F0F1C"/>
    <w:rsid w:val="000F1108"/>
    <w:rsid w:val="000F123E"/>
    <w:rsid w:val="000F13A3"/>
    <w:rsid w:val="000F16E7"/>
    <w:rsid w:val="000F1C2C"/>
    <w:rsid w:val="000F1D56"/>
    <w:rsid w:val="000F2145"/>
    <w:rsid w:val="000F2534"/>
    <w:rsid w:val="000F28D9"/>
    <w:rsid w:val="000F2D43"/>
    <w:rsid w:val="000F2F9A"/>
    <w:rsid w:val="000F300A"/>
    <w:rsid w:val="000F3205"/>
    <w:rsid w:val="000F36F0"/>
    <w:rsid w:val="000F3984"/>
    <w:rsid w:val="000F3AA0"/>
    <w:rsid w:val="000F3ABD"/>
    <w:rsid w:val="000F3B5B"/>
    <w:rsid w:val="000F3BCF"/>
    <w:rsid w:val="000F4320"/>
    <w:rsid w:val="000F4378"/>
    <w:rsid w:val="000F4554"/>
    <w:rsid w:val="000F465C"/>
    <w:rsid w:val="000F4AEB"/>
    <w:rsid w:val="000F4B40"/>
    <w:rsid w:val="000F4C3B"/>
    <w:rsid w:val="000F4E7B"/>
    <w:rsid w:val="000F54DB"/>
    <w:rsid w:val="000F57C3"/>
    <w:rsid w:val="000F5C37"/>
    <w:rsid w:val="000F5D29"/>
    <w:rsid w:val="000F5DF0"/>
    <w:rsid w:val="000F6A0B"/>
    <w:rsid w:val="000F6BBE"/>
    <w:rsid w:val="000F71D2"/>
    <w:rsid w:val="000F7695"/>
    <w:rsid w:val="000F76E9"/>
    <w:rsid w:val="000F78A8"/>
    <w:rsid w:val="00100340"/>
    <w:rsid w:val="00100676"/>
    <w:rsid w:val="0010092B"/>
    <w:rsid w:val="001012E3"/>
    <w:rsid w:val="001015A6"/>
    <w:rsid w:val="00101856"/>
    <w:rsid w:val="00101A8A"/>
    <w:rsid w:val="00101E89"/>
    <w:rsid w:val="00101EE4"/>
    <w:rsid w:val="00101EEB"/>
    <w:rsid w:val="0010277C"/>
    <w:rsid w:val="001032F8"/>
    <w:rsid w:val="001032FC"/>
    <w:rsid w:val="0010356F"/>
    <w:rsid w:val="0010375A"/>
    <w:rsid w:val="001038ED"/>
    <w:rsid w:val="00103BCF"/>
    <w:rsid w:val="001042B0"/>
    <w:rsid w:val="001046EF"/>
    <w:rsid w:val="00104D22"/>
    <w:rsid w:val="00105366"/>
    <w:rsid w:val="00105990"/>
    <w:rsid w:val="00106565"/>
    <w:rsid w:val="00106695"/>
    <w:rsid w:val="00106D19"/>
    <w:rsid w:val="00106F4F"/>
    <w:rsid w:val="001071D3"/>
    <w:rsid w:val="001075A8"/>
    <w:rsid w:val="00107A6A"/>
    <w:rsid w:val="00110259"/>
    <w:rsid w:val="00110AA9"/>
    <w:rsid w:val="00112292"/>
    <w:rsid w:val="0011254D"/>
    <w:rsid w:val="00112742"/>
    <w:rsid w:val="00112F8C"/>
    <w:rsid w:val="001130B8"/>
    <w:rsid w:val="0011344A"/>
    <w:rsid w:val="001139C2"/>
    <w:rsid w:val="00114559"/>
    <w:rsid w:val="001147E6"/>
    <w:rsid w:val="00114D05"/>
    <w:rsid w:val="00114EA9"/>
    <w:rsid w:val="0011533F"/>
    <w:rsid w:val="00115B09"/>
    <w:rsid w:val="00115ED0"/>
    <w:rsid w:val="0011683C"/>
    <w:rsid w:val="00116A74"/>
    <w:rsid w:val="0011716B"/>
    <w:rsid w:val="00117224"/>
    <w:rsid w:val="001179E8"/>
    <w:rsid w:val="0012021B"/>
    <w:rsid w:val="00120E00"/>
    <w:rsid w:val="001212AA"/>
    <w:rsid w:val="001215B3"/>
    <w:rsid w:val="00121A7E"/>
    <w:rsid w:val="0012222D"/>
    <w:rsid w:val="00122391"/>
    <w:rsid w:val="00122FE1"/>
    <w:rsid w:val="0012380C"/>
    <w:rsid w:val="00123B02"/>
    <w:rsid w:val="001244D4"/>
    <w:rsid w:val="001247CA"/>
    <w:rsid w:val="001255E6"/>
    <w:rsid w:val="00126385"/>
    <w:rsid w:val="001265F7"/>
    <w:rsid w:val="00127130"/>
    <w:rsid w:val="001272D9"/>
    <w:rsid w:val="001274D7"/>
    <w:rsid w:val="0013053A"/>
    <w:rsid w:val="0013066A"/>
    <w:rsid w:val="00130B0C"/>
    <w:rsid w:val="00130D3E"/>
    <w:rsid w:val="00130F9B"/>
    <w:rsid w:val="001315EF"/>
    <w:rsid w:val="00131B16"/>
    <w:rsid w:val="00131F39"/>
    <w:rsid w:val="00132375"/>
    <w:rsid w:val="00132597"/>
    <w:rsid w:val="00132E73"/>
    <w:rsid w:val="001332B4"/>
    <w:rsid w:val="00133505"/>
    <w:rsid w:val="001338CF"/>
    <w:rsid w:val="00134188"/>
    <w:rsid w:val="0013441D"/>
    <w:rsid w:val="001346F2"/>
    <w:rsid w:val="0013524B"/>
    <w:rsid w:val="001352EE"/>
    <w:rsid w:val="00135BD2"/>
    <w:rsid w:val="00135D31"/>
    <w:rsid w:val="00136E34"/>
    <w:rsid w:val="0013731B"/>
    <w:rsid w:val="00137403"/>
    <w:rsid w:val="0014001D"/>
    <w:rsid w:val="00140706"/>
    <w:rsid w:val="0014071A"/>
    <w:rsid w:val="00140BA5"/>
    <w:rsid w:val="00140D70"/>
    <w:rsid w:val="00140FC7"/>
    <w:rsid w:val="0014122A"/>
    <w:rsid w:val="001412EB"/>
    <w:rsid w:val="00141B46"/>
    <w:rsid w:val="00141E85"/>
    <w:rsid w:val="0014319C"/>
    <w:rsid w:val="001435AB"/>
    <w:rsid w:val="001436B3"/>
    <w:rsid w:val="00143976"/>
    <w:rsid w:val="00143984"/>
    <w:rsid w:val="0014398A"/>
    <w:rsid w:val="00143C97"/>
    <w:rsid w:val="00143DAC"/>
    <w:rsid w:val="00144622"/>
    <w:rsid w:val="00144781"/>
    <w:rsid w:val="00144917"/>
    <w:rsid w:val="00144A54"/>
    <w:rsid w:val="00145E50"/>
    <w:rsid w:val="001462FB"/>
    <w:rsid w:val="00146555"/>
    <w:rsid w:val="0014702D"/>
    <w:rsid w:val="00147596"/>
    <w:rsid w:val="00147E1B"/>
    <w:rsid w:val="00147E67"/>
    <w:rsid w:val="00150D10"/>
    <w:rsid w:val="00152151"/>
    <w:rsid w:val="00152508"/>
    <w:rsid w:val="00152718"/>
    <w:rsid w:val="00152DA5"/>
    <w:rsid w:val="00152FF4"/>
    <w:rsid w:val="001530CF"/>
    <w:rsid w:val="00153297"/>
    <w:rsid w:val="00153632"/>
    <w:rsid w:val="00153F12"/>
    <w:rsid w:val="001543CB"/>
    <w:rsid w:val="001543DB"/>
    <w:rsid w:val="00154842"/>
    <w:rsid w:val="001548A2"/>
    <w:rsid w:val="00154D85"/>
    <w:rsid w:val="00155262"/>
    <w:rsid w:val="0015540D"/>
    <w:rsid w:val="00155473"/>
    <w:rsid w:val="00155DC2"/>
    <w:rsid w:val="00156C82"/>
    <w:rsid w:val="00156D90"/>
    <w:rsid w:val="00156E9F"/>
    <w:rsid w:val="00157987"/>
    <w:rsid w:val="00157A57"/>
    <w:rsid w:val="00157DB6"/>
    <w:rsid w:val="00157EC2"/>
    <w:rsid w:val="00161242"/>
    <w:rsid w:val="00161B0D"/>
    <w:rsid w:val="0016258F"/>
    <w:rsid w:val="0016269D"/>
    <w:rsid w:val="00162A68"/>
    <w:rsid w:val="00162C11"/>
    <w:rsid w:val="00162E08"/>
    <w:rsid w:val="001633F1"/>
    <w:rsid w:val="0016531E"/>
    <w:rsid w:val="0016565C"/>
    <w:rsid w:val="001658A7"/>
    <w:rsid w:val="001661FD"/>
    <w:rsid w:val="00166314"/>
    <w:rsid w:val="00166746"/>
    <w:rsid w:val="00166E3F"/>
    <w:rsid w:val="00166F3D"/>
    <w:rsid w:val="00166F8B"/>
    <w:rsid w:val="00166FFB"/>
    <w:rsid w:val="00167590"/>
    <w:rsid w:val="00167918"/>
    <w:rsid w:val="00167C1E"/>
    <w:rsid w:val="00167F58"/>
    <w:rsid w:val="0017043B"/>
    <w:rsid w:val="001706A1"/>
    <w:rsid w:val="00170914"/>
    <w:rsid w:val="00170CB0"/>
    <w:rsid w:val="00170DF2"/>
    <w:rsid w:val="001710A6"/>
    <w:rsid w:val="00171624"/>
    <w:rsid w:val="00172170"/>
    <w:rsid w:val="001721F8"/>
    <w:rsid w:val="00172B95"/>
    <w:rsid w:val="00172DAC"/>
    <w:rsid w:val="00172FEF"/>
    <w:rsid w:val="001734E0"/>
    <w:rsid w:val="00173606"/>
    <w:rsid w:val="0017410B"/>
    <w:rsid w:val="00174841"/>
    <w:rsid w:val="00174E28"/>
    <w:rsid w:val="00175B4A"/>
    <w:rsid w:val="00175DE9"/>
    <w:rsid w:val="001761FD"/>
    <w:rsid w:val="00177601"/>
    <w:rsid w:val="001777A4"/>
    <w:rsid w:val="00177D61"/>
    <w:rsid w:val="00177E9F"/>
    <w:rsid w:val="00180125"/>
    <w:rsid w:val="001808B1"/>
    <w:rsid w:val="001808CA"/>
    <w:rsid w:val="00180923"/>
    <w:rsid w:val="00180CE5"/>
    <w:rsid w:val="00180DB9"/>
    <w:rsid w:val="0018109A"/>
    <w:rsid w:val="00181BAA"/>
    <w:rsid w:val="00181D0F"/>
    <w:rsid w:val="00181D2D"/>
    <w:rsid w:val="0018210A"/>
    <w:rsid w:val="00182DE0"/>
    <w:rsid w:val="0018386C"/>
    <w:rsid w:val="00183E22"/>
    <w:rsid w:val="00184479"/>
    <w:rsid w:val="0018472C"/>
    <w:rsid w:val="00184838"/>
    <w:rsid w:val="00185024"/>
    <w:rsid w:val="00185251"/>
    <w:rsid w:val="00185755"/>
    <w:rsid w:val="001859AC"/>
    <w:rsid w:val="001861A7"/>
    <w:rsid w:val="0018680B"/>
    <w:rsid w:val="00186EE2"/>
    <w:rsid w:val="00187398"/>
    <w:rsid w:val="001873EB"/>
    <w:rsid w:val="001874A0"/>
    <w:rsid w:val="00187CD7"/>
    <w:rsid w:val="00187E6F"/>
    <w:rsid w:val="00187F42"/>
    <w:rsid w:val="00187F73"/>
    <w:rsid w:val="00187FB0"/>
    <w:rsid w:val="001902E9"/>
    <w:rsid w:val="00190327"/>
    <w:rsid w:val="0019036B"/>
    <w:rsid w:val="00190A0A"/>
    <w:rsid w:val="00190C08"/>
    <w:rsid w:val="00191120"/>
    <w:rsid w:val="00191775"/>
    <w:rsid w:val="00191C27"/>
    <w:rsid w:val="00191C96"/>
    <w:rsid w:val="00191E85"/>
    <w:rsid w:val="0019250D"/>
    <w:rsid w:val="00192570"/>
    <w:rsid w:val="001926F2"/>
    <w:rsid w:val="001931C8"/>
    <w:rsid w:val="001933FF"/>
    <w:rsid w:val="00193BCE"/>
    <w:rsid w:val="00193DA5"/>
    <w:rsid w:val="00193EA5"/>
    <w:rsid w:val="00194B87"/>
    <w:rsid w:val="00194F41"/>
    <w:rsid w:val="0019569A"/>
    <w:rsid w:val="00195751"/>
    <w:rsid w:val="00195962"/>
    <w:rsid w:val="00195D5B"/>
    <w:rsid w:val="001960F9"/>
    <w:rsid w:val="0019613B"/>
    <w:rsid w:val="00197533"/>
    <w:rsid w:val="001977E7"/>
    <w:rsid w:val="00197C1D"/>
    <w:rsid w:val="00197CCA"/>
    <w:rsid w:val="00197DCA"/>
    <w:rsid w:val="001A0081"/>
    <w:rsid w:val="001A0235"/>
    <w:rsid w:val="001A043A"/>
    <w:rsid w:val="001A0777"/>
    <w:rsid w:val="001A08D6"/>
    <w:rsid w:val="001A094C"/>
    <w:rsid w:val="001A098C"/>
    <w:rsid w:val="001A0D8A"/>
    <w:rsid w:val="001A104A"/>
    <w:rsid w:val="001A106D"/>
    <w:rsid w:val="001A11BC"/>
    <w:rsid w:val="001A18BA"/>
    <w:rsid w:val="001A192D"/>
    <w:rsid w:val="001A2055"/>
    <w:rsid w:val="001A25E9"/>
    <w:rsid w:val="001A4735"/>
    <w:rsid w:val="001A48B0"/>
    <w:rsid w:val="001A4A05"/>
    <w:rsid w:val="001A4BF5"/>
    <w:rsid w:val="001A4E22"/>
    <w:rsid w:val="001A57E5"/>
    <w:rsid w:val="001A58E1"/>
    <w:rsid w:val="001A6443"/>
    <w:rsid w:val="001A6F23"/>
    <w:rsid w:val="001A7498"/>
    <w:rsid w:val="001A7A72"/>
    <w:rsid w:val="001A7C72"/>
    <w:rsid w:val="001A7D80"/>
    <w:rsid w:val="001B0027"/>
    <w:rsid w:val="001B06E9"/>
    <w:rsid w:val="001B084B"/>
    <w:rsid w:val="001B0CEC"/>
    <w:rsid w:val="001B0FFC"/>
    <w:rsid w:val="001B17C3"/>
    <w:rsid w:val="001B1CF2"/>
    <w:rsid w:val="001B1FBF"/>
    <w:rsid w:val="001B201C"/>
    <w:rsid w:val="001B21EB"/>
    <w:rsid w:val="001B22FA"/>
    <w:rsid w:val="001B2937"/>
    <w:rsid w:val="001B34FB"/>
    <w:rsid w:val="001B39ED"/>
    <w:rsid w:val="001B4388"/>
    <w:rsid w:val="001B4516"/>
    <w:rsid w:val="001B463E"/>
    <w:rsid w:val="001B49E0"/>
    <w:rsid w:val="001B5377"/>
    <w:rsid w:val="001B5427"/>
    <w:rsid w:val="001B5698"/>
    <w:rsid w:val="001B61AC"/>
    <w:rsid w:val="001B64FE"/>
    <w:rsid w:val="001B6553"/>
    <w:rsid w:val="001B6647"/>
    <w:rsid w:val="001B6A47"/>
    <w:rsid w:val="001B6B0A"/>
    <w:rsid w:val="001B6C3C"/>
    <w:rsid w:val="001B6C66"/>
    <w:rsid w:val="001B6CB0"/>
    <w:rsid w:val="001B7A36"/>
    <w:rsid w:val="001C0824"/>
    <w:rsid w:val="001C099B"/>
    <w:rsid w:val="001C0B83"/>
    <w:rsid w:val="001C106B"/>
    <w:rsid w:val="001C1510"/>
    <w:rsid w:val="001C1589"/>
    <w:rsid w:val="001C1989"/>
    <w:rsid w:val="001C1CF6"/>
    <w:rsid w:val="001C26E9"/>
    <w:rsid w:val="001C26F0"/>
    <w:rsid w:val="001C28FD"/>
    <w:rsid w:val="001C3349"/>
    <w:rsid w:val="001C3528"/>
    <w:rsid w:val="001C3C39"/>
    <w:rsid w:val="001C43BF"/>
    <w:rsid w:val="001C45FC"/>
    <w:rsid w:val="001C4742"/>
    <w:rsid w:val="001C4ABA"/>
    <w:rsid w:val="001C4E5F"/>
    <w:rsid w:val="001C546B"/>
    <w:rsid w:val="001C5C07"/>
    <w:rsid w:val="001C5EA2"/>
    <w:rsid w:val="001C6608"/>
    <w:rsid w:val="001C6639"/>
    <w:rsid w:val="001C67C9"/>
    <w:rsid w:val="001C6C7D"/>
    <w:rsid w:val="001C6D21"/>
    <w:rsid w:val="001C70A2"/>
    <w:rsid w:val="001C73BE"/>
    <w:rsid w:val="001C7411"/>
    <w:rsid w:val="001C750E"/>
    <w:rsid w:val="001D0285"/>
    <w:rsid w:val="001D0854"/>
    <w:rsid w:val="001D144F"/>
    <w:rsid w:val="001D1464"/>
    <w:rsid w:val="001D1836"/>
    <w:rsid w:val="001D1CA8"/>
    <w:rsid w:val="001D1CB1"/>
    <w:rsid w:val="001D1F5D"/>
    <w:rsid w:val="001D2AC0"/>
    <w:rsid w:val="001D2DBA"/>
    <w:rsid w:val="001D2FD0"/>
    <w:rsid w:val="001D3830"/>
    <w:rsid w:val="001D3BA6"/>
    <w:rsid w:val="001D4419"/>
    <w:rsid w:val="001D48C0"/>
    <w:rsid w:val="001D4906"/>
    <w:rsid w:val="001D4DBD"/>
    <w:rsid w:val="001D5037"/>
    <w:rsid w:val="001D5564"/>
    <w:rsid w:val="001D56C0"/>
    <w:rsid w:val="001D5F42"/>
    <w:rsid w:val="001D61FC"/>
    <w:rsid w:val="001D62B3"/>
    <w:rsid w:val="001D6977"/>
    <w:rsid w:val="001D6FAA"/>
    <w:rsid w:val="001D7091"/>
    <w:rsid w:val="001D70FA"/>
    <w:rsid w:val="001D7847"/>
    <w:rsid w:val="001D78B4"/>
    <w:rsid w:val="001D7B9E"/>
    <w:rsid w:val="001D7BA9"/>
    <w:rsid w:val="001E039D"/>
    <w:rsid w:val="001E07D4"/>
    <w:rsid w:val="001E097E"/>
    <w:rsid w:val="001E0CA5"/>
    <w:rsid w:val="001E0EBC"/>
    <w:rsid w:val="001E127E"/>
    <w:rsid w:val="001E1594"/>
    <w:rsid w:val="001E22E7"/>
    <w:rsid w:val="001E2714"/>
    <w:rsid w:val="001E355E"/>
    <w:rsid w:val="001E35A8"/>
    <w:rsid w:val="001E398C"/>
    <w:rsid w:val="001E3ADF"/>
    <w:rsid w:val="001E41BB"/>
    <w:rsid w:val="001E4456"/>
    <w:rsid w:val="001E4D88"/>
    <w:rsid w:val="001E4DDC"/>
    <w:rsid w:val="001E5048"/>
    <w:rsid w:val="001E5572"/>
    <w:rsid w:val="001E56B7"/>
    <w:rsid w:val="001E5A6A"/>
    <w:rsid w:val="001E5C80"/>
    <w:rsid w:val="001E600E"/>
    <w:rsid w:val="001E6D01"/>
    <w:rsid w:val="001E6F21"/>
    <w:rsid w:val="001E774F"/>
    <w:rsid w:val="001E7C1D"/>
    <w:rsid w:val="001E7C2D"/>
    <w:rsid w:val="001E7CF3"/>
    <w:rsid w:val="001F0222"/>
    <w:rsid w:val="001F0349"/>
    <w:rsid w:val="001F073F"/>
    <w:rsid w:val="001F1497"/>
    <w:rsid w:val="001F14DE"/>
    <w:rsid w:val="001F1A6C"/>
    <w:rsid w:val="001F1E46"/>
    <w:rsid w:val="001F23DF"/>
    <w:rsid w:val="001F3009"/>
    <w:rsid w:val="001F32B2"/>
    <w:rsid w:val="001F3358"/>
    <w:rsid w:val="001F3378"/>
    <w:rsid w:val="001F3584"/>
    <w:rsid w:val="001F35CB"/>
    <w:rsid w:val="001F390F"/>
    <w:rsid w:val="001F3EF0"/>
    <w:rsid w:val="001F47A5"/>
    <w:rsid w:val="001F5584"/>
    <w:rsid w:val="001F5A80"/>
    <w:rsid w:val="001F5B24"/>
    <w:rsid w:val="001F5CD1"/>
    <w:rsid w:val="001F5FAB"/>
    <w:rsid w:val="001F5FD5"/>
    <w:rsid w:val="001F5FF9"/>
    <w:rsid w:val="001F6D3E"/>
    <w:rsid w:val="001F6E2A"/>
    <w:rsid w:val="001F6ED0"/>
    <w:rsid w:val="001F7257"/>
    <w:rsid w:val="001F7739"/>
    <w:rsid w:val="001F78DF"/>
    <w:rsid w:val="001F7DF6"/>
    <w:rsid w:val="0020011B"/>
    <w:rsid w:val="0020016C"/>
    <w:rsid w:val="002002EE"/>
    <w:rsid w:val="002016F5"/>
    <w:rsid w:val="00201732"/>
    <w:rsid w:val="0020187E"/>
    <w:rsid w:val="00201DC6"/>
    <w:rsid w:val="00201FF4"/>
    <w:rsid w:val="002020B7"/>
    <w:rsid w:val="00202375"/>
    <w:rsid w:val="00202590"/>
    <w:rsid w:val="002025EA"/>
    <w:rsid w:val="00202884"/>
    <w:rsid w:val="00202D1C"/>
    <w:rsid w:val="00202D4A"/>
    <w:rsid w:val="00202E44"/>
    <w:rsid w:val="00203556"/>
    <w:rsid w:val="00203C47"/>
    <w:rsid w:val="00204B1D"/>
    <w:rsid w:val="00204B84"/>
    <w:rsid w:val="00204BC5"/>
    <w:rsid w:val="00204D0F"/>
    <w:rsid w:val="00204DB6"/>
    <w:rsid w:val="00205697"/>
    <w:rsid w:val="002056ED"/>
    <w:rsid w:val="00205C3A"/>
    <w:rsid w:val="00205D2F"/>
    <w:rsid w:val="00205EE3"/>
    <w:rsid w:val="00205F96"/>
    <w:rsid w:val="0020669C"/>
    <w:rsid w:val="002069BB"/>
    <w:rsid w:val="0020754E"/>
    <w:rsid w:val="00207A01"/>
    <w:rsid w:val="00210112"/>
    <w:rsid w:val="0021042C"/>
    <w:rsid w:val="002104FE"/>
    <w:rsid w:val="0021052E"/>
    <w:rsid w:val="00211100"/>
    <w:rsid w:val="00211793"/>
    <w:rsid w:val="0021193B"/>
    <w:rsid w:val="00211C11"/>
    <w:rsid w:val="00211EE8"/>
    <w:rsid w:val="002121ED"/>
    <w:rsid w:val="00212345"/>
    <w:rsid w:val="00212F37"/>
    <w:rsid w:val="002133CA"/>
    <w:rsid w:val="00214809"/>
    <w:rsid w:val="002149A1"/>
    <w:rsid w:val="00214CC4"/>
    <w:rsid w:val="00214DE0"/>
    <w:rsid w:val="00214E7A"/>
    <w:rsid w:val="00215BFE"/>
    <w:rsid w:val="00215C44"/>
    <w:rsid w:val="00215FF4"/>
    <w:rsid w:val="00216CA2"/>
    <w:rsid w:val="00216E73"/>
    <w:rsid w:val="0021774C"/>
    <w:rsid w:val="00217FF6"/>
    <w:rsid w:val="002212F4"/>
    <w:rsid w:val="002217D3"/>
    <w:rsid w:val="002219AB"/>
    <w:rsid w:val="00221FDB"/>
    <w:rsid w:val="00222217"/>
    <w:rsid w:val="00222386"/>
    <w:rsid w:val="0022244D"/>
    <w:rsid w:val="0022274B"/>
    <w:rsid w:val="002229FE"/>
    <w:rsid w:val="00222D75"/>
    <w:rsid w:val="00222F51"/>
    <w:rsid w:val="002230E1"/>
    <w:rsid w:val="00223211"/>
    <w:rsid w:val="00223361"/>
    <w:rsid w:val="00223B1C"/>
    <w:rsid w:val="002244BA"/>
    <w:rsid w:val="002247AA"/>
    <w:rsid w:val="00224DA7"/>
    <w:rsid w:val="00225403"/>
    <w:rsid w:val="002259D8"/>
    <w:rsid w:val="0022608D"/>
    <w:rsid w:val="00226108"/>
    <w:rsid w:val="002261CB"/>
    <w:rsid w:val="002261E7"/>
    <w:rsid w:val="00226511"/>
    <w:rsid w:val="002266EE"/>
    <w:rsid w:val="002268BF"/>
    <w:rsid w:val="002269F0"/>
    <w:rsid w:val="00226A31"/>
    <w:rsid w:val="00226CC0"/>
    <w:rsid w:val="002270DF"/>
    <w:rsid w:val="002273B1"/>
    <w:rsid w:val="00227BDE"/>
    <w:rsid w:val="00227EBA"/>
    <w:rsid w:val="00230045"/>
    <w:rsid w:val="0023014E"/>
    <w:rsid w:val="00230515"/>
    <w:rsid w:val="002307FF"/>
    <w:rsid w:val="002308FA"/>
    <w:rsid w:val="0023101C"/>
    <w:rsid w:val="0023121F"/>
    <w:rsid w:val="00231318"/>
    <w:rsid w:val="0023132F"/>
    <w:rsid w:val="00231AA5"/>
    <w:rsid w:val="00231FEB"/>
    <w:rsid w:val="0023270B"/>
    <w:rsid w:val="00232F82"/>
    <w:rsid w:val="00232F90"/>
    <w:rsid w:val="00232FFC"/>
    <w:rsid w:val="00233243"/>
    <w:rsid w:val="0023339B"/>
    <w:rsid w:val="0023350A"/>
    <w:rsid w:val="00233AF1"/>
    <w:rsid w:val="00234697"/>
    <w:rsid w:val="0023469C"/>
    <w:rsid w:val="00234939"/>
    <w:rsid w:val="00234C71"/>
    <w:rsid w:val="00235511"/>
    <w:rsid w:val="00235C01"/>
    <w:rsid w:val="0023663C"/>
    <w:rsid w:val="002366E0"/>
    <w:rsid w:val="002369ED"/>
    <w:rsid w:val="00236B18"/>
    <w:rsid w:val="00236DE1"/>
    <w:rsid w:val="00236E32"/>
    <w:rsid w:val="0023719E"/>
    <w:rsid w:val="002372EE"/>
    <w:rsid w:val="002372FD"/>
    <w:rsid w:val="002375D4"/>
    <w:rsid w:val="0023764D"/>
    <w:rsid w:val="00237A1D"/>
    <w:rsid w:val="00237B9F"/>
    <w:rsid w:val="00240179"/>
    <w:rsid w:val="00240DEF"/>
    <w:rsid w:val="002415BC"/>
    <w:rsid w:val="002419FA"/>
    <w:rsid w:val="002426CB"/>
    <w:rsid w:val="00242E87"/>
    <w:rsid w:val="002434B2"/>
    <w:rsid w:val="002442F4"/>
    <w:rsid w:val="0024443F"/>
    <w:rsid w:val="002445EA"/>
    <w:rsid w:val="00244ECE"/>
    <w:rsid w:val="00244FC5"/>
    <w:rsid w:val="00245617"/>
    <w:rsid w:val="0024585C"/>
    <w:rsid w:val="00245AD7"/>
    <w:rsid w:val="00245D1D"/>
    <w:rsid w:val="0024625A"/>
    <w:rsid w:val="0024731A"/>
    <w:rsid w:val="00247348"/>
    <w:rsid w:val="0024767B"/>
    <w:rsid w:val="002479E2"/>
    <w:rsid w:val="00250BA9"/>
    <w:rsid w:val="00250EDA"/>
    <w:rsid w:val="00251279"/>
    <w:rsid w:val="00251295"/>
    <w:rsid w:val="00251502"/>
    <w:rsid w:val="002518E8"/>
    <w:rsid w:val="00251C10"/>
    <w:rsid w:val="00251F8C"/>
    <w:rsid w:val="00252B5B"/>
    <w:rsid w:val="00252E1E"/>
    <w:rsid w:val="00252E29"/>
    <w:rsid w:val="002538BA"/>
    <w:rsid w:val="00254120"/>
    <w:rsid w:val="0025469D"/>
    <w:rsid w:val="0025487C"/>
    <w:rsid w:val="002552B1"/>
    <w:rsid w:val="00255437"/>
    <w:rsid w:val="00255D01"/>
    <w:rsid w:val="002568A3"/>
    <w:rsid w:val="00256E55"/>
    <w:rsid w:val="00257E0E"/>
    <w:rsid w:val="00257FF4"/>
    <w:rsid w:val="0026035E"/>
    <w:rsid w:val="002603F5"/>
    <w:rsid w:val="00260844"/>
    <w:rsid w:val="00260926"/>
    <w:rsid w:val="00260FCB"/>
    <w:rsid w:val="0026135A"/>
    <w:rsid w:val="002615F5"/>
    <w:rsid w:val="00261645"/>
    <w:rsid w:val="002616B9"/>
    <w:rsid w:val="0026174B"/>
    <w:rsid w:val="002620D8"/>
    <w:rsid w:val="0026210A"/>
    <w:rsid w:val="00262127"/>
    <w:rsid w:val="0026217B"/>
    <w:rsid w:val="00262585"/>
    <w:rsid w:val="002629E4"/>
    <w:rsid w:val="00262F19"/>
    <w:rsid w:val="00263659"/>
    <w:rsid w:val="002636B1"/>
    <w:rsid w:val="0026391B"/>
    <w:rsid w:val="00263AE9"/>
    <w:rsid w:val="00263BCF"/>
    <w:rsid w:val="00263FE3"/>
    <w:rsid w:val="0026533B"/>
    <w:rsid w:val="00265593"/>
    <w:rsid w:val="00265C39"/>
    <w:rsid w:val="00266603"/>
    <w:rsid w:val="00266CA4"/>
    <w:rsid w:val="0026720F"/>
    <w:rsid w:val="002675EA"/>
    <w:rsid w:val="00267BC5"/>
    <w:rsid w:val="00267CBE"/>
    <w:rsid w:val="00267E0B"/>
    <w:rsid w:val="00270680"/>
    <w:rsid w:val="002708D5"/>
    <w:rsid w:val="00270C77"/>
    <w:rsid w:val="00270D69"/>
    <w:rsid w:val="00271097"/>
    <w:rsid w:val="00271103"/>
    <w:rsid w:val="002716AB"/>
    <w:rsid w:val="002719B4"/>
    <w:rsid w:val="0027200F"/>
    <w:rsid w:val="002721FA"/>
    <w:rsid w:val="0027230C"/>
    <w:rsid w:val="00272360"/>
    <w:rsid w:val="00272B99"/>
    <w:rsid w:val="002730B4"/>
    <w:rsid w:val="0027320A"/>
    <w:rsid w:val="0027380D"/>
    <w:rsid w:val="00274228"/>
    <w:rsid w:val="0027468E"/>
    <w:rsid w:val="00274826"/>
    <w:rsid w:val="00274A5F"/>
    <w:rsid w:val="00274F1E"/>
    <w:rsid w:val="00275005"/>
    <w:rsid w:val="002752AB"/>
    <w:rsid w:val="00275453"/>
    <w:rsid w:val="002754AF"/>
    <w:rsid w:val="002756C6"/>
    <w:rsid w:val="002756D6"/>
    <w:rsid w:val="0027573C"/>
    <w:rsid w:val="00276D9B"/>
    <w:rsid w:val="00277288"/>
    <w:rsid w:val="0028122E"/>
    <w:rsid w:val="0028158F"/>
    <w:rsid w:val="002815D0"/>
    <w:rsid w:val="002820A7"/>
    <w:rsid w:val="00282A33"/>
    <w:rsid w:val="00282B56"/>
    <w:rsid w:val="00282BBE"/>
    <w:rsid w:val="00282D62"/>
    <w:rsid w:val="00283B82"/>
    <w:rsid w:val="00283E13"/>
    <w:rsid w:val="00283FCF"/>
    <w:rsid w:val="00283FD1"/>
    <w:rsid w:val="0028435E"/>
    <w:rsid w:val="00284C3E"/>
    <w:rsid w:val="00285692"/>
    <w:rsid w:val="00286478"/>
    <w:rsid w:val="00287912"/>
    <w:rsid w:val="00287AB5"/>
    <w:rsid w:val="00287B3A"/>
    <w:rsid w:val="00287EDD"/>
    <w:rsid w:val="00290908"/>
    <w:rsid w:val="0029141B"/>
    <w:rsid w:val="002916EF"/>
    <w:rsid w:val="0029230D"/>
    <w:rsid w:val="00292311"/>
    <w:rsid w:val="002927D3"/>
    <w:rsid w:val="00292F36"/>
    <w:rsid w:val="0029338C"/>
    <w:rsid w:val="0029348E"/>
    <w:rsid w:val="002936EF"/>
    <w:rsid w:val="002936FE"/>
    <w:rsid w:val="00293D42"/>
    <w:rsid w:val="00293D5C"/>
    <w:rsid w:val="0029428E"/>
    <w:rsid w:val="00294BDE"/>
    <w:rsid w:val="00294CDE"/>
    <w:rsid w:val="00294D5B"/>
    <w:rsid w:val="00295B00"/>
    <w:rsid w:val="00295B8C"/>
    <w:rsid w:val="00295D19"/>
    <w:rsid w:val="00295DB6"/>
    <w:rsid w:val="0029654B"/>
    <w:rsid w:val="0029788B"/>
    <w:rsid w:val="00297D1B"/>
    <w:rsid w:val="00297F4D"/>
    <w:rsid w:val="002A0226"/>
    <w:rsid w:val="002A0661"/>
    <w:rsid w:val="002A06AA"/>
    <w:rsid w:val="002A0E42"/>
    <w:rsid w:val="002A129C"/>
    <w:rsid w:val="002A1A64"/>
    <w:rsid w:val="002A1CF2"/>
    <w:rsid w:val="002A2000"/>
    <w:rsid w:val="002A21A2"/>
    <w:rsid w:val="002A2ED0"/>
    <w:rsid w:val="002A38D9"/>
    <w:rsid w:val="002A38E4"/>
    <w:rsid w:val="002A3A84"/>
    <w:rsid w:val="002A3CED"/>
    <w:rsid w:val="002A4C3E"/>
    <w:rsid w:val="002A5129"/>
    <w:rsid w:val="002A56BC"/>
    <w:rsid w:val="002A5C53"/>
    <w:rsid w:val="002A5D3A"/>
    <w:rsid w:val="002A5F40"/>
    <w:rsid w:val="002A60B3"/>
    <w:rsid w:val="002A63E0"/>
    <w:rsid w:val="002A6AD6"/>
    <w:rsid w:val="002A72CC"/>
    <w:rsid w:val="002A7522"/>
    <w:rsid w:val="002A76AB"/>
    <w:rsid w:val="002A7A4F"/>
    <w:rsid w:val="002A7AFE"/>
    <w:rsid w:val="002A7B9C"/>
    <w:rsid w:val="002A7FC2"/>
    <w:rsid w:val="002B01DB"/>
    <w:rsid w:val="002B0818"/>
    <w:rsid w:val="002B09C0"/>
    <w:rsid w:val="002B09E9"/>
    <w:rsid w:val="002B0A35"/>
    <w:rsid w:val="002B0E76"/>
    <w:rsid w:val="002B13B3"/>
    <w:rsid w:val="002B1807"/>
    <w:rsid w:val="002B183D"/>
    <w:rsid w:val="002B1DBF"/>
    <w:rsid w:val="002B206C"/>
    <w:rsid w:val="002B207F"/>
    <w:rsid w:val="002B27F1"/>
    <w:rsid w:val="002B2A48"/>
    <w:rsid w:val="002B2BEE"/>
    <w:rsid w:val="002B31AD"/>
    <w:rsid w:val="002B3246"/>
    <w:rsid w:val="002B3DB4"/>
    <w:rsid w:val="002B3EA7"/>
    <w:rsid w:val="002B4894"/>
    <w:rsid w:val="002B48B9"/>
    <w:rsid w:val="002B4BAE"/>
    <w:rsid w:val="002B4DC5"/>
    <w:rsid w:val="002B538B"/>
    <w:rsid w:val="002B581B"/>
    <w:rsid w:val="002B688E"/>
    <w:rsid w:val="002C0980"/>
    <w:rsid w:val="002C0E00"/>
    <w:rsid w:val="002C1F30"/>
    <w:rsid w:val="002C2892"/>
    <w:rsid w:val="002C3248"/>
    <w:rsid w:val="002C3C6C"/>
    <w:rsid w:val="002C451B"/>
    <w:rsid w:val="002C45D4"/>
    <w:rsid w:val="002C48BA"/>
    <w:rsid w:val="002C4AE0"/>
    <w:rsid w:val="002C58AB"/>
    <w:rsid w:val="002C5ADA"/>
    <w:rsid w:val="002C5E49"/>
    <w:rsid w:val="002C6303"/>
    <w:rsid w:val="002C6642"/>
    <w:rsid w:val="002C6D84"/>
    <w:rsid w:val="002C71AA"/>
    <w:rsid w:val="002C7B9C"/>
    <w:rsid w:val="002C7D21"/>
    <w:rsid w:val="002D094E"/>
    <w:rsid w:val="002D1564"/>
    <w:rsid w:val="002D1CA4"/>
    <w:rsid w:val="002D27CE"/>
    <w:rsid w:val="002D2C09"/>
    <w:rsid w:val="002D2C45"/>
    <w:rsid w:val="002D2FB7"/>
    <w:rsid w:val="002D38BF"/>
    <w:rsid w:val="002D3CC2"/>
    <w:rsid w:val="002D4098"/>
    <w:rsid w:val="002D4128"/>
    <w:rsid w:val="002D4642"/>
    <w:rsid w:val="002D47F2"/>
    <w:rsid w:val="002D4969"/>
    <w:rsid w:val="002D4EE1"/>
    <w:rsid w:val="002D4F49"/>
    <w:rsid w:val="002D546A"/>
    <w:rsid w:val="002D5FFA"/>
    <w:rsid w:val="002D6C1B"/>
    <w:rsid w:val="002D7290"/>
    <w:rsid w:val="002D75D5"/>
    <w:rsid w:val="002D778E"/>
    <w:rsid w:val="002D7BC5"/>
    <w:rsid w:val="002D7EED"/>
    <w:rsid w:val="002E04D7"/>
    <w:rsid w:val="002E06DD"/>
    <w:rsid w:val="002E171A"/>
    <w:rsid w:val="002E1DEB"/>
    <w:rsid w:val="002E2A24"/>
    <w:rsid w:val="002E2D82"/>
    <w:rsid w:val="002E35D8"/>
    <w:rsid w:val="002E378D"/>
    <w:rsid w:val="002E3D66"/>
    <w:rsid w:val="002E3F11"/>
    <w:rsid w:val="002E4904"/>
    <w:rsid w:val="002E4B11"/>
    <w:rsid w:val="002E4EFE"/>
    <w:rsid w:val="002E4F70"/>
    <w:rsid w:val="002E56B8"/>
    <w:rsid w:val="002E5886"/>
    <w:rsid w:val="002E5AD3"/>
    <w:rsid w:val="002E635D"/>
    <w:rsid w:val="002E6375"/>
    <w:rsid w:val="002E637F"/>
    <w:rsid w:val="002E7562"/>
    <w:rsid w:val="002F0079"/>
    <w:rsid w:val="002F071F"/>
    <w:rsid w:val="002F0B16"/>
    <w:rsid w:val="002F10EA"/>
    <w:rsid w:val="002F144D"/>
    <w:rsid w:val="002F16C2"/>
    <w:rsid w:val="002F16D5"/>
    <w:rsid w:val="002F1A1D"/>
    <w:rsid w:val="002F1A90"/>
    <w:rsid w:val="002F1C2F"/>
    <w:rsid w:val="002F2766"/>
    <w:rsid w:val="002F2923"/>
    <w:rsid w:val="002F29F1"/>
    <w:rsid w:val="002F39B4"/>
    <w:rsid w:val="002F3D1C"/>
    <w:rsid w:val="002F3ED1"/>
    <w:rsid w:val="002F41B9"/>
    <w:rsid w:val="002F4769"/>
    <w:rsid w:val="002F4EA1"/>
    <w:rsid w:val="002F52DE"/>
    <w:rsid w:val="002F55C1"/>
    <w:rsid w:val="002F5698"/>
    <w:rsid w:val="002F58E5"/>
    <w:rsid w:val="002F5CA3"/>
    <w:rsid w:val="002F6853"/>
    <w:rsid w:val="002F797A"/>
    <w:rsid w:val="002F7A78"/>
    <w:rsid w:val="002F7CAE"/>
    <w:rsid w:val="00300483"/>
    <w:rsid w:val="003004CA"/>
    <w:rsid w:val="003013E0"/>
    <w:rsid w:val="00301A9C"/>
    <w:rsid w:val="00301C91"/>
    <w:rsid w:val="00302597"/>
    <w:rsid w:val="0030287C"/>
    <w:rsid w:val="003037B1"/>
    <w:rsid w:val="00303F2B"/>
    <w:rsid w:val="00304171"/>
    <w:rsid w:val="00304607"/>
    <w:rsid w:val="0030467A"/>
    <w:rsid w:val="0030477A"/>
    <w:rsid w:val="003048D4"/>
    <w:rsid w:val="00304D4E"/>
    <w:rsid w:val="00304FFD"/>
    <w:rsid w:val="00305608"/>
    <w:rsid w:val="00305B72"/>
    <w:rsid w:val="0030610A"/>
    <w:rsid w:val="0030630B"/>
    <w:rsid w:val="00306627"/>
    <w:rsid w:val="003069DD"/>
    <w:rsid w:val="00306C78"/>
    <w:rsid w:val="00306CAB"/>
    <w:rsid w:val="003071C2"/>
    <w:rsid w:val="00307C8D"/>
    <w:rsid w:val="00307F81"/>
    <w:rsid w:val="0031146F"/>
    <w:rsid w:val="003114CE"/>
    <w:rsid w:val="00311795"/>
    <w:rsid w:val="003117B1"/>
    <w:rsid w:val="003118C0"/>
    <w:rsid w:val="003118F5"/>
    <w:rsid w:val="00311B70"/>
    <w:rsid w:val="00311CBE"/>
    <w:rsid w:val="00311DFC"/>
    <w:rsid w:val="00312280"/>
    <w:rsid w:val="0031251C"/>
    <w:rsid w:val="00312735"/>
    <w:rsid w:val="00312CD0"/>
    <w:rsid w:val="003133EB"/>
    <w:rsid w:val="00313DBD"/>
    <w:rsid w:val="0031449F"/>
    <w:rsid w:val="003144D6"/>
    <w:rsid w:val="003145A5"/>
    <w:rsid w:val="0031479C"/>
    <w:rsid w:val="003148B9"/>
    <w:rsid w:val="00314A2E"/>
    <w:rsid w:val="00314C0E"/>
    <w:rsid w:val="00315266"/>
    <w:rsid w:val="00315415"/>
    <w:rsid w:val="00315D7C"/>
    <w:rsid w:val="0031640E"/>
    <w:rsid w:val="00316815"/>
    <w:rsid w:val="0031693B"/>
    <w:rsid w:val="003169CE"/>
    <w:rsid w:val="00316F0A"/>
    <w:rsid w:val="003170CA"/>
    <w:rsid w:val="003173A7"/>
    <w:rsid w:val="00317860"/>
    <w:rsid w:val="003178D5"/>
    <w:rsid w:val="00317B66"/>
    <w:rsid w:val="00317DC7"/>
    <w:rsid w:val="003200F9"/>
    <w:rsid w:val="00320F38"/>
    <w:rsid w:val="00321054"/>
    <w:rsid w:val="00321183"/>
    <w:rsid w:val="00321694"/>
    <w:rsid w:val="00321F0A"/>
    <w:rsid w:val="003223CE"/>
    <w:rsid w:val="00322A2D"/>
    <w:rsid w:val="00322E80"/>
    <w:rsid w:val="00322EEF"/>
    <w:rsid w:val="003230D5"/>
    <w:rsid w:val="00323463"/>
    <w:rsid w:val="00323BC7"/>
    <w:rsid w:val="00324426"/>
    <w:rsid w:val="0032490C"/>
    <w:rsid w:val="00324C99"/>
    <w:rsid w:val="00324D5B"/>
    <w:rsid w:val="00324F7B"/>
    <w:rsid w:val="00325045"/>
    <w:rsid w:val="003251D4"/>
    <w:rsid w:val="0032562C"/>
    <w:rsid w:val="00325B2D"/>
    <w:rsid w:val="00325D91"/>
    <w:rsid w:val="003267B4"/>
    <w:rsid w:val="00326FF9"/>
    <w:rsid w:val="00327648"/>
    <w:rsid w:val="003279B8"/>
    <w:rsid w:val="003279D3"/>
    <w:rsid w:val="0033029A"/>
    <w:rsid w:val="0033067D"/>
    <w:rsid w:val="00330738"/>
    <w:rsid w:val="003308F4"/>
    <w:rsid w:val="00330A96"/>
    <w:rsid w:val="00331191"/>
    <w:rsid w:val="00331193"/>
    <w:rsid w:val="003314C7"/>
    <w:rsid w:val="0033167B"/>
    <w:rsid w:val="00331BF9"/>
    <w:rsid w:val="00332000"/>
    <w:rsid w:val="00332D79"/>
    <w:rsid w:val="003333D4"/>
    <w:rsid w:val="00333D96"/>
    <w:rsid w:val="003344DC"/>
    <w:rsid w:val="00334642"/>
    <w:rsid w:val="00334951"/>
    <w:rsid w:val="00334BD9"/>
    <w:rsid w:val="00335275"/>
    <w:rsid w:val="003354A6"/>
    <w:rsid w:val="00336411"/>
    <w:rsid w:val="0033653A"/>
    <w:rsid w:val="003366A8"/>
    <w:rsid w:val="0033678D"/>
    <w:rsid w:val="00336B0F"/>
    <w:rsid w:val="0033720D"/>
    <w:rsid w:val="003373E8"/>
    <w:rsid w:val="003379CF"/>
    <w:rsid w:val="00337B46"/>
    <w:rsid w:val="00337DB3"/>
    <w:rsid w:val="003405E6"/>
    <w:rsid w:val="00340D7A"/>
    <w:rsid w:val="003417E9"/>
    <w:rsid w:val="003420F8"/>
    <w:rsid w:val="00342225"/>
    <w:rsid w:val="003427EC"/>
    <w:rsid w:val="0034305D"/>
    <w:rsid w:val="00343895"/>
    <w:rsid w:val="003443DD"/>
    <w:rsid w:val="00344D5A"/>
    <w:rsid w:val="00346EB6"/>
    <w:rsid w:val="00346F17"/>
    <w:rsid w:val="00346F53"/>
    <w:rsid w:val="00347137"/>
    <w:rsid w:val="00347D00"/>
    <w:rsid w:val="00347EDB"/>
    <w:rsid w:val="00347F01"/>
    <w:rsid w:val="00350797"/>
    <w:rsid w:val="00350A1B"/>
    <w:rsid w:val="00350F42"/>
    <w:rsid w:val="00351A85"/>
    <w:rsid w:val="003520E6"/>
    <w:rsid w:val="003522E8"/>
    <w:rsid w:val="00352855"/>
    <w:rsid w:val="00352865"/>
    <w:rsid w:val="003528A8"/>
    <w:rsid w:val="0035352F"/>
    <w:rsid w:val="00353989"/>
    <w:rsid w:val="0035463E"/>
    <w:rsid w:val="003547A4"/>
    <w:rsid w:val="00354EFF"/>
    <w:rsid w:val="00355129"/>
    <w:rsid w:val="003557BD"/>
    <w:rsid w:val="00355B7A"/>
    <w:rsid w:val="0035617C"/>
    <w:rsid w:val="003561D5"/>
    <w:rsid w:val="0035625A"/>
    <w:rsid w:val="00356771"/>
    <w:rsid w:val="00356E7E"/>
    <w:rsid w:val="00356EB8"/>
    <w:rsid w:val="003570B3"/>
    <w:rsid w:val="003571B4"/>
    <w:rsid w:val="00357933"/>
    <w:rsid w:val="00357B83"/>
    <w:rsid w:val="00360462"/>
    <w:rsid w:val="003609EE"/>
    <w:rsid w:val="00361289"/>
    <w:rsid w:val="003614A8"/>
    <w:rsid w:val="0036160E"/>
    <w:rsid w:val="00361A12"/>
    <w:rsid w:val="00361ABD"/>
    <w:rsid w:val="0036205F"/>
    <w:rsid w:val="003624AE"/>
    <w:rsid w:val="00362610"/>
    <w:rsid w:val="0036298D"/>
    <w:rsid w:val="00362994"/>
    <w:rsid w:val="00362C87"/>
    <w:rsid w:val="00363762"/>
    <w:rsid w:val="00363830"/>
    <w:rsid w:val="00363D2D"/>
    <w:rsid w:val="00363FA1"/>
    <w:rsid w:val="003640F2"/>
    <w:rsid w:val="0036468F"/>
    <w:rsid w:val="003649C7"/>
    <w:rsid w:val="003649F0"/>
    <w:rsid w:val="00364BB6"/>
    <w:rsid w:val="00364CA0"/>
    <w:rsid w:val="00364D6B"/>
    <w:rsid w:val="00364DD8"/>
    <w:rsid w:val="00364FE5"/>
    <w:rsid w:val="00365408"/>
    <w:rsid w:val="00365BF0"/>
    <w:rsid w:val="00365C15"/>
    <w:rsid w:val="00365CC0"/>
    <w:rsid w:val="003668DF"/>
    <w:rsid w:val="00367144"/>
    <w:rsid w:val="00367688"/>
    <w:rsid w:val="003676A5"/>
    <w:rsid w:val="003705E2"/>
    <w:rsid w:val="00371A8C"/>
    <w:rsid w:val="00372221"/>
    <w:rsid w:val="00372C97"/>
    <w:rsid w:val="00372CF2"/>
    <w:rsid w:val="00372E6D"/>
    <w:rsid w:val="0037381E"/>
    <w:rsid w:val="0037401B"/>
    <w:rsid w:val="00374C7E"/>
    <w:rsid w:val="0037646B"/>
    <w:rsid w:val="0037669A"/>
    <w:rsid w:val="00376CA5"/>
    <w:rsid w:val="00377353"/>
    <w:rsid w:val="0037736B"/>
    <w:rsid w:val="0037743F"/>
    <w:rsid w:val="00377A5D"/>
    <w:rsid w:val="00377B45"/>
    <w:rsid w:val="00377FCC"/>
    <w:rsid w:val="00380814"/>
    <w:rsid w:val="00380D35"/>
    <w:rsid w:val="003811E1"/>
    <w:rsid w:val="00381D72"/>
    <w:rsid w:val="00381E5D"/>
    <w:rsid w:val="00381F57"/>
    <w:rsid w:val="003820DF"/>
    <w:rsid w:val="0038216E"/>
    <w:rsid w:val="003822E5"/>
    <w:rsid w:val="00382489"/>
    <w:rsid w:val="003830B8"/>
    <w:rsid w:val="00383262"/>
    <w:rsid w:val="00383A0B"/>
    <w:rsid w:val="00383B55"/>
    <w:rsid w:val="00383E19"/>
    <w:rsid w:val="00384214"/>
    <w:rsid w:val="00384637"/>
    <w:rsid w:val="003846BA"/>
    <w:rsid w:val="00386CE8"/>
    <w:rsid w:val="00386E4B"/>
    <w:rsid w:val="00387527"/>
    <w:rsid w:val="00387F54"/>
    <w:rsid w:val="00390510"/>
    <w:rsid w:val="00392212"/>
    <w:rsid w:val="00393997"/>
    <w:rsid w:val="00394962"/>
    <w:rsid w:val="003953A4"/>
    <w:rsid w:val="003954D5"/>
    <w:rsid w:val="003966A7"/>
    <w:rsid w:val="003966D5"/>
    <w:rsid w:val="003978F3"/>
    <w:rsid w:val="003979C9"/>
    <w:rsid w:val="00397D85"/>
    <w:rsid w:val="003A062B"/>
    <w:rsid w:val="003A0C55"/>
    <w:rsid w:val="003A157A"/>
    <w:rsid w:val="003A1D13"/>
    <w:rsid w:val="003A281F"/>
    <w:rsid w:val="003A283F"/>
    <w:rsid w:val="003A2A16"/>
    <w:rsid w:val="003A2B27"/>
    <w:rsid w:val="003A2FC9"/>
    <w:rsid w:val="003A2FDD"/>
    <w:rsid w:val="003A39B4"/>
    <w:rsid w:val="003A3C43"/>
    <w:rsid w:val="003A3CF7"/>
    <w:rsid w:val="003A3E47"/>
    <w:rsid w:val="003A4D92"/>
    <w:rsid w:val="003A4DB2"/>
    <w:rsid w:val="003A4DF0"/>
    <w:rsid w:val="003A5054"/>
    <w:rsid w:val="003A5CCC"/>
    <w:rsid w:val="003A6095"/>
    <w:rsid w:val="003A6844"/>
    <w:rsid w:val="003A6F94"/>
    <w:rsid w:val="003A70FF"/>
    <w:rsid w:val="003A74D2"/>
    <w:rsid w:val="003A756B"/>
    <w:rsid w:val="003A7664"/>
    <w:rsid w:val="003A7902"/>
    <w:rsid w:val="003B0571"/>
    <w:rsid w:val="003B06C8"/>
    <w:rsid w:val="003B1BCC"/>
    <w:rsid w:val="003B1E6B"/>
    <w:rsid w:val="003B23D7"/>
    <w:rsid w:val="003B26DC"/>
    <w:rsid w:val="003B2727"/>
    <w:rsid w:val="003B34CB"/>
    <w:rsid w:val="003B3AB4"/>
    <w:rsid w:val="003B3CA8"/>
    <w:rsid w:val="003B44BF"/>
    <w:rsid w:val="003B45D5"/>
    <w:rsid w:val="003B4956"/>
    <w:rsid w:val="003B52FE"/>
    <w:rsid w:val="003B572A"/>
    <w:rsid w:val="003B5A56"/>
    <w:rsid w:val="003B5BDF"/>
    <w:rsid w:val="003B5CC4"/>
    <w:rsid w:val="003B5E23"/>
    <w:rsid w:val="003B6325"/>
    <w:rsid w:val="003B69DF"/>
    <w:rsid w:val="003B6BA9"/>
    <w:rsid w:val="003B6C19"/>
    <w:rsid w:val="003B71E0"/>
    <w:rsid w:val="003B7289"/>
    <w:rsid w:val="003B7474"/>
    <w:rsid w:val="003B78A4"/>
    <w:rsid w:val="003B7AFE"/>
    <w:rsid w:val="003C00BA"/>
    <w:rsid w:val="003C0785"/>
    <w:rsid w:val="003C10F4"/>
    <w:rsid w:val="003C144E"/>
    <w:rsid w:val="003C1A07"/>
    <w:rsid w:val="003C1E74"/>
    <w:rsid w:val="003C20A2"/>
    <w:rsid w:val="003C2385"/>
    <w:rsid w:val="003C2673"/>
    <w:rsid w:val="003C27A2"/>
    <w:rsid w:val="003C2AC1"/>
    <w:rsid w:val="003C2C0A"/>
    <w:rsid w:val="003C34AE"/>
    <w:rsid w:val="003C352C"/>
    <w:rsid w:val="003C38CA"/>
    <w:rsid w:val="003C40ED"/>
    <w:rsid w:val="003C42EC"/>
    <w:rsid w:val="003C466B"/>
    <w:rsid w:val="003C4921"/>
    <w:rsid w:val="003C4936"/>
    <w:rsid w:val="003C4C29"/>
    <w:rsid w:val="003C52F3"/>
    <w:rsid w:val="003C55C0"/>
    <w:rsid w:val="003C567C"/>
    <w:rsid w:val="003C59B8"/>
    <w:rsid w:val="003C61E0"/>
    <w:rsid w:val="003C62E2"/>
    <w:rsid w:val="003C63FB"/>
    <w:rsid w:val="003C67EF"/>
    <w:rsid w:val="003C6809"/>
    <w:rsid w:val="003C6F30"/>
    <w:rsid w:val="003C701B"/>
    <w:rsid w:val="003C75C1"/>
    <w:rsid w:val="003C788D"/>
    <w:rsid w:val="003C7897"/>
    <w:rsid w:val="003C79E2"/>
    <w:rsid w:val="003D0134"/>
    <w:rsid w:val="003D0937"/>
    <w:rsid w:val="003D0A71"/>
    <w:rsid w:val="003D0BC9"/>
    <w:rsid w:val="003D0C3C"/>
    <w:rsid w:val="003D0F69"/>
    <w:rsid w:val="003D108A"/>
    <w:rsid w:val="003D1233"/>
    <w:rsid w:val="003D1301"/>
    <w:rsid w:val="003D17E6"/>
    <w:rsid w:val="003D1A20"/>
    <w:rsid w:val="003D1AC9"/>
    <w:rsid w:val="003D1C3A"/>
    <w:rsid w:val="003D2A89"/>
    <w:rsid w:val="003D2AC9"/>
    <w:rsid w:val="003D2B96"/>
    <w:rsid w:val="003D2CD8"/>
    <w:rsid w:val="003D3724"/>
    <w:rsid w:val="003D3D8E"/>
    <w:rsid w:val="003D4590"/>
    <w:rsid w:val="003D46A7"/>
    <w:rsid w:val="003D49CF"/>
    <w:rsid w:val="003D4C76"/>
    <w:rsid w:val="003D4D65"/>
    <w:rsid w:val="003D5107"/>
    <w:rsid w:val="003D5657"/>
    <w:rsid w:val="003D56DC"/>
    <w:rsid w:val="003D5BAB"/>
    <w:rsid w:val="003D6287"/>
    <w:rsid w:val="003D6376"/>
    <w:rsid w:val="003D6EB4"/>
    <w:rsid w:val="003D7599"/>
    <w:rsid w:val="003E01AB"/>
    <w:rsid w:val="003E1235"/>
    <w:rsid w:val="003E1B3A"/>
    <w:rsid w:val="003E1DFD"/>
    <w:rsid w:val="003E2A2A"/>
    <w:rsid w:val="003E2A35"/>
    <w:rsid w:val="003E2B56"/>
    <w:rsid w:val="003E2CE1"/>
    <w:rsid w:val="003E2DCB"/>
    <w:rsid w:val="003E2ED3"/>
    <w:rsid w:val="003E2EF5"/>
    <w:rsid w:val="003E3135"/>
    <w:rsid w:val="003E37E8"/>
    <w:rsid w:val="003E3A70"/>
    <w:rsid w:val="003E3A81"/>
    <w:rsid w:val="003E3D63"/>
    <w:rsid w:val="003E4C3F"/>
    <w:rsid w:val="003E4D7C"/>
    <w:rsid w:val="003E5815"/>
    <w:rsid w:val="003E5FA8"/>
    <w:rsid w:val="003E6252"/>
    <w:rsid w:val="003E7473"/>
    <w:rsid w:val="003E7740"/>
    <w:rsid w:val="003E7CA1"/>
    <w:rsid w:val="003E7FC1"/>
    <w:rsid w:val="003F0D1D"/>
    <w:rsid w:val="003F0E25"/>
    <w:rsid w:val="003F10D9"/>
    <w:rsid w:val="003F1200"/>
    <w:rsid w:val="003F1363"/>
    <w:rsid w:val="003F1421"/>
    <w:rsid w:val="003F1844"/>
    <w:rsid w:val="003F1B31"/>
    <w:rsid w:val="003F241E"/>
    <w:rsid w:val="003F2433"/>
    <w:rsid w:val="003F27FD"/>
    <w:rsid w:val="003F28C0"/>
    <w:rsid w:val="003F2F1E"/>
    <w:rsid w:val="003F30A5"/>
    <w:rsid w:val="003F374E"/>
    <w:rsid w:val="003F41B3"/>
    <w:rsid w:val="003F4A8C"/>
    <w:rsid w:val="003F4E64"/>
    <w:rsid w:val="003F52B2"/>
    <w:rsid w:val="003F63BE"/>
    <w:rsid w:val="003F65C5"/>
    <w:rsid w:val="003F716E"/>
    <w:rsid w:val="003F75C2"/>
    <w:rsid w:val="003F7633"/>
    <w:rsid w:val="003F7DD0"/>
    <w:rsid w:val="00400061"/>
    <w:rsid w:val="004002C9"/>
    <w:rsid w:val="00400332"/>
    <w:rsid w:val="00400603"/>
    <w:rsid w:val="0040068A"/>
    <w:rsid w:val="00400813"/>
    <w:rsid w:val="004008EF"/>
    <w:rsid w:val="00400989"/>
    <w:rsid w:val="00400B7E"/>
    <w:rsid w:val="004011C1"/>
    <w:rsid w:val="00401217"/>
    <w:rsid w:val="004013AD"/>
    <w:rsid w:val="00401424"/>
    <w:rsid w:val="004018C6"/>
    <w:rsid w:val="00402215"/>
    <w:rsid w:val="0040249B"/>
    <w:rsid w:val="0040286D"/>
    <w:rsid w:val="00402887"/>
    <w:rsid w:val="00402C35"/>
    <w:rsid w:val="004032B2"/>
    <w:rsid w:val="0040386C"/>
    <w:rsid w:val="00403BD4"/>
    <w:rsid w:val="0040405B"/>
    <w:rsid w:val="00404195"/>
    <w:rsid w:val="00404211"/>
    <w:rsid w:val="004042A4"/>
    <w:rsid w:val="00404346"/>
    <w:rsid w:val="004043F3"/>
    <w:rsid w:val="004044EB"/>
    <w:rsid w:val="00404507"/>
    <w:rsid w:val="004048C6"/>
    <w:rsid w:val="00404DAA"/>
    <w:rsid w:val="00404DDD"/>
    <w:rsid w:val="00404FA8"/>
    <w:rsid w:val="004055C7"/>
    <w:rsid w:val="004055F3"/>
    <w:rsid w:val="0040578B"/>
    <w:rsid w:val="004057FC"/>
    <w:rsid w:val="00405DB2"/>
    <w:rsid w:val="00406288"/>
    <w:rsid w:val="004065D6"/>
    <w:rsid w:val="0040687D"/>
    <w:rsid w:val="0040709D"/>
    <w:rsid w:val="0040713F"/>
    <w:rsid w:val="004075A3"/>
    <w:rsid w:val="0040772F"/>
    <w:rsid w:val="00407C2F"/>
    <w:rsid w:val="00410427"/>
    <w:rsid w:val="00410879"/>
    <w:rsid w:val="004108A0"/>
    <w:rsid w:val="00410C48"/>
    <w:rsid w:val="00410F66"/>
    <w:rsid w:val="00411077"/>
    <w:rsid w:val="00411CE4"/>
    <w:rsid w:val="00411ECF"/>
    <w:rsid w:val="00412118"/>
    <w:rsid w:val="00412BCB"/>
    <w:rsid w:val="00414852"/>
    <w:rsid w:val="00414995"/>
    <w:rsid w:val="00414DB8"/>
    <w:rsid w:val="00415272"/>
    <w:rsid w:val="004159E4"/>
    <w:rsid w:val="00415C8B"/>
    <w:rsid w:val="00416277"/>
    <w:rsid w:val="004163D8"/>
    <w:rsid w:val="00416E24"/>
    <w:rsid w:val="00417F6A"/>
    <w:rsid w:val="0042063D"/>
    <w:rsid w:val="00420873"/>
    <w:rsid w:val="00420885"/>
    <w:rsid w:val="00420D26"/>
    <w:rsid w:val="00421496"/>
    <w:rsid w:val="0042152A"/>
    <w:rsid w:val="00421594"/>
    <w:rsid w:val="004215DE"/>
    <w:rsid w:val="004216D2"/>
    <w:rsid w:val="00421AC9"/>
    <w:rsid w:val="004220DB"/>
    <w:rsid w:val="004221C1"/>
    <w:rsid w:val="00422B23"/>
    <w:rsid w:val="00422EFB"/>
    <w:rsid w:val="00422F28"/>
    <w:rsid w:val="00423069"/>
    <w:rsid w:val="004231FF"/>
    <w:rsid w:val="004239EB"/>
    <w:rsid w:val="00423A60"/>
    <w:rsid w:val="00423C95"/>
    <w:rsid w:val="00424E38"/>
    <w:rsid w:val="004253B3"/>
    <w:rsid w:val="00425580"/>
    <w:rsid w:val="00425603"/>
    <w:rsid w:val="00426369"/>
    <w:rsid w:val="0042651C"/>
    <w:rsid w:val="00426E27"/>
    <w:rsid w:val="00426E9B"/>
    <w:rsid w:val="00427850"/>
    <w:rsid w:val="00427982"/>
    <w:rsid w:val="004279E5"/>
    <w:rsid w:val="00427C9C"/>
    <w:rsid w:val="00427D55"/>
    <w:rsid w:val="00427DF5"/>
    <w:rsid w:val="00427E8C"/>
    <w:rsid w:val="00427FCC"/>
    <w:rsid w:val="004304A8"/>
    <w:rsid w:val="00430713"/>
    <w:rsid w:val="00431A3E"/>
    <w:rsid w:val="00431B0B"/>
    <w:rsid w:val="00431C35"/>
    <w:rsid w:val="004320BE"/>
    <w:rsid w:val="0043233C"/>
    <w:rsid w:val="00432A4C"/>
    <w:rsid w:val="004331A0"/>
    <w:rsid w:val="00433277"/>
    <w:rsid w:val="00433966"/>
    <w:rsid w:val="00433A9F"/>
    <w:rsid w:val="004340B8"/>
    <w:rsid w:val="004345A6"/>
    <w:rsid w:val="00434E8D"/>
    <w:rsid w:val="0043500E"/>
    <w:rsid w:val="0043558D"/>
    <w:rsid w:val="00435B2F"/>
    <w:rsid w:val="00435E03"/>
    <w:rsid w:val="004373E1"/>
    <w:rsid w:val="004374A3"/>
    <w:rsid w:val="00437A7E"/>
    <w:rsid w:val="00437B6C"/>
    <w:rsid w:val="00440144"/>
    <w:rsid w:val="004402AF"/>
    <w:rsid w:val="0044064E"/>
    <w:rsid w:val="00440805"/>
    <w:rsid w:val="00440ED3"/>
    <w:rsid w:val="00440F78"/>
    <w:rsid w:val="004412E1"/>
    <w:rsid w:val="00441483"/>
    <w:rsid w:val="00441554"/>
    <w:rsid w:val="00442128"/>
    <w:rsid w:val="00442E48"/>
    <w:rsid w:val="0044364E"/>
    <w:rsid w:val="0044377E"/>
    <w:rsid w:val="00443DCD"/>
    <w:rsid w:val="00443E7E"/>
    <w:rsid w:val="004446C7"/>
    <w:rsid w:val="00444B8F"/>
    <w:rsid w:val="00444C06"/>
    <w:rsid w:val="004454DF"/>
    <w:rsid w:val="00445BE3"/>
    <w:rsid w:val="00445C13"/>
    <w:rsid w:val="00445CE4"/>
    <w:rsid w:val="004464EC"/>
    <w:rsid w:val="00446804"/>
    <w:rsid w:val="0044696F"/>
    <w:rsid w:val="00446C1C"/>
    <w:rsid w:val="004478D4"/>
    <w:rsid w:val="00447FC6"/>
    <w:rsid w:val="00447FD5"/>
    <w:rsid w:val="0045026E"/>
    <w:rsid w:val="00450380"/>
    <w:rsid w:val="00450455"/>
    <w:rsid w:val="004505C6"/>
    <w:rsid w:val="00450816"/>
    <w:rsid w:val="004511DE"/>
    <w:rsid w:val="00451958"/>
    <w:rsid w:val="00451B4B"/>
    <w:rsid w:val="00451F11"/>
    <w:rsid w:val="004520CD"/>
    <w:rsid w:val="004521B6"/>
    <w:rsid w:val="00452945"/>
    <w:rsid w:val="00452DF3"/>
    <w:rsid w:val="004534F5"/>
    <w:rsid w:val="00453765"/>
    <w:rsid w:val="00453A35"/>
    <w:rsid w:val="00453E81"/>
    <w:rsid w:val="00454DD9"/>
    <w:rsid w:val="00454EC3"/>
    <w:rsid w:val="00454F8D"/>
    <w:rsid w:val="0045530A"/>
    <w:rsid w:val="004554AE"/>
    <w:rsid w:val="004554C3"/>
    <w:rsid w:val="00455D6C"/>
    <w:rsid w:val="00455FB6"/>
    <w:rsid w:val="004561A9"/>
    <w:rsid w:val="004567FC"/>
    <w:rsid w:val="00456835"/>
    <w:rsid w:val="00456CD4"/>
    <w:rsid w:val="00457197"/>
    <w:rsid w:val="004572B8"/>
    <w:rsid w:val="00457555"/>
    <w:rsid w:val="00457616"/>
    <w:rsid w:val="00457623"/>
    <w:rsid w:val="004577CD"/>
    <w:rsid w:val="00457971"/>
    <w:rsid w:val="00457CDD"/>
    <w:rsid w:val="00457DD8"/>
    <w:rsid w:val="004603D0"/>
    <w:rsid w:val="00460DFD"/>
    <w:rsid w:val="00461032"/>
    <w:rsid w:val="004616E5"/>
    <w:rsid w:val="00462111"/>
    <w:rsid w:val="004624AE"/>
    <w:rsid w:val="0046250E"/>
    <w:rsid w:val="00462AB9"/>
    <w:rsid w:val="00462AF4"/>
    <w:rsid w:val="00462D5B"/>
    <w:rsid w:val="00462E9C"/>
    <w:rsid w:val="00462FC6"/>
    <w:rsid w:val="00463331"/>
    <w:rsid w:val="0046348D"/>
    <w:rsid w:val="00463518"/>
    <w:rsid w:val="004640DE"/>
    <w:rsid w:val="004641E8"/>
    <w:rsid w:val="00464B48"/>
    <w:rsid w:val="00464D7F"/>
    <w:rsid w:val="00465231"/>
    <w:rsid w:val="0046542B"/>
    <w:rsid w:val="004662AD"/>
    <w:rsid w:val="00466516"/>
    <w:rsid w:val="00466644"/>
    <w:rsid w:val="00466E64"/>
    <w:rsid w:val="00466E86"/>
    <w:rsid w:val="00466FB9"/>
    <w:rsid w:val="00467623"/>
    <w:rsid w:val="00467AEF"/>
    <w:rsid w:val="00467B65"/>
    <w:rsid w:val="0047026A"/>
    <w:rsid w:val="00470636"/>
    <w:rsid w:val="00470A15"/>
    <w:rsid w:val="00471D59"/>
    <w:rsid w:val="00471EA5"/>
    <w:rsid w:val="004720C9"/>
    <w:rsid w:val="00472257"/>
    <w:rsid w:val="0047240C"/>
    <w:rsid w:val="00472500"/>
    <w:rsid w:val="00472B08"/>
    <w:rsid w:val="00472C59"/>
    <w:rsid w:val="00472E49"/>
    <w:rsid w:val="00472EB4"/>
    <w:rsid w:val="004732BB"/>
    <w:rsid w:val="004733B1"/>
    <w:rsid w:val="004733F8"/>
    <w:rsid w:val="00473BB9"/>
    <w:rsid w:val="00473CC1"/>
    <w:rsid w:val="00474621"/>
    <w:rsid w:val="0047464B"/>
    <w:rsid w:val="0047487D"/>
    <w:rsid w:val="00474AD4"/>
    <w:rsid w:val="00474C60"/>
    <w:rsid w:val="00475212"/>
    <w:rsid w:val="00475944"/>
    <w:rsid w:val="00475DF0"/>
    <w:rsid w:val="00475EB8"/>
    <w:rsid w:val="00476525"/>
    <w:rsid w:val="00476C28"/>
    <w:rsid w:val="00476EA1"/>
    <w:rsid w:val="00477003"/>
    <w:rsid w:val="004772E2"/>
    <w:rsid w:val="0047739F"/>
    <w:rsid w:val="004774D3"/>
    <w:rsid w:val="00477AF9"/>
    <w:rsid w:val="00477DEC"/>
    <w:rsid w:val="00477F97"/>
    <w:rsid w:val="00480046"/>
    <w:rsid w:val="00480A2D"/>
    <w:rsid w:val="00480AFB"/>
    <w:rsid w:val="00481247"/>
    <w:rsid w:val="004816E2"/>
    <w:rsid w:val="004825BB"/>
    <w:rsid w:val="004828DC"/>
    <w:rsid w:val="00482B98"/>
    <w:rsid w:val="00482FEF"/>
    <w:rsid w:val="00482FF7"/>
    <w:rsid w:val="00483098"/>
    <w:rsid w:val="00483AFB"/>
    <w:rsid w:val="00483C75"/>
    <w:rsid w:val="00483D40"/>
    <w:rsid w:val="0048402B"/>
    <w:rsid w:val="0048414A"/>
    <w:rsid w:val="00484BED"/>
    <w:rsid w:val="00484E41"/>
    <w:rsid w:val="00484F6F"/>
    <w:rsid w:val="00485A69"/>
    <w:rsid w:val="00485C56"/>
    <w:rsid w:val="00486581"/>
    <w:rsid w:val="00486B79"/>
    <w:rsid w:val="00486CA2"/>
    <w:rsid w:val="00486F4C"/>
    <w:rsid w:val="00487908"/>
    <w:rsid w:val="00487D79"/>
    <w:rsid w:val="00487E46"/>
    <w:rsid w:val="0049057F"/>
    <w:rsid w:val="00490A3E"/>
    <w:rsid w:val="00490A77"/>
    <w:rsid w:val="00490B25"/>
    <w:rsid w:val="00490FD6"/>
    <w:rsid w:val="004911C4"/>
    <w:rsid w:val="0049160E"/>
    <w:rsid w:val="00491E44"/>
    <w:rsid w:val="00491E9B"/>
    <w:rsid w:val="004928DC"/>
    <w:rsid w:val="00492A3D"/>
    <w:rsid w:val="00493843"/>
    <w:rsid w:val="00493E06"/>
    <w:rsid w:val="0049479F"/>
    <w:rsid w:val="0049483B"/>
    <w:rsid w:val="00494CC8"/>
    <w:rsid w:val="004950C9"/>
    <w:rsid w:val="004955E7"/>
    <w:rsid w:val="0049589C"/>
    <w:rsid w:val="004958D1"/>
    <w:rsid w:val="00495EF1"/>
    <w:rsid w:val="0049617E"/>
    <w:rsid w:val="00496547"/>
    <w:rsid w:val="004967F8"/>
    <w:rsid w:val="00496ED4"/>
    <w:rsid w:val="00497D4A"/>
    <w:rsid w:val="00497ECE"/>
    <w:rsid w:val="00497EED"/>
    <w:rsid w:val="004A0441"/>
    <w:rsid w:val="004A0791"/>
    <w:rsid w:val="004A084C"/>
    <w:rsid w:val="004A11EE"/>
    <w:rsid w:val="004A15B3"/>
    <w:rsid w:val="004A1808"/>
    <w:rsid w:val="004A1B34"/>
    <w:rsid w:val="004A1D01"/>
    <w:rsid w:val="004A1FE9"/>
    <w:rsid w:val="004A25C5"/>
    <w:rsid w:val="004A2A54"/>
    <w:rsid w:val="004A2AD9"/>
    <w:rsid w:val="004A2EF3"/>
    <w:rsid w:val="004A3089"/>
    <w:rsid w:val="004A3599"/>
    <w:rsid w:val="004A36D5"/>
    <w:rsid w:val="004A3B0D"/>
    <w:rsid w:val="004A44BA"/>
    <w:rsid w:val="004A4D3F"/>
    <w:rsid w:val="004A52E8"/>
    <w:rsid w:val="004A52F5"/>
    <w:rsid w:val="004A5D3A"/>
    <w:rsid w:val="004A6897"/>
    <w:rsid w:val="004A692B"/>
    <w:rsid w:val="004A6AC7"/>
    <w:rsid w:val="004A6EB6"/>
    <w:rsid w:val="004A6F8E"/>
    <w:rsid w:val="004A794C"/>
    <w:rsid w:val="004A7AF1"/>
    <w:rsid w:val="004A7C04"/>
    <w:rsid w:val="004A7E1D"/>
    <w:rsid w:val="004A7FB8"/>
    <w:rsid w:val="004B0062"/>
    <w:rsid w:val="004B0141"/>
    <w:rsid w:val="004B04CA"/>
    <w:rsid w:val="004B1853"/>
    <w:rsid w:val="004B196F"/>
    <w:rsid w:val="004B20A8"/>
    <w:rsid w:val="004B2397"/>
    <w:rsid w:val="004B3079"/>
    <w:rsid w:val="004B313B"/>
    <w:rsid w:val="004B35F0"/>
    <w:rsid w:val="004B3C78"/>
    <w:rsid w:val="004B3EC7"/>
    <w:rsid w:val="004B47FB"/>
    <w:rsid w:val="004B48A3"/>
    <w:rsid w:val="004B52E7"/>
    <w:rsid w:val="004B5664"/>
    <w:rsid w:val="004B5F01"/>
    <w:rsid w:val="004B68AA"/>
    <w:rsid w:val="004B6BE8"/>
    <w:rsid w:val="004B6CFF"/>
    <w:rsid w:val="004B6D2F"/>
    <w:rsid w:val="004B739F"/>
    <w:rsid w:val="004B7AE6"/>
    <w:rsid w:val="004B7AED"/>
    <w:rsid w:val="004B7DC9"/>
    <w:rsid w:val="004B7EA9"/>
    <w:rsid w:val="004C089C"/>
    <w:rsid w:val="004C09B7"/>
    <w:rsid w:val="004C11AA"/>
    <w:rsid w:val="004C2107"/>
    <w:rsid w:val="004C2D37"/>
    <w:rsid w:val="004C3545"/>
    <w:rsid w:val="004C3576"/>
    <w:rsid w:val="004C39D0"/>
    <w:rsid w:val="004C45CB"/>
    <w:rsid w:val="004C4A35"/>
    <w:rsid w:val="004C4AEB"/>
    <w:rsid w:val="004C4D2A"/>
    <w:rsid w:val="004C512A"/>
    <w:rsid w:val="004C5C04"/>
    <w:rsid w:val="004C5FC6"/>
    <w:rsid w:val="004C6435"/>
    <w:rsid w:val="004C649B"/>
    <w:rsid w:val="004C6734"/>
    <w:rsid w:val="004C6AE8"/>
    <w:rsid w:val="004C6BF0"/>
    <w:rsid w:val="004C7006"/>
    <w:rsid w:val="004C72AE"/>
    <w:rsid w:val="004C7719"/>
    <w:rsid w:val="004C7B9C"/>
    <w:rsid w:val="004C7BA4"/>
    <w:rsid w:val="004C7D55"/>
    <w:rsid w:val="004C7F6D"/>
    <w:rsid w:val="004D01D9"/>
    <w:rsid w:val="004D089A"/>
    <w:rsid w:val="004D0A02"/>
    <w:rsid w:val="004D0CED"/>
    <w:rsid w:val="004D0D28"/>
    <w:rsid w:val="004D0E6D"/>
    <w:rsid w:val="004D11F2"/>
    <w:rsid w:val="004D12FB"/>
    <w:rsid w:val="004D14D8"/>
    <w:rsid w:val="004D1856"/>
    <w:rsid w:val="004D1EAE"/>
    <w:rsid w:val="004D2611"/>
    <w:rsid w:val="004D2643"/>
    <w:rsid w:val="004D3184"/>
    <w:rsid w:val="004D3BA5"/>
    <w:rsid w:val="004D3D73"/>
    <w:rsid w:val="004D404F"/>
    <w:rsid w:val="004D4A77"/>
    <w:rsid w:val="004D5030"/>
    <w:rsid w:val="004D522D"/>
    <w:rsid w:val="004D565B"/>
    <w:rsid w:val="004D5ACB"/>
    <w:rsid w:val="004D5CC2"/>
    <w:rsid w:val="004D6045"/>
    <w:rsid w:val="004D6514"/>
    <w:rsid w:val="004D6781"/>
    <w:rsid w:val="004D67C9"/>
    <w:rsid w:val="004D7138"/>
    <w:rsid w:val="004D7546"/>
    <w:rsid w:val="004D7DB2"/>
    <w:rsid w:val="004D7EC5"/>
    <w:rsid w:val="004E025A"/>
    <w:rsid w:val="004E02B0"/>
    <w:rsid w:val="004E085C"/>
    <w:rsid w:val="004E0B29"/>
    <w:rsid w:val="004E0E11"/>
    <w:rsid w:val="004E0F08"/>
    <w:rsid w:val="004E0FDE"/>
    <w:rsid w:val="004E10E0"/>
    <w:rsid w:val="004E116E"/>
    <w:rsid w:val="004E1546"/>
    <w:rsid w:val="004E197A"/>
    <w:rsid w:val="004E19DC"/>
    <w:rsid w:val="004E2530"/>
    <w:rsid w:val="004E3585"/>
    <w:rsid w:val="004E35E8"/>
    <w:rsid w:val="004E39EA"/>
    <w:rsid w:val="004E3E0E"/>
    <w:rsid w:val="004E3EAB"/>
    <w:rsid w:val="004E43C1"/>
    <w:rsid w:val="004E4477"/>
    <w:rsid w:val="004E4AC4"/>
    <w:rsid w:val="004E50F0"/>
    <w:rsid w:val="004E676E"/>
    <w:rsid w:val="004E67F9"/>
    <w:rsid w:val="004E6909"/>
    <w:rsid w:val="004E6A03"/>
    <w:rsid w:val="004E71AB"/>
    <w:rsid w:val="004F0070"/>
    <w:rsid w:val="004F0468"/>
    <w:rsid w:val="004F09B1"/>
    <w:rsid w:val="004F0BA1"/>
    <w:rsid w:val="004F0C51"/>
    <w:rsid w:val="004F1538"/>
    <w:rsid w:val="004F196D"/>
    <w:rsid w:val="004F1EFA"/>
    <w:rsid w:val="004F263C"/>
    <w:rsid w:val="004F269D"/>
    <w:rsid w:val="004F2AEF"/>
    <w:rsid w:val="004F2BB1"/>
    <w:rsid w:val="004F2BC6"/>
    <w:rsid w:val="004F2EC7"/>
    <w:rsid w:val="004F3CE8"/>
    <w:rsid w:val="004F3F39"/>
    <w:rsid w:val="004F4AB2"/>
    <w:rsid w:val="004F4CA9"/>
    <w:rsid w:val="004F4CF6"/>
    <w:rsid w:val="004F50A3"/>
    <w:rsid w:val="004F56C5"/>
    <w:rsid w:val="004F6AD8"/>
    <w:rsid w:val="004F6BFB"/>
    <w:rsid w:val="004F6EEA"/>
    <w:rsid w:val="004F700D"/>
    <w:rsid w:val="004F7E4A"/>
    <w:rsid w:val="00500040"/>
    <w:rsid w:val="00500487"/>
    <w:rsid w:val="00501026"/>
    <w:rsid w:val="005012E2"/>
    <w:rsid w:val="005013FA"/>
    <w:rsid w:val="0050147C"/>
    <w:rsid w:val="0050182B"/>
    <w:rsid w:val="00502425"/>
    <w:rsid w:val="00502579"/>
    <w:rsid w:val="005029F7"/>
    <w:rsid w:val="00502B83"/>
    <w:rsid w:val="00503D4C"/>
    <w:rsid w:val="00503D8D"/>
    <w:rsid w:val="00503EC6"/>
    <w:rsid w:val="00504678"/>
    <w:rsid w:val="00504AFD"/>
    <w:rsid w:val="00504B89"/>
    <w:rsid w:val="00504C0C"/>
    <w:rsid w:val="00504E48"/>
    <w:rsid w:val="00505FBB"/>
    <w:rsid w:val="00506EF6"/>
    <w:rsid w:val="005070FF"/>
    <w:rsid w:val="00507245"/>
    <w:rsid w:val="005077AD"/>
    <w:rsid w:val="0051075E"/>
    <w:rsid w:val="00510C4C"/>
    <w:rsid w:val="00510D0C"/>
    <w:rsid w:val="00510F06"/>
    <w:rsid w:val="0051188F"/>
    <w:rsid w:val="00512365"/>
    <w:rsid w:val="005123E3"/>
    <w:rsid w:val="00512578"/>
    <w:rsid w:val="005125A0"/>
    <w:rsid w:val="00512BBC"/>
    <w:rsid w:val="00512CAF"/>
    <w:rsid w:val="00512E74"/>
    <w:rsid w:val="005134FB"/>
    <w:rsid w:val="005135FD"/>
    <w:rsid w:val="0051366C"/>
    <w:rsid w:val="0051391F"/>
    <w:rsid w:val="00514666"/>
    <w:rsid w:val="00514EE8"/>
    <w:rsid w:val="00515449"/>
    <w:rsid w:val="0051560E"/>
    <w:rsid w:val="0051564C"/>
    <w:rsid w:val="00515AEE"/>
    <w:rsid w:val="0051684F"/>
    <w:rsid w:val="00516A92"/>
    <w:rsid w:val="00516B9F"/>
    <w:rsid w:val="00517693"/>
    <w:rsid w:val="00517F34"/>
    <w:rsid w:val="00520460"/>
    <w:rsid w:val="005205AB"/>
    <w:rsid w:val="0052107C"/>
    <w:rsid w:val="00522352"/>
    <w:rsid w:val="00522747"/>
    <w:rsid w:val="00522DA9"/>
    <w:rsid w:val="0052302B"/>
    <w:rsid w:val="00523378"/>
    <w:rsid w:val="00523BD2"/>
    <w:rsid w:val="0052427A"/>
    <w:rsid w:val="005253F8"/>
    <w:rsid w:val="0052550F"/>
    <w:rsid w:val="00525D33"/>
    <w:rsid w:val="0052652B"/>
    <w:rsid w:val="005265CE"/>
    <w:rsid w:val="0052661E"/>
    <w:rsid w:val="00526966"/>
    <w:rsid w:val="00526C0F"/>
    <w:rsid w:val="0052702A"/>
    <w:rsid w:val="0052775B"/>
    <w:rsid w:val="00530397"/>
    <w:rsid w:val="0053086E"/>
    <w:rsid w:val="00530F73"/>
    <w:rsid w:val="00531246"/>
    <w:rsid w:val="00531D32"/>
    <w:rsid w:val="00532A18"/>
    <w:rsid w:val="005336B9"/>
    <w:rsid w:val="00533B8E"/>
    <w:rsid w:val="00534DFA"/>
    <w:rsid w:val="00534E51"/>
    <w:rsid w:val="0053521B"/>
    <w:rsid w:val="00535417"/>
    <w:rsid w:val="00535833"/>
    <w:rsid w:val="00535B8B"/>
    <w:rsid w:val="00536D28"/>
    <w:rsid w:val="005372C5"/>
    <w:rsid w:val="00537A26"/>
    <w:rsid w:val="00537BA1"/>
    <w:rsid w:val="00540D0C"/>
    <w:rsid w:val="00540E47"/>
    <w:rsid w:val="005427D8"/>
    <w:rsid w:val="00542EEF"/>
    <w:rsid w:val="00543283"/>
    <w:rsid w:val="0054364C"/>
    <w:rsid w:val="00544589"/>
    <w:rsid w:val="00544D62"/>
    <w:rsid w:val="00545256"/>
    <w:rsid w:val="00546541"/>
    <w:rsid w:val="00546747"/>
    <w:rsid w:val="00547510"/>
    <w:rsid w:val="00547800"/>
    <w:rsid w:val="00547930"/>
    <w:rsid w:val="00547B87"/>
    <w:rsid w:val="00547ECC"/>
    <w:rsid w:val="00550385"/>
    <w:rsid w:val="005506DD"/>
    <w:rsid w:val="00550855"/>
    <w:rsid w:val="00550B6E"/>
    <w:rsid w:val="00550C03"/>
    <w:rsid w:val="0055105C"/>
    <w:rsid w:val="0055120A"/>
    <w:rsid w:val="00551D5A"/>
    <w:rsid w:val="00551EC3"/>
    <w:rsid w:val="00552727"/>
    <w:rsid w:val="00552C21"/>
    <w:rsid w:val="005531EC"/>
    <w:rsid w:val="00553680"/>
    <w:rsid w:val="00554A44"/>
    <w:rsid w:val="00554C53"/>
    <w:rsid w:val="00554F18"/>
    <w:rsid w:val="00555220"/>
    <w:rsid w:val="005555F0"/>
    <w:rsid w:val="00555739"/>
    <w:rsid w:val="0055617F"/>
    <w:rsid w:val="00556A7F"/>
    <w:rsid w:val="00556AC8"/>
    <w:rsid w:val="00556E75"/>
    <w:rsid w:val="00556F2D"/>
    <w:rsid w:val="0056069A"/>
    <w:rsid w:val="00560753"/>
    <w:rsid w:val="00560BE2"/>
    <w:rsid w:val="00560C3B"/>
    <w:rsid w:val="00561372"/>
    <w:rsid w:val="0056139E"/>
    <w:rsid w:val="00561A64"/>
    <w:rsid w:val="00561D3C"/>
    <w:rsid w:val="00561EA1"/>
    <w:rsid w:val="005626D7"/>
    <w:rsid w:val="00562799"/>
    <w:rsid w:val="00562F6C"/>
    <w:rsid w:val="00563AE1"/>
    <w:rsid w:val="00563DE3"/>
    <w:rsid w:val="00563F9C"/>
    <w:rsid w:val="005640A4"/>
    <w:rsid w:val="00564804"/>
    <w:rsid w:val="005648FA"/>
    <w:rsid w:val="00565598"/>
    <w:rsid w:val="00565B5A"/>
    <w:rsid w:val="00565DB7"/>
    <w:rsid w:val="00565E28"/>
    <w:rsid w:val="00566167"/>
    <w:rsid w:val="00566B19"/>
    <w:rsid w:val="00567E8F"/>
    <w:rsid w:val="00570199"/>
    <w:rsid w:val="005702D6"/>
    <w:rsid w:val="00570D5C"/>
    <w:rsid w:val="00571586"/>
    <w:rsid w:val="005717CF"/>
    <w:rsid w:val="00571ED3"/>
    <w:rsid w:val="00572588"/>
    <w:rsid w:val="0057277D"/>
    <w:rsid w:val="00572936"/>
    <w:rsid w:val="00572938"/>
    <w:rsid w:val="00572B66"/>
    <w:rsid w:val="00573093"/>
    <w:rsid w:val="00573A50"/>
    <w:rsid w:val="00573B90"/>
    <w:rsid w:val="00573D17"/>
    <w:rsid w:val="005746D2"/>
    <w:rsid w:val="00574E8A"/>
    <w:rsid w:val="00576407"/>
    <w:rsid w:val="005764CE"/>
    <w:rsid w:val="00576CE3"/>
    <w:rsid w:val="00576F78"/>
    <w:rsid w:val="0057708C"/>
    <w:rsid w:val="00577775"/>
    <w:rsid w:val="00577EDF"/>
    <w:rsid w:val="005800B9"/>
    <w:rsid w:val="005800FC"/>
    <w:rsid w:val="0058055C"/>
    <w:rsid w:val="00580E78"/>
    <w:rsid w:val="00580F71"/>
    <w:rsid w:val="0058121A"/>
    <w:rsid w:val="00581785"/>
    <w:rsid w:val="00581863"/>
    <w:rsid w:val="00581907"/>
    <w:rsid w:val="00581EA3"/>
    <w:rsid w:val="0058205A"/>
    <w:rsid w:val="00582264"/>
    <w:rsid w:val="0058260B"/>
    <w:rsid w:val="005835AD"/>
    <w:rsid w:val="005837DA"/>
    <w:rsid w:val="00583A70"/>
    <w:rsid w:val="00583ED3"/>
    <w:rsid w:val="00583EED"/>
    <w:rsid w:val="00584534"/>
    <w:rsid w:val="00584829"/>
    <w:rsid w:val="00584D1E"/>
    <w:rsid w:val="005859D7"/>
    <w:rsid w:val="005860FB"/>
    <w:rsid w:val="0058625E"/>
    <w:rsid w:val="005862CF"/>
    <w:rsid w:val="00586773"/>
    <w:rsid w:val="00586795"/>
    <w:rsid w:val="00586B82"/>
    <w:rsid w:val="005871FA"/>
    <w:rsid w:val="005879C5"/>
    <w:rsid w:val="00587E13"/>
    <w:rsid w:val="00587E93"/>
    <w:rsid w:val="00590550"/>
    <w:rsid w:val="005907AB"/>
    <w:rsid w:val="00591FEC"/>
    <w:rsid w:val="00592769"/>
    <w:rsid w:val="00592F6B"/>
    <w:rsid w:val="00593074"/>
    <w:rsid w:val="005932CC"/>
    <w:rsid w:val="005933AA"/>
    <w:rsid w:val="005935CB"/>
    <w:rsid w:val="0059371A"/>
    <w:rsid w:val="005940AA"/>
    <w:rsid w:val="00594614"/>
    <w:rsid w:val="00594E10"/>
    <w:rsid w:val="00594E7E"/>
    <w:rsid w:val="00595155"/>
    <w:rsid w:val="00595AE4"/>
    <w:rsid w:val="00596306"/>
    <w:rsid w:val="00596487"/>
    <w:rsid w:val="00596D7E"/>
    <w:rsid w:val="005977E8"/>
    <w:rsid w:val="00597E5E"/>
    <w:rsid w:val="00597F14"/>
    <w:rsid w:val="00597F59"/>
    <w:rsid w:val="005A0538"/>
    <w:rsid w:val="005A0809"/>
    <w:rsid w:val="005A0B91"/>
    <w:rsid w:val="005A1311"/>
    <w:rsid w:val="005A1494"/>
    <w:rsid w:val="005A1DBF"/>
    <w:rsid w:val="005A1E44"/>
    <w:rsid w:val="005A20E0"/>
    <w:rsid w:val="005A222B"/>
    <w:rsid w:val="005A309D"/>
    <w:rsid w:val="005A3590"/>
    <w:rsid w:val="005A38E4"/>
    <w:rsid w:val="005A3985"/>
    <w:rsid w:val="005A4A1C"/>
    <w:rsid w:val="005A4F74"/>
    <w:rsid w:val="005A5192"/>
    <w:rsid w:val="005A543E"/>
    <w:rsid w:val="005A5B90"/>
    <w:rsid w:val="005A5BD8"/>
    <w:rsid w:val="005A5D1C"/>
    <w:rsid w:val="005A61E9"/>
    <w:rsid w:val="005A635F"/>
    <w:rsid w:val="005A63B6"/>
    <w:rsid w:val="005A692A"/>
    <w:rsid w:val="005A6AB8"/>
    <w:rsid w:val="005A6FA3"/>
    <w:rsid w:val="005A7605"/>
    <w:rsid w:val="005A78B3"/>
    <w:rsid w:val="005A7BBF"/>
    <w:rsid w:val="005A7C60"/>
    <w:rsid w:val="005B08A3"/>
    <w:rsid w:val="005B0B0F"/>
    <w:rsid w:val="005B1135"/>
    <w:rsid w:val="005B11C2"/>
    <w:rsid w:val="005B138A"/>
    <w:rsid w:val="005B180A"/>
    <w:rsid w:val="005B1CF4"/>
    <w:rsid w:val="005B2372"/>
    <w:rsid w:val="005B26A6"/>
    <w:rsid w:val="005B2D96"/>
    <w:rsid w:val="005B382C"/>
    <w:rsid w:val="005B3C11"/>
    <w:rsid w:val="005B3FC3"/>
    <w:rsid w:val="005B40DA"/>
    <w:rsid w:val="005B4226"/>
    <w:rsid w:val="005B4EA4"/>
    <w:rsid w:val="005B5018"/>
    <w:rsid w:val="005B51B1"/>
    <w:rsid w:val="005B53D2"/>
    <w:rsid w:val="005B5AA4"/>
    <w:rsid w:val="005B5DEB"/>
    <w:rsid w:val="005B656B"/>
    <w:rsid w:val="005B71B3"/>
    <w:rsid w:val="005B7201"/>
    <w:rsid w:val="005B748D"/>
    <w:rsid w:val="005B76A4"/>
    <w:rsid w:val="005B76E0"/>
    <w:rsid w:val="005C04A7"/>
    <w:rsid w:val="005C0574"/>
    <w:rsid w:val="005C0595"/>
    <w:rsid w:val="005C086F"/>
    <w:rsid w:val="005C08D3"/>
    <w:rsid w:val="005C08D8"/>
    <w:rsid w:val="005C0AE3"/>
    <w:rsid w:val="005C0CFF"/>
    <w:rsid w:val="005C17A4"/>
    <w:rsid w:val="005C1948"/>
    <w:rsid w:val="005C1A34"/>
    <w:rsid w:val="005C24F7"/>
    <w:rsid w:val="005C27CC"/>
    <w:rsid w:val="005C370D"/>
    <w:rsid w:val="005C3741"/>
    <w:rsid w:val="005C380E"/>
    <w:rsid w:val="005C39A8"/>
    <w:rsid w:val="005C42A7"/>
    <w:rsid w:val="005C4457"/>
    <w:rsid w:val="005C504E"/>
    <w:rsid w:val="005C5ACC"/>
    <w:rsid w:val="005C5F87"/>
    <w:rsid w:val="005C5FBA"/>
    <w:rsid w:val="005C6153"/>
    <w:rsid w:val="005C72CD"/>
    <w:rsid w:val="005C7485"/>
    <w:rsid w:val="005C78B0"/>
    <w:rsid w:val="005C7B95"/>
    <w:rsid w:val="005D01EB"/>
    <w:rsid w:val="005D050C"/>
    <w:rsid w:val="005D061C"/>
    <w:rsid w:val="005D0DFB"/>
    <w:rsid w:val="005D1112"/>
    <w:rsid w:val="005D124D"/>
    <w:rsid w:val="005D237C"/>
    <w:rsid w:val="005D23E7"/>
    <w:rsid w:val="005D25E2"/>
    <w:rsid w:val="005D25FF"/>
    <w:rsid w:val="005D2632"/>
    <w:rsid w:val="005D275A"/>
    <w:rsid w:val="005D32AB"/>
    <w:rsid w:val="005D38E0"/>
    <w:rsid w:val="005D3C49"/>
    <w:rsid w:val="005D3E50"/>
    <w:rsid w:val="005D3F32"/>
    <w:rsid w:val="005D4253"/>
    <w:rsid w:val="005D442D"/>
    <w:rsid w:val="005D485C"/>
    <w:rsid w:val="005D4E3E"/>
    <w:rsid w:val="005D4E87"/>
    <w:rsid w:val="005D53AD"/>
    <w:rsid w:val="005D5654"/>
    <w:rsid w:val="005D67F7"/>
    <w:rsid w:val="005D7D7E"/>
    <w:rsid w:val="005E04F4"/>
    <w:rsid w:val="005E052E"/>
    <w:rsid w:val="005E060C"/>
    <w:rsid w:val="005E0B59"/>
    <w:rsid w:val="005E1105"/>
    <w:rsid w:val="005E12F3"/>
    <w:rsid w:val="005E143A"/>
    <w:rsid w:val="005E1581"/>
    <w:rsid w:val="005E162F"/>
    <w:rsid w:val="005E1849"/>
    <w:rsid w:val="005E292C"/>
    <w:rsid w:val="005E2C60"/>
    <w:rsid w:val="005E2DA2"/>
    <w:rsid w:val="005E301D"/>
    <w:rsid w:val="005E31F6"/>
    <w:rsid w:val="005E3622"/>
    <w:rsid w:val="005E39FA"/>
    <w:rsid w:val="005E4260"/>
    <w:rsid w:val="005E434A"/>
    <w:rsid w:val="005E4610"/>
    <w:rsid w:val="005E4821"/>
    <w:rsid w:val="005E4F96"/>
    <w:rsid w:val="005E5653"/>
    <w:rsid w:val="005E5987"/>
    <w:rsid w:val="005E5D22"/>
    <w:rsid w:val="005E60B3"/>
    <w:rsid w:val="005E676C"/>
    <w:rsid w:val="005E6CB9"/>
    <w:rsid w:val="005E6FD3"/>
    <w:rsid w:val="005E7F14"/>
    <w:rsid w:val="005F0154"/>
    <w:rsid w:val="005F0176"/>
    <w:rsid w:val="005F021D"/>
    <w:rsid w:val="005F02C3"/>
    <w:rsid w:val="005F07F4"/>
    <w:rsid w:val="005F0F35"/>
    <w:rsid w:val="005F114C"/>
    <w:rsid w:val="005F1E8D"/>
    <w:rsid w:val="005F1EAC"/>
    <w:rsid w:val="005F308F"/>
    <w:rsid w:val="005F333C"/>
    <w:rsid w:val="005F39CD"/>
    <w:rsid w:val="005F46B9"/>
    <w:rsid w:val="005F481B"/>
    <w:rsid w:val="005F4869"/>
    <w:rsid w:val="005F4BFD"/>
    <w:rsid w:val="005F4DAC"/>
    <w:rsid w:val="005F4FA9"/>
    <w:rsid w:val="005F5748"/>
    <w:rsid w:val="005F5834"/>
    <w:rsid w:val="005F5D0D"/>
    <w:rsid w:val="005F5E11"/>
    <w:rsid w:val="005F6444"/>
    <w:rsid w:val="005F7164"/>
    <w:rsid w:val="005F71E2"/>
    <w:rsid w:val="005F7D18"/>
    <w:rsid w:val="006003E5"/>
    <w:rsid w:val="00600A8B"/>
    <w:rsid w:val="00600C3D"/>
    <w:rsid w:val="00600E63"/>
    <w:rsid w:val="006010DC"/>
    <w:rsid w:val="00601561"/>
    <w:rsid w:val="00601B77"/>
    <w:rsid w:val="00601E55"/>
    <w:rsid w:val="00602037"/>
    <w:rsid w:val="006029DD"/>
    <w:rsid w:val="00602C6A"/>
    <w:rsid w:val="00602E21"/>
    <w:rsid w:val="00602ED5"/>
    <w:rsid w:val="006031BC"/>
    <w:rsid w:val="006035BC"/>
    <w:rsid w:val="00603AF5"/>
    <w:rsid w:val="00603D76"/>
    <w:rsid w:val="0060516E"/>
    <w:rsid w:val="00606BC2"/>
    <w:rsid w:val="00606C66"/>
    <w:rsid w:val="00607151"/>
    <w:rsid w:val="0060733B"/>
    <w:rsid w:val="00607441"/>
    <w:rsid w:val="00607A8A"/>
    <w:rsid w:val="00607B4F"/>
    <w:rsid w:val="0061000F"/>
    <w:rsid w:val="00610145"/>
    <w:rsid w:val="00610A56"/>
    <w:rsid w:val="00610A5A"/>
    <w:rsid w:val="00610D1F"/>
    <w:rsid w:val="0061110D"/>
    <w:rsid w:val="0061172E"/>
    <w:rsid w:val="00612095"/>
    <w:rsid w:val="006120DB"/>
    <w:rsid w:val="006123C6"/>
    <w:rsid w:val="0061284F"/>
    <w:rsid w:val="00612C02"/>
    <w:rsid w:val="00612CDD"/>
    <w:rsid w:val="006132BE"/>
    <w:rsid w:val="00613F21"/>
    <w:rsid w:val="00614614"/>
    <w:rsid w:val="00614A60"/>
    <w:rsid w:val="0061562E"/>
    <w:rsid w:val="00615701"/>
    <w:rsid w:val="00615B0E"/>
    <w:rsid w:val="0061680A"/>
    <w:rsid w:val="00616D41"/>
    <w:rsid w:val="00616F97"/>
    <w:rsid w:val="00617292"/>
    <w:rsid w:val="006177DA"/>
    <w:rsid w:val="00617860"/>
    <w:rsid w:val="006178B1"/>
    <w:rsid w:val="00617BA9"/>
    <w:rsid w:val="00617DA5"/>
    <w:rsid w:val="00617DD8"/>
    <w:rsid w:val="006200A9"/>
    <w:rsid w:val="00620BD2"/>
    <w:rsid w:val="00621313"/>
    <w:rsid w:val="00621A6D"/>
    <w:rsid w:val="00622225"/>
    <w:rsid w:val="00622959"/>
    <w:rsid w:val="00622AC7"/>
    <w:rsid w:val="00622D03"/>
    <w:rsid w:val="00622DCD"/>
    <w:rsid w:val="00622F57"/>
    <w:rsid w:val="006233DA"/>
    <w:rsid w:val="00623598"/>
    <w:rsid w:val="00623BF1"/>
    <w:rsid w:val="00623CA5"/>
    <w:rsid w:val="00623CE1"/>
    <w:rsid w:val="00623DD5"/>
    <w:rsid w:val="00624269"/>
    <w:rsid w:val="0062467F"/>
    <w:rsid w:val="00624A34"/>
    <w:rsid w:val="00624AEC"/>
    <w:rsid w:val="00624CB8"/>
    <w:rsid w:val="00624F26"/>
    <w:rsid w:val="00625372"/>
    <w:rsid w:val="0062568D"/>
    <w:rsid w:val="006256D3"/>
    <w:rsid w:val="00625796"/>
    <w:rsid w:val="00626502"/>
    <w:rsid w:val="006267F5"/>
    <w:rsid w:val="00626B57"/>
    <w:rsid w:val="00627337"/>
    <w:rsid w:val="006274F0"/>
    <w:rsid w:val="00630069"/>
    <w:rsid w:val="00630583"/>
    <w:rsid w:val="00630D2E"/>
    <w:rsid w:val="00630D39"/>
    <w:rsid w:val="00631310"/>
    <w:rsid w:val="00631A0A"/>
    <w:rsid w:val="00631A61"/>
    <w:rsid w:val="00631E19"/>
    <w:rsid w:val="00632420"/>
    <w:rsid w:val="006325F2"/>
    <w:rsid w:val="006326EB"/>
    <w:rsid w:val="00632D09"/>
    <w:rsid w:val="0063310D"/>
    <w:rsid w:val="0063339A"/>
    <w:rsid w:val="00633E28"/>
    <w:rsid w:val="00633E6A"/>
    <w:rsid w:val="00633E76"/>
    <w:rsid w:val="00633EC9"/>
    <w:rsid w:val="00633FF9"/>
    <w:rsid w:val="006340F5"/>
    <w:rsid w:val="00634313"/>
    <w:rsid w:val="00634389"/>
    <w:rsid w:val="00634542"/>
    <w:rsid w:val="006346C9"/>
    <w:rsid w:val="00634F2D"/>
    <w:rsid w:val="0063540F"/>
    <w:rsid w:val="00635D9D"/>
    <w:rsid w:val="00635E4D"/>
    <w:rsid w:val="00635E83"/>
    <w:rsid w:val="0063620C"/>
    <w:rsid w:val="00636216"/>
    <w:rsid w:val="006369E3"/>
    <w:rsid w:val="006378BE"/>
    <w:rsid w:val="00637CFD"/>
    <w:rsid w:val="00637D8F"/>
    <w:rsid w:val="00637E18"/>
    <w:rsid w:val="0064032E"/>
    <w:rsid w:val="0064038D"/>
    <w:rsid w:val="006411FB"/>
    <w:rsid w:val="0064141D"/>
    <w:rsid w:val="00641A0B"/>
    <w:rsid w:val="00641AA1"/>
    <w:rsid w:val="00641D5A"/>
    <w:rsid w:val="00641E06"/>
    <w:rsid w:val="00641F7D"/>
    <w:rsid w:val="0064225B"/>
    <w:rsid w:val="006423E1"/>
    <w:rsid w:val="006427A3"/>
    <w:rsid w:val="006427B4"/>
    <w:rsid w:val="00642E29"/>
    <w:rsid w:val="00642E85"/>
    <w:rsid w:val="00643007"/>
    <w:rsid w:val="006431D0"/>
    <w:rsid w:val="006432C5"/>
    <w:rsid w:val="006436FA"/>
    <w:rsid w:val="00643852"/>
    <w:rsid w:val="00643A74"/>
    <w:rsid w:val="00643C27"/>
    <w:rsid w:val="006451D0"/>
    <w:rsid w:val="006452D9"/>
    <w:rsid w:val="0064550F"/>
    <w:rsid w:val="0064553D"/>
    <w:rsid w:val="006455D8"/>
    <w:rsid w:val="006455E7"/>
    <w:rsid w:val="00645758"/>
    <w:rsid w:val="00645C1C"/>
    <w:rsid w:val="00645FA2"/>
    <w:rsid w:val="006461A1"/>
    <w:rsid w:val="006461C6"/>
    <w:rsid w:val="00646708"/>
    <w:rsid w:val="00646BF6"/>
    <w:rsid w:val="00647422"/>
    <w:rsid w:val="006477EB"/>
    <w:rsid w:val="00647B39"/>
    <w:rsid w:val="00647E6B"/>
    <w:rsid w:val="00650A6F"/>
    <w:rsid w:val="00650E84"/>
    <w:rsid w:val="0065198B"/>
    <w:rsid w:val="0065199F"/>
    <w:rsid w:val="006525AF"/>
    <w:rsid w:val="0065266A"/>
    <w:rsid w:val="00653869"/>
    <w:rsid w:val="00653972"/>
    <w:rsid w:val="00653BD3"/>
    <w:rsid w:val="00653BEB"/>
    <w:rsid w:val="00653F4B"/>
    <w:rsid w:val="00653F9C"/>
    <w:rsid w:val="00654617"/>
    <w:rsid w:val="00655383"/>
    <w:rsid w:val="0065546E"/>
    <w:rsid w:val="00655470"/>
    <w:rsid w:val="00655519"/>
    <w:rsid w:val="00655C6C"/>
    <w:rsid w:val="00655FC9"/>
    <w:rsid w:val="00656FEE"/>
    <w:rsid w:val="0065758F"/>
    <w:rsid w:val="00657835"/>
    <w:rsid w:val="006601BA"/>
    <w:rsid w:val="00660897"/>
    <w:rsid w:val="00661028"/>
    <w:rsid w:val="0066174F"/>
    <w:rsid w:val="006617BD"/>
    <w:rsid w:val="00661822"/>
    <w:rsid w:val="0066194D"/>
    <w:rsid w:val="00661BF6"/>
    <w:rsid w:val="0066205A"/>
    <w:rsid w:val="00662955"/>
    <w:rsid w:val="00662A21"/>
    <w:rsid w:val="00662B20"/>
    <w:rsid w:val="006630EC"/>
    <w:rsid w:val="006635A9"/>
    <w:rsid w:val="00664264"/>
    <w:rsid w:val="00664695"/>
    <w:rsid w:val="00664840"/>
    <w:rsid w:val="00664B44"/>
    <w:rsid w:val="00664FF0"/>
    <w:rsid w:val="006651A6"/>
    <w:rsid w:val="006652BF"/>
    <w:rsid w:val="00665385"/>
    <w:rsid w:val="00665401"/>
    <w:rsid w:val="00665437"/>
    <w:rsid w:val="00665895"/>
    <w:rsid w:val="006659B0"/>
    <w:rsid w:val="00665E89"/>
    <w:rsid w:val="0066630C"/>
    <w:rsid w:val="00666653"/>
    <w:rsid w:val="00667BBD"/>
    <w:rsid w:val="00670533"/>
    <w:rsid w:val="006705B0"/>
    <w:rsid w:val="00670750"/>
    <w:rsid w:val="0067078A"/>
    <w:rsid w:val="006707B3"/>
    <w:rsid w:val="00671149"/>
    <w:rsid w:val="00671615"/>
    <w:rsid w:val="00671741"/>
    <w:rsid w:val="00671766"/>
    <w:rsid w:val="00671B41"/>
    <w:rsid w:val="006723F1"/>
    <w:rsid w:val="00672914"/>
    <w:rsid w:val="00673228"/>
    <w:rsid w:val="0067345D"/>
    <w:rsid w:val="00673AE3"/>
    <w:rsid w:val="00673E60"/>
    <w:rsid w:val="00673FAB"/>
    <w:rsid w:val="0067410A"/>
    <w:rsid w:val="006742FC"/>
    <w:rsid w:val="006744C3"/>
    <w:rsid w:val="00674FC7"/>
    <w:rsid w:val="0067537F"/>
    <w:rsid w:val="0067616B"/>
    <w:rsid w:val="0067622E"/>
    <w:rsid w:val="00676410"/>
    <w:rsid w:val="00676BFE"/>
    <w:rsid w:val="006774B3"/>
    <w:rsid w:val="006778EF"/>
    <w:rsid w:val="00680509"/>
    <w:rsid w:val="006805CB"/>
    <w:rsid w:val="0068076B"/>
    <w:rsid w:val="00680B2A"/>
    <w:rsid w:val="00681311"/>
    <w:rsid w:val="00681359"/>
    <w:rsid w:val="006813BD"/>
    <w:rsid w:val="00681874"/>
    <w:rsid w:val="00681930"/>
    <w:rsid w:val="00681C28"/>
    <w:rsid w:val="00681CC1"/>
    <w:rsid w:val="00682267"/>
    <w:rsid w:val="0068233B"/>
    <w:rsid w:val="0068279B"/>
    <w:rsid w:val="00682A9F"/>
    <w:rsid w:val="00682E11"/>
    <w:rsid w:val="00682ED9"/>
    <w:rsid w:val="00683081"/>
    <w:rsid w:val="00683090"/>
    <w:rsid w:val="00683CD2"/>
    <w:rsid w:val="006846FA"/>
    <w:rsid w:val="00684814"/>
    <w:rsid w:val="00684C95"/>
    <w:rsid w:val="006850D3"/>
    <w:rsid w:val="00685249"/>
    <w:rsid w:val="006856B9"/>
    <w:rsid w:val="00685965"/>
    <w:rsid w:val="00685BDE"/>
    <w:rsid w:val="00686085"/>
    <w:rsid w:val="00687760"/>
    <w:rsid w:val="006879B9"/>
    <w:rsid w:val="00687C0D"/>
    <w:rsid w:val="0069060D"/>
    <w:rsid w:val="00691237"/>
    <w:rsid w:val="006918C0"/>
    <w:rsid w:val="006920E6"/>
    <w:rsid w:val="006923C1"/>
    <w:rsid w:val="00692555"/>
    <w:rsid w:val="006935B1"/>
    <w:rsid w:val="00693B99"/>
    <w:rsid w:val="0069483B"/>
    <w:rsid w:val="00694CDB"/>
    <w:rsid w:val="00695A51"/>
    <w:rsid w:val="00695B2E"/>
    <w:rsid w:val="00695CB7"/>
    <w:rsid w:val="00695EA6"/>
    <w:rsid w:val="0069616C"/>
    <w:rsid w:val="00696566"/>
    <w:rsid w:val="006966BA"/>
    <w:rsid w:val="00696747"/>
    <w:rsid w:val="006969BC"/>
    <w:rsid w:val="0069722D"/>
    <w:rsid w:val="0069728A"/>
    <w:rsid w:val="00697993"/>
    <w:rsid w:val="006A0052"/>
    <w:rsid w:val="006A00F1"/>
    <w:rsid w:val="006A0838"/>
    <w:rsid w:val="006A0A6C"/>
    <w:rsid w:val="006A0A9E"/>
    <w:rsid w:val="006A176F"/>
    <w:rsid w:val="006A19EF"/>
    <w:rsid w:val="006A1F1C"/>
    <w:rsid w:val="006A2CD4"/>
    <w:rsid w:val="006A34F9"/>
    <w:rsid w:val="006A37A4"/>
    <w:rsid w:val="006A3836"/>
    <w:rsid w:val="006A3DD3"/>
    <w:rsid w:val="006A4109"/>
    <w:rsid w:val="006A4211"/>
    <w:rsid w:val="006A4430"/>
    <w:rsid w:val="006A4542"/>
    <w:rsid w:val="006A4625"/>
    <w:rsid w:val="006A47AE"/>
    <w:rsid w:val="006A54CA"/>
    <w:rsid w:val="006A57B6"/>
    <w:rsid w:val="006A5A91"/>
    <w:rsid w:val="006A5B5E"/>
    <w:rsid w:val="006A5BA1"/>
    <w:rsid w:val="006A5BF2"/>
    <w:rsid w:val="006A5F6F"/>
    <w:rsid w:val="006A6062"/>
    <w:rsid w:val="006A6405"/>
    <w:rsid w:val="006A6462"/>
    <w:rsid w:val="006A65EB"/>
    <w:rsid w:val="006A67CB"/>
    <w:rsid w:val="006A6B44"/>
    <w:rsid w:val="006A6C86"/>
    <w:rsid w:val="006A726D"/>
    <w:rsid w:val="006A76DF"/>
    <w:rsid w:val="006A7FFB"/>
    <w:rsid w:val="006B02DE"/>
    <w:rsid w:val="006B0368"/>
    <w:rsid w:val="006B0904"/>
    <w:rsid w:val="006B0F6E"/>
    <w:rsid w:val="006B1786"/>
    <w:rsid w:val="006B19A1"/>
    <w:rsid w:val="006B1D7B"/>
    <w:rsid w:val="006B22EF"/>
    <w:rsid w:val="006B27D4"/>
    <w:rsid w:val="006B2952"/>
    <w:rsid w:val="006B2C9C"/>
    <w:rsid w:val="006B3CD5"/>
    <w:rsid w:val="006B3DCF"/>
    <w:rsid w:val="006B3EA4"/>
    <w:rsid w:val="006B46F3"/>
    <w:rsid w:val="006B48EB"/>
    <w:rsid w:val="006B496F"/>
    <w:rsid w:val="006B4C00"/>
    <w:rsid w:val="006B5445"/>
    <w:rsid w:val="006B56FC"/>
    <w:rsid w:val="006B5C4E"/>
    <w:rsid w:val="006B62D3"/>
    <w:rsid w:val="006B6D91"/>
    <w:rsid w:val="006B6DDA"/>
    <w:rsid w:val="006B6F12"/>
    <w:rsid w:val="006B73D9"/>
    <w:rsid w:val="006B7AFD"/>
    <w:rsid w:val="006B7DF0"/>
    <w:rsid w:val="006B7E74"/>
    <w:rsid w:val="006C0D75"/>
    <w:rsid w:val="006C1484"/>
    <w:rsid w:val="006C1720"/>
    <w:rsid w:val="006C1C48"/>
    <w:rsid w:val="006C2A6B"/>
    <w:rsid w:val="006C3329"/>
    <w:rsid w:val="006C37ED"/>
    <w:rsid w:val="006C37F5"/>
    <w:rsid w:val="006C3C1D"/>
    <w:rsid w:val="006C3C50"/>
    <w:rsid w:val="006C418D"/>
    <w:rsid w:val="006C41FF"/>
    <w:rsid w:val="006C461A"/>
    <w:rsid w:val="006C4A0D"/>
    <w:rsid w:val="006C5046"/>
    <w:rsid w:val="006C5071"/>
    <w:rsid w:val="006C5145"/>
    <w:rsid w:val="006C5541"/>
    <w:rsid w:val="006C55DA"/>
    <w:rsid w:val="006C5CEA"/>
    <w:rsid w:val="006C5F76"/>
    <w:rsid w:val="006C65A8"/>
    <w:rsid w:val="006C6FE8"/>
    <w:rsid w:val="006C6FE9"/>
    <w:rsid w:val="006C7254"/>
    <w:rsid w:val="006C7684"/>
    <w:rsid w:val="006C7837"/>
    <w:rsid w:val="006C7CF4"/>
    <w:rsid w:val="006D05AD"/>
    <w:rsid w:val="006D06C2"/>
    <w:rsid w:val="006D0EC1"/>
    <w:rsid w:val="006D10A1"/>
    <w:rsid w:val="006D16F8"/>
    <w:rsid w:val="006D1813"/>
    <w:rsid w:val="006D24A9"/>
    <w:rsid w:val="006D2A2F"/>
    <w:rsid w:val="006D2AF3"/>
    <w:rsid w:val="006D3468"/>
    <w:rsid w:val="006D3E35"/>
    <w:rsid w:val="006D3FF5"/>
    <w:rsid w:val="006D46FF"/>
    <w:rsid w:val="006D4899"/>
    <w:rsid w:val="006D4919"/>
    <w:rsid w:val="006D4D79"/>
    <w:rsid w:val="006D4FBB"/>
    <w:rsid w:val="006D4FBD"/>
    <w:rsid w:val="006D5222"/>
    <w:rsid w:val="006D5879"/>
    <w:rsid w:val="006D58BF"/>
    <w:rsid w:val="006D63FD"/>
    <w:rsid w:val="006D65B4"/>
    <w:rsid w:val="006D6C70"/>
    <w:rsid w:val="006D6E3F"/>
    <w:rsid w:val="006D754A"/>
    <w:rsid w:val="006D79D4"/>
    <w:rsid w:val="006D7B9C"/>
    <w:rsid w:val="006E0051"/>
    <w:rsid w:val="006E04C6"/>
    <w:rsid w:val="006E08EC"/>
    <w:rsid w:val="006E0A65"/>
    <w:rsid w:val="006E0EAD"/>
    <w:rsid w:val="006E1281"/>
    <w:rsid w:val="006E16D1"/>
    <w:rsid w:val="006E1A86"/>
    <w:rsid w:val="006E1B01"/>
    <w:rsid w:val="006E1E15"/>
    <w:rsid w:val="006E22D6"/>
    <w:rsid w:val="006E237B"/>
    <w:rsid w:val="006E2B17"/>
    <w:rsid w:val="006E3C02"/>
    <w:rsid w:val="006E3E3D"/>
    <w:rsid w:val="006E4836"/>
    <w:rsid w:val="006E486D"/>
    <w:rsid w:val="006E48CE"/>
    <w:rsid w:val="006E4AAE"/>
    <w:rsid w:val="006E5DDD"/>
    <w:rsid w:val="006E6215"/>
    <w:rsid w:val="006E6776"/>
    <w:rsid w:val="006E68C9"/>
    <w:rsid w:val="006E7633"/>
    <w:rsid w:val="006E7811"/>
    <w:rsid w:val="006E7892"/>
    <w:rsid w:val="006E7E99"/>
    <w:rsid w:val="006F04DA"/>
    <w:rsid w:val="006F0557"/>
    <w:rsid w:val="006F09B1"/>
    <w:rsid w:val="006F0AB5"/>
    <w:rsid w:val="006F0C3C"/>
    <w:rsid w:val="006F0D23"/>
    <w:rsid w:val="006F0EA3"/>
    <w:rsid w:val="006F10D8"/>
    <w:rsid w:val="006F1B5D"/>
    <w:rsid w:val="006F1F1C"/>
    <w:rsid w:val="006F212B"/>
    <w:rsid w:val="006F2140"/>
    <w:rsid w:val="006F2353"/>
    <w:rsid w:val="006F28CA"/>
    <w:rsid w:val="006F2AD9"/>
    <w:rsid w:val="006F306D"/>
    <w:rsid w:val="006F34AF"/>
    <w:rsid w:val="006F37F7"/>
    <w:rsid w:val="006F3C5A"/>
    <w:rsid w:val="006F40DD"/>
    <w:rsid w:val="006F4A61"/>
    <w:rsid w:val="006F4ADC"/>
    <w:rsid w:val="006F5246"/>
    <w:rsid w:val="006F5B06"/>
    <w:rsid w:val="006F61AB"/>
    <w:rsid w:val="006F643D"/>
    <w:rsid w:val="006F675C"/>
    <w:rsid w:val="006F6A58"/>
    <w:rsid w:val="006F6AE4"/>
    <w:rsid w:val="006F6D13"/>
    <w:rsid w:val="006F6DE2"/>
    <w:rsid w:val="006F7759"/>
    <w:rsid w:val="006F7864"/>
    <w:rsid w:val="006F7CA7"/>
    <w:rsid w:val="006F7D95"/>
    <w:rsid w:val="006F7F0C"/>
    <w:rsid w:val="00700108"/>
    <w:rsid w:val="007002CB"/>
    <w:rsid w:val="00700D41"/>
    <w:rsid w:val="00700DD0"/>
    <w:rsid w:val="00701576"/>
    <w:rsid w:val="007016B3"/>
    <w:rsid w:val="00701B21"/>
    <w:rsid w:val="00702384"/>
    <w:rsid w:val="00702B02"/>
    <w:rsid w:val="00702C66"/>
    <w:rsid w:val="007035F7"/>
    <w:rsid w:val="0070364B"/>
    <w:rsid w:val="00703949"/>
    <w:rsid w:val="0070458A"/>
    <w:rsid w:val="00704804"/>
    <w:rsid w:val="00704BAE"/>
    <w:rsid w:val="00705202"/>
    <w:rsid w:val="00705807"/>
    <w:rsid w:val="00705AB3"/>
    <w:rsid w:val="00705C74"/>
    <w:rsid w:val="00705C78"/>
    <w:rsid w:val="007060E1"/>
    <w:rsid w:val="00706824"/>
    <w:rsid w:val="00706857"/>
    <w:rsid w:val="00706B85"/>
    <w:rsid w:val="00706D48"/>
    <w:rsid w:val="007071FC"/>
    <w:rsid w:val="0070785A"/>
    <w:rsid w:val="0070789D"/>
    <w:rsid w:val="00707BE2"/>
    <w:rsid w:val="00707C84"/>
    <w:rsid w:val="00710A59"/>
    <w:rsid w:val="00710F53"/>
    <w:rsid w:val="00710FDE"/>
    <w:rsid w:val="007116C7"/>
    <w:rsid w:val="00711797"/>
    <w:rsid w:val="0071185F"/>
    <w:rsid w:val="00711C5A"/>
    <w:rsid w:val="00712B66"/>
    <w:rsid w:val="00712D27"/>
    <w:rsid w:val="00713C31"/>
    <w:rsid w:val="0071428D"/>
    <w:rsid w:val="007144C9"/>
    <w:rsid w:val="00714D5B"/>
    <w:rsid w:val="00714DEF"/>
    <w:rsid w:val="007156CE"/>
    <w:rsid w:val="007169B7"/>
    <w:rsid w:val="00716B3C"/>
    <w:rsid w:val="00716FD0"/>
    <w:rsid w:val="007170C2"/>
    <w:rsid w:val="007174C0"/>
    <w:rsid w:val="007179DE"/>
    <w:rsid w:val="00717B5D"/>
    <w:rsid w:val="00717D41"/>
    <w:rsid w:val="00717EE4"/>
    <w:rsid w:val="00717F2D"/>
    <w:rsid w:val="00720453"/>
    <w:rsid w:val="00720568"/>
    <w:rsid w:val="007205C9"/>
    <w:rsid w:val="00720853"/>
    <w:rsid w:val="007208D7"/>
    <w:rsid w:val="00720DFE"/>
    <w:rsid w:val="00720E98"/>
    <w:rsid w:val="007211E0"/>
    <w:rsid w:val="0072122E"/>
    <w:rsid w:val="007212CF"/>
    <w:rsid w:val="00721F50"/>
    <w:rsid w:val="00722129"/>
    <w:rsid w:val="00722869"/>
    <w:rsid w:val="00722F4F"/>
    <w:rsid w:val="00722FCB"/>
    <w:rsid w:val="0072353D"/>
    <w:rsid w:val="0072388D"/>
    <w:rsid w:val="00723A84"/>
    <w:rsid w:val="00724173"/>
    <w:rsid w:val="00724452"/>
    <w:rsid w:val="00724636"/>
    <w:rsid w:val="00724A03"/>
    <w:rsid w:val="00725D3D"/>
    <w:rsid w:val="00725E76"/>
    <w:rsid w:val="00725EE3"/>
    <w:rsid w:val="00726292"/>
    <w:rsid w:val="0072643A"/>
    <w:rsid w:val="0072648A"/>
    <w:rsid w:val="00726730"/>
    <w:rsid w:val="0072761E"/>
    <w:rsid w:val="00727695"/>
    <w:rsid w:val="00727C94"/>
    <w:rsid w:val="00730038"/>
    <w:rsid w:val="00730549"/>
    <w:rsid w:val="00730598"/>
    <w:rsid w:val="007308BB"/>
    <w:rsid w:val="007313CF"/>
    <w:rsid w:val="007315A7"/>
    <w:rsid w:val="00731B91"/>
    <w:rsid w:val="00731C24"/>
    <w:rsid w:val="00731EDB"/>
    <w:rsid w:val="007323D4"/>
    <w:rsid w:val="0073257E"/>
    <w:rsid w:val="00732A32"/>
    <w:rsid w:val="00732B1C"/>
    <w:rsid w:val="00733066"/>
    <w:rsid w:val="0073328A"/>
    <w:rsid w:val="00733469"/>
    <w:rsid w:val="00733539"/>
    <w:rsid w:val="00733686"/>
    <w:rsid w:val="00733827"/>
    <w:rsid w:val="007338B5"/>
    <w:rsid w:val="0073419A"/>
    <w:rsid w:val="007341FE"/>
    <w:rsid w:val="00734302"/>
    <w:rsid w:val="00734487"/>
    <w:rsid w:val="00734585"/>
    <w:rsid w:val="007346C8"/>
    <w:rsid w:val="00734734"/>
    <w:rsid w:val="0073522F"/>
    <w:rsid w:val="00735557"/>
    <w:rsid w:val="00735853"/>
    <w:rsid w:val="00735F58"/>
    <w:rsid w:val="00735FC0"/>
    <w:rsid w:val="0073608D"/>
    <w:rsid w:val="007366AA"/>
    <w:rsid w:val="007367E3"/>
    <w:rsid w:val="0073697E"/>
    <w:rsid w:val="00736EE0"/>
    <w:rsid w:val="00737108"/>
    <w:rsid w:val="007374E5"/>
    <w:rsid w:val="0073772D"/>
    <w:rsid w:val="007377C7"/>
    <w:rsid w:val="007379CE"/>
    <w:rsid w:val="00737E09"/>
    <w:rsid w:val="00737F7A"/>
    <w:rsid w:val="007402DB"/>
    <w:rsid w:val="007404CE"/>
    <w:rsid w:val="00740999"/>
    <w:rsid w:val="00740DC6"/>
    <w:rsid w:val="007419A7"/>
    <w:rsid w:val="00741B21"/>
    <w:rsid w:val="00741DD8"/>
    <w:rsid w:val="00741E49"/>
    <w:rsid w:val="00742127"/>
    <w:rsid w:val="0074250D"/>
    <w:rsid w:val="007425BC"/>
    <w:rsid w:val="007430BA"/>
    <w:rsid w:val="007437DA"/>
    <w:rsid w:val="007438B1"/>
    <w:rsid w:val="00743B17"/>
    <w:rsid w:val="007443FE"/>
    <w:rsid w:val="007445E2"/>
    <w:rsid w:val="0074488E"/>
    <w:rsid w:val="007449AD"/>
    <w:rsid w:val="00745496"/>
    <w:rsid w:val="0074553B"/>
    <w:rsid w:val="00745998"/>
    <w:rsid w:val="007460DA"/>
    <w:rsid w:val="00746766"/>
    <w:rsid w:val="00746BDA"/>
    <w:rsid w:val="00746C77"/>
    <w:rsid w:val="00746FF0"/>
    <w:rsid w:val="0074705B"/>
    <w:rsid w:val="007470EC"/>
    <w:rsid w:val="0075020B"/>
    <w:rsid w:val="00750CEF"/>
    <w:rsid w:val="00750D80"/>
    <w:rsid w:val="00751017"/>
    <w:rsid w:val="007510B7"/>
    <w:rsid w:val="007514B8"/>
    <w:rsid w:val="00751960"/>
    <w:rsid w:val="00751C91"/>
    <w:rsid w:val="00751ECA"/>
    <w:rsid w:val="00752401"/>
    <w:rsid w:val="00752884"/>
    <w:rsid w:val="00752B99"/>
    <w:rsid w:val="00752E29"/>
    <w:rsid w:val="00752F0F"/>
    <w:rsid w:val="0075322E"/>
    <w:rsid w:val="007535C7"/>
    <w:rsid w:val="00754887"/>
    <w:rsid w:val="00754B2F"/>
    <w:rsid w:val="007555D1"/>
    <w:rsid w:val="00755891"/>
    <w:rsid w:val="00756551"/>
    <w:rsid w:val="007566FF"/>
    <w:rsid w:val="007576E3"/>
    <w:rsid w:val="00757769"/>
    <w:rsid w:val="007577CE"/>
    <w:rsid w:val="0076067E"/>
    <w:rsid w:val="00760C40"/>
    <w:rsid w:val="00761AB5"/>
    <w:rsid w:val="00761B23"/>
    <w:rsid w:val="00761BFD"/>
    <w:rsid w:val="00761D5C"/>
    <w:rsid w:val="00761FE5"/>
    <w:rsid w:val="00762476"/>
    <w:rsid w:val="00762A18"/>
    <w:rsid w:val="00762D22"/>
    <w:rsid w:val="00763575"/>
    <w:rsid w:val="007636BE"/>
    <w:rsid w:val="00763AE2"/>
    <w:rsid w:val="00763DA3"/>
    <w:rsid w:val="00763E4E"/>
    <w:rsid w:val="0076467D"/>
    <w:rsid w:val="0076488E"/>
    <w:rsid w:val="00764BDC"/>
    <w:rsid w:val="00765AC9"/>
    <w:rsid w:val="00766D90"/>
    <w:rsid w:val="00767334"/>
    <w:rsid w:val="00767BF3"/>
    <w:rsid w:val="00767C19"/>
    <w:rsid w:val="00767D4E"/>
    <w:rsid w:val="00770178"/>
    <w:rsid w:val="007701FC"/>
    <w:rsid w:val="007705FE"/>
    <w:rsid w:val="00770C79"/>
    <w:rsid w:val="00771067"/>
    <w:rsid w:val="00771679"/>
    <w:rsid w:val="00771A48"/>
    <w:rsid w:val="007721E7"/>
    <w:rsid w:val="00772296"/>
    <w:rsid w:val="007722ED"/>
    <w:rsid w:val="007723D0"/>
    <w:rsid w:val="0077255E"/>
    <w:rsid w:val="00772BDE"/>
    <w:rsid w:val="00773A22"/>
    <w:rsid w:val="0077408B"/>
    <w:rsid w:val="0077453D"/>
    <w:rsid w:val="00774AF6"/>
    <w:rsid w:val="00774B28"/>
    <w:rsid w:val="00774EC8"/>
    <w:rsid w:val="007754D6"/>
    <w:rsid w:val="00776781"/>
    <w:rsid w:val="00776F53"/>
    <w:rsid w:val="007776CC"/>
    <w:rsid w:val="00777CE9"/>
    <w:rsid w:val="007802DB"/>
    <w:rsid w:val="00780D05"/>
    <w:rsid w:val="0078119D"/>
    <w:rsid w:val="0078195C"/>
    <w:rsid w:val="00782E71"/>
    <w:rsid w:val="0078345C"/>
    <w:rsid w:val="0078361D"/>
    <w:rsid w:val="00783C7B"/>
    <w:rsid w:val="00783F17"/>
    <w:rsid w:val="00784796"/>
    <w:rsid w:val="007847DE"/>
    <w:rsid w:val="00784EDE"/>
    <w:rsid w:val="00785209"/>
    <w:rsid w:val="00785428"/>
    <w:rsid w:val="0078556C"/>
    <w:rsid w:val="007855C5"/>
    <w:rsid w:val="007856D3"/>
    <w:rsid w:val="00785ABD"/>
    <w:rsid w:val="007860C6"/>
    <w:rsid w:val="00786254"/>
    <w:rsid w:val="00786DB0"/>
    <w:rsid w:val="00786F28"/>
    <w:rsid w:val="007875C1"/>
    <w:rsid w:val="00787969"/>
    <w:rsid w:val="00787D47"/>
    <w:rsid w:val="0079014E"/>
    <w:rsid w:val="00790ACF"/>
    <w:rsid w:val="00790E46"/>
    <w:rsid w:val="00791141"/>
    <w:rsid w:val="00791183"/>
    <w:rsid w:val="007912D7"/>
    <w:rsid w:val="0079148B"/>
    <w:rsid w:val="00791565"/>
    <w:rsid w:val="00791801"/>
    <w:rsid w:val="00791EDF"/>
    <w:rsid w:val="00791F2E"/>
    <w:rsid w:val="00792971"/>
    <w:rsid w:val="007929AB"/>
    <w:rsid w:val="007935C6"/>
    <w:rsid w:val="00794129"/>
    <w:rsid w:val="00794396"/>
    <w:rsid w:val="00794516"/>
    <w:rsid w:val="007945B3"/>
    <w:rsid w:val="00794878"/>
    <w:rsid w:val="00795512"/>
    <w:rsid w:val="00795AB7"/>
    <w:rsid w:val="00795B1C"/>
    <w:rsid w:val="00795B5C"/>
    <w:rsid w:val="00795E37"/>
    <w:rsid w:val="00796470"/>
    <w:rsid w:val="0079693E"/>
    <w:rsid w:val="0079694C"/>
    <w:rsid w:val="00796D89"/>
    <w:rsid w:val="00796DA2"/>
    <w:rsid w:val="007A0415"/>
    <w:rsid w:val="007A0557"/>
    <w:rsid w:val="007A069F"/>
    <w:rsid w:val="007A06BA"/>
    <w:rsid w:val="007A0713"/>
    <w:rsid w:val="007A0C77"/>
    <w:rsid w:val="007A0CC2"/>
    <w:rsid w:val="007A1473"/>
    <w:rsid w:val="007A180B"/>
    <w:rsid w:val="007A1FED"/>
    <w:rsid w:val="007A25B9"/>
    <w:rsid w:val="007A27BD"/>
    <w:rsid w:val="007A294A"/>
    <w:rsid w:val="007A2D99"/>
    <w:rsid w:val="007A2DF0"/>
    <w:rsid w:val="007A3182"/>
    <w:rsid w:val="007A4896"/>
    <w:rsid w:val="007A4C96"/>
    <w:rsid w:val="007A51A6"/>
    <w:rsid w:val="007A523D"/>
    <w:rsid w:val="007A5379"/>
    <w:rsid w:val="007A54BD"/>
    <w:rsid w:val="007A5629"/>
    <w:rsid w:val="007A56E5"/>
    <w:rsid w:val="007A572B"/>
    <w:rsid w:val="007A5FB5"/>
    <w:rsid w:val="007A608D"/>
    <w:rsid w:val="007A60CA"/>
    <w:rsid w:val="007A628A"/>
    <w:rsid w:val="007A67C8"/>
    <w:rsid w:val="007A6C83"/>
    <w:rsid w:val="007A6F0F"/>
    <w:rsid w:val="007A708C"/>
    <w:rsid w:val="007A75B5"/>
    <w:rsid w:val="007A7985"/>
    <w:rsid w:val="007A7ABE"/>
    <w:rsid w:val="007B03C5"/>
    <w:rsid w:val="007B06F4"/>
    <w:rsid w:val="007B202A"/>
    <w:rsid w:val="007B2095"/>
    <w:rsid w:val="007B243E"/>
    <w:rsid w:val="007B26E1"/>
    <w:rsid w:val="007B2925"/>
    <w:rsid w:val="007B3045"/>
    <w:rsid w:val="007B330D"/>
    <w:rsid w:val="007B3B08"/>
    <w:rsid w:val="007B3EE0"/>
    <w:rsid w:val="007B4C0F"/>
    <w:rsid w:val="007B50B9"/>
    <w:rsid w:val="007B54ED"/>
    <w:rsid w:val="007B5547"/>
    <w:rsid w:val="007B57D1"/>
    <w:rsid w:val="007B5E25"/>
    <w:rsid w:val="007B6100"/>
    <w:rsid w:val="007B63A7"/>
    <w:rsid w:val="007B676A"/>
    <w:rsid w:val="007B67E8"/>
    <w:rsid w:val="007B6888"/>
    <w:rsid w:val="007B6AFA"/>
    <w:rsid w:val="007B6E0E"/>
    <w:rsid w:val="007B704C"/>
    <w:rsid w:val="007B707B"/>
    <w:rsid w:val="007B7C75"/>
    <w:rsid w:val="007B7E40"/>
    <w:rsid w:val="007C06D8"/>
    <w:rsid w:val="007C07BD"/>
    <w:rsid w:val="007C0DB0"/>
    <w:rsid w:val="007C1036"/>
    <w:rsid w:val="007C21F9"/>
    <w:rsid w:val="007C27FB"/>
    <w:rsid w:val="007C2CBB"/>
    <w:rsid w:val="007C309C"/>
    <w:rsid w:val="007C3FFB"/>
    <w:rsid w:val="007C4209"/>
    <w:rsid w:val="007C459F"/>
    <w:rsid w:val="007C4870"/>
    <w:rsid w:val="007C5737"/>
    <w:rsid w:val="007C5EB9"/>
    <w:rsid w:val="007C5FC8"/>
    <w:rsid w:val="007C67B2"/>
    <w:rsid w:val="007C69E0"/>
    <w:rsid w:val="007C6AFC"/>
    <w:rsid w:val="007C6F8E"/>
    <w:rsid w:val="007C7126"/>
    <w:rsid w:val="007C7236"/>
    <w:rsid w:val="007C7449"/>
    <w:rsid w:val="007C74CD"/>
    <w:rsid w:val="007C766D"/>
    <w:rsid w:val="007C7EA5"/>
    <w:rsid w:val="007D0989"/>
    <w:rsid w:val="007D1A95"/>
    <w:rsid w:val="007D22CE"/>
    <w:rsid w:val="007D236F"/>
    <w:rsid w:val="007D245E"/>
    <w:rsid w:val="007D25C5"/>
    <w:rsid w:val="007D2A42"/>
    <w:rsid w:val="007D2DBF"/>
    <w:rsid w:val="007D3764"/>
    <w:rsid w:val="007D438F"/>
    <w:rsid w:val="007D44E7"/>
    <w:rsid w:val="007D485A"/>
    <w:rsid w:val="007D4C47"/>
    <w:rsid w:val="007D4E41"/>
    <w:rsid w:val="007D535F"/>
    <w:rsid w:val="007D54FF"/>
    <w:rsid w:val="007D57D4"/>
    <w:rsid w:val="007D5A27"/>
    <w:rsid w:val="007D5C60"/>
    <w:rsid w:val="007D5C6A"/>
    <w:rsid w:val="007D6315"/>
    <w:rsid w:val="007D6332"/>
    <w:rsid w:val="007D63C0"/>
    <w:rsid w:val="007D640C"/>
    <w:rsid w:val="007D724A"/>
    <w:rsid w:val="007D72A9"/>
    <w:rsid w:val="007D7485"/>
    <w:rsid w:val="007D75A3"/>
    <w:rsid w:val="007D7A9D"/>
    <w:rsid w:val="007D7AAA"/>
    <w:rsid w:val="007D7DAE"/>
    <w:rsid w:val="007E0014"/>
    <w:rsid w:val="007E0356"/>
    <w:rsid w:val="007E0551"/>
    <w:rsid w:val="007E10FB"/>
    <w:rsid w:val="007E16E2"/>
    <w:rsid w:val="007E171A"/>
    <w:rsid w:val="007E18DB"/>
    <w:rsid w:val="007E19FE"/>
    <w:rsid w:val="007E1AAC"/>
    <w:rsid w:val="007E239C"/>
    <w:rsid w:val="007E36B3"/>
    <w:rsid w:val="007E3724"/>
    <w:rsid w:val="007E3A29"/>
    <w:rsid w:val="007E3B2C"/>
    <w:rsid w:val="007E3B9C"/>
    <w:rsid w:val="007E4900"/>
    <w:rsid w:val="007E4A2F"/>
    <w:rsid w:val="007E4B28"/>
    <w:rsid w:val="007E4DB2"/>
    <w:rsid w:val="007E5025"/>
    <w:rsid w:val="007E55D3"/>
    <w:rsid w:val="007E5C4A"/>
    <w:rsid w:val="007E6915"/>
    <w:rsid w:val="007E6D9B"/>
    <w:rsid w:val="007E74CA"/>
    <w:rsid w:val="007E7544"/>
    <w:rsid w:val="007E76DA"/>
    <w:rsid w:val="007E7AD3"/>
    <w:rsid w:val="007E7F14"/>
    <w:rsid w:val="007F0070"/>
    <w:rsid w:val="007F0441"/>
    <w:rsid w:val="007F0C05"/>
    <w:rsid w:val="007F0DC5"/>
    <w:rsid w:val="007F0E99"/>
    <w:rsid w:val="007F0F0A"/>
    <w:rsid w:val="007F1C54"/>
    <w:rsid w:val="007F20F1"/>
    <w:rsid w:val="007F2B98"/>
    <w:rsid w:val="007F2F35"/>
    <w:rsid w:val="007F3360"/>
    <w:rsid w:val="007F3DA5"/>
    <w:rsid w:val="007F4055"/>
    <w:rsid w:val="007F4224"/>
    <w:rsid w:val="007F4347"/>
    <w:rsid w:val="007F4DD2"/>
    <w:rsid w:val="007F4E26"/>
    <w:rsid w:val="007F4FB9"/>
    <w:rsid w:val="007F5328"/>
    <w:rsid w:val="007F53A9"/>
    <w:rsid w:val="007F6264"/>
    <w:rsid w:val="007F6712"/>
    <w:rsid w:val="007F7022"/>
    <w:rsid w:val="007F709F"/>
    <w:rsid w:val="007F7690"/>
    <w:rsid w:val="007F7755"/>
    <w:rsid w:val="007F793A"/>
    <w:rsid w:val="00800092"/>
    <w:rsid w:val="008006AD"/>
    <w:rsid w:val="00800D2B"/>
    <w:rsid w:val="00800EC0"/>
    <w:rsid w:val="00800EEA"/>
    <w:rsid w:val="00800F18"/>
    <w:rsid w:val="008010F4"/>
    <w:rsid w:val="008011CC"/>
    <w:rsid w:val="008012C5"/>
    <w:rsid w:val="00801404"/>
    <w:rsid w:val="008017AA"/>
    <w:rsid w:val="00801CBA"/>
    <w:rsid w:val="00801D92"/>
    <w:rsid w:val="00802359"/>
    <w:rsid w:val="00802DE3"/>
    <w:rsid w:val="008033E5"/>
    <w:rsid w:val="00803538"/>
    <w:rsid w:val="00803625"/>
    <w:rsid w:val="00803839"/>
    <w:rsid w:val="0080421F"/>
    <w:rsid w:val="00804560"/>
    <w:rsid w:val="00804BCF"/>
    <w:rsid w:val="00804D5D"/>
    <w:rsid w:val="00804FA4"/>
    <w:rsid w:val="00805275"/>
    <w:rsid w:val="00805B3C"/>
    <w:rsid w:val="00805CB9"/>
    <w:rsid w:val="008060D5"/>
    <w:rsid w:val="00806430"/>
    <w:rsid w:val="00806938"/>
    <w:rsid w:val="00806A62"/>
    <w:rsid w:val="00806E55"/>
    <w:rsid w:val="0080740B"/>
    <w:rsid w:val="008075CE"/>
    <w:rsid w:val="00807776"/>
    <w:rsid w:val="00807DC4"/>
    <w:rsid w:val="00810E7E"/>
    <w:rsid w:val="00810FE2"/>
    <w:rsid w:val="0081114B"/>
    <w:rsid w:val="00811343"/>
    <w:rsid w:val="0081174F"/>
    <w:rsid w:val="00811C66"/>
    <w:rsid w:val="00812073"/>
    <w:rsid w:val="00812179"/>
    <w:rsid w:val="008124E2"/>
    <w:rsid w:val="00812699"/>
    <w:rsid w:val="00812715"/>
    <w:rsid w:val="00813460"/>
    <w:rsid w:val="00813928"/>
    <w:rsid w:val="00814CD6"/>
    <w:rsid w:val="00815321"/>
    <w:rsid w:val="00815EEF"/>
    <w:rsid w:val="008166DB"/>
    <w:rsid w:val="0081681E"/>
    <w:rsid w:val="00816A94"/>
    <w:rsid w:val="00816F6F"/>
    <w:rsid w:val="008173E0"/>
    <w:rsid w:val="008175C1"/>
    <w:rsid w:val="008176E2"/>
    <w:rsid w:val="00817AEB"/>
    <w:rsid w:val="008200D4"/>
    <w:rsid w:val="00820236"/>
    <w:rsid w:val="00820370"/>
    <w:rsid w:val="00820400"/>
    <w:rsid w:val="0082049B"/>
    <w:rsid w:val="00820537"/>
    <w:rsid w:val="00820CC6"/>
    <w:rsid w:val="00822851"/>
    <w:rsid w:val="00822C41"/>
    <w:rsid w:val="00822C6E"/>
    <w:rsid w:val="008230D5"/>
    <w:rsid w:val="00823218"/>
    <w:rsid w:val="00823CBC"/>
    <w:rsid w:val="00824113"/>
    <w:rsid w:val="008242E4"/>
    <w:rsid w:val="00825043"/>
    <w:rsid w:val="00825267"/>
    <w:rsid w:val="00825F28"/>
    <w:rsid w:val="008263DC"/>
    <w:rsid w:val="008264EC"/>
    <w:rsid w:val="00826B36"/>
    <w:rsid w:val="00827634"/>
    <w:rsid w:val="00827C0D"/>
    <w:rsid w:val="00827D5C"/>
    <w:rsid w:val="00827F82"/>
    <w:rsid w:val="00830642"/>
    <w:rsid w:val="00831250"/>
    <w:rsid w:val="008315AE"/>
    <w:rsid w:val="00831C89"/>
    <w:rsid w:val="00831D8D"/>
    <w:rsid w:val="00831DC2"/>
    <w:rsid w:val="00831DEE"/>
    <w:rsid w:val="008322D8"/>
    <w:rsid w:val="00832566"/>
    <w:rsid w:val="008333B7"/>
    <w:rsid w:val="008336D1"/>
    <w:rsid w:val="008336EC"/>
    <w:rsid w:val="008337B9"/>
    <w:rsid w:val="00833FA8"/>
    <w:rsid w:val="00834E50"/>
    <w:rsid w:val="00834FD2"/>
    <w:rsid w:val="00835084"/>
    <w:rsid w:val="00835184"/>
    <w:rsid w:val="008352C6"/>
    <w:rsid w:val="00835569"/>
    <w:rsid w:val="00835802"/>
    <w:rsid w:val="00835E3A"/>
    <w:rsid w:val="00836295"/>
    <w:rsid w:val="008368AE"/>
    <w:rsid w:val="00836C3B"/>
    <w:rsid w:val="008370EE"/>
    <w:rsid w:val="00837964"/>
    <w:rsid w:val="00840383"/>
    <w:rsid w:val="008405F2"/>
    <w:rsid w:val="0084093F"/>
    <w:rsid w:val="0084098A"/>
    <w:rsid w:val="00840DB0"/>
    <w:rsid w:val="00840EDE"/>
    <w:rsid w:val="00840F40"/>
    <w:rsid w:val="008413EA"/>
    <w:rsid w:val="008418A5"/>
    <w:rsid w:val="00842593"/>
    <w:rsid w:val="00842A14"/>
    <w:rsid w:val="00842BF7"/>
    <w:rsid w:val="00842E43"/>
    <w:rsid w:val="0084346D"/>
    <w:rsid w:val="00843548"/>
    <w:rsid w:val="0084383C"/>
    <w:rsid w:val="00843CA7"/>
    <w:rsid w:val="00843CC0"/>
    <w:rsid w:val="0084485F"/>
    <w:rsid w:val="00844ADD"/>
    <w:rsid w:val="00844C62"/>
    <w:rsid w:val="00845066"/>
    <w:rsid w:val="0084534E"/>
    <w:rsid w:val="00845BE8"/>
    <w:rsid w:val="00846062"/>
    <w:rsid w:val="008469E8"/>
    <w:rsid w:val="00846D6F"/>
    <w:rsid w:val="00846DC6"/>
    <w:rsid w:val="0084724D"/>
    <w:rsid w:val="008474C1"/>
    <w:rsid w:val="0084766C"/>
    <w:rsid w:val="008477B5"/>
    <w:rsid w:val="00847921"/>
    <w:rsid w:val="00847C1C"/>
    <w:rsid w:val="00847E45"/>
    <w:rsid w:val="0085055E"/>
    <w:rsid w:val="0085058D"/>
    <w:rsid w:val="00850C3B"/>
    <w:rsid w:val="00850EB1"/>
    <w:rsid w:val="00851042"/>
    <w:rsid w:val="008514A2"/>
    <w:rsid w:val="00851500"/>
    <w:rsid w:val="00851605"/>
    <w:rsid w:val="00852200"/>
    <w:rsid w:val="0085285B"/>
    <w:rsid w:val="00852CA0"/>
    <w:rsid w:val="00852D85"/>
    <w:rsid w:val="00852F6C"/>
    <w:rsid w:val="0085366C"/>
    <w:rsid w:val="00853A59"/>
    <w:rsid w:val="0085403B"/>
    <w:rsid w:val="00854106"/>
    <w:rsid w:val="0085465C"/>
    <w:rsid w:val="00854967"/>
    <w:rsid w:val="00854AAB"/>
    <w:rsid w:val="00854E93"/>
    <w:rsid w:val="0085525E"/>
    <w:rsid w:val="0085540B"/>
    <w:rsid w:val="008554DF"/>
    <w:rsid w:val="00855511"/>
    <w:rsid w:val="0085582C"/>
    <w:rsid w:val="00855A69"/>
    <w:rsid w:val="00855B23"/>
    <w:rsid w:val="00855FD3"/>
    <w:rsid w:val="008560B0"/>
    <w:rsid w:val="00857039"/>
    <w:rsid w:val="00857086"/>
    <w:rsid w:val="008574EF"/>
    <w:rsid w:val="00857572"/>
    <w:rsid w:val="00860025"/>
    <w:rsid w:val="00860AC2"/>
    <w:rsid w:val="00860B71"/>
    <w:rsid w:val="00860F4D"/>
    <w:rsid w:val="008611DE"/>
    <w:rsid w:val="00861375"/>
    <w:rsid w:val="0086179D"/>
    <w:rsid w:val="00861C56"/>
    <w:rsid w:val="00861DF2"/>
    <w:rsid w:val="00861F29"/>
    <w:rsid w:val="008620A2"/>
    <w:rsid w:val="00862741"/>
    <w:rsid w:val="008627B4"/>
    <w:rsid w:val="00862BBD"/>
    <w:rsid w:val="008635C1"/>
    <w:rsid w:val="00863C9F"/>
    <w:rsid w:val="008645D6"/>
    <w:rsid w:val="00864D4A"/>
    <w:rsid w:val="008650E0"/>
    <w:rsid w:val="0086552B"/>
    <w:rsid w:val="008655A2"/>
    <w:rsid w:val="0086584F"/>
    <w:rsid w:val="0086637F"/>
    <w:rsid w:val="008671C7"/>
    <w:rsid w:val="00867417"/>
    <w:rsid w:val="00867D54"/>
    <w:rsid w:val="00867E97"/>
    <w:rsid w:val="00867EB8"/>
    <w:rsid w:val="00870335"/>
    <w:rsid w:val="00870655"/>
    <w:rsid w:val="00870965"/>
    <w:rsid w:val="00870AA2"/>
    <w:rsid w:val="00870E1A"/>
    <w:rsid w:val="0087106A"/>
    <w:rsid w:val="00872295"/>
    <w:rsid w:val="00872BCA"/>
    <w:rsid w:val="008735EA"/>
    <w:rsid w:val="008737E9"/>
    <w:rsid w:val="0087399D"/>
    <w:rsid w:val="00873D88"/>
    <w:rsid w:val="00873E9B"/>
    <w:rsid w:val="0087433B"/>
    <w:rsid w:val="00874D0A"/>
    <w:rsid w:val="008756BB"/>
    <w:rsid w:val="00875D2D"/>
    <w:rsid w:val="0087621E"/>
    <w:rsid w:val="008767B2"/>
    <w:rsid w:val="00876BB6"/>
    <w:rsid w:val="00876F48"/>
    <w:rsid w:val="00877328"/>
    <w:rsid w:val="00877407"/>
    <w:rsid w:val="00877644"/>
    <w:rsid w:val="00877702"/>
    <w:rsid w:val="0087787A"/>
    <w:rsid w:val="008778EA"/>
    <w:rsid w:val="0088024B"/>
    <w:rsid w:val="008802F0"/>
    <w:rsid w:val="00880945"/>
    <w:rsid w:val="00880992"/>
    <w:rsid w:val="00880DF0"/>
    <w:rsid w:val="0088129E"/>
    <w:rsid w:val="00881692"/>
    <w:rsid w:val="0088169B"/>
    <w:rsid w:val="00881A09"/>
    <w:rsid w:val="00881A5D"/>
    <w:rsid w:val="00881D3E"/>
    <w:rsid w:val="0088266B"/>
    <w:rsid w:val="00882B03"/>
    <w:rsid w:val="00882B1A"/>
    <w:rsid w:val="00882E81"/>
    <w:rsid w:val="00883143"/>
    <w:rsid w:val="008836F0"/>
    <w:rsid w:val="0088403C"/>
    <w:rsid w:val="0088425D"/>
    <w:rsid w:val="008842E4"/>
    <w:rsid w:val="00884E48"/>
    <w:rsid w:val="00884EC8"/>
    <w:rsid w:val="008852C0"/>
    <w:rsid w:val="00885A66"/>
    <w:rsid w:val="00885A74"/>
    <w:rsid w:val="00885B46"/>
    <w:rsid w:val="00886154"/>
    <w:rsid w:val="00890128"/>
    <w:rsid w:val="00890277"/>
    <w:rsid w:val="0089061A"/>
    <w:rsid w:val="0089083E"/>
    <w:rsid w:val="008915C6"/>
    <w:rsid w:val="00891652"/>
    <w:rsid w:val="00891677"/>
    <w:rsid w:val="0089206C"/>
    <w:rsid w:val="0089249D"/>
    <w:rsid w:val="00892DB5"/>
    <w:rsid w:val="008933BC"/>
    <w:rsid w:val="00893A87"/>
    <w:rsid w:val="00894872"/>
    <w:rsid w:val="00894B61"/>
    <w:rsid w:val="00894D59"/>
    <w:rsid w:val="00894D9E"/>
    <w:rsid w:val="00895255"/>
    <w:rsid w:val="00895DF1"/>
    <w:rsid w:val="00895F37"/>
    <w:rsid w:val="008960DA"/>
    <w:rsid w:val="00896645"/>
    <w:rsid w:val="00896975"/>
    <w:rsid w:val="00896F65"/>
    <w:rsid w:val="008975D2"/>
    <w:rsid w:val="008A0052"/>
    <w:rsid w:val="008A035B"/>
    <w:rsid w:val="008A0459"/>
    <w:rsid w:val="008A06F9"/>
    <w:rsid w:val="008A0A8B"/>
    <w:rsid w:val="008A0A92"/>
    <w:rsid w:val="008A0EE1"/>
    <w:rsid w:val="008A108E"/>
    <w:rsid w:val="008A1218"/>
    <w:rsid w:val="008A15B6"/>
    <w:rsid w:val="008A1604"/>
    <w:rsid w:val="008A1A6E"/>
    <w:rsid w:val="008A202A"/>
    <w:rsid w:val="008A2080"/>
    <w:rsid w:val="008A2641"/>
    <w:rsid w:val="008A2848"/>
    <w:rsid w:val="008A2A01"/>
    <w:rsid w:val="008A34C8"/>
    <w:rsid w:val="008A36C9"/>
    <w:rsid w:val="008A4E1A"/>
    <w:rsid w:val="008A4FDD"/>
    <w:rsid w:val="008A535A"/>
    <w:rsid w:val="008A536B"/>
    <w:rsid w:val="008A5AF9"/>
    <w:rsid w:val="008A7567"/>
    <w:rsid w:val="008B00E0"/>
    <w:rsid w:val="008B060D"/>
    <w:rsid w:val="008B16DE"/>
    <w:rsid w:val="008B21BA"/>
    <w:rsid w:val="008B21EF"/>
    <w:rsid w:val="008B251F"/>
    <w:rsid w:val="008B2602"/>
    <w:rsid w:val="008B2727"/>
    <w:rsid w:val="008B2BAD"/>
    <w:rsid w:val="008B2DB5"/>
    <w:rsid w:val="008B316B"/>
    <w:rsid w:val="008B32D1"/>
    <w:rsid w:val="008B4017"/>
    <w:rsid w:val="008B4033"/>
    <w:rsid w:val="008B411F"/>
    <w:rsid w:val="008B4136"/>
    <w:rsid w:val="008B4AB7"/>
    <w:rsid w:val="008B4D8F"/>
    <w:rsid w:val="008B5059"/>
    <w:rsid w:val="008B5146"/>
    <w:rsid w:val="008B51A9"/>
    <w:rsid w:val="008B57CC"/>
    <w:rsid w:val="008B5BF2"/>
    <w:rsid w:val="008B5C1C"/>
    <w:rsid w:val="008B627D"/>
    <w:rsid w:val="008B62B3"/>
    <w:rsid w:val="008B635E"/>
    <w:rsid w:val="008B6809"/>
    <w:rsid w:val="008B6934"/>
    <w:rsid w:val="008B6A9F"/>
    <w:rsid w:val="008B6AF5"/>
    <w:rsid w:val="008B6CF8"/>
    <w:rsid w:val="008B6E33"/>
    <w:rsid w:val="008B72F6"/>
    <w:rsid w:val="008B7345"/>
    <w:rsid w:val="008B74B4"/>
    <w:rsid w:val="008B74CF"/>
    <w:rsid w:val="008C10EE"/>
    <w:rsid w:val="008C119E"/>
    <w:rsid w:val="008C1C55"/>
    <w:rsid w:val="008C1E24"/>
    <w:rsid w:val="008C20FA"/>
    <w:rsid w:val="008C2219"/>
    <w:rsid w:val="008C296B"/>
    <w:rsid w:val="008C2A46"/>
    <w:rsid w:val="008C3828"/>
    <w:rsid w:val="008C4278"/>
    <w:rsid w:val="008C43A4"/>
    <w:rsid w:val="008C520E"/>
    <w:rsid w:val="008C563B"/>
    <w:rsid w:val="008C567E"/>
    <w:rsid w:val="008C5DEE"/>
    <w:rsid w:val="008C6285"/>
    <w:rsid w:val="008C62AC"/>
    <w:rsid w:val="008C6727"/>
    <w:rsid w:val="008C6A83"/>
    <w:rsid w:val="008C6DB3"/>
    <w:rsid w:val="008C6F62"/>
    <w:rsid w:val="008C7182"/>
    <w:rsid w:val="008C7268"/>
    <w:rsid w:val="008C727B"/>
    <w:rsid w:val="008C770B"/>
    <w:rsid w:val="008C7C66"/>
    <w:rsid w:val="008C7CA5"/>
    <w:rsid w:val="008C7D9D"/>
    <w:rsid w:val="008D0416"/>
    <w:rsid w:val="008D0B72"/>
    <w:rsid w:val="008D13C6"/>
    <w:rsid w:val="008D186D"/>
    <w:rsid w:val="008D1B04"/>
    <w:rsid w:val="008D2193"/>
    <w:rsid w:val="008D237F"/>
    <w:rsid w:val="008D2826"/>
    <w:rsid w:val="008D3213"/>
    <w:rsid w:val="008D3235"/>
    <w:rsid w:val="008D33C8"/>
    <w:rsid w:val="008D35B3"/>
    <w:rsid w:val="008D3893"/>
    <w:rsid w:val="008D3957"/>
    <w:rsid w:val="008D4183"/>
    <w:rsid w:val="008D45CD"/>
    <w:rsid w:val="008D4B4F"/>
    <w:rsid w:val="008D5095"/>
    <w:rsid w:val="008D558F"/>
    <w:rsid w:val="008D55F1"/>
    <w:rsid w:val="008D5839"/>
    <w:rsid w:val="008D5CD7"/>
    <w:rsid w:val="008D620A"/>
    <w:rsid w:val="008D696D"/>
    <w:rsid w:val="008D6BFC"/>
    <w:rsid w:val="008D718E"/>
    <w:rsid w:val="008D7488"/>
    <w:rsid w:val="008D76A1"/>
    <w:rsid w:val="008D7EC4"/>
    <w:rsid w:val="008E09C5"/>
    <w:rsid w:val="008E0AA7"/>
    <w:rsid w:val="008E1629"/>
    <w:rsid w:val="008E2126"/>
    <w:rsid w:val="008E2355"/>
    <w:rsid w:val="008E3151"/>
    <w:rsid w:val="008E3386"/>
    <w:rsid w:val="008E400A"/>
    <w:rsid w:val="008E4F78"/>
    <w:rsid w:val="008E5410"/>
    <w:rsid w:val="008E5A3F"/>
    <w:rsid w:val="008E5CAC"/>
    <w:rsid w:val="008E5E05"/>
    <w:rsid w:val="008E5ED1"/>
    <w:rsid w:val="008E6386"/>
    <w:rsid w:val="008E6F2C"/>
    <w:rsid w:val="008E7209"/>
    <w:rsid w:val="008E7448"/>
    <w:rsid w:val="008F02C7"/>
    <w:rsid w:val="008F0ECD"/>
    <w:rsid w:val="008F11BB"/>
    <w:rsid w:val="008F1434"/>
    <w:rsid w:val="008F16FF"/>
    <w:rsid w:val="008F182F"/>
    <w:rsid w:val="008F1CA3"/>
    <w:rsid w:val="008F1E95"/>
    <w:rsid w:val="008F2304"/>
    <w:rsid w:val="008F351E"/>
    <w:rsid w:val="008F36B1"/>
    <w:rsid w:val="008F4E1A"/>
    <w:rsid w:val="008F4F38"/>
    <w:rsid w:val="008F57DD"/>
    <w:rsid w:val="008F5AEE"/>
    <w:rsid w:val="008F608F"/>
    <w:rsid w:val="008F60D7"/>
    <w:rsid w:val="008F6887"/>
    <w:rsid w:val="008F6EAA"/>
    <w:rsid w:val="008F7800"/>
    <w:rsid w:val="008F7995"/>
    <w:rsid w:val="008F7BCA"/>
    <w:rsid w:val="008F7C1F"/>
    <w:rsid w:val="008F7DD3"/>
    <w:rsid w:val="009002D6"/>
    <w:rsid w:val="0090054A"/>
    <w:rsid w:val="00900F4D"/>
    <w:rsid w:val="009014F3"/>
    <w:rsid w:val="0090167B"/>
    <w:rsid w:val="00901DEC"/>
    <w:rsid w:val="00902DEC"/>
    <w:rsid w:val="00902FAD"/>
    <w:rsid w:val="0090342E"/>
    <w:rsid w:val="00903AF7"/>
    <w:rsid w:val="00903D3A"/>
    <w:rsid w:val="00903D7C"/>
    <w:rsid w:val="00904061"/>
    <w:rsid w:val="009042CB"/>
    <w:rsid w:val="009044B9"/>
    <w:rsid w:val="009047AB"/>
    <w:rsid w:val="009047B1"/>
    <w:rsid w:val="00904C86"/>
    <w:rsid w:val="00904C9A"/>
    <w:rsid w:val="009051A6"/>
    <w:rsid w:val="0090520C"/>
    <w:rsid w:val="009059E5"/>
    <w:rsid w:val="00905AAD"/>
    <w:rsid w:val="00905EC7"/>
    <w:rsid w:val="0090680D"/>
    <w:rsid w:val="00906842"/>
    <w:rsid w:val="00906F2B"/>
    <w:rsid w:val="00907414"/>
    <w:rsid w:val="009076D9"/>
    <w:rsid w:val="0091045D"/>
    <w:rsid w:val="0091050A"/>
    <w:rsid w:val="00910B6F"/>
    <w:rsid w:val="00911500"/>
    <w:rsid w:val="00911DB0"/>
    <w:rsid w:val="00911F4E"/>
    <w:rsid w:val="009125A2"/>
    <w:rsid w:val="0091281A"/>
    <w:rsid w:val="00912B24"/>
    <w:rsid w:val="0091322D"/>
    <w:rsid w:val="0091339F"/>
    <w:rsid w:val="009139B5"/>
    <w:rsid w:val="009140D8"/>
    <w:rsid w:val="009143F8"/>
    <w:rsid w:val="0091445B"/>
    <w:rsid w:val="00914514"/>
    <w:rsid w:val="00914549"/>
    <w:rsid w:val="0091458B"/>
    <w:rsid w:val="009145B2"/>
    <w:rsid w:val="0091492D"/>
    <w:rsid w:val="00914C08"/>
    <w:rsid w:val="00914F2F"/>
    <w:rsid w:val="009155B8"/>
    <w:rsid w:val="0091583D"/>
    <w:rsid w:val="00916057"/>
    <w:rsid w:val="009160FC"/>
    <w:rsid w:val="009166B7"/>
    <w:rsid w:val="00916AD1"/>
    <w:rsid w:val="0091726A"/>
    <w:rsid w:val="00917637"/>
    <w:rsid w:val="00917FEE"/>
    <w:rsid w:val="0092023D"/>
    <w:rsid w:val="00920472"/>
    <w:rsid w:val="0092061B"/>
    <w:rsid w:val="00920E9D"/>
    <w:rsid w:val="00921251"/>
    <w:rsid w:val="00921861"/>
    <w:rsid w:val="0092189E"/>
    <w:rsid w:val="0092198E"/>
    <w:rsid w:val="009219FD"/>
    <w:rsid w:val="00921DF7"/>
    <w:rsid w:val="00921E07"/>
    <w:rsid w:val="0092230E"/>
    <w:rsid w:val="009223FB"/>
    <w:rsid w:val="0092283A"/>
    <w:rsid w:val="00922B8B"/>
    <w:rsid w:val="00923C4B"/>
    <w:rsid w:val="00923DC0"/>
    <w:rsid w:val="009240BD"/>
    <w:rsid w:val="00924ACC"/>
    <w:rsid w:val="00924DF9"/>
    <w:rsid w:val="00924F4D"/>
    <w:rsid w:val="009257B0"/>
    <w:rsid w:val="009258BD"/>
    <w:rsid w:val="00925CF9"/>
    <w:rsid w:val="00925DEB"/>
    <w:rsid w:val="009261CE"/>
    <w:rsid w:val="009263C0"/>
    <w:rsid w:val="00926FE8"/>
    <w:rsid w:val="0092743F"/>
    <w:rsid w:val="00927D70"/>
    <w:rsid w:val="00930243"/>
    <w:rsid w:val="009302D4"/>
    <w:rsid w:val="009307F2"/>
    <w:rsid w:val="009309E9"/>
    <w:rsid w:val="00930CEC"/>
    <w:rsid w:val="00930F4A"/>
    <w:rsid w:val="009318CD"/>
    <w:rsid w:val="00931C3C"/>
    <w:rsid w:val="00931D4D"/>
    <w:rsid w:val="00931D61"/>
    <w:rsid w:val="0093208C"/>
    <w:rsid w:val="00932833"/>
    <w:rsid w:val="00933008"/>
    <w:rsid w:val="00933307"/>
    <w:rsid w:val="009333C2"/>
    <w:rsid w:val="0093375E"/>
    <w:rsid w:val="00933827"/>
    <w:rsid w:val="00933BEF"/>
    <w:rsid w:val="00933F40"/>
    <w:rsid w:val="00934044"/>
    <w:rsid w:val="009348DA"/>
    <w:rsid w:val="00934ED5"/>
    <w:rsid w:val="009373B4"/>
    <w:rsid w:val="0093787E"/>
    <w:rsid w:val="00937F2C"/>
    <w:rsid w:val="00940CD0"/>
    <w:rsid w:val="00940E4F"/>
    <w:rsid w:val="009412CC"/>
    <w:rsid w:val="00941C04"/>
    <w:rsid w:val="0094388B"/>
    <w:rsid w:val="009438D2"/>
    <w:rsid w:val="00943C9C"/>
    <w:rsid w:val="00943D09"/>
    <w:rsid w:val="009444C3"/>
    <w:rsid w:val="0094468F"/>
    <w:rsid w:val="00944826"/>
    <w:rsid w:val="00944961"/>
    <w:rsid w:val="009457A1"/>
    <w:rsid w:val="00945F45"/>
    <w:rsid w:val="00945F79"/>
    <w:rsid w:val="0094614C"/>
    <w:rsid w:val="009466D3"/>
    <w:rsid w:val="00947174"/>
    <w:rsid w:val="009471A9"/>
    <w:rsid w:val="009476D9"/>
    <w:rsid w:val="00947A40"/>
    <w:rsid w:val="00947C5D"/>
    <w:rsid w:val="00947CA9"/>
    <w:rsid w:val="00947DB2"/>
    <w:rsid w:val="00950450"/>
    <w:rsid w:val="00950478"/>
    <w:rsid w:val="00950525"/>
    <w:rsid w:val="00950570"/>
    <w:rsid w:val="00950888"/>
    <w:rsid w:val="00950898"/>
    <w:rsid w:val="00950AF9"/>
    <w:rsid w:val="00950B5F"/>
    <w:rsid w:val="00950D35"/>
    <w:rsid w:val="00950D8A"/>
    <w:rsid w:val="00951160"/>
    <w:rsid w:val="0095144C"/>
    <w:rsid w:val="0095165B"/>
    <w:rsid w:val="00951B17"/>
    <w:rsid w:val="00951B8D"/>
    <w:rsid w:val="00952ACA"/>
    <w:rsid w:val="00952C4E"/>
    <w:rsid w:val="00952D56"/>
    <w:rsid w:val="009536A8"/>
    <w:rsid w:val="00953F21"/>
    <w:rsid w:val="00954596"/>
    <w:rsid w:val="009545E8"/>
    <w:rsid w:val="009547BF"/>
    <w:rsid w:val="009549C2"/>
    <w:rsid w:val="00955851"/>
    <w:rsid w:val="0095587B"/>
    <w:rsid w:val="00955C63"/>
    <w:rsid w:val="00956481"/>
    <w:rsid w:val="0095658B"/>
    <w:rsid w:val="00956935"/>
    <w:rsid w:val="00956F43"/>
    <w:rsid w:val="00956F9D"/>
    <w:rsid w:val="00957805"/>
    <w:rsid w:val="00957E23"/>
    <w:rsid w:val="00957E2C"/>
    <w:rsid w:val="00960B05"/>
    <w:rsid w:val="00960F52"/>
    <w:rsid w:val="0096123F"/>
    <w:rsid w:val="00961487"/>
    <w:rsid w:val="0096165C"/>
    <w:rsid w:val="00961A9E"/>
    <w:rsid w:val="00961BA7"/>
    <w:rsid w:val="00961F01"/>
    <w:rsid w:val="00962162"/>
    <w:rsid w:val="009623BC"/>
    <w:rsid w:val="009628BE"/>
    <w:rsid w:val="00962AF6"/>
    <w:rsid w:val="00962EF4"/>
    <w:rsid w:val="009631C8"/>
    <w:rsid w:val="00963644"/>
    <w:rsid w:val="00963AE4"/>
    <w:rsid w:val="00963C14"/>
    <w:rsid w:val="00963F1B"/>
    <w:rsid w:val="00964355"/>
    <w:rsid w:val="009645CD"/>
    <w:rsid w:val="00964B8A"/>
    <w:rsid w:val="00965940"/>
    <w:rsid w:val="00965A4E"/>
    <w:rsid w:val="00966BE5"/>
    <w:rsid w:val="00966C5E"/>
    <w:rsid w:val="00966D01"/>
    <w:rsid w:val="00966EB0"/>
    <w:rsid w:val="009674A9"/>
    <w:rsid w:val="00970496"/>
    <w:rsid w:val="00971116"/>
    <w:rsid w:val="009712FB"/>
    <w:rsid w:val="00971403"/>
    <w:rsid w:val="00971440"/>
    <w:rsid w:val="0097194E"/>
    <w:rsid w:val="00972300"/>
    <w:rsid w:val="0097231F"/>
    <w:rsid w:val="00972895"/>
    <w:rsid w:val="009729E0"/>
    <w:rsid w:val="00972E28"/>
    <w:rsid w:val="00973030"/>
    <w:rsid w:val="009733F3"/>
    <w:rsid w:val="009740BE"/>
    <w:rsid w:val="0097455A"/>
    <w:rsid w:val="009748E4"/>
    <w:rsid w:val="00974A6E"/>
    <w:rsid w:val="00974E43"/>
    <w:rsid w:val="0097500F"/>
    <w:rsid w:val="009752AA"/>
    <w:rsid w:val="009754FF"/>
    <w:rsid w:val="00975D55"/>
    <w:rsid w:val="00975EC7"/>
    <w:rsid w:val="0097656F"/>
    <w:rsid w:val="00976AD0"/>
    <w:rsid w:val="00976D65"/>
    <w:rsid w:val="00976D80"/>
    <w:rsid w:val="00976FC7"/>
    <w:rsid w:val="009778AF"/>
    <w:rsid w:val="00977AA6"/>
    <w:rsid w:val="00977CE6"/>
    <w:rsid w:val="00977F3F"/>
    <w:rsid w:val="009807AC"/>
    <w:rsid w:val="00980C18"/>
    <w:rsid w:val="009810A4"/>
    <w:rsid w:val="009810E9"/>
    <w:rsid w:val="00981229"/>
    <w:rsid w:val="0098141C"/>
    <w:rsid w:val="009819D7"/>
    <w:rsid w:val="00981A33"/>
    <w:rsid w:val="00981AA9"/>
    <w:rsid w:val="00981C91"/>
    <w:rsid w:val="00981CE2"/>
    <w:rsid w:val="00981E73"/>
    <w:rsid w:val="009828BA"/>
    <w:rsid w:val="00983046"/>
    <w:rsid w:val="00983132"/>
    <w:rsid w:val="00983155"/>
    <w:rsid w:val="00983314"/>
    <w:rsid w:val="00983DF2"/>
    <w:rsid w:val="009841AB"/>
    <w:rsid w:val="0098433A"/>
    <w:rsid w:val="009843C7"/>
    <w:rsid w:val="00985675"/>
    <w:rsid w:val="00985939"/>
    <w:rsid w:val="009859DA"/>
    <w:rsid w:val="00985A02"/>
    <w:rsid w:val="0098608E"/>
    <w:rsid w:val="0098637F"/>
    <w:rsid w:val="00986A9B"/>
    <w:rsid w:val="00986AB1"/>
    <w:rsid w:val="00986B9C"/>
    <w:rsid w:val="00987586"/>
    <w:rsid w:val="00987BAB"/>
    <w:rsid w:val="009906BF"/>
    <w:rsid w:val="00990A14"/>
    <w:rsid w:val="00991034"/>
    <w:rsid w:val="009913F3"/>
    <w:rsid w:val="00991AB6"/>
    <w:rsid w:val="00991DA1"/>
    <w:rsid w:val="00992145"/>
    <w:rsid w:val="009927F1"/>
    <w:rsid w:val="00993264"/>
    <w:rsid w:val="009936C4"/>
    <w:rsid w:val="00993788"/>
    <w:rsid w:val="009947D9"/>
    <w:rsid w:val="009948ED"/>
    <w:rsid w:val="00994DA8"/>
    <w:rsid w:val="00995ADA"/>
    <w:rsid w:val="0099643A"/>
    <w:rsid w:val="00996B70"/>
    <w:rsid w:val="00997959"/>
    <w:rsid w:val="00997D13"/>
    <w:rsid w:val="00997FEA"/>
    <w:rsid w:val="009A080E"/>
    <w:rsid w:val="009A0816"/>
    <w:rsid w:val="009A0BAF"/>
    <w:rsid w:val="009A0DCD"/>
    <w:rsid w:val="009A13E5"/>
    <w:rsid w:val="009A1431"/>
    <w:rsid w:val="009A153D"/>
    <w:rsid w:val="009A1634"/>
    <w:rsid w:val="009A2756"/>
    <w:rsid w:val="009A291D"/>
    <w:rsid w:val="009A2FD5"/>
    <w:rsid w:val="009A389A"/>
    <w:rsid w:val="009A3A34"/>
    <w:rsid w:val="009A3CFE"/>
    <w:rsid w:val="009A3D5F"/>
    <w:rsid w:val="009A3FE2"/>
    <w:rsid w:val="009A400C"/>
    <w:rsid w:val="009A4A26"/>
    <w:rsid w:val="009A4B2C"/>
    <w:rsid w:val="009A4D1B"/>
    <w:rsid w:val="009A5592"/>
    <w:rsid w:val="009A59BA"/>
    <w:rsid w:val="009A6111"/>
    <w:rsid w:val="009A62A4"/>
    <w:rsid w:val="009A62A5"/>
    <w:rsid w:val="009A63E0"/>
    <w:rsid w:val="009A6417"/>
    <w:rsid w:val="009A67BE"/>
    <w:rsid w:val="009A771D"/>
    <w:rsid w:val="009A7EC7"/>
    <w:rsid w:val="009B00FE"/>
    <w:rsid w:val="009B01DF"/>
    <w:rsid w:val="009B020D"/>
    <w:rsid w:val="009B02E5"/>
    <w:rsid w:val="009B0369"/>
    <w:rsid w:val="009B072F"/>
    <w:rsid w:val="009B07A1"/>
    <w:rsid w:val="009B09CC"/>
    <w:rsid w:val="009B0C22"/>
    <w:rsid w:val="009B0FF2"/>
    <w:rsid w:val="009B13BB"/>
    <w:rsid w:val="009B173B"/>
    <w:rsid w:val="009B1A1A"/>
    <w:rsid w:val="009B1B9A"/>
    <w:rsid w:val="009B2364"/>
    <w:rsid w:val="009B2608"/>
    <w:rsid w:val="009B2A71"/>
    <w:rsid w:val="009B3BDA"/>
    <w:rsid w:val="009B4027"/>
    <w:rsid w:val="009B4805"/>
    <w:rsid w:val="009B4975"/>
    <w:rsid w:val="009B53CA"/>
    <w:rsid w:val="009B561F"/>
    <w:rsid w:val="009B5773"/>
    <w:rsid w:val="009B57AD"/>
    <w:rsid w:val="009B5D2D"/>
    <w:rsid w:val="009B6422"/>
    <w:rsid w:val="009B6A1B"/>
    <w:rsid w:val="009B6AB1"/>
    <w:rsid w:val="009B6B01"/>
    <w:rsid w:val="009B6CCD"/>
    <w:rsid w:val="009B707C"/>
    <w:rsid w:val="009C049A"/>
    <w:rsid w:val="009C058F"/>
    <w:rsid w:val="009C0915"/>
    <w:rsid w:val="009C17E7"/>
    <w:rsid w:val="009C1A0A"/>
    <w:rsid w:val="009C1B6D"/>
    <w:rsid w:val="009C1CF9"/>
    <w:rsid w:val="009C1D04"/>
    <w:rsid w:val="009C2B3E"/>
    <w:rsid w:val="009C2D88"/>
    <w:rsid w:val="009C2EA2"/>
    <w:rsid w:val="009C3721"/>
    <w:rsid w:val="009C3D15"/>
    <w:rsid w:val="009C4141"/>
    <w:rsid w:val="009C4B55"/>
    <w:rsid w:val="009C4BE2"/>
    <w:rsid w:val="009C4D01"/>
    <w:rsid w:val="009C513D"/>
    <w:rsid w:val="009C5160"/>
    <w:rsid w:val="009C5B83"/>
    <w:rsid w:val="009C5FCB"/>
    <w:rsid w:val="009C5FCC"/>
    <w:rsid w:val="009C61A2"/>
    <w:rsid w:val="009C632F"/>
    <w:rsid w:val="009C6DF6"/>
    <w:rsid w:val="009C6E92"/>
    <w:rsid w:val="009C790A"/>
    <w:rsid w:val="009C7A55"/>
    <w:rsid w:val="009D04DB"/>
    <w:rsid w:val="009D04F7"/>
    <w:rsid w:val="009D0BC3"/>
    <w:rsid w:val="009D1589"/>
    <w:rsid w:val="009D19FF"/>
    <w:rsid w:val="009D2003"/>
    <w:rsid w:val="009D21DF"/>
    <w:rsid w:val="009D21EA"/>
    <w:rsid w:val="009D2222"/>
    <w:rsid w:val="009D2228"/>
    <w:rsid w:val="009D28CB"/>
    <w:rsid w:val="009D2D04"/>
    <w:rsid w:val="009D38C2"/>
    <w:rsid w:val="009D414A"/>
    <w:rsid w:val="009D417F"/>
    <w:rsid w:val="009D44C8"/>
    <w:rsid w:val="009D45E5"/>
    <w:rsid w:val="009D4B85"/>
    <w:rsid w:val="009D4C49"/>
    <w:rsid w:val="009D4DCB"/>
    <w:rsid w:val="009D535B"/>
    <w:rsid w:val="009D5605"/>
    <w:rsid w:val="009D5964"/>
    <w:rsid w:val="009D603F"/>
    <w:rsid w:val="009D630B"/>
    <w:rsid w:val="009D6451"/>
    <w:rsid w:val="009D68FA"/>
    <w:rsid w:val="009D6AAE"/>
    <w:rsid w:val="009D6CAA"/>
    <w:rsid w:val="009D6CF6"/>
    <w:rsid w:val="009D6D45"/>
    <w:rsid w:val="009D6E69"/>
    <w:rsid w:val="009D75DA"/>
    <w:rsid w:val="009E01BA"/>
    <w:rsid w:val="009E02DC"/>
    <w:rsid w:val="009E0493"/>
    <w:rsid w:val="009E084F"/>
    <w:rsid w:val="009E1156"/>
    <w:rsid w:val="009E1965"/>
    <w:rsid w:val="009E1C21"/>
    <w:rsid w:val="009E2040"/>
    <w:rsid w:val="009E308A"/>
    <w:rsid w:val="009E318D"/>
    <w:rsid w:val="009E3822"/>
    <w:rsid w:val="009E3F63"/>
    <w:rsid w:val="009E43C7"/>
    <w:rsid w:val="009E49AE"/>
    <w:rsid w:val="009E4DC7"/>
    <w:rsid w:val="009E4E9F"/>
    <w:rsid w:val="009E608E"/>
    <w:rsid w:val="009E63CE"/>
    <w:rsid w:val="009E6446"/>
    <w:rsid w:val="009E660A"/>
    <w:rsid w:val="009E66D3"/>
    <w:rsid w:val="009E679E"/>
    <w:rsid w:val="009E6B64"/>
    <w:rsid w:val="009E6CBE"/>
    <w:rsid w:val="009E7203"/>
    <w:rsid w:val="009E72E5"/>
    <w:rsid w:val="009F242F"/>
    <w:rsid w:val="009F2D8E"/>
    <w:rsid w:val="009F2FA9"/>
    <w:rsid w:val="009F3A45"/>
    <w:rsid w:val="009F4025"/>
    <w:rsid w:val="009F46C8"/>
    <w:rsid w:val="009F4F2A"/>
    <w:rsid w:val="009F5986"/>
    <w:rsid w:val="009F660B"/>
    <w:rsid w:val="009F671E"/>
    <w:rsid w:val="009F6994"/>
    <w:rsid w:val="009F6F91"/>
    <w:rsid w:val="009F7132"/>
    <w:rsid w:val="009F7ED1"/>
    <w:rsid w:val="00A002C2"/>
    <w:rsid w:val="00A00A21"/>
    <w:rsid w:val="00A0149B"/>
    <w:rsid w:val="00A01567"/>
    <w:rsid w:val="00A01607"/>
    <w:rsid w:val="00A018D4"/>
    <w:rsid w:val="00A02F9D"/>
    <w:rsid w:val="00A03767"/>
    <w:rsid w:val="00A03FD0"/>
    <w:rsid w:val="00A04834"/>
    <w:rsid w:val="00A05628"/>
    <w:rsid w:val="00A06899"/>
    <w:rsid w:val="00A06DEE"/>
    <w:rsid w:val="00A071E4"/>
    <w:rsid w:val="00A0768C"/>
    <w:rsid w:val="00A07DCF"/>
    <w:rsid w:val="00A10902"/>
    <w:rsid w:val="00A111D3"/>
    <w:rsid w:val="00A111D7"/>
    <w:rsid w:val="00A1173A"/>
    <w:rsid w:val="00A11D98"/>
    <w:rsid w:val="00A11E71"/>
    <w:rsid w:val="00A122A2"/>
    <w:rsid w:val="00A1267E"/>
    <w:rsid w:val="00A12979"/>
    <w:rsid w:val="00A12F2A"/>
    <w:rsid w:val="00A13099"/>
    <w:rsid w:val="00A131A9"/>
    <w:rsid w:val="00A13283"/>
    <w:rsid w:val="00A132B9"/>
    <w:rsid w:val="00A1331E"/>
    <w:rsid w:val="00A13770"/>
    <w:rsid w:val="00A13F00"/>
    <w:rsid w:val="00A1422D"/>
    <w:rsid w:val="00A1496E"/>
    <w:rsid w:val="00A14D5C"/>
    <w:rsid w:val="00A14F84"/>
    <w:rsid w:val="00A15222"/>
    <w:rsid w:val="00A159A9"/>
    <w:rsid w:val="00A159C3"/>
    <w:rsid w:val="00A15B50"/>
    <w:rsid w:val="00A1649C"/>
    <w:rsid w:val="00A1651F"/>
    <w:rsid w:val="00A16CB4"/>
    <w:rsid w:val="00A16D6D"/>
    <w:rsid w:val="00A16FB5"/>
    <w:rsid w:val="00A170EE"/>
    <w:rsid w:val="00A179B4"/>
    <w:rsid w:val="00A17C75"/>
    <w:rsid w:val="00A20859"/>
    <w:rsid w:val="00A20AC0"/>
    <w:rsid w:val="00A20BEC"/>
    <w:rsid w:val="00A211C8"/>
    <w:rsid w:val="00A2121E"/>
    <w:rsid w:val="00A21EAC"/>
    <w:rsid w:val="00A22135"/>
    <w:rsid w:val="00A221DE"/>
    <w:rsid w:val="00A22CB2"/>
    <w:rsid w:val="00A22D38"/>
    <w:rsid w:val="00A23138"/>
    <w:rsid w:val="00A23940"/>
    <w:rsid w:val="00A239B2"/>
    <w:rsid w:val="00A23ECC"/>
    <w:rsid w:val="00A24193"/>
    <w:rsid w:val="00A2424A"/>
    <w:rsid w:val="00A24380"/>
    <w:rsid w:val="00A24A89"/>
    <w:rsid w:val="00A24CD3"/>
    <w:rsid w:val="00A251AA"/>
    <w:rsid w:val="00A25204"/>
    <w:rsid w:val="00A25461"/>
    <w:rsid w:val="00A254AB"/>
    <w:rsid w:val="00A26367"/>
    <w:rsid w:val="00A2678A"/>
    <w:rsid w:val="00A267AC"/>
    <w:rsid w:val="00A269E1"/>
    <w:rsid w:val="00A26B85"/>
    <w:rsid w:val="00A27303"/>
    <w:rsid w:val="00A27C1C"/>
    <w:rsid w:val="00A27E32"/>
    <w:rsid w:val="00A27E85"/>
    <w:rsid w:val="00A30601"/>
    <w:rsid w:val="00A3081F"/>
    <w:rsid w:val="00A30882"/>
    <w:rsid w:val="00A30A5E"/>
    <w:rsid w:val="00A30F6A"/>
    <w:rsid w:val="00A3263F"/>
    <w:rsid w:val="00A32AEA"/>
    <w:rsid w:val="00A32BB0"/>
    <w:rsid w:val="00A32F32"/>
    <w:rsid w:val="00A3398F"/>
    <w:rsid w:val="00A33E80"/>
    <w:rsid w:val="00A33EFE"/>
    <w:rsid w:val="00A34875"/>
    <w:rsid w:val="00A34940"/>
    <w:rsid w:val="00A34C87"/>
    <w:rsid w:val="00A350AF"/>
    <w:rsid w:val="00A35B17"/>
    <w:rsid w:val="00A36C03"/>
    <w:rsid w:val="00A36F1E"/>
    <w:rsid w:val="00A40FCD"/>
    <w:rsid w:val="00A4148D"/>
    <w:rsid w:val="00A4169E"/>
    <w:rsid w:val="00A41F56"/>
    <w:rsid w:val="00A42032"/>
    <w:rsid w:val="00A43A32"/>
    <w:rsid w:val="00A44723"/>
    <w:rsid w:val="00A447BF"/>
    <w:rsid w:val="00A44B8E"/>
    <w:rsid w:val="00A44D0E"/>
    <w:rsid w:val="00A44E30"/>
    <w:rsid w:val="00A4539B"/>
    <w:rsid w:val="00A46038"/>
    <w:rsid w:val="00A4621D"/>
    <w:rsid w:val="00A469B1"/>
    <w:rsid w:val="00A46AD0"/>
    <w:rsid w:val="00A46CD2"/>
    <w:rsid w:val="00A47A3D"/>
    <w:rsid w:val="00A47FC9"/>
    <w:rsid w:val="00A47FD6"/>
    <w:rsid w:val="00A503B2"/>
    <w:rsid w:val="00A509FB"/>
    <w:rsid w:val="00A518D2"/>
    <w:rsid w:val="00A51C19"/>
    <w:rsid w:val="00A51E04"/>
    <w:rsid w:val="00A51E89"/>
    <w:rsid w:val="00A521CF"/>
    <w:rsid w:val="00A522B5"/>
    <w:rsid w:val="00A52C31"/>
    <w:rsid w:val="00A52C97"/>
    <w:rsid w:val="00A52F37"/>
    <w:rsid w:val="00A533C5"/>
    <w:rsid w:val="00A5388C"/>
    <w:rsid w:val="00A53890"/>
    <w:rsid w:val="00A5397B"/>
    <w:rsid w:val="00A53BE1"/>
    <w:rsid w:val="00A54644"/>
    <w:rsid w:val="00A5534C"/>
    <w:rsid w:val="00A55921"/>
    <w:rsid w:val="00A559D9"/>
    <w:rsid w:val="00A560E3"/>
    <w:rsid w:val="00A5628F"/>
    <w:rsid w:val="00A564AF"/>
    <w:rsid w:val="00A565B6"/>
    <w:rsid w:val="00A566A8"/>
    <w:rsid w:val="00A56AF5"/>
    <w:rsid w:val="00A56D0B"/>
    <w:rsid w:val="00A5732D"/>
    <w:rsid w:val="00A5775C"/>
    <w:rsid w:val="00A57BE8"/>
    <w:rsid w:val="00A6079A"/>
    <w:rsid w:val="00A60E72"/>
    <w:rsid w:val="00A61F0C"/>
    <w:rsid w:val="00A61FF0"/>
    <w:rsid w:val="00A6247E"/>
    <w:rsid w:val="00A62580"/>
    <w:rsid w:val="00A625FF"/>
    <w:rsid w:val="00A637B8"/>
    <w:rsid w:val="00A63AC9"/>
    <w:rsid w:val="00A63D8B"/>
    <w:rsid w:val="00A64502"/>
    <w:rsid w:val="00A64B5F"/>
    <w:rsid w:val="00A64D4F"/>
    <w:rsid w:val="00A6535A"/>
    <w:rsid w:val="00A65A2C"/>
    <w:rsid w:val="00A65B5B"/>
    <w:rsid w:val="00A65EA0"/>
    <w:rsid w:val="00A66517"/>
    <w:rsid w:val="00A67740"/>
    <w:rsid w:val="00A67B0E"/>
    <w:rsid w:val="00A70305"/>
    <w:rsid w:val="00A7095A"/>
    <w:rsid w:val="00A70B39"/>
    <w:rsid w:val="00A70F00"/>
    <w:rsid w:val="00A718EF"/>
    <w:rsid w:val="00A72134"/>
    <w:rsid w:val="00A726A8"/>
    <w:rsid w:val="00A72951"/>
    <w:rsid w:val="00A73101"/>
    <w:rsid w:val="00A7345B"/>
    <w:rsid w:val="00A73505"/>
    <w:rsid w:val="00A741EE"/>
    <w:rsid w:val="00A74687"/>
    <w:rsid w:val="00A74853"/>
    <w:rsid w:val="00A75B40"/>
    <w:rsid w:val="00A75D17"/>
    <w:rsid w:val="00A75E02"/>
    <w:rsid w:val="00A7694E"/>
    <w:rsid w:val="00A76C39"/>
    <w:rsid w:val="00A76C65"/>
    <w:rsid w:val="00A76E79"/>
    <w:rsid w:val="00A7718D"/>
    <w:rsid w:val="00A77679"/>
    <w:rsid w:val="00A7771B"/>
    <w:rsid w:val="00A77B53"/>
    <w:rsid w:val="00A80197"/>
    <w:rsid w:val="00A80CFF"/>
    <w:rsid w:val="00A811F1"/>
    <w:rsid w:val="00A81788"/>
    <w:rsid w:val="00A81E21"/>
    <w:rsid w:val="00A82887"/>
    <w:rsid w:val="00A83010"/>
    <w:rsid w:val="00A83BF5"/>
    <w:rsid w:val="00A83F01"/>
    <w:rsid w:val="00A83FE4"/>
    <w:rsid w:val="00A84CD1"/>
    <w:rsid w:val="00A85A08"/>
    <w:rsid w:val="00A85E2E"/>
    <w:rsid w:val="00A861F3"/>
    <w:rsid w:val="00A86A3B"/>
    <w:rsid w:val="00A86C14"/>
    <w:rsid w:val="00A8728F"/>
    <w:rsid w:val="00A872CB"/>
    <w:rsid w:val="00A8756A"/>
    <w:rsid w:val="00A87662"/>
    <w:rsid w:val="00A87D6F"/>
    <w:rsid w:val="00A87F7D"/>
    <w:rsid w:val="00A9003E"/>
    <w:rsid w:val="00A906B7"/>
    <w:rsid w:val="00A9070E"/>
    <w:rsid w:val="00A90BE0"/>
    <w:rsid w:val="00A91199"/>
    <w:rsid w:val="00A91638"/>
    <w:rsid w:val="00A91F42"/>
    <w:rsid w:val="00A9209D"/>
    <w:rsid w:val="00A926AA"/>
    <w:rsid w:val="00A92DD4"/>
    <w:rsid w:val="00A92E10"/>
    <w:rsid w:val="00A9329B"/>
    <w:rsid w:val="00A93AE1"/>
    <w:rsid w:val="00A94D0F"/>
    <w:rsid w:val="00A94F13"/>
    <w:rsid w:val="00A95106"/>
    <w:rsid w:val="00A95493"/>
    <w:rsid w:val="00A9568C"/>
    <w:rsid w:val="00A9594E"/>
    <w:rsid w:val="00A95BED"/>
    <w:rsid w:val="00A95EA2"/>
    <w:rsid w:val="00A9647F"/>
    <w:rsid w:val="00A96601"/>
    <w:rsid w:val="00A9669C"/>
    <w:rsid w:val="00A96C03"/>
    <w:rsid w:val="00A97092"/>
    <w:rsid w:val="00A97148"/>
    <w:rsid w:val="00A9787E"/>
    <w:rsid w:val="00A97AF9"/>
    <w:rsid w:val="00A97FA9"/>
    <w:rsid w:val="00AA05D6"/>
    <w:rsid w:val="00AA08E8"/>
    <w:rsid w:val="00AA0B01"/>
    <w:rsid w:val="00AA0DB4"/>
    <w:rsid w:val="00AA0F3A"/>
    <w:rsid w:val="00AA11C5"/>
    <w:rsid w:val="00AA17E2"/>
    <w:rsid w:val="00AA1D20"/>
    <w:rsid w:val="00AA1FDA"/>
    <w:rsid w:val="00AA21B7"/>
    <w:rsid w:val="00AA2C27"/>
    <w:rsid w:val="00AA3827"/>
    <w:rsid w:val="00AA382D"/>
    <w:rsid w:val="00AA391D"/>
    <w:rsid w:val="00AA4A2C"/>
    <w:rsid w:val="00AA5763"/>
    <w:rsid w:val="00AA59A6"/>
    <w:rsid w:val="00AA5B3A"/>
    <w:rsid w:val="00AA6299"/>
    <w:rsid w:val="00AA6AB3"/>
    <w:rsid w:val="00AA6E05"/>
    <w:rsid w:val="00AA7230"/>
    <w:rsid w:val="00AB0262"/>
    <w:rsid w:val="00AB06E3"/>
    <w:rsid w:val="00AB0C96"/>
    <w:rsid w:val="00AB0F3E"/>
    <w:rsid w:val="00AB14A1"/>
    <w:rsid w:val="00AB1B9F"/>
    <w:rsid w:val="00AB202A"/>
    <w:rsid w:val="00AB2266"/>
    <w:rsid w:val="00AB2352"/>
    <w:rsid w:val="00AB25F3"/>
    <w:rsid w:val="00AB287A"/>
    <w:rsid w:val="00AB2894"/>
    <w:rsid w:val="00AB3A92"/>
    <w:rsid w:val="00AB3F97"/>
    <w:rsid w:val="00AB4181"/>
    <w:rsid w:val="00AB53AC"/>
    <w:rsid w:val="00AB5555"/>
    <w:rsid w:val="00AB55AD"/>
    <w:rsid w:val="00AB560C"/>
    <w:rsid w:val="00AB5D1B"/>
    <w:rsid w:val="00AB5D2C"/>
    <w:rsid w:val="00AB6918"/>
    <w:rsid w:val="00AB6B40"/>
    <w:rsid w:val="00AB6D72"/>
    <w:rsid w:val="00AB740A"/>
    <w:rsid w:val="00AB7839"/>
    <w:rsid w:val="00AB7877"/>
    <w:rsid w:val="00AC0231"/>
    <w:rsid w:val="00AC0474"/>
    <w:rsid w:val="00AC0D0E"/>
    <w:rsid w:val="00AC1DA5"/>
    <w:rsid w:val="00AC2056"/>
    <w:rsid w:val="00AC216B"/>
    <w:rsid w:val="00AC26B1"/>
    <w:rsid w:val="00AC28F2"/>
    <w:rsid w:val="00AC2CAB"/>
    <w:rsid w:val="00AC329F"/>
    <w:rsid w:val="00AC3829"/>
    <w:rsid w:val="00AC3D88"/>
    <w:rsid w:val="00AC3E92"/>
    <w:rsid w:val="00AC42B8"/>
    <w:rsid w:val="00AC45C5"/>
    <w:rsid w:val="00AC4791"/>
    <w:rsid w:val="00AC4A33"/>
    <w:rsid w:val="00AC4FB6"/>
    <w:rsid w:val="00AC4FD1"/>
    <w:rsid w:val="00AC572C"/>
    <w:rsid w:val="00AC5C15"/>
    <w:rsid w:val="00AC5FEF"/>
    <w:rsid w:val="00AC6036"/>
    <w:rsid w:val="00AC6D19"/>
    <w:rsid w:val="00AC6EEA"/>
    <w:rsid w:val="00AC73F2"/>
    <w:rsid w:val="00AD0328"/>
    <w:rsid w:val="00AD040D"/>
    <w:rsid w:val="00AD11DC"/>
    <w:rsid w:val="00AD130F"/>
    <w:rsid w:val="00AD1506"/>
    <w:rsid w:val="00AD1966"/>
    <w:rsid w:val="00AD19E8"/>
    <w:rsid w:val="00AD1F0C"/>
    <w:rsid w:val="00AD2370"/>
    <w:rsid w:val="00AD2778"/>
    <w:rsid w:val="00AD2B03"/>
    <w:rsid w:val="00AD2D3B"/>
    <w:rsid w:val="00AD2E07"/>
    <w:rsid w:val="00AD36B1"/>
    <w:rsid w:val="00AD374F"/>
    <w:rsid w:val="00AD38A9"/>
    <w:rsid w:val="00AD4071"/>
    <w:rsid w:val="00AD4395"/>
    <w:rsid w:val="00AD44EA"/>
    <w:rsid w:val="00AD4782"/>
    <w:rsid w:val="00AD491B"/>
    <w:rsid w:val="00AD5236"/>
    <w:rsid w:val="00AD527D"/>
    <w:rsid w:val="00AD54E0"/>
    <w:rsid w:val="00AD5E18"/>
    <w:rsid w:val="00AD5F2A"/>
    <w:rsid w:val="00AD6055"/>
    <w:rsid w:val="00AD6058"/>
    <w:rsid w:val="00AD6DCC"/>
    <w:rsid w:val="00AD753C"/>
    <w:rsid w:val="00AD758E"/>
    <w:rsid w:val="00AD7AB5"/>
    <w:rsid w:val="00AD7D63"/>
    <w:rsid w:val="00AE024B"/>
    <w:rsid w:val="00AE08B7"/>
    <w:rsid w:val="00AE08E6"/>
    <w:rsid w:val="00AE0CCE"/>
    <w:rsid w:val="00AE0DBA"/>
    <w:rsid w:val="00AE1567"/>
    <w:rsid w:val="00AE160F"/>
    <w:rsid w:val="00AE1F7A"/>
    <w:rsid w:val="00AE21DC"/>
    <w:rsid w:val="00AE239B"/>
    <w:rsid w:val="00AE25D2"/>
    <w:rsid w:val="00AE2B47"/>
    <w:rsid w:val="00AE2CAD"/>
    <w:rsid w:val="00AE3090"/>
    <w:rsid w:val="00AE380E"/>
    <w:rsid w:val="00AE3AAD"/>
    <w:rsid w:val="00AE4189"/>
    <w:rsid w:val="00AE4949"/>
    <w:rsid w:val="00AE503A"/>
    <w:rsid w:val="00AE5476"/>
    <w:rsid w:val="00AE5A3F"/>
    <w:rsid w:val="00AE6495"/>
    <w:rsid w:val="00AE68E2"/>
    <w:rsid w:val="00AE70F0"/>
    <w:rsid w:val="00AF008F"/>
    <w:rsid w:val="00AF0157"/>
    <w:rsid w:val="00AF1B2E"/>
    <w:rsid w:val="00AF2048"/>
    <w:rsid w:val="00AF2EC7"/>
    <w:rsid w:val="00AF35B3"/>
    <w:rsid w:val="00AF3AC0"/>
    <w:rsid w:val="00AF3F2F"/>
    <w:rsid w:val="00AF422C"/>
    <w:rsid w:val="00AF49D9"/>
    <w:rsid w:val="00AF4F29"/>
    <w:rsid w:val="00AF4F4A"/>
    <w:rsid w:val="00AF52D1"/>
    <w:rsid w:val="00AF5312"/>
    <w:rsid w:val="00AF57F5"/>
    <w:rsid w:val="00AF5922"/>
    <w:rsid w:val="00AF5B53"/>
    <w:rsid w:val="00AF602D"/>
    <w:rsid w:val="00AF6688"/>
    <w:rsid w:val="00AF698F"/>
    <w:rsid w:val="00AF6D8B"/>
    <w:rsid w:val="00AF7435"/>
    <w:rsid w:val="00AF74CB"/>
    <w:rsid w:val="00AF74DE"/>
    <w:rsid w:val="00AF788D"/>
    <w:rsid w:val="00AF7F7D"/>
    <w:rsid w:val="00B00B04"/>
    <w:rsid w:val="00B00C24"/>
    <w:rsid w:val="00B00F93"/>
    <w:rsid w:val="00B01BA0"/>
    <w:rsid w:val="00B01BBE"/>
    <w:rsid w:val="00B01D99"/>
    <w:rsid w:val="00B0230B"/>
    <w:rsid w:val="00B032B1"/>
    <w:rsid w:val="00B03F92"/>
    <w:rsid w:val="00B05289"/>
    <w:rsid w:val="00B055D8"/>
    <w:rsid w:val="00B05CDF"/>
    <w:rsid w:val="00B06CD6"/>
    <w:rsid w:val="00B06EBC"/>
    <w:rsid w:val="00B07D57"/>
    <w:rsid w:val="00B10665"/>
    <w:rsid w:val="00B11D2D"/>
    <w:rsid w:val="00B12202"/>
    <w:rsid w:val="00B123F0"/>
    <w:rsid w:val="00B126F7"/>
    <w:rsid w:val="00B12891"/>
    <w:rsid w:val="00B128FE"/>
    <w:rsid w:val="00B1333F"/>
    <w:rsid w:val="00B13533"/>
    <w:rsid w:val="00B13F8A"/>
    <w:rsid w:val="00B14102"/>
    <w:rsid w:val="00B146C1"/>
    <w:rsid w:val="00B146E7"/>
    <w:rsid w:val="00B14D43"/>
    <w:rsid w:val="00B14EBD"/>
    <w:rsid w:val="00B156DF"/>
    <w:rsid w:val="00B15ABB"/>
    <w:rsid w:val="00B163DB"/>
    <w:rsid w:val="00B16973"/>
    <w:rsid w:val="00B17273"/>
    <w:rsid w:val="00B17FA3"/>
    <w:rsid w:val="00B2036A"/>
    <w:rsid w:val="00B203A8"/>
    <w:rsid w:val="00B20E95"/>
    <w:rsid w:val="00B21057"/>
    <w:rsid w:val="00B2165A"/>
    <w:rsid w:val="00B218C7"/>
    <w:rsid w:val="00B2202B"/>
    <w:rsid w:val="00B223FD"/>
    <w:rsid w:val="00B224EB"/>
    <w:rsid w:val="00B232FF"/>
    <w:rsid w:val="00B23422"/>
    <w:rsid w:val="00B23DA9"/>
    <w:rsid w:val="00B23EA4"/>
    <w:rsid w:val="00B241DA"/>
    <w:rsid w:val="00B24948"/>
    <w:rsid w:val="00B24B26"/>
    <w:rsid w:val="00B24B72"/>
    <w:rsid w:val="00B24CBD"/>
    <w:rsid w:val="00B25C1A"/>
    <w:rsid w:val="00B25CA3"/>
    <w:rsid w:val="00B25FDE"/>
    <w:rsid w:val="00B265D6"/>
    <w:rsid w:val="00B26930"/>
    <w:rsid w:val="00B26C27"/>
    <w:rsid w:val="00B27797"/>
    <w:rsid w:val="00B30028"/>
    <w:rsid w:val="00B300D2"/>
    <w:rsid w:val="00B304B4"/>
    <w:rsid w:val="00B3152D"/>
    <w:rsid w:val="00B315C4"/>
    <w:rsid w:val="00B31E8D"/>
    <w:rsid w:val="00B323C7"/>
    <w:rsid w:val="00B33119"/>
    <w:rsid w:val="00B3313B"/>
    <w:rsid w:val="00B331E8"/>
    <w:rsid w:val="00B331EA"/>
    <w:rsid w:val="00B336F4"/>
    <w:rsid w:val="00B33CA0"/>
    <w:rsid w:val="00B34044"/>
    <w:rsid w:val="00B34732"/>
    <w:rsid w:val="00B353B8"/>
    <w:rsid w:val="00B358F7"/>
    <w:rsid w:val="00B35AE8"/>
    <w:rsid w:val="00B35C56"/>
    <w:rsid w:val="00B36113"/>
    <w:rsid w:val="00B3612D"/>
    <w:rsid w:val="00B36BD4"/>
    <w:rsid w:val="00B36F17"/>
    <w:rsid w:val="00B372ED"/>
    <w:rsid w:val="00B3768E"/>
    <w:rsid w:val="00B376B0"/>
    <w:rsid w:val="00B40475"/>
    <w:rsid w:val="00B40603"/>
    <w:rsid w:val="00B40AF6"/>
    <w:rsid w:val="00B40F6D"/>
    <w:rsid w:val="00B4101E"/>
    <w:rsid w:val="00B41071"/>
    <w:rsid w:val="00B41522"/>
    <w:rsid w:val="00B425C0"/>
    <w:rsid w:val="00B42C1E"/>
    <w:rsid w:val="00B42DB6"/>
    <w:rsid w:val="00B4332C"/>
    <w:rsid w:val="00B43F95"/>
    <w:rsid w:val="00B44F3F"/>
    <w:rsid w:val="00B4582A"/>
    <w:rsid w:val="00B4645D"/>
    <w:rsid w:val="00B46957"/>
    <w:rsid w:val="00B46AE0"/>
    <w:rsid w:val="00B472E4"/>
    <w:rsid w:val="00B47879"/>
    <w:rsid w:val="00B47A4D"/>
    <w:rsid w:val="00B47B54"/>
    <w:rsid w:val="00B47C14"/>
    <w:rsid w:val="00B47F70"/>
    <w:rsid w:val="00B5079C"/>
    <w:rsid w:val="00B50BED"/>
    <w:rsid w:val="00B50E99"/>
    <w:rsid w:val="00B51926"/>
    <w:rsid w:val="00B51ECE"/>
    <w:rsid w:val="00B51F9A"/>
    <w:rsid w:val="00B521AF"/>
    <w:rsid w:val="00B53366"/>
    <w:rsid w:val="00B53E8B"/>
    <w:rsid w:val="00B541E8"/>
    <w:rsid w:val="00B54876"/>
    <w:rsid w:val="00B54D38"/>
    <w:rsid w:val="00B54DA7"/>
    <w:rsid w:val="00B553A9"/>
    <w:rsid w:val="00B55433"/>
    <w:rsid w:val="00B5550B"/>
    <w:rsid w:val="00B55A5F"/>
    <w:rsid w:val="00B56247"/>
    <w:rsid w:val="00B5678C"/>
    <w:rsid w:val="00B57DAE"/>
    <w:rsid w:val="00B57E89"/>
    <w:rsid w:val="00B57F8E"/>
    <w:rsid w:val="00B600C6"/>
    <w:rsid w:val="00B60167"/>
    <w:rsid w:val="00B60431"/>
    <w:rsid w:val="00B609E3"/>
    <w:rsid w:val="00B60FC0"/>
    <w:rsid w:val="00B61665"/>
    <w:rsid w:val="00B6232C"/>
    <w:rsid w:val="00B63110"/>
    <w:rsid w:val="00B63528"/>
    <w:rsid w:val="00B63DAF"/>
    <w:rsid w:val="00B63E98"/>
    <w:rsid w:val="00B63F1B"/>
    <w:rsid w:val="00B64035"/>
    <w:rsid w:val="00B64358"/>
    <w:rsid w:val="00B64780"/>
    <w:rsid w:val="00B64818"/>
    <w:rsid w:val="00B649FD"/>
    <w:rsid w:val="00B65754"/>
    <w:rsid w:val="00B661AA"/>
    <w:rsid w:val="00B66242"/>
    <w:rsid w:val="00B663DB"/>
    <w:rsid w:val="00B66729"/>
    <w:rsid w:val="00B66B00"/>
    <w:rsid w:val="00B66E80"/>
    <w:rsid w:val="00B66F7C"/>
    <w:rsid w:val="00B670B8"/>
    <w:rsid w:val="00B670D3"/>
    <w:rsid w:val="00B67367"/>
    <w:rsid w:val="00B67392"/>
    <w:rsid w:val="00B675DB"/>
    <w:rsid w:val="00B67958"/>
    <w:rsid w:val="00B67DD8"/>
    <w:rsid w:val="00B701D1"/>
    <w:rsid w:val="00B70CA5"/>
    <w:rsid w:val="00B70F33"/>
    <w:rsid w:val="00B710D8"/>
    <w:rsid w:val="00B716BB"/>
    <w:rsid w:val="00B716FD"/>
    <w:rsid w:val="00B71D90"/>
    <w:rsid w:val="00B71E7D"/>
    <w:rsid w:val="00B72216"/>
    <w:rsid w:val="00B7259F"/>
    <w:rsid w:val="00B72D22"/>
    <w:rsid w:val="00B730E0"/>
    <w:rsid w:val="00B731BB"/>
    <w:rsid w:val="00B734C2"/>
    <w:rsid w:val="00B73BDA"/>
    <w:rsid w:val="00B74053"/>
    <w:rsid w:val="00B743C9"/>
    <w:rsid w:val="00B74539"/>
    <w:rsid w:val="00B7481A"/>
    <w:rsid w:val="00B75569"/>
    <w:rsid w:val="00B75B54"/>
    <w:rsid w:val="00B75D5F"/>
    <w:rsid w:val="00B765A0"/>
    <w:rsid w:val="00B76C02"/>
    <w:rsid w:val="00B77A73"/>
    <w:rsid w:val="00B77BD2"/>
    <w:rsid w:val="00B8014F"/>
    <w:rsid w:val="00B80680"/>
    <w:rsid w:val="00B8077D"/>
    <w:rsid w:val="00B80A3C"/>
    <w:rsid w:val="00B80C69"/>
    <w:rsid w:val="00B81038"/>
    <w:rsid w:val="00B814CB"/>
    <w:rsid w:val="00B81A5E"/>
    <w:rsid w:val="00B81B6A"/>
    <w:rsid w:val="00B820F4"/>
    <w:rsid w:val="00B8276A"/>
    <w:rsid w:val="00B829DF"/>
    <w:rsid w:val="00B831F1"/>
    <w:rsid w:val="00B835E0"/>
    <w:rsid w:val="00B8396D"/>
    <w:rsid w:val="00B8424E"/>
    <w:rsid w:val="00B8433C"/>
    <w:rsid w:val="00B845A3"/>
    <w:rsid w:val="00B8552D"/>
    <w:rsid w:val="00B8583E"/>
    <w:rsid w:val="00B86D0C"/>
    <w:rsid w:val="00B86F03"/>
    <w:rsid w:val="00B87F58"/>
    <w:rsid w:val="00B90331"/>
    <w:rsid w:val="00B903ED"/>
    <w:rsid w:val="00B90B2D"/>
    <w:rsid w:val="00B90B72"/>
    <w:rsid w:val="00B911FA"/>
    <w:rsid w:val="00B929C0"/>
    <w:rsid w:val="00B935A1"/>
    <w:rsid w:val="00B9460C"/>
    <w:rsid w:val="00B95331"/>
    <w:rsid w:val="00B959BD"/>
    <w:rsid w:val="00B95DAD"/>
    <w:rsid w:val="00B95FE0"/>
    <w:rsid w:val="00B96C0C"/>
    <w:rsid w:val="00B9734D"/>
    <w:rsid w:val="00B97732"/>
    <w:rsid w:val="00B977BF"/>
    <w:rsid w:val="00B97FB9"/>
    <w:rsid w:val="00BA02D7"/>
    <w:rsid w:val="00BA1151"/>
    <w:rsid w:val="00BA1903"/>
    <w:rsid w:val="00BA1C94"/>
    <w:rsid w:val="00BA27F4"/>
    <w:rsid w:val="00BA2993"/>
    <w:rsid w:val="00BA2D65"/>
    <w:rsid w:val="00BA2E40"/>
    <w:rsid w:val="00BA317E"/>
    <w:rsid w:val="00BA3210"/>
    <w:rsid w:val="00BA389E"/>
    <w:rsid w:val="00BA3CB7"/>
    <w:rsid w:val="00BA41DE"/>
    <w:rsid w:val="00BA4C4D"/>
    <w:rsid w:val="00BA556C"/>
    <w:rsid w:val="00BA55F0"/>
    <w:rsid w:val="00BA5A87"/>
    <w:rsid w:val="00BA5D64"/>
    <w:rsid w:val="00BA6A3B"/>
    <w:rsid w:val="00BA6AB2"/>
    <w:rsid w:val="00BA6F8D"/>
    <w:rsid w:val="00BA760C"/>
    <w:rsid w:val="00BA785A"/>
    <w:rsid w:val="00BA7891"/>
    <w:rsid w:val="00BB0309"/>
    <w:rsid w:val="00BB0AF2"/>
    <w:rsid w:val="00BB0F31"/>
    <w:rsid w:val="00BB15AB"/>
    <w:rsid w:val="00BB189B"/>
    <w:rsid w:val="00BB1D21"/>
    <w:rsid w:val="00BB1EEF"/>
    <w:rsid w:val="00BB290B"/>
    <w:rsid w:val="00BB2937"/>
    <w:rsid w:val="00BB2E0D"/>
    <w:rsid w:val="00BB2E51"/>
    <w:rsid w:val="00BB30E4"/>
    <w:rsid w:val="00BB36BE"/>
    <w:rsid w:val="00BB3787"/>
    <w:rsid w:val="00BB3955"/>
    <w:rsid w:val="00BB4158"/>
    <w:rsid w:val="00BB440B"/>
    <w:rsid w:val="00BB498A"/>
    <w:rsid w:val="00BB4BEA"/>
    <w:rsid w:val="00BB4C1A"/>
    <w:rsid w:val="00BB50AB"/>
    <w:rsid w:val="00BB54A8"/>
    <w:rsid w:val="00BB55AD"/>
    <w:rsid w:val="00BB6664"/>
    <w:rsid w:val="00BB6758"/>
    <w:rsid w:val="00BB67A5"/>
    <w:rsid w:val="00BB74B4"/>
    <w:rsid w:val="00BB7A94"/>
    <w:rsid w:val="00BC01B8"/>
    <w:rsid w:val="00BC01FC"/>
    <w:rsid w:val="00BC1F79"/>
    <w:rsid w:val="00BC2201"/>
    <w:rsid w:val="00BC25B0"/>
    <w:rsid w:val="00BC25DF"/>
    <w:rsid w:val="00BC33D2"/>
    <w:rsid w:val="00BC3C7A"/>
    <w:rsid w:val="00BC46A1"/>
    <w:rsid w:val="00BC58BA"/>
    <w:rsid w:val="00BC6CCD"/>
    <w:rsid w:val="00BC70E3"/>
    <w:rsid w:val="00BC742C"/>
    <w:rsid w:val="00BC755F"/>
    <w:rsid w:val="00BC7690"/>
    <w:rsid w:val="00BC7B01"/>
    <w:rsid w:val="00BC7B03"/>
    <w:rsid w:val="00BC7DC6"/>
    <w:rsid w:val="00BC7DEE"/>
    <w:rsid w:val="00BD1039"/>
    <w:rsid w:val="00BD13B5"/>
    <w:rsid w:val="00BD1DA7"/>
    <w:rsid w:val="00BD246A"/>
    <w:rsid w:val="00BD2562"/>
    <w:rsid w:val="00BD26E6"/>
    <w:rsid w:val="00BD270C"/>
    <w:rsid w:val="00BD28FF"/>
    <w:rsid w:val="00BD2EE0"/>
    <w:rsid w:val="00BD2EFC"/>
    <w:rsid w:val="00BD340E"/>
    <w:rsid w:val="00BD393F"/>
    <w:rsid w:val="00BD4493"/>
    <w:rsid w:val="00BD4723"/>
    <w:rsid w:val="00BD4A1D"/>
    <w:rsid w:val="00BD593E"/>
    <w:rsid w:val="00BD5EFD"/>
    <w:rsid w:val="00BD5F83"/>
    <w:rsid w:val="00BD60AD"/>
    <w:rsid w:val="00BD6AC6"/>
    <w:rsid w:val="00BD6C02"/>
    <w:rsid w:val="00BD782A"/>
    <w:rsid w:val="00BD79DC"/>
    <w:rsid w:val="00BE002C"/>
    <w:rsid w:val="00BE05E6"/>
    <w:rsid w:val="00BE0C7F"/>
    <w:rsid w:val="00BE0E0B"/>
    <w:rsid w:val="00BE1244"/>
    <w:rsid w:val="00BE165D"/>
    <w:rsid w:val="00BE2148"/>
    <w:rsid w:val="00BE21EA"/>
    <w:rsid w:val="00BE2394"/>
    <w:rsid w:val="00BE2702"/>
    <w:rsid w:val="00BE3E24"/>
    <w:rsid w:val="00BE4326"/>
    <w:rsid w:val="00BE46B0"/>
    <w:rsid w:val="00BE47FB"/>
    <w:rsid w:val="00BE4894"/>
    <w:rsid w:val="00BE529B"/>
    <w:rsid w:val="00BE54BD"/>
    <w:rsid w:val="00BE5D68"/>
    <w:rsid w:val="00BE5F4F"/>
    <w:rsid w:val="00BE60DB"/>
    <w:rsid w:val="00BE68FD"/>
    <w:rsid w:val="00BE7DF3"/>
    <w:rsid w:val="00BF0191"/>
    <w:rsid w:val="00BF09D1"/>
    <w:rsid w:val="00BF0D9E"/>
    <w:rsid w:val="00BF0FC4"/>
    <w:rsid w:val="00BF13EC"/>
    <w:rsid w:val="00BF1529"/>
    <w:rsid w:val="00BF196E"/>
    <w:rsid w:val="00BF1C07"/>
    <w:rsid w:val="00BF1CA0"/>
    <w:rsid w:val="00BF20F0"/>
    <w:rsid w:val="00BF2486"/>
    <w:rsid w:val="00BF2FAB"/>
    <w:rsid w:val="00BF34C2"/>
    <w:rsid w:val="00BF3857"/>
    <w:rsid w:val="00BF3AFC"/>
    <w:rsid w:val="00BF3DEE"/>
    <w:rsid w:val="00BF4710"/>
    <w:rsid w:val="00BF4F3F"/>
    <w:rsid w:val="00BF54AC"/>
    <w:rsid w:val="00BF54BD"/>
    <w:rsid w:val="00BF657A"/>
    <w:rsid w:val="00BF6593"/>
    <w:rsid w:val="00BF6B1A"/>
    <w:rsid w:val="00BF6B8E"/>
    <w:rsid w:val="00BF6FE3"/>
    <w:rsid w:val="00C00C66"/>
    <w:rsid w:val="00C0182D"/>
    <w:rsid w:val="00C025A5"/>
    <w:rsid w:val="00C02859"/>
    <w:rsid w:val="00C02CE1"/>
    <w:rsid w:val="00C02ED5"/>
    <w:rsid w:val="00C030D3"/>
    <w:rsid w:val="00C033A9"/>
    <w:rsid w:val="00C03940"/>
    <w:rsid w:val="00C03C07"/>
    <w:rsid w:val="00C03C78"/>
    <w:rsid w:val="00C03F10"/>
    <w:rsid w:val="00C04FD3"/>
    <w:rsid w:val="00C05118"/>
    <w:rsid w:val="00C0526B"/>
    <w:rsid w:val="00C05AF1"/>
    <w:rsid w:val="00C06041"/>
    <w:rsid w:val="00C063BC"/>
    <w:rsid w:val="00C065A2"/>
    <w:rsid w:val="00C06B32"/>
    <w:rsid w:val="00C06E22"/>
    <w:rsid w:val="00C06F80"/>
    <w:rsid w:val="00C07919"/>
    <w:rsid w:val="00C103F9"/>
    <w:rsid w:val="00C104AC"/>
    <w:rsid w:val="00C110E1"/>
    <w:rsid w:val="00C114AF"/>
    <w:rsid w:val="00C118BE"/>
    <w:rsid w:val="00C1198F"/>
    <w:rsid w:val="00C11D4C"/>
    <w:rsid w:val="00C11FA1"/>
    <w:rsid w:val="00C120F0"/>
    <w:rsid w:val="00C121A3"/>
    <w:rsid w:val="00C127A2"/>
    <w:rsid w:val="00C12E21"/>
    <w:rsid w:val="00C12E65"/>
    <w:rsid w:val="00C13C20"/>
    <w:rsid w:val="00C13F74"/>
    <w:rsid w:val="00C140FD"/>
    <w:rsid w:val="00C144C1"/>
    <w:rsid w:val="00C14569"/>
    <w:rsid w:val="00C146D3"/>
    <w:rsid w:val="00C14F50"/>
    <w:rsid w:val="00C15C6C"/>
    <w:rsid w:val="00C1677F"/>
    <w:rsid w:val="00C16797"/>
    <w:rsid w:val="00C16BE0"/>
    <w:rsid w:val="00C16DC7"/>
    <w:rsid w:val="00C16DD6"/>
    <w:rsid w:val="00C17D99"/>
    <w:rsid w:val="00C17E27"/>
    <w:rsid w:val="00C202DF"/>
    <w:rsid w:val="00C20E9C"/>
    <w:rsid w:val="00C2116F"/>
    <w:rsid w:val="00C21206"/>
    <w:rsid w:val="00C218BB"/>
    <w:rsid w:val="00C21C39"/>
    <w:rsid w:val="00C21C3A"/>
    <w:rsid w:val="00C22280"/>
    <w:rsid w:val="00C22292"/>
    <w:rsid w:val="00C22E60"/>
    <w:rsid w:val="00C2325C"/>
    <w:rsid w:val="00C233AF"/>
    <w:rsid w:val="00C239ED"/>
    <w:rsid w:val="00C2462C"/>
    <w:rsid w:val="00C24C68"/>
    <w:rsid w:val="00C24D9D"/>
    <w:rsid w:val="00C2505F"/>
    <w:rsid w:val="00C2559B"/>
    <w:rsid w:val="00C25C7B"/>
    <w:rsid w:val="00C25CF3"/>
    <w:rsid w:val="00C25E0F"/>
    <w:rsid w:val="00C2614C"/>
    <w:rsid w:val="00C263E5"/>
    <w:rsid w:val="00C263E9"/>
    <w:rsid w:val="00C26849"/>
    <w:rsid w:val="00C2775A"/>
    <w:rsid w:val="00C27D3F"/>
    <w:rsid w:val="00C27EE7"/>
    <w:rsid w:val="00C3004B"/>
    <w:rsid w:val="00C3063A"/>
    <w:rsid w:val="00C30BAD"/>
    <w:rsid w:val="00C30D61"/>
    <w:rsid w:val="00C31154"/>
    <w:rsid w:val="00C318EB"/>
    <w:rsid w:val="00C31E8F"/>
    <w:rsid w:val="00C320FB"/>
    <w:rsid w:val="00C32206"/>
    <w:rsid w:val="00C325D3"/>
    <w:rsid w:val="00C335DA"/>
    <w:rsid w:val="00C3364A"/>
    <w:rsid w:val="00C339E6"/>
    <w:rsid w:val="00C33D3E"/>
    <w:rsid w:val="00C34AF2"/>
    <w:rsid w:val="00C34DE5"/>
    <w:rsid w:val="00C35E80"/>
    <w:rsid w:val="00C362BC"/>
    <w:rsid w:val="00C362E0"/>
    <w:rsid w:val="00C36DA0"/>
    <w:rsid w:val="00C36E93"/>
    <w:rsid w:val="00C36ED4"/>
    <w:rsid w:val="00C376CC"/>
    <w:rsid w:val="00C37726"/>
    <w:rsid w:val="00C400F7"/>
    <w:rsid w:val="00C40745"/>
    <w:rsid w:val="00C4076C"/>
    <w:rsid w:val="00C40A26"/>
    <w:rsid w:val="00C40DEA"/>
    <w:rsid w:val="00C40EC6"/>
    <w:rsid w:val="00C4166E"/>
    <w:rsid w:val="00C41828"/>
    <w:rsid w:val="00C419AD"/>
    <w:rsid w:val="00C41B5F"/>
    <w:rsid w:val="00C41C79"/>
    <w:rsid w:val="00C42DFC"/>
    <w:rsid w:val="00C437BA"/>
    <w:rsid w:val="00C44395"/>
    <w:rsid w:val="00C443B3"/>
    <w:rsid w:val="00C4493D"/>
    <w:rsid w:val="00C44C7F"/>
    <w:rsid w:val="00C45CE8"/>
    <w:rsid w:val="00C46361"/>
    <w:rsid w:val="00C46F06"/>
    <w:rsid w:val="00C47252"/>
    <w:rsid w:val="00C47DA6"/>
    <w:rsid w:val="00C504E6"/>
    <w:rsid w:val="00C50986"/>
    <w:rsid w:val="00C50ABF"/>
    <w:rsid w:val="00C50EF2"/>
    <w:rsid w:val="00C51256"/>
    <w:rsid w:val="00C51351"/>
    <w:rsid w:val="00C51566"/>
    <w:rsid w:val="00C516B7"/>
    <w:rsid w:val="00C516C4"/>
    <w:rsid w:val="00C51C1F"/>
    <w:rsid w:val="00C522CA"/>
    <w:rsid w:val="00C523C1"/>
    <w:rsid w:val="00C52433"/>
    <w:rsid w:val="00C524EB"/>
    <w:rsid w:val="00C52D62"/>
    <w:rsid w:val="00C52E3F"/>
    <w:rsid w:val="00C52EF3"/>
    <w:rsid w:val="00C533D4"/>
    <w:rsid w:val="00C53786"/>
    <w:rsid w:val="00C53A4C"/>
    <w:rsid w:val="00C53A56"/>
    <w:rsid w:val="00C542AD"/>
    <w:rsid w:val="00C5448D"/>
    <w:rsid w:val="00C54656"/>
    <w:rsid w:val="00C5477F"/>
    <w:rsid w:val="00C547B7"/>
    <w:rsid w:val="00C54DBF"/>
    <w:rsid w:val="00C5503B"/>
    <w:rsid w:val="00C55A32"/>
    <w:rsid w:val="00C55A8A"/>
    <w:rsid w:val="00C55F84"/>
    <w:rsid w:val="00C564F2"/>
    <w:rsid w:val="00C56C0A"/>
    <w:rsid w:val="00C56CB2"/>
    <w:rsid w:val="00C56D8D"/>
    <w:rsid w:val="00C56F11"/>
    <w:rsid w:val="00C56FA0"/>
    <w:rsid w:val="00C5719D"/>
    <w:rsid w:val="00C579CB"/>
    <w:rsid w:val="00C57B1A"/>
    <w:rsid w:val="00C57DEA"/>
    <w:rsid w:val="00C601D3"/>
    <w:rsid w:val="00C602F8"/>
    <w:rsid w:val="00C61675"/>
    <w:rsid w:val="00C6176D"/>
    <w:rsid w:val="00C61D36"/>
    <w:rsid w:val="00C61F3A"/>
    <w:rsid w:val="00C620A1"/>
    <w:rsid w:val="00C620CC"/>
    <w:rsid w:val="00C6256E"/>
    <w:rsid w:val="00C629CB"/>
    <w:rsid w:val="00C62B75"/>
    <w:rsid w:val="00C6353C"/>
    <w:rsid w:val="00C64B3E"/>
    <w:rsid w:val="00C657B5"/>
    <w:rsid w:val="00C659CF"/>
    <w:rsid w:val="00C65A48"/>
    <w:rsid w:val="00C65C57"/>
    <w:rsid w:val="00C65D65"/>
    <w:rsid w:val="00C661E1"/>
    <w:rsid w:val="00C66686"/>
    <w:rsid w:val="00C676B6"/>
    <w:rsid w:val="00C678C4"/>
    <w:rsid w:val="00C67913"/>
    <w:rsid w:val="00C7059A"/>
    <w:rsid w:val="00C70742"/>
    <w:rsid w:val="00C70B6D"/>
    <w:rsid w:val="00C70C14"/>
    <w:rsid w:val="00C70F3C"/>
    <w:rsid w:val="00C71067"/>
    <w:rsid w:val="00C71215"/>
    <w:rsid w:val="00C71357"/>
    <w:rsid w:val="00C71435"/>
    <w:rsid w:val="00C71A8F"/>
    <w:rsid w:val="00C71BCD"/>
    <w:rsid w:val="00C72087"/>
    <w:rsid w:val="00C7216B"/>
    <w:rsid w:val="00C727BE"/>
    <w:rsid w:val="00C72850"/>
    <w:rsid w:val="00C732A9"/>
    <w:rsid w:val="00C73412"/>
    <w:rsid w:val="00C73448"/>
    <w:rsid w:val="00C73982"/>
    <w:rsid w:val="00C73E05"/>
    <w:rsid w:val="00C73E2E"/>
    <w:rsid w:val="00C74546"/>
    <w:rsid w:val="00C748E2"/>
    <w:rsid w:val="00C749C9"/>
    <w:rsid w:val="00C74C06"/>
    <w:rsid w:val="00C74D08"/>
    <w:rsid w:val="00C75746"/>
    <w:rsid w:val="00C76577"/>
    <w:rsid w:val="00C766FC"/>
    <w:rsid w:val="00C77258"/>
    <w:rsid w:val="00C7776C"/>
    <w:rsid w:val="00C778FC"/>
    <w:rsid w:val="00C80BEC"/>
    <w:rsid w:val="00C80C7C"/>
    <w:rsid w:val="00C810A4"/>
    <w:rsid w:val="00C81794"/>
    <w:rsid w:val="00C81FF6"/>
    <w:rsid w:val="00C83274"/>
    <w:rsid w:val="00C83550"/>
    <w:rsid w:val="00C8398D"/>
    <w:rsid w:val="00C839A1"/>
    <w:rsid w:val="00C8442C"/>
    <w:rsid w:val="00C844B6"/>
    <w:rsid w:val="00C84BC2"/>
    <w:rsid w:val="00C84DF9"/>
    <w:rsid w:val="00C85139"/>
    <w:rsid w:val="00C85657"/>
    <w:rsid w:val="00C857FC"/>
    <w:rsid w:val="00C85896"/>
    <w:rsid w:val="00C85BF7"/>
    <w:rsid w:val="00C86047"/>
    <w:rsid w:val="00C86915"/>
    <w:rsid w:val="00C876FB"/>
    <w:rsid w:val="00C87F52"/>
    <w:rsid w:val="00C90D0D"/>
    <w:rsid w:val="00C90E4D"/>
    <w:rsid w:val="00C90FEC"/>
    <w:rsid w:val="00C913B3"/>
    <w:rsid w:val="00C91C88"/>
    <w:rsid w:val="00C921F3"/>
    <w:rsid w:val="00C9225B"/>
    <w:rsid w:val="00C92686"/>
    <w:rsid w:val="00C92697"/>
    <w:rsid w:val="00C926B3"/>
    <w:rsid w:val="00C927C6"/>
    <w:rsid w:val="00C93917"/>
    <w:rsid w:val="00C939C3"/>
    <w:rsid w:val="00C93A31"/>
    <w:rsid w:val="00C93CAC"/>
    <w:rsid w:val="00C93FF4"/>
    <w:rsid w:val="00C94228"/>
    <w:rsid w:val="00C946AC"/>
    <w:rsid w:val="00C95824"/>
    <w:rsid w:val="00C95D61"/>
    <w:rsid w:val="00C965F8"/>
    <w:rsid w:val="00C9675B"/>
    <w:rsid w:val="00C96D56"/>
    <w:rsid w:val="00C973B5"/>
    <w:rsid w:val="00C9759C"/>
    <w:rsid w:val="00C977E6"/>
    <w:rsid w:val="00C97B6F"/>
    <w:rsid w:val="00C97D5B"/>
    <w:rsid w:val="00CA0020"/>
    <w:rsid w:val="00CA0604"/>
    <w:rsid w:val="00CA0B2E"/>
    <w:rsid w:val="00CA1172"/>
    <w:rsid w:val="00CA18CA"/>
    <w:rsid w:val="00CA19C3"/>
    <w:rsid w:val="00CA24D4"/>
    <w:rsid w:val="00CA2557"/>
    <w:rsid w:val="00CA2B2D"/>
    <w:rsid w:val="00CA3678"/>
    <w:rsid w:val="00CA3E1E"/>
    <w:rsid w:val="00CA4169"/>
    <w:rsid w:val="00CA427B"/>
    <w:rsid w:val="00CA515B"/>
    <w:rsid w:val="00CA5413"/>
    <w:rsid w:val="00CA5674"/>
    <w:rsid w:val="00CA5AF4"/>
    <w:rsid w:val="00CA5BDA"/>
    <w:rsid w:val="00CA5C1A"/>
    <w:rsid w:val="00CA633F"/>
    <w:rsid w:val="00CA641E"/>
    <w:rsid w:val="00CA6A65"/>
    <w:rsid w:val="00CA7558"/>
    <w:rsid w:val="00CA76AC"/>
    <w:rsid w:val="00CA785F"/>
    <w:rsid w:val="00CA787D"/>
    <w:rsid w:val="00CA792A"/>
    <w:rsid w:val="00CA7949"/>
    <w:rsid w:val="00CB0400"/>
    <w:rsid w:val="00CB0578"/>
    <w:rsid w:val="00CB0C6E"/>
    <w:rsid w:val="00CB0C89"/>
    <w:rsid w:val="00CB1C19"/>
    <w:rsid w:val="00CB1FC9"/>
    <w:rsid w:val="00CB2092"/>
    <w:rsid w:val="00CB226B"/>
    <w:rsid w:val="00CB229B"/>
    <w:rsid w:val="00CB31DB"/>
    <w:rsid w:val="00CB33B4"/>
    <w:rsid w:val="00CB34D5"/>
    <w:rsid w:val="00CB3500"/>
    <w:rsid w:val="00CB35EC"/>
    <w:rsid w:val="00CB3D93"/>
    <w:rsid w:val="00CB3DF2"/>
    <w:rsid w:val="00CB4441"/>
    <w:rsid w:val="00CB4623"/>
    <w:rsid w:val="00CB4B1A"/>
    <w:rsid w:val="00CB4E1F"/>
    <w:rsid w:val="00CB5216"/>
    <w:rsid w:val="00CB5E05"/>
    <w:rsid w:val="00CB6BC3"/>
    <w:rsid w:val="00CB6DCE"/>
    <w:rsid w:val="00CB7AAA"/>
    <w:rsid w:val="00CC02AA"/>
    <w:rsid w:val="00CC08E9"/>
    <w:rsid w:val="00CC14D7"/>
    <w:rsid w:val="00CC152E"/>
    <w:rsid w:val="00CC1537"/>
    <w:rsid w:val="00CC18A8"/>
    <w:rsid w:val="00CC2493"/>
    <w:rsid w:val="00CC28B3"/>
    <w:rsid w:val="00CC3222"/>
    <w:rsid w:val="00CC35F1"/>
    <w:rsid w:val="00CC35FF"/>
    <w:rsid w:val="00CC4083"/>
    <w:rsid w:val="00CC4244"/>
    <w:rsid w:val="00CC4DAB"/>
    <w:rsid w:val="00CC5304"/>
    <w:rsid w:val="00CC5C59"/>
    <w:rsid w:val="00CC5FAD"/>
    <w:rsid w:val="00CC730E"/>
    <w:rsid w:val="00CC7BE2"/>
    <w:rsid w:val="00CD01ED"/>
    <w:rsid w:val="00CD041D"/>
    <w:rsid w:val="00CD080F"/>
    <w:rsid w:val="00CD0A15"/>
    <w:rsid w:val="00CD0E6E"/>
    <w:rsid w:val="00CD0ECF"/>
    <w:rsid w:val="00CD173D"/>
    <w:rsid w:val="00CD181A"/>
    <w:rsid w:val="00CD1983"/>
    <w:rsid w:val="00CD1DD9"/>
    <w:rsid w:val="00CD22F6"/>
    <w:rsid w:val="00CD22FD"/>
    <w:rsid w:val="00CD23AE"/>
    <w:rsid w:val="00CD27DF"/>
    <w:rsid w:val="00CD2816"/>
    <w:rsid w:val="00CD2D8A"/>
    <w:rsid w:val="00CD3783"/>
    <w:rsid w:val="00CD3BAC"/>
    <w:rsid w:val="00CD3CD9"/>
    <w:rsid w:val="00CD3F81"/>
    <w:rsid w:val="00CD3FF2"/>
    <w:rsid w:val="00CD4A65"/>
    <w:rsid w:val="00CD4B60"/>
    <w:rsid w:val="00CD531F"/>
    <w:rsid w:val="00CD5435"/>
    <w:rsid w:val="00CD5637"/>
    <w:rsid w:val="00CD5C27"/>
    <w:rsid w:val="00CD6FA3"/>
    <w:rsid w:val="00CD74CE"/>
    <w:rsid w:val="00CE2184"/>
    <w:rsid w:val="00CE2439"/>
    <w:rsid w:val="00CE29EA"/>
    <w:rsid w:val="00CE32F1"/>
    <w:rsid w:val="00CE33E5"/>
    <w:rsid w:val="00CE35B9"/>
    <w:rsid w:val="00CE37B0"/>
    <w:rsid w:val="00CE3B7F"/>
    <w:rsid w:val="00CE3FA2"/>
    <w:rsid w:val="00CE3FE2"/>
    <w:rsid w:val="00CE41A0"/>
    <w:rsid w:val="00CE44ED"/>
    <w:rsid w:val="00CE4947"/>
    <w:rsid w:val="00CE4958"/>
    <w:rsid w:val="00CE532A"/>
    <w:rsid w:val="00CE542A"/>
    <w:rsid w:val="00CE5A4E"/>
    <w:rsid w:val="00CE631C"/>
    <w:rsid w:val="00CE6599"/>
    <w:rsid w:val="00CE68E2"/>
    <w:rsid w:val="00CE706E"/>
    <w:rsid w:val="00CE70B1"/>
    <w:rsid w:val="00CE7AE4"/>
    <w:rsid w:val="00CE7F6D"/>
    <w:rsid w:val="00CF0291"/>
    <w:rsid w:val="00CF029A"/>
    <w:rsid w:val="00CF041E"/>
    <w:rsid w:val="00CF05E5"/>
    <w:rsid w:val="00CF0A4C"/>
    <w:rsid w:val="00CF0CE0"/>
    <w:rsid w:val="00CF150A"/>
    <w:rsid w:val="00CF2225"/>
    <w:rsid w:val="00CF25E7"/>
    <w:rsid w:val="00CF2661"/>
    <w:rsid w:val="00CF30A9"/>
    <w:rsid w:val="00CF3120"/>
    <w:rsid w:val="00CF317A"/>
    <w:rsid w:val="00CF3888"/>
    <w:rsid w:val="00CF3C77"/>
    <w:rsid w:val="00CF45A2"/>
    <w:rsid w:val="00CF48E5"/>
    <w:rsid w:val="00CF4919"/>
    <w:rsid w:val="00CF498B"/>
    <w:rsid w:val="00CF4CEB"/>
    <w:rsid w:val="00CF4E61"/>
    <w:rsid w:val="00CF4E85"/>
    <w:rsid w:val="00CF4F08"/>
    <w:rsid w:val="00CF51E2"/>
    <w:rsid w:val="00CF52E7"/>
    <w:rsid w:val="00CF5969"/>
    <w:rsid w:val="00CF5E1C"/>
    <w:rsid w:val="00CF6014"/>
    <w:rsid w:val="00CF64B5"/>
    <w:rsid w:val="00CF65EE"/>
    <w:rsid w:val="00CF68B2"/>
    <w:rsid w:val="00CF76C2"/>
    <w:rsid w:val="00CF7853"/>
    <w:rsid w:val="00D001E1"/>
    <w:rsid w:val="00D004ED"/>
    <w:rsid w:val="00D00500"/>
    <w:rsid w:val="00D00883"/>
    <w:rsid w:val="00D021D0"/>
    <w:rsid w:val="00D0260F"/>
    <w:rsid w:val="00D029DE"/>
    <w:rsid w:val="00D030E7"/>
    <w:rsid w:val="00D03108"/>
    <w:rsid w:val="00D03281"/>
    <w:rsid w:val="00D03708"/>
    <w:rsid w:val="00D03D87"/>
    <w:rsid w:val="00D04286"/>
    <w:rsid w:val="00D0450C"/>
    <w:rsid w:val="00D047EA"/>
    <w:rsid w:val="00D04952"/>
    <w:rsid w:val="00D05835"/>
    <w:rsid w:val="00D05AB7"/>
    <w:rsid w:val="00D05B70"/>
    <w:rsid w:val="00D0603A"/>
    <w:rsid w:val="00D0664C"/>
    <w:rsid w:val="00D06776"/>
    <w:rsid w:val="00D06E46"/>
    <w:rsid w:val="00D06F95"/>
    <w:rsid w:val="00D0763E"/>
    <w:rsid w:val="00D07B87"/>
    <w:rsid w:val="00D10605"/>
    <w:rsid w:val="00D106AF"/>
    <w:rsid w:val="00D10CA1"/>
    <w:rsid w:val="00D1158C"/>
    <w:rsid w:val="00D11600"/>
    <w:rsid w:val="00D119A2"/>
    <w:rsid w:val="00D11FFF"/>
    <w:rsid w:val="00D126E1"/>
    <w:rsid w:val="00D12C85"/>
    <w:rsid w:val="00D12E31"/>
    <w:rsid w:val="00D13191"/>
    <w:rsid w:val="00D137F9"/>
    <w:rsid w:val="00D1458C"/>
    <w:rsid w:val="00D14B14"/>
    <w:rsid w:val="00D14B22"/>
    <w:rsid w:val="00D14E82"/>
    <w:rsid w:val="00D15052"/>
    <w:rsid w:val="00D1593A"/>
    <w:rsid w:val="00D15A02"/>
    <w:rsid w:val="00D16057"/>
    <w:rsid w:val="00D1620E"/>
    <w:rsid w:val="00D164E9"/>
    <w:rsid w:val="00D16867"/>
    <w:rsid w:val="00D16905"/>
    <w:rsid w:val="00D16948"/>
    <w:rsid w:val="00D16B5D"/>
    <w:rsid w:val="00D16EEC"/>
    <w:rsid w:val="00D17066"/>
    <w:rsid w:val="00D17BE9"/>
    <w:rsid w:val="00D17F2B"/>
    <w:rsid w:val="00D2047A"/>
    <w:rsid w:val="00D20631"/>
    <w:rsid w:val="00D207FC"/>
    <w:rsid w:val="00D20E95"/>
    <w:rsid w:val="00D212D3"/>
    <w:rsid w:val="00D21BB1"/>
    <w:rsid w:val="00D21DEF"/>
    <w:rsid w:val="00D2260B"/>
    <w:rsid w:val="00D22D49"/>
    <w:rsid w:val="00D232F8"/>
    <w:rsid w:val="00D2370C"/>
    <w:rsid w:val="00D23930"/>
    <w:rsid w:val="00D239CF"/>
    <w:rsid w:val="00D23A23"/>
    <w:rsid w:val="00D23E39"/>
    <w:rsid w:val="00D24014"/>
    <w:rsid w:val="00D240BE"/>
    <w:rsid w:val="00D24116"/>
    <w:rsid w:val="00D247BB"/>
    <w:rsid w:val="00D24D8A"/>
    <w:rsid w:val="00D24DA4"/>
    <w:rsid w:val="00D25235"/>
    <w:rsid w:val="00D25383"/>
    <w:rsid w:val="00D25670"/>
    <w:rsid w:val="00D264F6"/>
    <w:rsid w:val="00D26828"/>
    <w:rsid w:val="00D26B7C"/>
    <w:rsid w:val="00D26C76"/>
    <w:rsid w:val="00D27768"/>
    <w:rsid w:val="00D27BD0"/>
    <w:rsid w:val="00D30116"/>
    <w:rsid w:val="00D30130"/>
    <w:rsid w:val="00D301FF"/>
    <w:rsid w:val="00D30F6D"/>
    <w:rsid w:val="00D30FA7"/>
    <w:rsid w:val="00D31504"/>
    <w:rsid w:val="00D3185A"/>
    <w:rsid w:val="00D31F5F"/>
    <w:rsid w:val="00D3257F"/>
    <w:rsid w:val="00D32806"/>
    <w:rsid w:val="00D328E0"/>
    <w:rsid w:val="00D32BD9"/>
    <w:rsid w:val="00D336A9"/>
    <w:rsid w:val="00D33ADB"/>
    <w:rsid w:val="00D33B2B"/>
    <w:rsid w:val="00D33BC2"/>
    <w:rsid w:val="00D34012"/>
    <w:rsid w:val="00D340E2"/>
    <w:rsid w:val="00D344EE"/>
    <w:rsid w:val="00D354F8"/>
    <w:rsid w:val="00D35FFD"/>
    <w:rsid w:val="00D360C9"/>
    <w:rsid w:val="00D36261"/>
    <w:rsid w:val="00D364ED"/>
    <w:rsid w:val="00D36887"/>
    <w:rsid w:val="00D36BC0"/>
    <w:rsid w:val="00D36CC9"/>
    <w:rsid w:val="00D37563"/>
    <w:rsid w:val="00D3769C"/>
    <w:rsid w:val="00D379EB"/>
    <w:rsid w:val="00D37B7F"/>
    <w:rsid w:val="00D37F01"/>
    <w:rsid w:val="00D400B8"/>
    <w:rsid w:val="00D4011B"/>
    <w:rsid w:val="00D4022C"/>
    <w:rsid w:val="00D4085C"/>
    <w:rsid w:val="00D41023"/>
    <w:rsid w:val="00D41C6C"/>
    <w:rsid w:val="00D41EB0"/>
    <w:rsid w:val="00D42198"/>
    <w:rsid w:val="00D42465"/>
    <w:rsid w:val="00D4279C"/>
    <w:rsid w:val="00D42AA8"/>
    <w:rsid w:val="00D42D32"/>
    <w:rsid w:val="00D42E5B"/>
    <w:rsid w:val="00D42F27"/>
    <w:rsid w:val="00D436EF"/>
    <w:rsid w:val="00D437BC"/>
    <w:rsid w:val="00D438FE"/>
    <w:rsid w:val="00D439D1"/>
    <w:rsid w:val="00D43A69"/>
    <w:rsid w:val="00D43C3C"/>
    <w:rsid w:val="00D43C68"/>
    <w:rsid w:val="00D443BD"/>
    <w:rsid w:val="00D443DC"/>
    <w:rsid w:val="00D444B2"/>
    <w:rsid w:val="00D453E4"/>
    <w:rsid w:val="00D459DE"/>
    <w:rsid w:val="00D45B42"/>
    <w:rsid w:val="00D47226"/>
    <w:rsid w:val="00D479F3"/>
    <w:rsid w:val="00D500C3"/>
    <w:rsid w:val="00D505D6"/>
    <w:rsid w:val="00D507EF"/>
    <w:rsid w:val="00D50B21"/>
    <w:rsid w:val="00D51349"/>
    <w:rsid w:val="00D516D5"/>
    <w:rsid w:val="00D52333"/>
    <w:rsid w:val="00D527AF"/>
    <w:rsid w:val="00D529E1"/>
    <w:rsid w:val="00D53135"/>
    <w:rsid w:val="00D534C2"/>
    <w:rsid w:val="00D53DEA"/>
    <w:rsid w:val="00D54051"/>
    <w:rsid w:val="00D5410F"/>
    <w:rsid w:val="00D5445F"/>
    <w:rsid w:val="00D549C5"/>
    <w:rsid w:val="00D54B06"/>
    <w:rsid w:val="00D54BD6"/>
    <w:rsid w:val="00D5508C"/>
    <w:rsid w:val="00D550D8"/>
    <w:rsid w:val="00D5544E"/>
    <w:rsid w:val="00D555CE"/>
    <w:rsid w:val="00D5560A"/>
    <w:rsid w:val="00D55F46"/>
    <w:rsid w:val="00D56037"/>
    <w:rsid w:val="00D56489"/>
    <w:rsid w:val="00D564DF"/>
    <w:rsid w:val="00D570F6"/>
    <w:rsid w:val="00D571C5"/>
    <w:rsid w:val="00D574BB"/>
    <w:rsid w:val="00D576DD"/>
    <w:rsid w:val="00D57712"/>
    <w:rsid w:val="00D57C6A"/>
    <w:rsid w:val="00D57CB4"/>
    <w:rsid w:val="00D60597"/>
    <w:rsid w:val="00D60C42"/>
    <w:rsid w:val="00D6120D"/>
    <w:rsid w:val="00D61477"/>
    <w:rsid w:val="00D619E2"/>
    <w:rsid w:val="00D61AAB"/>
    <w:rsid w:val="00D61D82"/>
    <w:rsid w:val="00D62036"/>
    <w:rsid w:val="00D620CC"/>
    <w:rsid w:val="00D62E23"/>
    <w:rsid w:val="00D6322A"/>
    <w:rsid w:val="00D634B8"/>
    <w:rsid w:val="00D63526"/>
    <w:rsid w:val="00D63EF3"/>
    <w:rsid w:val="00D64097"/>
    <w:rsid w:val="00D64179"/>
    <w:rsid w:val="00D64441"/>
    <w:rsid w:val="00D6486C"/>
    <w:rsid w:val="00D648B1"/>
    <w:rsid w:val="00D64FB0"/>
    <w:rsid w:val="00D65497"/>
    <w:rsid w:val="00D654DA"/>
    <w:rsid w:val="00D65B91"/>
    <w:rsid w:val="00D65C2F"/>
    <w:rsid w:val="00D6609E"/>
    <w:rsid w:val="00D66172"/>
    <w:rsid w:val="00D66352"/>
    <w:rsid w:val="00D66892"/>
    <w:rsid w:val="00D66CD7"/>
    <w:rsid w:val="00D67A9F"/>
    <w:rsid w:val="00D67C20"/>
    <w:rsid w:val="00D67EB4"/>
    <w:rsid w:val="00D70832"/>
    <w:rsid w:val="00D70C1B"/>
    <w:rsid w:val="00D70E5C"/>
    <w:rsid w:val="00D7112D"/>
    <w:rsid w:val="00D7146C"/>
    <w:rsid w:val="00D718CD"/>
    <w:rsid w:val="00D73BF6"/>
    <w:rsid w:val="00D73FA5"/>
    <w:rsid w:val="00D7416F"/>
    <w:rsid w:val="00D74C69"/>
    <w:rsid w:val="00D755B4"/>
    <w:rsid w:val="00D755F2"/>
    <w:rsid w:val="00D7594F"/>
    <w:rsid w:val="00D75CAC"/>
    <w:rsid w:val="00D762AC"/>
    <w:rsid w:val="00D765C3"/>
    <w:rsid w:val="00D76FE0"/>
    <w:rsid w:val="00D775E7"/>
    <w:rsid w:val="00D77924"/>
    <w:rsid w:val="00D77B9E"/>
    <w:rsid w:val="00D80579"/>
    <w:rsid w:val="00D819BC"/>
    <w:rsid w:val="00D81CA9"/>
    <w:rsid w:val="00D81E83"/>
    <w:rsid w:val="00D82C03"/>
    <w:rsid w:val="00D82C89"/>
    <w:rsid w:val="00D83829"/>
    <w:rsid w:val="00D839D8"/>
    <w:rsid w:val="00D83BC5"/>
    <w:rsid w:val="00D83F9E"/>
    <w:rsid w:val="00D840C2"/>
    <w:rsid w:val="00D84288"/>
    <w:rsid w:val="00D84562"/>
    <w:rsid w:val="00D851A3"/>
    <w:rsid w:val="00D851F8"/>
    <w:rsid w:val="00D852E7"/>
    <w:rsid w:val="00D85C16"/>
    <w:rsid w:val="00D86169"/>
    <w:rsid w:val="00D861C2"/>
    <w:rsid w:val="00D87298"/>
    <w:rsid w:val="00D8732E"/>
    <w:rsid w:val="00D8770A"/>
    <w:rsid w:val="00D90382"/>
    <w:rsid w:val="00D905AD"/>
    <w:rsid w:val="00D91294"/>
    <w:rsid w:val="00D91352"/>
    <w:rsid w:val="00D91726"/>
    <w:rsid w:val="00D9186A"/>
    <w:rsid w:val="00D91F1D"/>
    <w:rsid w:val="00D920F9"/>
    <w:rsid w:val="00D92653"/>
    <w:rsid w:val="00D92D47"/>
    <w:rsid w:val="00D92E0A"/>
    <w:rsid w:val="00D92E9A"/>
    <w:rsid w:val="00D93A87"/>
    <w:rsid w:val="00D93C11"/>
    <w:rsid w:val="00D94213"/>
    <w:rsid w:val="00D94786"/>
    <w:rsid w:val="00D94BEB"/>
    <w:rsid w:val="00D94EA5"/>
    <w:rsid w:val="00D9517E"/>
    <w:rsid w:val="00D95508"/>
    <w:rsid w:val="00D95F32"/>
    <w:rsid w:val="00D97774"/>
    <w:rsid w:val="00D97890"/>
    <w:rsid w:val="00DA024A"/>
    <w:rsid w:val="00DA07EE"/>
    <w:rsid w:val="00DA0A58"/>
    <w:rsid w:val="00DA0FF6"/>
    <w:rsid w:val="00DA11BC"/>
    <w:rsid w:val="00DA1705"/>
    <w:rsid w:val="00DA1C85"/>
    <w:rsid w:val="00DA1CC9"/>
    <w:rsid w:val="00DA2E58"/>
    <w:rsid w:val="00DA328E"/>
    <w:rsid w:val="00DA3AA6"/>
    <w:rsid w:val="00DA46C1"/>
    <w:rsid w:val="00DA51E7"/>
    <w:rsid w:val="00DA536F"/>
    <w:rsid w:val="00DA5717"/>
    <w:rsid w:val="00DA57E7"/>
    <w:rsid w:val="00DA586D"/>
    <w:rsid w:val="00DA5DBC"/>
    <w:rsid w:val="00DA70DD"/>
    <w:rsid w:val="00DA7337"/>
    <w:rsid w:val="00DA76C7"/>
    <w:rsid w:val="00DA79F3"/>
    <w:rsid w:val="00DB027C"/>
    <w:rsid w:val="00DB02A0"/>
    <w:rsid w:val="00DB088F"/>
    <w:rsid w:val="00DB0B4A"/>
    <w:rsid w:val="00DB0EAA"/>
    <w:rsid w:val="00DB1487"/>
    <w:rsid w:val="00DB19B4"/>
    <w:rsid w:val="00DB19F1"/>
    <w:rsid w:val="00DB26AE"/>
    <w:rsid w:val="00DB291C"/>
    <w:rsid w:val="00DB3F3C"/>
    <w:rsid w:val="00DB4411"/>
    <w:rsid w:val="00DB466D"/>
    <w:rsid w:val="00DB4F10"/>
    <w:rsid w:val="00DB4F84"/>
    <w:rsid w:val="00DB5D7A"/>
    <w:rsid w:val="00DB5FD0"/>
    <w:rsid w:val="00DB653E"/>
    <w:rsid w:val="00DB681E"/>
    <w:rsid w:val="00DB6B12"/>
    <w:rsid w:val="00DB7243"/>
    <w:rsid w:val="00DB7395"/>
    <w:rsid w:val="00DB75C2"/>
    <w:rsid w:val="00DB7E2C"/>
    <w:rsid w:val="00DB7FEB"/>
    <w:rsid w:val="00DC027B"/>
    <w:rsid w:val="00DC0A64"/>
    <w:rsid w:val="00DC0ED1"/>
    <w:rsid w:val="00DC0FC4"/>
    <w:rsid w:val="00DC1173"/>
    <w:rsid w:val="00DC139D"/>
    <w:rsid w:val="00DC1B9A"/>
    <w:rsid w:val="00DC1D04"/>
    <w:rsid w:val="00DC1FBA"/>
    <w:rsid w:val="00DC2344"/>
    <w:rsid w:val="00DC2E4F"/>
    <w:rsid w:val="00DC3018"/>
    <w:rsid w:val="00DC3130"/>
    <w:rsid w:val="00DC3251"/>
    <w:rsid w:val="00DC384C"/>
    <w:rsid w:val="00DC3A69"/>
    <w:rsid w:val="00DC40C4"/>
    <w:rsid w:val="00DC4AFD"/>
    <w:rsid w:val="00DC4D87"/>
    <w:rsid w:val="00DC4D8A"/>
    <w:rsid w:val="00DC4EC3"/>
    <w:rsid w:val="00DC5BE9"/>
    <w:rsid w:val="00DC6BE0"/>
    <w:rsid w:val="00DC6C62"/>
    <w:rsid w:val="00DC6DF6"/>
    <w:rsid w:val="00DC6E93"/>
    <w:rsid w:val="00DC72A3"/>
    <w:rsid w:val="00DC7BFE"/>
    <w:rsid w:val="00DC7D6D"/>
    <w:rsid w:val="00DD08C7"/>
    <w:rsid w:val="00DD1A10"/>
    <w:rsid w:val="00DD200D"/>
    <w:rsid w:val="00DD2990"/>
    <w:rsid w:val="00DD2DF9"/>
    <w:rsid w:val="00DD2FD9"/>
    <w:rsid w:val="00DD2FE9"/>
    <w:rsid w:val="00DD300A"/>
    <w:rsid w:val="00DD326B"/>
    <w:rsid w:val="00DD3A7E"/>
    <w:rsid w:val="00DD3DDF"/>
    <w:rsid w:val="00DD434E"/>
    <w:rsid w:val="00DD4402"/>
    <w:rsid w:val="00DD45E6"/>
    <w:rsid w:val="00DD4AA7"/>
    <w:rsid w:val="00DD4C67"/>
    <w:rsid w:val="00DD4F11"/>
    <w:rsid w:val="00DD60D0"/>
    <w:rsid w:val="00DD6200"/>
    <w:rsid w:val="00DD67CA"/>
    <w:rsid w:val="00DD686C"/>
    <w:rsid w:val="00DD68D8"/>
    <w:rsid w:val="00DD6E86"/>
    <w:rsid w:val="00DD732F"/>
    <w:rsid w:val="00DD79CA"/>
    <w:rsid w:val="00DE0883"/>
    <w:rsid w:val="00DE0E5D"/>
    <w:rsid w:val="00DE1732"/>
    <w:rsid w:val="00DE1CE3"/>
    <w:rsid w:val="00DE1FA2"/>
    <w:rsid w:val="00DE28FE"/>
    <w:rsid w:val="00DE2E53"/>
    <w:rsid w:val="00DE2F8E"/>
    <w:rsid w:val="00DE3695"/>
    <w:rsid w:val="00DE3721"/>
    <w:rsid w:val="00DE395B"/>
    <w:rsid w:val="00DE3AAD"/>
    <w:rsid w:val="00DE3DC4"/>
    <w:rsid w:val="00DE447F"/>
    <w:rsid w:val="00DE48F0"/>
    <w:rsid w:val="00DE4A77"/>
    <w:rsid w:val="00DE5163"/>
    <w:rsid w:val="00DE60CB"/>
    <w:rsid w:val="00DE6652"/>
    <w:rsid w:val="00DE68EE"/>
    <w:rsid w:val="00DE6BF0"/>
    <w:rsid w:val="00DE6D24"/>
    <w:rsid w:val="00DE713E"/>
    <w:rsid w:val="00DE7285"/>
    <w:rsid w:val="00DE7615"/>
    <w:rsid w:val="00DE7C40"/>
    <w:rsid w:val="00DE7DA6"/>
    <w:rsid w:val="00DF0EA5"/>
    <w:rsid w:val="00DF1028"/>
    <w:rsid w:val="00DF183B"/>
    <w:rsid w:val="00DF1F1D"/>
    <w:rsid w:val="00DF2395"/>
    <w:rsid w:val="00DF23A5"/>
    <w:rsid w:val="00DF2E0B"/>
    <w:rsid w:val="00DF346A"/>
    <w:rsid w:val="00DF3587"/>
    <w:rsid w:val="00DF35FC"/>
    <w:rsid w:val="00DF4C6E"/>
    <w:rsid w:val="00DF6075"/>
    <w:rsid w:val="00DF647A"/>
    <w:rsid w:val="00DF6666"/>
    <w:rsid w:val="00DF68B7"/>
    <w:rsid w:val="00DF6D2F"/>
    <w:rsid w:val="00DF745E"/>
    <w:rsid w:val="00DF762E"/>
    <w:rsid w:val="00DF7E77"/>
    <w:rsid w:val="00E0011B"/>
    <w:rsid w:val="00E0044E"/>
    <w:rsid w:val="00E006F2"/>
    <w:rsid w:val="00E00816"/>
    <w:rsid w:val="00E0087F"/>
    <w:rsid w:val="00E01B2F"/>
    <w:rsid w:val="00E0239F"/>
    <w:rsid w:val="00E0267B"/>
    <w:rsid w:val="00E02685"/>
    <w:rsid w:val="00E02708"/>
    <w:rsid w:val="00E027D1"/>
    <w:rsid w:val="00E028E3"/>
    <w:rsid w:val="00E030FB"/>
    <w:rsid w:val="00E03F3A"/>
    <w:rsid w:val="00E04441"/>
    <w:rsid w:val="00E05550"/>
    <w:rsid w:val="00E05A59"/>
    <w:rsid w:val="00E05F03"/>
    <w:rsid w:val="00E06370"/>
    <w:rsid w:val="00E06B7B"/>
    <w:rsid w:val="00E06C3E"/>
    <w:rsid w:val="00E06E20"/>
    <w:rsid w:val="00E06F4D"/>
    <w:rsid w:val="00E074E3"/>
    <w:rsid w:val="00E07739"/>
    <w:rsid w:val="00E0786F"/>
    <w:rsid w:val="00E07D22"/>
    <w:rsid w:val="00E07DD9"/>
    <w:rsid w:val="00E1024D"/>
    <w:rsid w:val="00E102F8"/>
    <w:rsid w:val="00E10362"/>
    <w:rsid w:val="00E104CB"/>
    <w:rsid w:val="00E11046"/>
    <w:rsid w:val="00E124ED"/>
    <w:rsid w:val="00E12A5A"/>
    <w:rsid w:val="00E12EC5"/>
    <w:rsid w:val="00E12FCF"/>
    <w:rsid w:val="00E13273"/>
    <w:rsid w:val="00E13379"/>
    <w:rsid w:val="00E136FA"/>
    <w:rsid w:val="00E139EE"/>
    <w:rsid w:val="00E14078"/>
    <w:rsid w:val="00E14D83"/>
    <w:rsid w:val="00E14FA6"/>
    <w:rsid w:val="00E15200"/>
    <w:rsid w:val="00E15A0D"/>
    <w:rsid w:val="00E15F19"/>
    <w:rsid w:val="00E160CE"/>
    <w:rsid w:val="00E1638A"/>
    <w:rsid w:val="00E16640"/>
    <w:rsid w:val="00E1740F"/>
    <w:rsid w:val="00E176B1"/>
    <w:rsid w:val="00E200CF"/>
    <w:rsid w:val="00E2082A"/>
    <w:rsid w:val="00E208BC"/>
    <w:rsid w:val="00E20A86"/>
    <w:rsid w:val="00E215AB"/>
    <w:rsid w:val="00E229DF"/>
    <w:rsid w:val="00E22F86"/>
    <w:rsid w:val="00E231B4"/>
    <w:rsid w:val="00E234C1"/>
    <w:rsid w:val="00E2357E"/>
    <w:rsid w:val="00E23740"/>
    <w:rsid w:val="00E23DAC"/>
    <w:rsid w:val="00E24287"/>
    <w:rsid w:val="00E24378"/>
    <w:rsid w:val="00E24684"/>
    <w:rsid w:val="00E24736"/>
    <w:rsid w:val="00E257AA"/>
    <w:rsid w:val="00E27150"/>
    <w:rsid w:val="00E27D4D"/>
    <w:rsid w:val="00E30AAB"/>
    <w:rsid w:val="00E30B29"/>
    <w:rsid w:val="00E31367"/>
    <w:rsid w:val="00E31472"/>
    <w:rsid w:val="00E3181C"/>
    <w:rsid w:val="00E31D44"/>
    <w:rsid w:val="00E32062"/>
    <w:rsid w:val="00E3218D"/>
    <w:rsid w:val="00E324C2"/>
    <w:rsid w:val="00E325F7"/>
    <w:rsid w:val="00E32EF3"/>
    <w:rsid w:val="00E33113"/>
    <w:rsid w:val="00E333BD"/>
    <w:rsid w:val="00E335F7"/>
    <w:rsid w:val="00E339D3"/>
    <w:rsid w:val="00E33D87"/>
    <w:rsid w:val="00E33E21"/>
    <w:rsid w:val="00E340CE"/>
    <w:rsid w:val="00E347B4"/>
    <w:rsid w:val="00E34A93"/>
    <w:rsid w:val="00E34BC4"/>
    <w:rsid w:val="00E350F2"/>
    <w:rsid w:val="00E3540C"/>
    <w:rsid w:val="00E35CFE"/>
    <w:rsid w:val="00E35E48"/>
    <w:rsid w:val="00E36187"/>
    <w:rsid w:val="00E36332"/>
    <w:rsid w:val="00E36C9B"/>
    <w:rsid w:val="00E37638"/>
    <w:rsid w:val="00E3795F"/>
    <w:rsid w:val="00E37B50"/>
    <w:rsid w:val="00E37CA5"/>
    <w:rsid w:val="00E37E9D"/>
    <w:rsid w:val="00E41B71"/>
    <w:rsid w:val="00E41E2C"/>
    <w:rsid w:val="00E41E87"/>
    <w:rsid w:val="00E42061"/>
    <w:rsid w:val="00E42569"/>
    <w:rsid w:val="00E4280E"/>
    <w:rsid w:val="00E429E7"/>
    <w:rsid w:val="00E434A0"/>
    <w:rsid w:val="00E43515"/>
    <w:rsid w:val="00E44604"/>
    <w:rsid w:val="00E449C5"/>
    <w:rsid w:val="00E44A87"/>
    <w:rsid w:val="00E44D30"/>
    <w:rsid w:val="00E45318"/>
    <w:rsid w:val="00E45890"/>
    <w:rsid w:val="00E4597F"/>
    <w:rsid w:val="00E45A2D"/>
    <w:rsid w:val="00E46CB7"/>
    <w:rsid w:val="00E46DDE"/>
    <w:rsid w:val="00E4723D"/>
    <w:rsid w:val="00E47B45"/>
    <w:rsid w:val="00E5077C"/>
    <w:rsid w:val="00E50C7A"/>
    <w:rsid w:val="00E50EC8"/>
    <w:rsid w:val="00E5159B"/>
    <w:rsid w:val="00E515C6"/>
    <w:rsid w:val="00E522C6"/>
    <w:rsid w:val="00E52A23"/>
    <w:rsid w:val="00E52E0D"/>
    <w:rsid w:val="00E52FE2"/>
    <w:rsid w:val="00E5326F"/>
    <w:rsid w:val="00E5353E"/>
    <w:rsid w:val="00E5375A"/>
    <w:rsid w:val="00E54629"/>
    <w:rsid w:val="00E54715"/>
    <w:rsid w:val="00E54893"/>
    <w:rsid w:val="00E54AFA"/>
    <w:rsid w:val="00E54CAF"/>
    <w:rsid w:val="00E54D6B"/>
    <w:rsid w:val="00E54E6F"/>
    <w:rsid w:val="00E55338"/>
    <w:rsid w:val="00E56075"/>
    <w:rsid w:val="00E56237"/>
    <w:rsid w:val="00E569AF"/>
    <w:rsid w:val="00E5774E"/>
    <w:rsid w:val="00E57B4B"/>
    <w:rsid w:val="00E57EEB"/>
    <w:rsid w:val="00E60318"/>
    <w:rsid w:val="00E60BA8"/>
    <w:rsid w:val="00E60FC0"/>
    <w:rsid w:val="00E6103E"/>
    <w:rsid w:val="00E61E25"/>
    <w:rsid w:val="00E61E28"/>
    <w:rsid w:val="00E628B1"/>
    <w:rsid w:val="00E628E4"/>
    <w:rsid w:val="00E62F72"/>
    <w:rsid w:val="00E64177"/>
    <w:rsid w:val="00E641E3"/>
    <w:rsid w:val="00E647F7"/>
    <w:rsid w:val="00E64B1B"/>
    <w:rsid w:val="00E65FF5"/>
    <w:rsid w:val="00E664AA"/>
    <w:rsid w:val="00E66857"/>
    <w:rsid w:val="00E67009"/>
    <w:rsid w:val="00E67556"/>
    <w:rsid w:val="00E679C7"/>
    <w:rsid w:val="00E67B9F"/>
    <w:rsid w:val="00E67BDD"/>
    <w:rsid w:val="00E704C4"/>
    <w:rsid w:val="00E71D0C"/>
    <w:rsid w:val="00E724D4"/>
    <w:rsid w:val="00E7252F"/>
    <w:rsid w:val="00E729E0"/>
    <w:rsid w:val="00E72D31"/>
    <w:rsid w:val="00E72E8D"/>
    <w:rsid w:val="00E735D0"/>
    <w:rsid w:val="00E7374A"/>
    <w:rsid w:val="00E73FC2"/>
    <w:rsid w:val="00E74481"/>
    <w:rsid w:val="00E74517"/>
    <w:rsid w:val="00E74560"/>
    <w:rsid w:val="00E7485C"/>
    <w:rsid w:val="00E755A7"/>
    <w:rsid w:val="00E755D7"/>
    <w:rsid w:val="00E7563D"/>
    <w:rsid w:val="00E7566D"/>
    <w:rsid w:val="00E75C24"/>
    <w:rsid w:val="00E76218"/>
    <w:rsid w:val="00E7639C"/>
    <w:rsid w:val="00E76797"/>
    <w:rsid w:val="00E76E91"/>
    <w:rsid w:val="00E7704D"/>
    <w:rsid w:val="00E772EE"/>
    <w:rsid w:val="00E774B4"/>
    <w:rsid w:val="00E777FC"/>
    <w:rsid w:val="00E778F5"/>
    <w:rsid w:val="00E77BD1"/>
    <w:rsid w:val="00E80E7C"/>
    <w:rsid w:val="00E8108E"/>
    <w:rsid w:val="00E812E1"/>
    <w:rsid w:val="00E81779"/>
    <w:rsid w:val="00E819F5"/>
    <w:rsid w:val="00E81BBA"/>
    <w:rsid w:val="00E8205B"/>
    <w:rsid w:val="00E82444"/>
    <w:rsid w:val="00E83292"/>
    <w:rsid w:val="00E8341C"/>
    <w:rsid w:val="00E84051"/>
    <w:rsid w:val="00E84329"/>
    <w:rsid w:val="00E84B35"/>
    <w:rsid w:val="00E84E2A"/>
    <w:rsid w:val="00E8540A"/>
    <w:rsid w:val="00E85546"/>
    <w:rsid w:val="00E855D1"/>
    <w:rsid w:val="00E8585C"/>
    <w:rsid w:val="00E85E48"/>
    <w:rsid w:val="00E8602B"/>
    <w:rsid w:val="00E86B5F"/>
    <w:rsid w:val="00E87006"/>
    <w:rsid w:val="00E875F9"/>
    <w:rsid w:val="00E876ED"/>
    <w:rsid w:val="00E87B35"/>
    <w:rsid w:val="00E87D05"/>
    <w:rsid w:val="00E87E06"/>
    <w:rsid w:val="00E90B51"/>
    <w:rsid w:val="00E91160"/>
    <w:rsid w:val="00E9166B"/>
    <w:rsid w:val="00E91A5B"/>
    <w:rsid w:val="00E91F96"/>
    <w:rsid w:val="00E92400"/>
    <w:rsid w:val="00E92E99"/>
    <w:rsid w:val="00E93DA9"/>
    <w:rsid w:val="00E949C2"/>
    <w:rsid w:val="00E94BC7"/>
    <w:rsid w:val="00E94D4C"/>
    <w:rsid w:val="00E9521D"/>
    <w:rsid w:val="00E95475"/>
    <w:rsid w:val="00E95A13"/>
    <w:rsid w:val="00E95A83"/>
    <w:rsid w:val="00E95ABB"/>
    <w:rsid w:val="00E95BB4"/>
    <w:rsid w:val="00E964BC"/>
    <w:rsid w:val="00E968FD"/>
    <w:rsid w:val="00E96B67"/>
    <w:rsid w:val="00E96C13"/>
    <w:rsid w:val="00E96D55"/>
    <w:rsid w:val="00E97993"/>
    <w:rsid w:val="00E97B8B"/>
    <w:rsid w:val="00E97DA6"/>
    <w:rsid w:val="00EA011D"/>
    <w:rsid w:val="00EA0227"/>
    <w:rsid w:val="00EA0D5D"/>
    <w:rsid w:val="00EA0EC3"/>
    <w:rsid w:val="00EA1192"/>
    <w:rsid w:val="00EA153F"/>
    <w:rsid w:val="00EA1630"/>
    <w:rsid w:val="00EA2113"/>
    <w:rsid w:val="00EA2788"/>
    <w:rsid w:val="00EA2C6E"/>
    <w:rsid w:val="00EA34C2"/>
    <w:rsid w:val="00EA4964"/>
    <w:rsid w:val="00EA4E25"/>
    <w:rsid w:val="00EA4F1A"/>
    <w:rsid w:val="00EA4FCE"/>
    <w:rsid w:val="00EA53F2"/>
    <w:rsid w:val="00EA644B"/>
    <w:rsid w:val="00EA64B5"/>
    <w:rsid w:val="00EA6929"/>
    <w:rsid w:val="00EA69DC"/>
    <w:rsid w:val="00EA6A82"/>
    <w:rsid w:val="00EA6D35"/>
    <w:rsid w:val="00EA7C68"/>
    <w:rsid w:val="00EB02CC"/>
    <w:rsid w:val="00EB02DE"/>
    <w:rsid w:val="00EB02E6"/>
    <w:rsid w:val="00EB0A07"/>
    <w:rsid w:val="00EB0EF4"/>
    <w:rsid w:val="00EB1046"/>
    <w:rsid w:val="00EB1B69"/>
    <w:rsid w:val="00EB1C78"/>
    <w:rsid w:val="00EB1D7B"/>
    <w:rsid w:val="00EB220F"/>
    <w:rsid w:val="00EB34B2"/>
    <w:rsid w:val="00EB34CC"/>
    <w:rsid w:val="00EB363B"/>
    <w:rsid w:val="00EB37B4"/>
    <w:rsid w:val="00EB3B46"/>
    <w:rsid w:val="00EB3BE1"/>
    <w:rsid w:val="00EB3CA8"/>
    <w:rsid w:val="00EB3D1A"/>
    <w:rsid w:val="00EB3F6F"/>
    <w:rsid w:val="00EB3FE7"/>
    <w:rsid w:val="00EB451A"/>
    <w:rsid w:val="00EB45E1"/>
    <w:rsid w:val="00EB4A1D"/>
    <w:rsid w:val="00EB4B2F"/>
    <w:rsid w:val="00EB4F08"/>
    <w:rsid w:val="00EB572E"/>
    <w:rsid w:val="00EB625F"/>
    <w:rsid w:val="00EB6300"/>
    <w:rsid w:val="00EB632B"/>
    <w:rsid w:val="00EB65FB"/>
    <w:rsid w:val="00EB6B43"/>
    <w:rsid w:val="00EB6EDC"/>
    <w:rsid w:val="00EB70E8"/>
    <w:rsid w:val="00EB722E"/>
    <w:rsid w:val="00EC16B0"/>
    <w:rsid w:val="00EC16D7"/>
    <w:rsid w:val="00EC1B65"/>
    <w:rsid w:val="00EC2DCF"/>
    <w:rsid w:val="00EC2E07"/>
    <w:rsid w:val="00EC2EDE"/>
    <w:rsid w:val="00EC33E0"/>
    <w:rsid w:val="00EC33EC"/>
    <w:rsid w:val="00EC40A6"/>
    <w:rsid w:val="00EC43C7"/>
    <w:rsid w:val="00EC465D"/>
    <w:rsid w:val="00EC5704"/>
    <w:rsid w:val="00EC5C89"/>
    <w:rsid w:val="00EC5E36"/>
    <w:rsid w:val="00EC66D2"/>
    <w:rsid w:val="00EC67E7"/>
    <w:rsid w:val="00EC686B"/>
    <w:rsid w:val="00EC71AD"/>
    <w:rsid w:val="00EC71F3"/>
    <w:rsid w:val="00ED0245"/>
    <w:rsid w:val="00ED0A1B"/>
    <w:rsid w:val="00ED0DCA"/>
    <w:rsid w:val="00ED0F31"/>
    <w:rsid w:val="00ED1791"/>
    <w:rsid w:val="00ED1FDE"/>
    <w:rsid w:val="00ED21BC"/>
    <w:rsid w:val="00ED2A55"/>
    <w:rsid w:val="00ED2E67"/>
    <w:rsid w:val="00ED2FEC"/>
    <w:rsid w:val="00ED390C"/>
    <w:rsid w:val="00ED3B42"/>
    <w:rsid w:val="00ED3CB7"/>
    <w:rsid w:val="00ED3F67"/>
    <w:rsid w:val="00ED3FBC"/>
    <w:rsid w:val="00ED440A"/>
    <w:rsid w:val="00ED470F"/>
    <w:rsid w:val="00ED4E5D"/>
    <w:rsid w:val="00ED58C6"/>
    <w:rsid w:val="00ED5E15"/>
    <w:rsid w:val="00ED7971"/>
    <w:rsid w:val="00EE0335"/>
    <w:rsid w:val="00EE04F2"/>
    <w:rsid w:val="00EE0748"/>
    <w:rsid w:val="00EE0D34"/>
    <w:rsid w:val="00EE1E1C"/>
    <w:rsid w:val="00EE2368"/>
    <w:rsid w:val="00EE2435"/>
    <w:rsid w:val="00EE29A0"/>
    <w:rsid w:val="00EE2CEA"/>
    <w:rsid w:val="00EE2EB8"/>
    <w:rsid w:val="00EE3365"/>
    <w:rsid w:val="00EE3C1A"/>
    <w:rsid w:val="00EE3E18"/>
    <w:rsid w:val="00EE3FAC"/>
    <w:rsid w:val="00EE412C"/>
    <w:rsid w:val="00EE41ED"/>
    <w:rsid w:val="00EE48A2"/>
    <w:rsid w:val="00EE48DF"/>
    <w:rsid w:val="00EE4AB3"/>
    <w:rsid w:val="00EE5D1F"/>
    <w:rsid w:val="00EE6AB0"/>
    <w:rsid w:val="00EE6ACC"/>
    <w:rsid w:val="00EE6D8B"/>
    <w:rsid w:val="00EE73CD"/>
    <w:rsid w:val="00EE7405"/>
    <w:rsid w:val="00EE7DC6"/>
    <w:rsid w:val="00EE7E03"/>
    <w:rsid w:val="00EF033E"/>
    <w:rsid w:val="00EF0614"/>
    <w:rsid w:val="00EF06EC"/>
    <w:rsid w:val="00EF0E25"/>
    <w:rsid w:val="00EF1224"/>
    <w:rsid w:val="00EF14FF"/>
    <w:rsid w:val="00EF1C3A"/>
    <w:rsid w:val="00EF1F3A"/>
    <w:rsid w:val="00EF2BFE"/>
    <w:rsid w:val="00EF2D85"/>
    <w:rsid w:val="00EF32FE"/>
    <w:rsid w:val="00EF402C"/>
    <w:rsid w:val="00EF4074"/>
    <w:rsid w:val="00EF43F6"/>
    <w:rsid w:val="00EF451A"/>
    <w:rsid w:val="00EF45E0"/>
    <w:rsid w:val="00EF4E6F"/>
    <w:rsid w:val="00EF512A"/>
    <w:rsid w:val="00EF5C82"/>
    <w:rsid w:val="00EF67F5"/>
    <w:rsid w:val="00EF6FB4"/>
    <w:rsid w:val="00EF7A0D"/>
    <w:rsid w:val="00EF7A15"/>
    <w:rsid w:val="00F00219"/>
    <w:rsid w:val="00F01682"/>
    <w:rsid w:val="00F01F8C"/>
    <w:rsid w:val="00F024FC"/>
    <w:rsid w:val="00F02FE3"/>
    <w:rsid w:val="00F035A6"/>
    <w:rsid w:val="00F037CF"/>
    <w:rsid w:val="00F03DE6"/>
    <w:rsid w:val="00F03FEA"/>
    <w:rsid w:val="00F04AD0"/>
    <w:rsid w:val="00F04C3A"/>
    <w:rsid w:val="00F0503F"/>
    <w:rsid w:val="00F05186"/>
    <w:rsid w:val="00F05392"/>
    <w:rsid w:val="00F05858"/>
    <w:rsid w:val="00F05ABE"/>
    <w:rsid w:val="00F05EF8"/>
    <w:rsid w:val="00F06FFA"/>
    <w:rsid w:val="00F07B5D"/>
    <w:rsid w:val="00F10033"/>
    <w:rsid w:val="00F103E9"/>
    <w:rsid w:val="00F10848"/>
    <w:rsid w:val="00F10A22"/>
    <w:rsid w:val="00F10B68"/>
    <w:rsid w:val="00F11744"/>
    <w:rsid w:val="00F11F55"/>
    <w:rsid w:val="00F12127"/>
    <w:rsid w:val="00F12DEC"/>
    <w:rsid w:val="00F13151"/>
    <w:rsid w:val="00F14B2F"/>
    <w:rsid w:val="00F15523"/>
    <w:rsid w:val="00F15C0B"/>
    <w:rsid w:val="00F16055"/>
    <w:rsid w:val="00F162DD"/>
    <w:rsid w:val="00F16391"/>
    <w:rsid w:val="00F17D61"/>
    <w:rsid w:val="00F17E3E"/>
    <w:rsid w:val="00F200B7"/>
    <w:rsid w:val="00F2062B"/>
    <w:rsid w:val="00F20FEF"/>
    <w:rsid w:val="00F21A18"/>
    <w:rsid w:val="00F21E61"/>
    <w:rsid w:val="00F21FE4"/>
    <w:rsid w:val="00F220EA"/>
    <w:rsid w:val="00F222CD"/>
    <w:rsid w:val="00F22BFF"/>
    <w:rsid w:val="00F23472"/>
    <w:rsid w:val="00F24385"/>
    <w:rsid w:val="00F24662"/>
    <w:rsid w:val="00F24A10"/>
    <w:rsid w:val="00F24EA4"/>
    <w:rsid w:val="00F2625A"/>
    <w:rsid w:val="00F26611"/>
    <w:rsid w:val="00F26992"/>
    <w:rsid w:val="00F27062"/>
    <w:rsid w:val="00F27B82"/>
    <w:rsid w:val="00F3087C"/>
    <w:rsid w:val="00F30A86"/>
    <w:rsid w:val="00F30F21"/>
    <w:rsid w:val="00F315BE"/>
    <w:rsid w:val="00F3161C"/>
    <w:rsid w:val="00F31631"/>
    <w:rsid w:val="00F31A03"/>
    <w:rsid w:val="00F31C5B"/>
    <w:rsid w:val="00F31E43"/>
    <w:rsid w:val="00F3283C"/>
    <w:rsid w:val="00F32921"/>
    <w:rsid w:val="00F32D0F"/>
    <w:rsid w:val="00F34228"/>
    <w:rsid w:val="00F34331"/>
    <w:rsid w:val="00F343F0"/>
    <w:rsid w:val="00F343FD"/>
    <w:rsid w:val="00F34620"/>
    <w:rsid w:val="00F34AAB"/>
    <w:rsid w:val="00F34C4D"/>
    <w:rsid w:val="00F350CF"/>
    <w:rsid w:val="00F3520B"/>
    <w:rsid w:val="00F35518"/>
    <w:rsid w:val="00F35582"/>
    <w:rsid w:val="00F3565E"/>
    <w:rsid w:val="00F35DE9"/>
    <w:rsid w:val="00F364B2"/>
    <w:rsid w:val="00F367BA"/>
    <w:rsid w:val="00F37004"/>
    <w:rsid w:val="00F37695"/>
    <w:rsid w:val="00F376A1"/>
    <w:rsid w:val="00F37827"/>
    <w:rsid w:val="00F37993"/>
    <w:rsid w:val="00F37B8E"/>
    <w:rsid w:val="00F40DC3"/>
    <w:rsid w:val="00F41746"/>
    <w:rsid w:val="00F41E79"/>
    <w:rsid w:val="00F42094"/>
    <w:rsid w:val="00F42A19"/>
    <w:rsid w:val="00F42E9A"/>
    <w:rsid w:val="00F4315F"/>
    <w:rsid w:val="00F445F6"/>
    <w:rsid w:val="00F44824"/>
    <w:rsid w:val="00F44F82"/>
    <w:rsid w:val="00F4512F"/>
    <w:rsid w:val="00F4535B"/>
    <w:rsid w:val="00F45763"/>
    <w:rsid w:val="00F45BCF"/>
    <w:rsid w:val="00F45BEA"/>
    <w:rsid w:val="00F45CFE"/>
    <w:rsid w:val="00F46877"/>
    <w:rsid w:val="00F47914"/>
    <w:rsid w:val="00F47F3E"/>
    <w:rsid w:val="00F50670"/>
    <w:rsid w:val="00F50965"/>
    <w:rsid w:val="00F50C5D"/>
    <w:rsid w:val="00F51422"/>
    <w:rsid w:val="00F51BE9"/>
    <w:rsid w:val="00F523D7"/>
    <w:rsid w:val="00F527DD"/>
    <w:rsid w:val="00F529A8"/>
    <w:rsid w:val="00F529C4"/>
    <w:rsid w:val="00F52D24"/>
    <w:rsid w:val="00F52D98"/>
    <w:rsid w:val="00F530E6"/>
    <w:rsid w:val="00F531B5"/>
    <w:rsid w:val="00F532C7"/>
    <w:rsid w:val="00F547E8"/>
    <w:rsid w:val="00F54878"/>
    <w:rsid w:val="00F54CDE"/>
    <w:rsid w:val="00F54EE5"/>
    <w:rsid w:val="00F54FEC"/>
    <w:rsid w:val="00F5533C"/>
    <w:rsid w:val="00F55358"/>
    <w:rsid w:val="00F55C36"/>
    <w:rsid w:val="00F5603C"/>
    <w:rsid w:val="00F5605C"/>
    <w:rsid w:val="00F56256"/>
    <w:rsid w:val="00F564B9"/>
    <w:rsid w:val="00F56B1C"/>
    <w:rsid w:val="00F56FDD"/>
    <w:rsid w:val="00F5782A"/>
    <w:rsid w:val="00F57909"/>
    <w:rsid w:val="00F6072E"/>
    <w:rsid w:val="00F612D6"/>
    <w:rsid w:val="00F613D3"/>
    <w:rsid w:val="00F61854"/>
    <w:rsid w:val="00F61DE4"/>
    <w:rsid w:val="00F6272B"/>
    <w:rsid w:val="00F62CAD"/>
    <w:rsid w:val="00F632CB"/>
    <w:rsid w:val="00F63400"/>
    <w:rsid w:val="00F636C6"/>
    <w:rsid w:val="00F63B60"/>
    <w:rsid w:val="00F63C4E"/>
    <w:rsid w:val="00F63F9C"/>
    <w:rsid w:val="00F6433D"/>
    <w:rsid w:val="00F6573E"/>
    <w:rsid w:val="00F662EB"/>
    <w:rsid w:val="00F664E7"/>
    <w:rsid w:val="00F6650F"/>
    <w:rsid w:val="00F67606"/>
    <w:rsid w:val="00F70327"/>
    <w:rsid w:val="00F707C9"/>
    <w:rsid w:val="00F70FEF"/>
    <w:rsid w:val="00F71D8E"/>
    <w:rsid w:val="00F726B0"/>
    <w:rsid w:val="00F72E15"/>
    <w:rsid w:val="00F72FA8"/>
    <w:rsid w:val="00F73644"/>
    <w:rsid w:val="00F73924"/>
    <w:rsid w:val="00F73B86"/>
    <w:rsid w:val="00F7458C"/>
    <w:rsid w:val="00F74764"/>
    <w:rsid w:val="00F74B02"/>
    <w:rsid w:val="00F750D9"/>
    <w:rsid w:val="00F75415"/>
    <w:rsid w:val="00F75743"/>
    <w:rsid w:val="00F773F9"/>
    <w:rsid w:val="00F77D76"/>
    <w:rsid w:val="00F80228"/>
    <w:rsid w:val="00F802A0"/>
    <w:rsid w:val="00F8059C"/>
    <w:rsid w:val="00F8101C"/>
    <w:rsid w:val="00F817B9"/>
    <w:rsid w:val="00F81CB7"/>
    <w:rsid w:val="00F82280"/>
    <w:rsid w:val="00F8235F"/>
    <w:rsid w:val="00F8246F"/>
    <w:rsid w:val="00F837CB"/>
    <w:rsid w:val="00F83A22"/>
    <w:rsid w:val="00F83A97"/>
    <w:rsid w:val="00F83FE9"/>
    <w:rsid w:val="00F844F0"/>
    <w:rsid w:val="00F84895"/>
    <w:rsid w:val="00F8490C"/>
    <w:rsid w:val="00F84E9D"/>
    <w:rsid w:val="00F84FB4"/>
    <w:rsid w:val="00F856BC"/>
    <w:rsid w:val="00F8659E"/>
    <w:rsid w:val="00F86BD8"/>
    <w:rsid w:val="00F86C33"/>
    <w:rsid w:val="00F86CE4"/>
    <w:rsid w:val="00F86EC6"/>
    <w:rsid w:val="00F86F42"/>
    <w:rsid w:val="00F876A1"/>
    <w:rsid w:val="00F90AA9"/>
    <w:rsid w:val="00F90EAD"/>
    <w:rsid w:val="00F91941"/>
    <w:rsid w:val="00F919C4"/>
    <w:rsid w:val="00F92A25"/>
    <w:rsid w:val="00F92AA0"/>
    <w:rsid w:val="00F92D85"/>
    <w:rsid w:val="00F92E3F"/>
    <w:rsid w:val="00F93843"/>
    <w:rsid w:val="00F938D2"/>
    <w:rsid w:val="00F93CCD"/>
    <w:rsid w:val="00F942EA"/>
    <w:rsid w:val="00F949E5"/>
    <w:rsid w:val="00F950F5"/>
    <w:rsid w:val="00F9560E"/>
    <w:rsid w:val="00F95CA2"/>
    <w:rsid w:val="00F95D8B"/>
    <w:rsid w:val="00F96389"/>
    <w:rsid w:val="00F9650E"/>
    <w:rsid w:val="00F96851"/>
    <w:rsid w:val="00F96B73"/>
    <w:rsid w:val="00F97235"/>
    <w:rsid w:val="00F976D4"/>
    <w:rsid w:val="00F977C7"/>
    <w:rsid w:val="00FA0890"/>
    <w:rsid w:val="00FA0D17"/>
    <w:rsid w:val="00FA164A"/>
    <w:rsid w:val="00FA176E"/>
    <w:rsid w:val="00FA1FC5"/>
    <w:rsid w:val="00FA20D9"/>
    <w:rsid w:val="00FA2C4F"/>
    <w:rsid w:val="00FA31F9"/>
    <w:rsid w:val="00FA3346"/>
    <w:rsid w:val="00FA3766"/>
    <w:rsid w:val="00FA3C7C"/>
    <w:rsid w:val="00FA3F3E"/>
    <w:rsid w:val="00FA4272"/>
    <w:rsid w:val="00FA4855"/>
    <w:rsid w:val="00FA48AE"/>
    <w:rsid w:val="00FA4ACD"/>
    <w:rsid w:val="00FA4E17"/>
    <w:rsid w:val="00FA50A0"/>
    <w:rsid w:val="00FA5382"/>
    <w:rsid w:val="00FA6428"/>
    <w:rsid w:val="00FA6B96"/>
    <w:rsid w:val="00FA7144"/>
    <w:rsid w:val="00FA7184"/>
    <w:rsid w:val="00FB09B4"/>
    <w:rsid w:val="00FB0DC6"/>
    <w:rsid w:val="00FB0E9B"/>
    <w:rsid w:val="00FB10A1"/>
    <w:rsid w:val="00FB1D9D"/>
    <w:rsid w:val="00FB1E43"/>
    <w:rsid w:val="00FB21BA"/>
    <w:rsid w:val="00FB3304"/>
    <w:rsid w:val="00FB38F9"/>
    <w:rsid w:val="00FB4034"/>
    <w:rsid w:val="00FB46B8"/>
    <w:rsid w:val="00FB4B38"/>
    <w:rsid w:val="00FB54BB"/>
    <w:rsid w:val="00FB595E"/>
    <w:rsid w:val="00FB5AC0"/>
    <w:rsid w:val="00FB5E09"/>
    <w:rsid w:val="00FB6940"/>
    <w:rsid w:val="00FB6942"/>
    <w:rsid w:val="00FB69F6"/>
    <w:rsid w:val="00FB6C91"/>
    <w:rsid w:val="00FB6E05"/>
    <w:rsid w:val="00FB70A1"/>
    <w:rsid w:val="00FB74E8"/>
    <w:rsid w:val="00FB77BA"/>
    <w:rsid w:val="00FB7AEB"/>
    <w:rsid w:val="00FC0263"/>
    <w:rsid w:val="00FC0348"/>
    <w:rsid w:val="00FC079D"/>
    <w:rsid w:val="00FC0FB5"/>
    <w:rsid w:val="00FC102A"/>
    <w:rsid w:val="00FC154C"/>
    <w:rsid w:val="00FC1DBC"/>
    <w:rsid w:val="00FC1DDB"/>
    <w:rsid w:val="00FC1E36"/>
    <w:rsid w:val="00FC2637"/>
    <w:rsid w:val="00FC2795"/>
    <w:rsid w:val="00FC34BF"/>
    <w:rsid w:val="00FC393B"/>
    <w:rsid w:val="00FC3D36"/>
    <w:rsid w:val="00FC3EE3"/>
    <w:rsid w:val="00FC4052"/>
    <w:rsid w:val="00FC4483"/>
    <w:rsid w:val="00FC4E3B"/>
    <w:rsid w:val="00FC4E5B"/>
    <w:rsid w:val="00FC5252"/>
    <w:rsid w:val="00FC5F90"/>
    <w:rsid w:val="00FC6356"/>
    <w:rsid w:val="00FC6C85"/>
    <w:rsid w:val="00FC74C3"/>
    <w:rsid w:val="00FC7D01"/>
    <w:rsid w:val="00FC7DCD"/>
    <w:rsid w:val="00FD0130"/>
    <w:rsid w:val="00FD0256"/>
    <w:rsid w:val="00FD0373"/>
    <w:rsid w:val="00FD0582"/>
    <w:rsid w:val="00FD0C93"/>
    <w:rsid w:val="00FD1062"/>
    <w:rsid w:val="00FD10AC"/>
    <w:rsid w:val="00FD1344"/>
    <w:rsid w:val="00FD139C"/>
    <w:rsid w:val="00FD13A9"/>
    <w:rsid w:val="00FD17DB"/>
    <w:rsid w:val="00FD2589"/>
    <w:rsid w:val="00FD321C"/>
    <w:rsid w:val="00FD33DF"/>
    <w:rsid w:val="00FD34C9"/>
    <w:rsid w:val="00FD41BA"/>
    <w:rsid w:val="00FD43B2"/>
    <w:rsid w:val="00FD4876"/>
    <w:rsid w:val="00FD4A13"/>
    <w:rsid w:val="00FD4AF7"/>
    <w:rsid w:val="00FD52A3"/>
    <w:rsid w:val="00FD53A2"/>
    <w:rsid w:val="00FD5A1F"/>
    <w:rsid w:val="00FD5D14"/>
    <w:rsid w:val="00FD5F19"/>
    <w:rsid w:val="00FD67F8"/>
    <w:rsid w:val="00FD68D4"/>
    <w:rsid w:val="00FD7D0B"/>
    <w:rsid w:val="00FE0078"/>
    <w:rsid w:val="00FE00D9"/>
    <w:rsid w:val="00FE1186"/>
    <w:rsid w:val="00FE177A"/>
    <w:rsid w:val="00FE1CCF"/>
    <w:rsid w:val="00FE20F1"/>
    <w:rsid w:val="00FE2182"/>
    <w:rsid w:val="00FE240A"/>
    <w:rsid w:val="00FE2551"/>
    <w:rsid w:val="00FE2EED"/>
    <w:rsid w:val="00FE2F46"/>
    <w:rsid w:val="00FE36BE"/>
    <w:rsid w:val="00FE3796"/>
    <w:rsid w:val="00FE3E3C"/>
    <w:rsid w:val="00FE43E7"/>
    <w:rsid w:val="00FE4B66"/>
    <w:rsid w:val="00FE4F6E"/>
    <w:rsid w:val="00FE583F"/>
    <w:rsid w:val="00FE59F3"/>
    <w:rsid w:val="00FE5A93"/>
    <w:rsid w:val="00FE5BF2"/>
    <w:rsid w:val="00FE5CC4"/>
    <w:rsid w:val="00FE5E21"/>
    <w:rsid w:val="00FE647D"/>
    <w:rsid w:val="00FE6B13"/>
    <w:rsid w:val="00FE7575"/>
    <w:rsid w:val="00FE76B1"/>
    <w:rsid w:val="00FE7987"/>
    <w:rsid w:val="00FE7A03"/>
    <w:rsid w:val="00FE7D2A"/>
    <w:rsid w:val="00FE7E17"/>
    <w:rsid w:val="00FE7E6F"/>
    <w:rsid w:val="00FE7F6C"/>
    <w:rsid w:val="00FF06AF"/>
    <w:rsid w:val="00FF07C8"/>
    <w:rsid w:val="00FF0AA6"/>
    <w:rsid w:val="00FF1070"/>
    <w:rsid w:val="00FF10E6"/>
    <w:rsid w:val="00FF13E2"/>
    <w:rsid w:val="00FF16C7"/>
    <w:rsid w:val="00FF16DF"/>
    <w:rsid w:val="00FF1A56"/>
    <w:rsid w:val="00FF1E56"/>
    <w:rsid w:val="00FF1F73"/>
    <w:rsid w:val="00FF2237"/>
    <w:rsid w:val="00FF343C"/>
    <w:rsid w:val="00FF39BA"/>
    <w:rsid w:val="00FF3E55"/>
    <w:rsid w:val="00FF4805"/>
    <w:rsid w:val="00FF4953"/>
    <w:rsid w:val="00FF4955"/>
    <w:rsid w:val="00FF4AEB"/>
    <w:rsid w:val="00FF529F"/>
    <w:rsid w:val="00FF56A9"/>
    <w:rsid w:val="00FF5CA4"/>
    <w:rsid w:val="00FF5CDE"/>
    <w:rsid w:val="00FF5FA3"/>
    <w:rsid w:val="00FF5FCE"/>
    <w:rsid w:val="00FF6177"/>
    <w:rsid w:val="00FF63D6"/>
    <w:rsid w:val="00FF6AD9"/>
    <w:rsid w:val="00FF7099"/>
    <w:rsid w:val="00FF7E43"/>
    <w:rsid w:val="010CC5D7"/>
    <w:rsid w:val="0127570D"/>
    <w:rsid w:val="0131FBFE"/>
    <w:rsid w:val="018D38E5"/>
    <w:rsid w:val="01A5A43F"/>
    <w:rsid w:val="01B35307"/>
    <w:rsid w:val="01B5ACCF"/>
    <w:rsid w:val="0223EB6D"/>
    <w:rsid w:val="022CC1A7"/>
    <w:rsid w:val="0264A421"/>
    <w:rsid w:val="02744743"/>
    <w:rsid w:val="027779A5"/>
    <w:rsid w:val="02986A31"/>
    <w:rsid w:val="02D800DB"/>
    <w:rsid w:val="02E7367E"/>
    <w:rsid w:val="02F884FB"/>
    <w:rsid w:val="0330AD14"/>
    <w:rsid w:val="033BCC60"/>
    <w:rsid w:val="0346A9FE"/>
    <w:rsid w:val="03869D7E"/>
    <w:rsid w:val="03CB9466"/>
    <w:rsid w:val="03F1FCB6"/>
    <w:rsid w:val="040DBB9C"/>
    <w:rsid w:val="0455CE3F"/>
    <w:rsid w:val="0457A7F9"/>
    <w:rsid w:val="0458FD90"/>
    <w:rsid w:val="04706B9C"/>
    <w:rsid w:val="0504A4AB"/>
    <w:rsid w:val="053A3A08"/>
    <w:rsid w:val="0551237E"/>
    <w:rsid w:val="05C20F21"/>
    <w:rsid w:val="05DF1C7F"/>
    <w:rsid w:val="06057FC4"/>
    <w:rsid w:val="061C0960"/>
    <w:rsid w:val="061F07AA"/>
    <w:rsid w:val="0623BA98"/>
    <w:rsid w:val="065A0881"/>
    <w:rsid w:val="066E751E"/>
    <w:rsid w:val="067390E9"/>
    <w:rsid w:val="0678AB79"/>
    <w:rsid w:val="06920B07"/>
    <w:rsid w:val="06A656C8"/>
    <w:rsid w:val="06C248FD"/>
    <w:rsid w:val="0704DA0D"/>
    <w:rsid w:val="073179E7"/>
    <w:rsid w:val="07397D8D"/>
    <w:rsid w:val="073DFBFB"/>
    <w:rsid w:val="0774FF9B"/>
    <w:rsid w:val="078CFA44"/>
    <w:rsid w:val="07E73949"/>
    <w:rsid w:val="0804DE5E"/>
    <w:rsid w:val="082427C7"/>
    <w:rsid w:val="0827B21E"/>
    <w:rsid w:val="084DF0C1"/>
    <w:rsid w:val="086F223C"/>
    <w:rsid w:val="08842651"/>
    <w:rsid w:val="08AAF64D"/>
    <w:rsid w:val="08B47010"/>
    <w:rsid w:val="09433F0F"/>
    <w:rsid w:val="096275B8"/>
    <w:rsid w:val="09BD6DD6"/>
    <w:rsid w:val="0A034CE8"/>
    <w:rsid w:val="0A27AAEA"/>
    <w:rsid w:val="0A460F85"/>
    <w:rsid w:val="0A6898B7"/>
    <w:rsid w:val="0A798D0F"/>
    <w:rsid w:val="0A81C144"/>
    <w:rsid w:val="0AB72DF0"/>
    <w:rsid w:val="0AE05D43"/>
    <w:rsid w:val="0AE271A8"/>
    <w:rsid w:val="0AFF343D"/>
    <w:rsid w:val="0B37416D"/>
    <w:rsid w:val="0B409A94"/>
    <w:rsid w:val="0B5A62FD"/>
    <w:rsid w:val="0B621006"/>
    <w:rsid w:val="0BCDA3FA"/>
    <w:rsid w:val="0C293D32"/>
    <w:rsid w:val="0C3146C9"/>
    <w:rsid w:val="0C6B72E9"/>
    <w:rsid w:val="0C83FCD0"/>
    <w:rsid w:val="0CB43709"/>
    <w:rsid w:val="0CC08381"/>
    <w:rsid w:val="0D34B0C5"/>
    <w:rsid w:val="0D4336FC"/>
    <w:rsid w:val="0D441934"/>
    <w:rsid w:val="0D57DCA7"/>
    <w:rsid w:val="0D645F34"/>
    <w:rsid w:val="0D7176AB"/>
    <w:rsid w:val="0D79909C"/>
    <w:rsid w:val="0DB625FF"/>
    <w:rsid w:val="0DBEFA68"/>
    <w:rsid w:val="0DFDE0C4"/>
    <w:rsid w:val="0E0ABD00"/>
    <w:rsid w:val="0E0EC804"/>
    <w:rsid w:val="0E5F7ED3"/>
    <w:rsid w:val="0E728E65"/>
    <w:rsid w:val="0E810960"/>
    <w:rsid w:val="0EA0A134"/>
    <w:rsid w:val="0EBBC4C9"/>
    <w:rsid w:val="0ED0FC8F"/>
    <w:rsid w:val="0ED69FBF"/>
    <w:rsid w:val="0EEF6B47"/>
    <w:rsid w:val="0F047345"/>
    <w:rsid w:val="0F408668"/>
    <w:rsid w:val="0F7EB6A4"/>
    <w:rsid w:val="0F95279C"/>
    <w:rsid w:val="0FAD8DF7"/>
    <w:rsid w:val="0FB6ABD9"/>
    <w:rsid w:val="0FD73841"/>
    <w:rsid w:val="0FDB19F5"/>
    <w:rsid w:val="0FEA204A"/>
    <w:rsid w:val="1008AEEF"/>
    <w:rsid w:val="101F11F4"/>
    <w:rsid w:val="103903A0"/>
    <w:rsid w:val="1078A4D1"/>
    <w:rsid w:val="10817630"/>
    <w:rsid w:val="108C2D7E"/>
    <w:rsid w:val="108ED21E"/>
    <w:rsid w:val="10D77D61"/>
    <w:rsid w:val="111583E4"/>
    <w:rsid w:val="111A0C94"/>
    <w:rsid w:val="11B7E536"/>
    <w:rsid w:val="11E4E679"/>
    <w:rsid w:val="123F9126"/>
    <w:rsid w:val="125DB82F"/>
    <w:rsid w:val="1262F294"/>
    <w:rsid w:val="129913B4"/>
    <w:rsid w:val="1299E6BD"/>
    <w:rsid w:val="12E91CFB"/>
    <w:rsid w:val="13363DD1"/>
    <w:rsid w:val="135ACB12"/>
    <w:rsid w:val="13823084"/>
    <w:rsid w:val="14067AE6"/>
    <w:rsid w:val="14102A60"/>
    <w:rsid w:val="14766D54"/>
    <w:rsid w:val="14B38AE6"/>
    <w:rsid w:val="14B45909"/>
    <w:rsid w:val="14EBDD80"/>
    <w:rsid w:val="150442EA"/>
    <w:rsid w:val="1560015D"/>
    <w:rsid w:val="15B1D617"/>
    <w:rsid w:val="15F86DA9"/>
    <w:rsid w:val="1624E19D"/>
    <w:rsid w:val="162F416C"/>
    <w:rsid w:val="1641F0F2"/>
    <w:rsid w:val="16430395"/>
    <w:rsid w:val="1670688F"/>
    <w:rsid w:val="16779F44"/>
    <w:rsid w:val="16CDA57F"/>
    <w:rsid w:val="16D874E0"/>
    <w:rsid w:val="17060FB9"/>
    <w:rsid w:val="172849A6"/>
    <w:rsid w:val="1740BC91"/>
    <w:rsid w:val="1742748A"/>
    <w:rsid w:val="174FE73C"/>
    <w:rsid w:val="176D6373"/>
    <w:rsid w:val="1774C56B"/>
    <w:rsid w:val="1782D836"/>
    <w:rsid w:val="17C2C8FC"/>
    <w:rsid w:val="17E4CA77"/>
    <w:rsid w:val="17E78D9B"/>
    <w:rsid w:val="17FB8AF9"/>
    <w:rsid w:val="18095E0F"/>
    <w:rsid w:val="18197789"/>
    <w:rsid w:val="184A5877"/>
    <w:rsid w:val="186E835C"/>
    <w:rsid w:val="18772312"/>
    <w:rsid w:val="18BE66C2"/>
    <w:rsid w:val="18CE8535"/>
    <w:rsid w:val="18E473A1"/>
    <w:rsid w:val="18EF1B1B"/>
    <w:rsid w:val="1910D76E"/>
    <w:rsid w:val="19234357"/>
    <w:rsid w:val="192C9E60"/>
    <w:rsid w:val="1942DCE8"/>
    <w:rsid w:val="19622A96"/>
    <w:rsid w:val="19772EF4"/>
    <w:rsid w:val="19867934"/>
    <w:rsid w:val="199807D2"/>
    <w:rsid w:val="19AF2CFD"/>
    <w:rsid w:val="19C418EC"/>
    <w:rsid w:val="19C4A66A"/>
    <w:rsid w:val="19CE6592"/>
    <w:rsid w:val="19D7DA80"/>
    <w:rsid w:val="1A22D509"/>
    <w:rsid w:val="1A261BB5"/>
    <w:rsid w:val="1A292C5E"/>
    <w:rsid w:val="1A29BB40"/>
    <w:rsid w:val="1A2C74FA"/>
    <w:rsid w:val="1A4D3BDE"/>
    <w:rsid w:val="1A6E7E40"/>
    <w:rsid w:val="1ABE1C74"/>
    <w:rsid w:val="1B3C8CEC"/>
    <w:rsid w:val="1B4AC6E0"/>
    <w:rsid w:val="1B6E3D10"/>
    <w:rsid w:val="1B9F7195"/>
    <w:rsid w:val="1BB8FD74"/>
    <w:rsid w:val="1BC4FCBF"/>
    <w:rsid w:val="1BC90193"/>
    <w:rsid w:val="1BD2C80B"/>
    <w:rsid w:val="1BDC3FF3"/>
    <w:rsid w:val="1C695D0F"/>
    <w:rsid w:val="1C9ED796"/>
    <w:rsid w:val="1CB1EB90"/>
    <w:rsid w:val="1CE39262"/>
    <w:rsid w:val="1D0BA0DE"/>
    <w:rsid w:val="1D455982"/>
    <w:rsid w:val="1D81A6E7"/>
    <w:rsid w:val="1DD49B54"/>
    <w:rsid w:val="1DF1CC13"/>
    <w:rsid w:val="1DF6ACFD"/>
    <w:rsid w:val="1E25AE7A"/>
    <w:rsid w:val="1E28EE31"/>
    <w:rsid w:val="1E36985B"/>
    <w:rsid w:val="1E3976BC"/>
    <w:rsid w:val="1E3AF3E8"/>
    <w:rsid w:val="1E661C33"/>
    <w:rsid w:val="1EA0589A"/>
    <w:rsid w:val="1EAFD8AF"/>
    <w:rsid w:val="1EE9F730"/>
    <w:rsid w:val="1EF49BC4"/>
    <w:rsid w:val="1F0A9C4A"/>
    <w:rsid w:val="1F170482"/>
    <w:rsid w:val="1F175004"/>
    <w:rsid w:val="1F1B726B"/>
    <w:rsid w:val="1F416A4B"/>
    <w:rsid w:val="1F6D6A59"/>
    <w:rsid w:val="1F716876"/>
    <w:rsid w:val="1FA1CACD"/>
    <w:rsid w:val="1FAC9875"/>
    <w:rsid w:val="1FCB28F5"/>
    <w:rsid w:val="1FF7FC55"/>
    <w:rsid w:val="1FFB4797"/>
    <w:rsid w:val="1FFBFEF2"/>
    <w:rsid w:val="205B500D"/>
    <w:rsid w:val="2097A43B"/>
    <w:rsid w:val="20C46AE8"/>
    <w:rsid w:val="20DD9940"/>
    <w:rsid w:val="20FDDAB4"/>
    <w:rsid w:val="21386D7C"/>
    <w:rsid w:val="21411497"/>
    <w:rsid w:val="2143FF5E"/>
    <w:rsid w:val="2166E766"/>
    <w:rsid w:val="21892C6C"/>
    <w:rsid w:val="2191F11E"/>
    <w:rsid w:val="21C7AF16"/>
    <w:rsid w:val="21ED4B6C"/>
    <w:rsid w:val="2223FA4C"/>
    <w:rsid w:val="2234C02F"/>
    <w:rsid w:val="2237DE15"/>
    <w:rsid w:val="223E4D47"/>
    <w:rsid w:val="2253E36B"/>
    <w:rsid w:val="22970147"/>
    <w:rsid w:val="229F66D0"/>
    <w:rsid w:val="22AB6527"/>
    <w:rsid w:val="22B1A34D"/>
    <w:rsid w:val="2308AC95"/>
    <w:rsid w:val="23120C50"/>
    <w:rsid w:val="2323F78C"/>
    <w:rsid w:val="2327DC1F"/>
    <w:rsid w:val="232868E0"/>
    <w:rsid w:val="234787FD"/>
    <w:rsid w:val="2354C248"/>
    <w:rsid w:val="235C1774"/>
    <w:rsid w:val="2363F947"/>
    <w:rsid w:val="239EC4B9"/>
    <w:rsid w:val="239FDACD"/>
    <w:rsid w:val="23B86104"/>
    <w:rsid w:val="23C55420"/>
    <w:rsid w:val="23E7FE99"/>
    <w:rsid w:val="23F53FD3"/>
    <w:rsid w:val="2429A266"/>
    <w:rsid w:val="24677B87"/>
    <w:rsid w:val="2491E451"/>
    <w:rsid w:val="249D765F"/>
    <w:rsid w:val="24A91F08"/>
    <w:rsid w:val="24CF7015"/>
    <w:rsid w:val="25136345"/>
    <w:rsid w:val="25143896"/>
    <w:rsid w:val="251BD22F"/>
    <w:rsid w:val="253F2B48"/>
    <w:rsid w:val="25421CD8"/>
    <w:rsid w:val="2548DDE4"/>
    <w:rsid w:val="2568A4A9"/>
    <w:rsid w:val="2597DC0B"/>
    <w:rsid w:val="25A163DF"/>
    <w:rsid w:val="25CC3F4A"/>
    <w:rsid w:val="25D34A56"/>
    <w:rsid w:val="25FEB2D6"/>
    <w:rsid w:val="260B29BB"/>
    <w:rsid w:val="260B3BA1"/>
    <w:rsid w:val="260E501A"/>
    <w:rsid w:val="2636C7DA"/>
    <w:rsid w:val="264636C9"/>
    <w:rsid w:val="2690D6C4"/>
    <w:rsid w:val="269478D7"/>
    <w:rsid w:val="269F9823"/>
    <w:rsid w:val="26CBB619"/>
    <w:rsid w:val="26D7B503"/>
    <w:rsid w:val="26E98B5D"/>
    <w:rsid w:val="2711C36C"/>
    <w:rsid w:val="272C41E1"/>
    <w:rsid w:val="27684B51"/>
    <w:rsid w:val="276E9220"/>
    <w:rsid w:val="277789F4"/>
    <w:rsid w:val="278C8A4A"/>
    <w:rsid w:val="27919E2B"/>
    <w:rsid w:val="27A55072"/>
    <w:rsid w:val="286E733A"/>
    <w:rsid w:val="288214AB"/>
    <w:rsid w:val="2886D92A"/>
    <w:rsid w:val="28A918D2"/>
    <w:rsid w:val="28E64FFC"/>
    <w:rsid w:val="2907A75D"/>
    <w:rsid w:val="29097509"/>
    <w:rsid w:val="2977BC2A"/>
    <w:rsid w:val="2988AB96"/>
    <w:rsid w:val="29E9E9B7"/>
    <w:rsid w:val="29F7DEA5"/>
    <w:rsid w:val="2A596BE2"/>
    <w:rsid w:val="2A63135B"/>
    <w:rsid w:val="2A791B18"/>
    <w:rsid w:val="2AC618DA"/>
    <w:rsid w:val="2ACBD1D6"/>
    <w:rsid w:val="2B044A0B"/>
    <w:rsid w:val="2B05A761"/>
    <w:rsid w:val="2C44CF9C"/>
    <w:rsid w:val="2C8F7652"/>
    <w:rsid w:val="2C921FA9"/>
    <w:rsid w:val="2CACDA85"/>
    <w:rsid w:val="2CD7C132"/>
    <w:rsid w:val="2D074DBD"/>
    <w:rsid w:val="2D087877"/>
    <w:rsid w:val="2D17F929"/>
    <w:rsid w:val="2D17FFFA"/>
    <w:rsid w:val="2D38AEF2"/>
    <w:rsid w:val="2D7CE011"/>
    <w:rsid w:val="2D7F609A"/>
    <w:rsid w:val="2D8EE512"/>
    <w:rsid w:val="2D9C2046"/>
    <w:rsid w:val="2DBFCD61"/>
    <w:rsid w:val="2DF6886A"/>
    <w:rsid w:val="2DFC48D6"/>
    <w:rsid w:val="2E10619B"/>
    <w:rsid w:val="2E22331B"/>
    <w:rsid w:val="2E29882E"/>
    <w:rsid w:val="2EA4A9BB"/>
    <w:rsid w:val="2EAB35C3"/>
    <w:rsid w:val="2ECC552A"/>
    <w:rsid w:val="2F3EBE65"/>
    <w:rsid w:val="2F443A0E"/>
    <w:rsid w:val="2FB5047B"/>
    <w:rsid w:val="2FC0725C"/>
    <w:rsid w:val="2FC82462"/>
    <w:rsid w:val="30188DD5"/>
    <w:rsid w:val="30342D35"/>
    <w:rsid w:val="3035BAE5"/>
    <w:rsid w:val="30633D3A"/>
    <w:rsid w:val="30A6528E"/>
    <w:rsid w:val="312D5CAA"/>
    <w:rsid w:val="31475BC9"/>
    <w:rsid w:val="316EF898"/>
    <w:rsid w:val="319283F3"/>
    <w:rsid w:val="31AF2DA2"/>
    <w:rsid w:val="31DEC6B8"/>
    <w:rsid w:val="31E15686"/>
    <w:rsid w:val="32108449"/>
    <w:rsid w:val="325C5BB3"/>
    <w:rsid w:val="3266C682"/>
    <w:rsid w:val="3273AA78"/>
    <w:rsid w:val="329C9D36"/>
    <w:rsid w:val="32A67639"/>
    <w:rsid w:val="32AA7960"/>
    <w:rsid w:val="32B12F5A"/>
    <w:rsid w:val="32D5F58E"/>
    <w:rsid w:val="32EE4879"/>
    <w:rsid w:val="32FE96E1"/>
    <w:rsid w:val="330B95C2"/>
    <w:rsid w:val="33117574"/>
    <w:rsid w:val="331FF804"/>
    <w:rsid w:val="33211931"/>
    <w:rsid w:val="33791727"/>
    <w:rsid w:val="3386356F"/>
    <w:rsid w:val="33EB0BC8"/>
    <w:rsid w:val="3425A74C"/>
    <w:rsid w:val="3449F0AC"/>
    <w:rsid w:val="345593B4"/>
    <w:rsid w:val="345C826F"/>
    <w:rsid w:val="34A8B8F3"/>
    <w:rsid w:val="34C23FF1"/>
    <w:rsid w:val="34DCE36F"/>
    <w:rsid w:val="34EE1585"/>
    <w:rsid w:val="355DD048"/>
    <w:rsid w:val="3561F8AD"/>
    <w:rsid w:val="3567BA24"/>
    <w:rsid w:val="358A0C96"/>
    <w:rsid w:val="358A47B6"/>
    <w:rsid w:val="35A7CCD6"/>
    <w:rsid w:val="35AD05B5"/>
    <w:rsid w:val="35AD2754"/>
    <w:rsid w:val="35B7F1AE"/>
    <w:rsid w:val="35DE6E9E"/>
    <w:rsid w:val="364E9677"/>
    <w:rsid w:val="36652BF2"/>
    <w:rsid w:val="3673E099"/>
    <w:rsid w:val="367527C0"/>
    <w:rsid w:val="36BCCC21"/>
    <w:rsid w:val="36E62F7F"/>
    <w:rsid w:val="36F6FB97"/>
    <w:rsid w:val="3700F592"/>
    <w:rsid w:val="372F1C43"/>
    <w:rsid w:val="373074B6"/>
    <w:rsid w:val="37433542"/>
    <w:rsid w:val="375F27C3"/>
    <w:rsid w:val="37646D7D"/>
    <w:rsid w:val="3793190C"/>
    <w:rsid w:val="379E65CC"/>
    <w:rsid w:val="37C165CC"/>
    <w:rsid w:val="37D5ADB9"/>
    <w:rsid w:val="37EDAE63"/>
    <w:rsid w:val="383E6047"/>
    <w:rsid w:val="385B3E40"/>
    <w:rsid w:val="386CFD76"/>
    <w:rsid w:val="387B6199"/>
    <w:rsid w:val="388B6EFE"/>
    <w:rsid w:val="38A13B7F"/>
    <w:rsid w:val="38B5FA0D"/>
    <w:rsid w:val="3902F5F7"/>
    <w:rsid w:val="390A45FA"/>
    <w:rsid w:val="398C925B"/>
    <w:rsid w:val="39940B5A"/>
    <w:rsid w:val="39F7012B"/>
    <w:rsid w:val="39FBBEC1"/>
    <w:rsid w:val="3A1CE5CA"/>
    <w:rsid w:val="3A24F32A"/>
    <w:rsid w:val="3A2637F0"/>
    <w:rsid w:val="3A2E6227"/>
    <w:rsid w:val="3A4DAC47"/>
    <w:rsid w:val="3A693115"/>
    <w:rsid w:val="3A7DB203"/>
    <w:rsid w:val="3ACE2280"/>
    <w:rsid w:val="3AE3F185"/>
    <w:rsid w:val="3AF61B7B"/>
    <w:rsid w:val="3B0DE5F3"/>
    <w:rsid w:val="3B34F7A5"/>
    <w:rsid w:val="3B3CEFAA"/>
    <w:rsid w:val="3B598494"/>
    <w:rsid w:val="3B69B057"/>
    <w:rsid w:val="3B75F37B"/>
    <w:rsid w:val="3BD00E22"/>
    <w:rsid w:val="3BD0B032"/>
    <w:rsid w:val="3BD5DF9C"/>
    <w:rsid w:val="3BEA086D"/>
    <w:rsid w:val="3C1302BF"/>
    <w:rsid w:val="3C1373EF"/>
    <w:rsid w:val="3C27A710"/>
    <w:rsid w:val="3C628CCA"/>
    <w:rsid w:val="3C7C7FE0"/>
    <w:rsid w:val="3C853797"/>
    <w:rsid w:val="3D8C0E97"/>
    <w:rsid w:val="3D8EEF19"/>
    <w:rsid w:val="3DA307F2"/>
    <w:rsid w:val="3DAB5E12"/>
    <w:rsid w:val="3DB65D1F"/>
    <w:rsid w:val="3DBB8484"/>
    <w:rsid w:val="3E440A7C"/>
    <w:rsid w:val="3E5090B3"/>
    <w:rsid w:val="3E87C695"/>
    <w:rsid w:val="3EB71EE6"/>
    <w:rsid w:val="3EF0461A"/>
    <w:rsid w:val="3F05799D"/>
    <w:rsid w:val="3F31975A"/>
    <w:rsid w:val="3F971103"/>
    <w:rsid w:val="3FA2DA0E"/>
    <w:rsid w:val="3FDCF862"/>
    <w:rsid w:val="40269E86"/>
    <w:rsid w:val="4044D7E0"/>
    <w:rsid w:val="4060B6D5"/>
    <w:rsid w:val="406E9C34"/>
    <w:rsid w:val="407C1CA0"/>
    <w:rsid w:val="409A9B98"/>
    <w:rsid w:val="40A0635D"/>
    <w:rsid w:val="40AABEA5"/>
    <w:rsid w:val="40C022E8"/>
    <w:rsid w:val="40CB0567"/>
    <w:rsid w:val="40F668E1"/>
    <w:rsid w:val="41570883"/>
    <w:rsid w:val="41696987"/>
    <w:rsid w:val="41802898"/>
    <w:rsid w:val="423FD64A"/>
    <w:rsid w:val="426D0170"/>
    <w:rsid w:val="427A52D6"/>
    <w:rsid w:val="42FAEA7E"/>
    <w:rsid w:val="43050B26"/>
    <w:rsid w:val="4331FB53"/>
    <w:rsid w:val="4375E058"/>
    <w:rsid w:val="43B25DAD"/>
    <w:rsid w:val="4423A993"/>
    <w:rsid w:val="4449DA6D"/>
    <w:rsid w:val="4471E687"/>
    <w:rsid w:val="44D0EE66"/>
    <w:rsid w:val="44F6C8F4"/>
    <w:rsid w:val="45025986"/>
    <w:rsid w:val="453AB3BD"/>
    <w:rsid w:val="45462C1D"/>
    <w:rsid w:val="4573F412"/>
    <w:rsid w:val="45CAF77B"/>
    <w:rsid w:val="45DD623A"/>
    <w:rsid w:val="46640D91"/>
    <w:rsid w:val="466CC168"/>
    <w:rsid w:val="46B0B7D2"/>
    <w:rsid w:val="46DB2F5D"/>
    <w:rsid w:val="475A6EF2"/>
    <w:rsid w:val="480A79DA"/>
    <w:rsid w:val="480B2158"/>
    <w:rsid w:val="48216639"/>
    <w:rsid w:val="48525450"/>
    <w:rsid w:val="485580DA"/>
    <w:rsid w:val="485A4742"/>
    <w:rsid w:val="4878AD10"/>
    <w:rsid w:val="4896FC85"/>
    <w:rsid w:val="489861A9"/>
    <w:rsid w:val="48C83709"/>
    <w:rsid w:val="493702BC"/>
    <w:rsid w:val="49626377"/>
    <w:rsid w:val="496A9273"/>
    <w:rsid w:val="496BA61D"/>
    <w:rsid w:val="496FACF0"/>
    <w:rsid w:val="49841907"/>
    <w:rsid w:val="498735E0"/>
    <w:rsid w:val="49A753C3"/>
    <w:rsid w:val="49D65EF7"/>
    <w:rsid w:val="49E73445"/>
    <w:rsid w:val="4A2EAAA9"/>
    <w:rsid w:val="4A390B8D"/>
    <w:rsid w:val="4A91D182"/>
    <w:rsid w:val="4AF6D349"/>
    <w:rsid w:val="4AF86C3E"/>
    <w:rsid w:val="4BA7C2CF"/>
    <w:rsid w:val="4BACC57B"/>
    <w:rsid w:val="4BB56739"/>
    <w:rsid w:val="4BB60CE0"/>
    <w:rsid w:val="4BCC6B19"/>
    <w:rsid w:val="4C15C294"/>
    <w:rsid w:val="4C41B9B4"/>
    <w:rsid w:val="4C48C8EF"/>
    <w:rsid w:val="4C5B93F7"/>
    <w:rsid w:val="4CAE0829"/>
    <w:rsid w:val="4CC5D311"/>
    <w:rsid w:val="4CDAF720"/>
    <w:rsid w:val="4CEE2D1B"/>
    <w:rsid w:val="4D2312DD"/>
    <w:rsid w:val="4D32A155"/>
    <w:rsid w:val="4D4CB33D"/>
    <w:rsid w:val="4D589410"/>
    <w:rsid w:val="4D58EFBC"/>
    <w:rsid w:val="4D761FEB"/>
    <w:rsid w:val="4DB6BCF9"/>
    <w:rsid w:val="4DC4A04B"/>
    <w:rsid w:val="4E0662FA"/>
    <w:rsid w:val="4E1381CA"/>
    <w:rsid w:val="4E289A5E"/>
    <w:rsid w:val="4E6A5B0A"/>
    <w:rsid w:val="4EC67538"/>
    <w:rsid w:val="4EC7DB2D"/>
    <w:rsid w:val="4EE4C459"/>
    <w:rsid w:val="4F26E840"/>
    <w:rsid w:val="4F35865F"/>
    <w:rsid w:val="4F3DE784"/>
    <w:rsid w:val="4F4CE121"/>
    <w:rsid w:val="4F824D63"/>
    <w:rsid w:val="4FA39F74"/>
    <w:rsid w:val="4FD231F2"/>
    <w:rsid w:val="4FD5C98D"/>
    <w:rsid w:val="4FFFACA4"/>
    <w:rsid w:val="50104552"/>
    <w:rsid w:val="50242EB8"/>
    <w:rsid w:val="507D3393"/>
    <w:rsid w:val="5096AC63"/>
    <w:rsid w:val="50ACCC88"/>
    <w:rsid w:val="50BB7CA8"/>
    <w:rsid w:val="514E7217"/>
    <w:rsid w:val="5162F7B3"/>
    <w:rsid w:val="518A38A2"/>
    <w:rsid w:val="51A52FF8"/>
    <w:rsid w:val="51F9EF51"/>
    <w:rsid w:val="52097075"/>
    <w:rsid w:val="52151008"/>
    <w:rsid w:val="521F4795"/>
    <w:rsid w:val="525B058B"/>
    <w:rsid w:val="52784373"/>
    <w:rsid w:val="52958800"/>
    <w:rsid w:val="52DB0432"/>
    <w:rsid w:val="52E949B1"/>
    <w:rsid w:val="531DE153"/>
    <w:rsid w:val="532DFFCE"/>
    <w:rsid w:val="532F6F66"/>
    <w:rsid w:val="5369C876"/>
    <w:rsid w:val="539CE30B"/>
    <w:rsid w:val="53F67C77"/>
    <w:rsid w:val="540AAF87"/>
    <w:rsid w:val="5457DBD3"/>
    <w:rsid w:val="54647DF5"/>
    <w:rsid w:val="5466574D"/>
    <w:rsid w:val="5474C8C1"/>
    <w:rsid w:val="548D9783"/>
    <w:rsid w:val="54CF87F4"/>
    <w:rsid w:val="54EF5ADD"/>
    <w:rsid w:val="550A8E7E"/>
    <w:rsid w:val="551901E5"/>
    <w:rsid w:val="55392A67"/>
    <w:rsid w:val="5556B298"/>
    <w:rsid w:val="55790026"/>
    <w:rsid w:val="55A3EE1B"/>
    <w:rsid w:val="55D61F8A"/>
    <w:rsid w:val="55E5C0A8"/>
    <w:rsid w:val="55FB6E43"/>
    <w:rsid w:val="5619D832"/>
    <w:rsid w:val="562415E5"/>
    <w:rsid w:val="562909A5"/>
    <w:rsid w:val="564069A9"/>
    <w:rsid w:val="564745CB"/>
    <w:rsid w:val="56669782"/>
    <w:rsid w:val="569ACEC9"/>
    <w:rsid w:val="56BCADE0"/>
    <w:rsid w:val="56C8854E"/>
    <w:rsid w:val="5700AD0D"/>
    <w:rsid w:val="570DA078"/>
    <w:rsid w:val="57287FEC"/>
    <w:rsid w:val="572932E5"/>
    <w:rsid w:val="579777DD"/>
    <w:rsid w:val="57997BD8"/>
    <w:rsid w:val="5799EF36"/>
    <w:rsid w:val="57ABC982"/>
    <w:rsid w:val="57B59EB5"/>
    <w:rsid w:val="57B675F0"/>
    <w:rsid w:val="57D0FEF7"/>
    <w:rsid w:val="57EE93C7"/>
    <w:rsid w:val="58320B03"/>
    <w:rsid w:val="5844F1BD"/>
    <w:rsid w:val="586B6B51"/>
    <w:rsid w:val="586C3267"/>
    <w:rsid w:val="58834D4A"/>
    <w:rsid w:val="58B6CD06"/>
    <w:rsid w:val="58E784F7"/>
    <w:rsid w:val="59032293"/>
    <w:rsid w:val="591ED321"/>
    <w:rsid w:val="593F78EC"/>
    <w:rsid w:val="59664350"/>
    <w:rsid w:val="597BBCD5"/>
    <w:rsid w:val="59B0A303"/>
    <w:rsid w:val="59B170CD"/>
    <w:rsid w:val="59B9F160"/>
    <w:rsid w:val="59D35A64"/>
    <w:rsid w:val="59F7FC00"/>
    <w:rsid w:val="5A22BD60"/>
    <w:rsid w:val="5A23BAE8"/>
    <w:rsid w:val="5A3DFE38"/>
    <w:rsid w:val="5A9B7268"/>
    <w:rsid w:val="5AB06B10"/>
    <w:rsid w:val="5AC343F3"/>
    <w:rsid w:val="5AC70ECF"/>
    <w:rsid w:val="5AD69A4B"/>
    <w:rsid w:val="5B1E35F0"/>
    <w:rsid w:val="5B440DA1"/>
    <w:rsid w:val="5B4F3318"/>
    <w:rsid w:val="5B5C18E9"/>
    <w:rsid w:val="5B7FA89D"/>
    <w:rsid w:val="5BBAF5D3"/>
    <w:rsid w:val="5BC90A97"/>
    <w:rsid w:val="5BF6DFAC"/>
    <w:rsid w:val="5BF81BBB"/>
    <w:rsid w:val="5C2781B5"/>
    <w:rsid w:val="5C3E0A50"/>
    <w:rsid w:val="5C5A263D"/>
    <w:rsid w:val="5CBA4DA5"/>
    <w:rsid w:val="5D00D44E"/>
    <w:rsid w:val="5D037E94"/>
    <w:rsid w:val="5D480A00"/>
    <w:rsid w:val="5D4F7A80"/>
    <w:rsid w:val="5D66EDA5"/>
    <w:rsid w:val="5D8D76A9"/>
    <w:rsid w:val="5DC3B65D"/>
    <w:rsid w:val="5E26E605"/>
    <w:rsid w:val="5E33E9AB"/>
    <w:rsid w:val="5E565FFE"/>
    <w:rsid w:val="5F141C3D"/>
    <w:rsid w:val="5F384080"/>
    <w:rsid w:val="5F3A5E7B"/>
    <w:rsid w:val="5F3B66A2"/>
    <w:rsid w:val="5F3D92D0"/>
    <w:rsid w:val="5F737A91"/>
    <w:rsid w:val="5F78493F"/>
    <w:rsid w:val="5F9B2529"/>
    <w:rsid w:val="5FCAD4CC"/>
    <w:rsid w:val="5FFBCDD7"/>
    <w:rsid w:val="601AE2E4"/>
    <w:rsid w:val="6044537F"/>
    <w:rsid w:val="60468C7D"/>
    <w:rsid w:val="606088D9"/>
    <w:rsid w:val="60769678"/>
    <w:rsid w:val="60EC3DCC"/>
    <w:rsid w:val="618E484F"/>
    <w:rsid w:val="61901CEE"/>
    <w:rsid w:val="61B6E1E6"/>
    <w:rsid w:val="61C0DC58"/>
    <w:rsid w:val="61CC61D6"/>
    <w:rsid w:val="61F512B2"/>
    <w:rsid w:val="6230A53D"/>
    <w:rsid w:val="62342388"/>
    <w:rsid w:val="628E2CFA"/>
    <w:rsid w:val="62C20669"/>
    <w:rsid w:val="62C4CB65"/>
    <w:rsid w:val="62CDB287"/>
    <w:rsid w:val="63B50617"/>
    <w:rsid w:val="6407383A"/>
    <w:rsid w:val="64405F29"/>
    <w:rsid w:val="646DFF9D"/>
    <w:rsid w:val="64726B89"/>
    <w:rsid w:val="64F65444"/>
    <w:rsid w:val="6513CF0C"/>
    <w:rsid w:val="65458C2A"/>
    <w:rsid w:val="656851A4"/>
    <w:rsid w:val="65821126"/>
    <w:rsid w:val="65825E1E"/>
    <w:rsid w:val="6595C87E"/>
    <w:rsid w:val="65C1A4E8"/>
    <w:rsid w:val="66229811"/>
    <w:rsid w:val="66592152"/>
    <w:rsid w:val="6663CE2C"/>
    <w:rsid w:val="6665174B"/>
    <w:rsid w:val="6682778B"/>
    <w:rsid w:val="66B0F732"/>
    <w:rsid w:val="66BBBEF7"/>
    <w:rsid w:val="66C5B698"/>
    <w:rsid w:val="66EBC617"/>
    <w:rsid w:val="671D7AE8"/>
    <w:rsid w:val="672BF070"/>
    <w:rsid w:val="6744C61B"/>
    <w:rsid w:val="67574B4A"/>
    <w:rsid w:val="6777CC33"/>
    <w:rsid w:val="67A0C394"/>
    <w:rsid w:val="67CD49FE"/>
    <w:rsid w:val="6856DAFD"/>
    <w:rsid w:val="685A6819"/>
    <w:rsid w:val="685D1DF5"/>
    <w:rsid w:val="686DC3E1"/>
    <w:rsid w:val="686E3E82"/>
    <w:rsid w:val="6878FF61"/>
    <w:rsid w:val="68852C7F"/>
    <w:rsid w:val="688FBE21"/>
    <w:rsid w:val="68D3075B"/>
    <w:rsid w:val="68E07FAF"/>
    <w:rsid w:val="68F2B529"/>
    <w:rsid w:val="690AC425"/>
    <w:rsid w:val="694170C0"/>
    <w:rsid w:val="695A19FF"/>
    <w:rsid w:val="69892590"/>
    <w:rsid w:val="69993177"/>
    <w:rsid w:val="69BB6079"/>
    <w:rsid w:val="69D57701"/>
    <w:rsid w:val="69F5774A"/>
    <w:rsid w:val="69FCF010"/>
    <w:rsid w:val="6A236359"/>
    <w:rsid w:val="6A36B1BB"/>
    <w:rsid w:val="6A512F8E"/>
    <w:rsid w:val="6A82AC3E"/>
    <w:rsid w:val="6A8C8215"/>
    <w:rsid w:val="6AA759FA"/>
    <w:rsid w:val="6AAD3B59"/>
    <w:rsid w:val="6ABCD93A"/>
    <w:rsid w:val="6AF11970"/>
    <w:rsid w:val="6AF6F806"/>
    <w:rsid w:val="6B2C125A"/>
    <w:rsid w:val="6B6CE0A1"/>
    <w:rsid w:val="6BBE2DB9"/>
    <w:rsid w:val="6BD4B8FC"/>
    <w:rsid w:val="6BFD294B"/>
    <w:rsid w:val="6C1531E5"/>
    <w:rsid w:val="6C36A5A3"/>
    <w:rsid w:val="6C66CC01"/>
    <w:rsid w:val="6C8F2073"/>
    <w:rsid w:val="6CE303F0"/>
    <w:rsid w:val="6D3777D1"/>
    <w:rsid w:val="6D472BBE"/>
    <w:rsid w:val="6D8E168D"/>
    <w:rsid w:val="6D9BFC3D"/>
    <w:rsid w:val="6DB1D2E0"/>
    <w:rsid w:val="6DD733BE"/>
    <w:rsid w:val="6E1BCAC8"/>
    <w:rsid w:val="6E20779A"/>
    <w:rsid w:val="6E5300C0"/>
    <w:rsid w:val="6E5BAFBB"/>
    <w:rsid w:val="6E635FA0"/>
    <w:rsid w:val="6E7988EF"/>
    <w:rsid w:val="6EC9728D"/>
    <w:rsid w:val="6EDF5A83"/>
    <w:rsid w:val="6F23AAFA"/>
    <w:rsid w:val="6F4BF9DF"/>
    <w:rsid w:val="6F63E99B"/>
    <w:rsid w:val="6F9D8617"/>
    <w:rsid w:val="6FC302A3"/>
    <w:rsid w:val="6FC3FE33"/>
    <w:rsid w:val="6FE262BD"/>
    <w:rsid w:val="701F6EF6"/>
    <w:rsid w:val="704784DB"/>
    <w:rsid w:val="70B4EABF"/>
    <w:rsid w:val="70C634FD"/>
    <w:rsid w:val="70F91366"/>
    <w:rsid w:val="7107A23A"/>
    <w:rsid w:val="711792F7"/>
    <w:rsid w:val="7130A016"/>
    <w:rsid w:val="71410040"/>
    <w:rsid w:val="7160F69C"/>
    <w:rsid w:val="7168F0EB"/>
    <w:rsid w:val="719D6F7A"/>
    <w:rsid w:val="71AA73F9"/>
    <w:rsid w:val="71D36A71"/>
    <w:rsid w:val="71E6D0DD"/>
    <w:rsid w:val="722E8B1D"/>
    <w:rsid w:val="72DEB362"/>
    <w:rsid w:val="73121A89"/>
    <w:rsid w:val="731AE02E"/>
    <w:rsid w:val="73269C05"/>
    <w:rsid w:val="7335FD1D"/>
    <w:rsid w:val="739E5BCF"/>
    <w:rsid w:val="73C9B050"/>
    <w:rsid w:val="73D149F2"/>
    <w:rsid w:val="73E41908"/>
    <w:rsid w:val="73EC9948"/>
    <w:rsid w:val="73FF766D"/>
    <w:rsid w:val="7436EF66"/>
    <w:rsid w:val="746B7D6E"/>
    <w:rsid w:val="74931B01"/>
    <w:rsid w:val="74C32E68"/>
    <w:rsid w:val="75070662"/>
    <w:rsid w:val="751A9F19"/>
    <w:rsid w:val="7549D242"/>
    <w:rsid w:val="755A2738"/>
    <w:rsid w:val="755AAFC1"/>
    <w:rsid w:val="757DDF1D"/>
    <w:rsid w:val="758E7DDC"/>
    <w:rsid w:val="75B4E957"/>
    <w:rsid w:val="76010B55"/>
    <w:rsid w:val="762EF5FD"/>
    <w:rsid w:val="7654D98E"/>
    <w:rsid w:val="7657FAB5"/>
    <w:rsid w:val="76755B77"/>
    <w:rsid w:val="767DD685"/>
    <w:rsid w:val="76835D95"/>
    <w:rsid w:val="76A0E930"/>
    <w:rsid w:val="76BF7364"/>
    <w:rsid w:val="76C6EE23"/>
    <w:rsid w:val="76D4B743"/>
    <w:rsid w:val="772FBA23"/>
    <w:rsid w:val="77692281"/>
    <w:rsid w:val="776A78DC"/>
    <w:rsid w:val="777D26F3"/>
    <w:rsid w:val="77BADDEF"/>
    <w:rsid w:val="77BCF7C8"/>
    <w:rsid w:val="77C73CA2"/>
    <w:rsid w:val="77CB1D67"/>
    <w:rsid w:val="77D665A6"/>
    <w:rsid w:val="77DEC254"/>
    <w:rsid w:val="77DF2837"/>
    <w:rsid w:val="7872D255"/>
    <w:rsid w:val="787984A1"/>
    <w:rsid w:val="78B0A73B"/>
    <w:rsid w:val="792492C5"/>
    <w:rsid w:val="7955ECA0"/>
    <w:rsid w:val="798242E9"/>
    <w:rsid w:val="7990BB39"/>
    <w:rsid w:val="79B30734"/>
    <w:rsid w:val="79B356A9"/>
    <w:rsid w:val="79D8CACB"/>
    <w:rsid w:val="7A085BC6"/>
    <w:rsid w:val="7A7A1A9E"/>
    <w:rsid w:val="7A950A78"/>
    <w:rsid w:val="7AA3A246"/>
    <w:rsid w:val="7ACC3E8E"/>
    <w:rsid w:val="7AFA5557"/>
    <w:rsid w:val="7B23E000"/>
    <w:rsid w:val="7B24B954"/>
    <w:rsid w:val="7B403253"/>
    <w:rsid w:val="7B53C7A0"/>
    <w:rsid w:val="7B71F54B"/>
    <w:rsid w:val="7B7C934A"/>
    <w:rsid w:val="7BF6CAE5"/>
    <w:rsid w:val="7BFF7587"/>
    <w:rsid w:val="7C089917"/>
    <w:rsid w:val="7C2EE138"/>
    <w:rsid w:val="7C6DA6D9"/>
    <w:rsid w:val="7CE54D96"/>
    <w:rsid w:val="7D01FE85"/>
    <w:rsid w:val="7D1BFE3C"/>
    <w:rsid w:val="7D254A66"/>
    <w:rsid w:val="7D261E82"/>
    <w:rsid w:val="7D63FBCE"/>
    <w:rsid w:val="7D71BD68"/>
    <w:rsid w:val="7D754859"/>
    <w:rsid w:val="7D86196B"/>
    <w:rsid w:val="7D9EFBA7"/>
    <w:rsid w:val="7DD1557D"/>
    <w:rsid w:val="7DD53EFB"/>
    <w:rsid w:val="7DD81ED2"/>
    <w:rsid w:val="7DD82276"/>
    <w:rsid w:val="7DDAB67F"/>
    <w:rsid w:val="7E6E4826"/>
    <w:rsid w:val="7E82CF1C"/>
    <w:rsid w:val="7E8733D2"/>
    <w:rsid w:val="7E9B24A2"/>
    <w:rsid w:val="7EA20AD2"/>
    <w:rsid w:val="7ED89447"/>
    <w:rsid w:val="7EDB37A7"/>
    <w:rsid w:val="7EEE8CFC"/>
    <w:rsid w:val="7F033894"/>
    <w:rsid w:val="7F592567"/>
    <w:rsid w:val="7F7C58F5"/>
    <w:rsid w:val="7FD0278C"/>
    <w:rsid w:val="7FDA434E"/>
    <w:rsid w:val="7FEAC6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B967A"/>
  <w15:chartTrackingRefBased/>
  <w15:docId w15:val="{6656FB86-6007-4702-88FF-402B9E38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FA"/>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semiHidden/>
    <w:unhideWhenUsed/>
    <w:qFormat/>
    <w:locked/>
    <w:rsid w:val="00036C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S,B"/>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 Text Char1,Footnote Text Char2 Char,Footnote Text Char1 Char Char,Footnote Text Char2 Char Char Char,Footnote Text Char1 Char Char Char Char,Footnote Text Char2 Char Char Char Char Char,Footnote Text Char1 Char,Schriftart: 9 pt,f"/>
    <w:basedOn w:val="Normal"/>
    <w:link w:val="FootnoteTextChar"/>
    <w:unhideWhenUsed/>
    <w:qFormat/>
    <w:rsid w:val="00AF52D1"/>
    <w:rPr>
      <w:sz w:val="20"/>
      <w:szCs w:val="20"/>
    </w:rPr>
  </w:style>
  <w:style w:type="character" w:customStyle="1" w:styleId="FootnoteTextChar">
    <w:name w:val="Footnote Text Char"/>
    <w:aliases w:val="Footnote Text Char1 Char1,Footnote Text Char2 Char Char,Footnote Text Char1 Char Char Char,Footnote Text Char2 Char Char Char Char,Footnote Text Char1 Char Char Char Char Char,Footnote Text Char2 Char Char Char Char Char Char,f Char"/>
    <w:basedOn w:val="DefaultParagraphFont"/>
    <w:link w:val="FootnoteText"/>
    <w:rsid w:val="00AF52D1"/>
    <w:rPr>
      <w:lang w:val="lv-LV"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AF52D1"/>
    <w:rPr>
      <w:vertAlign w:val="superscript"/>
    </w:rPr>
  </w:style>
  <w:style w:type="paragraph" w:customStyle="1" w:styleId="CharCharCharChar">
    <w:name w:val="Char Char Char Char"/>
    <w:aliases w:val="Char2"/>
    <w:basedOn w:val="Normal"/>
    <w:next w:val="Normal"/>
    <w:link w:val="FootnoteReference"/>
    <w:rsid w:val="00BA1151"/>
    <w:pPr>
      <w:spacing w:after="160" w:line="240" w:lineRule="exact"/>
      <w:jc w:val="both"/>
    </w:pPr>
    <w:rPr>
      <w:sz w:val="20"/>
      <w:szCs w:val="20"/>
      <w:vertAlign w:val="superscript"/>
      <w:lang w:val="en-US" w:eastAsia="en-US"/>
    </w:r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basedOn w:val="DefaultParagraphFont"/>
    <w:link w:val="ListParagraph"/>
    <w:uiPriority w:val="34"/>
    <w:qFormat/>
    <w:locked/>
    <w:rsid w:val="00BA1151"/>
    <w:rPr>
      <w:rFonts w:ascii="Calibri" w:hAnsi="Calibri"/>
      <w:sz w:val="22"/>
      <w:szCs w:val="22"/>
      <w:lang w:val="lv-LV"/>
    </w:rPr>
  </w:style>
  <w:style w:type="character" w:customStyle="1" w:styleId="Style1">
    <w:name w:val="Style1"/>
    <w:basedOn w:val="DefaultParagraphFont"/>
    <w:uiPriority w:val="1"/>
    <w:rsid w:val="002B0E76"/>
    <w:rPr>
      <w:rFonts w:ascii="Times New Roman" w:hAnsi="Times New Roman"/>
      <w:sz w:val="24"/>
    </w:rPr>
  </w:style>
  <w:style w:type="paragraph" w:customStyle="1" w:styleId="mt-translation">
    <w:name w:val="mt-translation"/>
    <w:basedOn w:val="Normal"/>
    <w:rsid w:val="0037401B"/>
    <w:pPr>
      <w:spacing w:before="100" w:beforeAutospacing="1" w:after="100" w:afterAutospacing="1"/>
    </w:pPr>
  </w:style>
  <w:style w:type="character" w:customStyle="1" w:styleId="phrase">
    <w:name w:val="phrase"/>
    <w:basedOn w:val="DefaultParagraphFont"/>
    <w:rsid w:val="0037401B"/>
  </w:style>
  <w:style w:type="character" w:customStyle="1" w:styleId="word">
    <w:name w:val="word"/>
    <w:basedOn w:val="DefaultParagraphFont"/>
    <w:rsid w:val="0037401B"/>
  </w:style>
  <w:style w:type="paragraph" w:customStyle="1" w:styleId="Default">
    <w:name w:val="Default"/>
    <w:rsid w:val="00563DE3"/>
    <w:pPr>
      <w:autoSpaceDE w:val="0"/>
      <w:autoSpaceDN w:val="0"/>
      <w:adjustRightInd w:val="0"/>
    </w:pPr>
    <w:rPr>
      <w:color w:val="000000"/>
      <w:sz w:val="24"/>
      <w:szCs w:val="24"/>
      <w:lang w:val="lv-LV"/>
    </w:rPr>
  </w:style>
  <w:style w:type="character" w:customStyle="1" w:styleId="UnresolvedMention1">
    <w:name w:val="Unresolved Mention1"/>
    <w:basedOn w:val="DefaultParagraphFont"/>
    <w:uiPriority w:val="99"/>
    <w:semiHidden/>
    <w:unhideWhenUsed/>
    <w:rsid w:val="00563DE3"/>
    <w:rPr>
      <w:color w:val="605E5C"/>
      <w:shd w:val="clear" w:color="auto" w:fill="E1DFDD"/>
    </w:rPr>
  </w:style>
  <w:style w:type="character" w:customStyle="1" w:styleId="UnresolvedMention2">
    <w:name w:val="Unresolved Mention2"/>
    <w:basedOn w:val="DefaultParagraphFont"/>
    <w:uiPriority w:val="99"/>
    <w:semiHidden/>
    <w:unhideWhenUsed/>
    <w:rsid w:val="00BC7690"/>
    <w:rPr>
      <w:color w:val="605E5C"/>
      <w:shd w:val="clear" w:color="auto" w:fill="E1DFDD"/>
    </w:rPr>
  </w:style>
  <w:style w:type="character" w:customStyle="1" w:styleId="UnresolvedMention3">
    <w:name w:val="Unresolved Mention3"/>
    <w:basedOn w:val="DefaultParagraphFont"/>
    <w:uiPriority w:val="99"/>
    <w:semiHidden/>
    <w:unhideWhenUsed/>
    <w:rsid w:val="00522352"/>
    <w:rPr>
      <w:color w:val="605E5C"/>
      <w:shd w:val="clear" w:color="auto" w:fill="E1DFDD"/>
    </w:rPr>
  </w:style>
  <w:style w:type="character" w:customStyle="1" w:styleId="normaltextrun">
    <w:name w:val="normaltextrun"/>
    <w:basedOn w:val="DefaultParagraphFont"/>
    <w:rsid w:val="003966D5"/>
  </w:style>
  <w:style w:type="character" w:customStyle="1" w:styleId="eop">
    <w:name w:val="eop"/>
    <w:basedOn w:val="DefaultParagraphFont"/>
    <w:rsid w:val="003966D5"/>
  </w:style>
  <w:style w:type="character" w:customStyle="1" w:styleId="spellingerror">
    <w:name w:val="spellingerror"/>
    <w:basedOn w:val="DefaultParagraphFont"/>
    <w:rsid w:val="005835AD"/>
  </w:style>
  <w:style w:type="paragraph" w:styleId="Revision">
    <w:name w:val="Revision"/>
    <w:hidden/>
    <w:uiPriority w:val="99"/>
    <w:semiHidden/>
    <w:rsid w:val="00CA24D4"/>
    <w:rPr>
      <w:sz w:val="24"/>
      <w:szCs w:val="24"/>
      <w:lang w:val="lv-LV" w:eastAsia="lv-LV"/>
    </w:rPr>
  </w:style>
  <w:style w:type="paragraph" w:styleId="Title">
    <w:name w:val="Title"/>
    <w:basedOn w:val="Normal"/>
    <w:next w:val="Normal"/>
    <w:link w:val="TitleChar"/>
    <w:uiPriority w:val="10"/>
    <w:qFormat/>
    <w:locked/>
    <w:rsid w:val="00AA0B01"/>
    <w:rPr>
      <w:rFonts w:ascii="Trebuchet MS" w:eastAsia="Trebuchet MS" w:hAnsi="Trebuchet MS" w:cs="Trebuchet MS"/>
      <w:color w:val="000000"/>
      <w:sz w:val="42"/>
      <w:szCs w:val="22"/>
    </w:rPr>
  </w:style>
  <w:style w:type="character" w:customStyle="1" w:styleId="TitleChar">
    <w:name w:val="Title Char"/>
    <w:basedOn w:val="DefaultParagraphFont"/>
    <w:link w:val="Title"/>
    <w:uiPriority w:val="10"/>
    <w:rsid w:val="00AA0B01"/>
    <w:rPr>
      <w:rFonts w:ascii="Trebuchet MS" w:eastAsia="Trebuchet MS" w:hAnsi="Trebuchet MS" w:cs="Trebuchet MS"/>
      <w:color w:val="000000"/>
      <w:sz w:val="42"/>
      <w:szCs w:val="22"/>
      <w:lang w:val="lv-LV" w:eastAsia="lv-LV"/>
    </w:rPr>
  </w:style>
  <w:style w:type="paragraph" w:customStyle="1" w:styleId="paragraph">
    <w:name w:val="paragraph"/>
    <w:basedOn w:val="Normal"/>
    <w:rsid w:val="001C099B"/>
    <w:pPr>
      <w:spacing w:before="100" w:beforeAutospacing="1" w:after="100" w:afterAutospacing="1"/>
    </w:pPr>
  </w:style>
  <w:style w:type="character" w:customStyle="1" w:styleId="Heading4Char">
    <w:name w:val="Heading 4 Char"/>
    <w:basedOn w:val="DefaultParagraphFont"/>
    <w:link w:val="Heading4"/>
    <w:semiHidden/>
    <w:rsid w:val="00036C3D"/>
    <w:rPr>
      <w:rFonts w:asciiTheme="majorHAnsi" w:eastAsiaTheme="majorEastAsia" w:hAnsiTheme="majorHAnsi" w:cstheme="majorBidi"/>
      <w:i/>
      <w:iCs/>
      <w:color w:val="2E74B5" w:themeColor="accent1" w:themeShade="BF"/>
      <w:sz w:val="24"/>
      <w:szCs w:val="24"/>
      <w:lang w:val="lv-LV" w:eastAsia="lv-LV"/>
    </w:rPr>
  </w:style>
  <w:style w:type="character" w:customStyle="1" w:styleId="UnresolvedMention4">
    <w:name w:val="Unresolved Mention4"/>
    <w:basedOn w:val="DefaultParagraphFont"/>
    <w:uiPriority w:val="99"/>
    <w:semiHidden/>
    <w:unhideWhenUsed/>
    <w:rsid w:val="0046348D"/>
    <w:rPr>
      <w:color w:val="605E5C"/>
      <w:shd w:val="clear" w:color="auto" w:fill="E1DFDD"/>
    </w:rPr>
  </w:style>
  <w:style w:type="paragraph" w:styleId="BodyText">
    <w:name w:val="Body Text"/>
    <w:basedOn w:val="Normal"/>
    <w:link w:val="BodyTextChar"/>
    <w:uiPriority w:val="99"/>
    <w:semiHidden/>
    <w:unhideWhenUsed/>
    <w:rsid w:val="00021941"/>
    <w:pPr>
      <w:spacing w:after="120"/>
    </w:pPr>
  </w:style>
  <w:style w:type="character" w:customStyle="1" w:styleId="BodyTextChar">
    <w:name w:val="Body Text Char"/>
    <w:basedOn w:val="DefaultParagraphFont"/>
    <w:link w:val="BodyText"/>
    <w:uiPriority w:val="99"/>
    <w:semiHidden/>
    <w:rsid w:val="00021941"/>
    <w:rPr>
      <w:sz w:val="24"/>
      <w:szCs w:val="24"/>
      <w:lang w:val="lv-LV" w:eastAsia="lv-LV"/>
    </w:rPr>
  </w:style>
  <w:style w:type="paragraph" w:styleId="NoSpacing">
    <w:name w:val="No Spacing"/>
    <w:basedOn w:val="Normal"/>
    <w:uiPriority w:val="1"/>
    <w:qFormat/>
    <w:rsid w:val="00C6176D"/>
    <w:rPr>
      <w:rFonts w:ascii="Calibri" w:eastAsiaTheme="minorHAnsi" w:hAnsi="Calibri" w:cs="Calibri"/>
      <w:sz w:val="22"/>
      <w:szCs w:val="22"/>
      <w:lang w:eastAsia="en-US"/>
    </w:rPr>
  </w:style>
  <w:style w:type="character" w:customStyle="1" w:styleId="UnresolvedMention5">
    <w:name w:val="Unresolved Mention5"/>
    <w:basedOn w:val="DefaultParagraphFont"/>
    <w:uiPriority w:val="99"/>
    <w:unhideWhenUsed/>
    <w:rsid w:val="00E027D1"/>
    <w:rPr>
      <w:color w:val="605E5C"/>
      <w:shd w:val="clear" w:color="auto" w:fill="E1DFDD"/>
    </w:rPr>
  </w:style>
  <w:style w:type="character" w:customStyle="1" w:styleId="Mention1">
    <w:name w:val="Mention1"/>
    <w:basedOn w:val="DefaultParagraphFont"/>
    <w:uiPriority w:val="99"/>
    <w:unhideWhenUsed/>
    <w:rsid w:val="00E027D1"/>
    <w:rPr>
      <w:color w:val="2B579A"/>
      <w:shd w:val="clear" w:color="auto" w:fill="E1DFDD"/>
    </w:rPr>
  </w:style>
  <w:style w:type="character" w:customStyle="1" w:styleId="SarakstarindkopaRakstz1">
    <w:name w:val="Saraksta rindkopa Rakstz.1"/>
    <w:aliases w:val="2 Rakstz.1,Bullet 1 Rakstz.1,Bullet Points Rakstz.1,Colorful List - Accent 11 Rakstz.1,Dot pt Rakstz.1,F5 List Paragraph Rakstz.1,IFCL - List Paragraph Rakstz.1,Indicator Text Rakstz.1,List Paragraph Char Char Char Rakstz.1"/>
    <w:basedOn w:val="DefaultParagraphFont"/>
    <w:uiPriority w:val="34"/>
    <w:qFormat/>
    <w:rsid w:val="005C39A8"/>
    <w:rPr>
      <w:rFonts w:ascii="Calibri" w:hAnsi="Calibri"/>
      <w:sz w:val="22"/>
      <w:szCs w:val="22"/>
      <w:lang w:val="lv-LV"/>
    </w:rPr>
  </w:style>
  <w:style w:type="character" w:customStyle="1" w:styleId="UnresolvedMention6">
    <w:name w:val="Unresolved Mention6"/>
    <w:basedOn w:val="DefaultParagraphFont"/>
    <w:uiPriority w:val="99"/>
    <w:unhideWhenUsed/>
    <w:rsid w:val="005C39A8"/>
    <w:rPr>
      <w:color w:val="605E5C"/>
      <w:shd w:val="clear" w:color="auto" w:fill="E1DFDD"/>
    </w:rPr>
  </w:style>
  <w:style w:type="character" w:customStyle="1" w:styleId="Mention2">
    <w:name w:val="Mention2"/>
    <w:basedOn w:val="DefaultParagraphFont"/>
    <w:uiPriority w:val="99"/>
    <w:unhideWhenUsed/>
    <w:rsid w:val="005C39A8"/>
    <w:rPr>
      <w:color w:val="2B579A"/>
      <w:shd w:val="clear" w:color="auto" w:fill="E1DFDD"/>
    </w:rPr>
  </w:style>
  <w:style w:type="character" w:styleId="Mention">
    <w:name w:val="Mention"/>
    <w:basedOn w:val="DefaultParagraphFont"/>
    <w:uiPriority w:val="99"/>
    <w:unhideWhenUsed/>
    <w:rsid w:val="00C052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827">
      <w:bodyDiv w:val="1"/>
      <w:marLeft w:val="0"/>
      <w:marRight w:val="0"/>
      <w:marTop w:val="0"/>
      <w:marBottom w:val="0"/>
      <w:divBdr>
        <w:top w:val="none" w:sz="0" w:space="0" w:color="auto"/>
        <w:left w:val="none" w:sz="0" w:space="0" w:color="auto"/>
        <w:bottom w:val="none" w:sz="0" w:space="0" w:color="auto"/>
        <w:right w:val="none" w:sz="0" w:space="0" w:color="auto"/>
      </w:divBdr>
    </w:div>
    <w:div w:id="50078208">
      <w:bodyDiv w:val="1"/>
      <w:marLeft w:val="0"/>
      <w:marRight w:val="0"/>
      <w:marTop w:val="0"/>
      <w:marBottom w:val="0"/>
      <w:divBdr>
        <w:top w:val="none" w:sz="0" w:space="0" w:color="auto"/>
        <w:left w:val="none" w:sz="0" w:space="0" w:color="auto"/>
        <w:bottom w:val="none" w:sz="0" w:space="0" w:color="auto"/>
        <w:right w:val="none" w:sz="0" w:space="0" w:color="auto"/>
      </w:divBdr>
    </w:div>
    <w:div w:id="61412624">
      <w:bodyDiv w:val="1"/>
      <w:marLeft w:val="0"/>
      <w:marRight w:val="0"/>
      <w:marTop w:val="0"/>
      <w:marBottom w:val="0"/>
      <w:divBdr>
        <w:top w:val="none" w:sz="0" w:space="0" w:color="auto"/>
        <w:left w:val="none" w:sz="0" w:space="0" w:color="auto"/>
        <w:bottom w:val="none" w:sz="0" w:space="0" w:color="auto"/>
        <w:right w:val="none" w:sz="0" w:space="0" w:color="auto"/>
      </w:divBdr>
    </w:div>
    <w:div w:id="73010631">
      <w:bodyDiv w:val="1"/>
      <w:marLeft w:val="0"/>
      <w:marRight w:val="0"/>
      <w:marTop w:val="0"/>
      <w:marBottom w:val="0"/>
      <w:divBdr>
        <w:top w:val="none" w:sz="0" w:space="0" w:color="auto"/>
        <w:left w:val="none" w:sz="0" w:space="0" w:color="auto"/>
        <w:bottom w:val="none" w:sz="0" w:space="0" w:color="auto"/>
        <w:right w:val="none" w:sz="0" w:space="0" w:color="auto"/>
      </w:divBdr>
    </w:div>
    <w:div w:id="125046028">
      <w:bodyDiv w:val="1"/>
      <w:marLeft w:val="0"/>
      <w:marRight w:val="0"/>
      <w:marTop w:val="0"/>
      <w:marBottom w:val="0"/>
      <w:divBdr>
        <w:top w:val="none" w:sz="0" w:space="0" w:color="auto"/>
        <w:left w:val="none" w:sz="0" w:space="0" w:color="auto"/>
        <w:bottom w:val="none" w:sz="0" w:space="0" w:color="auto"/>
        <w:right w:val="none" w:sz="0" w:space="0" w:color="auto"/>
      </w:divBdr>
    </w:div>
    <w:div w:id="243609020">
      <w:bodyDiv w:val="1"/>
      <w:marLeft w:val="0"/>
      <w:marRight w:val="0"/>
      <w:marTop w:val="0"/>
      <w:marBottom w:val="0"/>
      <w:divBdr>
        <w:top w:val="none" w:sz="0" w:space="0" w:color="auto"/>
        <w:left w:val="none" w:sz="0" w:space="0" w:color="auto"/>
        <w:bottom w:val="none" w:sz="0" w:space="0" w:color="auto"/>
        <w:right w:val="none" w:sz="0" w:space="0" w:color="auto"/>
      </w:divBdr>
    </w:div>
    <w:div w:id="265114976">
      <w:bodyDiv w:val="1"/>
      <w:marLeft w:val="0"/>
      <w:marRight w:val="0"/>
      <w:marTop w:val="0"/>
      <w:marBottom w:val="0"/>
      <w:divBdr>
        <w:top w:val="none" w:sz="0" w:space="0" w:color="auto"/>
        <w:left w:val="none" w:sz="0" w:space="0" w:color="auto"/>
        <w:bottom w:val="none" w:sz="0" w:space="0" w:color="auto"/>
        <w:right w:val="none" w:sz="0" w:space="0" w:color="auto"/>
      </w:divBdr>
    </w:div>
    <w:div w:id="271715301">
      <w:bodyDiv w:val="1"/>
      <w:marLeft w:val="0"/>
      <w:marRight w:val="0"/>
      <w:marTop w:val="0"/>
      <w:marBottom w:val="0"/>
      <w:divBdr>
        <w:top w:val="none" w:sz="0" w:space="0" w:color="auto"/>
        <w:left w:val="none" w:sz="0" w:space="0" w:color="auto"/>
        <w:bottom w:val="none" w:sz="0" w:space="0" w:color="auto"/>
        <w:right w:val="none" w:sz="0" w:space="0" w:color="auto"/>
      </w:divBdr>
    </w:div>
    <w:div w:id="340475907">
      <w:bodyDiv w:val="1"/>
      <w:marLeft w:val="0"/>
      <w:marRight w:val="0"/>
      <w:marTop w:val="0"/>
      <w:marBottom w:val="0"/>
      <w:divBdr>
        <w:top w:val="none" w:sz="0" w:space="0" w:color="auto"/>
        <w:left w:val="none" w:sz="0" w:space="0" w:color="auto"/>
        <w:bottom w:val="none" w:sz="0" w:space="0" w:color="auto"/>
        <w:right w:val="none" w:sz="0" w:space="0" w:color="auto"/>
      </w:divBdr>
    </w:div>
    <w:div w:id="396440992">
      <w:bodyDiv w:val="1"/>
      <w:marLeft w:val="0"/>
      <w:marRight w:val="0"/>
      <w:marTop w:val="0"/>
      <w:marBottom w:val="0"/>
      <w:divBdr>
        <w:top w:val="none" w:sz="0" w:space="0" w:color="auto"/>
        <w:left w:val="none" w:sz="0" w:space="0" w:color="auto"/>
        <w:bottom w:val="none" w:sz="0" w:space="0" w:color="auto"/>
        <w:right w:val="none" w:sz="0" w:space="0" w:color="auto"/>
      </w:divBdr>
    </w:div>
    <w:div w:id="401146973">
      <w:bodyDiv w:val="1"/>
      <w:marLeft w:val="0"/>
      <w:marRight w:val="0"/>
      <w:marTop w:val="0"/>
      <w:marBottom w:val="0"/>
      <w:divBdr>
        <w:top w:val="none" w:sz="0" w:space="0" w:color="auto"/>
        <w:left w:val="none" w:sz="0" w:space="0" w:color="auto"/>
        <w:bottom w:val="none" w:sz="0" w:space="0" w:color="auto"/>
        <w:right w:val="none" w:sz="0" w:space="0" w:color="auto"/>
      </w:divBdr>
    </w:div>
    <w:div w:id="44265386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254769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2471897">
      <w:bodyDiv w:val="1"/>
      <w:marLeft w:val="0"/>
      <w:marRight w:val="0"/>
      <w:marTop w:val="0"/>
      <w:marBottom w:val="0"/>
      <w:divBdr>
        <w:top w:val="none" w:sz="0" w:space="0" w:color="auto"/>
        <w:left w:val="none" w:sz="0" w:space="0" w:color="auto"/>
        <w:bottom w:val="none" w:sz="0" w:space="0" w:color="auto"/>
        <w:right w:val="none" w:sz="0" w:space="0" w:color="auto"/>
      </w:divBdr>
      <w:divsChild>
        <w:div w:id="1184441644">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952475">
      <w:bodyDiv w:val="1"/>
      <w:marLeft w:val="0"/>
      <w:marRight w:val="0"/>
      <w:marTop w:val="0"/>
      <w:marBottom w:val="0"/>
      <w:divBdr>
        <w:top w:val="none" w:sz="0" w:space="0" w:color="auto"/>
        <w:left w:val="none" w:sz="0" w:space="0" w:color="auto"/>
        <w:bottom w:val="none" w:sz="0" w:space="0" w:color="auto"/>
        <w:right w:val="none" w:sz="0" w:space="0" w:color="auto"/>
      </w:divBdr>
    </w:div>
    <w:div w:id="533616167">
      <w:bodyDiv w:val="1"/>
      <w:marLeft w:val="0"/>
      <w:marRight w:val="0"/>
      <w:marTop w:val="0"/>
      <w:marBottom w:val="0"/>
      <w:divBdr>
        <w:top w:val="none" w:sz="0" w:space="0" w:color="auto"/>
        <w:left w:val="none" w:sz="0" w:space="0" w:color="auto"/>
        <w:bottom w:val="none" w:sz="0" w:space="0" w:color="auto"/>
        <w:right w:val="none" w:sz="0" w:space="0" w:color="auto"/>
      </w:divBdr>
    </w:div>
    <w:div w:id="541139363">
      <w:bodyDiv w:val="1"/>
      <w:marLeft w:val="0"/>
      <w:marRight w:val="0"/>
      <w:marTop w:val="0"/>
      <w:marBottom w:val="0"/>
      <w:divBdr>
        <w:top w:val="none" w:sz="0" w:space="0" w:color="auto"/>
        <w:left w:val="none" w:sz="0" w:space="0" w:color="auto"/>
        <w:bottom w:val="none" w:sz="0" w:space="0" w:color="auto"/>
        <w:right w:val="none" w:sz="0" w:space="0" w:color="auto"/>
      </w:divBdr>
    </w:div>
    <w:div w:id="565577090">
      <w:bodyDiv w:val="1"/>
      <w:marLeft w:val="0"/>
      <w:marRight w:val="0"/>
      <w:marTop w:val="0"/>
      <w:marBottom w:val="0"/>
      <w:divBdr>
        <w:top w:val="none" w:sz="0" w:space="0" w:color="auto"/>
        <w:left w:val="none" w:sz="0" w:space="0" w:color="auto"/>
        <w:bottom w:val="none" w:sz="0" w:space="0" w:color="auto"/>
        <w:right w:val="none" w:sz="0" w:space="0" w:color="auto"/>
      </w:divBdr>
    </w:div>
    <w:div w:id="583492694">
      <w:bodyDiv w:val="1"/>
      <w:marLeft w:val="0"/>
      <w:marRight w:val="0"/>
      <w:marTop w:val="0"/>
      <w:marBottom w:val="0"/>
      <w:divBdr>
        <w:top w:val="none" w:sz="0" w:space="0" w:color="auto"/>
        <w:left w:val="none" w:sz="0" w:space="0" w:color="auto"/>
        <w:bottom w:val="none" w:sz="0" w:space="0" w:color="auto"/>
        <w:right w:val="none" w:sz="0" w:space="0" w:color="auto"/>
      </w:divBdr>
    </w:div>
    <w:div w:id="601762318">
      <w:bodyDiv w:val="1"/>
      <w:marLeft w:val="0"/>
      <w:marRight w:val="0"/>
      <w:marTop w:val="0"/>
      <w:marBottom w:val="0"/>
      <w:divBdr>
        <w:top w:val="none" w:sz="0" w:space="0" w:color="auto"/>
        <w:left w:val="none" w:sz="0" w:space="0" w:color="auto"/>
        <w:bottom w:val="none" w:sz="0" w:space="0" w:color="auto"/>
        <w:right w:val="none" w:sz="0" w:space="0" w:color="auto"/>
      </w:divBdr>
    </w:div>
    <w:div w:id="60989955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1888823">
      <w:bodyDiv w:val="1"/>
      <w:marLeft w:val="0"/>
      <w:marRight w:val="0"/>
      <w:marTop w:val="0"/>
      <w:marBottom w:val="0"/>
      <w:divBdr>
        <w:top w:val="none" w:sz="0" w:space="0" w:color="auto"/>
        <w:left w:val="none" w:sz="0" w:space="0" w:color="auto"/>
        <w:bottom w:val="none" w:sz="0" w:space="0" w:color="auto"/>
        <w:right w:val="none" w:sz="0" w:space="0" w:color="auto"/>
      </w:divBdr>
    </w:div>
    <w:div w:id="647131881">
      <w:bodyDiv w:val="1"/>
      <w:marLeft w:val="0"/>
      <w:marRight w:val="0"/>
      <w:marTop w:val="0"/>
      <w:marBottom w:val="0"/>
      <w:divBdr>
        <w:top w:val="none" w:sz="0" w:space="0" w:color="auto"/>
        <w:left w:val="none" w:sz="0" w:space="0" w:color="auto"/>
        <w:bottom w:val="none" w:sz="0" w:space="0" w:color="auto"/>
        <w:right w:val="none" w:sz="0" w:space="0" w:color="auto"/>
      </w:divBdr>
    </w:div>
    <w:div w:id="691030209">
      <w:bodyDiv w:val="1"/>
      <w:marLeft w:val="0"/>
      <w:marRight w:val="0"/>
      <w:marTop w:val="0"/>
      <w:marBottom w:val="0"/>
      <w:divBdr>
        <w:top w:val="none" w:sz="0" w:space="0" w:color="auto"/>
        <w:left w:val="none" w:sz="0" w:space="0" w:color="auto"/>
        <w:bottom w:val="none" w:sz="0" w:space="0" w:color="auto"/>
        <w:right w:val="none" w:sz="0" w:space="0" w:color="auto"/>
      </w:divBdr>
    </w:div>
    <w:div w:id="766734647">
      <w:bodyDiv w:val="1"/>
      <w:marLeft w:val="0"/>
      <w:marRight w:val="0"/>
      <w:marTop w:val="0"/>
      <w:marBottom w:val="0"/>
      <w:divBdr>
        <w:top w:val="none" w:sz="0" w:space="0" w:color="auto"/>
        <w:left w:val="none" w:sz="0" w:space="0" w:color="auto"/>
        <w:bottom w:val="none" w:sz="0" w:space="0" w:color="auto"/>
        <w:right w:val="none" w:sz="0" w:space="0" w:color="auto"/>
      </w:divBdr>
    </w:div>
    <w:div w:id="795874148">
      <w:bodyDiv w:val="1"/>
      <w:marLeft w:val="0"/>
      <w:marRight w:val="0"/>
      <w:marTop w:val="0"/>
      <w:marBottom w:val="0"/>
      <w:divBdr>
        <w:top w:val="none" w:sz="0" w:space="0" w:color="auto"/>
        <w:left w:val="none" w:sz="0" w:space="0" w:color="auto"/>
        <w:bottom w:val="none" w:sz="0" w:space="0" w:color="auto"/>
        <w:right w:val="none" w:sz="0" w:space="0" w:color="auto"/>
      </w:divBdr>
      <w:divsChild>
        <w:div w:id="30886190">
          <w:marLeft w:val="0"/>
          <w:marRight w:val="0"/>
          <w:marTop w:val="125"/>
          <w:marBottom w:val="0"/>
          <w:divBdr>
            <w:top w:val="none" w:sz="0" w:space="0" w:color="auto"/>
            <w:left w:val="none" w:sz="0" w:space="0" w:color="auto"/>
            <w:bottom w:val="none" w:sz="0" w:space="0" w:color="auto"/>
            <w:right w:val="none" w:sz="0" w:space="0" w:color="auto"/>
          </w:divBdr>
        </w:div>
        <w:div w:id="262805562">
          <w:marLeft w:val="0"/>
          <w:marRight w:val="0"/>
          <w:marTop w:val="125"/>
          <w:marBottom w:val="0"/>
          <w:divBdr>
            <w:top w:val="none" w:sz="0" w:space="0" w:color="auto"/>
            <w:left w:val="none" w:sz="0" w:space="0" w:color="auto"/>
            <w:bottom w:val="none" w:sz="0" w:space="0" w:color="auto"/>
            <w:right w:val="none" w:sz="0" w:space="0" w:color="auto"/>
          </w:divBdr>
        </w:div>
        <w:div w:id="334454942">
          <w:marLeft w:val="0"/>
          <w:marRight w:val="0"/>
          <w:marTop w:val="125"/>
          <w:marBottom w:val="0"/>
          <w:divBdr>
            <w:top w:val="none" w:sz="0" w:space="0" w:color="auto"/>
            <w:left w:val="none" w:sz="0" w:space="0" w:color="auto"/>
            <w:bottom w:val="none" w:sz="0" w:space="0" w:color="auto"/>
            <w:right w:val="none" w:sz="0" w:space="0" w:color="auto"/>
          </w:divBdr>
        </w:div>
        <w:div w:id="964896852">
          <w:marLeft w:val="0"/>
          <w:marRight w:val="0"/>
          <w:marTop w:val="125"/>
          <w:marBottom w:val="0"/>
          <w:divBdr>
            <w:top w:val="none" w:sz="0" w:space="0" w:color="auto"/>
            <w:left w:val="none" w:sz="0" w:space="0" w:color="auto"/>
            <w:bottom w:val="none" w:sz="0" w:space="0" w:color="auto"/>
            <w:right w:val="none" w:sz="0" w:space="0" w:color="auto"/>
          </w:divBdr>
        </w:div>
        <w:div w:id="2055420006">
          <w:marLeft w:val="0"/>
          <w:marRight w:val="0"/>
          <w:marTop w:val="125"/>
          <w:marBottom w:val="0"/>
          <w:divBdr>
            <w:top w:val="none" w:sz="0" w:space="0" w:color="auto"/>
            <w:left w:val="none" w:sz="0" w:space="0" w:color="auto"/>
            <w:bottom w:val="none" w:sz="0" w:space="0" w:color="auto"/>
            <w:right w:val="none" w:sz="0" w:space="0" w:color="auto"/>
          </w:divBdr>
        </w:div>
      </w:divsChild>
    </w:div>
    <w:div w:id="822695411">
      <w:bodyDiv w:val="1"/>
      <w:marLeft w:val="0"/>
      <w:marRight w:val="0"/>
      <w:marTop w:val="0"/>
      <w:marBottom w:val="0"/>
      <w:divBdr>
        <w:top w:val="none" w:sz="0" w:space="0" w:color="auto"/>
        <w:left w:val="none" w:sz="0" w:space="0" w:color="auto"/>
        <w:bottom w:val="none" w:sz="0" w:space="0" w:color="auto"/>
        <w:right w:val="none" w:sz="0" w:space="0" w:color="auto"/>
      </w:divBdr>
    </w:div>
    <w:div w:id="833688144">
      <w:bodyDiv w:val="1"/>
      <w:marLeft w:val="0"/>
      <w:marRight w:val="0"/>
      <w:marTop w:val="0"/>
      <w:marBottom w:val="0"/>
      <w:divBdr>
        <w:top w:val="none" w:sz="0" w:space="0" w:color="auto"/>
        <w:left w:val="none" w:sz="0" w:space="0" w:color="auto"/>
        <w:bottom w:val="none" w:sz="0" w:space="0" w:color="auto"/>
        <w:right w:val="none" w:sz="0" w:space="0" w:color="auto"/>
      </w:divBdr>
    </w:div>
    <w:div w:id="847404865">
      <w:bodyDiv w:val="1"/>
      <w:marLeft w:val="0"/>
      <w:marRight w:val="0"/>
      <w:marTop w:val="0"/>
      <w:marBottom w:val="0"/>
      <w:divBdr>
        <w:top w:val="none" w:sz="0" w:space="0" w:color="auto"/>
        <w:left w:val="none" w:sz="0" w:space="0" w:color="auto"/>
        <w:bottom w:val="none" w:sz="0" w:space="0" w:color="auto"/>
        <w:right w:val="none" w:sz="0" w:space="0" w:color="auto"/>
      </w:divBdr>
    </w:div>
    <w:div w:id="856849386">
      <w:bodyDiv w:val="1"/>
      <w:marLeft w:val="0"/>
      <w:marRight w:val="0"/>
      <w:marTop w:val="0"/>
      <w:marBottom w:val="0"/>
      <w:divBdr>
        <w:top w:val="none" w:sz="0" w:space="0" w:color="auto"/>
        <w:left w:val="none" w:sz="0" w:space="0" w:color="auto"/>
        <w:bottom w:val="none" w:sz="0" w:space="0" w:color="auto"/>
        <w:right w:val="none" w:sz="0" w:space="0" w:color="auto"/>
      </w:divBdr>
    </w:div>
    <w:div w:id="873159077">
      <w:bodyDiv w:val="1"/>
      <w:marLeft w:val="0"/>
      <w:marRight w:val="0"/>
      <w:marTop w:val="0"/>
      <w:marBottom w:val="0"/>
      <w:divBdr>
        <w:top w:val="none" w:sz="0" w:space="0" w:color="auto"/>
        <w:left w:val="none" w:sz="0" w:space="0" w:color="auto"/>
        <w:bottom w:val="none" w:sz="0" w:space="0" w:color="auto"/>
        <w:right w:val="none" w:sz="0" w:space="0" w:color="auto"/>
      </w:divBdr>
    </w:div>
    <w:div w:id="921378743">
      <w:bodyDiv w:val="1"/>
      <w:marLeft w:val="0"/>
      <w:marRight w:val="0"/>
      <w:marTop w:val="0"/>
      <w:marBottom w:val="0"/>
      <w:divBdr>
        <w:top w:val="none" w:sz="0" w:space="0" w:color="auto"/>
        <w:left w:val="none" w:sz="0" w:space="0" w:color="auto"/>
        <w:bottom w:val="none" w:sz="0" w:space="0" w:color="auto"/>
        <w:right w:val="none" w:sz="0" w:space="0" w:color="auto"/>
      </w:divBdr>
    </w:div>
    <w:div w:id="934635271">
      <w:bodyDiv w:val="1"/>
      <w:marLeft w:val="0"/>
      <w:marRight w:val="0"/>
      <w:marTop w:val="0"/>
      <w:marBottom w:val="0"/>
      <w:divBdr>
        <w:top w:val="none" w:sz="0" w:space="0" w:color="auto"/>
        <w:left w:val="none" w:sz="0" w:space="0" w:color="auto"/>
        <w:bottom w:val="none" w:sz="0" w:space="0" w:color="auto"/>
        <w:right w:val="none" w:sz="0" w:space="0" w:color="auto"/>
      </w:divBdr>
    </w:div>
    <w:div w:id="995230388">
      <w:bodyDiv w:val="1"/>
      <w:marLeft w:val="0"/>
      <w:marRight w:val="0"/>
      <w:marTop w:val="0"/>
      <w:marBottom w:val="0"/>
      <w:divBdr>
        <w:top w:val="none" w:sz="0" w:space="0" w:color="auto"/>
        <w:left w:val="none" w:sz="0" w:space="0" w:color="auto"/>
        <w:bottom w:val="none" w:sz="0" w:space="0" w:color="auto"/>
        <w:right w:val="none" w:sz="0" w:space="0" w:color="auto"/>
      </w:divBdr>
    </w:div>
    <w:div w:id="1015499847">
      <w:bodyDiv w:val="1"/>
      <w:marLeft w:val="0"/>
      <w:marRight w:val="0"/>
      <w:marTop w:val="0"/>
      <w:marBottom w:val="0"/>
      <w:divBdr>
        <w:top w:val="none" w:sz="0" w:space="0" w:color="auto"/>
        <w:left w:val="none" w:sz="0" w:space="0" w:color="auto"/>
        <w:bottom w:val="none" w:sz="0" w:space="0" w:color="auto"/>
        <w:right w:val="none" w:sz="0" w:space="0" w:color="auto"/>
      </w:divBdr>
    </w:div>
    <w:div w:id="1022510095">
      <w:bodyDiv w:val="1"/>
      <w:marLeft w:val="0"/>
      <w:marRight w:val="0"/>
      <w:marTop w:val="0"/>
      <w:marBottom w:val="0"/>
      <w:divBdr>
        <w:top w:val="none" w:sz="0" w:space="0" w:color="auto"/>
        <w:left w:val="none" w:sz="0" w:space="0" w:color="auto"/>
        <w:bottom w:val="none" w:sz="0" w:space="0" w:color="auto"/>
        <w:right w:val="none" w:sz="0" w:space="0" w:color="auto"/>
      </w:divBdr>
    </w:div>
    <w:div w:id="1036396239">
      <w:bodyDiv w:val="1"/>
      <w:marLeft w:val="0"/>
      <w:marRight w:val="0"/>
      <w:marTop w:val="0"/>
      <w:marBottom w:val="0"/>
      <w:divBdr>
        <w:top w:val="none" w:sz="0" w:space="0" w:color="auto"/>
        <w:left w:val="none" w:sz="0" w:space="0" w:color="auto"/>
        <w:bottom w:val="none" w:sz="0" w:space="0" w:color="auto"/>
        <w:right w:val="none" w:sz="0" w:space="0" w:color="auto"/>
      </w:divBdr>
    </w:div>
    <w:div w:id="1057510761">
      <w:bodyDiv w:val="1"/>
      <w:marLeft w:val="0"/>
      <w:marRight w:val="0"/>
      <w:marTop w:val="0"/>
      <w:marBottom w:val="0"/>
      <w:divBdr>
        <w:top w:val="none" w:sz="0" w:space="0" w:color="auto"/>
        <w:left w:val="none" w:sz="0" w:space="0" w:color="auto"/>
        <w:bottom w:val="none" w:sz="0" w:space="0" w:color="auto"/>
        <w:right w:val="none" w:sz="0" w:space="0" w:color="auto"/>
      </w:divBdr>
    </w:div>
    <w:div w:id="106760583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7442343">
      <w:bodyDiv w:val="1"/>
      <w:marLeft w:val="0"/>
      <w:marRight w:val="0"/>
      <w:marTop w:val="0"/>
      <w:marBottom w:val="0"/>
      <w:divBdr>
        <w:top w:val="none" w:sz="0" w:space="0" w:color="auto"/>
        <w:left w:val="none" w:sz="0" w:space="0" w:color="auto"/>
        <w:bottom w:val="none" w:sz="0" w:space="0" w:color="auto"/>
        <w:right w:val="none" w:sz="0" w:space="0" w:color="auto"/>
      </w:divBdr>
    </w:div>
    <w:div w:id="1085345077">
      <w:bodyDiv w:val="1"/>
      <w:marLeft w:val="0"/>
      <w:marRight w:val="0"/>
      <w:marTop w:val="0"/>
      <w:marBottom w:val="0"/>
      <w:divBdr>
        <w:top w:val="none" w:sz="0" w:space="0" w:color="auto"/>
        <w:left w:val="none" w:sz="0" w:space="0" w:color="auto"/>
        <w:bottom w:val="none" w:sz="0" w:space="0" w:color="auto"/>
        <w:right w:val="none" w:sz="0" w:space="0" w:color="auto"/>
      </w:divBdr>
    </w:div>
    <w:div w:id="1120605765">
      <w:bodyDiv w:val="1"/>
      <w:marLeft w:val="0"/>
      <w:marRight w:val="0"/>
      <w:marTop w:val="0"/>
      <w:marBottom w:val="0"/>
      <w:divBdr>
        <w:top w:val="none" w:sz="0" w:space="0" w:color="auto"/>
        <w:left w:val="none" w:sz="0" w:space="0" w:color="auto"/>
        <w:bottom w:val="none" w:sz="0" w:space="0" w:color="auto"/>
        <w:right w:val="none" w:sz="0" w:space="0" w:color="auto"/>
      </w:divBdr>
    </w:div>
    <w:div w:id="1150638087">
      <w:bodyDiv w:val="1"/>
      <w:marLeft w:val="0"/>
      <w:marRight w:val="0"/>
      <w:marTop w:val="0"/>
      <w:marBottom w:val="0"/>
      <w:divBdr>
        <w:top w:val="none" w:sz="0" w:space="0" w:color="auto"/>
        <w:left w:val="none" w:sz="0" w:space="0" w:color="auto"/>
        <w:bottom w:val="none" w:sz="0" w:space="0" w:color="auto"/>
        <w:right w:val="none" w:sz="0" w:space="0" w:color="auto"/>
      </w:divBdr>
    </w:div>
    <w:div w:id="1155608773">
      <w:bodyDiv w:val="1"/>
      <w:marLeft w:val="0"/>
      <w:marRight w:val="0"/>
      <w:marTop w:val="0"/>
      <w:marBottom w:val="0"/>
      <w:divBdr>
        <w:top w:val="none" w:sz="0" w:space="0" w:color="auto"/>
        <w:left w:val="none" w:sz="0" w:space="0" w:color="auto"/>
        <w:bottom w:val="none" w:sz="0" w:space="0" w:color="auto"/>
        <w:right w:val="none" w:sz="0" w:space="0" w:color="auto"/>
      </w:divBdr>
    </w:div>
    <w:div w:id="1174959669">
      <w:bodyDiv w:val="1"/>
      <w:marLeft w:val="0"/>
      <w:marRight w:val="0"/>
      <w:marTop w:val="0"/>
      <w:marBottom w:val="0"/>
      <w:divBdr>
        <w:top w:val="none" w:sz="0" w:space="0" w:color="auto"/>
        <w:left w:val="none" w:sz="0" w:space="0" w:color="auto"/>
        <w:bottom w:val="none" w:sz="0" w:space="0" w:color="auto"/>
        <w:right w:val="none" w:sz="0" w:space="0" w:color="auto"/>
      </w:divBdr>
    </w:div>
    <w:div w:id="1214385996">
      <w:bodyDiv w:val="1"/>
      <w:marLeft w:val="0"/>
      <w:marRight w:val="0"/>
      <w:marTop w:val="0"/>
      <w:marBottom w:val="0"/>
      <w:divBdr>
        <w:top w:val="none" w:sz="0" w:space="0" w:color="auto"/>
        <w:left w:val="none" w:sz="0" w:space="0" w:color="auto"/>
        <w:bottom w:val="none" w:sz="0" w:space="0" w:color="auto"/>
        <w:right w:val="none" w:sz="0" w:space="0" w:color="auto"/>
      </w:divBdr>
    </w:div>
    <w:div w:id="1218397226">
      <w:bodyDiv w:val="1"/>
      <w:marLeft w:val="0"/>
      <w:marRight w:val="0"/>
      <w:marTop w:val="0"/>
      <w:marBottom w:val="0"/>
      <w:divBdr>
        <w:top w:val="none" w:sz="0" w:space="0" w:color="auto"/>
        <w:left w:val="none" w:sz="0" w:space="0" w:color="auto"/>
        <w:bottom w:val="none" w:sz="0" w:space="0" w:color="auto"/>
        <w:right w:val="none" w:sz="0" w:space="0" w:color="auto"/>
      </w:divBdr>
    </w:div>
    <w:div w:id="12499280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3948600">
      <w:bodyDiv w:val="1"/>
      <w:marLeft w:val="0"/>
      <w:marRight w:val="0"/>
      <w:marTop w:val="0"/>
      <w:marBottom w:val="0"/>
      <w:divBdr>
        <w:top w:val="none" w:sz="0" w:space="0" w:color="auto"/>
        <w:left w:val="none" w:sz="0" w:space="0" w:color="auto"/>
        <w:bottom w:val="none" w:sz="0" w:space="0" w:color="auto"/>
        <w:right w:val="none" w:sz="0" w:space="0" w:color="auto"/>
      </w:divBdr>
    </w:div>
    <w:div w:id="1395620285">
      <w:bodyDiv w:val="1"/>
      <w:marLeft w:val="0"/>
      <w:marRight w:val="0"/>
      <w:marTop w:val="0"/>
      <w:marBottom w:val="0"/>
      <w:divBdr>
        <w:top w:val="none" w:sz="0" w:space="0" w:color="auto"/>
        <w:left w:val="none" w:sz="0" w:space="0" w:color="auto"/>
        <w:bottom w:val="none" w:sz="0" w:space="0" w:color="auto"/>
        <w:right w:val="none" w:sz="0" w:space="0" w:color="auto"/>
      </w:divBdr>
    </w:div>
    <w:div w:id="1508248168">
      <w:bodyDiv w:val="1"/>
      <w:marLeft w:val="0"/>
      <w:marRight w:val="0"/>
      <w:marTop w:val="0"/>
      <w:marBottom w:val="0"/>
      <w:divBdr>
        <w:top w:val="none" w:sz="0" w:space="0" w:color="auto"/>
        <w:left w:val="none" w:sz="0" w:space="0" w:color="auto"/>
        <w:bottom w:val="none" w:sz="0" w:space="0" w:color="auto"/>
        <w:right w:val="none" w:sz="0" w:space="0" w:color="auto"/>
      </w:divBdr>
    </w:div>
    <w:div w:id="156062678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637217">
      <w:bodyDiv w:val="1"/>
      <w:marLeft w:val="0"/>
      <w:marRight w:val="0"/>
      <w:marTop w:val="0"/>
      <w:marBottom w:val="0"/>
      <w:divBdr>
        <w:top w:val="none" w:sz="0" w:space="0" w:color="auto"/>
        <w:left w:val="none" w:sz="0" w:space="0" w:color="auto"/>
        <w:bottom w:val="none" w:sz="0" w:space="0" w:color="auto"/>
        <w:right w:val="none" w:sz="0" w:space="0" w:color="auto"/>
      </w:divBdr>
    </w:div>
    <w:div w:id="1746872216">
      <w:bodyDiv w:val="1"/>
      <w:marLeft w:val="0"/>
      <w:marRight w:val="0"/>
      <w:marTop w:val="0"/>
      <w:marBottom w:val="0"/>
      <w:divBdr>
        <w:top w:val="none" w:sz="0" w:space="0" w:color="auto"/>
        <w:left w:val="none" w:sz="0" w:space="0" w:color="auto"/>
        <w:bottom w:val="none" w:sz="0" w:space="0" w:color="auto"/>
        <w:right w:val="none" w:sz="0" w:space="0" w:color="auto"/>
      </w:divBdr>
    </w:div>
    <w:div w:id="1778212149">
      <w:bodyDiv w:val="1"/>
      <w:marLeft w:val="0"/>
      <w:marRight w:val="0"/>
      <w:marTop w:val="0"/>
      <w:marBottom w:val="0"/>
      <w:divBdr>
        <w:top w:val="none" w:sz="0" w:space="0" w:color="auto"/>
        <w:left w:val="none" w:sz="0" w:space="0" w:color="auto"/>
        <w:bottom w:val="none" w:sz="0" w:space="0" w:color="auto"/>
        <w:right w:val="none" w:sz="0" w:space="0" w:color="auto"/>
      </w:divBdr>
    </w:div>
    <w:div w:id="1829594602">
      <w:bodyDiv w:val="1"/>
      <w:marLeft w:val="0"/>
      <w:marRight w:val="0"/>
      <w:marTop w:val="0"/>
      <w:marBottom w:val="0"/>
      <w:divBdr>
        <w:top w:val="none" w:sz="0" w:space="0" w:color="auto"/>
        <w:left w:val="none" w:sz="0" w:space="0" w:color="auto"/>
        <w:bottom w:val="none" w:sz="0" w:space="0" w:color="auto"/>
        <w:right w:val="none" w:sz="0" w:space="0" w:color="auto"/>
      </w:divBdr>
    </w:div>
    <w:div w:id="1851946670">
      <w:bodyDiv w:val="1"/>
      <w:marLeft w:val="0"/>
      <w:marRight w:val="0"/>
      <w:marTop w:val="0"/>
      <w:marBottom w:val="0"/>
      <w:divBdr>
        <w:top w:val="none" w:sz="0" w:space="0" w:color="auto"/>
        <w:left w:val="none" w:sz="0" w:space="0" w:color="auto"/>
        <w:bottom w:val="none" w:sz="0" w:space="0" w:color="auto"/>
        <w:right w:val="none" w:sz="0" w:space="0" w:color="auto"/>
      </w:divBdr>
    </w:div>
    <w:div w:id="1883206472">
      <w:bodyDiv w:val="1"/>
      <w:marLeft w:val="0"/>
      <w:marRight w:val="0"/>
      <w:marTop w:val="0"/>
      <w:marBottom w:val="0"/>
      <w:divBdr>
        <w:top w:val="none" w:sz="0" w:space="0" w:color="auto"/>
        <w:left w:val="none" w:sz="0" w:space="0" w:color="auto"/>
        <w:bottom w:val="none" w:sz="0" w:space="0" w:color="auto"/>
        <w:right w:val="none" w:sz="0" w:space="0" w:color="auto"/>
      </w:divBdr>
    </w:div>
    <w:div w:id="1912302587">
      <w:bodyDiv w:val="1"/>
      <w:marLeft w:val="0"/>
      <w:marRight w:val="0"/>
      <w:marTop w:val="0"/>
      <w:marBottom w:val="0"/>
      <w:divBdr>
        <w:top w:val="none" w:sz="0" w:space="0" w:color="auto"/>
        <w:left w:val="none" w:sz="0" w:space="0" w:color="auto"/>
        <w:bottom w:val="none" w:sz="0" w:space="0" w:color="auto"/>
        <w:right w:val="none" w:sz="0" w:space="0" w:color="auto"/>
      </w:divBdr>
    </w:div>
    <w:div w:id="1938440516">
      <w:bodyDiv w:val="1"/>
      <w:marLeft w:val="0"/>
      <w:marRight w:val="0"/>
      <w:marTop w:val="0"/>
      <w:marBottom w:val="0"/>
      <w:divBdr>
        <w:top w:val="none" w:sz="0" w:space="0" w:color="auto"/>
        <w:left w:val="none" w:sz="0" w:space="0" w:color="auto"/>
        <w:bottom w:val="none" w:sz="0" w:space="0" w:color="auto"/>
        <w:right w:val="none" w:sz="0" w:space="0" w:color="auto"/>
      </w:divBdr>
    </w:div>
    <w:div w:id="1939634059">
      <w:bodyDiv w:val="1"/>
      <w:marLeft w:val="0"/>
      <w:marRight w:val="0"/>
      <w:marTop w:val="0"/>
      <w:marBottom w:val="0"/>
      <w:divBdr>
        <w:top w:val="none" w:sz="0" w:space="0" w:color="auto"/>
        <w:left w:val="none" w:sz="0" w:space="0" w:color="auto"/>
        <w:bottom w:val="none" w:sz="0" w:space="0" w:color="auto"/>
        <w:right w:val="none" w:sz="0" w:space="0" w:color="auto"/>
      </w:divBdr>
    </w:div>
    <w:div w:id="1978533107">
      <w:bodyDiv w:val="1"/>
      <w:marLeft w:val="0"/>
      <w:marRight w:val="0"/>
      <w:marTop w:val="0"/>
      <w:marBottom w:val="0"/>
      <w:divBdr>
        <w:top w:val="none" w:sz="0" w:space="0" w:color="auto"/>
        <w:left w:val="none" w:sz="0" w:space="0" w:color="auto"/>
        <w:bottom w:val="none" w:sz="0" w:space="0" w:color="auto"/>
        <w:right w:val="none" w:sz="0" w:space="0" w:color="auto"/>
      </w:divBdr>
    </w:div>
    <w:div w:id="1985815460">
      <w:bodyDiv w:val="1"/>
      <w:marLeft w:val="0"/>
      <w:marRight w:val="0"/>
      <w:marTop w:val="0"/>
      <w:marBottom w:val="0"/>
      <w:divBdr>
        <w:top w:val="none" w:sz="0" w:space="0" w:color="auto"/>
        <w:left w:val="none" w:sz="0" w:space="0" w:color="auto"/>
        <w:bottom w:val="none" w:sz="0" w:space="0" w:color="auto"/>
        <w:right w:val="none" w:sz="0" w:space="0" w:color="auto"/>
      </w:divBdr>
    </w:div>
    <w:div w:id="1989623856">
      <w:bodyDiv w:val="1"/>
      <w:marLeft w:val="0"/>
      <w:marRight w:val="0"/>
      <w:marTop w:val="0"/>
      <w:marBottom w:val="0"/>
      <w:divBdr>
        <w:top w:val="none" w:sz="0" w:space="0" w:color="auto"/>
        <w:left w:val="none" w:sz="0" w:space="0" w:color="auto"/>
        <w:bottom w:val="none" w:sz="0" w:space="0" w:color="auto"/>
        <w:right w:val="none" w:sz="0" w:space="0" w:color="auto"/>
      </w:divBdr>
    </w:div>
    <w:div w:id="2054649505">
      <w:bodyDiv w:val="1"/>
      <w:marLeft w:val="0"/>
      <w:marRight w:val="0"/>
      <w:marTop w:val="0"/>
      <w:marBottom w:val="0"/>
      <w:divBdr>
        <w:top w:val="none" w:sz="0" w:space="0" w:color="auto"/>
        <w:left w:val="none" w:sz="0" w:space="0" w:color="auto"/>
        <w:bottom w:val="none" w:sz="0" w:space="0" w:color="auto"/>
        <w:right w:val="none" w:sz="0" w:space="0" w:color="auto"/>
      </w:divBdr>
    </w:div>
    <w:div w:id="2066097853">
      <w:bodyDiv w:val="1"/>
      <w:marLeft w:val="0"/>
      <w:marRight w:val="0"/>
      <w:marTop w:val="0"/>
      <w:marBottom w:val="0"/>
      <w:divBdr>
        <w:top w:val="none" w:sz="0" w:space="0" w:color="auto"/>
        <w:left w:val="none" w:sz="0" w:space="0" w:color="auto"/>
        <w:bottom w:val="none" w:sz="0" w:space="0" w:color="auto"/>
        <w:right w:val="none" w:sz="0" w:space="0" w:color="auto"/>
      </w:divBdr>
    </w:div>
    <w:div w:id="2089225681">
      <w:bodyDiv w:val="1"/>
      <w:marLeft w:val="0"/>
      <w:marRight w:val="0"/>
      <w:marTop w:val="0"/>
      <w:marBottom w:val="0"/>
      <w:divBdr>
        <w:top w:val="none" w:sz="0" w:space="0" w:color="auto"/>
        <w:left w:val="none" w:sz="0" w:space="0" w:color="auto"/>
        <w:bottom w:val="none" w:sz="0" w:space="0" w:color="auto"/>
        <w:right w:val="none" w:sz="0" w:space="0" w:color="auto"/>
      </w:divBdr>
      <w:divsChild>
        <w:div w:id="400715730">
          <w:marLeft w:val="0"/>
          <w:marRight w:val="0"/>
          <w:marTop w:val="0"/>
          <w:marBottom w:val="0"/>
          <w:divBdr>
            <w:top w:val="none" w:sz="0" w:space="0" w:color="auto"/>
            <w:left w:val="none" w:sz="0" w:space="0" w:color="auto"/>
            <w:bottom w:val="none" w:sz="0" w:space="0" w:color="auto"/>
            <w:right w:val="none" w:sz="0" w:space="0" w:color="auto"/>
          </w:divBdr>
        </w:div>
      </w:divsChild>
    </w:div>
    <w:div w:id="2125346060">
      <w:bodyDiv w:val="1"/>
      <w:marLeft w:val="0"/>
      <w:marRight w:val="0"/>
      <w:marTop w:val="0"/>
      <w:marBottom w:val="0"/>
      <w:divBdr>
        <w:top w:val="none" w:sz="0" w:space="0" w:color="auto"/>
        <w:left w:val="none" w:sz="0" w:space="0" w:color="auto"/>
        <w:bottom w:val="none" w:sz="0" w:space="0" w:color="auto"/>
        <w:right w:val="none" w:sz="0" w:space="0" w:color="auto"/>
      </w:divBdr>
    </w:div>
    <w:div w:id="2131127743">
      <w:bodyDiv w:val="1"/>
      <w:marLeft w:val="0"/>
      <w:marRight w:val="0"/>
      <w:marTop w:val="0"/>
      <w:marBottom w:val="0"/>
      <w:divBdr>
        <w:top w:val="none" w:sz="0" w:space="0" w:color="auto"/>
        <w:left w:val="none" w:sz="0" w:space="0" w:color="auto"/>
        <w:bottom w:val="none" w:sz="0" w:space="0" w:color="auto"/>
        <w:right w:val="none" w:sz="0" w:space="0" w:color="auto"/>
      </w:divBdr>
    </w:div>
    <w:div w:id="2131852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q=notariz%C4%93ts&amp;oq=notariz%C4%93ts&amp;aqs=chrome.0.69i59.2621j0j15&amp;sourceid=chrome&amp;ie=UTF-8" TargetMode="External"/><Relationship Id="rId18" Type="http://schemas.openxmlformats.org/officeDocument/2006/relationships/hyperlink" Target="https://joinup.ec.europa.eu/collection/blockchain-egov-services/solution/blockchain-based-notary-proof-concept/abou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olsis.mk.gov.lv/documents/6533" TargetMode="External"/><Relationship Id="rId17" Type="http://schemas.openxmlformats.org/officeDocument/2006/relationships/hyperlink" Target="https://eurosai-it.org/news/newsletter/1-2020/membersnews/eu-blockchain-audit" TargetMode="External"/><Relationship Id="rId2" Type="http://schemas.openxmlformats.org/officeDocument/2006/relationships/customXml" Target="../customXml/item2.xml"/><Relationship Id="rId16" Type="http://schemas.openxmlformats.org/officeDocument/2006/relationships/hyperlink" Target="https://www.thefreedictionary.com/notaris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rmini.gov.lv/kolekcijas/97/skirklis/45237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ctionary.cambridge.org/dictionary/english/notariz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rmini.gov.lv/atrast/notariz%C4%93%C5%A1an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sam.gov.lv/lv/sabiedriska-apspriesana-transporta-attistibas-pamatnostadnu-2021-2027gadam-projekts-un-strategiskas-ietekmes-uz-vidi-novertejuma-vides-parskata-projekts" TargetMode="External"/><Relationship Id="rId1" Type="http://schemas.openxmlformats.org/officeDocument/2006/relationships/hyperlink" Target="https://www.pkc.gov.lv/nap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07A3-10C2-4C49-AA89-8518E62AF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2BA71-16F5-4E78-9E99-93F4335AC998}">
  <ds:schemaRefs>
    <ds:schemaRef ds:uri="http://schemas.microsoft.com/sharepoint/v3/contenttype/forms"/>
  </ds:schemaRefs>
</ds:datastoreItem>
</file>

<file path=customXml/itemProps3.xml><?xml version="1.0" encoding="utf-8"?>
<ds:datastoreItem xmlns:ds="http://schemas.openxmlformats.org/officeDocument/2006/customXml" ds:itemID="{7111C0FF-F632-45DB-9BFA-6FF60489A0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462CC-4969-4F18-93E1-46EF3EE9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371</Pages>
  <Words>391735</Words>
  <Characters>223290</Characters>
  <Application>Microsoft Office Word</Application>
  <DocSecurity>0</DocSecurity>
  <Lines>1860</Lines>
  <Paragraphs>1227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Lana Frančeska Dreimane (IZM)</dc:creator>
  <cp:keywords/>
  <dc:description/>
  <cp:lastModifiedBy>Signe Bērziņa</cp:lastModifiedBy>
  <cp:revision>67</cp:revision>
  <cp:lastPrinted>2019-10-28T20:34:00Z</cp:lastPrinted>
  <dcterms:created xsi:type="dcterms:W3CDTF">2021-05-10T17:50:00Z</dcterms:created>
  <dcterms:modified xsi:type="dcterms:W3CDTF">2021-06-08T20:47:00Z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ies>
</file>