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E84B2" w14:textId="77777777" w:rsidR="001416FE" w:rsidRDefault="001416FE" w:rsidP="00EC6E12">
      <w:pPr>
        <w:pStyle w:val="NoSpacing"/>
        <w:jc w:val="center"/>
        <w:rPr>
          <w:rFonts w:ascii="Times New Roman" w:hAnsi="Times New Roman" w:cs="Times New Roman"/>
          <w:b/>
          <w:sz w:val="28"/>
          <w:szCs w:val="24"/>
          <w:lang w:eastAsia="lv-LV"/>
        </w:rPr>
      </w:pPr>
    </w:p>
    <w:p w14:paraId="79354095"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0AFB7C83"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0E44B3AE"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CE452AD"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1060B1AA"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CADE55C"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1B5C5581" w14:textId="77777777" w:rsidR="006F193F" w:rsidRDefault="006F193F" w:rsidP="006F193F">
            <w:pPr>
              <w:ind w:left="107" w:right="109"/>
              <w:jc w:val="both"/>
              <w:rPr>
                <w:rFonts w:eastAsiaTheme="minorHAnsi"/>
              </w:rPr>
            </w:pPr>
            <w:r w:rsidRPr="00714300">
              <w:rPr>
                <w:rFonts w:eastAsiaTheme="minorHAnsi"/>
              </w:rPr>
              <w:t>Projekts šo jomu neskar.</w:t>
            </w:r>
          </w:p>
          <w:p w14:paraId="364501BE" w14:textId="0B677767" w:rsidR="00210B79" w:rsidRPr="00714300" w:rsidRDefault="00210B79" w:rsidP="006F193F">
            <w:pPr>
              <w:ind w:left="107" w:right="109"/>
              <w:jc w:val="both"/>
            </w:pPr>
          </w:p>
        </w:tc>
      </w:tr>
    </w:tbl>
    <w:p w14:paraId="688C7FDA"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4FC3D7C8" w14:textId="77777777" w:rsidTr="0079260F">
        <w:tc>
          <w:tcPr>
            <w:tcW w:w="9356" w:type="dxa"/>
            <w:gridSpan w:val="3"/>
          </w:tcPr>
          <w:p w14:paraId="7111B7C4"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7EC9416D" w14:textId="77777777" w:rsidTr="0079260F">
        <w:tc>
          <w:tcPr>
            <w:tcW w:w="568" w:type="dxa"/>
          </w:tcPr>
          <w:p w14:paraId="2739FDF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6D1565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57EAC889" w14:textId="77777777" w:rsidR="00116F95" w:rsidRDefault="0079260F" w:rsidP="00116F95">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14:paraId="651C03C3" w14:textId="260E717E" w:rsidR="00D70B67" w:rsidRPr="00C16D72" w:rsidRDefault="00A40144" w:rsidP="00D70B67">
            <w:pPr>
              <w:pStyle w:val="NoSpacing"/>
              <w:ind w:firstLine="311"/>
              <w:jc w:val="both"/>
              <w:rPr>
                <w:rFonts w:ascii="Times New Roman" w:hAnsi="Times New Roman" w:cs="Times New Roman"/>
                <w:sz w:val="24"/>
              </w:rPr>
            </w:pPr>
            <w:r w:rsidRPr="008127C3">
              <w:rPr>
                <w:rFonts w:ascii="Times New Roman" w:hAnsi="Times New Roman" w:cs="Times New Roman"/>
                <w:sz w:val="24"/>
              </w:rPr>
              <w:t>C</w:t>
            </w:r>
            <w:r w:rsidR="005A4C76">
              <w:rPr>
                <w:rFonts w:ascii="Times New Roman" w:hAnsi="Times New Roman" w:cs="Times New Roman"/>
                <w:sz w:val="24"/>
              </w:rPr>
              <w:t>OVID</w:t>
            </w:r>
            <w:r w:rsidRPr="008127C3">
              <w:rPr>
                <w:rFonts w:ascii="Times New Roman" w:hAnsi="Times New Roman" w:cs="Times New Roman"/>
                <w:sz w:val="24"/>
              </w:rPr>
              <w:t>-19 infekcijas izplatības seku pārvarēšanas likuma (turpmāk – likums) 24. un 25.pants.</w:t>
            </w:r>
          </w:p>
        </w:tc>
      </w:tr>
      <w:tr w:rsidR="0079260F" w14:paraId="16277A4C" w14:textId="77777777" w:rsidTr="0079260F">
        <w:tc>
          <w:tcPr>
            <w:tcW w:w="568" w:type="dxa"/>
          </w:tcPr>
          <w:p w14:paraId="09E000E4"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8EDBE7"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10972C26" w14:textId="77777777" w:rsidR="0079260F" w:rsidRDefault="0079260F" w:rsidP="00152501">
            <w:pPr>
              <w:jc w:val="center"/>
            </w:pPr>
          </w:p>
          <w:p w14:paraId="128571C5" w14:textId="77777777" w:rsidR="00485E78" w:rsidRPr="00485E78" w:rsidRDefault="00485E78" w:rsidP="00485E78"/>
          <w:p w14:paraId="246A3C61" w14:textId="77777777" w:rsidR="00485E78" w:rsidRPr="00485E78" w:rsidRDefault="00485E78" w:rsidP="00485E78"/>
          <w:p w14:paraId="1A9B165B" w14:textId="77777777" w:rsidR="00485E78" w:rsidRPr="00485E78" w:rsidRDefault="00485E78" w:rsidP="00485E78"/>
          <w:p w14:paraId="4AB54E9D" w14:textId="77777777" w:rsidR="00485E78" w:rsidRPr="00485E78" w:rsidRDefault="00485E78" w:rsidP="00485E78"/>
          <w:p w14:paraId="2895C7A9" w14:textId="77777777" w:rsidR="00485E78" w:rsidRPr="00485E78" w:rsidRDefault="00485E78" w:rsidP="00485E78"/>
          <w:p w14:paraId="15196415" w14:textId="77777777" w:rsidR="00485E78" w:rsidRPr="00485E78" w:rsidRDefault="00485E78" w:rsidP="00485E78"/>
          <w:p w14:paraId="0A212A43" w14:textId="77777777" w:rsidR="00485E78" w:rsidRPr="00485E78" w:rsidRDefault="00485E78" w:rsidP="00485E78"/>
          <w:p w14:paraId="355EFB65" w14:textId="77777777" w:rsidR="00485E78" w:rsidRPr="00485E78" w:rsidRDefault="00485E78" w:rsidP="00485E78"/>
          <w:p w14:paraId="17DF2E3B" w14:textId="77777777" w:rsidR="00485E78" w:rsidRPr="00485E78" w:rsidRDefault="00485E78" w:rsidP="00485E78"/>
          <w:p w14:paraId="67FD4D6C" w14:textId="77777777" w:rsidR="00485E78" w:rsidRPr="00485E78" w:rsidRDefault="00485E78" w:rsidP="00485E78"/>
          <w:p w14:paraId="7B9006B7" w14:textId="77777777" w:rsidR="00485E78" w:rsidRPr="00485E78" w:rsidRDefault="00485E78" w:rsidP="00485E78"/>
          <w:p w14:paraId="5F5E9C8E" w14:textId="77777777" w:rsidR="00485E78" w:rsidRPr="00485E78" w:rsidRDefault="00485E78" w:rsidP="00485E78"/>
          <w:p w14:paraId="4BA8DA03" w14:textId="77777777" w:rsidR="00485E78" w:rsidRPr="00485E78" w:rsidRDefault="00485E78" w:rsidP="00485E78"/>
          <w:p w14:paraId="27C08A8B" w14:textId="77777777" w:rsidR="00485E78" w:rsidRPr="00485E78" w:rsidRDefault="00485E78" w:rsidP="00485E78"/>
          <w:p w14:paraId="208FCE17" w14:textId="77777777" w:rsidR="00485E78" w:rsidRPr="00485E78" w:rsidRDefault="00485E78" w:rsidP="00485E78"/>
          <w:p w14:paraId="47E208CB" w14:textId="77777777" w:rsidR="00485E78" w:rsidRPr="00485E78" w:rsidRDefault="00485E78" w:rsidP="00485E78"/>
          <w:p w14:paraId="457835AD" w14:textId="77777777" w:rsidR="00485E78" w:rsidRPr="00485E78" w:rsidRDefault="00485E78" w:rsidP="00485E78"/>
          <w:p w14:paraId="2FB01733" w14:textId="77777777" w:rsidR="00485E78" w:rsidRPr="00485E78" w:rsidRDefault="00485E78" w:rsidP="00485E78"/>
          <w:p w14:paraId="1176C1D8" w14:textId="77777777" w:rsidR="00485E78" w:rsidRPr="00485E78" w:rsidRDefault="00485E78" w:rsidP="00485E78"/>
          <w:p w14:paraId="13F7256E" w14:textId="77777777" w:rsidR="00485E78" w:rsidRDefault="00485E78" w:rsidP="00485E78"/>
          <w:p w14:paraId="0B63BC04" w14:textId="43EDE2FB" w:rsidR="00485E78" w:rsidRPr="00485E78" w:rsidRDefault="00B373A3" w:rsidP="00B373A3">
            <w:pPr>
              <w:tabs>
                <w:tab w:val="left" w:pos="1215"/>
              </w:tabs>
            </w:pPr>
            <w:r>
              <w:tab/>
            </w:r>
          </w:p>
        </w:tc>
        <w:tc>
          <w:tcPr>
            <w:tcW w:w="7229" w:type="dxa"/>
          </w:tcPr>
          <w:p w14:paraId="71DF3D36" w14:textId="77777777" w:rsidR="00366C91" w:rsidRDefault="00366C91" w:rsidP="00366C91">
            <w:pPr>
              <w:jc w:val="both"/>
              <w:rPr>
                <w:rFonts w:asciiTheme="majorBidi" w:hAnsiTheme="majorBidi" w:cstheme="majorBidi"/>
              </w:rPr>
            </w:pPr>
            <w:r w:rsidRPr="00997165">
              <w:rPr>
                <w:rFonts w:asciiTheme="majorBidi" w:hAnsiTheme="majorBidi" w:cstheme="majorBidi"/>
              </w:rPr>
              <w:t xml:space="preserve">Šobrīd </w:t>
            </w:r>
            <w:r>
              <w:rPr>
                <w:rFonts w:asciiTheme="majorBidi" w:hAnsiTheme="majorBidi" w:cstheme="majorBidi"/>
              </w:rPr>
              <w:t xml:space="preserve">Latvijā kumulatīvais </w:t>
            </w:r>
            <w:r w:rsidRPr="00997165">
              <w:rPr>
                <w:rFonts w:asciiTheme="majorBidi" w:hAnsiTheme="majorBidi" w:cstheme="majorBidi"/>
              </w:rPr>
              <w:t>14 dienu Covid-19 kumulatīvais</w:t>
            </w:r>
            <w:r>
              <w:rPr>
                <w:rFonts w:asciiTheme="majorBidi" w:hAnsiTheme="majorBidi" w:cstheme="majorBidi"/>
              </w:rPr>
              <w:t xml:space="preserve"> </w:t>
            </w:r>
            <w:r w:rsidRPr="00997165">
              <w:rPr>
                <w:rFonts w:asciiTheme="majorBidi" w:hAnsiTheme="majorBidi" w:cstheme="majorBidi"/>
              </w:rPr>
              <w:t>gadījumu skaits uz 100 000 iedz</w:t>
            </w:r>
            <w:r>
              <w:rPr>
                <w:rFonts w:asciiTheme="majorBidi" w:hAnsiTheme="majorBidi" w:cstheme="majorBidi"/>
              </w:rPr>
              <w:t xml:space="preserve">īvotājiem ir </w:t>
            </w:r>
            <w:r w:rsidRPr="00110B04">
              <w:rPr>
                <w:rFonts w:asciiTheme="majorBidi" w:hAnsiTheme="majorBidi" w:cstheme="majorBidi"/>
              </w:rPr>
              <w:t>60</w:t>
            </w:r>
            <w:r>
              <w:rPr>
                <w:rFonts w:asciiTheme="majorBidi" w:hAnsiTheme="majorBidi" w:cstheme="majorBidi"/>
              </w:rPr>
              <w:t>,0</w:t>
            </w:r>
            <w:r w:rsidRPr="00110B04">
              <w:rPr>
                <w:rFonts w:asciiTheme="majorBidi" w:hAnsiTheme="majorBidi" w:cstheme="majorBidi"/>
              </w:rPr>
              <w:t xml:space="preserve"> (28.06.) </w:t>
            </w:r>
            <w:r>
              <w:rPr>
                <w:rFonts w:asciiTheme="majorBidi" w:hAnsiTheme="majorBidi" w:cstheme="majorBidi"/>
              </w:rPr>
              <w:t xml:space="preserve">ar tendenci samazināties. Lai gan Latvija joprojām ir starp tām valstīm Eiropas Savienībā, kur vērojami augstākie saslimstības rādītāji, šobrīd var secināt, ka vakcinācija ir devusi būtisku rezultātu, un saslimstība mazinās. </w:t>
            </w:r>
          </w:p>
          <w:p w14:paraId="1C3C3E59" w14:textId="77D37327" w:rsidR="00366C91" w:rsidRDefault="00366C91" w:rsidP="00366C91">
            <w:pPr>
              <w:jc w:val="both"/>
              <w:rPr>
                <w:rFonts w:asciiTheme="majorBidi" w:hAnsiTheme="majorBidi" w:cstheme="majorBidi"/>
              </w:rPr>
            </w:pPr>
            <w:r>
              <w:rPr>
                <w:rFonts w:asciiTheme="majorBidi" w:hAnsiTheme="majorBidi" w:cstheme="majorBidi"/>
              </w:rPr>
              <w:t xml:space="preserve">Tomēr ir jāņem vērā, ka šobrīd saslimstības rādītāju samazinājums ir ne tikai vakcinācijas, bet arī sezonalitātes rezultāts. </w:t>
            </w:r>
            <w:r w:rsidRPr="00ED6018">
              <w:rPr>
                <w:rFonts w:asciiTheme="majorBidi" w:hAnsiTheme="majorBidi" w:cstheme="majorBidi"/>
              </w:rPr>
              <w:t xml:space="preserve">Neskatoties uz to, ka šobrīd stacionārās ārstniecības iestādēs samazinās pacientu skaits, kas ārstējās no Covid-19 infekcijas </w:t>
            </w:r>
            <w:r w:rsidRPr="00110B04">
              <w:rPr>
                <w:rFonts w:asciiTheme="majorBidi" w:hAnsiTheme="majorBidi" w:cstheme="majorBidi"/>
              </w:rPr>
              <w:t>(uz 28.06.2021. slimnīcās  ārstējas 171 Covid-19 pacienti</w:t>
            </w:r>
            <w:r w:rsidRPr="00ED6018">
              <w:rPr>
                <w:rFonts w:asciiTheme="majorBidi" w:hAnsiTheme="majorBidi" w:cstheme="majorBidi"/>
              </w:rPr>
              <w:t>), vēl aizvien ir ļoti augsts slimnīcās esošo pacientu skaits, kuriem ir smaga slimības norise (</w:t>
            </w:r>
            <w:r>
              <w:rPr>
                <w:rFonts w:asciiTheme="majorBidi" w:hAnsiTheme="majorBidi" w:cstheme="majorBidi"/>
              </w:rPr>
              <w:t>30 pacienti uz 28.06.2021</w:t>
            </w:r>
            <w:r w:rsidRPr="00ED6018">
              <w:rPr>
                <w:rFonts w:asciiTheme="majorBidi" w:hAnsiTheme="majorBidi" w:cstheme="majorBidi"/>
              </w:rPr>
              <w:t>).</w:t>
            </w:r>
            <w:r w:rsidR="00DC27CA">
              <w:rPr>
                <w:rFonts w:asciiTheme="majorBidi" w:hAnsiTheme="majorBidi" w:cstheme="majorBidi"/>
              </w:rPr>
              <w:t xml:space="preserve"> </w:t>
            </w:r>
            <w:r>
              <w:rPr>
                <w:rFonts w:asciiTheme="majorBidi" w:hAnsiTheme="majorBidi" w:cstheme="majorBidi"/>
              </w:rPr>
              <w:t>Turklāt Indijas varianta izplatība līdz rudenim varētu pārsniegt pusi no reģistrētajiem Covid-19 gadījumiem. Nevar izslēgt arī citu vīrusa variantu mutācijas, kas var ietekmē</w:t>
            </w:r>
            <w:r w:rsidR="00DC27CA">
              <w:rPr>
                <w:rFonts w:asciiTheme="majorBidi" w:hAnsiTheme="majorBidi" w:cstheme="majorBidi"/>
              </w:rPr>
              <w:t>t</w:t>
            </w:r>
            <w:r>
              <w:rPr>
                <w:rFonts w:asciiTheme="majorBidi" w:hAnsiTheme="majorBidi" w:cstheme="majorBidi"/>
              </w:rPr>
              <w:t xml:space="preserve"> saslimstības rādītājus. </w:t>
            </w:r>
          </w:p>
          <w:p w14:paraId="4E30AE61" w14:textId="77777777" w:rsidR="00366C91" w:rsidRDefault="00366C91" w:rsidP="00366C91">
            <w:pPr>
              <w:jc w:val="both"/>
              <w:rPr>
                <w:rFonts w:asciiTheme="majorBidi" w:hAnsiTheme="majorBidi" w:cstheme="majorBidi"/>
              </w:rPr>
            </w:pPr>
            <w:r>
              <w:rPr>
                <w:rFonts w:asciiTheme="majorBidi" w:hAnsiTheme="majorBidi" w:cstheme="majorBidi"/>
              </w:rPr>
              <w:t xml:space="preserve">Līdz ar to rudenī Veselības ministrijas stratēģija paredz 1) turpināt īstenot vakcinācijas programmu, izmantojot dažādus motivēšanas pasākumus, 2) gatavoties revakcinācijas uzsākšanai, 3) nodrošināt efektīvas ārstniecības iespējas Covid- 19 pacientiem, sekojot jaunākajiem atklājumiem un attīstībai medikamentu jomā.  </w:t>
            </w:r>
          </w:p>
          <w:p w14:paraId="3C9E951B" w14:textId="77777777" w:rsidR="00366C91" w:rsidRDefault="00366C91" w:rsidP="00366C91">
            <w:pPr>
              <w:jc w:val="both"/>
              <w:rPr>
                <w:rFonts w:asciiTheme="majorBidi" w:hAnsiTheme="majorBidi" w:cstheme="majorBidi"/>
              </w:rPr>
            </w:pPr>
            <w:r w:rsidRPr="00110B04">
              <w:rPr>
                <w:rFonts w:asciiTheme="majorBidi" w:hAnsiTheme="majorBidi" w:cstheme="majorBidi"/>
              </w:rPr>
              <w:t xml:space="preserve">Veselības ministrija jau ir informējusi Ministru kabinetu par plāniem attiecībā uz vakcināciju un revakcināciju, tādēļ </w:t>
            </w:r>
            <w:r>
              <w:rPr>
                <w:rFonts w:asciiTheme="majorBidi" w:hAnsiTheme="majorBidi" w:cstheme="majorBidi"/>
              </w:rPr>
              <w:t xml:space="preserve">anotācijā ietverta tikai informācija </w:t>
            </w:r>
            <w:r w:rsidRPr="00110B04">
              <w:rPr>
                <w:rFonts w:asciiTheme="majorBidi" w:hAnsiTheme="majorBidi" w:cstheme="majorBidi"/>
              </w:rPr>
              <w:t>attiecībā uz Covid-19 pacientu ārstēšanu</w:t>
            </w:r>
            <w:r>
              <w:rPr>
                <w:rFonts w:asciiTheme="majorBidi" w:hAnsiTheme="majorBidi" w:cstheme="majorBidi"/>
              </w:rPr>
              <w:t>.</w:t>
            </w:r>
            <w:r w:rsidRPr="00110B04">
              <w:rPr>
                <w:rFonts w:asciiTheme="majorBidi" w:hAnsiTheme="majorBidi" w:cstheme="majorBidi"/>
              </w:rPr>
              <w:t xml:space="preserve"> Patreiz pacientu ārstēšanā tiek izmantots Remdesivir, bet šim medikamentam ir noteiktas lietošanas indikācijas un lietošanas laiks. Jāņem vērā, ka pacientiem ar blakusdiagnozēm slimības gaita norit smagāk un līdz ar to ir slikta prognoze un samazinās pacientu iespējas izveseļoties. Lai palielinātu pacientu izveseļošanās iespējas un mazinātu nāves risku, VM darba grupa ir izvērtējusi nepieciešamību lietot šos medikamentus, pretējā gadījumā pacientiem ir iespējas saņemt tikai simptomātisku terapiju.</w:t>
            </w:r>
          </w:p>
          <w:p w14:paraId="2ACB0CCB" w14:textId="77777777" w:rsidR="00366C91" w:rsidRDefault="00366C91" w:rsidP="00366C91">
            <w:pPr>
              <w:jc w:val="both"/>
              <w:rPr>
                <w:rFonts w:asciiTheme="majorBidi" w:hAnsiTheme="majorBidi" w:cstheme="majorBidi"/>
              </w:rPr>
            </w:pPr>
            <w:r w:rsidRPr="00297B6A">
              <w:rPr>
                <w:rFonts w:asciiTheme="majorBidi" w:hAnsiTheme="majorBidi" w:cstheme="majorBidi"/>
              </w:rPr>
              <w:t xml:space="preserve">Šobrīd nav pieejami reģistrēti medikamenti efektīvai </w:t>
            </w:r>
            <w:r>
              <w:rPr>
                <w:rFonts w:asciiTheme="majorBidi" w:hAnsiTheme="majorBidi" w:cstheme="majorBidi"/>
              </w:rPr>
              <w:t>Covid-19</w:t>
            </w:r>
            <w:r w:rsidRPr="00297B6A">
              <w:rPr>
                <w:rFonts w:asciiTheme="majorBidi" w:hAnsiTheme="majorBidi" w:cstheme="majorBidi"/>
              </w:rPr>
              <w:t xml:space="preserve"> pacientu ārstēšanai. Tajā pašā laikā atsevišķi zāļu ražotāji ir izstrādājuši antivielu preparātus, kas ir pierādījuši savu efektivitāti Covid-19 vīrusa infekcijas ārstēšanai</w:t>
            </w:r>
            <w:r>
              <w:rPr>
                <w:rFonts w:asciiTheme="majorBidi" w:hAnsiTheme="majorBidi" w:cstheme="majorBidi"/>
              </w:rPr>
              <w:t>, piemēram,</w:t>
            </w:r>
            <w:r w:rsidRPr="00124C31">
              <w:rPr>
                <w:rFonts w:asciiTheme="majorBidi" w:hAnsiTheme="majorBidi" w:cstheme="majorBidi"/>
              </w:rPr>
              <w:t xml:space="preserve"> </w:t>
            </w:r>
            <w:r w:rsidRPr="00BD5AC6">
              <w:rPr>
                <w:color w:val="000000" w:themeColor="text1"/>
                <w:shd w:val="clear" w:color="auto" w:fill="FFFFFF"/>
              </w:rPr>
              <w:t>casirivimabs/imdevimabs</w:t>
            </w:r>
            <w:r>
              <w:rPr>
                <w:color w:val="000000" w:themeColor="text1"/>
                <w:shd w:val="clear" w:color="auto" w:fill="FFFFFF"/>
              </w:rPr>
              <w:t>.</w:t>
            </w:r>
            <w:r w:rsidRPr="00BD5AC6">
              <w:rPr>
                <w:color w:val="000000" w:themeColor="text1"/>
                <w:shd w:val="clear" w:color="auto" w:fill="FFFFFF"/>
              </w:rPr>
              <w:t xml:space="preserve"> </w:t>
            </w:r>
          </w:p>
          <w:p w14:paraId="4AB6955F" w14:textId="264E3124" w:rsidR="00366C91" w:rsidRPr="00750B3F" w:rsidRDefault="00366C91" w:rsidP="00366C91">
            <w:pPr>
              <w:jc w:val="both"/>
            </w:pPr>
            <w:r w:rsidRPr="00750B3F">
              <w:lastRenderedPageBreak/>
              <w:t>Lai gan viena preparāta deva ir dārga</w:t>
            </w:r>
            <w:r>
              <w:t xml:space="preserve">, </w:t>
            </w:r>
            <w:r w:rsidRPr="00750B3F">
              <w:t>Veselības ministrija uzskata par lietderīgu tos iegādāties</w:t>
            </w:r>
            <w:r>
              <w:t xml:space="preserve"> vēl pirms reģistrācijas</w:t>
            </w:r>
            <w:r w:rsidRPr="00750B3F">
              <w:t>, lai nodrošinātu pacientiem Latvijā visjaunāko pieejamo ārstniecības metodi</w:t>
            </w:r>
            <w:r>
              <w:t xml:space="preserve">, tāpat kā to ir darījušas, piemēram, Dānija, Igaunija, Bulgārija, Īslande, Nīderlande, Zviedrija, Beļģija (27.04.2021. dati).  </w:t>
            </w:r>
            <w:r w:rsidRPr="00750B3F">
              <w:t xml:space="preserve"> Vienlaikus, ņemot vērā preparātu cenu, ir jābūt skaidram algoritmam tā izmantošanā. </w:t>
            </w:r>
          </w:p>
          <w:p w14:paraId="1A99BD79" w14:textId="05F58D51" w:rsidR="00366C91" w:rsidRPr="00B90A4F" w:rsidRDefault="00366C91" w:rsidP="00D70B67">
            <w:pPr>
              <w:pStyle w:val="xmsolistparagraph"/>
              <w:shd w:val="clear" w:color="auto" w:fill="FFFFFF"/>
              <w:spacing w:before="0" w:beforeAutospacing="0" w:after="0" w:afterAutospacing="0"/>
              <w:jc w:val="both"/>
              <w:rPr>
                <w:rFonts w:ascii="Calibri" w:hAnsi="Calibri"/>
                <w:color w:val="FF0000"/>
                <w:sz w:val="22"/>
                <w:szCs w:val="22"/>
              </w:rPr>
            </w:pPr>
            <w:r w:rsidRPr="00110B04">
              <w:rPr>
                <w:lang w:val="lv-LV"/>
              </w:rPr>
              <w:t xml:space="preserve">Monoklonālās antivielas saturošas zāles </w:t>
            </w:r>
            <w:r w:rsidRPr="00110B04">
              <w:rPr>
                <w:bdr w:val="none" w:sz="0" w:space="0" w:color="auto" w:frame="1"/>
                <w:lang w:val="lv-LV"/>
              </w:rPr>
              <w:t> būs paredzētas apstiprināta COVID-19 ārstēšanai pacientiem,</w:t>
            </w:r>
            <w:r w:rsidRPr="00110B04">
              <w:rPr>
                <w:lang w:val="lv-LV"/>
              </w:rPr>
              <w:t xml:space="preserve"> </w:t>
            </w:r>
            <w:r w:rsidRPr="00110B04">
              <w:rPr>
                <w:bdr w:val="none" w:sz="0" w:space="0" w:color="auto" w:frame="1"/>
                <w:lang w:val="lv-LV"/>
              </w:rPr>
              <w:t>kuriem nav nepieciešams papildu skābeklis Covid-19 infekcijas dēļ un kuriem ir augsts risks slimības progresēšanai līdz smagai Covid-19 formai. Pacientu skaits, kuriem ir augsts risks slimības progresēšanai, var būt ievērojams, jo tie var būt, piemēram, gados vecāki pacienti, pacienti</w:t>
            </w:r>
            <w:r w:rsidRPr="00110B04">
              <w:rPr>
                <w:lang w:val="lv-LV"/>
              </w:rPr>
              <w:t xml:space="preserve"> </w:t>
            </w:r>
            <w:r w:rsidRPr="00110B04">
              <w:rPr>
                <w:bdr w:val="none" w:sz="0" w:space="0" w:color="auto" w:frame="1"/>
                <w:lang w:val="lv-LV"/>
              </w:rPr>
              <w:t>aptaukošanās, kardiovaskulāro slimību, tai skaitā hipertensijas,</w:t>
            </w:r>
            <w:r w:rsidRPr="00110B04">
              <w:rPr>
                <w:lang w:val="lv-LV"/>
              </w:rPr>
              <w:t xml:space="preserve"> </w:t>
            </w:r>
            <w:r w:rsidRPr="00110B04">
              <w:rPr>
                <w:bdr w:val="none" w:sz="0" w:space="0" w:color="auto" w:frame="1"/>
                <w:lang w:val="lv-LV"/>
              </w:rPr>
              <w:t>hroniskas plaušu slimību, tai skaitā astmas,</w:t>
            </w:r>
            <w:r w:rsidRPr="00110B04">
              <w:rPr>
                <w:lang w:val="lv-LV"/>
              </w:rPr>
              <w:t xml:space="preserve"> </w:t>
            </w:r>
            <w:r w:rsidRPr="00110B04">
              <w:rPr>
                <w:bdr w:val="none" w:sz="0" w:space="0" w:color="auto" w:frame="1"/>
                <w:lang w:val="lv-LV"/>
              </w:rPr>
              <w:t>1. un 2.tipa cukura diabēta, hroniskas nieru slimības, tai skaitā dialīzes,</w:t>
            </w:r>
            <w:r w:rsidRPr="00110B04">
              <w:rPr>
                <w:lang w:val="lv-LV"/>
              </w:rPr>
              <w:t xml:space="preserve"> </w:t>
            </w:r>
            <w:r w:rsidRPr="00110B04">
              <w:rPr>
                <w:bdr w:val="none" w:sz="0" w:space="0" w:color="auto" w:frame="1"/>
                <w:lang w:val="lv-LV"/>
              </w:rPr>
              <w:t>hronisku aknu slimību gadījumā, arī Imūnsupresēti pacienti, piemēram,  vēža slimnieki, kaulu smadzeņu vai orgānu transplantācijas pacienti, pacienti ar imūndeficītu, HIV (ja slikti kontro</w:t>
            </w:r>
            <w:r w:rsidR="00DC27CA">
              <w:rPr>
                <w:bdr w:val="none" w:sz="0" w:space="0" w:color="auto" w:frame="1"/>
                <w:lang w:val="lv-LV"/>
              </w:rPr>
              <w:t>l</w:t>
            </w:r>
            <w:r w:rsidRPr="00110B04">
              <w:rPr>
                <w:bdr w:val="none" w:sz="0" w:space="0" w:color="auto" w:frame="1"/>
                <w:lang w:val="lv-LV"/>
              </w:rPr>
              <w:t>ēti vai ir norāde par AIDS), sirpveida šūnu anēmija, talasēmija un ilgstoša imūnsupresoru lietošana.</w:t>
            </w:r>
          </w:p>
          <w:p w14:paraId="1706827B" w14:textId="77777777" w:rsidR="00366C91" w:rsidRDefault="00366C91" w:rsidP="00366C91">
            <w:pPr>
              <w:jc w:val="both"/>
              <w:rPr>
                <w:rFonts w:asciiTheme="majorBidi" w:hAnsiTheme="majorBidi" w:cstheme="majorBidi"/>
              </w:rPr>
            </w:pPr>
          </w:p>
          <w:p w14:paraId="6FC87303" w14:textId="77777777" w:rsidR="00366C91" w:rsidRPr="00110B04" w:rsidRDefault="00366C91" w:rsidP="00366C91">
            <w:pPr>
              <w:jc w:val="both"/>
              <w:rPr>
                <w:rFonts w:asciiTheme="majorBidi" w:hAnsiTheme="majorBidi" w:cstheme="majorBidi"/>
              </w:rPr>
            </w:pPr>
            <w:r w:rsidRPr="00110B04">
              <w:rPr>
                <w:rFonts w:asciiTheme="majorBidi" w:hAnsiTheme="majorBidi" w:cstheme="majorBidi"/>
              </w:rPr>
              <w:t xml:space="preserve">Ņemot vērā to, ka izmaksu efektīvākais veids ir pacientu vakcinācija un to, ka monoklonālās antivielas saturošas zāles šobrīd nav reģistrētas un to zāļu klīniskā izpēte terapeitisko ieguvumu un iespējamo risku identificēšanai turpinās un PVO ekspertu ieteikums – zāles izmantot tikai ļoti retos gadījumos, Veselības ministrijas darba grupa (izveidota ar Veselības ministra 2021.gada 26.februāra rīkojumu Nr.58 “Darba grupa Covid-19 infekcijas ierobežošanai”) rekomendē monoklonālo antivielu terapijas nozīmēšanu veikt universitātes slimnīcu ārstu konsilijam kā krīzes terapiju stacionētiem, nevakcinētiem, prognostiski smagas klīniskās gaitas augsta riska pacientiem ar Covid-19 infekciju agrīnā stadijā. </w:t>
            </w:r>
          </w:p>
          <w:p w14:paraId="77F11B1E" w14:textId="77777777" w:rsidR="00366C91" w:rsidRPr="00110B04" w:rsidRDefault="00366C91" w:rsidP="00366C91">
            <w:pPr>
              <w:jc w:val="both"/>
              <w:rPr>
                <w:rStyle w:val="xmsocommentreference"/>
                <w:bdr w:val="none" w:sz="0" w:space="0" w:color="auto" w:frame="1"/>
                <w:shd w:val="clear" w:color="auto" w:fill="FFFFFF"/>
              </w:rPr>
            </w:pPr>
            <w:r w:rsidRPr="00110B04">
              <w:rPr>
                <w:bdr w:val="none" w:sz="0" w:space="0" w:color="auto" w:frame="1"/>
                <w:shd w:val="clear" w:color="auto" w:fill="FFFFFF"/>
              </w:rPr>
              <w:t>Ministru kabinets jau pieņēma zināšanai šā gada 9. februārī, ka Veselības ministrija piesakās uz 100 REGN-CoV2 (</w:t>
            </w:r>
            <w:r w:rsidRPr="00110B04">
              <w:rPr>
                <w:shd w:val="clear" w:color="auto" w:fill="FFFFFF"/>
              </w:rPr>
              <w:t>casirivimabs/imdevimabs)</w:t>
            </w:r>
            <w:r w:rsidRPr="00110B04">
              <w:rPr>
                <w:bdr w:val="none" w:sz="0" w:space="0" w:color="auto" w:frame="1"/>
                <w:shd w:val="clear" w:color="auto" w:fill="FFFFFF"/>
              </w:rPr>
              <w:t xml:space="preserve"> devām.</w:t>
            </w:r>
            <w:r w:rsidRPr="00110B04">
              <w:rPr>
                <w:rStyle w:val="xmsocommentreference"/>
                <w:bdr w:val="none" w:sz="0" w:space="0" w:color="auto" w:frame="1"/>
                <w:shd w:val="clear" w:color="auto" w:fill="FFFFFF"/>
              </w:rPr>
              <w:t xml:space="preserve"> Slimības uzliesmojuma gadījumā Rīgas Austrumu klīniskajā universitātes slimnīcā tas vārētu būt 1 pacients nedēļā un Paula Stradiņa klīniskajā universitātes slimnīcā tie varētu būt 1-2 pacienti nedēļā. </w:t>
            </w:r>
          </w:p>
          <w:p w14:paraId="77AA56CA" w14:textId="77777777" w:rsidR="00366C91" w:rsidRPr="00110B04" w:rsidRDefault="00366C91" w:rsidP="00366C91">
            <w:pPr>
              <w:pStyle w:val="xxmsonormal0"/>
              <w:shd w:val="clear" w:color="auto" w:fill="FFFFFF"/>
              <w:spacing w:before="0" w:beforeAutospacing="0" w:after="160" w:afterAutospacing="0" w:line="231" w:lineRule="atLeast"/>
              <w:jc w:val="both"/>
              <w:rPr>
                <w:lang w:val="lv-LV"/>
              </w:rPr>
            </w:pPr>
            <w:r w:rsidRPr="00110B04">
              <w:rPr>
                <w:lang w:val="lv-LV"/>
              </w:rPr>
              <w:t xml:space="preserve">Saskaņā ar Eiropas Zāļu aģentūras (EZA) rekomendācijām ROCHE produkta REGN-COV </w:t>
            </w:r>
            <w:r w:rsidRPr="00110B04">
              <w:rPr>
                <w:bdr w:val="none" w:sz="0" w:space="0" w:color="auto" w:frame="1"/>
                <w:shd w:val="clear" w:color="auto" w:fill="FFFFFF"/>
                <w:lang w:val="lv-LV"/>
              </w:rPr>
              <w:t>(</w:t>
            </w:r>
            <w:r w:rsidRPr="00110B04">
              <w:rPr>
                <w:shd w:val="clear" w:color="auto" w:fill="FFFFFF"/>
                <w:lang w:val="lv-LV"/>
              </w:rPr>
              <w:t>casirivimabs/imdevimabs)</w:t>
            </w:r>
            <w:r w:rsidRPr="00110B04">
              <w:rPr>
                <w:bdr w:val="none" w:sz="0" w:space="0" w:color="auto" w:frame="1"/>
                <w:shd w:val="clear" w:color="auto" w:fill="FFFFFF"/>
                <w:lang w:val="lv-LV"/>
              </w:rPr>
              <w:t xml:space="preserve"> </w:t>
            </w:r>
            <w:r w:rsidRPr="00110B04">
              <w:rPr>
                <w:lang w:val="lv-LV"/>
              </w:rPr>
              <w:t xml:space="preserve"> deva vienam pacientam ir 1.2g (carisivimab) kombinācijā ar 1.2g (imdevimab). Derīguma termiņš: 12 mēneši, bet līguma nosacījumi paredz, ka piegādes brīdī derīguma termiņam jābūt 9 mēneši.</w:t>
            </w:r>
          </w:p>
          <w:p w14:paraId="5CD07E30" w14:textId="77777777" w:rsidR="00366C91" w:rsidRPr="00110B04" w:rsidRDefault="00366C91" w:rsidP="00366C91">
            <w:pPr>
              <w:jc w:val="both"/>
            </w:pPr>
            <w:r w:rsidRPr="00110B04">
              <w:t xml:space="preserve">Ražotājs ROCHE ir sniedzis aktuālo informāciju par ASV Pārtikas un zāļu pārvaldei (FDA) iesniegto iesniegumu par pacientu terapijā izmantojamās devas samazinājumu, t.i. no 1.2g (casirivimab) &amp; 1.2g (imdevimab) uz 0.6g (casirivimab) &amp; 0.6g (imdevimab), kuru ASV Pārtikas un zāļu pārvalde ir rekomendējusi. Uz pašreizējo brīdi Eiropas Zāļu aģentūrā (EZA) ir rekomendēts* minēto monoklonālo antivielu lietojums pacientu terapijā - 1.2g (casirivimab) &amp; 1.2g (imdevimab), līdz ar to pacientu terapijā līdz jebkādām izmaiņām speciālisti veic atbilstoši EZA rekomendētajām devām. Ja ražotājs iesniedz identisku iesniegumu EZA kā FDA un EZA to rekomendē, iepirkumā iegādātais REGN-CoV2 </w:t>
            </w:r>
            <w:r w:rsidRPr="00110B04">
              <w:lastRenderedPageBreak/>
              <w:t>kombinēto antivielu (casirivimab/imdevimab) apjoms palielinās (dubultos) pacientu auditoriju. * - https://www.ema.europa.eu/en/documents/referral/regn-cov2-antibody-combination-casirivimab/imdevimab-covid19-article-53-procedure-conditions-use-conditions-distribution-patients-targeted_en.pdf.</w:t>
            </w:r>
          </w:p>
          <w:p w14:paraId="4585EC8D" w14:textId="77777777" w:rsidR="00366C91" w:rsidRPr="00110B04" w:rsidRDefault="00366C91" w:rsidP="00366C91">
            <w:pPr>
              <w:jc w:val="both"/>
            </w:pPr>
            <w:r w:rsidRPr="00110B04">
              <w:t>Minētās zāles ir būtiski nepieciešamas tādu Covid-19 pacientu ārstēšanai, ja vakcinācija nav veikta, tā ir kontrindicēta vai nav efektīva un šobrīd pieejamās zāles Covid-19 ārstēšanai nav piemērotas vai nav efektīvas šo pacientu ārstēšanai.</w:t>
            </w:r>
          </w:p>
          <w:p w14:paraId="3DD0B364" w14:textId="77777777" w:rsidR="00366C91" w:rsidRPr="00D2526C" w:rsidRDefault="00366C91" w:rsidP="00366C91">
            <w:pPr>
              <w:jc w:val="both"/>
              <w:rPr>
                <w:rFonts w:asciiTheme="majorBidi" w:hAnsiTheme="majorBidi" w:cstheme="majorBidi"/>
                <w:b/>
                <w:bCs/>
              </w:rPr>
            </w:pPr>
            <w:r w:rsidRPr="00D2526C">
              <w:rPr>
                <w:rFonts w:asciiTheme="majorBidi" w:hAnsiTheme="majorBidi" w:cstheme="majorBidi"/>
                <w:b/>
                <w:bCs/>
              </w:rPr>
              <w:t>REGN-CoV2 (casirivimabs/imdevimabs (firma Roche))</w:t>
            </w:r>
          </w:p>
          <w:p w14:paraId="0A7ED8D3" w14:textId="77777777" w:rsidR="00366C91" w:rsidRPr="00D2526C" w:rsidRDefault="00366C91" w:rsidP="00366C91">
            <w:pPr>
              <w:jc w:val="both"/>
              <w:rPr>
                <w:rFonts w:asciiTheme="majorBidi" w:hAnsiTheme="majorBidi" w:cstheme="majorBidi"/>
              </w:rPr>
            </w:pPr>
            <w:r w:rsidRPr="00D2526C">
              <w:rPr>
                <w:rFonts w:asciiTheme="majorBidi" w:hAnsiTheme="majorBidi" w:cstheme="majorBidi"/>
              </w:rPr>
              <w:t>Eiropas Komisijas organizētā iepirkuma sekretariāta pārstāvji pašlaik piedalās diskusijā ar zāļu ražotāju Roche, kas piedāvā zāļu REGN-CoV2 (casirivimabs/ imdevimabs) iegādi. Pašreiz zāļu REGN-CoV2 ražotājs ir iesniedzis pieteikumu reģistrēt zāles REGN-CoV2 Eiropas Zāļu aģentūrā (turpmāk – EZA). EZA ir uzsākusi paātrināto datu vērtēšanu par zālēm, kas zināmas kā REGN-CoV2 kombinētās antivielas (casirivimabs/imdevimabs). EZA izvērtēs šo zāļu atbilstību  efektivitātes, drošuma un kvalitātes standartiem. Lai gan vēl nav paredzams vērtēšanas kopējais ilgums, šim procesam jābūt ātrākam nekā parastajai vērtēšanai, pateicoties paātrinātās vērtēšanas sniegtajam laika ietaupījumam.</w:t>
            </w:r>
          </w:p>
          <w:p w14:paraId="3F50D3CB" w14:textId="77777777" w:rsidR="00366C91" w:rsidRPr="00D2526C" w:rsidRDefault="00366C91" w:rsidP="00366C91">
            <w:pPr>
              <w:jc w:val="both"/>
              <w:rPr>
                <w:rFonts w:asciiTheme="majorBidi" w:hAnsiTheme="majorBidi" w:cstheme="majorBidi"/>
              </w:rPr>
            </w:pPr>
            <w:r w:rsidRPr="00D2526C">
              <w:rPr>
                <w:rFonts w:asciiTheme="majorBidi" w:hAnsiTheme="majorBidi" w:cstheme="majorBidi"/>
              </w:rPr>
              <w:t>Eiropas Komisija Eiropas dalībvalstu vārdā ir noslēgusi vienošanos (framework contract) par REGN-CoV2 iegādi.</w:t>
            </w:r>
          </w:p>
          <w:p w14:paraId="1AD9F4FB" w14:textId="77777777" w:rsidR="00366C91" w:rsidRPr="00D2526C" w:rsidRDefault="00366C91" w:rsidP="00366C91">
            <w:pPr>
              <w:jc w:val="both"/>
              <w:rPr>
                <w:rFonts w:asciiTheme="majorBidi" w:hAnsiTheme="majorBidi" w:cstheme="majorBidi"/>
              </w:rPr>
            </w:pPr>
            <w:r w:rsidRPr="00D2526C">
              <w:rPr>
                <w:rFonts w:asciiTheme="majorBidi" w:hAnsiTheme="majorBidi" w:cstheme="majorBidi"/>
              </w:rPr>
              <w:t>REGN-CoV2 satur divas monoklonālās antivielas – casirivimab un imdevimab. Monoklonāla antiviela ir antiviela (proteīna paveids), kas atpazīst un saistās ar noteiktām struktūrām, ko dēvē par antigēniem. Casirivimab un imdevimab ir speciāli izveidotas antivielas, kas saistās ar SARS-CoV2 vīrusa pīķa jeb S proteīnu divās atsevišķās vietās. Kad aktīvās vielas ir saistījušās ar pīķa proteīnu, vīruss nespēj iekļūt organisma šūnās.</w:t>
            </w:r>
          </w:p>
          <w:p w14:paraId="3697F9AE" w14:textId="77777777" w:rsidR="00366C91" w:rsidRPr="006B3710" w:rsidRDefault="00366C91" w:rsidP="00366C91">
            <w:pPr>
              <w:jc w:val="both"/>
              <w:rPr>
                <w:rFonts w:asciiTheme="majorBidi" w:hAnsiTheme="majorBidi" w:cstheme="majorBidi"/>
                <w:b/>
                <w:bCs/>
              </w:rPr>
            </w:pPr>
            <w:r w:rsidRPr="006B3710">
              <w:rPr>
                <w:rFonts w:asciiTheme="majorBidi" w:hAnsiTheme="majorBidi" w:cstheme="majorBidi"/>
                <w:b/>
                <w:bCs/>
              </w:rPr>
              <w:t>Citi preparāti</w:t>
            </w:r>
          </w:p>
          <w:p w14:paraId="7F526066" w14:textId="7F4F9968" w:rsidR="00366C91" w:rsidRDefault="00366C91" w:rsidP="00366C91">
            <w:pPr>
              <w:jc w:val="both"/>
              <w:rPr>
                <w:rFonts w:asciiTheme="majorBidi" w:hAnsiTheme="majorBidi" w:cstheme="majorBidi"/>
              </w:rPr>
            </w:pPr>
            <w:r w:rsidRPr="00D2526C">
              <w:rPr>
                <w:rFonts w:asciiTheme="majorBidi" w:hAnsiTheme="majorBidi" w:cstheme="majorBidi"/>
              </w:rPr>
              <w:t>EZA izvērtēts EK Regulas nr. 726/2004 5(3).panta procedūras ietvaros (sniegts izvērtējums un zinātnisks atbalsts dalībvalstīm, lai lemtu par lietošanu):</w:t>
            </w:r>
            <w:r>
              <w:rPr>
                <w:rFonts w:asciiTheme="majorBidi" w:hAnsiTheme="majorBidi" w:cstheme="majorBidi"/>
              </w:rPr>
              <w:t xml:space="preserve"> </w:t>
            </w:r>
            <w:r w:rsidRPr="00750B3F">
              <w:rPr>
                <w:rFonts w:asciiTheme="majorBidi" w:hAnsiTheme="majorBidi" w:cstheme="majorBidi"/>
              </w:rPr>
              <w:t>bamlanivimabum/etezemivabum</w:t>
            </w:r>
            <w:r>
              <w:rPr>
                <w:rFonts w:asciiTheme="majorBidi" w:hAnsiTheme="majorBidi" w:cstheme="majorBidi"/>
              </w:rPr>
              <w:t>,</w:t>
            </w:r>
            <w:r w:rsidRPr="00D2526C">
              <w:rPr>
                <w:rFonts w:asciiTheme="majorBidi" w:hAnsiTheme="majorBidi" w:cstheme="majorBidi"/>
              </w:rPr>
              <w:t xml:space="preserve"> </w:t>
            </w:r>
            <w:r>
              <w:rPr>
                <w:rFonts w:asciiTheme="majorBidi" w:hAnsiTheme="majorBidi" w:cstheme="majorBidi"/>
              </w:rPr>
              <w:t>r</w:t>
            </w:r>
            <w:r w:rsidRPr="00D2526C">
              <w:rPr>
                <w:rFonts w:asciiTheme="majorBidi" w:hAnsiTheme="majorBidi" w:cstheme="majorBidi"/>
              </w:rPr>
              <w:t xml:space="preserve">egdanvimabum (CT-P59), </w:t>
            </w:r>
            <w:r>
              <w:rPr>
                <w:rFonts w:asciiTheme="majorBidi" w:hAnsiTheme="majorBidi" w:cstheme="majorBidi"/>
              </w:rPr>
              <w:t>s</w:t>
            </w:r>
            <w:r w:rsidRPr="00D2526C">
              <w:rPr>
                <w:rFonts w:asciiTheme="majorBidi" w:hAnsiTheme="majorBidi" w:cstheme="majorBidi"/>
              </w:rPr>
              <w:t>otrovimabum (VIR-7831). Šīm zālēm EK līmenī šobrīd</w:t>
            </w:r>
            <w:r>
              <w:rPr>
                <w:rFonts w:asciiTheme="majorBidi" w:hAnsiTheme="majorBidi" w:cstheme="majorBidi"/>
              </w:rPr>
              <w:t xml:space="preserve"> nav noslēgts līgums par iepirkumu ES līmenī vai arī</w:t>
            </w:r>
            <w:r w:rsidRPr="00D2526C">
              <w:rPr>
                <w:rFonts w:asciiTheme="majorBidi" w:hAnsiTheme="majorBidi" w:cstheme="majorBidi"/>
              </w:rPr>
              <w:t xml:space="preserve"> sarunas par iespējamo iepirkumu nav veiktas.</w:t>
            </w:r>
            <w:r>
              <w:rPr>
                <w:rFonts w:asciiTheme="majorBidi" w:hAnsiTheme="majorBidi" w:cstheme="majorBidi"/>
              </w:rPr>
              <w:t xml:space="preserve"> Veselības ministrija turpinās seko</w:t>
            </w:r>
            <w:r w:rsidR="00606EF9">
              <w:rPr>
                <w:rFonts w:asciiTheme="majorBidi" w:hAnsiTheme="majorBidi" w:cstheme="majorBidi"/>
              </w:rPr>
              <w:t>t</w:t>
            </w:r>
            <w:r>
              <w:rPr>
                <w:rFonts w:asciiTheme="majorBidi" w:hAnsiTheme="majorBidi" w:cstheme="majorBidi"/>
              </w:rPr>
              <w:t xml:space="preserve"> līdzi arī citu līdzīgu medikamentu reģistrācijas gaitai, lai piedāvātu labākos variantus pacientiem Latvijā. </w:t>
            </w:r>
          </w:p>
          <w:p w14:paraId="1649213E" w14:textId="77777777" w:rsidR="00366C91" w:rsidRPr="006B3710" w:rsidRDefault="00366C91" w:rsidP="00366C91">
            <w:pPr>
              <w:jc w:val="both"/>
              <w:rPr>
                <w:rFonts w:asciiTheme="majorBidi" w:hAnsiTheme="majorBidi" w:cstheme="majorBidi"/>
                <w:b/>
                <w:bCs/>
              </w:rPr>
            </w:pPr>
            <w:r w:rsidRPr="006B3710">
              <w:rPr>
                <w:rFonts w:asciiTheme="majorBidi" w:hAnsiTheme="majorBidi" w:cstheme="majorBidi"/>
                <w:b/>
                <w:bCs/>
              </w:rPr>
              <w:t>Nepieciešamais finansējums</w:t>
            </w:r>
          </w:p>
          <w:p w14:paraId="0E8D087D" w14:textId="77777777" w:rsidR="00366C91" w:rsidRPr="0062308B" w:rsidRDefault="00366C91" w:rsidP="00366C91">
            <w:pPr>
              <w:jc w:val="both"/>
              <w:rPr>
                <w:rFonts w:asciiTheme="majorBidi" w:hAnsiTheme="majorBidi" w:cstheme="majorBidi"/>
              </w:rPr>
            </w:pPr>
            <w:r w:rsidRPr="0062308B">
              <w:rPr>
                <w:rFonts w:asciiTheme="majorBidi" w:hAnsiTheme="majorBidi" w:cstheme="majorBidi"/>
              </w:rPr>
              <w:t>Eiropas Komisija 2020.gada 28.oktobrī pieņēma Lēmumu (ES) 2020/1573, ar kuru groza Lēmumu (ES) 2020/491 par atbrīvojumu no ievedmuitas nodokļiem un no importa PVN, ko piešķir precēm, kas nepieciešamas Covid-19 uzliesmojuma seku apkarošanai 2020.gadā.</w:t>
            </w:r>
          </w:p>
          <w:p w14:paraId="538B6964" w14:textId="5677FD2C" w:rsidR="00366C91" w:rsidRPr="005A7D46" w:rsidRDefault="00366C91" w:rsidP="00366C91">
            <w:pPr>
              <w:jc w:val="both"/>
              <w:rPr>
                <w:rFonts w:asciiTheme="majorBidi" w:hAnsiTheme="majorBidi" w:cstheme="majorBidi"/>
              </w:rPr>
            </w:pPr>
            <w:r w:rsidRPr="0062308B">
              <w:rPr>
                <w:rFonts w:asciiTheme="majorBidi" w:hAnsiTheme="majorBidi" w:cstheme="majorBidi"/>
              </w:rPr>
              <w:t xml:space="preserve">Ar šo lēmumu līdz 2021.gada 30.aprīlim ir pagarināts ievedmuitas nodokļu un </w:t>
            </w:r>
            <w:r w:rsidRPr="005A7D46">
              <w:rPr>
                <w:rFonts w:asciiTheme="majorBidi" w:hAnsiTheme="majorBidi" w:cstheme="majorBidi"/>
              </w:rPr>
              <w:t xml:space="preserve">PVN </w:t>
            </w:r>
            <w:r w:rsidR="004C7F5F">
              <w:rPr>
                <w:rFonts w:asciiTheme="majorBidi" w:hAnsiTheme="majorBidi" w:cstheme="majorBidi"/>
              </w:rPr>
              <w:t xml:space="preserve">par importu </w:t>
            </w:r>
            <w:r w:rsidRPr="005A7D46">
              <w:rPr>
                <w:rFonts w:asciiTheme="majorBidi" w:hAnsiTheme="majorBidi" w:cstheme="majorBidi"/>
              </w:rPr>
              <w:t>atbrīvojumu piemērošanas termiņš precēm, kas ir nepieciešamas un tiek ievestas no trešajām valstīm Covid-19 uzliesmojuma seku apkarošanai.</w:t>
            </w:r>
          </w:p>
          <w:p w14:paraId="26571432" w14:textId="156845DC" w:rsidR="00366C91" w:rsidRPr="005A7D46" w:rsidRDefault="00366C91" w:rsidP="00366C91">
            <w:pPr>
              <w:jc w:val="both"/>
              <w:rPr>
                <w:rFonts w:asciiTheme="majorBidi" w:hAnsiTheme="majorBidi" w:cstheme="majorBidi"/>
              </w:rPr>
            </w:pPr>
            <w:r w:rsidRPr="005A7D46">
              <w:rPr>
                <w:rFonts w:asciiTheme="majorBidi" w:hAnsiTheme="majorBidi" w:cstheme="majorBidi"/>
              </w:rPr>
              <w:t xml:space="preserve">Savukārt, Eiropas Komisija 2021.gada 19.aprīlī pieņēma Lēmumu  </w:t>
            </w:r>
            <w:r w:rsidR="009D6BEF" w:rsidRPr="005A7D46">
              <w:rPr>
                <w:rFonts w:asciiTheme="majorBidi" w:hAnsiTheme="majorBidi" w:cstheme="majorBidi"/>
              </w:rPr>
              <w:t xml:space="preserve">(ES) </w:t>
            </w:r>
            <w:r w:rsidRPr="005A7D46">
              <w:rPr>
                <w:rFonts w:asciiTheme="majorBidi" w:hAnsiTheme="majorBidi" w:cstheme="majorBidi"/>
              </w:rPr>
              <w:t>2021</w:t>
            </w:r>
            <w:r w:rsidR="009D6BEF" w:rsidRPr="005A7D46">
              <w:rPr>
                <w:rFonts w:asciiTheme="majorBidi" w:hAnsiTheme="majorBidi" w:cstheme="majorBidi"/>
              </w:rPr>
              <w:t>/660,</w:t>
            </w:r>
            <w:r w:rsidRPr="005A7D46">
              <w:rPr>
                <w:rFonts w:asciiTheme="majorBidi" w:hAnsiTheme="majorBidi" w:cstheme="majorBidi"/>
              </w:rPr>
              <w:t xml:space="preserve"> </w:t>
            </w:r>
            <w:r w:rsidR="009D6BEF" w:rsidRPr="005A7D46">
              <w:rPr>
                <w:shd w:val="clear" w:color="auto" w:fill="FFFFFF"/>
              </w:rPr>
              <w:t xml:space="preserve">ar kuru groza Lēmumu (ES) 2020/491 </w:t>
            </w:r>
            <w:r w:rsidR="009D6BEF" w:rsidRPr="005A7D46">
              <w:rPr>
                <w:rFonts w:asciiTheme="majorBidi" w:hAnsiTheme="majorBidi" w:cstheme="majorBidi"/>
              </w:rPr>
              <w:t xml:space="preserve">par atbrīvojumu no ievedmuitas nodokļiem un no importa PVN, ko piešķir precēm, kas nepieciešamas Covid-19 uzliesmojuma seku apkarošanai 2020.gadā. </w:t>
            </w:r>
            <w:r w:rsidR="009D6BEF" w:rsidRPr="005A7D46">
              <w:rPr>
                <w:rFonts w:asciiTheme="majorBidi" w:hAnsiTheme="majorBidi" w:cstheme="majorBidi"/>
              </w:rPr>
              <w:lastRenderedPageBreak/>
              <w:t xml:space="preserve">Iepriekš ar Eiropas Komisijas lēmumu bija noteikts, ka atbrīvojums no ievedmuitas nodokļiem un </w:t>
            </w:r>
            <w:r w:rsidR="004C7F5F">
              <w:rPr>
                <w:rFonts w:asciiTheme="majorBidi" w:hAnsiTheme="majorBidi" w:cstheme="majorBidi"/>
              </w:rPr>
              <w:t xml:space="preserve">no importa </w:t>
            </w:r>
            <w:r w:rsidR="009D6BEF" w:rsidRPr="005A7D46">
              <w:rPr>
                <w:rFonts w:asciiTheme="majorBidi" w:hAnsiTheme="majorBidi" w:cstheme="majorBidi"/>
              </w:rPr>
              <w:t xml:space="preserve">PVN šādām precēm tiek piešķirts līdz šī gada 30.aprīlim. Attiecīgi uz doto brīdi </w:t>
            </w:r>
            <w:r w:rsidRPr="005A7D46">
              <w:rPr>
                <w:rFonts w:asciiTheme="majorBidi" w:hAnsiTheme="majorBidi" w:cstheme="majorBidi"/>
              </w:rPr>
              <w:t>atbrīvojum</w:t>
            </w:r>
            <w:r w:rsidR="009D6BEF" w:rsidRPr="005A7D46">
              <w:rPr>
                <w:rFonts w:asciiTheme="majorBidi" w:hAnsiTheme="majorBidi" w:cstheme="majorBidi"/>
              </w:rPr>
              <w:t>i</w:t>
            </w:r>
            <w:r w:rsidRPr="005A7D46">
              <w:rPr>
                <w:rFonts w:asciiTheme="majorBidi" w:hAnsiTheme="majorBidi" w:cstheme="majorBidi"/>
              </w:rPr>
              <w:t xml:space="preserve"> no ievedmuitas nodokļiem un no importa PVN piešķir importam, kas veikts laikā no 2020.gada 30.janvāra līdz 2021.gada 31.decembrim.</w:t>
            </w:r>
          </w:p>
          <w:p w14:paraId="75AE8718" w14:textId="77777777" w:rsidR="00366C91" w:rsidRPr="0062308B" w:rsidRDefault="00366C91" w:rsidP="00366C91">
            <w:pPr>
              <w:jc w:val="both"/>
              <w:rPr>
                <w:rFonts w:asciiTheme="majorBidi" w:hAnsiTheme="majorBidi" w:cstheme="majorBidi"/>
              </w:rPr>
            </w:pPr>
            <w:r w:rsidRPr="0062308B">
              <w:rPr>
                <w:rFonts w:asciiTheme="majorBidi" w:hAnsiTheme="majorBidi" w:cstheme="majorBidi"/>
              </w:rPr>
              <w:t>Tādējādi precēm, kas nepieciešamas Covid-19 uzliesmojuma seku apkarošanai, piešķirts atbrīvojums no ievedmuitas nodokļiem un PVN par importu, kas veikts laikā no 2020.gada 30.janvāra līdz 2021.gada 31.decembrim.</w:t>
            </w:r>
          </w:p>
          <w:p w14:paraId="4381A81E" w14:textId="383B1080" w:rsidR="00366C91" w:rsidRPr="00FB59B4" w:rsidRDefault="00366C91" w:rsidP="00366C91">
            <w:pPr>
              <w:jc w:val="both"/>
              <w:rPr>
                <w:rFonts w:asciiTheme="majorBidi" w:hAnsiTheme="majorBidi" w:cstheme="majorBidi"/>
              </w:rPr>
            </w:pPr>
            <w:r w:rsidRPr="0062308B">
              <w:rPr>
                <w:rFonts w:asciiTheme="majorBidi" w:hAnsiTheme="majorBidi" w:cstheme="majorBidi"/>
              </w:rPr>
              <w:t xml:space="preserve">Rīkojuma projekts paredz Finanšu ministrijai no valsts budžeta programmas 02.00.00 “Līdzekļi neparedzētiem gadījumiem” piešķirt </w:t>
            </w:r>
            <w:r w:rsidRPr="00FB59B4">
              <w:rPr>
                <w:rFonts w:asciiTheme="majorBidi" w:hAnsiTheme="majorBidi" w:cstheme="majorBidi"/>
              </w:rPr>
              <w:t xml:space="preserve">Veselības ministrijai (Nacionālajam veselības dienestam) finansējumu </w:t>
            </w:r>
            <w:r w:rsidR="00FB59B4">
              <w:rPr>
                <w:rFonts w:asciiTheme="majorBidi" w:hAnsiTheme="majorBidi" w:cstheme="majorBidi"/>
              </w:rPr>
              <w:t>206 500</w:t>
            </w:r>
            <w:r w:rsidRPr="00DC27CA">
              <w:rPr>
                <w:rFonts w:asciiTheme="majorBidi" w:hAnsiTheme="majorBidi" w:cstheme="majorBidi"/>
                <w:i/>
                <w:iCs/>
              </w:rPr>
              <w:t xml:space="preserve"> euro</w:t>
            </w:r>
            <w:r w:rsidRPr="00FB59B4">
              <w:rPr>
                <w:rFonts w:asciiTheme="majorBidi" w:hAnsiTheme="majorBidi" w:cstheme="majorBidi"/>
              </w:rPr>
              <w:t xml:space="preserve"> apmērā,</w:t>
            </w:r>
            <w:r w:rsidR="00FB59B4" w:rsidRPr="00D70B67">
              <w:rPr>
                <w:iCs/>
              </w:rPr>
              <w:t xml:space="preserve"> lai nodrošinātu kombinēta monoklonālo antivielu preparāta REGN-CoV2 (</w:t>
            </w:r>
            <w:r w:rsidR="00FB59B4" w:rsidRPr="00D70B67">
              <w:rPr>
                <w:color w:val="000000" w:themeColor="text1"/>
                <w:shd w:val="clear" w:color="auto" w:fill="FFFFFF"/>
              </w:rPr>
              <w:t>casirivimabs/imdevimabs (firma Roche)</w:t>
            </w:r>
            <w:r w:rsidR="00FB59B4" w:rsidRPr="00D70B67">
              <w:rPr>
                <w:iCs/>
              </w:rPr>
              <w:t xml:space="preserve"> pie</w:t>
            </w:r>
            <w:r w:rsidR="00DC27CA">
              <w:rPr>
                <w:iCs/>
              </w:rPr>
              <w:t>e</w:t>
            </w:r>
            <w:r w:rsidR="00FB59B4" w:rsidRPr="00D70B67">
              <w:rPr>
                <w:iCs/>
              </w:rPr>
              <w:t>jamību  Covid-19 ārstēšanas procesā.</w:t>
            </w:r>
          </w:p>
          <w:p w14:paraId="601B5F3D" w14:textId="77777777" w:rsidR="00366C91" w:rsidRPr="0062308B" w:rsidRDefault="00366C91" w:rsidP="00366C91">
            <w:pPr>
              <w:jc w:val="both"/>
              <w:rPr>
                <w:rFonts w:asciiTheme="majorBidi" w:hAnsiTheme="majorBidi" w:cstheme="majorBidi"/>
              </w:rPr>
            </w:pPr>
            <w:r w:rsidRPr="0062308B">
              <w:rPr>
                <w:rFonts w:asciiTheme="majorBidi" w:hAnsiTheme="majorBidi" w:cstheme="majorBidi"/>
              </w:rPr>
              <w:t>Veselības ministrija normatīvajos aktos noteiktajā kārtībā sagatavos un iesniegs Finanšu ministrijā pieprasījumu par šā rīkojuma 1.punktā minēto līdzekļu piešķiršanu no valsts budžeta programmas 02.00.00 “Līdzekļi neparedzētiem gadījumiem”.</w:t>
            </w:r>
          </w:p>
          <w:p w14:paraId="152186EC" w14:textId="77777777" w:rsidR="00366C91" w:rsidRDefault="00366C91" w:rsidP="00366C91">
            <w:pPr>
              <w:jc w:val="both"/>
              <w:rPr>
                <w:rFonts w:asciiTheme="majorBidi" w:hAnsiTheme="majorBidi" w:cstheme="majorBidi"/>
              </w:rPr>
            </w:pPr>
            <w:r w:rsidRPr="0062308B">
              <w:rPr>
                <w:rFonts w:asciiTheme="majorBidi" w:hAnsiTheme="majorBidi" w:cstheme="majorBidi"/>
              </w:rPr>
              <w:t xml:space="preserve">Finanšu ministrs normatīvajos aktos noteiktajā kārtībā informēs Saeimas Budžeta un finanšu (nodokļu) komisiju par šā rīkojuma 1.punktā minētajām apropriācijas izmaiņām un, ja Saeimas Budžeta un finanšu (nodokļu) komisija piecu darbdienu laikā no attiecīgās informācijas saņemšanas dienas nebūs iebildusi pret apropriācijas izmaiņām, veiks apropriācijas izmaiņas.                 </w:t>
            </w:r>
          </w:p>
          <w:p w14:paraId="42ECEC06" w14:textId="0BAC362B" w:rsidR="00E25FFF" w:rsidRPr="00AF69C9" w:rsidRDefault="00B304A8" w:rsidP="009A3221">
            <w:pPr>
              <w:ind w:firstLine="720"/>
              <w:jc w:val="both"/>
            </w:pPr>
            <w:r w:rsidRPr="00B304A8">
              <w:t xml:space="preserve">        </w:t>
            </w:r>
          </w:p>
        </w:tc>
      </w:tr>
      <w:tr w:rsidR="00130487" w14:paraId="7C23384A" w14:textId="77777777" w:rsidTr="0079260F">
        <w:tc>
          <w:tcPr>
            <w:tcW w:w="568" w:type="dxa"/>
          </w:tcPr>
          <w:p w14:paraId="038B807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19CC1A51"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461A5B09" w14:textId="3C585A86"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Veselības ministrija</w:t>
            </w:r>
            <w:r w:rsidR="007F7D5A">
              <w:rPr>
                <w:rFonts w:ascii="Times New Roman" w:hAnsi="Times New Roman" w:cs="Times New Roman"/>
                <w:sz w:val="24"/>
                <w:szCs w:val="24"/>
              </w:rPr>
              <w:t>, Nacionālais veselības dienests</w:t>
            </w:r>
            <w:r w:rsidR="00A40144">
              <w:rPr>
                <w:rFonts w:ascii="Times New Roman" w:hAnsi="Times New Roman" w:cs="Times New Roman"/>
                <w:sz w:val="24"/>
                <w:szCs w:val="24"/>
              </w:rPr>
              <w:t xml:space="preserve">, </w:t>
            </w:r>
            <w:r w:rsidR="00845591">
              <w:rPr>
                <w:rFonts w:ascii="Times New Roman" w:hAnsi="Times New Roman" w:cs="Times New Roman"/>
                <w:sz w:val="24"/>
                <w:szCs w:val="24"/>
              </w:rPr>
              <w:t>stacionārās ārstniecības iestādes</w:t>
            </w:r>
            <w:r w:rsidR="00FE2A2A">
              <w:rPr>
                <w:rFonts w:ascii="Times New Roman" w:hAnsi="Times New Roman" w:cs="Times New Roman"/>
                <w:sz w:val="24"/>
                <w:szCs w:val="24"/>
              </w:rPr>
              <w:t xml:space="preserve">  (koordinatora loma VSIA “Paula Stradiņa klīniskā universitātes slimnīca”).  </w:t>
            </w:r>
          </w:p>
        </w:tc>
      </w:tr>
      <w:tr w:rsidR="00130487" w14:paraId="24319FFB" w14:textId="77777777" w:rsidTr="0079260F">
        <w:tc>
          <w:tcPr>
            <w:tcW w:w="568" w:type="dxa"/>
          </w:tcPr>
          <w:p w14:paraId="6E336EC8"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462DF1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6B8D3B87"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1ED3366E"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36C9AED5" w14:textId="77777777" w:rsidTr="006936E5">
        <w:tc>
          <w:tcPr>
            <w:tcW w:w="9356" w:type="dxa"/>
          </w:tcPr>
          <w:p w14:paraId="27DBD010"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5CB6B5E2" w14:textId="77777777" w:rsidTr="006936E5">
        <w:tc>
          <w:tcPr>
            <w:tcW w:w="9356" w:type="dxa"/>
          </w:tcPr>
          <w:p w14:paraId="724503FB"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686C891F"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560"/>
        <w:gridCol w:w="1134"/>
        <w:gridCol w:w="1268"/>
        <w:gridCol w:w="1000"/>
        <w:gridCol w:w="1134"/>
        <w:gridCol w:w="992"/>
        <w:gridCol w:w="992"/>
        <w:gridCol w:w="1276"/>
      </w:tblGrid>
      <w:tr w:rsidR="00842AD1" w14:paraId="6481C77A" w14:textId="77777777" w:rsidTr="006936E5">
        <w:tc>
          <w:tcPr>
            <w:tcW w:w="9356" w:type="dxa"/>
            <w:gridSpan w:val="8"/>
          </w:tcPr>
          <w:p w14:paraId="26D56B4A"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3B65C925" w14:textId="77777777" w:rsidTr="00AD2450">
        <w:tc>
          <w:tcPr>
            <w:tcW w:w="1560" w:type="dxa"/>
            <w:vMerge w:val="restart"/>
          </w:tcPr>
          <w:p w14:paraId="61CE8C1A"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402" w:type="dxa"/>
            <w:gridSpan w:val="2"/>
            <w:vMerge w:val="restart"/>
          </w:tcPr>
          <w:p w14:paraId="4BE1BA28" w14:textId="7F8C18F6"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2DAF5BE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0AD5DA0B" w14:textId="77777777" w:rsidTr="00AD2450">
        <w:tc>
          <w:tcPr>
            <w:tcW w:w="1560" w:type="dxa"/>
            <w:vMerge/>
          </w:tcPr>
          <w:p w14:paraId="4AE25F91" w14:textId="77777777" w:rsidR="00842AD1" w:rsidRDefault="00842AD1" w:rsidP="00EC6E12">
            <w:pPr>
              <w:pStyle w:val="NoSpacing"/>
              <w:rPr>
                <w:rFonts w:ascii="Times New Roman" w:hAnsi="Times New Roman" w:cs="Times New Roman"/>
                <w:iCs/>
                <w:sz w:val="24"/>
                <w:szCs w:val="24"/>
                <w:lang w:eastAsia="lv-LV"/>
              </w:rPr>
            </w:pPr>
          </w:p>
        </w:tc>
        <w:tc>
          <w:tcPr>
            <w:tcW w:w="2402" w:type="dxa"/>
            <w:gridSpan w:val="2"/>
            <w:vMerge/>
          </w:tcPr>
          <w:p w14:paraId="69791052"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6474010A" w14:textId="5C12C73D"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5158C203" w14:textId="579AE8D5"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5517BDB6" w14:textId="60562E4B"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1C96B50C" w14:textId="77777777" w:rsidTr="00AD2450">
        <w:tc>
          <w:tcPr>
            <w:tcW w:w="1560" w:type="dxa"/>
            <w:vMerge/>
          </w:tcPr>
          <w:p w14:paraId="491A9330" w14:textId="77777777" w:rsidR="00842AD1" w:rsidRDefault="00842AD1" w:rsidP="00EC6E12">
            <w:pPr>
              <w:pStyle w:val="NoSpacing"/>
              <w:rPr>
                <w:rFonts w:ascii="Times New Roman" w:hAnsi="Times New Roman" w:cs="Times New Roman"/>
                <w:iCs/>
                <w:sz w:val="24"/>
                <w:szCs w:val="24"/>
                <w:lang w:eastAsia="lv-LV"/>
              </w:rPr>
            </w:pPr>
          </w:p>
        </w:tc>
        <w:tc>
          <w:tcPr>
            <w:tcW w:w="1134" w:type="dxa"/>
          </w:tcPr>
          <w:p w14:paraId="1B8D8550"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F3FFE9E"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izmaiņas kārtējā gadā, salīdzinot ar valsts budžetu </w:t>
            </w:r>
            <w:r w:rsidRPr="00EC6E12">
              <w:rPr>
                <w:rFonts w:ascii="Times New Roman" w:hAnsi="Times New Roman" w:cs="Times New Roman"/>
                <w:iCs/>
                <w:sz w:val="24"/>
                <w:szCs w:val="24"/>
                <w:lang w:eastAsia="lv-LV"/>
              </w:rPr>
              <w:lastRenderedPageBreak/>
              <w:t>kārtējam gadam</w:t>
            </w:r>
          </w:p>
        </w:tc>
        <w:tc>
          <w:tcPr>
            <w:tcW w:w="1000" w:type="dxa"/>
          </w:tcPr>
          <w:p w14:paraId="7517C1D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saskaņā ar vidēja termiņa budžeta ietvaru</w:t>
            </w:r>
          </w:p>
        </w:tc>
        <w:tc>
          <w:tcPr>
            <w:tcW w:w="1134" w:type="dxa"/>
          </w:tcPr>
          <w:p w14:paraId="2B74827E"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FBEDB8A" w14:textId="208660DE"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lastRenderedPageBreak/>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7F906B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saskaņā ar vidēja termiņa budžeta ietvaru</w:t>
            </w:r>
          </w:p>
        </w:tc>
        <w:tc>
          <w:tcPr>
            <w:tcW w:w="992" w:type="dxa"/>
          </w:tcPr>
          <w:p w14:paraId="37835C32" w14:textId="77777777" w:rsidR="00037CA6" w:rsidRDefault="0004685C" w:rsidP="00842AD1">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
          <w:p w14:paraId="4574A91B"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ņas, salīdzi</w:t>
            </w:r>
            <w:r w:rsidR="006E71F7">
              <w:rPr>
                <w:rFonts w:ascii="Times New Roman" w:hAnsi="Times New Roman" w:cs="Times New Roman"/>
                <w:iCs/>
                <w:sz w:val="24"/>
                <w:szCs w:val="24"/>
                <w:lang w:eastAsia="lv-LV"/>
              </w:rPr>
              <w:t>-</w:t>
            </w:r>
          </w:p>
          <w:p w14:paraId="27883A77" w14:textId="2DB0C162"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w:t>
            </w:r>
            <w:r w:rsidRPr="00EC6E12">
              <w:rPr>
                <w:rFonts w:ascii="Times New Roman" w:hAnsi="Times New Roman" w:cs="Times New Roman"/>
                <w:iCs/>
                <w:sz w:val="24"/>
                <w:szCs w:val="24"/>
                <w:lang w:eastAsia="lv-LV"/>
              </w:rPr>
              <w:lastRenderedPageBreak/>
              <w:t xml:space="preserve">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3037AFEA"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izmaiņas, salīdzi</w:t>
            </w:r>
            <w:r w:rsidR="006E71F7">
              <w:rPr>
                <w:rFonts w:ascii="Times New Roman" w:hAnsi="Times New Roman" w:cs="Times New Roman"/>
                <w:iCs/>
                <w:sz w:val="24"/>
                <w:szCs w:val="24"/>
                <w:lang w:eastAsia="lv-LV"/>
              </w:rPr>
              <w:t>-</w:t>
            </w:r>
          </w:p>
          <w:p w14:paraId="63645ED3" w14:textId="6488B373"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lastRenderedPageBreak/>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771DF34B" w14:textId="77777777" w:rsidTr="00AD2450">
        <w:tc>
          <w:tcPr>
            <w:tcW w:w="1560" w:type="dxa"/>
            <w:vAlign w:val="center"/>
          </w:tcPr>
          <w:p w14:paraId="5CAC528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w:t>
            </w:r>
          </w:p>
        </w:tc>
        <w:tc>
          <w:tcPr>
            <w:tcW w:w="1134" w:type="dxa"/>
            <w:vAlign w:val="center"/>
          </w:tcPr>
          <w:p w14:paraId="59E684E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7B851117"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3AED9FA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4911E27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4E2AD1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BA2619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7F86F2C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2705A3A2" w14:textId="77777777" w:rsidTr="00AD2450">
        <w:tc>
          <w:tcPr>
            <w:tcW w:w="1560" w:type="dxa"/>
            <w:vAlign w:val="center"/>
          </w:tcPr>
          <w:p w14:paraId="530B8D7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1134" w:type="dxa"/>
            <w:vAlign w:val="center"/>
          </w:tcPr>
          <w:p w14:paraId="7D3DF20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C79F4E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DB5AC3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D9CB9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0910F8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80E1D1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07DD94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BAC9BE6" w14:textId="77777777" w:rsidTr="00AD2450">
        <w:tc>
          <w:tcPr>
            <w:tcW w:w="1560" w:type="dxa"/>
            <w:vAlign w:val="center"/>
          </w:tcPr>
          <w:p w14:paraId="1E6336B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1134" w:type="dxa"/>
            <w:vAlign w:val="center"/>
          </w:tcPr>
          <w:p w14:paraId="5F372BE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29B13F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25960D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9E4F2D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F45211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14047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CFB31A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3AC25DED" w14:textId="77777777" w:rsidTr="00AD2450">
        <w:tc>
          <w:tcPr>
            <w:tcW w:w="1560" w:type="dxa"/>
            <w:vAlign w:val="center"/>
          </w:tcPr>
          <w:p w14:paraId="57E5A44A"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1134" w:type="dxa"/>
            <w:vAlign w:val="center"/>
          </w:tcPr>
          <w:p w14:paraId="1FDC8DB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B356F5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BFDFA0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96CF39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3CAECF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F156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9C1AF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647C15C" w14:textId="77777777" w:rsidTr="00AD2450">
        <w:tc>
          <w:tcPr>
            <w:tcW w:w="1560" w:type="dxa"/>
            <w:vAlign w:val="center"/>
          </w:tcPr>
          <w:p w14:paraId="4D9A26F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1134" w:type="dxa"/>
            <w:vAlign w:val="center"/>
          </w:tcPr>
          <w:p w14:paraId="2DD496D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FAC4F5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06B7E4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6D8A8A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0CA413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33D5A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1996F1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DD21194" w14:textId="77777777" w:rsidTr="00AD2450">
        <w:tc>
          <w:tcPr>
            <w:tcW w:w="1560" w:type="dxa"/>
            <w:vAlign w:val="center"/>
          </w:tcPr>
          <w:p w14:paraId="69D1D7D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1134" w:type="dxa"/>
          </w:tcPr>
          <w:p w14:paraId="32531346"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3817440A" w14:textId="139DEAFE" w:rsidR="006C12A6" w:rsidRPr="006A5AFA" w:rsidRDefault="00FB59B4" w:rsidP="006C12A6">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206 500</w:t>
            </w:r>
          </w:p>
        </w:tc>
        <w:tc>
          <w:tcPr>
            <w:tcW w:w="1000" w:type="dxa"/>
            <w:vAlign w:val="center"/>
          </w:tcPr>
          <w:p w14:paraId="6F9A04C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B63BA2" w14:textId="3BB67479" w:rsidR="006C12A6" w:rsidRPr="001C797C" w:rsidRDefault="001364E9" w:rsidP="006C12A6">
            <w:pPr>
              <w:pStyle w:val="NoSpacing"/>
              <w:rPr>
                <w:rFonts w:ascii="Times New Roman" w:hAnsi="Times New Roman" w:cs="Times New Roman"/>
                <w:iCs/>
                <w:lang w:eastAsia="lv-LV"/>
              </w:rPr>
            </w:pPr>
            <w:r>
              <w:rPr>
                <w:rFonts w:ascii="Times New Roman" w:hAnsi="Times New Roman" w:cs="Times New Roman"/>
                <w:iCs/>
                <w:lang w:eastAsia="lv-LV"/>
              </w:rPr>
              <w:t>0</w:t>
            </w:r>
            <w:r w:rsidR="006A3B84" w:rsidRPr="00436770">
              <w:rPr>
                <w:rFonts w:ascii="Times New Roman" w:hAnsi="Times New Roman" w:cs="Times New Roman"/>
                <w:iCs/>
                <w:lang w:eastAsia="lv-LV"/>
              </w:rPr>
              <w:t> </w:t>
            </w:r>
          </w:p>
        </w:tc>
        <w:tc>
          <w:tcPr>
            <w:tcW w:w="992" w:type="dxa"/>
            <w:vAlign w:val="center"/>
          </w:tcPr>
          <w:p w14:paraId="241A7AB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6E26F3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7D0517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4C9240C1" w14:textId="77777777" w:rsidTr="00AD2450">
        <w:tc>
          <w:tcPr>
            <w:tcW w:w="1560" w:type="dxa"/>
            <w:vAlign w:val="center"/>
          </w:tcPr>
          <w:p w14:paraId="2EF94251"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1134" w:type="dxa"/>
          </w:tcPr>
          <w:p w14:paraId="2B71F877" w14:textId="77777777" w:rsidR="001364E9" w:rsidRPr="001C797C" w:rsidRDefault="001364E9" w:rsidP="001364E9">
            <w:pPr>
              <w:rPr>
                <w:sz w:val="22"/>
                <w:szCs w:val="22"/>
              </w:rPr>
            </w:pPr>
            <w:r w:rsidRPr="001C797C">
              <w:rPr>
                <w:iCs/>
                <w:sz w:val="22"/>
                <w:szCs w:val="22"/>
              </w:rPr>
              <w:t>0</w:t>
            </w:r>
          </w:p>
        </w:tc>
        <w:tc>
          <w:tcPr>
            <w:tcW w:w="1268" w:type="dxa"/>
            <w:shd w:val="clear" w:color="auto" w:fill="auto"/>
            <w:vAlign w:val="center"/>
          </w:tcPr>
          <w:p w14:paraId="4E55BB4E" w14:textId="2C4CDC27" w:rsidR="001364E9" w:rsidRPr="006A5AFA" w:rsidRDefault="00FB59B4" w:rsidP="001364E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206 500</w:t>
            </w:r>
          </w:p>
        </w:tc>
        <w:tc>
          <w:tcPr>
            <w:tcW w:w="1000" w:type="dxa"/>
            <w:vAlign w:val="center"/>
          </w:tcPr>
          <w:p w14:paraId="49FF8384"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65332C" w14:textId="4C990BB6"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4768FF1E"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20FFD7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A7B705B"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CA514EE" w14:textId="77777777" w:rsidTr="00AD2450">
        <w:tc>
          <w:tcPr>
            <w:tcW w:w="1560" w:type="dxa"/>
            <w:vAlign w:val="center"/>
          </w:tcPr>
          <w:p w14:paraId="21CB02F5"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1134" w:type="dxa"/>
            <w:vAlign w:val="center"/>
          </w:tcPr>
          <w:p w14:paraId="043D387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BACD1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FFA714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D7B02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8D33B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A05B6D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8443B5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64A8407" w14:textId="77777777" w:rsidTr="00AD2450">
        <w:tc>
          <w:tcPr>
            <w:tcW w:w="1560" w:type="dxa"/>
            <w:vAlign w:val="center"/>
          </w:tcPr>
          <w:p w14:paraId="2420BB44"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1134" w:type="dxa"/>
            <w:vAlign w:val="center"/>
          </w:tcPr>
          <w:p w14:paraId="16BCDA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609B15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CE5C9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67C6E5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EA2769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9AB8CE4"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48D6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26AA93A1" w14:textId="77777777" w:rsidTr="00812879">
        <w:tc>
          <w:tcPr>
            <w:tcW w:w="1560" w:type="dxa"/>
            <w:vAlign w:val="center"/>
          </w:tcPr>
          <w:p w14:paraId="63B7DF8D"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1134" w:type="dxa"/>
            <w:vAlign w:val="center"/>
          </w:tcPr>
          <w:p w14:paraId="20080A5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F81E846" w14:textId="1BA6A1C2" w:rsidR="001364E9" w:rsidRPr="0087780A" w:rsidRDefault="001364E9" w:rsidP="001364E9">
            <w:pPr>
              <w:jc w:val="center"/>
              <w:rPr>
                <w:rFonts w:eastAsiaTheme="minorHAnsi"/>
                <w:iCs/>
                <w:sz w:val="22"/>
                <w:szCs w:val="22"/>
              </w:rPr>
            </w:pPr>
            <w:r>
              <w:rPr>
                <w:iCs/>
              </w:rPr>
              <w:t>-</w:t>
            </w:r>
            <w:r w:rsidR="00FB59B4">
              <w:rPr>
                <w:iCs/>
              </w:rPr>
              <w:t>206 500</w:t>
            </w:r>
          </w:p>
        </w:tc>
        <w:tc>
          <w:tcPr>
            <w:tcW w:w="1000" w:type="dxa"/>
            <w:vAlign w:val="center"/>
          </w:tcPr>
          <w:p w14:paraId="65B8AD81"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8E5133D" w14:textId="451FFDBC"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07200226"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1FF305D"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EF415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3B76C9FB" w14:textId="77777777" w:rsidTr="00107569">
        <w:tc>
          <w:tcPr>
            <w:tcW w:w="1560" w:type="dxa"/>
            <w:vAlign w:val="center"/>
          </w:tcPr>
          <w:p w14:paraId="78EE45FA"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1134" w:type="dxa"/>
            <w:vAlign w:val="center"/>
          </w:tcPr>
          <w:p w14:paraId="67FF7464"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E2101CF" w14:textId="62983DEE" w:rsidR="001364E9" w:rsidRPr="0087780A" w:rsidRDefault="001364E9" w:rsidP="001364E9">
            <w:pPr>
              <w:jc w:val="center"/>
              <w:rPr>
                <w:rFonts w:eastAsiaTheme="minorHAnsi"/>
                <w:iCs/>
                <w:sz w:val="22"/>
                <w:szCs w:val="22"/>
              </w:rPr>
            </w:pPr>
            <w:r>
              <w:rPr>
                <w:iCs/>
              </w:rPr>
              <w:t>-</w:t>
            </w:r>
            <w:r w:rsidR="00FB59B4">
              <w:rPr>
                <w:iCs/>
              </w:rPr>
              <w:t>206 500</w:t>
            </w:r>
          </w:p>
        </w:tc>
        <w:tc>
          <w:tcPr>
            <w:tcW w:w="1000" w:type="dxa"/>
            <w:vAlign w:val="center"/>
          </w:tcPr>
          <w:p w14:paraId="634F481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38DE87B" w14:textId="364848F3"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261CAB20"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4DDA89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6998B03"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F9C7387" w14:textId="77777777" w:rsidTr="00AD2450">
        <w:tc>
          <w:tcPr>
            <w:tcW w:w="1560" w:type="dxa"/>
            <w:vAlign w:val="center"/>
          </w:tcPr>
          <w:p w14:paraId="572F7E7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1134" w:type="dxa"/>
            <w:vAlign w:val="center"/>
          </w:tcPr>
          <w:p w14:paraId="54149F9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63B01F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0C7AE6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77ABCC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AA8CE7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905C9E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E207E5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FC1CF64" w14:textId="77777777" w:rsidTr="00AD2450">
        <w:tc>
          <w:tcPr>
            <w:tcW w:w="1560" w:type="dxa"/>
            <w:vAlign w:val="center"/>
          </w:tcPr>
          <w:p w14:paraId="4008CF4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1134" w:type="dxa"/>
            <w:vAlign w:val="center"/>
          </w:tcPr>
          <w:p w14:paraId="2D05548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0878DB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B5374F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BBA6A3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8994F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E24075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73B79F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18A4D8AA" w14:textId="77777777" w:rsidTr="00AD2450">
        <w:tc>
          <w:tcPr>
            <w:tcW w:w="1560" w:type="dxa"/>
            <w:vAlign w:val="center"/>
          </w:tcPr>
          <w:p w14:paraId="493E1C0D"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1134" w:type="dxa"/>
            <w:vAlign w:val="center"/>
          </w:tcPr>
          <w:p w14:paraId="6EC6E7C6"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5FB69AF4" w14:textId="058CC4FB" w:rsidR="001364E9" w:rsidRPr="001C797C" w:rsidRDefault="00FB59B4" w:rsidP="001364E9">
            <w:pPr>
              <w:pStyle w:val="NoSpacing"/>
              <w:rPr>
                <w:rFonts w:ascii="Times New Roman" w:hAnsi="Times New Roman" w:cs="Times New Roman"/>
                <w:iCs/>
                <w:lang w:eastAsia="lv-LV"/>
              </w:rPr>
            </w:pPr>
            <w:r>
              <w:rPr>
                <w:rFonts w:ascii="Times New Roman" w:hAnsi="Times New Roman" w:cs="Times New Roman"/>
                <w:iCs/>
                <w:sz w:val="24"/>
                <w:szCs w:val="24"/>
                <w:lang w:eastAsia="lv-LV"/>
              </w:rPr>
              <w:t>206 500</w:t>
            </w:r>
          </w:p>
        </w:tc>
        <w:tc>
          <w:tcPr>
            <w:tcW w:w="1000" w:type="dxa"/>
            <w:vAlign w:val="center"/>
          </w:tcPr>
          <w:p w14:paraId="7B635E93"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E3028BC" w14:textId="7DB8A66F" w:rsidR="001364E9" w:rsidRPr="001C797C" w:rsidRDefault="001364E9"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08978D8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91DA76C"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ACAE3B"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A0A1126" w14:textId="77777777" w:rsidTr="00AD2450">
        <w:tc>
          <w:tcPr>
            <w:tcW w:w="1560" w:type="dxa"/>
            <w:vAlign w:val="center"/>
          </w:tcPr>
          <w:p w14:paraId="0718B35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5. Precizēta finansiālā ietekme</w:t>
            </w:r>
          </w:p>
        </w:tc>
        <w:tc>
          <w:tcPr>
            <w:tcW w:w="1134" w:type="dxa"/>
            <w:vMerge w:val="restart"/>
            <w:vAlign w:val="center"/>
          </w:tcPr>
          <w:p w14:paraId="59A4282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09A558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73E3BE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98C820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E661FF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E508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3763CD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8D7F3D4" w14:textId="77777777" w:rsidTr="00AD2450">
        <w:tc>
          <w:tcPr>
            <w:tcW w:w="1560" w:type="dxa"/>
            <w:vAlign w:val="center"/>
          </w:tcPr>
          <w:p w14:paraId="7F40CC5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1134" w:type="dxa"/>
            <w:vMerge/>
            <w:vAlign w:val="center"/>
          </w:tcPr>
          <w:p w14:paraId="73EC619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4E6920B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321A0419"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2B1BFC3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BA7883E"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1522B08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EDBFF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2D7EB16C" w14:textId="77777777" w:rsidTr="00AD2450">
        <w:tc>
          <w:tcPr>
            <w:tcW w:w="1560" w:type="dxa"/>
            <w:vAlign w:val="center"/>
          </w:tcPr>
          <w:p w14:paraId="5FB1C74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1134" w:type="dxa"/>
            <w:vMerge/>
            <w:vAlign w:val="center"/>
          </w:tcPr>
          <w:p w14:paraId="423708F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5460F1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261AFE27"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7494D4F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CB9F2ED"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54A92BC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900C4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CDB2E49" w14:textId="77777777" w:rsidTr="00AD2450">
        <w:tc>
          <w:tcPr>
            <w:tcW w:w="1560" w:type="dxa"/>
            <w:vAlign w:val="center"/>
          </w:tcPr>
          <w:p w14:paraId="7069571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1134" w:type="dxa"/>
            <w:vMerge/>
            <w:vAlign w:val="center"/>
          </w:tcPr>
          <w:p w14:paraId="144026C4"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7C1BF34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75024CF"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38A1008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139E0107"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2F9A360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A182F4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591241A7" w14:textId="77777777" w:rsidTr="00AD2450">
        <w:tc>
          <w:tcPr>
            <w:tcW w:w="1560" w:type="dxa"/>
            <w:vAlign w:val="center"/>
          </w:tcPr>
          <w:p w14:paraId="1F8B586D"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shd w:val="clear" w:color="auto" w:fill="auto"/>
          </w:tcPr>
          <w:p w14:paraId="14C02344" w14:textId="08D4039C" w:rsidR="00FB59B4" w:rsidRPr="00A3193D" w:rsidRDefault="00A3193D" w:rsidP="00A3193D">
            <w:pPr>
              <w:jc w:val="both"/>
              <w:rPr>
                <w:iCs/>
              </w:rPr>
            </w:pPr>
            <w:r>
              <w:rPr>
                <w:color w:val="000000" w:themeColor="text1"/>
                <w:shd w:val="clear" w:color="auto" w:fill="FFFFFF"/>
              </w:rPr>
              <w:t xml:space="preserve">         </w:t>
            </w:r>
            <w:r w:rsidR="00D56F78" w:rsidRPr="00A3193D">
              <w:rPr>
                <w:color w:val="000000" w:themeColor="text1"/>
                <w:shd w:val="clear" w:color="auto" w:fill="FFFFFF"/>
              </w:rPr>
              <w:t xml:space="preserve">Rīkojuma projekts paredz </w:t>
            </w:r>
            <w:r w:rsidR="00111684" w:rsidRPr="00A3193D">
              <w:rPr>
                <w:color w:val="000000" w:themeColor="text1"/>
                <w:shd w:val="clear" w:color="auto" w:fill="FFFFFF"/>
              </w:rPr>
              <w:t xml:space="preserve">Finanšu ministrijai no valsts budžeta programmas 02.00.00 “Līdzekļi neparedzētiem gadījumiem” piešķirt Veselības ministrijai (Nacionālajam veselības dienestam) finansējumu </w:t>
            </w:r>
            <w:r w:rsidR="00FB59B4" w:rsidRPr="00A3193D">
              <w:rPr>
                <w:iCs/>
              </w:rPr>
              <w:t xml:space="preserve">206 500 </w:t>
            </w:r>
            <w:r w:rsidR="00FB59B4" w:rsidRPr="00A3193D">
              <w:rPr>
                <w:i/>
              </w:rPr>
              <w:t>euro</w:t>
            </w:r>
            <w:r w:rsidR="00FB59B4" w:rsidRPr="00A3193D">
              <w:rPr>
                <w:iCs/>
              </w:rPr>
              <w:t xml:space="preserve"> apmērā, lai nodrošinātu kombinēta monoklonālo antivielu preparāta REGN-CoV2 (</w:t>
            </w:r>
            <w:r w:rsidR="00FB59B4" w:rsidRPr="00A3193D">
              <w:rPr>
                <w:color w:val="000000" w:themeColor="text1"/>
                <w:shd w:val="clear" w:color="auto" w:fill="FFFFFF"/>
              </w:rPr>
              <w:t>casirivimabs/imdevimabs (firma Roche)</w:t>
            </w:r>
            <w:r w:rsidR="00FB59B4" w:rsidRPr="00A3193D">
              <w:rPr>
                <w:iCs/>
              </w:rPr>
              <w:t xml:space="preserve"> piejamību  Covid-19 ārstēšanas procesā.</w:t>
            </w:r>
          </w:p>
          <w:p w14:paraId="380770FC" w14:textId="75C84C17" w:rsidR="00111684" w:rsidRDefault="00111684" w:rsidP="00FB59B4">
            <w:pPr>
              <w:pStyle w:val="tv213"/>
              <w:tabs>
                <w:tab w:val="left" w:pos="709"/>
              </w:tabs>
              <w:spacing w:before="0" w:beforeAutospacing="0" w:after="0" w:afterAutospacing="0"/>
              <w:jc w:val="both"/>
              <w:rPr>
                <w:color w:val="000000" w:themeColor="text1"/>
                <w:shd w:val="clear" w:color="auto" w:fill="FFFFFF"/>
              </w:rPr>
            </w:pPr>
          </w:p>
          <w:p w14:paraId="1029C963" w14:textId="410A024F" w:rsidR="000066F5" w:rsidRPr="000066F5" w:rsidRDefault="000066F5" w:rsidP="00111684">
            <w:pPr>
              <w:pStyle w:val="tv213"/>
              <w:tabs>
                <w:tab w:val="left" w:pos="709"/>
              </w:tabs>
              <w:spacing w:before="0" w:beforeAutospacing="0" w:after="0" w:afterAutospacing="0"/>
              <w:jc w:val="both"/>
              <w:rPr>
                <w:shd w:val="clear" w:color="auto" w:fill="FFFFFF"/>
              </w:rPr>
            </w:pPr>
            <w:r>
              <w:rPr>
                <w:color w:val="000000" w:themeColor="text1"/>
                <w:shd w:val="clear" w:color="auto" w:fill="FFFFFF"/>
              </w:rPr>
              <w:t xml:space="preserve">       </w:t>
            </w:r>
            <w:r w:rsidRPr="000066F5">
              <w:rPr>
                <w:shd w:val="clear" w:color="auto" w:fill="FFFFFF"/>
              </w:rPr>
              <w:t>Veselības ministrija normatīvajos aktos noteiktajā kārtībā sagatavos un iesniegs Finanšu ministrijā pieprasījumu par šā rīkojuma 1.punktā minēto līdzekļu piešķiršanu no valsts budžeta programmas 02.00.00 “Līdzekļi neparedzētiem gadījumiem”.</w:t>
            </w:r>
          </w:p>
          <w:p w14:paraId="38D0E87F" w14:textId="2F7AB3DF" w:rsidR="00B04418" w:rsidRDefault="000066F5" w:rsidP="00B04418">
            <w:pPr>
              <w:pStyle w:val="tv213"/>
              <w:tabs>
                <w:tab w:val="left" w:pos="709"/>
              </w:tabs>
              <w:spacing w:before="0" w:beforeAutospacing="0" w:after="0" w:afterAutospacing="0"/>
              <w:jc w:val="both"/>
            </w:pPr>
            <w:r>
              <w:rPr>
                <w:color w:val="000000" w:themeColor="text1"/>
                <w:shd w:val="clear" w:color="auto" w:fill="FFFFFF"/>
              </w:rPr>
              <w:t xml:space="preserve">       </w:t>
            </w:r>
            <w:r w:rsidR="00B304A8" w:rsidRPr="00B304A8">
              <w:t xml:space="preserve">Finanšu ministrs normatīvajos aktos noteiktajā kārtībā informēs Saeimas Budžeta un finanšu (nodokļu) komisiju par šā rīkojuma 1.punktā minētajām apropriācijas izmaiņām un, ja Saeimas Budžeta un finanšu (nodokļu) komisija piecu darbdienu laikā no attiecīgās informācijas saņemšanas dienas nebūs iebildusi pret apropriācijas izmaiņām, veiks apropriācijas izmaiņas.                 </w:t>
            </w:r>
          </w:p>
          <w:p w14:paraId="2D1CD4F0" w14:textId="63FBA832" w:rsidR="000116FD" w:rsidRDefault="00C16D72" w:rsidP="00C16D72">
            <w:pPr>
              <w:pStyle w:val="tv213"/>
              <w:tabs>
                <w:tab w:val="left" w:pos="709"/>
              </w:tabs>
              <w:spacing w:before="0" w:beforeAutospacing="0" w:after="0" w:afterAutospacing="0"/>
              <w:ind w:firstLine="456"/>
              <w:jc w:val="both"/>
              <w:rPr>
                <w:color w:val="000000" w:themeColor="text1"/>
                <w:shd w:val="clear" w:color="auto" w:fill="FFFFFF"/>
              </w:rPr>
            </w:pPr>
            <w:r>
              <w:rPr>
                <w:color w:val="000000" w:themeColor="text1"/>
                <w:shd w:val="clear" w:color="auto" w:fill="FFFFFF"/>
              </w:rPr>
              <w:t xml:space="preserve">REGN-CoV2 vienas vienības cena ir 2 065 EUR (bez pievienotās vērtības nodokļa), kas paredzēta viena pacienta ārstēšanai. Kopumā plānots </w:t>
            </w:r>
            <w:r w:rsidR="00CC76FA">
              <w:rPr>
                <w:color w:val="000000" w:themeColor="text1"/>
                <w:shd w:val="clear" w:color="auto" w:fill="FFFFFF"/>
              </w:rPr>
              <w:t xml:space="preserve">Latvijā </w:t>
            </w:r>
            <w:r>
              <w:rPr>
                <w:color w:val="000000" w:themeColor="text1"/>
                <w:shd w:val="clear" w:color="auto" w:fill="FFFFFF"/>
              </w:rPr>
              <w:t xml:space="preserve">ārstēt 100 pacientus. </w:t>
            </w:r>
          </w:p>
          <w:p w14:paraId="6498F36B" w14:textId="77777777" w:rsidR="007C2401" w:rsidRPr="007C2401" w:rsidRDefault="007C2401" w:rsidP="007C2401">
            <w:pPr>
              <w:pStyle w:val="tv213"/>
              <w:tabs>
                <w:tab w:val="left" w:pos="709"/>
              </w:tabs>
              <w:spacing w:before="0" w:beforeAutospacing="0" w:after="0" w:afterAutospacing="0"/>
              <w:ind w:firstLine="454"/>
              <w:jc w:val="both"/>
              <w:rPr>
                <w:color w:val="000000" w:themeColor="text1"/>
                <w:shd w:val="clear" w:color="auto" w:fill="FFFFFF"/>
              </w:rPr>
            </w:pPr>
            <w:r w:rsidRPr="007C2401">
              <w:rPr>
                <w:color w:val="000000" w:themeColor="text1"/>
                <w:shd w:val="clear" w:color="auto" w:fill="FFFFFF"/>
              </w:rPr>
              <w:t>Eiropas Komisija 2020.gada 28.oktobrī pieņēma Lēmumu (ES) 2020/1573, ar kuru groza Lēmumu (ES) 2020/491 par atbrīvojumu no ievedmuitas nodokļiem un no importa PVN, ko piešķir precēm, kas nepieciešamas Covid-19 uzliesmojuma seku apkarošanai 2020.gadā.</w:t>
            </w:r>
          </w:p>
          <w:p w14:paraId="5ABF3373" w14:textId="77777777" w:rsidR="007C2401" w:rsidRPr="005A7D46" w:rsidRDefault="007C2401" w:rsidP="007C2401">
            <w:pPr>
              <w:pStyle w:val="tv213"/>
              <w:tabs>
                <w:tab w:val="left" w:pos="709"/>
              </w:tabs>
              <w:spacing w:before="0" w:beforeAutospacing="0" w:after="0" w:afterAutospacing="0"/>
              <w:ind w:firstLine="454"/>
              <w:jc w:val="both"/>
              <w:rPr>
                <w:shd w:val="clear" w:color="auto" w:fill="FFFFFF"/>
              </w:rPr>
            </w:pPr>
            <w:r w:rsidRPr="007C2401">
              <w:rPr>
                <w:color w:val="000000" w:themeColor="text1"/>
                <w:shd w:val="clear" w:color="auto" w:fill="FFFFFF"/>
              </w:rPr>
              <w:t xml:space="preserve">Ar šo lēmumu līdz 2021.gada 30.aprīlim ir pagarināts ievedmuitas nodokļu </w:t>
            </w:r>
            <w:r w:rsidRPr="005A7D46">
              <w:rPr>
                <w:shd w:val="clear" w:color="auto" w:fill="FFFFFF"/>
              </w:rPr>
              <w:t>un PVN atbrīvojumu piemērošanas termiņš precēm, kas ir nepieciešamas un tiek ievestas no trešajām valstīm Covid-19 uzliesmojuma seku apkarošanai.</w:t>
            </w:r>
          </w:p>
          <w:p w14:paraId="6B1E90EE" w14:textId="0F4B6CB1" w:rsidR="00D01144" w:rsidRPr="005A7D46" w:rsidRDefault="00D01144" w:rsidP="00D01144">
            <w:pPr>
              <w:pStyle w:val="tv213"/>
              <w:tabs>
                <w:tab w:val="left" w:pos="709"/>
              </w:tabs>
              <w:spacing w:before="0" w:beforeAutospacing="0" w:after="0" w:afterAutospacing="0"/>
              <w:ind w:firstLine="454"/>
              <w:jc w:val="both"/>
              <w:rPr>
                <w:shd w:val="clear" w:color="auto" w:fill="FFFFFF"/>
              </w:rPr>
            </w:pPr>
            <w:r w:rsidRPr="005A7D46">
              <w:rPr>
                <w:rFonts w:asciiTheme="majorBidi" w:hAnsiTheme="majorBidi" w:cstheme="majorBidi"/>
              </w:rPr>
              <w:t xml:space="preserve">Savukārt, Eiropas Komisija 2021.gada 19.aprīlī pieņēma Lēmumu  (ES) 2021/660, </w:t>
            </w:r>
            <w:r w:rsidRPr="005A7D46">
              <w:rPr>
                <w:shd w:val="clear" w:color="auto" w:fill="FFFFFF"/>
              </w:rPr>
              <w:t xml:space="preserve">ar kuru groza Lēmumu (ES) 2020/491 </w:t>
            </w:r>
            <w:r w:rsidRPr="005A7D46">
              <w:rPr>
                <w:rFonts w:asciiTheme="majorBidi" w:hAnsiTheme="majorBidi" w:cstheme="majorBidi"/>
              </w:rPr>
              <w:t xml:space="preserve">par atbrīvojumu no ievedmuitas nodokļiem un no importa PVN, ko piešķir precēm, kas nepieciešamas Covid-19 uzliesmojuma seku apkarošanai 2020.gadā. Iepriekš ar Eiropas Komisijas lēmumu bija noteikts, ka atbrīvojums no ievedmuitas nodokļiem un </w:t>
            </w:r>
            <w:r w:rsidR="004C7F5F">
              <w:rPr>
                <w:rFonts w:asciiTheme="majorBidi" w:hAnsiTheme="majorBidi" w:cstheme="majorBidi"/>
              </w:rPr>
              <w:t xml:space="preserve">no importa </w:t>
            </w:r>
            <w:r w:rsidRPr="005A7D46">
              <w:rPr>
                <w:rFonts w:asciiTheme="majorBidi" w:hAnsiTheme="majorBidi" w:cstheme="majorBidi"/>
              </w:rPr>
              <w:t>PVN šādām precēm tiek piešķirts līdz šī gada 30.aprīlim. Attiecīgi uz doto brīdi atbrīvojumi no ievedmuitas nodokļiem un no importa PVN piešķir importam, kas veikts laikā no 2020.gada 30.janvāra līdz 2021.gada 31.decembrim.</w:t>
            </w:r>
          </w:p>
          <w:p w14:paraId="695BA375" w14:textId="09F9EB53" w:rsidR="00684F7B" w:rsidRDefault="007C2401" w:rsidP="007C2401">
            <w:pPr>
              <w:pStyle w:val="tv213"/>
              <w:tabs>
                <w:tab w:val="left" w:pos="709"/>
              </w:tabs>
              <w:spacing w:before="0" w:beforeAutospacing="0" w:after="0" w:afterAutospacing="0"/>
              <w:ind w:firstLine="456"/>
              <w:jc w:val="both"/>
              <w:rPr>
                <w:color w:val="000000" w:themeColor="text1"/>
                <w:shd w:val="clear" w:color="auto" w:fill="FFFFFF"/>
              </w:rPr>
            </w:pPr>
            <w:r w:rsidRPr="007C2401">
              <w:rPr>
                <w:color w:val="000000" w:themeColor="text1"/>
                <w:shd w:val="clear" w:color="auto" w:fill="FFFFFF"/>
              </w:rPr>
              <w:t xml:space="preserve">Tādējādi precēm, kas nepieciešamas Covid-19 uzliesmojuma seku apkarošanai, piešķirts atbrīvojums no ievedmuitas nodokļiem un </w:t>
            </w:r>
            <w:r w:rsidR="004C7F5F">
              <w:rPr>
                <w:color w:val="000000" w:themeColor="text1"/>
                <w:shd w:val="clear" w:color="auto" w:fill="FFFFFF"/>
              </w:rPr>
              <w:t xml:space="preserve">no </w:t>
            </w:r>
            <w:r w:rsidRPr="007C2401">
              <w:rPr>
                <w:color w:val="000000" w:themeColor="text1"/>
                <w:shd w:val="clear" w:color="auto" w:fill="FFFFFF"/>
              </w:rPr>
              <w:t>PVN par importu, kas veikts laikā no 2020.gada 30.janvāra līdz 2021.gada 31.decembrim.</w:t>
            </w:r>
          </w:p>
          <w:p w14:paraId="15FF382C" w14:textId="77777777" w:rsidR="007C2401" w:rsidRDefault="007C2401" w:rsidP="00684F7B">
            <w:pPr>
              <w:pStyle w:val="tv213"/>
              <w:tabs>
                <w:tab w:val="left" w:pos="709"/>
              </w:tabs>
              <w:spacing w:before="0" w:beforeAutospacing="0" w:after="0" w:afterAutospacing="0"/>
              <w:ind w:firstLine="456"/>
              <w:jc w:val="both"/>
            </w:pPr>
          </w:p>
          <w:tbl>
            <w:tblPr>
              <w:tblStyle w:val="TableGrid"/>
              <w:tblW w:w="6120" w:type="dxa"/>
              <w:tblLayout w:type="fixed"/>
              <w:tblLook w:val="04A0" w:firstRow="1" w:lastRow="0" w:firstColumn="1" w:lastColumn="0" w:noHBand="0" w:noVBand="1"/>
            </w:tblPr>
            <w:tblGrid>
              <w:gridCol w:w="1584"/>
              <w:gridCol w:w="1134"/>
              <w:gridCol w:w="1134"/>
              <w:gridCol w:w="992"/>
              <w:gridCol w:w="1276"/>
            </w:tblGrid>
            <w:tr w:rsidR="000116FD" w:rsidRPr="00715106" w14:paraId="3F3BACA0" w14:textId="77777777" w:rsidTr="000116FD">
              <w:tc>
                <w:tcPr>
                  <w:tcW w:w="1584" w:type="dxa"/>
                  <w:shd w:val="clear" w:color="auto" w:fill="D9D9D9" w:themeFill="background1" w:themeFillShade="D9"/>
                </w:tcPr>
                <w:p w14:paraId="3BD8949C" w14:textId="5BAF45F6" w:rsidR="000116FD" w:rsidRPr="00715106" w:rsidRDefault="000116FD" w:rsidP="00C16D72">
                  <w:pPr>
                    <w:pStyle w:val="tv213"/>
                    <w:tabs>
                      <w:tab w:val="left" w:pos="709"/>
                    </w:tabs>
                    <w:spacing w:before="0" w:beforeAutospacing="0" w:after="0" w:afterAutospacing="0"/>
                    <w:jc w:val="both"/>
                    <w:rPr>
                      <w:color w:val="000000" w:themeColor="text1"/>
                      <w:sz w:val="20"/>
                      <w:szCs w:val="20"/>
                      <w:highlight w:val="lightGray"/>
                      <w:shd w:val="clear" w:color="auto" w:fill="FFFFFF"/>
                    </w:rPr>
                  </w:pPr>
                  <w:r w:rsidRPr="00715106">
                    <w:rPr>
                      <w:color w:val="000000" w:themeColor="text1"/>
                      <w:sz w:val="20"/>
                      <w:szCs w:val="20"/>
                      <w:highlight w:val="lightGray"/>
                      <w:shd w:val="clear" w:color="auto" w:fill="FFFFFF"/>
                    </w:rPr>
                    <w:lastRenderedPageBreak/>
                    <w:t>Zāles nosaukums</w:t>
                  </w:r>
                </w:p>
              </w:tc>
              <w:tc>
                <w:tcPr>
                  <w:tcW w:w="1134" w:type="dxa"/>
                  <w:shd w:val="clear" w:color="auto" w:fill="D9D9D9" w:themeFill="background1" w:themeFillShade="D9"/>
                </w:tcPr>
                <w:p w14:paraId="7EC9F24B" w14:textId="2CBE7ABE" w:rsidR="000116FD" w:rsidRPr="00715106" w:rsidRDefault="000116FD" w:rsidP="00C16D72">
                  <w:pPr>
                    <w:pStyle w:val="tv213"/>
                    <w:tabs>
                      <w:tab w:val="left" w:pos="709"/>
                    </w:tabs>
                    <w:spacing w:before="0" w:beforeAutospacing="0" w:after="0" w:afterAutospacing="0"/>
                    <w:jc w:val="both"/>
                    <w:rPr>
                      <w:color w:val="000000" w:themeColor="text1"/>
                      <w:sz w:val="20"/>
                      <w:szCs w:val="20"/>
                      <w:highlight w:val="lightGray"/>
                      <w:shd w:val="clear" w:color="auto" w:fill="FFFFFF"/>
                    </w:rPr>
                  </w:pPr>
                  <w:r w:rsidRPr="00715106">
                    <w:rPr>
                      <w:color w:val="000000" w:themeColor="text1"/>
                      <w:sz w:val="20"/>
                      <w:szCs w:val="20"/>
                      <w:highlight w:val="lightGray"/>
                      <w:shd w:val="clear" w:color="auto" w:fill="FFFFFF"/>
                    </w:rPr>
                    <w:t>Vienas vienības izmaksas (bez PVN)</w:t>
                  </w:r>
                </w:p>
              </w:tc>
              <w:tc>
                <w:tcPr>
                  <w:tcW w:w="1134" w:type="dxa"/>
                  <w:shd w:val="clear" w:color="auto" w:fill="D9D9D9" w:themeFill="background1" w:themeFillShade="D9"/>
                </w:tcPr>
                <w:p w14:paraId="44768A6D" w14:textId="0DA78E9A" w:rsidR="000116FD" w:rsidRPr="00715106" w:rsidRDefault="000116FD" w:rsidP="00C16D72">
                  <w:pPr>
                    <w:pStyle w:val="tv213"/>
                    <w:tabs>
                      <w:tab w:val="left" w:pos="709"/>
                    </w:tabs>
                    <w:spacing w:before="0" w:beforeAutospacing="0" w:after="0" w:afterAutospacing="0"/>
                    <w:jc w:val="both"/>
                    <w:rPr>
                      <w:color w:val="000000" w:themeColor="text1"/>
                      <w:sz w:val="20"/>
                      <w:szCs w:val="20"/>
                      <w:highlight w:val="lightGray"/>
                      <w:shd w:val="clear" w:color="auto" w:fill="FFFFFF"/>
                    </w:rPr>
                  </w:pPr>
                  <w:r w:rsidRPr="00715106">
                    <w:rPr>
                      <w:color w:val="000000" w:themeColor="text1"/>
                      <w:sz w:val="20"/>
                      <w:szCs w:val="20"/>
                      <w:highlight w:val="lightGray"/>
                      <w:shd w:val="clear" w:color="auto" w:fill="FFFFFF"/>
                    </w:rPr>
                    <w:t>Daudzums (gab)</w:t>
                  </w:r>
                </w:p>
              </w:tc>
              <w:tc>
                <w:tcPr>
                  <w:tcW w:w="992" w:type="dxa"/>
                  <w:shd w:val="clear" w:color="auto" w:fill="D0CECE" w:themeFill="background2" w:themeFillShade="E6"/>
                </w:tcPr>
                <w:p w14:paraId="3F0F523E" w14:textId="04FF9228" w:rsidR="000116FD" w:rsidRPr="00715106" w:rsidRDefault="000116FD" w:rsidP="00C16D72">
                  <w:pPr>
                    <w:pStyle w:val="tv213"/>
                    <w:tabs>
                      <w:tab w:val="left" w:pos="709"/>
                    </w:tabs>
                    <w:spacing w:before="0" w:beforeAutospacing="0" w:after="0" w:afterAutospacing="0"/>
                    <w:jc w:val="both"/>
                    <w:rPr>
                      <w:color w:val="000000" w:themeColor="text1"/>
                      <w:sz w:val="20"/>
                      <w:szCs w:val="20"/>
                      <w:highlight w:val="lightGray"/>
                      <w:shd w:val="clear" w:color="auto" w:fill="FFFFFF"/>
                    </w:rPr>
                  </w:pPr>
                  <w:r>
                    <w:rPr>
                      <w:color w:val="000000" w:themeColor="text1"/>
                      <w:sz w:val="20"/>
                      <w:szCs w:val="20"/>
                      <w:highlight w:val="lightGray"/>
                      <w:shd w:val="clear" w:color="auto" w:fill="FFFFFF"/>
                    </w:rPr>
                    <w:t>Kopā (bez PVN)</w:t>
                  </w:r>
                </w:p>
              </w:tc>
              <w:tc>
                <w:tcPr>
                  <w:tcW w:w="1276" w:type="dxa"/>
                  <w:shd w:val="clear" w:color="auto" w:fill="D0CECE" w:themeFill="background2" w:themeFillShade="E6"/>
                </w:tcPr>
                <w:p w14:paraId="24612E58" w14:textId="0D09A097" w:rsidR="000116FD" w:rsidRPr="00715106" w:rsidRDefault="000116FD" w:rsidP="00C16D72">
                  <w:pPr>
                    <w:pStyle w:val="tv213"/>
                    <w:tabs>
                      <w:tab w:val="left" w:pos="709"/>
                    </w:tabs>
                    <w:spacing w:before="0" w:beforeAutospacing="0" w:after="0" w:afterAutospacing="0"/>
                    <w:jc w:val="both"/>
                    <w:rPr>
                      <w:color w:val="000000" w:themeColor="text1"/>
                      <w:sz w:val="20"/>
                      <w:szCs w:val="20"/>
                      <w:highlight w:val="lightGray"/>
                      <w:shd w:val="clear" w:color="auto" w:fill="FFFFFF"/>
                    </w:rPr>
                  </w:pPr>
                  <w:r w:rsidRPr="00715106">
                    <w:rPr>
                      <w:color w:val="000000" w:themeColor="text1"/>
                      <w:sz w:val="20"/>
                      <w:szCs w:val="20"/>
                      <w:highlight w:val="lightGray"/>
                      <w:shd w:val="clear" w:color="auto" w:fill="FFFFFF"/>
                    </w:rPr>
                    <w:t>Kopējais finansējums (</w:t>
                  </w:r>
                  <w:r>
                    <w:rPr>
                      <w:color w:val="000000" w:themeColor="text1"/>
                      <w:sz w:val="20"/>
                      <w:szCs w:val="20"/>
                      <w:highlight w:val="lightGray"/>
                      <w:shd w:val="clear" w:color="auto" w:fill="FFFFFF"/>
                    </w:rPr>
                    <w:t>bez</w:t>
                  </w:r>
                  <w:r w:rsidRPr="00715106">
                    <w:rPr>
                      <w:color w:val="000000" w:themeColor="text1"/>
                      <w:sz w:val="20"/>
                      <w:szCs w:val="20"/>
                      <w:highlight w:val="lightGray"/>
                      <w:shd w:val="clear" w:color="auto" w:fill="FFFFFF"/>
                    </w:rPr>
                    <w:t xml:space="preserve"> PVN)</w:t>
                  </w:r>
                </w:p>
              </w:tc>
            </w:tr>
            <w:tr w:rsidR="000116FD" w:rsidRPr="00715106" w14:paraId="3A143683" w14:textId="77777777" w:rsidTr="000116FD">
              <w:tc>
                <w:tcPr>
                  <w:tcW w:w="1584" w:type="dxa"/>
                </w:tcPr>
                <w:p w14:paraId="04322220" w14:textId="48DE16C2" w:rsidR="000116FD" w:rsidRPr="00715106" w:rsidRDefault="000116FD" w:rsidP="00C16D72">
                  <w:pPr>
                    <w:pStyle w:val="tv213"/>
                    <w:tabs>
                      <w:tab w:val="left" w:pos="709"/>
                    </w:tabs>
                    <w:spacing w:before="0" w:beforeAutospacing="0" w:after="0" w:afterAutospacing="0"/>
                    <w:jc w:val="both"/>
                    <w:rPr>
                      <w:color w:val="000000" w:themeColor="text1"/>
                      <w:sz w:val="20"/>
                      <w:szCs w:val="20"/>
                      <w:shd w:val="clear" w:color="auto" w:fill="FFFFFF"/>
                    </w:rPr>
                  </w:pPr>
                  <w:r w:rsidRPr="00715106">
                    <w:rPr>
                      <w:color w:val="000000" w:themeColor="text1"/>
                      <w:sz w:val="20"/>
                      <w:szCs w:val="20"/>
                      <w:shd w:val="clear" w:color="auto" w:fill="FFFFFF"/>
                    </w:rPr>
                    <w:t>REGN-CoV2</w:t>
                  </w:r>
                </w:p>
              </w:tc>
              <w:tc>
                <w:tcPr>
                  <w:tcW w:w="1134" w:type="dxa"/>
                </w:tcPr>
                <w:p w14:paraId="1253E3F8" w14:textId="1F5972A4" w:rsidR="000116FD" w:rsidRPr="00715106" w:rsidRDefault="000116FD" w:rsidP="00C16D72">
                  <w:pPr>
                    <w:pStyle w:val="tv213"/>
                    <w:tabs>
                      <w:tab w:val="left" w:pos="709"/>
                    </w:tabs>
                    <w:spacing w:before="0" w:beforeAutospacing="0" w:after="0" w:afterAutospacing="0"/>
                    <w:jc w:val="both"/>
                    <w:rPr>
                      <w:color w:val="000000" w:themeColor="text1"/>
                      <w:sz w:val="20"/>
                      <w:szCs w:val="20"/>
                      <w:shd w:val="clear" w:color="auto" w:fill="FFFFFF"/>
                    </w:rPr>
                  </w:pPr>
                  <w:r w:rsidRPr="00715106">
                    <w:rPr>
                      <w:color w:val="000000" w:themeColor="text1"/>
                      <w:sz w:val="20"/>
                      <w:szCs w:val="20"/>
                      <w:shd w:val="clear" w:color="auto" w:fill="FFFFFF"/>
                    </w:rPr>
                    <w:t>2 065</w:t>
                  </w:r>
                </w:p>
              </w:tc>
              <w:tc>
                <w:tcPr>
                  <w:tcW w:w="1134" w:type="dxa"/>
                </w:tcPr>
                <w:p w14:paraId="375D595E" w14:textId="42DA450D" w:rsidR="000116FD" w:rsidRPr="00715106" w:rsidRDefault="000116FD" w:rsidP="00C16D72">
                  <w:pPr>
                    <w:pStyle w:val="tv213"/>
                    <w:tabs>
                      <w:tab w:val="left" w:pos="709"/>
                    </w:tabs>
                    <w:spacing w:before="0" w:beforeAutospacing="0" w:after="0" w:afterAutospacing="0"/>
                    <w:jc w:val="both"/>
                    <w:rPr>
                      <w:color w:val="000000" w:themeColor="text1"/>
                      <w:sz w:val="20"/>
                      <w:szCs w:val="20"/>
                      <w:shd w:val="clear" w:color="auto" w:fill="FFFFFF"/>
                    </w:rPr>
                  </w:pPr>
                  <w:r w:rsidRPr="00715106">
                    <w:rPr>
                      <w:color w:val="000000" w:themeColor="text1"/>
                      <w:sz w:val="20"/>
                      <w:szCs w:val="20"/>
                      <w:shd w:val="clear" w:color="auto" w:fill="FFFFFF"/>
                    </w:rPr>
                    <w:t>100</w:t>
                  </w:r>
                </w:p>
              </w:tc>
              <w:tc>
                <w:tcPr>
                  <w:tcW w:w="992" w:type="dxa"/>
                </w:tcPr>
                <w:p w14:paraId="3E2B9F25" w14:textId="7D73374F" w:rsidR="000116FD" w:rsidRDefault="000116FD" w:rsidP="00C16D72">
                  <w:pPr>
                    <w:pStyle w:val="tv213"/>
                    <w:tabs>
                      <w:tab w:val="left" w:pos="709"/>
                    </w:tabs>
                    <w:spacing w:before="0" w:beforeAutospacing="0" w:after="0" w:afterAutospacing="0"/>
                    <w:jc w:val="both"/>
                    <w:rPr>
                      <w:color w:val="000000" w:themeColor="text1"/>
                      <w:sz w:val="20"/>
                      <w:szCs w:val="20"/>
                      <w:shd w:val="clear" w:color="auto" w:fill="FFFFFF"/>
                    </w:rPr>
                  </w:pPr>
                  <w:r>
                    <w:rPr>
                      <w:color w:val="000000" w:themeColor="text1"/>
                      <w:sz w:val="20"/>
                      <w:szCs w:val="20"/>
                      <w:shd w:val="clear" w:color="auto" w:fill="FFFFFF"/>
                    </w:rPr>
                    <w:t>206 500</w:t>
                  </w:r>
                </w:p>
              </w:tc>
              <w:tc>
                <w:tcPr>
                  <w:tcW w:w="1276" w:type="dxa"/>
                </w:tcPr>
                <w:p w14:paraId="133A2E70" w14:textId="38FA02BC" w:rsidR="000116FD" w:rsidRPr="00715106" w:rsidRDefault="000116FD" w:rsidP="00C16D72">
                  <w:pPr>
                    <w:pStyle w:val="tv213"/>
                    <w:tabs>
                      <w:tab w:val="left" w:pos="709"/>
                    </w:tabs>
                    <w:spacing w:before="0" w:beforeAutospacing="0" w:after="0" w:afterAutospacing="0"/>
                    <w:jc w:val="both"/>
                    <w:rPr>
                      <w:color w:val="000000" w:themeColor="text1"/>
                      <w:sz w:val="20"/>
                      <w:szCs w:val="20"/>
                      <w:shd w:val="clear" w:color="auto" w:fill="FFFFFF"/>
                    </w:rPr>
                  </w:pPr>
                  <w:r>
                    <w:rPr>
                      <w:color w:val="000000" w:themeColor="text1"/>
                      <w:sz w:val="20"/>
                      <w:szCs w:val="20"/>
                      <w:shd w:val="clear" w:color="auto" w:fill="FFFFFF"/>
                    </w:rPr>
                    <w:t>206 500</w:t>
                  </w:r>
                </w:p>
              </w:tc>
            </w:tr>
            <w:tr w:rsidR="000116FD" w:rsidRPr="00715106" w14:paraId="2AA3E1E1" w14:textId="77777777" w:rsidTr="000116FD">
              <w:tc>
                <w:tcPr>
                  <w:tcW w:w="1584" w:type="dxa"/>
                </w:tcPr>
                <w:p w14:paraId="5FF781FD" w14:textId="77777777" w:rsidR="000116FD" w:rsidRPr="00715106" w:rsidRDefault="000116FD" w:rsidP="00C16D72">
                  <w:pPr>
                    <w:pStyle w:val="tv213"/>
                    <w:tabs>
                      <w:tab w:val="left" w:pos="709"/>
                    </w:tabs>
                    <w:spacing w:before="0" w:beforeAutospacing="0" w:after="0" w:afterAutospacing="0"/>
                    <w:jc w:val="both"/>
                    <w:rPr>
                      <w:color w:val="000000" w:themeColor="text1"/>
                      <w:sz w:val="20"/>
                      <w:szCs w:val="20"/>
                      <w:shd w:val="clear" w:color="auto" w:fill="FFFFFF"/>
                    </w:rPr>
                  </w:pPr>
                </w:p>
              </w:tc>
              <w:tc>
                <w:tcPr>
                  <w:tcW w:w="1134" w:type="dxa"/>
                </w:tcPr>
                <w:p w14:paraId="3542BF3F" w14:textId="77777777" w:rsidR="000116FD" w:rsidRPr="00715106" w:rsidRDefault="000116FD" w:rsidP="00C16D72">
                  <w:pPr>
                    <w:pStyle w:val="tv213"/>
                    <w:tabs>
                      <w:tab w:val="left" w:pos="709"/>
                    </w:tabs>
                    <w:spacing w:before="0" w:beforeAutospacing="0" w:after="0" w:afterAutospacing="0"/>
                    <w:jc w:val="both"/>
                    <w:rPr>
                      <w:color w:val="000000" w:themeColor="text1"/>
                      <w:sz w:val="20"/>
                      <w:szCs w:val="20"/>
                      <w:shd w:val="clear" w:color="auto" w:fill="FFFFFF"/>
                    </w:rPr>
                  </w:pPr>
                </w:p>
              </w:tc>
              <w:tc>
                <w:tcPr>
                  <w:tcW w:w="1134" w:type="dxa"/>
                </w:tcPr>
                <w:p w14:paraId="5CAFA2C9" w14:textId="714B9EC7" w:rsidR="000116FD" w:rsidRPr="00715106" w:rsidRDefault="000116FD" w:rsidP="00C16D72">
                  <w:pPr>
                    <w:pStyle w:val="tv213"/>
                    <w:tabs>
                      <w:tab w:val="left" w:pos="709"/>
                    </w:tabs>
                    <w:spacing w:before="0" w:beforeAutospacing="0" w:after="0" w:afterAutospacing="0"/>
                    <w:jc w:val="both"/>
                    <w:rPr>
                      <w:b/>
                      <w:bCs/>
                      <w:color w:val="000000" w:themeColor="text1"/>
                      <w:sz w:val="20"/>
                      <w:szCs w:val="20"/>
                      <w:shd w:val="clear" w:color="auto" w:fill="FFFFFF"/>
                    </w:rPr>
                  </w:pPr>
                  <w:r w:rsidRPr="00715106">
                    <w:rPr>
                      <w:b/>
                      <w:bCs/>
                      <w:color w:val="000000" w:themeColor="text1"/>
                      <w:sz w:val="20"/>
                      <w:szCs w:val="20"/>
                      <w:shd w:val="clear" w:color="auto" w:fill="FFFFFF"/>
                    </w:rPr>
                    <w:t>KOPĀ:</w:t>
                  </w:r>
                </w:p>
              </w:tc>
              <w:tc>
                <w:tcPr>
                  <w:tcW w:w="992" w:type="dxa"/>
                </w:tcPr>
                <w:p w14:paraId="50367189" w14:textId="77777777" w:rsidR="000116FD" w:rsidRPr="00715106" w:rsidRDefault="000116FD" w:rsidP="00C16D72">
                  <w:pPr>
                    <w:pStyle w:val="tv213"/>
                    <w:tabs>
                      <w:tab w:val="left" w:pos="709"/>
                    </w:tabs>
                    <w:spacing w:before="0" w:beforeAutospacing="0" w:after="0" w:afterAutospacing="0"/>
                    <w:jc w:val="both"/>
                    <w:rPr>
                      <w:b/>
                      <w:bCs/>
                      <w:color w:val="000000" w:themeColor="text1"/>
                      <w:sz w:val="20"/>
                      <w:szCs w:val="20"/>
                      <w:shd w:val="clear" w:color="auto" w:fill="FFFFFF"/>
                    </w:rPr>
                  </w:pPr>
                </w:p>
              </w:tc>
              <w:tc>
                <w:tcPr>
                  <w:tcW w:w="1276" w:type="dxa"/>
                </w:tcPr>
                <w:p w14:paraId="5904DD1F" w14:textId="4F0A1A2B" w:rsidR="000116FD" w:rsidRPr="00715106" w:rsidRDefault="00366C91" w:rsidP="00C16D72">
                  <w:pPr>
                    <w:pStyle w:val="tv213"/>
                    <w:tabs>
                      <w:tab w:val="left" w:pos="709"/>
                    </w:tabs>
                    <w:spacing w:before="0" w:beforeAutospacing="0" w:after="0" w:afterAutospacing="0"/>
                    <w:jc w:val="both"/>
                    <w:rPr>
                      <w:b/>
                      <w:bCs/>
                      <w:color w:val="000000" w:themeColor="text1"/>
                      <w:sz w:val="20"/>
                      <w:szCs w:val="20"/>
                      <w:shd w:val="clear" w:color="auto" w:fill="FFFFFF"/>
                    </w:rPr>
                  </w:pPr>
                  <w:r>
                    <w:rPr>
                      <w:b/>
                      <w:bCs/>
                      <w:color w:val="000000" w:themeColor="text1"/>
                      <w:sz w:val="20"/>
                      <w:szCs w:val="20"/>
                      <w:shd w:val="clear" w:color="auto" w:fill="FFFFFF"/>
                    </w:rPr>
                    <w:t>206 500</w:t>
                  </w:r>
                </w:p>
              </w:tc>
            </w:tr>
          </w:tbl>
          <w:p w14:paraId="3FCDE68B" w14:textId="6D870E2B" w:rsidR="004963DB" w:rsidRPr="00F33321" w:rsidRDefault="004963DB" w:rsidP="00DE3CBF">
            <w:pPr>
              <w:pStyle w:val="tv213"/>
              <w:tabs>
                <w:tab w:val="left" w:pos="709"/>
              </w:tabs>
              <w:spacing w:before="0" w:beforeAutospacing="0" w:after="0" w:afterAutospacing="0"/>
              <w:jc w:val="both"/>
              <w:rPr>
                <w:color w:val="000000" w:themeColor="text1"/>
                <w:shd w:val="clear" w:color="auto" w:fill="FFFFFF"/>
              </w:rPr>
            </w:pPr>
          </w:p>
        </w:tc>
      </w:tr>
      <w:tr w:rsidR="00F530FE" w14:paraId="7FB7D7AC" w14:textId="77777777" w:rsidTr="00AD2450">
        <w:tc>
          <w:tcPr>
            <w:tcW w:w="1560" w:type="dxa"/>
            <w:vAlign w:val="center"/>
          </w:tcPr>
          <w:p w14:paraId="2C6D97B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796" w:type="dxa"/>
            <w:gridSpan w:val="7"/>
            <w:vMerge/>
            <w:shd w:val="clear" w:color="auto" w:fill="auto"/>
            <w:vAlign w:val="center"/>
          </w:tcPr>
          <w:p w14:paraId="0362C8A3"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3315D75A" w14:textId="77777777" w:rsidTr="00AD2450">
        <w:tc>
          <w:tcPr>
            <w:tcW w:w="1560" w:type="dxa"/>
            <w:vAlign w:val="center"/>
          </w:tcPr>
          <w:p w14:paraId="4AD9E61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796" w:type="dxa"/>
            <w:gridSpan w:val="7"/>
            <w:vMerge/>
            <w:shd w:val="clear" w:color="auto" w:fill="auto"/>
            <w:vAlign w:val="center"/>
          </w:tcPr>
          <w:p w14:paraId="245D8722"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7D423F28" w14:textId="77777777" w:rsidTr="00AD2450">
        <w:tc>
          <w:tcPr>
            <w:tcW w:w="1560" w:type="dxa"/>
            <w:vAlign w:val="center"/>
          </w:tcPr>
          <w:p w14:paraId="67F373C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796" w:type="dxa"/>
            <w:gridSpan w:val="7"/>
            <w:vAlign w:val="center"/>
          </w:tcPr>
          <w:p w14:paraId="01ADA291"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685EF0AE" w14:textId="77777777" w:rsidTr="00AD2450">
        <w:tc>
          <w:tcPr>
            <w:tcW w:w="1560" w:type="dxa"/>
            <w:vAlign w:val="center"/>
          </w:tcPr>
          <w:p w14:paraId="717DE15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796" w:type="dxa"/>
            <w:gridSpan w:val="7"/>
            <w:vAlign w:val="center"/>
          </w:tcPr>
          <w:p w14:paraId="602E3974" w14:textId="34E30068" w:rsidR="00F530FE" w:rsidRPr="00EC6E12" w:rsidRDefault="00881958" w:rsidP="00F530FE">
            <w:pPr>
              <w:pStyle w:val="NoSpacing"/>
              <w:jc w:val="both"/>
              <w:rPr>
                <w:rFonts w:ascii="Times New Roman" w:hAnsi="Times New Roman" w:cs="Times New Roman"/>
                <w:iCs/>
                <w:sz w:val="24"/>
                <w:szCs w:val="24"/>
                <w:lang w:eastAsia="lv-LV"/>
              </w:rPr>
            </w:pPr>
            <w:r w:rsidRPr="00881958">
              <w:rPr>
                <w:rFonts w:ascii="Times New Roman" w:hAnsi="Times New Roman" w:cs="Times New Roman"/>
                <w:sz w:val="24"/>
              </w:rPr>
              <w:t>Izdevumi tiks veikti Veselības ministrijas budžeta programmas 99.00.00 “Līdzekļu neparedzētiem gadījumiem izlietojums” ietvaros, līdzekļus pārdalot no valsts budžeta programmas 02.00.00 “Līdzekļi neparedzētiem gadījumiem”.</w:t>
            </w:r>
          </w:p>
        </w:tc>
      </w:tr>
    </w:tbl>
    <w:p w14:paraId="1D441F60"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61FBC7B1" w14:textId="77777777" w:rsidTr="006936E5">
        <w:tc>
          <w:tcPr>
            <w:tcW w:w="9356" w:type="dxa"/>
          </w:tcPr>
          <w:p w14:paraId="5974696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1A3A55C1" w14:textId="77777777" w:rsidTr="006936E5">
        <w:tc>
          <w:tcPr>
            <w:tcW w:w="9356" w:type="dxa"/>
          </w:tcPr>
          <w:p w14:paraId="1328AB2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AF88024"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77E38316" w14:textId="77777777" w:rsidTr="006936E5">
        <w:tc>
          <w:tcPr>
            <w:tcW w:w="9356" w:type="dxa"/>
          </w:tcPr>
          <w:p w14:paraId="3A58B34E"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2F8CFEEA" w14:textId="77777777" w:rsidTr="006936E5">
        <w:tc>
          <w:tcPr>
            <w:tcW w:w="9356" w:type="dxa"/>
          </w:tcPr>
          <w:p w14:paraId="6E28D5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F1C132D"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5D024F8C" w14:textId="77777777" w:rsidTr="006936E5">
        <w:tc>
          <w:tcPr>
            <w:tcW w:w="9356" w:type="dxa"/>
          </w:tcPr>
          <w:p w14:paraId="031879B9"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CD26FBD" w14:textId="77777777" w:rsidTr="006936E5">
        <w:tc>
          <w:tcPr>
            <w:tcW w:w="9356" w:type="dxa"/>
          </w:tcPr>
          <w:p w14:paraId="3CB2A78C"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015833F"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1017D6E9" w14:textId="77777777" w:rsidTr="006936E5">
        <w:tc>
          <w:tcPr>
            <w:tcW w:w="9356" w:type="dxa"/>
            <w:gridSpan w:val="3"/>
          </w:tcPr>
          <w:p w14:paraId="7458DCB4"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1064137E" w14:textId="77777777" w:rsidTr="006936E5">
        <w:tc>
          <w:tcPr>
            <w:tcW w:w="568" w:type="dxa"/>
          </w:tcPr>
          <w:p w14:paraId="7D9C634F"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39AD684"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162479DF" w14:textId="26EBA185" w:rsidR="007F7D5A" w:rsidRPr="00D65792" w:rsidRDefault="000116FD" w:rsidP="007F7D5A">
            <w:pPr>
              <w:jc w:val="both"/>
            </w:pPr>
            <w:r w:rsidRPr="000116FD">
              <w:t>Veselības ministrija, Nacionālais veselības dienests, stacionārās ārstniecības iestādes</w:t>
            </w:r>
            <w:r w:rsidR="00FE2A2A">
              <w:t xml:space="preserve"> (koordinatora loma VSIA “Paula Stradiņa klīniskā universitātes slimnīca”).  </w:t>
            </w:r>
          </w:p>
        </w:tc>
      </w:tr>
      <w:tr w:rsidR="0049601C" w14:paraId="2BFF82C0" w14:textId="77777777" w:rsidTr="006936E5">
        <w:tc>
          <w:tcPr>
            <w:tcW w:w="568" w:type="dxa"/>
          </w:tcPr>
          <w:p w14:paraId="6A4C7414"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120E2306"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4362450B" w14:textId="77777777" w:rsidR="0049601C" w:rsidRPr="00D65792" w:rsidRDefault="0049601C" w:rsidP="0049601C">
            <w:r w:rsidRPr="00D65792">
              <w:t>Projekts šo jomu neskar.</w:t>
            </w:r>
          </w:p>
        </w:tc>
      </w:tr>
      <w:tr w:rsidR="0049601C" w14:paraId="16E17E0A" w14:textId="77777777" w:rsidTr="006936E5">
        <w:tc>
          <w:tcPr>
            <w:tcW w:w="568" w:type="dxa"/>
          </w:tcPr>
          <w:p w14:paraId="0447CBBB"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515F7F74"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57A959A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63AD10B6"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0166F01C" w14:textId="77777777" w:rsidR="008B37B7" w:rsidRDefault="008B37B7" w:rsidP="00EC6E12">
      <w:pPr>
        <w:pStyle w:val="NoSpacing"/>
        <w:rPr>
          <w:rFonts w:ascii="Times New Roman" w:hAnsi="Times New Roman" w:cs="Times New Roman"/>
          <w:iCs/>
          <w:sz w:val="24"/>
          <w:szCs w:val="24"/>
          <w:lang w:eastAsia="lv-LV"/>
        </w:rPr>
      </w:pPr>
    </w:p>
    <w:p w14:paraId="65161B6A" w14:textId="12E75840" w:rsidR="00DF461F" w:rsidRPr="00344B73" w:rsidRDefault="00DC2DAF" w:rsidP="00DF461F">
      <w:pPr>
        <w:ind w:right="-765"/>
        <w:rPr>
          <w:sz w:val="28"/>
          <w:szCs w:val="28"/>
        </w:rPr>
      </w:pPr>
      <w:bookmarkStart w:id="0" w:name="_Hlk60918739"/>
      <w:r w:rsidRPr="00845591">
        <w:rPr>
          <w:sz w:val="28"/>
          <w:szCs w:val="28"/>
        </w:rPr>
        <w:t>Veselības ministr</w:t>
      </w:r>
      <w:r w:rsidR="00344B73">
        <w:rPr>
          <w:sz w:val="28"/>
          <w:szCs w:val="28"/>
        </w:rPr>
        <w:t>s</w:t>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r w:rsidR="00344B73">
        <w:rPr>
          <w:sz w:val="28"/>
          <w:szCs w:val="28"/>
        </w:rPr>
        <w:t>D.Pavļuts</w:t>
      </w:r>
    </w:p>
    <w:bookmarkEnd w:id="0"/>
    <w:p w14:paraId="1C26A906" w14:textId="77777777" w:rsidR="00DF461F" w:rsidRDefault="00DF461F" w:rsidP="00DF461F">
      <w:pPr>
        <w:tabs>
          <w:tab w:val="left" w:pos="6237"/>
        </w:tabs>
        <w:ind w:firstLine="720"/>
        <w:rPr>
          <w:rFonts w:eastAsiaTheme="minorHAnsi"/>
          <w:sz w:val="28"/>
          <w:szCs w:val="28"/>
        </w:rPr>
      </w:pPr>
      <w:r>
        <w:rPr>
          <w:sz w:val="28"/>
          <w:szCs w:val="28"/>
        </w:rPr>
        <w:tab/>
      </w:r>
    </w:p>
    <w:p w14:paraId="300343AB" w14:textId="0EA3C7D5"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7C2401">
        <w:rPr>
          <w:rFonts w:eastAsia="Calibri"/>
          <w:color w:val="000000" w:themeColor="text1"/>
          <w:sz w:val="28"/>
          <w:szCs w:val="28"/>
        </w:rPr>
        <w:t>I.Dreika</w:t>
      </w:r>
    </w:p>
    <w:p w14:paraId="46E5F681" w14:textId="77777777" w:rsidR="00B6729B" w:rsidRDefault="00B6729B" w:rsidP="00155578">
      <w:pPr>
        <w:pStyle w:val="NormalWeb"/>
        <w:spacing w:before="0" w:beforeAutospacing="0" w:after="0" w:afterAutospacing="0"/>
      </w:pPr>
    </w:p>
    <w:p w14:paraId="7F2E88CD" w14:textId="7DBB9FDD" w:rsidR="00155578" w:rsidRPr="003B7AFB" w:rsidRDefault="00AF69C9" w:rsidP="00155578">
      <w:pPr>
        <w:pStyle w:val="NormalWeb"/>
        <w:spacing w:before="0" w:beforeAutospacing="0" w:after="0" w:afterAutospacing="0"/>
      </w:pPr>
      <w:r>
        <w:t>Belovs</w:t>
      </w:r>
      <w:r w:rsidR="00155578" w:rsidRPr="003B7AFB">
        <w:t xml:space="preserve"> 67876</w:t>
      </w:r>
      <w:r w:rsidR="00470506">
        <w:t>0</w:t>
      </w:r>
      <w:r>
        <w:t>05</w:t>
      </w:r>
    </w:p>
    <w:p w14:paraId="37432DCA" w14:textId="4A1F61D8" w:rsidR="00E465CE" w:rsidRDefault="00210B79">
      <w:pPr>
        <w:pStyle w:val="NormalWeb"/>
        <w:spacing w:before="0" w:beforeAutospacing="0" w:after="0" w:afterAutospacing="0"/>
      </w:pPr>
      <w:hyperlink r:id="rId8" w:history="1">
        <w:r w:rsidR="00AF69C9" w:rsidRPr="001B4FA5">
          <w:rPr>
            <w:rStyle w:val="Hyperlink"/>
          </w:rPr>
          <w:t>igors.belovs@vm.gov.lv</w:t>
        </w:r>
      </w:hyperlink>
    </w:p>
    <w:sectPr w:rsidR="00E465C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48C64" w14:textId="77777777" w:rsidR="00B9769A" w:rsidRDefault="00B9769A" w:rsidP="00894C55">
      <w:r>
        <w:separator/>
      </w:r>
    </w:p>
  </w:endnote>
  <w:endnote w:type="continuationSeparator" w:id="0">
    <w:p w14:paraId="1F65859C" w14:textId="77777777" w:rsidR="00B9769A" w:rsidRDefault="00B9769A"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17BE" w14:textId="2EEE6A0E" w:rsidR="002074A4" w:rsidRPr="00AF69C9" w:rsidRDefault="00AF69C9"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373A3">
      <w:rPr>
        <w:rFonts w:ascii="Times New Roman" w:hAnsi="Times New Roman" w:cs="Times New Roman"/>
        <w:noProof/>
        <w:sz w:val="20"/>
        <w:szCs w:val="20"/>
      </w:rPr>
      <w:t>VManot_</w:t>
    </w:r>
    <w:r w:rsidR="009D6BEF">
      <w:rPr>
        <w:rFonts w:ascii="Times New Roman" w:hAnsi="Times New Roman" w:cs="Times New Roman"/>
        <w:noProof/>
        <w:sz w:val="20"/>
        <w:szCs w:val="20"/>
      </w:rPr>
      <w:t>0</w:t>
    </w:r>
    <w:r w:rsidR="00210B79">
      <w:rPr>
        <w:rFonts w:ascii="Times New Roman" w:hAnsi="Times New Roman" w:cs="Times New Roman"/>
        <w:noProof/>
        <w:sz w:val="20"/>
        <w:szCs w:val="20"/>
      </w:rPr>
      <w:t>2</w:t>
    </w:r>
    <w:r w:rsidR="009D6BEF">
      <w:rPr>
        <w:rFonts w:ascii="Times New Roman" w:hAnsi="Times New Roman" w:cs="Times New Roman"/>
        <w:noProof/>
        <w:sz w:val="20"/>
        <w:szCs w:val="20"/>
      </w:rPr>
      <w:t>07</w:t>
    </w:r>
    <w:r w:rsidR="00B373A3">
      <w:rPr>
        <w:rFonts w:ascii="Times New Roman" w:hAnsi="Times New Roman" w:cs="Times New Roman"/>
        <w:noProof/>
        <w:sz w:val="20"/>
        <w:szCs w:val="20"/>
      </w:rPr>
      <w:t>21_LNG_reg</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062B" w14:textId="73BDE4A3" w:rsidR="002074A4" w:rsidRPr="00AF69C9" w:rsidRDefault="00AF69C9"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373A3">
      <w:rPr>
        <w:rFonts w:ascii="Times New Roman" w:hAnsi="Times New Roman" w:cs="Times New Roman"/>
        <w:noProof/>
        <w:sz w:val="20"/>
        <w:szCs w:val="20"/>
      </w:rPr>
      <w:t>VManot_</w:t>
    </w:r>
    <w:r w:rsidR="009D6BEF">
      <w:rPr>
        <w:rFonts w:ascii="Times New Roman" w:hAnsi="Times New Roman" w:cs="Times New Roman"/>
        <w:noProof/>
        <w:sz w:val="20"/>
        <w:szCs w:val="20"/>
      </w:rPr>
      <w:t>0</w:t>
    </w:r>
    <w:r w:rsidR="00210B79">
      <w:rPr>
        <w:rFonts w:ascii="Times New Roman" w:hAnsi="Times New Roman" w:cs="Times New Roman"/>
        <w:noProof/>
        <w:sz w:val="20"/>
        <w:szCs w:val="20"/>
      </w:rPr>
      <w:t>2</w:t>
    </w:r>
    <w:r w:rsidR="009D6BEF">
      <w:rPr>
        <w:rFonts w:ascii="Times New Roman" w:hAnsi="Times New Roman" w:cs="Times New Roman"/>
        <w:noProof/>
        <w:sz w:val="20"/>
        <w:szCs w:val="20"/>
      </w:rPr>
      <w:t>07</w:t>
    </w:r>
    <w:r w:rsidR="00B373A3">
      <w:rPr>
        <w:rFonts w:ascii="Times New Roman" w:hAnsi="Times New Roman" w:cs="Times New Roman"/>
        <w:noProof/>
        <w:sz w:val="20"/>
        <w:szCs w:val="20"/>
      </w:rPr>
      <w:t>21_LNG_reg</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24AE7" w14:textId="77777777" w:rsidR="00B9769A" w:rsidRDefault="00B9769A" w:rsidP="00894C55">
      <w:r>
        <w:separator/>
      </w:r>
    </w:p>
  </w:footnote>
  <w:footnote w:type="continuationSeparator" w:id="0">
    <w:p w14:paraId="11703927" w14:textId="77777777" w:rsidR="00B9769A" w:rsidRDefault="00B9769A"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E696C2"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369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56A2ACE"/>
    <w:multiLevelType w:val="multilevel"/>
    <w:tmpl w:val="C2DE36B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66F5"/>
    <w:rsid w:val="0000729D"/>
    <w:rsid w:val="00010109"/>
    <w:rsid w:val="000116FD"/>
    <w:rsid w:val="00012055"/>
    <w:rsid w:val="000140B8"/>
    <w:rsid w:val="00015508"/>
    <w:rsid w:val="000179BB"/>
    <w:rsid w:val="0002126E"/>
    <w:rsid w:val="00021774"/>
    <w:rsid w:val="00031925"/>
    <w:rsid w:val="00035CD5"/>
    <w:rsid w:val="00035E6E"/>
    <w:rsid w:val="00037257"/>
    <w:rsid w:val="00037B1E"/>
    <w:rsid w:val="00037CA6"/>
    <w:rsid w:val="0004022B"/>
    <w:rsid w:val="00041BCC"/>
    <w:rsid w:val="0004685C"/>
    <w:rsid w:val="00047FF1"/>
    <w:rsid w:val="00050143"/>
    <w:rsid w:val="00051EE3"/>
    <w:rsid w:val="00055704"/>
    <w:rsid w:val="00062E25"/>
    <w:rsid w:val="0006374D"/>
    <w:rsid w:val="00064959"/>
    <w:rsid w:val="00067B40"/>
    <w:rsid w:val="0007255D"/>
    <w:rsid w:val="000746B1"/>
    <w:rsid w:val="00076EDC"/>
    <w:rsid w:val="00080BB1"/>
    <w:rsid w:val="0008249D"/>
    <w:rsid w:val="00087E40"/>
    <w:rsid w:val="000946D7"/>
    <w:rsid w:val="00095F9A"/>
    <w:rsid w:val="000A1461"/>
    <w:rsid w:val="000A21B9"/>
    <w:rsid w:val="000A4002"/>
    <w:rsid w:val="000A4A1E"/>
    <w:rsid w:val="000A7DB5"/>
    <w:rsid w:val="000B0F4A"/>
    <w:rsid w:val="000B32B9"/>
    <w:rsid w:val="000B54FA"/>
    <w:rsid w:val="000C16C7"/>
    <w:rsid w:val="000C4480"/>
    <w:rsid w:val="000C568F"/>
    <w:rsid w:val="000C7E9B"/>
    <w:rsid w:val="000D04E5"/>
    <w:rsid w:val="000D069C"/>
    <w:rsid w:val="000D26B7"/>
    <w:rsid w:val="000D3254"/>
    <w:rsid w:val="000D7BBA"/>
    <w:rsid w:val="000E0D22"/>
    <w:rsid w:val="000E6028"/>
    <w:rsid w:val="000E6A4B"/>
    <w:rsid w:val="000E6D72"/>
    <w:rsid w:val="000F470B"/>
    <w:rsid w:val="001001E8"/>
    <w:rsid w:val="00111684"/>
    <w:rsid w:val="00113381"/>
    <w:rsid w:val="00114A05"/>
    <w:rsid w:val="001154B8"/>
    <w:rsid w:val="00116F95"/>
    <w:rsid w:val="00120033"/>
    <w:rsid w:val="00127069"/>
    <w:rsid w:val="00130487"/>
    <w:rsid w:val="00133FF1"/>
    <w:rsid w:val="001360AF"/>
    <w:rsid w:val="00136376"/>
    <w:rsid w:val="001364E9"/>
    <w:rsid w:val="00140644"/>
    <w:rsid w:val="00141039"/>
    <w:rsid w:val="001412C1"/>
    <w:rsid w:val="001416FE"/>
    <w:rsid w:val="0014584E"/>
    <w:rsid w:val="001462C3"/>
    <w:rsid w:val="0015016B"/>
    <w:rsid w:val="001507E7"/>
    <w:rsid w:val="0015188C"/>
    <w:rsid w:val="00152501"/>
    <w:rsid w:val="001525D7"/>
    <w:rsid w:val="00154A6D"/>
    <w:rsid w:val="00155578"/>
    <w:rsid w:val="00157405"/>
    <w:rsid w:val="00162996"/>
    <w:rsid w:val="001650D3"/>
    <w:rsid w:val="0017373E"/>
    <w:rsid w:val="00177A29"/>
    <w:rsid w:val="001834A1"/>
    <w:rsid w:val="0018516A"/>
    <w:rsid w:val="0019349E"/>
    <w:rsid w:val="001A2778"/>
    <w:rsid w:val="001A559D"/>
    <w:rsid w:val="001A5818"/>
    <w:rsid w:val="001A7F37"/>
    <w:rsid w:val="001B6C59"/>
    <w:rsid w:val="001C2F68"/>
    <w:rsid w:val="001C4FAF"/>
    <w:rsid w:val="001C5440"/>
    <w:rsid w:val="001C768D"/>
    <w:rsid w:val="001C797C"/>
    <w:rsid w:val="001C7E53"/>
    <w:rsid w:val="001D0F46"/>
    <w:rsid w:val="001D4B02"/>
    <w:rsid w:val="001D5E4E"/>
    <w:rsid w:val="001D66EB"/>
    <w:rsid w:val="001D723F"/>
    <w:rsid w:val="001E06C4"/>
    <w:rsid w:val="001E37ED"/>
    <w:rsid w:val="001E7774"/>
    <w:rsid w:val="001E7EAF"/>
    <w:rsid w:val="001F0CB6"/>
    <w:rsid w:val="001F1B21"/>
    <w:rsid w:val="001F4EA3"/>
    <w:rsid w:val="001F6AC3"/>
    <w:rsid w:val="002019D8"/>
    <w:rsid w:val="002074A4"/>
    <w:rsid w:val="00210B79"/>
    <w:rsid w:val="002119C3"/>
    <w:rsid w:val="00220B1B"/>
    <w:rsid w:val="00223CED"/>
    <w:rsid w:val="0022453A"/>
    <w:rsid w:val="0022577C"/>
    <w:rsid w:val="00230841"/>
    <w:rsid w:val="0023168A"/>
    <w:rsid w:val="002355FE"/>
    <w:rsid w:val="00243426"/>
    <w:rsid w:val="002549F5"/>
    <w:rsid w:val="00256091"/>
    <w:rsid w:val="00256B6E"/>
    <w:rsid w:val="002702EA"/>
    <w:rsid w:val="0027706F"/>
    <w:rsid w:val="00282312"/>
    <w:rsid w:val="00282C66"/>
    <w:rsid w:val="002834FB"/>
    <w:rsid w:val="00284852"/>
    <w:rsid w:val="00284C2D"/>
    <w:rsid w:val="0028659C"/>
    <w:rsid w:val="00287A59"/>
    <w:rsid w:val="00293399"/>
    <w:rsid w:val="00293D80"/>
    <w:rsid w:val="002948BA"/>
    <w:rsid w:val="002971E2"/>
    <w:rsid w:val="002A217A"/>
    <w:rsid w:val="002A5E5F"/>
    <w:rsid w:val="002B6C5A"/>
    <w:rsid w:val="002C1F22"/>
    <w:rsid w:val="002C6CE2"/>
    <w:rsid w:val="002C75B1"/>
    <w:rsid w:val="002D1E95"/>
    <w:rsid w:val="002D3F58"/>
    <w:rsid w:val="002E1C05"/>
    <w:rsid w:val="002E6CE7"/>
    <w:rsid w:val="002F2DDA"/>
    <w:rsid w:val="002F32CD"/>
    <w:rsid w:val="002F4A30"/>
    <w:rsid w:val="002F4F43"/>
    <w:rsid w:val="002F6A12"/>
    <w:rsid w:val="002F7B64"/>
    <w:rsid w:val="00303246"/>
    <w:rsid w:val="003102E6"/>
    <w:rsid w:val="00312097"/>
    <w:rsid w:val="00312466"/>
    <w:rsid w:val="00313AD3"/>
    <w:rsid w:val="003142B7"/>
    <w:rsid w:val="00317A20"/>
    <w:rsid w:val="00320014"/>
    <w:rsid w:val="003205CD"/>
    <w:rsid w:val="003243B6"/>
    <w:rsid w:val="00331B99"/>
    <w:rsid w:val="0033371C"/>
    <w:rsid w:val="00334745"/>
    <w:rsid w:val="00335899"/>
    <w:rsid w:val="00340618"/>
    <w:rsid w:val="00340F13"/>
    <w:rsid w:val="00341D70"/>
    <w:rsid w:val="00344B73"/>
    <w:rsid w:val="00350806"/>
    <w:rsid w:val="00355843"/>
    <w:rsid w:val="003605E4"/>
    <w:rsid w:val="00360972"/>
    <w:rsid w:val="00361916"/>
    <w:rsid w:val="00362642"/>
    <w:rsid w:val="00362E82"/>
    <w:rsid w:val="00366C91"/>
    <w:rsid w:val="003671CE"/>
    <w:rsid w:val="00367478"/>
    <w:rsid w:val="00367AB5"/>
    <w:rsid w:val="00367E06"/>
    <w:rsid w:val="00372641"/>
    <w:rsid w:val="00372ACB"/>
    <w:rsid w:val="00380C6D"/>
    <w:rsid w:val="00381D72"/>
    <w:rsid w:val="003874BB"/>
    <w:rsid w:val="003903BF"/>
    <w:rsid w:val="00394A4C"/>
    <w:rsid w:val="003A2F4D"/>
    <w:rsid w:val="003B0BF9"/>
    <w:rsid w:val="003B76AB"/>
    <w:rsid w:val="003C0235"/>
    <w:rsid w:val="003C2624"/>
    <w:rsid w:val="003C44BC"/>
    <w:rsid w:val="003C7AEA"/>
    <w:rsid w:val="003D0902"/>
    <w:rsid w:val="003D23E3"/>
    <w:rsid w:val="003D3453"/>
    <w:rsid w:val="003D4330"/>
    <w:rsid w:val="003D6DD6"/>
    <w:rsid w:val="003E0791"/>
    <w:rsid w:val="003E0FF4"/>
    <w:rsid w:val="003E4147"/>
    <w:rsid w:val="003F1F2D"/>
    <w:rsid w:val="003F28AC"/>
    <w:rsid w:val="003F66CA"/>
    <w:rsid w:val="00401BDC"/>
    <w:rsid w:val="00401F30"/>
    <w:rsid w:val="00403A2F"/>
    <w:rsid w:val="00414CE4"/>
    <w:rsid w:val="004150E1"/>
    <w:rsid w:val="00416490"/>
    <w:rsid w:val="0041654D"/>
    <w:rsid w:val="00417A7A"/>
    <w:rsid w:val="00420133"/>
    <w:rsid w:val="00421EB1"/>
    <w:rsid w:val="00431C39"/>
    <w:rsid w:val="0043377F"/>
    <w:rsid w:val="00435568"/>
    <w:rsid w:val="00436770"/>
    <w:rsid w:val="0043765E"/>
    <w:rsid w:val="004454FE"/>
    <w:rsid w:val="00451F79"/>
    <w:rsid w:val="00452463"/>
    <w:rsid w:val="00456E40"/>
    <w:rsid w:val="004622AB"/>
    <w:rsid w:val="00462915"/>
    <w:rsid w:val="00463B4E"/>
    <w:rsid w:val="00467DE3"/>
    <w:rsid w:val="00470506"/>
    <w:rsid w:val="00470591"/>
    <w:rsid w:val="00470ECD"/>
    <w:rsid w:val="00471230"/>
    <w:rsid w:val="00471F27"/>
    <w:rsid w:val="00475F37"/>
    <w:rsid w:val="00485E78"/>
    <w:rsid w:val="0048753C"/>
    <w:rsid w:val="004875DD"/>
    <w:rsid w:val="00493BF2"/>
    <w:rsid w:val="00494F80"/>
    <w:rsid w:val="00495760"/>
    <w:rsid w:val="0049601C"/>
    <w:rsid w:val="004963DB"/>
    <w:rsid w:val="004A42F1"/>
    <w:rsid w:val="004B15B6"/>
    <w:rsid w:val="004B5A63"/>
    <w:rsid w:val="004B7D07"/>
    <w:rsid w:val="004C09A5"/>
    <w:rsid w:val="004C1FE7"/>
    <w:rsid w:val="004C44A1"/>
    <w:rsid w:val="004C7F5F"/>
    <w:rsid w:val="004D2294"/>
    <w:rsid w:val="004D6991"/>
    <w:rsid w:val="004D7640"/>
    <w:rsid w:val="004E0175"/>
    <w:rsid w:val="004E1BA2"/>
    <w:rsid w:val="004E282B"/>
    <w:rsid w:val="004E29AE"/>
    <w:rsid w:val="004F0343"/>
    <w:rsid w:val="004F7DEC"/>
    <w:rsid w:val="0050178F"/>
    <w:rsid w:val="00502D97"/>
    <w:rsid w:val="00503281"/>
    <w:rsid w:val="005109D3"/>
    <w:rsid w:val="005164DD"/>
    <w:rsid w:val="005169EA"/>
    <w:rsid w:val="005174C0"/>
    <w:rsid w:val="00520FE1"/>
    <w:rsid w:val="005242EC"/>
    <w:rsid w:val="00526ADC"/>
    <w:rsid w:val="00526E2C"/>
    <w:rsid w:val="00527D8B"/>
    <w:rsid w:val="00527F00"/>
    <w:rsid w:val="00533206"/>
    <w:rsid w:val="005349F0"/>
    <w:rsid w:val="00534E5E"/>
    <w:rsid w:val="00535C88"/>
    <w:rsid w:val="00541371"/>
    <w:rsid w:val="005534E6"/>
    <w:rsid w:val="00553E16"/>
    <w:rsid w:val="00564C6B"/>
    <w:rsid w:val="0056696D"/>
    <w:rsid w:val="00566AD6"/>
    <w:rsid w:val="005728A3"/>
    <w:rsid w:val="00576F44"/>
    <w:rsid w:val="00577052"/>
    <w:rsid w:val="00577E5A"/>
    <w:rsid w:val="005805C4"/>
    <w:rsid w:val="00580732"/>
    <w:rsid w:val="005826B6"/>
    <w:rsid w:val="005856D9"/>
    <w:rsid w:val="00585E31"/>
    <w:rsid w:val="00592966"/>
    <w:rsid w:val="00594B91"/>
    <w:rsid w:val="005957DC"/>
    <w:rsid w:val="005A4C76"/>
    <w:rsid w:val="005A7D46"/>
    <w:rsid w:val="005B1660"/>
    <w:rsid w:val="005C26DA"/>
    <w:rsid w:val="005C5A84"/>
    <w:rsid w:val="005D34DD"/>
    <w:rsid w:val="005D54F2"/>
    <w:rsid w:val="005D68A5"/>
    <w:rsid w:val="005E25B2"/>
    <w:rsid w:val="005E5FFC"/>
    <w:rsid w:val="005F0566"/>
    <w:rsid w:val="005F4FE2"/>
    <w:rsid w:val="005F7160"/>
    <w:rsid w:val="005F7BA4"/>
    <w:rsid w:val="006043EA"/>
    <w:rsid w:val="00606EF9"/>
    <w:rsid w:val="0061155F"/>
    <w:rsid w:val="006232F5"/>
    <w:rsid w:val="00626AC5"/>
    <w:rsid w:val="00627016"/>
    <w:rsid w:val="00627631"/>
    <w:rsid w:val="006335C0"/>
    <w:rsid w:val="00635B83"/>
    <w:rsid w:val="0064126F"/>
    <w:rsid w:val="0064127B"/>
    <w:rsid w:val="0064498B"/>
    <w:rsid w:val="00644B15"/>
    <w:rsid w:val="00646244"/>
    <w:rsid w:val="0064653C"/>
    <w:rsid w:val="00647B3D"/>
    <w:rsid w:val="00651CC1"/>
    <w:rsid w:val="006538AC"/>
    <w:rsid w:val="00655F2C"/>
    <w:rsid w:val="0065758B"/>
    <w:rsid w:val="006620AD"/>
    <w:rsid w:val="00663AF4"/>
    <w:rsid w:val="0066441B"/>
    <w:rsid w:val="00665761"/>
    <w:rsid w:val="0066594E"/>
    <w:rsid w:val="0066749E"/>
    <w:rsid w:val="0067466F"/>
    <w:rsid w:val="00680A3B"/>
    <w:rsid w:val="00681F74"/>
    <w:rsid w:val="006842C0"/>
    <w:rsid w:val="00684F7B"/>
    <w:rsid w:val="00685E0B"/>
    <w:rsid w:val="006936E5"/>
    <w:rsid w:val="006A31D0"/>
    <w:rsid w:val="006A3331"/>
    <w:rsid w:val="006A3B84"/>
    <w:rsid w:val="006A479C"/>
    <w:rsid w:val="006A4B9B"/>
    <w:rsid w:val="006A4BF8"/>
    <w:rsid w:val="006A5A9B"/>
    <w:rsid w:val="006A5AFA"/>
    <w:rsid w:val="006A5DEF"/>
    <w:rsid w:val="006B221B"/>
    <w:rsid w:val="006B490A"/>
    <w:rsid w:val="006C0EB5"/>
    <w:rsid w:val="006C12A6"/>
    <w:rsid w:val="006C219D"/>
    <w:rsid w:val="006C2DFF"/>
    <w:rsid w:val="006C7AE7"/>
    <w:rsid w:val="006D2DEB"/>
    <w:rsid w:val="006D4250"/>
    <w:rsid w:val="006E0366"/>
    <w:rsid w:val="006E1081"/>
    <w:rsid w:val="006E587D"/>
    <w:rsid w:val="006E71F7"/>
    <w:rsid w:val="006F09C2"/>
    <w:rsid w:val="006F0FC6"/>
    <w:rsid w:val="006F193F"/>
    <w:rsid w:val="006F265C"/>
    <w:rsid w:val="006F4690"/>
    <w:rsid w:val="006F56B9"/>
    <w:rsid w:val="00700907"/>
    <w:rsid w:val="00701AC4"/>
    <w:rsid w:val="00702CFD"/>
    <w:rsid w:val="00706417"/>
    <w:rsid w:val="00707161"/>
    <w:rsid w:val="00714300"/>
    <w:rsid w:val="00715106"/>
    <w:rsid w:val="00717FAF"/>
    <w:rsid w:val="00720585"/>
    <w:rsid w:val="00720987"/>
    <w:rsid w:val="00726660"/>
    <w:rsid w:val="007272A8"/>
    <w:rsid w:val="00727895"/>
    <w:rsid w:val="00731F8C"/>
    <w:rsid w:val="0073369E"/>
    <w:rsid w:val="00740D0B"/>
    <w:rsid w:val="00740EEA"/>
    <w:rsid w:val="00742254"/>
    <w:rsid w:val="00742F60"/>
    <w:rsid w:val="007441D5"/>
    <w:rsid w:val="00746399"/>
    <w:rsid w:val="0074680C"/>
    <w:rsid w:val="00750D89"/>
    <w:rsid w:val="00751927"/>
    <w:rsid w:val="00752E65"/>
    <w:rsid w:val="007606BC"/>
    <w:rsid w:val="007606BD"/>
    <w:rsid w:val="007614B1"/>
    <w:rsid w:val="007644AC"/>
    <w:rsid w:val="00765B2E"/>
    <w:rsid w:val="00766BFA"/>
    <w:rsid w:val="00773AF6"/>
    <w:rsid w:val="00773EC6"/>
    <w:rsid w:val="00776EE7"/>
    <w:rsid w:val="007775AA"/>
    <w:rsid w:val="00780184"/>
    <w:rsid w:val="00781317"/>
    <w:rsid w:val="00782C47"/>
    <w:rsid w:val="00783617"/>
    <w:rsid w:val="0078647F"/>
    <w:rsid w:val="007864E5"/>
    <w:rsid w:val="0079260F"/>
    <w:rsid w:val="00793180"/>
    <w:rsid w:val="00795DD0"/>
    <w:rsid w:val="00795F71"/>
    <w:rsid w:val="007A0DA7"/>
    <w:rsid w:val="007A3F62"/>
    <w:rsid w:val="007A7695"/>
    <w:rsid w:val="007A7826"/>
    <w:rsid w:val="007B1C39"/>
    <w:rsid w:val="007B1D31"/>
    <w:rsid w:val="007B24E0"/>
    <w:rsid w:val="007B3917"/>
    <w:rsid w:val="007B3A0F"/>
    <w:rsid w:val="007B4E09"/>
    <w:rsid w:val="007B7A0E"/>
    <w:rsid w:val="007C2401"/>
    <w:rsid w:val="007C3D1F"/>
    <w:rsid w:val="007D632A"/>
    <w:rsid w:val="007D695F"/>
    <w:rsid w:val="007D6D57"/>
    <w:rsid w:val="007D793B"/>
    <w:rsid w:val="007E06B4"/>
    <w:rsid w:val="007E3BCE"/>
    <w:rsid w:val="007E4DF3"/>
    <w:rsid w:val="007E5F7A"/>
    <w:rsid w:val="007E6AAA"/>
    <w:rsid w:val="007E73AB"/>
    <w:rsid w:val="007F2EF9"/>
    <w:rsid w:val="007F6F87"/>
    <w:rsid w:val="007F7D5A"/>
    <w:rsid w:val="008026A5"/>
    <w:rsid w:val="0080508B"/>
    <w:rsid w:val="008055ED"/>
    <w:rsid w:val="00805F4C"/>
    <w:rsid w:val="00811F73"/>
    <w:rsid w:val="008127C3"/>
    <w:rsid w:val="008155C8"/>
    <w:rsid w:val="00816479"/>
    <w:rsid w:val="008168AC"/>
    <w:rsid w:val="00816C11"/>
    <w:rsid w:val="00817B91"/>
    <w:rsid w:val="00822C45"/>
    <w:rsid w:val="00824A17"/>
    <w:rsid w:val="008256CB"/>
    <w:rsid w:val="00830B14"/>
    <w:rsid w:val="00831629"/>
    <w:rsid w:val="00832D80"/>
    <w:rsid w:val="008377DD"/>
    <w:rsid w:val="00840EE9"/>
    <w:rsid w:val="00842113"/>
    <w:rsid w:val="00842AD1"/>
    <w:rsid w:val="00845591"/>
    <w:rsid w:val="008470F2"/>
    <w:rsid w:val="00851D8B"/>
    <w:rsid w:val="00852F24"/>
    <w:rsid w:val="0085714D"/>
    <w:rsid w:val="00860032"/>
    <w:rsid w:val="00861998"/>
    <w:rsid w:val="00863DCA"/>
    <w:rsid w:val="00864BE6"/>
    <w:rsid w:val="00867737"/>
    <w:rsid w:val="00874A6E"/>
    <w:rsid w:val="00875194"/>
    <w:rsid w:val="0087595E"/>
    <w:rsid w:val="00875A9D"/>
    <w:rsid w:val="00877646"/>
    <w:rsid w:val="0087780A"/>
    <w:rsid w:val="00880941"/>
    <w:rsid w:val="00881958"/>
    <w:rsid w:val="008870FC"/>
    <w:rsid w:val="00891AF0"/>
    <w:rsid w:val="00891CFD"/>
    <w:rsid w:val="00894C55"/>
    <w:rsid w:val="008954E8"/>
    <w:rsid w:val="00896510"/>
    <w:rsid w:val="00896A9B"/>
    <w:rsid w:val="00896B28"/>
    <w:rsid w:val="008A66C9"/>
    <w:rsid w:val="008A6921"/>
    <w:rsid w:val="008B37B7"/>
    <w:rsid w:val="008B6A13"/>
    <w:rsid w:val="008B7B38"/>
    <w:rsid w:val="008C1794"/>
    <w:rsid w:val="008C2003"/>
    <w:rsid w:val="008C563B"/>
    <w:rsid w:val="008C7E5C"/>
    <w:rsid w:val="008D16B8"/>
    <w:rsid w:val="008D372B"/>
    <w:rsid w:val="008E09D7"/>
    <w:rsid w:val="008E4FC1"/>
    <w:rsid w:val="008E61BF"/>
    <w:rsid w:val="008F504A"/>
    <w:rsid w:val="008F5220"/>
    <w:rsid w:val="008F746D"/>
    <w:rsid w:val="0090017B"/>
    <w:rsid w:val="00900815"/>
    <w:rsid w:val="00903694"/>
    <w:rsid w:val="00904934"/>
    <w:rsid w:val="00904B72"/>
    <w:rsid w:val="00910BAE"/>
    <w:rsid w:val="009115E9"/>
    <w:rsid w:val="0091192F"/>
    <w:rsid w:val="00912458"/>
    <w:rsid w:val="0091488A"/>
    <w:rsid w:val="009172D2"/>
    <w:rsid w:val="0091740C"/>
    <w:rsid w:val="00922C9E"/>
    <w:rsid w:val="00922E9E"/>
    <w:rsid w:val="0092387C"/>
    <w:rsid w:val="009271C0"/>
    <w:rsid w:val="00931C65"/>
    <w:rsid w:val="00931F74"/>
    <w:rsid w:val="0093309A"/>
    <w:rsid w:val="009337F9"/>
    <w:rsid w:val="00934582"/>
    <w:rsid w:val="0094176A"/>
    <w:rsid w:val="00945CE6"/>
    <w:rsid w:val="00945D69"/>
    <w:rsid w:val="00947033"/>
    <w:rsid w:val="009505DA"/>
    <w:rsid w:val="00950BF1"/>
    <w:rsid w:val="00950DF4"/>
    <w:rsid w:val="00952108"/>
    <w:rsid w:val="00952FE1"/>
    <w:rsid w:val="009547D2"/>
    <w:rsid w:val="0096085E"/>
    <w:rsid w:val="00960937"/>
    <w:rsid w:val="009644BB"/>
    <w:rsid w:val="00966B5F"/>
    <w:rsid w:val="00972E35"/>
    <w:rsid w:val="009740EA"/>
    <w:rsid w:val="009741D2"/>
    <w:rsid w:val="00985FA7"/>
    <w:rsid w:val="00986BC6"/>
    <w:rsid w:val="009870A7"/>
    <w:rsid w:val="009907E2"/>
    <w:rsid w:val="009936B8"/>
    <w:rsid w:val="009A0037"/>
    <w:rsid w:val="009A0228"/>
    <w:rsid w:val="009A2654"/>
    <w:rsid w:val="009A3221"/>
    <w:rsid w:val="009A38DD"/>
    <w:rsid w:val="009A60F2"/>
    <w:rsid w:val="009A6794"/>
    <w:rsid w:val="009B0CA2"/>
    <w:rsid w:val="009B37C5"/>
    <w:rsid w:val="009B61EE"/>
    <w:rsid w:val="009B7770"/>
    <w:rsid w:val="009C09D8"/>
    <w:rsid w:val="009C15CF"/>
    <w:rsid w:val="009D6BEF"/>
    <w:rsid w:val="009E1A8B"/>
    <w:rsid w:val="009E38B2"/>
    <w:rsid w:val="009E4547"/>
    <w:rsid w:val="009E53FF"/>
    <w:rsid w:val="009E5E3E"/>
    <w:rsid w:val="009F0F42"/>
    <w:rsid w:val="009F25E7"/>
    <w:rsid w:val="009F2D30"/>
    <w:rsid w:val="00A01B73"/>
    <w:rsid w:val="00A01DD8"/>
    <w:rsid w:val="00A0244D"/>
    <w:rsid w:val="00A03A77"/>
    <w:rsid w:val="00A07BD4"/>
    <w:rsid w:val="00A10644"/>
    <w:rsid w:val="00A10FC3"/>
    <w:rsid w:val="00A16B22"/>
    <w:rsid w:val="00A2399C"/>
    <w:rsid w:val="00A25C20"/>
    <w:rsid w:val="00A25EBA"/>
    <w:rsid w:val="00A3193D"/>
    <w:rsid w:val="00A35E02"/>
    <w:rsid w:val="00A364B7"/>
    <w:rsid w:val="00A40144"/>
    <w:rsid w:val="00A406EF"/>
    <w:rsid w:val="00A42CB1"/>
    <w:rsid w:val="00A50080"/>
    <w:rsid w:val="00A53F16"/>
    <w:rsid w:val="00A57B21"/>
    <w:rsid w:val="00A6073E"/>
    <w:rsid w:val="00A60D70"/>
    <w:rsid w:val="00A61146"/>
    <w:rsid w:val="00A772AD"/>
    <w:rsid w:val="00A80382"/>
    <w:rsid w:val="00A80FDB"/>
    <w:rsid w:val="00A85518"/>
    <w:rsid w:val="00A8791A"/>
    <w:rsid w:val="00A92096"/>
    <w:rsid w:val="00A935DA"/>
    <w:rsid w:val="00A93640"/>
    <w:rsid w:val="00A95410"/>
    <w:rsid w:val="00AA2422"/>
    <w:rsid w:val="00AA24FC"/>
    <w:rsid w:val="00AA4209"/>
    <w:rsid w:val="00AA4648"/>
    <w:rsid w:val="00AA4A7B"/>
    <w:rsid w:val="00AA55ED"/>
    <w:rsid w:val="00AB35AD"/>
    <w:rsid w:val="00AB6561"/>
    <w:rsid w:val="00AC50B8"/>
    <w:rsid w:val="00AC50CF"/>
    <w:rsid w:val="00AC5884"/>
    <w:rsid w:val="00AC58B1"/>
    <w:rsid w:val="00AD0171"/>
    <w:rsid w:val="00AD2450"/>
    <w:rsid w:val="00AD259C"/>
    <w:rsid w:val="00AE1295"/>
    <w:rsid w:val="00AE3398"/>
    <w:rsid w:val="00AE3F78"/>
    <w:rsid w:val="00AE4324"/>
    <w:rsid w:val="00AE5567"/>
    <w:rsid w:val="00AE73AA"/>
    <w:rsid w:val="00AF1239"/>
    <w:rsid w:val="00AF3AB8"/>
    <w:rsid w:val="00AF3E26"/>
    <w:rsid w:val="00AF69C9"/>
    <w:rsid w:val="00AF7C42"/>
    <w:rsid w:val="00B04418"/>
    <w:rsid w:val="00B07343"/>
    <w:rsid w:val="00B10B7E"/>
    <w:rsid w:val="00B1213A"/>
    <w:rsid w:val="00B130ED"/>
    <w:rsid w:val="00B15FDD"/>
    <w:rsid w:val="00B16480"/>
    <w:rsid w:val="00B17BA6"/>
    <w:rsid w:val="00B2165C"/>
    <w:rsid w:val="00B22B77"/>
    <w:rsid w:val="00B24C87"/>
    <w:rsid w:val="00B2576B"/>
    <w:rsid w:val="00B25BAC"/>
    <w:rsid w:val="00B304A8"/>
    <w:rsid w:val="00B30BB1"/>
    <w:rsid w:val="00B31BDD"/>
    <w:rsid w:val="00B34AB7"/>
    <w:rsid w:val="00B373A3"/>
    <w:rsid w:val="00B40D44"/>
    <w:rsid w:val="00B47986"/>
    <w:rsid w:val="00B543AB"/>
    <w:rsid w:val="00B5648E"/>
    <w:rsid w:val="00B622AD"/>
    <w:rsid w:val="00B6729B"/>
    <w:rsid w:val="00B67377"/>
    <w:rsid w:val="00B716E9"/>
    <w:rsid w:val="00B8149C"/>
    <w:rsid w:val="00B825C6"/>
    <w:rsid w:val="00B83DE2"/>
    <w:rsid w:val="00B83EC8"/>
    <w:rsid w:val="00B84835"/>
    <w:rsid w:val="00B91FC6"/>
    <w:rsid w:val="00B9207C"/>
    <w:rsid w:val="00B9226B"/>
    <w:rsid w:val="00B927DC"/>
    <w:rsid w:val="00B9769A"/>
    <w:rsid w:val="00B976F8"/>
    <w:rsid w:val="00BA104A"/>
    <w:rsid w:val="00BA20AA"/>
    <w:rsid w:val="00BA33EF"/>
    <w:rsid w:val="00BA4D7E"/>
    <w:rsid w:val="00BA7BA7"/>
    <w:rsid w:val="00BB15E3"/>
    <w:rsid w:val="00BB6937"/>
    <w:rsid w:val="00BD3A14"/>
    <w:rsid w:val="00BD3CD6"/>
    <w:rsid w:val="00BD4425"/>
    <w:rsid w:val="00BD7F5E"/>
    <w:rsid w:val="00BE0BF0"/>
    <w:rsid w:val="00BE7C51"/>
    <w:rsid w:val="00BE7DC1"/>
    <w:rsid w:val="00BF02AF"/>
    <w:rsid w:val="00BF1BF5"/>
    <w:rsid w:val="00BF2A90"/>
    <w:rsid w:val="00C0281A"/>
    <w:rsid w:val="00C02AE6"/>
    <w:rsid w:val="00C03C0C"/>
    <w:rsid w:val="00C05E15"/>
    <w:rsid w:val="00C0601F"/>
    <w:rsid w:val="00C07AF6"/>
    <w:rsid w:val="00C10270"/>
    <w:rsid w:val="00C13819"/>
    <w:rsid w:val="00C16D72"/>
    <w:rsid w:val="00C200B1"/>
    <w:rsid w:val="00C232DC"/>
    <w:rsid w:val="00C24A45"/>
    <w:rsid w:val="00C24D49"/>
    <w:rsid w:val="00C25B49"/>
    <w:rsid w:val="00C264A6"/>
    <w:rsid w:val="00C26520"/>
    <w:rsid w:val="00C30F18"/>
    <w:rsid w:val="00C34290"/>
    <w:rsid w:val="00C348FC"/>
    <w:rsid w:val="00C34C39"/>
    <w:rsid w:val="00C35679"/>
    <w:rsid w:val="00C35C79"/>
    <w:rsid w:val="00C36745"/>
    <w:rsid w:val="00C36EA7"/>
    <w:rsid w:val="00C42475"/>
    <w:rsid w:val="00C43873"/>
    <w:rsid w:val="00C4614E"/>
    <w:rsid w:val="00C468ED"/>
    <w:rsid w:val="00C47037"/>
    <w:rsid w:val="00C53849"/>
    <w:rsid w:val="00C55F33"/>
    <w:rsid w:val="00C56F75"/>
    <w:rsid w:val="00C66852"/>
    <w:rsid w:val="00C676A2"/>
    <w:rsid w:val="00C722A3"/>
    <w:rsid w:val="00C77477"/>
    <w:rsid w:val="00C83131"/>
    <w:rsid w:val="00C8678C"/>
    <w:rsid w:val="00C9634E"/>
    <w:rsid w:val="00CA1AEE"/>
    <w:rsid w:val="00CA747D"/>
    <w:rsid w:val="00CB0786"/>
    <w:rsid w:val="00CB0F1D"/>
    <w:rsid w:val="00CB1824"/>
    <w:rsid w:val="00CB19C9"/>
    <w:rsid w:val="00CB2C67"/>
    <w:rsid w:val="00CB6BA4"/>
    <w:rsid w:val="00CC0982"/>
    <w:rsid w:val="00CC0D2D"/>
    <w:rsid w:val="00CC3267"/>
    <w:rsid w:val="00CC4FDB"/>
    <w:rsid w:val="00CC720B"/>
    <w:rsid w:val="00CC76FA"/>
    <w:rsid w:val="00CD2F04"/>
    <w:rsid w:val="00CD44BF"/>
    <w:rsid w:val="00CD548C"/>
    <w:rsid w:val="00CD6956"/>
    <w:rsid w:val="00CE5657"/>
    <w:rsid w:val="00CF262B"/>
    <w:rsid w:val="00CF3D9F"/>
    <w:rsid w:val="00CF495E"/>
    <w:rsid w:val="00CF6439"/>
    <w:rsid w:val="00CF7143"/>
    <w:rsid w:val="00D01144"/>
    <w:rsid w:val="00D01A6E"/>
    <w:rsid w:val="00D02DDA"/>
    <w:rsid w:val="00D03237"/>
    <w:rsid w:val="00D03ADD"/>
    <w:rsid w:val="00D12358"/>
    <w:rsid w:val="00D133F8"/>
    <w:rsid w:val="00D138E7"/>
    <w:rsid w:val="00D14A3E"/>
    <w:rsid w:val="00D21D7F"/>
    <w:rsid w:val="00D22281"/>
    <w:rsid w:val="00D24501"/>
    <w:rsid w:val="00D24640"/>
    <w:rsid w:val="00D37AAD"/>
    <w:rsid w:val="00D4052F"/>
    <w:rsid w:val="00D4751F"/>
    <w:rsid w:val="00D50278"/>
    <w:rsid w:val="00D507E2"/>
    <w:rsid w:val="00D548C7"/>
    <w:rsid w:val="00D56A82"/>
    <w:rsid w:val="00D56F78"/>
    <w:rsid w:val="00D70B67"/>
    <w:rsid w:val="00D817B9"/>
    <w:rsid w:val="00D857CF"/>
    <w:rsid w:val="00D900BB"/>
    <w:rsid w:val="00D903DA"/>
    <w:rsid w:val="00D92E60"/>
    <w:rsid w:val="00D9624A"/>
    <w:rsid w:val="00DB079D"/>
    <w:rsid w:val="00DB1AB8"/>
    <w:rsid w:val="00DB423E"/>
    <w:rsid w:val="00DB50C9"/>
    <w:rsid w:val="00DB6C09"/>
    <w:rsid w:val="00DC09E9"/>
    <w:rsid w:val="00DC27CA"/>
    <w:rsid w:val="00DC2DAF"/>
    <w:rsid w:val="00DC4012"/>
    <w:rsid w:val="00DC5AA3"/>
    <w:rsid w:val="00DC5EDB"/>
    <w:rsid w:val="00DC6B64"/>
    <w:rsid w:val="00DC7938"/>
    <w:rsid w:val="00DD4186"/>
    <w:rsid w:val="00DD58B7"/>
    <w:rsid w:val="00DD5E1F"/>
    <w:rsid w:val="00DD7197"/>
    <w:rsid w:val="00DE07F2"/>
    <w:rsid w:val="00DE3CBF"/>
    <w:rsid w:val="00DF027E"/>
    <w:rsid w:val="00DF461F"/>
    <w:rsid w:val="00DF5C02"/>
    <w:rsid w:val="00DF68F8"/>
    <w:rsid w:val="00DF776E"/>
    <w:rsid w:val="00DF77D6"/>
    <w:rsid w:val="00E00113"/>
    <w:rsid w:val="00E01657"/>
    <w:rsid w:val="00E04A9C"/>
    <w:rsid w:val="00E21304"/>
    <w:rsid w:val="00E22191"/>
    <w:rsid w:val="00E25FFF"/>
    <w:rsid w:val="00E31F13"/>
    <w:rsid w:val="00E32710"/>
    <w:rsid w:val="00E3716B"/>
    <w:rsid w:val="00E374E1"/>
    <w:rsid w:val="00E4149D"/>
    <w:rsid w:val="00E465CE"/>
    <w:rsid w:val="00E51795"/>
    <w:rsid w:val="00E5323B"/>
    <w:rsid w:val="00E53D86"/>
    <w:rsid w:val="00E560D2"/>
    <w:rsid w:val="00E5771A"/>
    <w:rsid w:val="00E64E8F"/>
    <w:rsid w:val="00E67EAF"/>
    <w:rsid w:val="00E71E92"/>
    <w:rsid w:val="00E742DF"/>
    <w:rsid w:val="00E751EA"/>
    <w:rsid w:val="00E8749E"/>
    <w:rsid w:val="00E874D8"/>
    <w:rsid w:val="00E90C01"/>
    <w:rsid w:val="00E90D0B"/>
    <w:rsid w:val="00E96DC6"/>
    <w:rsid w:val="00E97680"/>
    <w:rsid w:val="00EA0908"/>
    <w:rsid w:val="00EA130F"/>
    <w:rsid w:val="00EA486E"/>
    <w:rsid w:val="00EA5229"/>
    <w:rsid w:val="00EB17D4"/>
    <w:rsid w:val="00EB32C5"/>
    <w:rsid w:val="00EB3AFC"/>
    <w:rsid w:val="00EB49A7"/>
    <w:rsid w:val="00EB524F"/>
    <w:rsid w:val="00EB57DF"/>
    <w:rsid w:val="00EC1502"/>
    <w:rsid w:val="00EC6E12"/>
    <w:rsid w:val="00EC766A"/>
    <w:rsid w:val="00ED25EE"/>
    <w:rsid w:val="00ED2D59"/>
    <w:rsid w:val="00ED5BD1"/>
    <w:rsid w:val="00ED5F8C"/>
    <w:rsid w:val="00ED6DC2"/>
    <w:rsid w:val="00EE0AC0"/>
    <w:rsid w:val="00EE2F62"/>
    <w:rsid w:val="00EE3722"/>
    <w:rsid w:val="00EE6183"/>
    <w:rsid w:val="00EF6A48"/>
    <w:rsid w:val="00F00B5E"/>
    <w:rsid w:val="00F01AE4"/>
    <w:rsid w:val="00F01E73"/>
    <w:rsid w:val="00F02E84"/>
    <w:rsid w:val="00F04C70"/>
    <w:rsid w:val="00F05142"/>
    <w:rsid w:val="00F11028"/>
    <w:rsid w:val="00F12351"/>
    <w:rsid w:val="00F12E92"/>
    <w:rsid w:val="00F145E9"/>
    <w:rsid w:val="00F14A00"/>
    <w:rsid w:val="00F160EC"/>
    <w:rsid w:val="00F17FDC"/>
    <w:rsid w:val="00F26232"/>
    <w:rsid w:val="00F277CC"/>
    <w:rsid w:val="00F27EBC"/>
    <w:rsid w:val="00F33321"/>
    <w:rsid w:val="00F3460D"/>
    <w:rsid w:val="00F464CE"/>
    <w:rsid w:val="00F530FE"/>
    <w:rsid w:val="00F55305"/>
    <w:rsid w:val="00F572C5"/>
    <w:rsid w:val="00F5754F"/>
    <w:rsid w:val="00F57AC1"/>
    <w:rsid w:val="00F57B0C"/>
    <w:rsid w:val="00F679E9"/>
    <w:rsid w:val="00F67B4B"/>
    <w:rsid w:val="00F72D88"/>
    <w:rsid w:val="00F77376"/>
    <w:rsid w:val="00F77F67"/>
    <w:rsid w:val="00F8145B"/>
    <w:rsid w:val="00F82318"/>
    <w:rsid w:val="00F85BFB"/>
    <w:rsid w:val="00F85DC5"/>
    <w:rsid w:val="00F87284"/>
    <w:rsid w:val="00F87CAE"/>
    <w:rsid w:val="00F95701"/>
    <w:rsid w:val="00F96B02"/>
    <w:rsid w:val="00F96ED0"/>
    <w:rsid w:val="00FA089C"/>
    <w:rsid w:val="00FA0F94"/>
    <w:rsid w:val="00FA2114"/>
    <w:rsid w:val="00FA5D3C"/>
    <w:rsid w:val="00FB4965"/>
    <w:rsid w:val="00FB59B4"/>
    <w:rsid w:val="00FC2712"/>
    <w:rsid w:val="00FC3FDB"/>
    <w:rsid w:val="00FC7F88"/>
    <w:rsid w:val="00FD3303"/>
    <w:rsid w:val="00FD48F3"/>
    <w:rsid w:val="00FD6AB3"/>
    <w:rsid w:val="00FE01C3"/>
    <w:rsid w:val="00FE2A2A"/>
    <w:rsid w:val="00FE5BDE"/>
    <w:rsid w:val="00FE71B1"/>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13846F"/>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semiHidden/>
    <w:unhideWhenUsed/>
    <w:rsid w:val="00877646"/>
    <w:rPr>
      <w:sz w:val="16"/>
      <w:szCs w:val="16"/>
    </w:rPr>
  </w:style>
  <w:style w:type="paragraph" w:styleId="CommentText">
    <w:name w:val="annotation text"/>
    <w:basedOn w:val="Normal"/>
    <w:link w:val="CommentTextChar"/>
    <w:unhideWhenUsed/>
    <w:rsid w:val="00877646"/>
    <w:rPr>
      <w:sz w:val="20"/>
      <w:szCs w:val="20"/>
    </w:rPr>
  </w:style>
  <w:style w:type="character" w:customStyle="1" w:styleId="CommentTextChar">
    <w:name w:val="Comment Text Char"/>
    <w:basedOn w:val="DefaultParagraphFont"/>
    <w:link w:val="CommentText"/>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AF69C9"/>
    <w:rPr>
      <w:color w:val="605E5C"/>
      <w:shd w:val="clear" w:color="auto" w:fill="E1DFDD"/>
    </w:rPr>
  </w:style>
  <w:style w:type="character" w:customStyle="1" w:styleId="xmsocommentreference">
    <w:name w:val="x_msocommentreference"/>
    <w:basedOn w:val="DefaultParagraphFont"/>
    <w:rsid w:val="00366C91"/>
  </w:style>
  <w:style w:type="paragraph" w:customStyle="1" w:styleId="xxmsonormal0">
    <w:name w:val="x_xmsonormal"/>
    <w:basedOn w:val="Normal"/>
    <w:rsid w:val="00366C91"/>
    <w:pPr>
      <w:spacing w:before="100" w:beforeAutospacing="1" w:after="100" w:afterAutospacing="1"/>
    </w:pPr>
    <w:rPr>
      <w:lang w:val="en-US" w:eastAsia="en-US"/>
    </w:rPr>
  </w:style>
  <w:style w:type="paragraph" w:customStyle="1" w:styleId="xmsolistparagraph">
    <w:name w:val="x_msolistparagraph"/>
    <w:basedOn w:val="Normal"/>
    <w:rsid w:val="00366C91"/>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3093403">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belovs@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2AB5-870C-49E8-8D2C-141F5EF7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10845</Words>
  <Characters>6182</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Ivita Lazdiņa</cp:lastModifiedBy>
  <cp:revision>19</cp:revision>
  <cp:lastPrinted>2020-10-15T12:46:00Z</cp:lastPrinted>
  <dcterms:created xsi:type="dcterms:W3CDTF">2021-06-28T15:07:00Z</dcterms:created>
  <dcterms:modified xsi:type="dcterms:W3CDTF">2021-07-02T11:07:00Z</dcterms:modified>
</cp:coreProperties>
</file>