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30F7F" w14:textId="74735B02" w:rsidR="00894C55" w:rsidRPr="00224089" w:rsidRDefault="00EC6E12" w:rsidP="00F71600">
      <w:pPr>
        <w:pStyle w:val="NoSpacing"/>
        <w:jc w:val="center"/>
        <w:rPr>
          <w:rFonts w:ascii="Times New Roman" w:hAnsi="Times New Roman" w:cs="Times New Roman"/>
          <w:b/>
          <w:sz w:val="28"/>
          <w:szCs w:val="24"/>
          <w:lang w:eastAsia="lv-LV"/>
        </w:rPr>
      </w:pPr>
      <w:r w:rsidRPr="00224089">
        <w:rPr>
          <w:rFonts w:ascii="Times New Roman" w:hAnsi="Times New Roman" w:cs="Times New Roman"/>
          <w:b/>
          <w:sz w:val="28"/>
          <w:szCs w:val="24"/>
          <w:lang w:eastAsia="lv-LV"/>
        </w:rPr>
        <w:t>Ministru kabineta rīkojuma projekta</w:t>
      </w:r>
      <w:r w:rsidR="0065732C" w:rsidRPr="00224089">
        <w:rPr>
          <w:rFonts w:ascii="Times New Roman" w:hAnsi="Times New Roman" w:cs="Times New Roman"/>
          <w:b/>
          <w:sz w:val="28"/>
          <w:szCs w:val="24"/>
          <w:lang w:eastAsia="lv-LV"/>
        </w:rPr>
        <w:t xml:space="preserve"> “</w:t>
      </w:r>
      <w:r w:rsidR="00477E09" w:rsidRPr="00224089">
        <w:rPr>
          <w:rFonts w:ascii="Times New Roman" w:eastAsia="Times New Roman" w:hAnsi="Times New Roman" w:cs="Times New Roman"/>
          <w:b/>
          <w:bCs/>
          <w:sz w:val="28"/>
          <w:szCs w:val="28"/>
          <w:lang w:eastAsia="lv-LV"/>
        </w:rPr>
        <w:t>Par apropriācijas palielināšanu</w:t>
      </w:r>
      <w:r w:rsidRPr="00224089">
        <w:rPr>
          <w:rFonts w:ascii="Times New Roman" w:hAnsi="Times New Roman" w:cs="Times New Roman"/>
          <w:b/>
          <w:sz w:val="28"/>
          <w:szCs w:val="24"/>
          <w:lang w:eastAsia="lv-LV"/>
        </w:rPr>
        <w:t xml:space="preserve">” </w:t>
      </w:r>
      <w:r w:rsidR="00894C55" w:rsidRPr="00224089">
        <w:rPr>
          <w:rFonts w:ascii="Times New Roman" w:hAnsi="Times New Roman" w:cs="Times New Roman"/>
          <w:b/>
          <w:sz w:val="28"/>
          <w:szCs w:val="24"/>
          <w:lang w:eastAsia="lv-LV"/>
        </w:rPr>
        <w:t>sākotnējās ietekmes novērtējuma ziņojums (anotācija)</w:t>
      </w:r>
    </w:p>
    <w:p w14:paraId="07464219" w14:textId="77777777" w:rsidR="00EC6E12" w:rsidRPr="00224089"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3A46F2" w:rsidRPr="00224089" w14:paraId="33FF9AB8"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2D626D15" w14:textId="77777777" w:rsidR="006F193F" w:rsidRPr="00224089" w:rsidRDefault="006F193F" w:rsidP="006F193F">
            <w:pPr>
              <w:spacing w:before="100" w:beforeAutospacing="1" w:after="100" w:afterAutospacing="1" w:line="293" w:lineRule="atLeast"/>
              <w:jc w:val="center"/>
              <w:rPr>
                <w:b/>
                <w:bCs/>
              </w:rPr>
            </w:pPr>
            <w:r w:rsidRPr="00224089">
              <w:rPr>
                <w:b/>
                <w:bCs/>
              </w:rPr>
              <w:t>Tiesību akta projekta anotācijas kopsavilkums</w:t>
            </w:r>
          </w:p>
        </w:tc>
      </w:tr>
      <w:tr w:rsidR="003A46F2" w:rsidRPr="00224089" w14:paraId="37225C1A" w14:textId="77777777"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14:paraId="6FDF4162" w14:textId="77777777" w:rsidR="006F193F" w:rsidRPr="00224089" w:rsidRDefault="006F193F" w:rsidP="006F193F">
            <w:pPr>
              <w:spacing w:before="100" w:beforeAutospacing="1" w:after="100" w:afterAutospacing="1" w:line="293" w:lineRule="atLeast"/>
            </w:pPr>
            <w:r w:rsidRPr="00224089">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14:paraId="62DC43D0" w14:textId="77777777" w:rsidR="006F193F" w:rsidRPr="00224089" w:rsidRDefault="006F193F" w:rsidP="006F193F">
            <w:pPr>
              <w:ind w:left="107" w:right="109"/>
              <w:jc w:val="both"/>
            </w:pPr>
            <w:r w:rsidRPr="00224089">
              <w:rPr>
                <w:rFonts w:eastAsiaTheme="minorHAnsi"/>
              </w:rPr>
              <w:t>Projekts šo jomu neskar.</w:t>
            </w:r>
          </w:p>
        </w:tc>
      </w:tr>
    </w:tbl>
    <w:p w14:paraId="3C342D9C" w14:textId="77777777" w:rsidR="00EC6E12" w:rsidRPr="00224089"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3A46F2" w:rsidRPr="00224089" w14:paraId="31BD40CD" w14:textId="77777777" w:rsidTr="0079260F">
        <w:tc>
          <w:tcPr>
            <w:tcW w:w="9356" w:type="dxa"/>
            <w:gridSpan w:val="3"/>
          </w:tcPr>
          <w:p w14:paraId="38C67D2F" w14:textId="77777777" w:rsidR="00EC6E12" w:rsidRPr="00224089" w:rsidRDefault="00EC6E12" w:rsidP="00EC6E12">
            <w:pPr>
              <w:pStyle w:val="NoSpacing"/>
              <w:jc w:val="center"/>
              <w:rPr>
                <w:rFonts w:ascii="Times New Roman" w:hAnsi="Times New Roman" w:cs="Times New Roman"/>
                <w:b/>
                <w:sz w:val="24"/>
                <w:szCs w:val="24"/>
                <w:lang w:eastAsia="lv-LV"/>
              </w:rPr>
            </w:pPr>
            <w:r w:rsidRPr="00224089">
              <w:rPr>
                <w:rFonts w:ascii="Times New Roman" w:hAnsi="Times New Roman" w:cs="Times New Roman"/>
                <w:b/>
                <w:iCs/>
                <w:sz w:val="24"/>
                <w:szCs w:val="24"/>
                <w:lang w:eastAsia="lv-LV"/>
              </w:rPr>
              <w:t>I. Tiesību akta projekta izstrādes nepieciešamība</w:t>
            </w:r>
          </w:p>
        </w:tc>
      </w:tr>
      <w:tr w:rsidR="003A46F2" w:rsidRPr="00224089" w14:paraId="4FFC11E1" w14:textId="77777777" w:rsidTr="0079260F">
        <w:tc>
          <w:tcPr>
            <w:tcW w:w="568" w:type="dxa"/>
          </w:tcPr>
          <w:p w14:paraId="446BD250" w14:textId="77777777" w:rsidR="00130487" w:rsidRPr="00224089" w:rsidRDefault="00130487" w:rsidP="00130487">
            <w:pPr>
              <w:pStyle w:val="NoSpacing"/>
              <w:jc w:val="center"/>
              <w:rPr>
                <w:rFonts w:ascii="Times New Roman" w:hAnsi="Times New Roman" w:cs="Times New Roman"/>
                <w:sz w:val="24"/>
                <w:szCs w:val="24"/>
                <w:lang w:eastAsia="lv-LV"/>
              </w:rPr>
            </w:pPr>
            <w:r w:rsidRPr="00224089">
              <w:rPr>
                <w:rFonts w:ascii="Times New Roman" w:hAnsi="Times New Roman" w:cs="Times New Roman"/>
                <w:sz w:val="24"/>
                <w:szCs w:val="24"/>
                <w:lang w:eastAsia="lv-LV"/>
              </w:rPr>
              <w:t>1.</w:t>
            </w:r>
          </w:p>
        </w:tc>
        <w:tc>
          <w:tcPr>
            <w:tcW w:w="1559" w:type="dxa"/>
          </w:tcPr>
          <w:p w14:paraId="777018BB" w14:textId="77777777" w:rsidR="00130487" w:rsidRPr="00224089" w:rsidRDefault="00130487" w:rsidP="00130487">
            <w:pPr>
              <w:pStyle w:val="NoSpacing"/>
              <w:jc w:val="both"/>
              <w:rPr>
                <w:rFonts w:ascii="Times New Roman" w:hAnsi="Times New Roman" w:cs="Times New Roman"/>
                <w:iCs/>
                <w:sz w:val="24"/>
                <w:szCs w:val="24"/>
                <w:lang w:eastAsia="lv-LV"/>
              </w:rPr>
            </w:pPr>
            <w:r w:rsidRPr="00224089">
              <w:rPr>
                <w:rFonts w:ascii="Times New Roman" w:hAnsi="Times New Roman" w:cs="Times New Roman"/>
                <w:iCs/>
                <w:sz w:val="24"/>
                <w:szCs w:val="24"/>
                <w:lang w:eastAsia="lv-LV"/>
              </w:rPr>
              <w:t>Pamatojums</w:t>
            </w:r>
          </w:p>
        </w:tc>
        <w:tc>
          <w:tcPr>
            <w:tcW w:w="7229" w:type="dxa"/>
          </w:tcPr>
          <w:p w14:paraId="2271BDB0" w14:textId="30421687" w:rsidR="00116F95" w:rsidRPr="00224089" w:rsidRDefault="0079260F" w:rsidP="00116F95">
            <w:pPr>
              <w:pStyle w:val="NoSpacing"/>
              <w:ind w:firstLine="311"/>
              <w:jc w:val="both"/>
              <w:rPr>
                <w:rFonts w:ascii="Times New Roman" w:hAnsi="Times New Roman" w:cs="Times New Roman"/>
                <w:sz w:val="24"/>
              </w:rPr>
            </w:pPr>
            <w:r w:rsidRPr="00224089">
              <w:rPr>
                <w:rFonts w:ascii="Times New Roman" w:hAnsi="Times New Roman" w:cs="Times New Roman"/>
                <w:sz w:val="24"/>
              </w:rPr>
              <w:t>Ministru kabineta rīkojuma projekts</w:t>
            </w:r>
            <w:r w:rsidR="00C65A4B" w:rsidRPr="00224089">
              <w:rPr>
                <w:rFonts w:ascii="Times New Roman" w:hAnsi="Times New Roman" w:cs="Times New Roman"/>
                <w:sz w:val="24"/>
              </w:rPr>
              <w:t xml:space="preserve"> “</w:t>
            </w:r>
            <w:r w:rsidR="001E7D97" w:rsidRPr="00224089">
              <w:rPr>
                <w:rFonts w:ascii="Times New Roman" w:hAnsi="Times New Roman" w:cs="Times New Roman"/>
                <w:sz w:val="24"/>
              </w:rPr>
              <w:t>Par apropriācijas palielināšanu</w:t>
            </w:r>
            <w:r w:rsidRPr="00224089">
              <w:rPr>
                <w:rFonts w:ascii="Times New Roman" w:hAnsi="Times New Roman" w:cs="Times New Roman"/>
                <w:sz w:val="24"/>
              </w:rPr>
              <w:t xml:space="preserve">” (turpmāk – rīkojuma projekts) izstrādāts, pamatojoties uz: </w:t>
            </w:r>
          </w:p>
          <w:p w14:paraId="7654CD0F" w14:textId="4CECEC80" w:rsidR="001E7D97" w:rsidRPr="00224089" w:rsidRDefault="001E7D97" w:rsidP="001E7D97">
            <w:pPr>
              <w:pStyle w:val="ListParagraph"/>
              <w:numPr>
                <w:ilvl w:val="0"/>
                <w:numId w:val="10"/>
              </w:numPr>
              <w:jc w:val="both"/>
            </w:pPr>
            <w:r w:rsidRPr="00224089">
              <w:t>Likuma “Par valsts budžetu 202</w:t>
            </w:r>
            <w:r w:rsidR="00701ED0" w:rsidRPr="00224089">
              <w:t>1</w:t>
            </w:r>
            <w:r w:rsidRPr="00224089">
              <w:t>.gadam” 44.panta otro</w:t>
            </w:r>
            <w:r w:rsidR="00A467CF">
              <w:t>,</w:t>
            </w:r>
            <w:r w:rsidRPr="00224089">
              <w:t xml:space="preserve"> trešo </w:t>
            </w:r>
            <w:r w:rsidR="00A467CF">
              <w:t xml:space="preserve">un piekto </w:t>
            </w:r>
            <w:r w:rsidRPr="00224089">
              <w:t>daļu;</w:t>
            </w:r>
          </w:p>
          <w:p w14:paraId="1506CB9D" w14:textId="77777777" w:rsidR="00701ED0" w:rsidRPr="00224089" w:rsidRDefault="00701ED0" w:rsidP="001E7D97">
            <w:pPr>
              <w:pStyle w:val="ListParagraph"/>
              <w:numPr>
                <w:ilvl w:val="0"/>
                <w:numId w:val="10"/>
              </w:numPr>
              <w:jc w:val="both"/>
            </w:pPr>
            <w:r w:rsidRPr="00224089">
              <w:t xml:space="preserve">Ministru kabineta 2020.gada 13.oktobra </w:t>
            </w:r>
            <w:smartTag w:uri="schemas-tilde-lv/tildestengine" w:element="veidnes">
              <w:smartTagPr>
                <w:attr w:name="baseform" w:val="rīkojum|s"/>
                <w:attr w:name="id" w:val="-1"/>
                <w:attr w:name="text" w:val="rīkojumu"/>
              </w:smartTagPr>
              <w:r w:rsidRPr="00224089">
                <w:t>rīkojumu</w:t>
              </w:r>
            </w:smartTag>
            <w:r w:rsidRPr="00224089">
              <w:t xml:space="preserve"> Nr.597 </w:t>
            </w:r>
            <w:r w:rsidRPr="00224089">
              <w:sym w:font="Times New Roman" w:char="201D"/>
            </w:r>
            <w:r w:rsidRPr="00224089">
              <w:t>Par valsts nekustamā īpašuma Aptiekas ielā 7, Rīgā, pārdošanu”;</w:t>
            </w:r>
          </w:p>
          <w:p w14:paraId="76A40306" w14:textId="43CB2AC3" w:rsidR="001E7D97" w:rsidRPr="00224089" w:rsidRDefault="00701ED0" w:rsidP="001E7D97">
            <w:pPr>
              <w:pStyle w:val="ListParagraph"/>
              <w:numPr>
                <w:ilvl w:val="0"/>
                <w:numId w:val="10"/>
              </w:numPr>
              <w:jc w:val="both"/>
            </w:pPr>
            <w:r w:rsidRPr="00224089">
              <w:t xml:space="preserve">Ministru kabineta 2020.gada 13.augusta </w:t>
            </w:r>
            <w:smartTag w:uri="schemas-tilde-lv/tildestengine" w:element="veidnes">
              <w:smartTagPr>
                <w:attr w:name="baseform" w:val="rīkojum|s"/>
                <w:attr w:name="id" w:val="-1"/>
                <w:attr w:name="text" w:val="rīkojumu"/>
              </w:smartTagPr>
              <w:r w:rsidRPr="00224089">
                <w:t>rīkojumu</w:t>
              </w:r>
            </w:smartTag>
            <w:r w:rsidRPr="00224089">
              <w:t xml:space="preserve"> Nr.418 </w:t>
            </w:r>
            <w:r w:rsidRPr="00224089">
              <w:sym w:font="Times New Roman" w:char="201D"/>
            </w:r>
            <w:r w:rsidRPr="00224089">
              <w:t xml:space="preserve">Par valsts nekustamo īpašumu pārdošanu”. </w:t>
            </w:r>
          </w:p>
          <w:p w14:paraId="0086D73E" w14:textId="643453B4" w:rsidR="00477E09" w:rsidRPr="00224089" w:rsidRDefault="00477E09" w:rsidP="00477E09">
            <w:pPr>
              <w:ind w:firstLine="391"/>
              <w:jc w:val="both"/>
              <w:rPr>
                <w:iCs/>
              </w:rPr>
            </w:pPr>
            <w:r w:rsidRPr="00224089">
              <w:rPr>
                <w:iCs/>
              </w:rPr>
              <w:t>Atbilstoši “</w:t>
            </w:r>
            <w:hyperlink r:id="rId8" w:tgtFrame="_blank" w:history="1">
              <w:r w:rsidRPr="00224089">
                <w:rPr>
                  <w:rFonts w:eastAsiaTheme="minorHAnsi"/>
                  <w:lang w:eastAsia="en-US"/>
                </w:rPr>
                <w:t>Par valsts budžetu 202</w:t>
              </w:r>
              <w:r w:rsidR="00701ED0" w:rsidRPr="00224089">
                <w:rPr>
                  <w:rFonts w:eastAsiaTheme="minorHAnsi"/>
                  <w:lang w:eastAsia="en-US"/>
                </w:rPr>
                <w:t>1</w:t>
              </w:r>
              <w:r w:rsidRPr="00224089">
                <w:rPr>
                  <w:rFonts w:eastAsiaTheme="minorHAnsi"/>
                  <w:lang w:eastAsia="en-US"/>
                </w:rPr>
                <w:t>.gadam</w:t>
              </w:r>
            </w:hyperlink>
            <w:r w:rsidRPr="00224089">
              <w:rPr>
                <w:rFonts w:eastAsiaTheme="minorHAnsi"/>
                <w:lang w:eastAsia="en-US"/>
              </w:rPr>
              <w:t>” </w:t>
            </w:r>
            <w:hyperlink r:id="rId9" w:anchor="p42" w:tgtFrame="_blank" w:history="1">
              <w:r w:rsidRPr="00224089">
                <w:rPr>
                  <w:rFonts w:eastAsiaTheme="minorHAnsi"/>
                  <w:lang w:eastAsia="en-US"/>
                </w:rPr>
                <w:t>44.panta</w:t>
              </w:r>
            </w:hyperlink>
            <w:r w:rsidRPr="00224089">
              <w:rPr>
                <w:rFonts w:eastAsiaTheme="minorHAnsi"/>
                <w:lang w:eastAsia="en-US"/>
              </w:rPr>
              <w:t> otrajā un trešajā daļā</w:t>
            </w:r>
            <w:r w:rsidRPr="00224089">
              <w:rPr>
                <w:iCs/>
              </w:rPr>
              <w:t xml:space="preserve"> </w:t>
            </w:r>
            <w:r w:rsidRPr="00224089">
              <w:rPr>
                <w:rFonts w:eastAsiaTheme="minorHAnsi"/>
                <w:lang w:eastAsia="en-US"/>
              </w:rPr>
              <w:t>noteiktajam, ja valsts nekustamā īpašuma atsavināšanu organizē ministrija vai cita centrālā valsts iestāde, kuras valdījumā ir attiecīgais valsts nekustamais īpašums, šā valsts nekustamā īpašuma atsavināšanas rezultātā iegūtos līdzekļus pēc atsavināšanas izdevumu atskaitīšanas ieskaita valsts budžetā. Finanšu ministram ir tiesības palielināt attiecīgajai ministrijai vai citai centrālajai valsts iestādei apropriāciju resursiem no dotācijas no vispārējiem ieņēmumiem un izdevumiem 50 procentu apmērā no valsts nekustamā īpašuma atsavināšanas rezultātā valsts budžetā ieskaitītajiem līdzekļiem. Apropriāciju palielina, ja ir pieņemts Ministru kabineta lēmums par finansējuma summu un to, kādam mērķim atsavināšanas rezultātā iegūtie līdzekļi piešķirami apropriācijas palielināšanai resursiem no dotācijas no vispārējiem ieņēmumiem un izdevumiem, un Saeimas Budžeta un finanšu (nodokļu) komisija piecu darba dienu laikā no attiecīgās informācijas saņemšanas dienas ir to izskatījusi un nav iebildusi pret apropriācijas palielinājumu. Iepriekš minēto apropriāciju atļauts piešķirt kapitālieguldījumiem vai neatliekamiem pasākumiem ar pozitīvu sociālekonomisku efektu.</w:t>
            </w:r>
          </w:p>
        </w:tc>
      </w:tr>
      <w:tr w:rsidR="003A46F2" w:rsidRPr="00224089" w14:paraId="0B5625C3" w14:textId="77777777" w:rsidTr="0079260F">
        <w:tc>
          <w:tcPr>
            <w:tcW w:w="568" w:type="dxa"/>
          </w:tcPr>
          <w:p w14:paraId="1446D2F6" w14:textId="77777777" w:rsidR="0079260F" w:rsidRPr="00224089" w:rsidRDefault="0079260F" w:rsidP="0079260F">
            <w:pPr>
              <w:pStyle w:val="NoSpacing"/>
              <w:jc w:val="center"/>
              <w:rPr>
                <w:rFonts w:ascii="Times New Roman" w:hAnsi="Times New Roman" w:cs="Times New Roman"/>
                <w:sz w:val="24"/>
                <w:szCs w:val="24"/>
                <w:lang w:eastAsia="lv-LV"/>
              </w:rPr>
            </w:pPr>
            <w:r w:rsidRPr="00224089">
              <w:rPr>
                <w:rFonts w:ascii="Times New Roman" w:hAnsi="Times New Roman" w:cs="Times New Roman"/>
                <w:sz w:val="24"/>
                <w:szCs w:val="24"/>
                <w:lang w:eastAsia="lv-LV"/>
              </w:rPr>
              <w:t>2.</w:t>
            </w:r>
          </w:p>
        </w:tc>
        <w:tc>
          <w:tcPr>
            <w:tcW w:w="1559" w:type="dxa"/>
          </w:tcPr>
          <w:p w14:paraId="7C17EDB9" w14:textId="77777777" w:rsidR="00152501" w:rsidRPr="00224089" w:rsidRDefault="0079260F" w:rsidP="0079260F">
            <w:pPr>
              <w:pStyle w:val="NoSpacing"/>
              <w:jc w:val="both"/>
              <w:rPr>
                <w:rFonts w:ascii="Times New Roman" w:hAnsi="Times New Roman" w:cs="Times New Roman"/>
                <w:iCs/>
                <w:sz w:val="24"/>
                <w:szCs w:val="24"/>
                <w:lang w:eastAsia="lv-LV"/>
              </w:rPr>
            </w:pPr>
            <w:r w:rsidRPr="00224089">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3D07C18D" w14:textId="77777777" w:rsidR="0079260F" w:rsidRPr="00224089" w:rsidRDefault="0079260F" w:rsidP="00152501">
            <w:pPr>
              <w:jc w:val="center"/>
            </w:pPr>
          </w:p>
          <w:p w14:paraId="6D991510" w14:textId="77777777" w:rsidR="00485E78" w:rsidRPr="00224089" w:rsidRDefault="00485E78" w:rsidP="00485E78"/>
          <w:p w14:paraId="24C9F4A9" w14:textId="77777777" w:rsidR="00485E78" w:rsidRPr="00224089" w:rsidRDefault="00485E78" w:rsidP="00485E78"/>
          <w:p w14:paraId="72BBB5F5" w14:textId="77777777" w:rsidR="00485E78" w:rsidRPr="00224089" w:rsidRDefault="00485E78" w:rsidP="00485E78"/>
          <w:p w14:paraId="26406B8C" w14:textId="77777777" w:rsidR="00485E78" w:rsidRPr="00224089" w:rsidRDefault="00485E78" w:rsidP="00485E78"/>
          <w:p w14:paraId="106A90EF" w14:textId="77777777" w:rsidR="00485E78" w:rsidRPr="00224089" w:rsidRDefault="00485E78" w:rsidP="00485E78"/>
          <w:p w14:paraId="6346E7B4" w14:textId="77777777" w:rsidR="00485E78" w:rsidRPr="00224089" w:rsidRDefault="00485E78" w:rsidP="00485E78"/>
          <w:p w14:paraId="3233DE26" w14:textId="77777777" w:rsidR="00485E78" w:rsidRPr="00224089" w:rsidRDefault="00485E78" w:rsidP="00485E78"/>
          <w:p w14:paraId="0ADE3804" w14:textId="77777777" w:rsidR="00485E78" w:rsidRPr="00224089" w:rsidRDefault="00485E78" w:rsidP="00485E78"/>
          <w:p w14:paraId="0A17ADA0" w14:textId="77777777" w:rsidR="00485E78" w:rsidRPr="00224089" w:rsidRDefault="00485E78" w:rsidP="00485E78"/>
          <w:p w14:paraId="496C8121" w14:textId="77777777" w:rsidR="00485E78" w:rsidRPr="00224089" w:rsidRDefault="00485E78" w:rsidP="00485E78"/>
          <w:p w14:paraId="62A2BD0E" w14:textId="77777777" w:rsidR="00485E78" w:rsidRPr="00224089" w:rsidRDefault="00485E78" w:rsidP="00485E78"/>
          <w:p w14:paraId="183BBBC6" w14:textId="77777777" w:rsidR="00485E78" w:rsidRPr="00224089" w:rsidRDefault="00485E78" w:rsidP="00485E78"/>
          <w:p w14:paraId="469F4DCE" w14:textId="77777777" w:rsidR="00485E78" w:rsidRPr="00224089" w:rsidRDefault="00485E78" w:rsidP="00485E78"/>
          <w:p w14:paraId="6878BE7C" w14:textId="77777777" w:rsidR="00485E78" w:rsidRPr="00224089" w:rsidRDefault="00485E78" w:rsidP="00485E78"/>
          <w:p w14:paraId="7B309567" w14:textId="77777777" w:rsidR="00485E78" w:rsidRPr="00224089" w:rsidRDefault="00485E78" w:rsidP="00485E78"/>
          <w:p w14:paraId="11E08203" w14:textId="77777777" w:rsidR="00485E78" w:rsidRPr="00224089" w:rsidRDefault="00485E78" w:rsidP="00485E78"/>
          <w:p w14:paraId="6CE86EA6" w14:textId="77777777" w:rsidR="00485E78" w:rsidRPr="00224089" w:rsidRDefault="00485E78" w:rsidP="00485E78"/>
          <w:p w14:paraId="2BE9D409" w14:textId="77777777" w:rsidR="00485E78" w:rsidRPr="00224089" w:rsidRDefault="00485E78" w:rsidP="00485E78"/>
          <w:p w14:paraId="44782F51" w14:textId="77777777" w:rsidR="00485E78" w:rsidRPr="00224089" w:rsidRDefault="00485E78" w:rsidP="00485E78"/>
          <w:p w14:paraId="51BC0C4B" w14:textId="77777777" w:rsidR="00485E78" w:rsidRPr="00224089" w:rsidRDefault="00485E78" w:rsidP="00485E78"/>
          <w:p w14:paraId="3630793B" w14:textId="77777777" w:rsidR="00485E78" w:rsidRPr="00224089" w:rsidRDefault="00485E78" w:rsidP="00485E78">
            <w:pPr>
              <w:jc w:val="center"/>
            </w:pPr>
          </w:p>
        </w:tc>
        <w:tc>
          <w:tcPr>
            <w:tcW w:w="7229" w:type="dxa"/>
          </w:tcPr>
          <w:p w14:paraId="32292AB8" w14:textId="7A1DDD75" w:rsidR="008C3A5C" w:rsidRPr="00224089" w:rsidRDefault="001E7D97" w:rsidP="008C3A5C">
            <w:pPr>
              <w:pStyle w:val="NormalWeb"/>
              <w:shd w:val="clear" w:color="auto" w:fill="FFFFFF"/>
              <w:spacing w:before="0" w:beforeAutospacing="0" w:after="0" w:afterAutospacing="0"/>
              <w:ind w:firstLine="301"/>
              <w:jc w:val="both"/>
            </w:pPr>
            <w:r w:rsidRPr="00224089">
              <w:rPr>
                <w:lang w:eastAsia="en-US"/>
              </w:rPr>
              <w:lastRenderedPageBreak/>
              <w:t xml:space="preserve">Pamatojoties uz </w:t>
            </w:r>
            <w:r w:rsidR="00701ED0" w:rsidRPr="00224089">
              <w:t xml:space="preserve">Ministru kabineta 2020.gada 13.oktobra </w:t>
            </w:r>
            <w:smartTag w:uri="schemas-tilde-lv/tildestengine" w:element="veidnes">
              <w:smartTagPr>
                <w:attr w:name="baseform" w:val="rīkojum|s"/>
                <w:attr w:name="id" w:val="-1"/>
                <w:attr w:name="text" w:val="rīkojumu"/>
              </w:smartTagPr>
              <w:r w:rsidR="00701ED0" w:rsidRPr="00224089">
                <w:t>rīkojumu</w:t>
              </w:r>
            </w:smartTag>
            <w:r w:rsidR="00701ED0" w:rsidRPr="00224089">
              <w:t xml:space="preserve"> Nr.597 </w:t>
            </w:r>
            <w:r w:rsidR="00701ED0" w:rsidRPr="00224089">
              <w:sym w:font="Times New Roman" w:char="201D"/>
            </w:r>
            <w:r w:rsidR="00701ED0" w:rsidRPr="00224089">
              <w:t>Par valsts nekustamā īpašuma Aptiekas ielā 7, Rīgā, pārdošanu”</w:t>
            </w:r>
            <w:r w:rsidR="00701ED0" w:rsidRPr="00224089">
              <w:rPr>
                <w:lang w:eastAsia="en-US"/>
              </w:rPr>
              <w:t xml:space="preserve"> un </w:t>
            </w:r>
            <w:r w:rsidR="00701ED0" w:rsidRPr="00224089">
              <w:t xml:space="preserve">Ministru kabineta 2020.gada 13.augusta </w:t>
            </w:r>
            <w:smartTag w:uri="schemas-tilde-lv/tildestengine" w:element="veidnes">
              <w:smartTagPr>
                <w:attr w:name="baseform" w:val="rīkojum|s"/>
                <w:attr w:name="id" w:val="-1"/>
                <w:attr w:name="text" w:val="rīkojumu"/>
              </w:smartTagPr>
              <w:r w:rsidR="00701ED0" w:rsidRPr="00224089">
                <w:t>rīkojumu</w:t>
              </w:r>
            </w:smartTag>
            <w:r w:rsidR="00701ED0" w:rsidRPr="00224089">
              <w:t xml:space="preserve"> Nr.418 </w:t>
            </w:r>
            <w:r w:rsidR="00701ED0" w:rsidRPr="00224089">
              <w:sym w:font="Times New Roman" w:char="201D"/>
            </w:r>
            <w:r w:rsidR="00701ED0" w:rsidRPr="00224089">
              <w:t>Par valsts nekustamo īpašumu pārdošanu”</w:t>
            </w:r>
            <w:r w:rsidRPr="00224089">
              <w:rPr>
                <w:lang w:eastAsia="en-US"/>
              </w:rPr>
              <w:t xml:space="preserve">, </w:t>
            </w:r>
            <w:r w:rsidR="008C3A5C" w:rsidRPr="00224089">
              <w:rPr>
                <w:shd w:val="clear" w:color="auto" w:fill="FFFFFF"/>
              </w:rPr>
              <w:t xml:space="preserve">valsts akciju sabiedrībai “Valsts nekustamie īpašumi” (turpmāk – VNĪ) </w:t>
            </w:r>
            <w:r w:rsidRPr="00224089">
              <w:rPr>
                <w:lang w:eastAsia="en-US"/>
              </w:rPr>
              <w:t xml:space="preserve">tika atļauts </w:t>
            </w:r>
            <w:r w:rsidR="008C3A5C" w:rsidRPr="00224089">
              <w:t>pārdot izsolē šādus nekustamos īpašumus, kas ierakstīti zemesgrāmatā uz valsts vārda Veselības ministrijas personā:</w:t>
            </w:r>
          </w:p>
          <w:p w14:paraId="1A566DDA" w14:textId="410C7984" w:rsidR="008C3A5C" w:rsidRPr="00224089" w:rsidRDefault="008C3A5C" w:rsidP="008C3A5C">
            <w:pPr>
              <w:pStyle w:val="NormalWeb"/>
              <w:shd w:val="clear" w:color="auto" w:fill="FFFFFF"/>
              <w:spacing w:before="0" w:beforeAutospacing="0" w:after="0" w:afterAutospacing="0"/>
              <w:ind w:firstLine="301"/>
              <w:jc w:val="both"/>
            </w:pPr>
            <w:r w:rsidRPr="00224089">
              <w:t xml:space="preserve">- nekustamo īpašumu (nekustamā īpašuma kadastra Nr. </w:t>
            </w:r>
            <w:r w:rsidR="00701ED0" w:rsidRPr="00224089">
              <w:t>0100 016 0167</w:t>
            </w:r>
            <w:r w:rsidRPr="00224089">
              <w:t xml:space="preserve">) - zemes vienību (zemes vienības kadastra apzīmējums </w:t>
            </w:r>
            <w:r w:rsidR="00701ED0" w:rsidRPr="00224089">
              <w:t>0100 016 0167</w:t>
            </w:r>
            <w:r w:rsidRPr="00224089">
              <w:t xml:space="preserve">) </w:t>
            </w:r>
            <w:r w:rsidR="00701ED0" w:rsidRPr="00224089">
              <w:t xml:space="preserve">0,2536 ha </w:t>
            </w:r>
            <w:r w:rsidRPr="00224089">
              <w:t xml:space="preserve">platībā un </w:t>
            </w:r>
            <w:r w:rsidR="00701ED0" w:rsidRPr="00224089">
              <w:t xml:space="preserve">divas </w:t>
            </w:r>
            <w:r w:rsidRPr="00224089">
              <w:t xml:space="preserve">būves (būvju kadastra apzīmējumi </w:t>
            </w:r>
            <w:r w:rsidR="00701ED0" w:rsidRPr="00224089">
              <w:t xml:space="preserve">0100 016 0167 001 </w:t>
            </w:r>
            <w:r w:rsidRPr="00224089">
              <w:t xml:space="preserve">un </w:t>
            </w:r>
            <w:r w:rsidR="00701ED0" w:rsidRPr="00224089">
              <w:t>0100 016 0167 002</w:t>
            </w:r>
            <w:r w:rsidRPr="00224089">
              <w:t xml:space="preserve">) - </w:t>
            </w:r>
            <w:r w:rsidR="00701ED0" w:rsidRPr="00224089">
              <w:t>Aptiekas ielā 7, Rīgā</w:t>
            </w:r>
            <w:r w:rsidRPr="00224089">
              <w:t>;</w:t>
            </w:r>
          </w:p>
          <w:p w14:paraId="359AEACD" w14:textId="1F4951E8" w:rsidR="008C3A5C" w:rsidRPr="00224089" w:rsidRDefault="008C3A5C" w:rsidP="00701ED0">
            <w:pPr>
              <w:pStyle w:val="NormalWeb"/>
              <w:shd w:val="clear" w:color="auto" w:fill="FFFFFF"/>
              <w:spacing w:before="0" w:beforeAutospacing="0" w:after="0" w:afterAutospacing="0"/>
              <w:jc w:val="both"/>
            </w:pPr>
            <w:r w:rsidRPr="00224089">
              <w:t xml:space="preserve">- nekustamo īpašumu (nekustamā īpašuma kadastra Nr. </w:t>
            </w:r>
            <w:r w:rsidR="00701ED0" w:rsidRPr="00224089">
              <w:t>0100 035 0098</w:t>
            </w:r>
            <w:r w:rsidRPr="00224089">
              <w:t xml:space="preserve">) - zemes vienību (zemes vienības kadastra apzīmējums </w:t>
            </w:r>
            <w:r w:rsidR="00701ED0" w:rsidRPr="00224089">
              <w:t>0100 035 0098</w:t>
            </w:r>
            <w:r w:rsidRPr="00224089">
              <w:t xml:space="preserve">) </w:t>
            </w:r>
            <w:r w:rsidR="00701ED0" w:rsidRPr="00224089">
              <w:t xml:space="preserve">2059 m² </w:t>
            </w:r>
            <w:r w:rsidRPr="00224089">
              <w:t xml:space="preserve">platībā un </w:t>
            </w:r>
            <w:r w:rsidR="00701ED0" w:rsidRPr="00224089">
              <w:t xml:space="preserve">četras </w:t>
            </w:r>
            <w:r w:rsidRPr="00224089">
              <w:t>būv</w:t>
            </w:r>
            <w:r w:rsidR="00701ED0" w:rsidRPr="00224089">
              <w:t>es</w:t>
            </w:r>
            <w:r w:rsidRPr="00224089">
              <w:t xml:space="preserve"> (būv</w:t>
            </w:r>
            <w:r w:rsidR="00701ED0" w:rsidRPr="00224089">
              <w:t>ju</w:t>
            </w:r>
            <w:r w:rsidRPr="00224089">
              <w:t xml:space="preserve"> kadastra apzīmējum</w:t>
            </w:r>
            <w:r w:rsidR="00701ED0" w:rsidRPr="00224089">
              <w:t>i</w:t>
            </w:r>
            <w:r w:rsidRPr="00224089">
              <w:t xml:space="preserve"> </w:t>
            </w:r>
            <w:r w:rsidR="00701ED0" w:rsidRPr="00224089">
              <w:t>0100 035 0098 003, 0100 035 0098 004, 0100 035 0098 006 un 0100 035 0098 007</w:t>
            </w:r>
            <w:r w:rsidRPr="00224089">
              <w:t xml:space="preserve">) - </w:t>
            </w:r>
            <w:r w:rsidR="00701ED0" w:rsidRPr="00224089">
              <w:t>Aleksandra Čaka ielā 147, Rīgā</w:t>
            </w:r>
            <w:r w:rsidRPr="00224089">
              <w:t>(turpmāk – nekustamais īpašums)</w:t>
            </w:r>
            <w:r w:rsidR="00D8655B" w:rsidRPr="00224089">
              <w:t>.</w:t>
            </w:r>
          </w:p>
          <w:p w14:paraId="52EA878D" w14:textId="77777777" w:rsidR="008C3A5C" w:rsidRPr="00224089" w:rsidRDefault="008C3A5C" w:rsidP="001E7D97">
            <w:pPr>
              <w:ind w:right="119"/>
              <w:jc w:val="both"/>
              <w:rPr>
                <w:sz w:val="28"/>
                <w:szCs w:val="28"/>
                <w:lang w:eastAsia="en-US"/>
              </w:rPr>
            </w:pPr>
          </w:p>
          <w:p w14:paraId="65EE5EDE" w14:textId="4CA7DAAF" w:rsidR="001E7D97" w:rsidRPr="00224089" w:rsidRDefault="001E7D97" w:rsidP="00C80B0B">
            <w:pPr>
              <w:ind w:left="120" w:right="118" w:firstLine="426"/>
              <w:jc w:val="both"/>
              <w:rPr>
                <w:lang w:eastAsia="en-US"/>
              </w:rPr>
            </w:pPr>
            <w:bookmarkStart w:id="0" w:name="_Hlk74648119"/>
            <w:r w:rsidRPr="00224089">
              <w:rPr>
                <w:lang w:eastAsia="en-US"/>
              </w:rPr>
              <w:t>20</w:t>
            </w:r>
            <w:r w:rsidR="008C3A5C" w:rsidRPr="00224089">
              <w:rPr>
                <w:lang w:eastAsia="en-US"/>
              </w:rPr>
              <w:t>2</w:t>
            </w:r>
            <w:r w:rsidR="00870ADA" w:rsidRPr="00224089">
              <w:rPr>
                <w:lang w:eastAsia="en-US"/>
              </w:rPr>
              <w:t>1</w:t>
            </w:r>
            <w:r w:rsidRPr="00224089">
              <w:rPr>
                <w:lang w:eastAsia="en-US"/>
              </w:rPr>
              <w:t xml:space="preserve">.gada </w:t>
            </w:r>
            <w:r w:rsidR="00870ADA" w:rsidRPr="00224089">
              <w:rPr>
                <w:lang w:eastAsia="en-US"/>
              </w:rPr>
              <w:t>9</w:t>
            </w:r>
            <w:r w:rsidRPr="00224089">
              <w:rPr>
                <w:lang w:eastAsia="en-US"/>
              </w:rPr>
              <w:t>.</w:t>
            </w:r>
            <w:r w:rsidR="00870ADA" w:rsidRPr="00224089">
              <w:rPr>
                <w:lang w:eastAsia="en-US"/>
              </w:rPr>
              <w:t xml:space="preserve">februārī </w:t>
            </w:r>
            <w:r w:rsidRPr="00224089">
              <w:rPr>
                <w:lang w:eastAsia="en-US"/>
              </w:rPr>
              <w:t>starp</w:t>
            </w:r>
            <w:r w:rsidR="008C3A5C" w:rsidRPr="00224089">
              <w:rPr>
                <w:lang w:eastAsia="en-US"/>
              </w:rPr>
              <w:t xml:space="preserve"> VNĪ</w:t>
            </w:r>
            <w:r w:rsidRPr="00224089">
              <w:rPr>
                <w:lang w:eastAsia="en-US"/>
              </w:rPr>
              <w:t xml:space="preserve"> un sabiedrību </w:t>
            </w:r>
            <w:r w:rsidR="008C3A5C" w:rsidRPr="00224089">
              <w:rPr>
                <w:lang w:eastAsia="en-US"/>
              </w:rPr>
              <w:t xml:space="preserve">ar ierobežotu atbildību </w:t>
            </w:r>
            <w:r w:rsidR="00870ADA" w:rsidRPr="00224089">
              <w:rPr>
                <w:lang w:eastAsia="en-US"/>
              </w:rPr>
              <w:t>”</w:t>
            </w:r>
            <w:proofErr w:type="spellStart"/>
            <w:r w:rsidR="00870ADA" w:rsidRPr="00224089">
              <w:t>Census</w:t>
            </w:r>
            <w:proofErr w:type="spellEnd"/>
            <w:r w:rsidR="00870ADA" w:rsidRPr="00224089">
              <w:t xml:space="preserve"> Ko”</w:t>
            </w:r>
            <w:r w:rsidR="008C3A5C" w:rsidRPr="00224089">
              <w:rPr>
                <w:lang w:eastAsia="en-US"/>
              </w:rPr>
              <w:t xml:space="preserve"> </w:t>
            </w:r>
            <w:r w:rsidR="00D8655B" w:rsidRPr="00224089">
              <w:rPr>
                <w:lang w:eastAsia="en-US"/>
              </w:rPr>
              <w:t>(turpmāk – pircējs</w:t>
            </w:r>
            <w:r w:rsidR="00870ADA" w:rsidRPr="00224089">
              <w:rPr>
                <w:lang w:eastAsia="en-US"/>
              </w:rPr>
              <w:t xml:space="preserve"> 1</w:t>
            </w:r>
            <w:r w:rsidR="00D8655B" w:rsidRPr="00224089">
              <w:rPr>
                <w:lang w:eastAsia="en-US"/>
              </w:rPr>
              <w:t xml:space="preserve">) </w:t>
            </w:r>
            <w:r w:rsidRPr="00224089">
              <w:rPr>
                <w:lang w:eastAsia="en-US"/>
              </w:rPr>
              <w:t xml:space="preserve">tika noslēgts </w:t>
            </w:r>
            <w:r w:rsidR="0096116B" w:rsidRPr="00224089">
              <w:t xml:space="preserve">nekustamā īpašuma (nekustamā īpašuma kadastra Nr. </w:t>
            </w:r>
            <w:r w:rsidR="00870ADA" w:rsidRPr="00224089">
              <w:t>0100 016 0167</w:t>
            </w:r>
            <w:r w:rsidR="0096116B" w:rsidRPr="00224089">
              <w:t>)</w:t>
            </w:r>
            <w:r w:rsidR="00870ADA" w:rsidRPr="00224089">
              <w:t xml:space="preserve"> Aptiekas</w:t>
            </w:r>
            <w:r w:rsidR="0096116B" w:rsidRPr="00224089">
              <w:t xml:space="preserve"> ielā </w:t>
            </w:r>
            <w:r w:rsidR="00870ADA" w:rsidRPr="00224089">
              <w:t>7</w:t>
            </w:r>
            <w:r w:rsidR="0096116B" w:rsidRPr="00224089">
              <w:t xml:space="preserve">, </w:t>
            </w:r>
            <w:r w:rsidR="00870ADA" w:rsidRPr="00224089">
              <w:t>Rīgā</w:t>
            </w:r>
            <w:r w:rsidR="0096116B" w:rsidRPr="00224089">
              <w:t xml:space="preserve">, </w:t>
            </w:r>
            <w:r w:rsidRPr="00224089">
              <w:rPr>
                <w:lang w:eastAsia="en-US"/>
              </w:rPr>
              <w:t xml:space="preserve">Pirkuma līgums </w:t>
            </w:r>
            <w:proofErr w:type="spellStart"/>
            <w:r w:rsidRPr="00224089">
              <w:rPr>
                <w:lang w:eastAsia="en-US"/>
              </w:rPr>
              <w:t>Nr.</w:t>
            </w:r>
            <w:r w:rsidR="008C3A5C" w:rsidRPr="00224089">
              <w:rPr>
                <w:lang w:eastAsia="en-US"/>
              </w:rPr>
              <w:t>IEN</w:t>
            </w:r>
            <w:proofErr w:type="spellEnd"/>
            <w:r w:rsidR="008C3A5C" w:rsidRPr="00224089">
              <w:rPr>
                <w:lang w:eastAsia="en-US"/>
              </w:rPr>
              <w:t>/202</w:t>
            </w:r>
            <w:r w:rsidR="00870ADA" w:rsidRPr="00224089">
              <w:rPr>
                <w:lang w:eastAsia="en-US"/>
              </w:rPr>
              <w:t>1</w:t>
            </w:r>
            <w:r w:rsidR="008C3A5C" w:rsidRPr="00224089">
              <w:rPr>
                <w:lang w:eastAsia="en-US"/>
              </w:rPr>
              <w:t>/</w:t>
            </w:r>
            <w:r w:rsidR="00870ADA" w:rsidRPr="00224089">
              <w:rPr>
                <w:lang w:eastAsia="en-US"/>
              </w:rPr>
              <w:t>212</w:t>
            </w:r>
            <w:r w:rsidRPr="00224089">
              <w:rPr>
                <w:lang w:eastAsia="en-US"/>
              </w:rPr>
              <w:t>.</w:t>
            </w:r>
            <w:r w:rsidR="008C3A5C" w:rsidRPr="00224089">
              <w:rPr>
                <w:lang w:eastAsia="en-US"/>
              </w:rPr>
              <w:t xml:space="preserve">  Attiecīgi nekustamais īpašums tika nodots pircējam, sastādot nodošanas- pieņ</w:t>
            </w:r>
            <w:r w:rsidR="007F0AF1" w:rsidRPr="00224089">
              <w:rPr>
                <w:lang w:eastAsia="en-US"/>
              </w:rPr>
              <w:t>e</w:t>
            </w:r>
            <w:r w:rsidR="008C3A5C" w:rsidRPr="00224089">
              <w:rPr>
                <w:lang w:eastAsia="en-US"/>
              </w:rPr>
              <w:t>mšanas aktu un sagatavo</w:t>
            </w:r>
            <w:r w:rsidR="007F0AF1" w:rsidRPr="00224089">
              <w:rPr>
                <w:lang w:eastAsia="en-US"/>
              </w:rPr>
              <w:t>j</w:t>
            </w:r>
            <w:r w:rsidR="008C3A5C" w:rsidRPr="00224089">
              <w:rPr>
                <w:lang w:eastAsia="en-US"/>
              </w:rPr>
              <w:t xml:space="preserve">ot nostiprinājuma lūgumu par īpašuma tiesību reģistrāciju Zemesgrāmatā uz pircēja vārda. </w:t>
            </w:r>
          </w:p>
          <w:p w14:paraId="2DFE5C83" w14:textId="6095100D" w:rsidR="001E7D97" w:rsidRPr="00224089" w:rsidRDefault="001E7D97" w:rsidP="001E7D97">
            <w:pPr>
              <w:ind w:left="119" w:right="119" w:firstLine="425"/>
              <w:jc w:val="both"/>
              <w:rPr>
                <w:lang w:eastAsia="en-US"/>
              </w:rPr>
            </w:pPr>
            <w:r w:rsidRPr="00224089">
              <w:rPr>
                <w:lang w:eastAsia="en-US"/>
              </w:rPr>
              <w:t xml:space="preserve">Nekustamā īpašuma atsavināšanā iegūti līdzekļi </w:t>
            </w:r>
            <w:r w:rsidR="00870ADA" w:rsidRPr="00224089">
              <w:t>157 500</w:t>
            </w:r>
            <w:r w:rsidR="008C3E17" w:rsidRPr="00224089">
              <w:rPr>
                <w:lang w:eastAsia="en-US"/>
              </w:rPr>
              <w:t xml:space="preserve"> </w:t>
            </w:r>
            <w:proofErr w:type="spellStart"/>
            <w:r w:rsidR="00D8655B" w:rsidRPr="00224089">
              <w:rPr>
                <w:i/>
                <w:iCs/>
                <w:lang w:eastAsia="en-US"/>
              </w:rPr>
              <w:t>euro</w:t>
            </w:r>
            <w:proofErr w:type="spellEnd"/>
            <w:r w:rsidR="00D8655B" w:rsidRPr="00224089">
              <w:rPr>
                <w:lang w:eastAsia="en-US"/>
              </w:rPr>
              <w:t xml:space="preserve"> </w:t>
            </w:r>
            <w:r w:rsidRPr="00224089">
              <w:rPr>
                <w:lang w:eastAsia="en-US"/>
              </w:rPr>
              <w:t xml:space="preserve">apmērā, no kuriem Ministru kabineta 2011.gada 1.februāra noteikumu Nr.109 “Kārtība, kādā atsavināma publiskas personas manta” 36.punktā noteiktajā kārtībā atskaitīti nekustamā īpašuma atsavināšanas izdevumi un valsts pamatbudžeta ieņēmumu kontā ieskaitīti </w:t>
            </w:r>
            <w:r w:rsidR="00870ADA" w:rsidRPr="00224089">
              <w:rPr>
                <w:lang w:eastAsia="en-US"/>
              </w:rPr>
              <w:t>78 750</w:t>
            </w:r>
            <w:r w:rsidR="00D8655B" w:rsidRPr="00224089">
              <w:rPr>
                <w:i/>
                <w:iCs/>
                <w:lang w:eastAsia="en-US"/>
              </w:rPr>
              <w:t>euro</w:t>
            </w:r>
            <w:r w:rsidRPr="00224089">
              <w:rPr>
                <w:lang w:eastAsia="en-US"/>
              </w:rPr>
              <w:t>.</w:t>
            </w:r>
          </w:p>
          <w:p w14:paraId="308CF186" w14:textId="5F6939C7" w:rsidR="007F0AF1" w:rsidRPr="00224089" w:rsidRDefault="007F0AF1" w:rsidP="007F0AF1">
            <w:pPr>
              <w:ind w:left="120" w:right="118" w:firstLine="426"/>
              <w:jc w:val="both"/>
              <w:rPr>
                <w:lang w:eastAsia="en-US"/>
              </w:rPr>
            </w:pPr>
            <w:r w:rsidRPr="00224089">
              <w:rPr>
                <w:lang w:eastAsia="en-US"/>
              </w:rPr>
              <w:t>2021.gada 19.janvārī starp VNĪ un sabiedrību ar ierobežotu atbildību ”</w:t>
            </w:r>
            <w:r w:rsidRPr="00224089">
              <w:rPr>
                <w:bCs/>
              </w:rPr>
              <w:t>GIGA NAMS</w:t>
            </w:r>
            <w:r w:rsidRPr="00224089">
              <w:t>”</w:t>
            </w:r>
            <w:r w:rsidRPr="00224089">
              <w:rPr>
                <w:lang w:eastAsia="en-US"/>
              </w:rPr>
              <w:t xml:space="preserve"> (turpmāk – pircējs 2) tika noslēgts </w:t>
            </w:r>
            <w:r w:rsidRPr="00224089">
              <w:t xml:space="preserve">nekustamā īpašuma (nekustamā īpašuma kadastra Nr. 0100 035 0098) Aleksandra Čaka ielā 147, Rīgā, </w:t>
            </w:r>
            <w:r w:rsidRPr="00224089">
              <w:rPr>
                <w:lang w:eastAsia="en-US"/>
              </w:rPr>
              <w:t xml:space="preserve">Pirkuma līgums </w:t>
            </w:r>
            <w:proofErr w:type="spellStart"/>
            <w:r w:rsidRPr="00224089">
              <w:rPr>
                <w:lang w:eastAsia="en-US"/>
              </w:rPr>
              <w:t>Nr.IEN</w:t>
            </w:r>
            <w:proofErr w:type="spellEnd"/>
            <w:r w:rsidRPr="00224089">
              <w:rPr>
                <w:lang w:eastAsia="en-US"/>
              </w:rPr>
              <w:t xml:space="preserve">/2021/21.  Attiecīgi nekustamais īpašums tika nodots pircējam 2, sastādot nodošanas- pieņemšanas aktu un sagatavojot nostiprinājuma lūgumu par īpašuma tiesību reģistrāciju Zemesgrāmatā uz pircēja vārda. </w:t>
            </w:r>
          </w:p>
          <w:p w14:paraId="1670D537" w14:textId="5B0E9E77" w:rsidR="003A46F2" w:rsidRPr="00224089" w:rsidRDefault="007F0AF1" w:rsidP="00480A65">
            <w:pPr>
              <w:ind w:left="119" w:right="119" w:firstLine="425"/>
              <w:jc w:val="both"/>
              <w:rPr>
                <w:lang w:eastAsia="en-US"/>
              </w:rPr>
            </w:pPr>
            <w:r w:rsidRPr="00224089">
              <w:rPr>
                <w:lang w:eastAsia="en-US"/>
              </w:rPr>
              <w:t xml:space="preserve">Nekustamā īpašuma atsavināšanā iegūti līdzekļi </w:t>
            </w:r>
            <w:r w:rsidR="008C3E17" w:rsidRPr="00224089">
              <w:t xml:space="preserve">381 000 </w:t>
            </w:r>
            <w:proofErr w:type="spellStart"/>
            <w:r w:rsidRPr="00224089">
              <w:rPr>
                <w:i/>
                <w:iCs/>
                <w:lang w:eastAsia="en-US"/>
              </w:rPr>
              <w:t>euro</w:t>
            </w:r>
            <w:proofErr w:type="spellEnd"/>
            <w:r w:rsidRPr="00224089">
              <w:rPr>
                <w:lang w:eastAsia="en-US"/>
              </w:rPr>
              <w:t xml:space="preserve"> apmērā, no kuriem Ministru kabineta 2011.gada 1.februāra noteikumu Nr.109 “Kārtība, kādā atsavināma publiskas personas manta” 36.punktā noteiktajā kārtībā atskaitīti nekustamā īpašuma atsavināšanas izdevumi un valsts pamatbudžeta ieņēmumu kontā ieskaitīti </w:t>
            </w:r>
            <w:r w:rsidR="0045228D" w:rsidRPr="00224089">
              <w:rPr>
                <w:lang w:eastAsia="en-US"/>
              </w:rPr>
              <w:t>190 500</w:t>
            </w:r>
            <w:r w:rsidR="008C3E17" w:rsidRPr="00224089">
              <w:rPr>
                <w:lang w:eastAsia="en-US"/>
              </w:rPr>
              <w:t xml:space="preserve"> </w:t>
            </w:r>
            <w:proofErr w:type="spellStart"/>
            <w:r w:rsidRPr="00224089">
              <w:rPr>
                <w:i/>
                <w:iCs/>
                <w:lang w:eastAsia="en-US"/>
              </w:rPr>
              <w:t>euro</w:t>
            </w:r>
            <w:proofErr w:type="spellEnd"/>
            <w:r w:rsidRPr="00224089">
              <w:rPr>
                <w:lang w:eastAsia="en-US"/>
              </w:rPr>
              <w:t>.</w:t>
            </w:r>
            <w:bookmarkEnd w:id="0"/>
          </w:p>
          <w:p w14:paraId="17FE9692" w14:textId="205455E2" w:rsidR="003A46F2" w:rsidRPr="00224089" w:rsidRDefault="009A6ABE" w:rsidP="003A46F2">
            <w:pPr>
              <w:shd w:val="clear" w:color="auto" w:fill="FFFFFF"/>
              <w:spacing w:before="100" w:beforeAutospacing="1" w:after="100" w:afterAutospacing="1" w:line="293" w:lineRule="atLeast"/>
              <w:ind w:firstLine="300"/>
              <w:jc w:val="both"/>
            </w:pPr>
            <w:bookmarkStart w:id="1" w:name="_Hlk74650655"/>
            <w:r w:rsidRPr="00224089">
              <w:rPr>
                <w:color w:val="000000"/>
                <w:bdr w:val="none" w:sz="0" w:space="0" w:color="auto" w:frame="1"/>
                <w:shd w:val="clear" w:color="auto" w:fill="FFFFFF"/>
              </w:rPr>
              <w:t xml:space="preserve">Veselības ministrija uzskata, ka ir lietderīgi pieņemt Ministru kabineta lēmumu par apropriācijas palielināšanu Veselības ministrijai resursiem no dotācijas no vispārējiem ieņēmumiem un izdevumiem, piešķirot finansējumu kapitālieguldījumiem Veselības ministrijas valdījumā esošā nekustamā īpašuma Sēlpils ielā 9, Rīgā, kuru savu funkciju nodrošināšanai lieto Valsts asinsdonoru centrs (turpmāk – VADC), elektroapgādes sistēmas sakārtošanai. 2020.gada aprīlī tika konstatēts, ka ir bojāts viens no galvenā </w:t>
            </w:r>
            <w:proofErr w:type="spellStart"/>
            <w:r w:rsidRPr="00224089">
              <w:rPr>
                <w:color w:val="000000"/>
                <w:bdr w:val="none" w:sz="0" w:space="0" w:color="auto" w:frame="1"/>
                <w:shd w:val="clear" w:color="auto" w:fill="FFFFFF"/>
              </w:rPr>
              <w:t>elektro</w:t>
            </w:r>
            <w:proofErr w:type="spellEnd"/>
            <w:r w:rsidR="00B16FE9" w:rsidRPr="00224089">
              <w:rPr>
                <w:color w:val="000000"/>
                <w:bdr w:val="none" w:sz="0" w:space="0" w:color="auto" w:frame="1"/>
                <w:shd w:val="clear" w:color="auto" w:fill="FFFFFF"/>
              </w:rPr>
              <w:t xml:space="preserve"> </w:t>
            </w:r>
            <w:r w:rsidRPr="00224089">
              <w:rPr>
                <w:color w:val="000000"/>
                <w:bdr w:val="none" w:sz="0" w:space="0" w:color="auto" w:frame="1"/>
                <w:shd w:val="clear" w:color="auto" w:fill="FFFFFF"/>
              </w:rPr>
              <w:t xml:space="preserve">pievada </w:t>
            </w:r>
            <w:proofErr w:type="spellStart"/>
            <w:r w:rsidRPr="00224089">
              <w:rPr>
                <w:color w:val="000000"/>
                <w:bdr w:val="none" w:sz="0" w:space="0" w:color="auto" w:frame="1"/>
                <w:shd w:val="clear" w:color="auto" w:fill="FFFFFF"/>
              </w:rPr>
              <w:t>kabeļlīnijas</w:t>
            </w:r>
            <w:proofErr w:type="spellEnd"/>
            <w:r w:rsidRPr="00224089">
              <w:rPr>
                <w:color w:val="000000"/>
                <w:bdr w:val="none" w:sz="0" w:space="0" w:color="auto" w:frame="1"/>
                <w:shd w:val="clear" w:color="auto" w:fill="FFFFFF"/>
              </w:rPr>
              <w:t xml:space="preserve"> kabeļiem, tādējādi ir paaugstinājies risks nepārtrauktas elektroapgādes nodrošinājumam objektā. Lai garantētu VADC darbības nepārtrauktību, nekustamajam īpašumam Sēlpils ielā 9, Rīgā nepieciešams veikt jauna </w:t>
            </w:r>
            <w:proofErr w:type="spellStart"/>
            <w:r w:rsidRPr="00224089">
              <w:rPr>
                <w:color w:val="000000"/>
                <w:bdr w:val="none" w:sz="0" w:space="0" w:color="auto" w:frame="1"/>
                <w:shd w:val="clear" w:color="auto" w:fill="FFFFFF"/>
              </w:rPr>
              <w:t>elektropieslēguma</w:t>
            </w:r>
            <w:proofErr w:type="spellEnd"/>
            <w:r w:rsidRPr="00224089">
              <w:rPr>
                <w:color w:val="000000"/>
                <w:bdr w:val="none" w:sz="0" w:space="0" w:color="auto" w:frame="1"/>
                <w:shd w:val="clear" w:color="auto" w:fill="FFFFFF"/>
              </w:rPr>
              <w:t xml:space="preserve"> (no AS “Sadales tīkls” transformatora punkta T50387 līdz objektam) izbūvi un veikt VADC galvenās elektroapgādes </w:t>
            </w:r>
            <w:proofErr w:type="spellStart"/>
            <w:r w:rsidRPr="00224089">
              <w:rPr>
                <w:color w:val="000000"/>
                <w:bdr w:val="none" w:sz="0" w:space="0" w:color="auto" w:frame="1"/>
                <w:shd w:val="clear" w:color="auto" w:fill="FFFFFF"/>
              </w:rPr>
              <w:t>sadalnes</w:t>
            </w:r>
            <w:proofErr w:type="spellEnd"/>
            <w:r w:rsidRPr="00224089">
              <w:rPr>
                <w:color w:val="000000"/>
                <w:bdr w:val="none" w:sz="0" w:space="0" w:color="auto" w:frame="1"/>
                <w:shd w:val="clear" w:color="auto" w:fill="FFFFFF"/>
              </w:rPr>
              <w:t xml:space="preserve">, VADC vecā laboratorijas korpusa, VADC jaunā laboratorijas korpusa un VADC tehnisko ēku (saldētavu un garāžu kompleksa)  elektroapgādes </w:t>
            </w:r>
            <w:proofErr w:type="spellStart"/>
            <w:r w:rsidRPr="00224089">
              <w:rPr>
                <w:color w:val="000000"/>
                <w:bdr w:val="none" w:sz="0" w:space="0" w:color="auto" w:frame="1"/>
                <w:shd w:val="clear" w:color="auto" w:fill="FFFFFF"/>
              </w:rPr>
              <w:t>sadalņu</w:t>
            </w:r>
            <w:proofErr w:type="spellEnd"/>
            <w:r w:rsidRPr="00224089">
              <w:rPr>
                <w:color w:val="000000"/>
                <w:bdr w:val="none" w:sz="0" w:space="0" w:color="auto" w:frame="1"/>
                <w:shd w:val="clear" w:color="auto" w:fill="FFFFFF"/>
              </w:rPr>
              <w:t xml:space="preserve"> un barojošo kabeļu izbūvi,  kas ir neapmierinošā tehniskajā stāvoklī. VADC galvenā </w:t>
            </w:r>
            <w:proofErr w:type="spellStart"/>
            <w:r w:rsidRPr="00224089">
              <w:rPr>
                <w:color w:val="000000"/>
                <w:bdr w:val="none" w:sz="0" w:space="0" w:color="auto" w:frame="1"/>
                <w:shd w:val="clear" w:color="auto" w:fill="FFFFFF"/>
              </w:rPr>
              <w:t>sadalne</w:t>
            </w:r>
            <w:proofErr w:type="spellEnd"/>
            <w:r w:rsidRPr="00224089">
              <w:rPr>
                <w:color w:val="000000"/>
                <w:bdr w:val="none" w:sz="0" w:space="0" w:color="auto" w:frame="1"/>
                <w:shd w:val="clear" w:color="auto" w:fill="FFFFFF"/>
              </w:rPr>
              <w:t xml:space="preserve"> un kabeļi izbūvēti 20.gs 70. un 80. gados, tie ir ekspluatēti 40-50 gadus un ir sasniegta kabeļu darba mūža galējā robeža (35-50 gadi). </w:t>
            </w:r>
            <w:proofErr w:type="spellStart"/>
            <w:r w:rsidRPr="00224089">
              <w:rPr>
                <w:color w:val="000000"/>
                <w:bdr w:val="none" w:sz="0" w:space="0" w:color="auto" w:frame="1"/>
                <w:shd w:val="clear" w:color="auto" w:fill="FFFFFF"/>
              </w:rPr>
              <w:t>Sadalne</w:t>
            </w:r>
            <w:proofErr w:type="spellEnd"/>
            <w:r w:rsidRPr="00224089">
              <w:rPr>
                <w:color w:val="000000"/>
                <w:bdr w:val="none" w:sz="0" w:space="0" w:color="auto" w:frame="1"/>
                <w:shd w:val="clear" w:color="auto" w:fill="FFFFFF"/>
              </w:rPr>
              <w:t xml:space="preserve"> aprīkota ar novecojušu </w:t>
            </w:r>
            <w:proofErr w:type="spellStart"/>
            <w:r w:rsidRPr="00224089">
              <w:rPr>
                <w:color w:val="000000"/>
                <w:bdr w:val="none" w:sz="0" w:space="0" w:color="auto" w:frame="1"/>
                <w:shd w:val="clear" w:color="auto" w:fill="FFFFFF"/>
              </w:rPr>
              <w:t>sekcijslēdzi</w:t>
            </w:r>
            <w:proofErr w:type="spellEnd"/>
            <w:r w:rsidRPr="00224089">
              <w:rPr>
                <w:color w:val="000000"/>
                <w:bdr w:val="none" w:sz="0" w:space="0" w:color="auto" w:frame="1"/>
                <w:shd w:val="clear" w:color="auto" w:fill="FFFFFF"/>
              </w:rPr>
              <w:t xml:space="preserve"> un ievada slēdžiem , kuri nav paredzēti slodzes strāvas komutācijai, nespēj nodrošināt automātisku pārslēgšanos starp sekcijām. </w:t>
            </w:r>
            <w:proofErr w:type="spellStart"/>
            <w:r w:rsidRPr="00224089">
              <w:rPr>
                <w:color w:val="000000"/>
                <w:bdr w:val="none" w:sz="0" w:space="0" w:color="auto" w:frame="1"/>
                <w:shd w:val="clear" w:color="auto" w:fill="FFFFFF"/>
              </w:rPr>
              <w:t>Sadalnē</w:t>
            </w:r>
            <w:proofErr w:type="spellEnd"/>
            <w:r w:rsidRPr="00224089">
              <w:rPr>
                <w:color w:val="000000"/>
                <w:bdr w:val="none" w:sz="0" w:space="0" w:color="auto" w:frame="1"/>
                <w:shd w:val="clear" w:color="auto" w:fill="FFFFFF"/>
              </w:rPr>
              <w:t xml:space="preserve"> uzstādīti aizsardzības un komutācijas aparāti (drošinātāji un slēdži), kuri samazina drošumu un komutācijas spējas. </w:t>
            </w:r>
            <w:r w:rsidRPr="00224089" w:rsidDel="009A6ABE">
              <w:rPr>
                <w:lang w:eastAsia="en-US"/>
              </w:rPr>
              <w:t xml:space="preserve"> </w:t>
            </w:r>
            <w:bookmarkEnd w:id="1"/>
            <w:r w:rsidR="00F71600" w:rsidRPr="00224089">
              <w:t xml:space="preserve">Rīkojumu projekts paredz </w:t>
            </w:r>
            <w:r w:rsidR="003A46F2" w:rsidRPr="00224089">
              <w:lastRenderedPageBreak/>
              <w:t>atbilstoši likuma “</w:t>
            </w:r>
            <w:hyperlink r:id="rId10" w:tgtFrame="_blank" w:history="1">
              <w:r w:rsidR="003A46F2" w:rsidRPr="00224089">
                <w:t>Par valsts budžetu 202</w:t>
              </w:r>
              <w:r w:rsidR="00BE6775" w:rsidRPr="00224089">
                <w:t>1</w:t>
              </w:r>
              <w:r w:rsidR="003A46F2" w:rsidRPr="00224089">
                <w:t>. gadam</w:t>
              </w:r>
            </w:hyperlink>
            <w:r w:rsidR="003A46F2" w:rsidRPr="00224089">
              <w:t>” </w:t>
            </w:r>
            <w:hyperlink r:id="rId11" w:anchor="p42" w:tgtFrame="_blank" w:history="1">
              <w:r w:rsidR="003A46F2" w:rsidRPr="00224089">
                <w:t>44. panta</w:t>
              </w:r>
            </w:hyperlink>
            <w:r w:rsidR="003A46F2" w:rsidRPr="00224089">
              <w:t xml:space="preserve"> otrajai un trešajai daļai atbalstīt apropriācijas palielināšanu Veselības ministrijai resursiem no dotācijas no vispārējiem ieņēmumiem un izdevumiem programmā 97.00.00 “Nozares vadība un politikas plānošana” </w:t>
            </w:r>
            <w:r w:rsidR="00BE6775" w:rsidRPr="00224089">
              <w:t> 128 111.75</w:t>
            </w:r>
            <w:r w:rsidR="003A46F2" w:rsidRPr="00224089">
              <w:t xml:space="preserve"> </w:t>
            </w:r>
            <w:proofErr w:type="spellStart"/>
            <w:r w:rsidR="003A46F2" w:rsidRPr="00224089">
              <w:rPr>
                <w:i/>
                <w:iCs/>
              </w:rPr>
              <w:t>euro</w:t>
            </w:r>
            <w:proofErr w:type="spellEnd"/>
            <w:r w:rsidR="003A46F2" w:rsidRPr="00224089">
              <w:t xml:space="preserve"> apmērā, lai nodrošinātu finansējumu kapitālieguldījumiem valsts nekustamajā īpašumā </w:t>
            </w:r>
            <w:r w:rsidR="00BE6775" w:rsidRPr="00224089">
              <w:t xml:space="preserve">Sēlpils </w:t>
            </w:r>
            <w:r w:rsidR="003A46F2" w:rsidRPr="00224089">
              <w:t xml:space="preserve">ielā </w:t>
            </w:r>
            <w:r w:rsidR="00BE6775" w:rsidRPr="00224089">
              <w:t>9</w:t>
            </w:r>
            <w:r w:rsidR="003A46F2" w:rsidRPr="00224089">
              <w:t>, Rīgā.</w:t>
            </w:r>
          </w:p>
          <w:p w14:paraId="02EB51F1" w14:textId="77777777" w:rsidR="003A46F2" w:rsidRPr="00224089" w:rsidRDefault="00F71600" w:rsidP="003A46F2">
            <w:pPr>
              <w:shd w:val="clear" w:color="auto" w:fill="FFFFFF"/>
              <w:spacing w:before="100" w:beforeAutospacing="1" w:after="100" w:afterAutospacing="1" w:line="293" w:lineRule="atLeast"/>
              <w:ind w:firstLine="300"/>
              <w:jc w:val="both"/>
              <w:rPr>
                <w:sz w:val="28"/>
                <w:szCs w:val="28"/>
              </w:rPr>
            </w:pPr>
            <w:r w:rsidRPr="00224089">
              <w:t>Veselības ministrija normatīvajos aktos noteiktajā kārtībā sagatavo</w:t>
            </w:r>
            <w:r w:rsidR="00C80B0B" w:rsidRPr="00224089">
              <w:t>s</w:t>
            </w:r>
            <w:r w:rsidRPr="00224089">
              <w:t xml:space="preserve"> un iesnieg</w:t>
            </w:r>
            <w:r w:rsidR="00C80B0B" w:rsidRPr="00224089">
              <w:t>s</w:t>
            </w:r>
            <w:r w:rsidRPr="00224089">
              <w:t xml:space="preserve"> Finanšu ministrijā pieprasījumu par </w:t>
            </w:r>
            <w:r w:rsidR="00C80B0B" w:rsidRPr="00224089">
              <w:t>rīkojuma</w:t>
            </w:r>
            <w:r w:rsidRPr="00224089">
              <w:t xml:space="preserve"> projektā minēto</w:t>
            </w:r>
            <w:r w:rsidR="00C80B0B" w:rsidRPr="00224089">
              <w:t xml:space="preserve"> valsts budžeta apropriācijas palielināšanu atbilstoši rīkojuma 1. punktam.</w:t>
            </w:r>
          </w:p>
          <w:p w14:paraId="14B1FD7B" w14:textId="06C344A7" w:rsidR="004E276D" w:rsidRPr="00224089" w:rsidRDefault="004E276D" w:rsidP="003A46F2">
            <w:pPr>
              <w:shd w:val="clear" w:color="auto" w:fill="FFFFFF"/>
              <w:spacing w:before="100" w:beforeAutospacing="1" w:after="100" w:afterAutospacing="1" w:line="293" w:lineRule="atLeast"/>
              <w:ind w:firstLine="300"/>
              <w:jc w:val="both"/>
              <w:rPr>
                <w:sz w:val="28"/>
                <w:szCs w:val="28"/>
              </w:rPr>
            </w:pPr>
            <w:r w:rsidRPr="00224089">
              <w:t>Finanšu ministr</w:t>
            </w:r>
            <w:r w:rsidR="00C80B0B" w:rsidRPr="00224089">
              <w:t>s</w:t>
            </w:r>
            <w:r w:rsidRPr="00224089">
              <w:t xml:space="preserve"> normatīvajos aktos noteiktajā kārtībā informē</w:t>
            </w:r>
            <w:r w:rsidR="00C80B0B" w:rsidRPr="00224089">
              <w:t>s</w:t>
            </w:r>
            <w:r w:rsidRPr="00224089">
              <w:t xml:space="preserve"> Saeimas Budžeta un finanšu (nodokļu) komisiju par šā rīkojuma 1.punktā minēt</w:t>
            </w:r>
            <w:r w:rsidR="00C80B0B" w:rsidRPr="00224089">
              <w:t>o</w:t>
            </w:r>
            <w:r w:rsidRPr="00224089">
              <w:t xml:space="preserve"> apropriācijas </w:t>
            </w:r>
            <w:r w:rsidR="00C80B0B" w:rsidRPr="00224089">
              <w:t>palielināšanu</w:t>
            </w:r>
            <w:r w:rsidRPr="00224089">
              <w:t xml:space="preserve"> </w:t>
            </w:r>
            <w:r w:rsidR="00C80B0B" w:rsidRPr="00224089">
              <w:t>un, ja Saeimas Budžeta un finanšu (nodokļu) komisija piecu darbdienu laikā pēc attiecīgās informācijas saņemšanas neizteiks iebildumus, Finanšu minist</w:t>
            </w:r>
            <w:r w:rsidR="00224089" w:rsidRPr="00224089">
              <w:t>r</w:t>
            </w:r>
            <w:r w:rsidR="00C80B0B" w:rsidRPr="00224089">
              <w:t>ija palielinās apropriāciju.</w:t>
            </w:r>
          </w:p>
        </w:tc>
      </w:tr>
      <w:tr w:rsidR="003A46F2" w:rsidRPr="00224089" w14:paraId="02BBA92C" w14:textId="77777777" w:rsidTr="0079260F">
        <w:tc>
          <w:tcPr>
            <w:tcW w:w="568" w:type="dxa"/>
          </w:tcPr>
          <w:p w14:paraId="02F367A9" w14:textId="77777777" w:rsidR="00130487" w:rsidRPr="00224089" w:rsidRDefault="00130487" w:rsidP="00130487">
            <w:pPr>
              <w:pStyle w:val="NoSpacing"/>
              <w:jc w:val="center"/>
              <w:rPr>
                <w:rFonts w:ascii="Times New Roman" w:hAnsi="Times New Roman" w:cs="Times New Roman"/>
                <w:sz w:val="24"/>
                <w:szCs w:val="24"/>
                <w:lang w:eastAsia="lv-LV"/>
              </w:rPr>
            </w:pPr>
            <w:r w:rsidRPr="00224089">
              <w:rPr>
                <w:rFonts w:ascii="Times New Roman" w:hAnsi="Times New Roman" w:cs="Times New Roman"/>
                <w:sz w:val="24"/>
                <w:szCs w:val="24"/>
                <w:lang w:eastAsia="lv-LV"/>
              </w:rPr>
              <w:lastRenderedPageBreak/>
              <w:t>3.</w:t>
            </w:r>
          </w:p>
        </w:tc>
        <w:tc>
          <w:tcPr>
            <w:tcW w:w="1559" w:type="dxa"/>
          </w:tcPr>
          <w:p w14:paraId="4EDC6C40" w14:textId="77777777" w:rsidR="00130487" w:rsidRPr="00224089" w:rsidRDefault="00130487" w:rsidP="00130487">
            <w:pPr>
              <w:pStyle w:val="NoSpacing"/>
              <w:jc w:val="both"/>
              <w:rPr>
                <w:rFonts w:ascii="Times New Roman" w:hAnsi="Times New Roman" w:cs="Times New Roman"/>
                <w:iCs/>
                <w:sz w:val="24"/>
                <w:szCs w:val="24"/>
                <w:lang w:eastAsia="lv-LV"/>
              </w:rPr>
            </w:pPr>
            <w:r w:rsidRPr="00224089">
              <w:rPr>
                <w:rFonts w:ascii="Times New Roman" w:hAnsi="Times New Roman" w:cs="Times New Roman"/>
                <w:iCs/>
                <w:sz w:val="24"/>
                <w:szCs w:val="24"/>
                <w:lang w:eastAsia="lv-LV"/>
              </w:rPr>
              <w:t>Projekta izstrādē iesaistītās institūcijas un publiskas personas kapitālsabiedrības</w:t>
            </w:r>
          </w:p>
        </w:tc>
        <w:tc>
          <w:tcPr>
            <w:tcW w:w="7229" w:type="dxa"/>
          </w:tcPr>
          <w:p w14:paraId="7931B362" w14:textId="18A60DD6" w:rsidR="00130487" w:rsidRPr="00224089" w:rsidRDefault="00FC7F88" w:rsidP="006335C0">
            <w:pPr>
              <w:pStyle w:val="NoSpacing"/>
              <w:jc w:val="both"/>
              <w:rPr>
                <w:rFonts w:ascii="Times New Roman" w:hAnsi="Times New Roman" w:cs="Times New Roman"/>
                <w:sz w:val="24"/>
                <w:szCs w:val="24"/>
                <w:lang w:eastAsia="lv-LV"/>
              </w:rPr>
            </w:pPr>
            <w:r w:rsidRPr="00224089">
              <w:rPr>
                <w:rFonts w:ascii="Times New Roman" w:hAnsi="Times New Roman" w:cs="Times New Roman"/>
                <w:sz w:val="24"/>
                <w:szCs w:val="24"/>
              </w:rPr>
              <w:t>Veselības ministrija</w:t>
            </w:r>
            <w:r w:rsidR="003A46F2" w:rsidRPr="00224089">
              <w:rPr>
                <w:rFonts w:ascii="Times New Roman" w:hAnsi="Times New Roman" w:cs="Times New Roman"/>
                <w:sz w:val="24"/>
                <w:szCs w:val="24"/>
              </w:rPr>
              <w:t>, VNĪ</w:t>
            </w:r>
          </w:p>
        </w:tc>
      </w:tr>
      <w:tr w:rsidR="003A46F2" w:rsidRPr="00224089" w14:paraId="4349FA17" w14:textId="77777777" w:rsidTr="0079260F">
        <w:tc>
          <w:tcPr>
            <w:tcW w:w="568" w:type="dxa"/>
          </w:tcPr>
          <w:p w14:paraId="7455A61E" w14:textId="77777777" w:rsidR="00130487" w:rsidRPr="00224089" w:rsidRDefault="00130487" w:rsidP="00130487">
            <w:pPr>
              <w:pStyle w:val="NoSpacing"/>
              <w:jc w:val="center"/>
              <w:rPr>
                <w:rFonts w:ascii="Times New Roman" w:hAnsi="Times New Roman" w:cs="Times New Roman"/>
                <w:sz w:val="24"/>
                <w:szCs w:val="24"/>
                <w:lang w:eastAsia="lv-LV"/>
              </w:rPr>
            </w:pPr>
            <w:r w:rsidRPr="00224089">
              <w:rPr>
                <w:rFonts w:ascii="Times New Roman" w:hAnsi="Times New Roman" w:cs="Times New Roman"/>
                <w:sz w:val="24"/>
                <w:szCs w:val="24"/>
                <w:lang w:eastAsia="lv-LV"/>
              </w:rPr>
              <w:t>4.</w:t>
            </w:r>
          </w:p>
        </w:tc>
        <w:tc>
          <w:tcPr>
            <w:tcW w:w="1559" w:type="dxa"/>
          </w:tcPr>
          <w:p w14:paraId="14D2C264" w14:textId="77777777" w:rsidR="00130487" w:rsidRPr="00224089" w:rsidRDefault="00130487" w:rsidP="00130487">
            <w:pPr>
              <w:pStyle w:val="NoSpacing"/>
              <w:jc w:val="both"/>
              <w:rPr>
                <w:rFonts w:ascii="Times New Roman" w:hAnsi="Times New Roman" w:cs="Times New Roman"/>
                <w:iCs/>
                <w:sz w:val="24"/>
                <w:szCs w:val="24"/>
                <w:lang w:eastAsia="lv-LV"/>
              </w:rPr>
            </w:pPr>
            <w:r w:rsidRPr="00224089">
              <w:rPr>
                <w:rFonts w:ascii="Times New Roman" w:hAnsi="Times New Roman" w:cs="Times New Roman"/>
                <w:iCs/>
                <w:sz w:val="24"/>
                <w:szCs w:val="24"/>
                <w:lang w:eastAsia="lv-LV"/>
              </w:rPr>
              <w:t>Cita informācija</w:t>
            </w:r>
          </w:p>
        </w:tc>
        <w:tc>
          <w:tcPr>
            <w:tcW w:w="7229" w:type="dxa"/>
          </w:tcPr>
          <w:p w14:paraId="747839B0" w14:textId="77777777" w:rsidR="00130487" w:rsidRPr="00224089" w:rsidRDefault="006335C0" w:rsidP="006335C0">
            <w:pPr>
              <w:pStyle w:val="NoSpacing"/>
              <w:jc w:val="both"/>
              <w:rPr>
                <w:rFonts w:ascii="Times New Roman" w:hAnsi="Times New Roman" w:cs="Times New Roman"/>
                <w:sz w:val="24"/>
                <w:szCs w:val="24"/>
                <w:lang w:eastAsia="lv-LV"/>
              </w:rPr>
            </w:pPr>
            <w:r w:rsidRPr="00224089">
              <w:rPr>
                <w:rFonts w:ascii="Times New Roman" w:hAnsi="Times New Roman" w:cs="Times New Roman"/>
                <w:sz w:val="24"/>
                <w:szCs w:val="24"/>
                <w:lang w:eastAsia="lv-LV"/>
              </w:rPr>
              <w:t>Nav</w:t>
            </w:r>
          </w:p>
        </w:tc>
      </w:tr>
    </w:tbl>
    <w:p w14:paraId="080C2697" w14:textId="77777777" w:rsidR="00EC6E12" w:rsidRPr="00224089"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3A46F2" w:rsidRPr="00224089" w14:paraId="59BF7FE2" w14:textId="77777777" w:rsidTr="006936E5">
        <w:tc>
          <w:tcPr>
            <w:tcW w:w="9356" w:type="dxa"/>
          </w:tcPr>
          <w:p w14:paraId="5531275A" w14:textId="77777777" w:rsidR="00EC6E12" w:rsidRPr="00224089" w:rsidRDefault="00842AD1" w:rsidP="003903BF">
            <w:pPr>
              <w:pStyle w:val="NoSpacing"/>
              <w:jc w:val="center"/>
              <w:rPr>
                <w:rFonts w:ascii="Times New Roman" w:hAnsi="Times New Roman" w:cs="Times New Roman"/>
                <w:b/>
                <w:sz w:val="24"/>
                <w:szCs w:val="24"/>
                <w:lang w:eastAsia="lv-LV"/>
              </w:rPr>
            </w:pPr>
            <w:r w:rsidRPr="00224089">
              <w:rPr>
                <w:rFonts w:ascii="Times New Roman" w:hAnsi="Times New Roman" w:cs="Times New Roman"/>
                <w:b/>
                <w:iCs/>
                <w:sz w:val="24"/>
                <w:szCs w:val="24"/>
                <w:lang w:eastAsia="lv-LV"/>
              </w:rPr>
              <w:t>II. Tiesību akta projekta ietekme uz sabiedrību, tautsaimniecības attīstību un administratīvo slogu</w:t>
            </w:r>
          </w:p>
        </w:tc>
      </w:tr>
      <w:tr w:rsidR="003A46F2" w:rsidRPr="00224089" w14:paraId="07FD4CD9" w14:textId="77777777" w:rsidTr="006936E5">
        <w:tc>
          <w:tcPr>
            <w:tcW w:w="9356" w:type="dxa"/>
          </w:tcPr>
          <w:p w14:paraId="2299F94A" w14:textId="77777777" w:rsidR="00155578" w:rsidRPr="00224089" w:rsidRDefault="00155578" w:rsidP="003903BF">
            <w:pPr>
              <w:pStyle w:val="NoSpacing"/>
              <w:jc w:val="center"/>
              <w:rPr>
                <w:rFonts w:ascii="Times New Roman" w:hAnsi="Times New Roman" w:cs="Times New Roman"/>
                <w:b/>
                <w:iCs/>
                <w:sz w:val="24"/>
                <w:szCs w:val="24"/>
                <w:lang w:eastAsia="lv-LV"/>
              </w:rPr>
            </w:pPr>
            <w:r w:rsidRPr="00224089">
              <w:rPr>
                <w:rFonts w:ascii="Times New Roman" w:hAnsi="Times New Roman" w:cs="Times New Roman"/>
                <w:sz w:val="24"/>
                <w:szCs w:val="24"/>
              </w:rPr>
              <w:t>Projekts šo jomu neskar</w:t>
            </w:r>
          </w:p>
        </w:tc>
      </w:tr>
    </w:tbl>
    <w:p w14:paraId="1B79E6D1" w14:textId="77777777" w:rsidR="00842AD1" w:rsidRPr="00224089" w:rsidRDefault="00E5323B" w:rsidP="00EC6E12">
      <w:pPr>
        <w:pStyle w:val="NoSpacing"/>
        <w:rPr>
          <w:rFonts w:ascii="Times New Roman" w:hAnsi="Times New Roman" w:cs="Times New Roman"/>
          <w:iCs/>
          <w:sz w:val="24"/>
          <w:szCs w:val="24"/>
          <w:lang w:eastAsia="lv-LV"/>
        </w:rPr>
      </w:pPr>
      <w:r w:rsidRPr="00224089">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3A46F2" w:rsidRPr="00224089" w14:paraId="321BBCE5" w14:textId="77777777" w:rsidTr="006936E5">
        <w:tc>
          <w:tcPr>
            <w:tcW w:w="9356" w:type="dxa"/>
            <w:gridSpan w:val="8"/>
          </w:tcPr>
          <w:p w14:paraId="2E98AC6E" w14:textId="77777777" w:rsidR="00842AD1" w:rsidRPr="00224089" w:rsidRDefault="00842AD1" w:rsidP="00842AD1">
            <w:pPr>
              <w:pStyle w:val="NoSpacing"/>
              <w:jc w:val="center"/>
              <w:rPr>
                <w:rFonts w:ascii="Times New Roman" w:hAnsi="Times New Roman" w:cs="Times New Roman"/>
                <w:b/>
                <w:iCs/>
                <w:sz w:val="24"/>
                <w:szCs w:val="24"/>
                <w:lang w:eastAsia="lv-LV"/>
              </w:rPr>
            </w:pPr>
            <w:r w:rsidRPr="00224089">
              <w:rPr>
                <w:rFonts w:ascii="Times New Roman" w:hAnsi="Times New Roman" w:cs="Times New Roman"/>
                <w:b/>
                <w:iCs/>
                <w:sz w:val="24"/>
                <w:szCs w:val="24"/>
                <w:lang w:eastAsia="lv-LV"/>
              </w:rPr>
              <w:t>III. Tiesību akta projekta ietekme uz valsts budžetu un pašvaldību budžetiem</w:t>
            </w:r>
          </w:p>
        </w:tc>
      </w:tr>
      <w:tr w:rsidR="003A46F2" w:rsidRPr="00224089" w14:paraId="594F19DA" w14:textId="77777777" w:rsidTr="006936E5">
        <w:tc>
          <w:tcPr>
            <w:tcW w:w="1702" w:type="dxa"/>
            <w:vMerge w:val="restart"/>
          </w:tcPr>
          <w:p w14:paraId="6D2A7B39" w14:textId="77777777" w:rsidR="00842AD1" w:rsidRPr="00224089" w:rsidRDefault="00842AD1" w:rsidP="00EC6E12">
            <w:pPr>
              <w:pStyle w:val="NoSpacing"/>
              <w:rPr>
                <w:rFonts w:ascii="Times New Roman" w:hAnsi="Times New Roman" w:cs="Times New Roman"/>
                <w:iCs/>
                <w:sz w:val="24"/>
                <w:szCs w:val="24"/>
                <w:lang w:eastAsia="lv-LV"/>
              </w:rPr>
            </w:pPr>
            <w:r w:rsidRPr="00224089">
              <w:rPr>
                <w:rFonts w:ascii="Times New Roman" w:hAnsi="Times New Roman" w:cs="Times New Roman"/>
                <w:iCs/>
                <w:sz w:val="24"/>
                <w:szCs w:val="24"/>
                <w:lang w:eastAsia="lv-LV"/>
              </w:rPr>
              <w:t>Rādītāji</w:t>
            </w:r>
          </w:p>
        </w:tc>
        <w:tc>
          <w:tcPr>
            <w:tcW w:w="2260" w:type="dxa"/>
            <w:gridSpan w:val="2"/>
            <w:vMerge w:val="restart"/>
          </w:tcPr>
          <w:p w14:paraId="11C63857" w14:textId="204BCE87" w:rsidR="00842AD1" w:rsidRPr="00224089" w:rsidRDefault="00037CA6" w:rsidP="00EC6E12">
            <w:pPr>
              <w:pStyle w:val="NoSpacing"/>
              <w:rPr>
                <w:rFonts w:ascii="Times New Roman" w:hAnsi="Times New Roman" w:cs="Times New Roman"/>
                <w:iCs/>
                <w:sz w:val="24"/>
                <w:szCs w:val="24"/>
                <w:lang w:eastAsia="lv-LV"/>
              </w:rPr>
            </w:pPr>
            <w:r w:rsidRPr="00224089">
              <w:rPr>
                <w:rFonts w:ascii="Times New Roman" w:hAnsi="Times New Roman" w:cs="Times New Roman"/>
                <w:iCs/>
                <w:sz w:val="24"/>
                <w:szCs w:val="24"/>
                <w:lang w:eastAsia="lv-LV"/>
              </w:rPr>
              <w:t>20</w:t>
            </w:r>
            <w:r w:rsidR="00335899" w:rsidRPr="00224089">
              <w:rPr>
                <w:rFonts w:ascii="Times New Roman" w:hAnsi="Times New Roman" w:cs="Times New Roman"/>
                <w:iCs/>
                <w:sz w:val="24"/>
                <w:szCs w:val="24"/>
                <w:lang w:eastAsia="lv-LV"/>
              </w:rPr>
              <w:t>2</w:t>
            </w:r>
            <w:r w:rsidR="00BE6775" w:rsidRPr="00224089">
              <w:rPr>
                <w:rFonts w:ascii="Times New Roman" w:hAnsi="Times New Roman" w:cs="Times New Roman"/>
                <w:iCs/>
                <w:sz w:val="24"/>
                <w:szCs w:val="24"/>
                <w:lang w:eastAsia="lv-LV"/>
              </w:rPr>
              <w:t>1</w:t>
            </w:r>
            <w:r w:rsidRPr="00224089">
              <w:rPr>
                <w:rFonts w:ascii="Times New Roman" w:hAnsi="Times New Roman" w:cs="Times New Roman"/>
                <w:iCs/>
                <w:sz w:val="24"/>
                <w:szCs w:val="24"/>
                <w:lang w:eastAsia="lv-LV"/>
              </w:rPr>
              <w:t>. gads</w:t>
            </w:r>
          </w:p>
        </w:tc>
        <w:tc>
          <w:tcPr>
            <w:tcW w:w="5394" w:type="dxa"/>
            <w:gridSpan w:val="5"/>
          </w:tcPr>
          <w:p w14:paraId="7C6C142E" w14:textId="77777777" w:rsidR="00842AD1" w:rsidRPr="00224089" w:rsidRDefault="00842AD1" w:rsidP="00EC6E12">
            <w:pPr>
              <w:pStyle w:val="NoSpacing"/>
              <w:rPr>
                <w:rFonts w:ascii="Times New Roman" w:hAnsi="Times New Roman" w:cs="Times New Roman"/>
                <w:iCs/>
                <w:sz w:val="24"/>
                <w:szCs w:val="24"/>
                <w:lang w:eastAsia="lv-LV"/>
              </w:rPr>
            </w:pPr>
            <w:r w:rsidRPr="00224089">
              <w:rPr>
                <w:rFonts w:ascii="Times New Roman" w:hAnsi="Times New Roman" w:cs="Times New Roman"/>
                <w:iCs/>
                <w:sz w:val="24"/>
                <w:szCs w:val="24"/>
                <w:lang w:eastAsia="lv-LV"/>
              </w:rPr>
              <w:t>Turpmākie trīs gadi (</w:t>
            </w:r>
            <w:proofErr w:type="spellStart"/>
            <w:r w:rsidRPr="00224089">
              <w:rPr>
                <w:rFonts w:ascii="Times New Roman" w:hAnsi="Times New Roman" w:cs="Times New Roman"/>
                <w:i/>
                <w:iCs/>
                <w:sz w:val="24"/>
                <w:szCs w:val="24"/>
                <w:lang w:eastAsia="lv-LV"/>
              </w:rPr>
              <w:t>euro</w:t>
            </w:r>
            <w:proofErr w:type="spellEnd"/>
            <w:r w:rsidRPr="00224089">
              <w:rPr>
                <w:rFonts w:ascii="Times New Roman" w:hAnsi="Times New Roman" w:cs="Times New Roman"/>
                <w:iCs/>
                <w:sz w:val="24"/>
                <w:szCs w:val="24"/>
                <w:lang w:eastAsia="lv-LV"/>
              </w:rPr>
              <w:t>)</w:t>
            </w:r>
          </w:p>
        </w:tc>
      </w:tr>
      <w:tr w:rsidR="003A46F2" w:rsidRPr="00224089" w14:paraId="5CDFCDDD" w14:textId="77777777" w:rsidTr="006936E5">
        <w:tc>
          <w:tcPr>
            <w:tcW w:w="1702" w:type="dxa"/>
            <w:vMerge/>
          </w:tcPr>
          <w:p w14:paraId="4A9FA4D3" w14:textId="77777777" w:rsidR="00842AD1" w:rsidRPr="00224089" w:rsidRDefault="00842AD1" w:rsidP="00EC6E12">
            <w:pPr>
              <w:pStyle w:val="NoSpacing"/>
              <w:rPr>
                <w:rFonts w:ascii="Times New Roman" w:hAnsi="Times New Roman" w:cs="Times New Roman"/>
                <w:iCs/>
                <w:sz w:val="24"/>
                <w:szCs w:val="24"/>
                <w:lang w:eastAsia="lv-LV"/>
              </w:rPr>
            </w:pPr>
          </w:p>
        </w:tc>
        <w:tc>
          <w:tcPr>
            <w:tcW w:w="2260" w:type="dxa"/>
            <w:gridSpan w:val="2"/>
            <w:vMerge/>
          </w:tcPr>
          <w:p w14:paraId="69830A51" w14:textId="77777777" w:rsidR="00842AD1" w:rsidRPr="00224089" w:rsidRDefault="00842AD1" w:rsidP="00EC6E12">
            <w:pPr>
              <w:pStyle w:val="NoSpacing"/>
              <w:rPr>
                <w:rFonts w:ascii="Times New Roman" w:hAnsi="Times New Roman" w:cs="Times New Roman"/>
                <w:iCs/>
                <w:sz w:val="24"/>
                <w:szCs w:val="24"/>
                <w:lang w:eastAsia="lv-LV"/>
              </w:rPr>
            </w:pPr>
          </w:p>
        </w:tc>
        <w:tc>
          <w:tcPr>
            <w:tcW w:w="2134" w:type="dxa"/>
            <w:gridSpan w:val="2"/>
          </w:tcPr>
          <w:p w14:paraId="632FB332" w14:textId="173ED561" w:rsidR="00842AD1" w:rsidRPr="00224089" w:rsidRDefault="00037CA6" w:rsidP="00EC6E12">
            <w:pPr>
              <w:pStyle w:val="NoSpacing"/>
              <w:rPr>
                <w:rFonts w:ascii="Times New Roman" w:hAnsi="Times New Roman" w:cs="Times New Roman"/>
                <w:iCs/>
                <w:sz w:val="24"/>
                <w:szCs w:val="24"/>
                <w:lang w:eastAsia="lv-LV"/>
              </w:rPr>
            </w:pPr>
            <w:r w:rsidRPr="00224089">
              <w:rPr>
                <w:rFonts w:ascii="Times New Roman" w:hAnsi="Times New Roman" w:cs="Times New Roman"/>
                <w:iCs/>
                <w:sz w:val="24"/>
                <w:szCs w:val="24"/>
                <w:lang w:eastAsia="lv-LV"/>
              </w:rPr>
              <w:t>20</w:t>
            </w:r>
            <w:r w:rsidR="006C12A6" w:rsidRPr="00224089">
              <w:rPr>
                <w:rFonts w:ascii="Times New Roman" w:hAnsi="Times New Roman" w:cs="Times New Roman"/>
                <w:iCs/>
                <w:sz w:val="24"/>
                <w:szCs w:val="24"/>
                <w:lang w:eastAsia="lv-LV"/>
              </w:rPr>
              <w:t>2</w:t>
            </w:r>
            <w:r w:rsidR="00BE6775" w:rsidRPr="00224089">
              <w:rPr>
                <w:rFonts w:ascii="Times New Roman" w:hAnsi="Times New Roman" w:cs="Times New Roman"/>
                <w:iCs/>
                <w:sz w:val="24"/>
                <w:szCs w:val="24"/>
                <w:lang w:eastAsia="lv-LV"/>
              </w:rPr>
              <w:t>2</w:t>
            </w:r>
            <w:r w:rsidRPr="00224089">
              <w:rPr>
                <w:rFonts w:ascii="Times New Roman" w:hAnsi="Times New Roman" w:cs="Times New Roman"/>
                <w:iCs/>
                <w:sz w:val="24"/>
                <w:szCs w:val="24"/>
                <w:lang w:eastAsia="lv-LV"/>
              </w:rPr>
              <w:t>. gads</w:t>
            </w:r>
          </w:p>
        </w:tc>
        <w:tc>
          <w:tcPr>
            <w:tcW w:w="1984" w:type="dxa"/>
            <w:gridSpan w:val="2"/>
          </w:tcPr>
          <w:p w14:paraId="37FA62FA" w14:textId="608CB6E3" w:rsidR="00842AD1" w:rsidRPr="00224089" w:rsidRDefault="00037CA6" w:rsidP="00EC6E12">
            <w:pPr>
              <w:pStyle w:val="NoSpacing"/>
              <w:rPr>
                <w:rFonts w:ascii="Times New Roman" w:hAnsi="Times New Roman" w:cs="Times New Roman"/>
                <w:iCs/>
                <w:sz w:val="24"/>
                <w:szCs w:val="24"/>
                <w:lang w:eastAsia="lv-LV"/>
              </w:rPr>
            </w:pPr>
            <w:r w:rsidRPr="00224089">
              <w:rPr>
                <w:rFonts w:ascii="Times New Roman" w:hAnsi="Times New Roman" w:cs="Times New Roman"/>
                <w:iCs/>
                <w:sz w:val="24"/>
                <w:szCs w:val="24"/>
                <w:lang w:eastAsia="lv-LV"/>
              </w:rPr>
              <w:t>202</w:t>
            </w:r>
            <w:r w:rsidR="00BE6775" w:rsidRPr="00224089">
              <w:rPr>
                <w:rFonts w:ascii="Times New Roman" w:hAnsi="Times New Roman" w:cs="Times New Roman"/>
                <w:iCs/>
                <w:sz w:val="24"/>
                <w:szCs w:val="24"/>
                <w:lang w:eastAsia="lv-LV"/>
              </w:rPr>
              <w:t>3</w:t>
            </w:r>
            <w:r w:rsidRPr="00224089">
              <w:rPr>
                <w:rFonts w:ascii="Times New Roman" w:hAnsi="Times New Roman" w:cs="Times New Roman"/>
                <w:iCs/>
                <w:sz w:val="24"/>
                <w:szCs w:val="24"/>
                <w:lang w:eastAsia="lv-LV"/>
              </w:rPr>
              <w:t>. gads</w:t>
            </w:r>
          </w:p>
        </w:tc>
        <w:tc>
          <w:tcPr>
            <w:tcW w:w="1276" w:type="dxa"/>
          </w:tcPr>
          <w:p w14:paraId="1BB3D42F" w14:textId="11511BB4" w:rsidR="00842AD1" w:rsidRPr="00224089" w:rsidRDefault="00037CA6" w:rsidP="00EC6E12">
            <w:pPr>
              <w:pStyle w:val="NoSpacing"/>
              <w:rPr>
                <w:rFonts w:ascii="Times New Roman" w:hAnsi="Times New Roman" w:cs="Times New Roman"/>
                <w:iCs/>
                <w:sz w:val="24"/>
                <w:szCs w:val="24"/>
                <w:lang w:eastAsia="lv-LV"/>
              </w:rPr>
            </w:pPr>
            <w:r w:rsidRPr="00224089">
              <w:rPr>
                <w:rFonts w:ascii="Times New Roman" w:hAnsi="Times New Roman" w:cs="Times New Roman"/>
                <w:iCs/>
                <w:sz w:val="24"/>
                <w:szCs w:val="24"/>
                <w:lang w:eastAsia="lv-LV"/>
              </w:rPr>
              <w:t>202</w:t>
            </w:r>
            <w:r w:rsidR="00BE6775" w:rsidRPr="00224089">
              <w:rPr>
                <w:rFonts w:ascii="Times New Roman" w:hAnsi="Times New Roman" w:cs="Times New Roman"/>
                <w:iCs/>
                <w:sz w:val="24"/>
                <w:szCs w:val="24"/>
                <w:lang w:eastAsia="lv-LV"/>
              </w:rPr>
              <w:t>4</w:t>
            </w:r>
            <w:r w:rsidRPr="00224089">
              <w:rPr>
                <w:rFonts w:ascii="Times New Roman" w:hAnsi="Times New Roman" w:cs="Times New Roman"/>
                <w:iCs/>
                <w:sz w:val="24"/>
                <w:szCs w:val="24"/>
                <w:lang w:eastAsia="lv-LV"/>
              </w:rPr>
              <w:t>. gads</w:t>
            </w:r>
          </w:p>
        </w:tc>
      </w:tr>
      <w:tr w:rsidR="003A46F2" w:rsidRPr="00224089" w14:paraId="03BB562B" w14:textId="77777777" w:rsidTr="006936E5">
        <w:tc>
          <w:tcPr>
            <w:tcW w:w="1702" w:type="dxa"/>
            <w:vMerge/>
          </w:tcPr>
          <w:p w14:paraId="10E9795F" w14:textId="77777777" w:rsidR="00842AD1" w:rsidRPr="00224089" w:rsidRDefault="00842AD1" w:rsidP="00EC6E12">
            <w:pPr>
              <w:pStyle w:val="NoSpacing"/>
              <w:rPr>
                <w:rFonts w:ascii="Times New Roman" w:hAnsi="Times New Roman" w:cs="Times New Roman"/>
                <w:iCs/>
                <w:sz w:val="24"/>
                <w:szCs w:val="24"/>
                <w:lang w:eastAsia="lv-LV"/>
              </w:rPr>
            </w:pPr>
          </w:p>
        </w:tc>
        <w:tc>
          <w:tcPr>
            <w:tcW w:w="992" w:type="dxa"/>
          </w:tcPr>
          <w:p w14:paraId="67E1DC12" w14:textId="77777777" w:rsidR="00842AD1" w:rsidRPr="00224089" w:rsidRDefault="00842AD1" w:rsidP="00842AD1">
            <w:pPr>
              <w:pStyle w:val="NoSpacing"/>
              <w:jc w:val="both"/>
              <w:rPr>
                <w:rFonts w:ascii="Times New Roman" w:hAnsi="Times New Roman" w:cs="Times New Roman"/>
                <w:iCs/>
                <w:sz w:val="24"/>
                <w:szCs w:val="24"/>
                <w:lang w:eastAsia="lv-LV"/>
              </w:rPr>
            </w:pPr>
            <w:r w:rsidRPr="00224089">
              <w:rPr>
                <w:rFonts w:ascii="Times New Roman" w:hAnsi="Times New Roman" w:cs="Times New Roman"/>
                <w:iCs/>
                <w:sz w:val="24"/>
                <w:szCs w:val="24"/>
                <w:lang w:eastAsia="lv-LV"/>
              </w:rPr>
              <w:t>saskaņā ar valsts budžetu kārtējam gadam</w:t>
            </w:r>
          </w:p>
        </w:tc>
        <w:tc>
          <w:tcPr>
            <w:tcW w:w="1268" w:type="dxa"/>
          </w:tcPr>
          <w:p w14:paraId="5EC47EF8" w14:textId="77777777" w:rsidR="00842AD1" w:rsidRPr="00864989" w:rsidRDefault="00842AD1" w:rsidP="00842AD1">
            <w:pPr>
              <w:pStyle w:val="NoSpacing"/>
              <w:jc w:val="both"/>
              <w:rPr>
                <w:rFonts w:ascii="Times New Roman" w:hAnsi="Times New Roman" w:cs="Times New Roman"/>
                <w:iCs/>
                <w:sz w:val="24"/>
                <w:szCs w:val="24"/>
                <w:lang w:eastAsia="lv-LV"/>
              </w:rPr>
            </w:pPr>
            <w:r w:rsidRPr="00864989">
              <w:rPr>
                <w:rFonts w:ascii="Times New Roman" w:hAnsi="Times New Roman" w:cs="Times New Roman"/>
                <w:iCs/>
                <w:sz w:val="24"/>
                <w:szCs w:val="24"/>
                <w:lang w:eastAsia="lv-LV"/>
              </w:rPr>
              <w:t>izmaiņas kārtējā gadā, salīdzinot ar valsts budžetu kārtējam gadam</w:t>
            </w:r>
          </w:p>
        </w:tc>
        <w:tc>
          <w:tcPr>
            <w:tcW w:w="1000" w:type="dxa"/>
          </w:tcPr>
          <w:p w14:paraId="3347E788" w14:textId="77777777" w:rsidR="00842AD1" w:rsidRPr="00864989" w:rsidRDefault="00842AD1" w:rsidP="00842AD1">
            <w:pPr>
              <w:pStyle w:val="NoSpacing"/>
              <w:jc w:val="both"/>
              <w:rPr>
                <w:rFonts w:ascii="Times New Roman" w:hAnsi="Times New Roman" w:cs="Times New Roman"/>
                <w:iCs/>
                <w:sz w:val="24"/>
                <w:szCs w:val="24"/>
                <w:lang w:eastAsia="lv-LV"/>
              </w:rPr>
            </w:pPr>
            <w:r w:rsidRPr="00864989">
              <w:rPr>
                <w:rFonts w:ascii="Times New Roman" w:hAnsi="Times New Roman" w:cs="Times New Roman"/>
                <w:iCs/>
                <w:sz w:val="24"/>
                <w:szCs w:val="24"/>
                <w:lang w:eastAsia="lv-LV"/>
              </w:rPr>
              <w:t>saskaņā ar vidēja termiņa budžeta ietvaru</w:t>
            </w:r>
          </w:p>
        </w:tc>
        <w:tc>
          <w:tcPr>
            <w:tcW w:w="1134" w:type="dxa"/>
          </w:tcPr>
          <w:p w14:paraId="688A1469" w14:textId="77777777" w:rsidR="006E71F7" w:rsidRPr="00864989" w:rsidRDefault="00842AD1" w:rsidP="00842AD1">
            <w:pPr>
              <w:pStyle w:val="NoSpacing"/>
              <w:jc w:val="both"/>
              <w:rPr>
                <w:rFonts w:ascii="Times New Roman" w:hAnsi="Times New Roman" w:cs="Times New Roman"/>
                <w:iCs/>
                <w:sz w:val="24"/>
                <w:szCs w:val="24"/>
                <w:lang w:eastAsia="lv-LV"/>
              </w:rPr>
            </w:pPr>
            <w:r w:rsidRPr="00864989">
              <w:rPr>
                <w:rFonts w:ascii="Times New Roman" w:hAnsi="Times New Roman" w:cs="Times New Roman"/>
                <w:iCs/>
                <w:sz w:val="24"/>
                <w:szCs w:val="24"/>
                <w:lang w:eastAsia="lv-LV"/>
              </w:rPr>
              <w:t>izmaiņas, salīdzi</w:t>
            </w:r>
            <w:r w:rsidR="006E71F7" w:rsidRPr="00864989">
              <w:rPr>
                <w:rFonts w:ascii="Times New Roman" w:hAnsi="Times New Roman" w:cs="Times New Roman"/>
                <w:iCs/>
                <w:sz w:val="24"/>
                <w:szCs w:val="24"/>
                <w:lang w:eastAsia="lv-LV"/>
              </w:rPr>
              <w:t>-</w:t>
            </w:r>
          </w:p>
          <w:p w14:paraId="143DEF57" w14:textId="10D14DA9" w:rsidR="00842AD1" w:rsidRPr="00864989" w:rsidRDefault="00842AD1" w:rsidP="00037CA6">
            <w:pPr>
              <w:pStyle w:val="NoSpacing"/>
              <w:jc w:val="both"/>
              <w:rPr>
                <w:rFonts w:ascii="Times New Roman" w:hAnsi="Times New Roman" w:cs="Times New Roman"/>
                <w:iCs/>
                <w:sz w:val="24"/>
                <w:szCs w:val="24"/>
                <w:lang w:eastAsia="lv-LV"/>
              </w:rPr>
            </w:pPr>
            <w:proofErr w:type="spellStart"/>
            <w:r w:rsidRPr="00864989">
              <w:rPr>
                <w:rFonts w:ascii="Times New Roman" w:hAnsi="Times New Roman" w:cs="Times New Roman"/>
                <w:iCs/>
                <w:sz w:val="24"/>
                <w:szCs w:val="24"/>
                <w:lang w:eastAsia="lv-LV"/>
              </w:rPr>
              <w:t>not</w:t>
            </w:r>
            <w:proofErr w:type="spellEnd"/>
            <w:r w:rsidRPr="00864989">
              <w:rPr>
                <w:rFonts w:ascii="Times New Roman" w:hAnsi="Times New Roman" w:cs="Times New Roman"/>
                <w:iCs/>
                <w:sz w:val="24"/>
                <w:szCs w:val="24"/>
                <w:lang w:eastAsia="lv-LV"/>
              </w:rPr>
              <w:t xml:space="preserve"> ar vidēja termiņa budžeta ietvaru </w:t>
            </w:r>
            <w:r w:rsidR="00037CA6" w:rsidRPr="00864989">
              <w:rPr>
                <w:rFonts w:ascii="Times New Roman" w:hAnsi="Times New Roman" w:cs="Times New Roman"/>
                <w:iCs/>
                <w:sz w:val="24"/>
                <w:szCs w:val="24"/>
                <w:lang w:eastAsia="lv-LV"/>
              </w:rPr>
              <w:t>20</w:t>
            </w:r>
            <w:r w:rsidR="00335899" w:rsidRPr="00864989">
              <w:rPr>
                <w:rFonts w:ascii="Times New Roman" w:hAnsi="Times New Roman" w:cs="Times New Roman"/>
                <w:iCs/>
                <w:sz w:val="24"/>
                <w:szCs w:val="24"/>
                <w:lang w:eastAsia="lv-LV"/>
              </w:rPr>
              <w:t>2</w:t>
            </w:r>
            <w:r w:rsidR="00EC56FE" w:rsidRPr="00864989">
              <w:rPr>
                <w:rFonts w:ascii="Times New Roman" w:hAnsi="Times New Roman" w:cs="Times New Roman"/>
                <w:iCs/>
                <w:sz w:val="24"/>
                <w:szCs w:val="24"/>
                <w:lang w:eastAsia="lv-LV"/>
              </w:rPr>
              <w:t>2</w:t>
            </w:r>
            <w:r w:rsidR="00037CA6" w:rsidRPr="00864989">
              <w:rPr>
                <w:rFonts w:ascii="Times New Roman" w:hAnsi="Times New Roman" w:cs="Times New Roman"/>
                <w:iCs/>
                <w:sz w:val="24"/>
                <w:szCs w:val="24"/>
                <w:lang w:eastAsia="lv-LV"/>
              </w:rPr>
              <w:t>.</w:t>
            </w:r>
            <w:r w:rsidRPr="00864989">
              <w:rPr>
                <w:rFonts w:ascii="Times New Roman" w:hAnsi="Times New Roman" w:cs="Times New Roman"/>
                <w:iCs/>
                <w:sz w:val="24"/>
                <w:szCs w:val="24"/>
                <w:lang w:eastAsia="lv-LV"/>
              </w:rPr>
              <w:t xml:space="preserve"> gadam</w:t>
            </w:r>
          </w:p>
        </w:tc>
        <w:tc>
          <w:tcPr>
            <w:tcW w:w="992" w:type="dxa"/>
          </w:tcPr>
          <w:p w14:paraId="2713A55D" w14:textId="77777777" w:rsidR="00842AD1" w:rsidRPr="00864989" w:rsidRDefault="00842AD1" w:rsidP="00842AD1">
            <w:pPr>
              <w:pStyle w:val="NoSpacing"/>
              <w:jc w:val="both"/>
              <w:rPr>
                <w:rFonts w:ascii="Times New Roman" w:hAnsi="Times New Roman" w:cs="Times New Roman"/>
                <w:iCs/>
                <w:sz w:val="24"/>
                <w:szCs w:val="24"/>
                <w:lang w:eastAsia="lv-LV"/>
              </w:rPr>
            </w:pPr>
            <w:r w:rsidRPr="00864989">
              <w:rPr>
                <w:rFonts w:ascii="Times New Roman" w:hAnsi="Times New Roman" w:cs="Times New Roman"/>
                <w:iCs/>
                <w:sz w:val="24"/>
                <w:szCs w:val="24"/>
                <w:lang w:eastAsia="lv-LV"/>
              </w:rPr>
              <w:t>saskaņā ar vidēja termiņa budžeta ietvaru</w:t>
            </w:r>
          </w:p>
        </w:tc>
        <w:tc>
          <w:tcPr>
            <w:tcW w:w="992" w:type="dxa"/>
          </w:tcPr>
          <w:p w14:paraId="37BBA293" w14:textId="77777777" w:rsidR="00037CA6" w:rsidRPr="00864989" w:rsidRDefault="0004685C" w:rsidP="00842AD1">
            <w:pPr>
              <w:pStyle w:val="NoSpacing"/>
              <w:jc w:val="both"/>
              <w:rPr>
                <w:rFonts w:ascii="Times New Roman" w:hAnsi="Times New Roman" w:cs="Times New Roman"/>
                <w:iCs/>
                <w:sz w:val="24"/>
                <w:szCs w:val="24"/>
                <w:lang w:eastAsia="lv-LV"/>
              </w:rPr>
            </w:pPr>
            <w:proofErr w:type="spellStart"/>
            <w:r w:rsidRPr="00864989">
              <w:rPr>
                <w:rFonts w:ascii="Times New Roman" w:hAnsi="Times New Roman" w:cs="Times New Roman"/>
                <w:iCs/>
                <w:sz w:val="24"/>
                <w:szCs w:val="24"/>
                <w:lang w:eastAsia="lv-LV"/>
              </w:rPr>
              <w:t>i</w:t>
            </w:r>
            <w:r w:rsidR="00842AD1" w:rsidRPr="00864989">
              <w:rPr>
                <w:rFonts w:ascii="Times New Roman" w:hAnsi="Times New Roman" w:cs="Times New Roman"/>
                <w:iCs/>
                <w:sz w:val="24"/>
                <w:szCs w:val="24"/>
                <w:lang w:eastAsia="lv-LV"/>
              </w:rPr>
              <w:t>zmai</w:t>
            </w:r>
            <w:proofErr w:type="spellEnd"/>
            <w:r w:rsidR="00037CA6" w:rsidRPr="00864989">
              <w:rPr>
                <w:rFonts w:ascii="Times New Roman" w:hAnsi="Times New Roman" w:cs="Times New Roman"/>
                <w:iCs/>
                <w:sz w:val="24"/>
                <w:szCs w:val="24"/>
                <w:lang w:eastAsia="lv-LV"/>
              </w:rPr>
              <w:t>-</w:t>
            </w:r>
          </w:p>
          <w:p w14:paraId="3458A750" w14:textId="77777777" w:rsidR="006E71F7" w:rsidRPr="00864989" w:rsidRDefault="00842AD1" w:rsidP="00842AD1">
            <w:pPr>
              <w:pStyle w:val="NoSpacing"/>
              <w:jc w:val="both"/>
              <w:rPr>
                <w:rFonts w:ascii="Times New Roman" w:hAnsi="Times New Roman" w:cs="Times New Roman"/>
                <w:iCs/>
                <w:sz w:val="24"/>
                <w:szCs w:val="24"/>
                <w:lang w:eastAsia="lv-LV"/>
              </w:rPr>
            </w:pPr>
            <w:proofErr w:type="spellStart"/>
            <w:r w:rsidRPr="00864989">
              <w:rPr>
                <w:rFonts w:ascii="Times New Roman" w:hAnsi="Times New Roman" w:cs="Times New Roman"/>
                <w:iCs/>
                <w:sz w:val="24"/>
                <w:szCs w:val="24"/>
                <w:lang w:eastAsia="lv-LV"/>
              </w:rPr>
              <w:t>ņas</w:t>
            </w:r>
            <w:proofErr w:type="spellEnd"/>
            <w:r w:rsidRPr="00864989">
              <w:rPr>
                <w:rFonts w:ascii="Times New Roman" w:hAnsi="Times New Roman" w:cs="Times New Roman"/>
                <w:iCs/>
                <w:sz w:val="24"/>
                <w:szCs w:val="24"/>
                <w:lang w:eastAsia="lv-LV"/>
              </w:rPr>
              <w:t>, salīdzi</w:t>
            </w:r>
            <w:r w:rsidR="006E71F7" w:rsidRPr="00864989">
              <w:rPr>
                <w:rFonts w:ascii="Times New Roman" w:hAnsi="Times New Roman" w:cs="Times New Roman"/>
                <w:iCs/>
                <w:sz w:val="24"/>
                <w:szCs w:val="24"/>
                <w:lang w:eastAsia="lv-LV"/>
              </w:rPr>
              <w:t>-</w:t>
            </w:r>
          </w:p>
          <w:p w14:paraId="48176D99" w14:textId="14F2EC9A" w:rsidR="00842AD1" w:rsidRPr="00864989" w:rsidRDefault="00842AD1" w:rsidP="00037CA6">
            <w:pPr>
              <w:pStyle w:val="NoSpacing"/>
              <w:jc w:val="both"/>
              <w:rPr>
                <w:rFonts w:ascii="Times New Roman" w:hAnsi="Times New Roman" w:cs="Times New Roman"/>
                <w:iCs/>
                <w:sz w:val="24"/>
                <w:szCs w:val="24"/>
                <w:lang w:eastAsia="lv-LV"/>
              </w:rPr>
            </w:pPr>
            <w:proofErr w:type="spellStart"/>
            <w:r w:rsidRPr="00864989">
              <w:rPr>
                <w:rFonts w:ascii="Times New Roman" w:hAnsi="Times New Roman" w:cs="Times New Roman"/>
                <w:iCs/>
                <w:sz w:val="24"/>
                <w:szCs w:val="24"/>
                <w:lang w:eastAsia="lv-LV"/>
              </w:rPr>
              <w:t>not</w:t>
            </w:r>
            <w:proofErr w:type="spellEnd"/>
            <w:r w:rsidRPr="00864989">
              <w:rPr>
                <w:rFonts w:ascii="Times New Roman" w:hAnsi="Times New Roman" w:cs="Times New Roman"/>
                <w:iCs/>
                <w:sz w:val="24"/>
                <w:szCs w:val="24"/>
                <w:lang w:eastAsia="lv-LV"/>
              </w:rPr>
              <w:t xml:space="preserve"> ar vidēja termiņa budžeta ietvaru </w:t>
            </w:r>
            <w:r w:rsidR="00037CA6" w:rsidRPr="00864989">
              <w:rPr>
                <w:rFonts w:ascii="Times New Roman" w:hAnsi="Times New Roman" w:cs="Times New Roman"/>
                <w:iCs/>
                <w:sz w:val="24"/>
                <w:szCs w:val="24"/>
                <w:lang w:eastAsia="lv-LV"/>
              </w:rPr>
              <w:t>202</w:t>
            </w:r>
            <w:r w:rsidR="00EC56FE" w:rsidRPr="00864989">
              <w:rPr>
                <w:rFonts w:ascii="Times New Roman" w:hAnsi="Times New Roman" w:cs="Times New Roman"/>
                <w:iCs/>
                <w:sz w:val="24"/>
                <w:szCs w:val="24"/>
                <w:lang w:eastAsia="lv-LV"/>
              </w:rPr>
              <w:t>3</w:t>
            </w:r>
            <w:r w:rsidR="00037CA6" w:rsidRPr="00864989">
              <w:rPr>
                <w:rFonts w:ascii="Times New Roman" w:hAnsi="Times New Roman" w:cs="Times New Roman"/>
                <w:iCs/>
                <w:sz w:val="24"/>
                <w:szCs w:val="24"/>
                <w:lang w:eastAsia="lv-LV"/>
              </w:rPr>
              <w:t>.</w:t>
            </w:r>
            <w:r w:rsidRPr="00864989">
              <w:rPr>
                <w:rFonts w:ascii="Times New Roman" w:hAnsi="Times New Roman" w:cs="Times New Roman"/>
                <w:iCs/>
                <w:sz w:val="24"/>
                <w:szCs w:val="24"/>
                <w:lang w:eastAsia="lv-LV"/>
              </w:rPr>
              <w:t xml:space="preserve"> gadam</w:t>
            </w:r>
          </w:p>
        </w:tc>
        <w:tc>
          <w:tcPr>
            <w:tcW w:w="1276" w:type="dxa"/>
          </w:tcPr>
          <w:p w14:paraId="45D44FA3" w14:textId="77777777" w:rsidR="006E71F7" w:rsidRPr="00864989" w:rsidRDefault="00842AD1" w:rsidP="00842AD1">
            <w:pPr>
              <w:pStyle w:val="NoSpacing"/>
              <w:jc w:val="both"/>
              <w:rPr>
                <w:rFonts w:ascii="Times New Roman" w:hAnsi="Times New Roman" w:cs="Times New Roman"/>
                <w:iCs/>
                <w:sz w:val="24"/>
                <w:szCs w:val="24"/>
                <w:lang w:eastAsia="lv-LV"/>
              </w:rPr>
            </w:pPr>
            <w:r w:rsidRPr="00864989">
              <w:rPr>
                <w:rFonts w:ascii="Times New Roman" w:hAnsi="Times New Roman" w:cs="Times New Roman"/>
                <w:iCs/>
                <w:sz w:val="24"/>
                <w:szCs w:val="24"/>
                <w:lang w:eastAsia="lv-LV"/>
              </w:rPr>
              <w:t>izmaiņas, salīdzi</w:t>
            </w:r>
            <w:r w:rsidR="006E71F7" w:rsidRPr="00864989">
              <w:rPr>
                <w:rFonts w:ascii="Times New Roman" w:hAnsi="Times New Roman" w:cs="Times New Roman"/>
                <w:iCs/>
                <w:sz w:val="24"/>
                <w:szCs w:val="24"/>
                <w:lang w:eastAsia="lv-LV"/>
              </w:rPr>
              <w:t>-</w:t>
            </w:r>
          </w:p>
          <w:p w14:paraId="7CFFFDDF" w14:textId="158B843C" w:rsidR="00842AD1" w:rsidRPr="00864989" w:rsidRDefault="00842AD1" w:rsidP="00037CA6">
            <w:pPr>
              <w:pStyle w:val="NoSpacing"/>
              <w:jc w:val="both"/>
              <w:rPr>
                <w:rFonts w:ascii="Times New Roman" w:hAnsi="Times New Roman" w:cs="Times New Roman"/>
                <w:iCs/>
                <w:sz w:val="24"/>
                <w:szCs w:val="24"/>
                <w:lang w:eastAsia="lv-LV"/>
              </w:rPr>
            </w:pPr>
            <w:proofErr w:type="spellStart"/>
            <w:r w:rsidRPr="00864989">
              <w:rPr>
                <w:rFonts w:ascii="Times New Roman" w:hAnsi="Times New Roman" w:cs="Times New Roman"/>
                <w:iCs/>
                <w:sz w:val="24"/>
                <w:szCs w:val="24"/>
                <w:lang w:eastAsia="lv-LV"/>
              </w:rPr>
              <w:t>not</w:t>
            </w:r>
            <w:proofErr w:type="spellEnd"/>
            <w:r w:rsidRPr="00864989">
              <w:rPr>
                <w:rFonts w:ascii="Times New Roman" w:hAnsi="Times New Roman" w:cs="Times New Roman"/>
                <w:iCs/>
                <w:sz w:val="24"/>
                <w:szCs w:val="24"/>
                <w:lang w:eastAsia="lv-LV"/>
              </w:rPr>
              <w:t xml:space="preserve"> ar vidēja termiņa budžeta ietvaru </w:t>
            </w:r>
            <w:r w:rsidR="00037CA6" w:rsidRPr="00864989">
              <w:rPr>
                <w:rFonts w:ascii="Times New Roman" w:hAnsi="Times New Roman" w:cs="Times New Roman"/>
                <w:iCs/>
                <w:sz w:val="24"/>
                <w:szCs w:val="24"/>
                <w:lang w:eastAsia="lv-LV"/>
              </w:rPr>
              <w:t>202</w:t>
            </w:r>
            <w:r w:rsidR="00EC56FE" w:rsidRPr="00864989">
              <w:rPr>
                <w:rFonts w:ascii="Times New Roman" w:hAnsi="Times New Roman" w:cs="Times New Roman"/>
                <w:iCs/>
                <w:sz w:val="24"/>
                <w:szCs w:val="24"/>
                <w:lang w:eastAsia="lv-LV"/>
              </w:rPr>
              <w:t>3</w:t>
            </w:r>
            <w:r w:rsidR="00037CA6" w:rsidRPr="00864989">
              <w:rPr>
                <w:rFonts w:ascii="Times New Roman" w:hAnsi="Times New Roman" w:cs="Times New Roman"/>
                <w:iCs/>
                <w:sz w:val="24"/>
                <w:szCs w:val="24"/>
                <w:lang w:eastAsia="lv-LV"/>
              </w:rPr>
              <w:t>.</w:t>
            </w:r>
            <w:r w:rsidRPr="00864989">
              <w:rPr>
                <w:rFonts w:ascii="Times New Roman" w:hAnsi="Times New Roman" w:cs="Times New Roman"/>
                <w:iCs/>
                <w:sz w:val="24"/>
                <w:szCs w:val="24"/>
                <w:lang w:eastAsia="lv-LV"/>
              </w:rPr>
              <w:t xml:space="preserve"> gadam</w:t>
            </w:r>
          </w:p>
        </w:tc>
      </w:tr>
      <w:tr w:rsidR="003A46F2" w:rsidRPr="00224089" w14:paraId="7DE3C5D6" w14:textId="77777777" w:rsidTr="006936E5">
        <w:tc>
          <w:tcPr>
            <w:tcW w:w="1702" w:type="dxa"/>
            <w:vAlign w:val="center"/>
          </w:tcPr>
          <w:p w14:paraId="44E5505D" w14:textId="77777777" w:rsidR="00842AD1" w:rsidRPr="00224089" w:rsidRDefault="00842AD1" w:rsidP="00842AD1">
            <w:pPr>
              <w:pStyle w:val="NoSpacing"/>
              <w:rPr>
                <w:rFonts w:ascii="Times New Roman" w:hAnsi="Times New Roman" w:cs="Times New Roman"/>
                <w:iCs/>
                <w:sz w:val="24"/>
                <w:szCs w:val="24"/>
                <w:lang w:eastAsia="lv-LV"/>
              </w:rPr>
            </w:pPr>
            <w:r w:rsidRPr="00224089">
              <w:rPr>
                <w:rFonts w:ascii="Times New Roman" w:hAnsi="Times New Roman" w:cs="Times New Roman"/>
                <w:iCs/>
                <w:sz w:val="24"/>
                <w:szCs w:val="24"/>
                <w:lang w:eastAsia="lv-LV"/>
              </w:rPr>
              <w:t>1</w:t>
            </w:r>
          </w:p>
        </w:tc>
        <w:tc>
          <w:tcPr>
            <w:tcW w:w="992" w:type="dxa"/>
            <w:vAlign w:val="center"/>
          </w:tcPr>
          <w:p w14:paraId="2C48E816" w14:textId="77777777" w:rsidR="00842AD1" w:rsidRPr="00224089" w:rsidRDefault="00842AD1" w:rsidP="00842AD1">
            <w:pPr>
              <w:pStyle w:val="NoSpacing"/>
              <w:rPr>
                <w:rFonts w:ascii="Times New Roman" w:hAnsi="Times New Roman" w:cs="Times New Roman"/>
                <w:iCs/>
                <w:sz w:val="24"/>
                <w:szCs w:val="24"/>
                <w:lang w:eastAsia="lv-LV"/>
              </w:rPr>
            </w:pPr>
            <w:r w:rsidRPr="00224089">
              <w:rPr>
                <w:rFonts w:ascii="Times New Roman" w:hAnsi="Times New Roman" w:cs="Times New Roman"/>
                <w:iCs/>
                <w:sz w:val="24"/>
                <w:szCs w:val="24"/>
                <w:lang w:eastAsia="lv-LV"/>
              </w:rPr>
              <w:t>2</w:t>
            </w:r>
          </w:p>
        </w:tc>
        <w:tc>
          <w:tcPr>
            <w:tcW w:w="1268" w:type="dxa"/>
            <w:vAlign w:val="center"/>
          </w:tcPr>
          <w:p w14:paraId="03FC67D7" w14:textId="77777777" w:rsidR="00842AD1" w:rsidRPr="00864989" w:rsidRDefault="00842AD1" w:rsidP="00842AD1">
            <w:pPr>
              <w:pStyle w:val="NoSpacing"/>
              <w:rPr>
                <w:rFonts w:ascii="Times New Roman" w:hAnsi="Times New Roman" w:cs="Times New Roman"/>
                <w:iCs/>
                <w:sz w:val="24"/>
                <w:szCs w:val="24"/>
                <w:lang w:eastAsia="lv-LV"/>
              </w:rPr>
            </w:pPr>
            <w:r w:rsidRPr="00864989">
              <w:rPr>
                <w:rFonts w:ascii="Times New Roman" w:hAnsi="Times New Roman" w:cs="Times New Roman"/>
                <w:iCs/>
                <w:sz w:val="24"/>
                <w:szCs w:val="24"/>
                <w:lang w:eastAsia="lv-LV"/>
              </w:rPr>
              <w:t>3</w:t>
            </w:r>
          </w:p>
        </w:tc>
        <w:tc>
          <w:tcPr>
            <w:tcW w:w="1000" w:type="dxa"/>
            <w:vAlign w:val="center"/>
          </w:tcPr>
          <w:p w14:paraId="05286067" w14:textId="77777777" w:rsidR="00842AD1" w:rsidRPr="00864989" w:rsidRDefault="00842AD1" w:rsidP="00842AD1">
            <w:pPr>
              <w:pStyle w:val="NoSpacing"/>
              <w:rPr>
                <w:rFonts w:ascii="Times New Roman" w:hAnsi="Times New Roman" w:cs="Times New Roman"/>
                <w:iCs/>
                <w:sz w:val="24"/>
                <w:szCs w:val="24"/>
                <w:lang w:eastAsia="lv-LV"/>
              </w:rPr>
            </w:pPr>
            <w:r w:rsidRPr="00864989">
              <w:rPr>
                <w:rFonts w:ascii="Times New Roman" w:hAnsi="Times New Roman" w:cs="Times New Roman"/>
                <w:iCs/>
                <w:sz w:val="24"/>
                <w:szCs w:val="24"/>
                <w:lang w:eastAsia="lv-LV"/>
              </w:rPr>
              <w:t>4</w:t>
            </w:r>
          </w:p>
        </w:tc>
        <w:tc>
          <w:tcPr>
            <w:tcW w:w="1134" w:type="dxa"/>
            <w:vAlign w:val="center"/>
          </w:tcPr>
          <w:p w14:paraId="7906F2DB" w14:textId="77777777" w:rsidR="00842AD1" w:rsidRPr="00864989" w:rsidRDefault="00842AD1" w:rsidP="00842AD1">
            <w:pPr>
              <w:pStyle w:val="NoSpacing"/>
              <w:rPr>
                <w:rFonts w:ascii="Times New Roman" w:hAnsi="Times New Roman" w:cs="Times New Roman"/>
                <w:iCs/>
                <w:sz w:val="24"/>
                <w:szCs w:val="24"/>
                <w:lang w:eastAsia="lv-LV"/>
              </w:rPr>
            </w:pPr>
            <w:r w:rsidRPr="00864989">
              <w:rPr>
                <w:rFonts w:ascii="Times New Roman" w:hAnsi="Times New Roman" w:cs="Times New Roman"/>
                <w:iCs/>
                <w:sz w:val="24"/>
                <w:szCs w:val="24"/>
                <w:lang w:eastAsia="lv-LV"/>
              </w:rPr>
              <w:t>5</w:t>
            </w:r>
          </w:p>
        </w:tc>
        <w:tc>
          <w:tcPr>
            <w:tcW w:w="992" w:type="dxa"/>
            <w:vAlign w:val="center"/>
          </w:tcPr>
          <w:p w14:paraId="1A9FB88B" w14:textId="77777777" w:rsidR="00842AD1" w:rsidRPr="00864989" w:rsidRDefault="00842AD1" w:rsidP="00842AD1">
            <w:pPr>
              <w:pStyle w:val="NoSpacing"/>
              <w:rPr>
                <w:rFonts w:ascii="Times New Roman" w:hAnsi="Times New Roman" w:cs="Times New Roman"/>
                <w:iCs/>
                <w:sz w:val="24"/>
                <w:szCs w:val="24"/>
                <w:lang w:eastAsia="lv-LV"/>
              </w:rPr>
            </w:pPr>
            <w:r w:rsidRPr="00864989">
              <w:rPr>
                <w:rFonts w:ascii="Times New Roman" w:hAnsi="Times New Roman" w:cs="Times New Roman"/>
                <w:iCs/>
                <w:sz w:val="24"/>
                <w:szCs w:val="24"/>
                <w:lang w:eastAsia="lv-LV"/>
              </w:rPr>
              <w:t>6</w:t>
            </w:r>
          </w:p>
        </w:tc>
        <w:tc>
          <w:tcPr>
            <w:tcW w:w="992" w:type="dxa"/>
            <w:vAlign w:val="center"/>
          </w:tcPr>
          <w:p w14:paraId="7C775F12" w14:textId="77777777" w:rsidR="00842AD1" w:rsidRPr="00864989" w:rsidRDefault="00842AD1" w:rsidP="00842AD1">
            <w:pPr>
              <w:pStyle w:val="NoSpacing"/>
              <w:rPr>
                <w:rFonts w:ascii="Times New Roman" w:hAnsi="Times New Roman" w:cs="Times New Roman"/>
                <w:iCs/>
                <w:sz w:val="24"/>
                <w:szCs w:val="24"/>
                <w:lang w:eastAsia="lv-LV"/>
              </w:rPr>
            </w:pPr>
            <w:r w:rsidRPr="00864989">
              <w:rPr>
                <w:rFonts w:ascii="Times New Roman" w:hAnsi="Times New Roman" w:cs="Times New Roman"/>
                <w:iCs/>
                <w:sz w:val="24"/>
                <w:szCs w:val="24"/>
                <w:lang w:eastAsia="lv-LV"/>
              </w:rPr>
              <w:t>7</w:t>
            </w:r>
          </w:p>
        </w:tc>
        <w:tc>
          <w:tcPr>
            <w:tcW w:w="1276" w:type="dxa"/>
            <w:vAlign w:val="center"/>
          </w:tcPr>
          <w:p w14:paraId="0A8726AF" w14:textId="77777777" w:rsidR="00842AD1" w:rsidRPr="00864989" w:rsidRDefault="00842AD1" w:rsidP="00842AD1">
            <w:pPr>
              <w:pStyle w:val="NoSpacing"/>
              <w:rPr>
                <w:rFonts w:ascii="Times New Roman" w:hAnsi="Times New Roman" w:cs="Times New Roman"/>
                <w:iCs/>
                <w:sz w:val="24"/>
                <w:szCs w:val="24"/>
                <w:lang w:eastAsia="lv-LV"/>
              </w:rPr>
            </w:pPr>
            <w:r w:rsidRPr="00864989">
              <w:rPr>
                <w:rFonts w:ascii="Times New Roman" w:hAnsi="Times New Roman" w:cs="Times New Roman"/>
                <w:iCs/>
                <w:sz w:val="24"/>
                <w:szCs w:val="24"/>
                <w:lang w:eastAsia="lv-LV"/>
              </w:rPr>
              <w:t>8</w:t>
            </w:r>
          </w:p>
        </w:tc>
      </w:tr>
      <w:tr w:rsidR="003A46F2" w:rsidRPr="00224089" w14:paraId="5771C054" w14:textId="77777777" w:rsidTr="002074A4">
        <w:tc>
          <w:tcPr>
            <w:tcW w:w="1702" w:type="dxa"/>
            <w:vAlign w:val="center"/>
          </w:tcPr>
          <w:p w14:paraId="2629A0C6" w14:textId="77777777" w:rsidR="006C12A6" w:rsidRPr="00224089" w:rsidRDefault="006C12A6" w:rsidP="006C12A6">
            <w:pPr>
              <w:pStyle w:val="NoSpacing"/>
              <w:jc w:val="both"/>
              <w:rPr>
                <w:rFonts w:ascii="Times New Roman" w:hAnsi="Times New Roman" w:cs="Times New Roman"/>
                <w:iCs/>
                <w:sz w:val="24"/>
                <w:szCs w:val="24"/>
                <w:lang w:eastAsia="lv-LV"/>
              </w:rPr>
            </w:pPr>
            <w:r w:rsidRPr="00224089">
              <w:rPr>
                <w:rFonts w:ascii="Times New Roman" w:hAnsi="Times New Roman" w:cs="Times New Roman"/>
                <w:iCs/>
                <w:sz w:val="24"/>
                <w:szCs w:val="24"/>
                <w:lang w:eastAsia="lv-LV"/>
              </w:rPr>
              <w:t>1. Budžeta ieņēmumi</w:t>
            </w:r>
          </w:p>
        </w:tc>
        <w:tc>
          <w:tcPr>
            <w:tcW w:w="992" w:type="dxa"/>
            <w:vAlign w:val="center"/>
          </w:tcPr>
          <w:p w14:paraId="2609937D" w14:textId="77777777" w:rsidR="006C12A6" w:rsidRPr="00224089" w:rsidRDefault="006C12A6" w:rsidP="006C12A6">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1268" w:type="dxa"/>
            <w:vAlign w:val="center"/>
          </w:tcPr>
          <w:p w14:paraId="586BE7CB" w14:textId="6FA077D1" w:rsidR="006C12A6" w:rsidRPr="00864989" w:rsidRDefault="00BE6775" w:rsidP="006C12A6">
            <w:pPr>
              <w:pStyle w:val="NoSpacing"/>
              <w:rPr>
                <w:rFonts w:ascii="Times New Roman" w:hAnsi="Times New Roman" w:cs="Times New Roman"/>
                <w:iCs/>
                <w:lang w:eastAsia="lv-LV"/>
              </w:rPr>
            </w:pPr>
            <w:r w:rsidRPr="00864989">
              <w:rPr>
                <w:rFonts w:ascii="Times New Roman" w:hAnsi="Times New Roman" w:cs="Times New Roman"/>
                <w:iCs/>
                <w:lang w:eastAsia="lv-LV"/>
              </w:rPr>
              <w:t>269 250</w:t>
            </w:r>
          </w:p>
        </w:tc>
        <w:tc>
          <w:tcPr>
            <w:tcW w:w="1000" w:type="dxa"/>
            <w:vAlign w:val="center"/>
          </w:tcPr>
          <w:p w14:paraId="3EA8383A" w14:textId="77777777" w:rsidR="006C12A6" w:rsidRPr="00864989" w:rsidRDefault="006C12A6" w:rsidP="006C12A6">
            <w:pPr>
              <w:pStyle w:val="NoSpacing"/>
              <w:rPr>
                <w:rFonts w:ascii="Times New Roman" w:hAnsi="Times New Roman" w:cs="Times New Roman"/>
                <w:iCs/>
                <w:lang w:eastAsia="lv-LV"/>
              </w:rPr>
            </w:pPr>
            <w:r w:rsidRPr="00864989">
              <w:rPr>
                <w:rFonts w:ascii="Times New Roman" w:hAnsi="Times New Roman" w:cs="Times New Roman"/>
                <w:iCs/>
                <w:lang w:eastAsia="lv-LV"/>
              </w:rPr>
              <w:t>0</w:t>
            </w:r>
          </w:p>
        </w:tc>
        <w:tc>
          <w:tcPr>
            <w:tcW w:w="1134" w:type="dxa"/>
            <w:vAlign w:val="center"/>
          </w:tcPr>
          <w:p w14:paraId="5681EEF9" w14:textId="77777777" w:rsidR="006C12A6" w:rsidRPr="00864989" w:rsidRDefault="006C12A6" w:rsidP="006C12A6">
            <w:pPr>
              <w:pStyle w:val="NoSpacing"/>
              <w:rPr>
                <w:rFonts w:ascii="Times New Roman" w:hAnsi="Times New Roman" w:cs="Times New Roman"/>
                <w:iCs/>
                <w:lang w:eastAsia="lv-LV"/>
              </w:rPr>
            </w:pPr>
            <w:r w:rsidRPr="00864989">
              <w:rPr>
                <w:rFonts w:ascii="Times New Roman" w:hAnsi="Times New Roman" w:cs="Times New Roman"/>
                <w:iCs/>
                <w:lang w:eastAsia="lv-LV"/>
              </w:rPr>
              <w:t>0</w:t>
            </w:r>
          </w:p>
        </w:tc>
        <w:tc>
          <w:tcPr>
            <w:tcW w:w="992" w:type="dxa"/>
            <w:vAlign w:val="center"/>
          </w:tcPr>
          <w:p w14:paraId="51B9A17F" w14:textId="77777777" w:rsidR="006C12A6" w:rsidRPr="00864989" w:rsidRDefault="006C12A6" w:rsidP="006C12A6">
            <w:pPr>
              <w:pStyle w:val="NoSpacing"/>
              <w:rPr>
                <w:rFonts w:ascii="Times New Roman" w:hAnsi="Times New Roman" w:cs="Times New Roman"/>
                <w:iCs/>
                <w:lang w:eastAsia="lv-LV"/>
              </w:rPr>
            </w:pPr>
            <w:r w:rsidRPr="00864989">
              <w:rPr>
                <w:rFonts w:ascii="Times New Roman" w:hAnsi="Times New Roman" w:cs="Times New Roman"/>
                <w:iCs/>
                <w:lang w:eastAsia="lv-LV"/>
              </w:rPr>
              <w:t>0</w:t>
            </w:r>
          </w:p>
        </w:tc>
        <w:tc>
          <w:tcPr>
            <w:tcW w:w="992" w:type="dxa"/>
            <w:vAlign w:val="center"/>
          </w:tcPr>
          <w:p w14:paraId="59755336" w14:textId="77777777" w:rsidR="006C12A6" w:rsidRPr="00864989" w:rsidRDefault="006C12A6" w:rsidP="006C12A6">
            <w:pPr>
              <w:pStyle w:val="NoSpacing"/>
              <w:rPr>
                <w:rFonts w:ascii="Times New Roman" w:hAnsi="Times New Roman" w:cs="Times New Roman"/>
                <w:iCs/>
                <w:lang w:eastAsia="lv-LV"/>
              </w:rPr>
            </w:pPr>
            <w:r w:rsidRPr="00864989">
              <w:rPr>
                <w:rFonts w:ascii="Times New Roman" w:hAnsi="Times New Roman" w:cs="Times New Roman"/>
                <w:iCs/>
                <w:lang w:eastAsia="lv-LV"/>
              </w:rPr>
              <w:t>0</w:t>
            </w:r>
          </w:p>
        </w:tc>
        <w:tc>
          <w:tcPr>
            <w:tcW w:w="1276" w:type="dxa"/>
            <w:vAlign w:val="center"/>
          </w:tcPr>
          <w:p w14:paraId="050622CD" w14:textId="77777777" w:rsidR="006C12A6" w:rsidRPr="00864989" w:rsidRDefault="006C12A6" w:rsidP="006C12A6">
            <w:pPr>
              <w:pStyle w:val="NoSpacing"/>
              <w:rPr>
                <w:rFonts w:ascii="Times New Roman" w:hAnsi="Times New Roman" w:cs="Times New Roman"/>
                <w:iCs/>
                <w:lang w:eastAsia="lv-LV"/>
              </w:rPr>
            </w:pPr>
            <w:r w:rsidRPr="00864989">
              <w:rPr>
                <w:rFonts w:ascii="Times New Roman" w:hAnsi="Times New Roman" w:cs="Times New Roman"/>
                <w:iCs/>
                <w:lang w:eastAsia="lv-LV"/>
              </w:rPr>
              <w:t>0</w:t>
            </w:r>
          </w:p>
        </w:tc>
      </w:tr>
      <w:tr w:rsidR="003A46F2" w:rsidRPr="00224089" w14:paraId="74048AEB" w14:textId="77777777" w:rsidTr="002074A4">
        <w:tc>
          <w:tcPr>
            <w:tcW w:w="1702" w:type="dxa"/>
            <w:vAlign w:val="center"/>
          </w:tcPr>
          <w:p w14:paraId="41EC36A6" w14:textId="77777777" w:rsidR="006C12A6" w:rsidRPr="00224089" w:rsidRDefault="006C12A6" w:rsidP="006C12A6">
            <w:pPr>
              <w:pStyle w:val="NoSpacing"/>
              <w:jc w:val="both"/>
              <w:rPr>
                <w:rFonts w:ascii="Times New Roman" w:hAnsi="Times New Roman" w:cs="Times New Roman"/>
                <w:iCs/>
                <w:sz w:val="24"/>
                <w:szCs w:val="24"/>
                <w:lang w:eastAsia="lv-LV"/>
              </w:rPr>
            </w:pPr>
            <w:r w:rsidRPr="00224089">
              <w:rPr>
                <w:rFonts w:ascii="Times New Roman" w:hAnsi="Times New Roman" w:cs="Times New Roman"/>
                <w:iCs/>
                <w:sz w:val="24"/>
                <w:szCs w:val="24"/>
                <w:lang w:eastAsia="lv-LV"/>
              </w:rPr>
              <w:t xml:space="preserve">1.1. valsts pamatbudžets, tai skaitā </w:t>
            </w:r>
            <w:r w:rsidRPr="00224089">
              <w:rPr>
                <w:rFonts w:ascii="Times New Roman" w:hAnsi="Times New Roman" w:cs="Times New Roman"/>
                <w:iCs/>
                <w:sz w:val="24"/>
                <w:szCs w:val="24"/>
                <w:lang w:eastAsia="lv-LV"/>
              </w:rPr>
              <w:lastRenderedPageBreak/>
              <w:t>ieņēmumi no maksas pakalpojumiem un citi pašu ieņēmumi</w:t>
            </w:r>
          </w:p>
        </w:tc>
        <w:tc>
          <w:tcPr>
            <w:tcW w:w="992" w:type="dxa"/>
            <w:vAlign w:val="center"/>
          </w:tcPr>
          <w:p w14:paraId="1DF959DF" w14:textId="77777777" w:rsidR="006C12A6" w:rsidRPr="00224089" w:rsidRDefault="006C12A6" w:rsidP="006C12A6">
            <w:pPr>
              <w:pStyle w:val="NoSpacing"/>
              <w:rPr>
                <w:rFonts w:ascii="Times New Roman" w:hAnsi="Times New Roman" w:cs="Times New Roman"/>
                <w:iCs/>
                <w:lang w:eastAsia="lv-LV"/>
              </w:rPr>
            </w:pPr>
            <w:r w:rsidRPr="00224089">
              <w:rPr>
                <w:rFonts w:ascii="Times New Roman" w:hAnsi="Times New Roman" w:cs="Times New Roman"/>
                <w:iCs/>
                <w:lang w:eastAsia="lv-LV"/>
              </w:rPr>
              <w:lastRenderedPageBreak/>
              <w:t>0</w:t>
            </w:r>
          </w:p>
        </w:tc>
        <w:tc>
          <w:tcPr>
            <w:tcW w:w="1268" w:type="dxa"/>
            <w:vAlign w:val="center"/>
          </w:tcPr>
          <w:p w14:paraId="01F97225" w14:textId="7A218C4D" w:rsidR="006C12A6" w:rsidRPr="00224089" w:rsidRDefault="00BE6775" w:rsidP="006C12A6">
            <w:pPr>
              <w:pStyle w:val="NoSpacing"/>
              <w:rPr>
                <w:rFonts w:ascii="Times New Roman" w:hAnsi="Times New Roman" w:cs="Times New Roman"/>
                <w:iCs/>
                <w:lang w:eastAsia="lv-LV"/>
              </w:rPr>
            </w:pPr>
            <w:r w:rsidRPr="00224089">
              <w:rPr>
                <w:rFonts w:ascii="Times New Roman" w:hAnsi="Times New Roman" w:cs="Times New Roman"/>
                <w:iCs/>
                <w:lang w:eastAsia="lv-LV"/>
              </w:rPr>
              <w:t>269 250</w:t>
            </w:r>
          </w:p>
        </w:tc>
        <w:tc>
          <w:tcPr>
            <w:tcW w:w="1000" w:type="dxa"/>
            <w:vAlign w:val="center"/>
          </w:tcPr>
          <w:p w14:paraId="599C9669" w14:textId="77777777" w:rsidR="006C12A6" w:rsidRPr="00224089" w:rsidRDefault="006C12A6" w:rsidP="006C12A6">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1134" w:type="dxa"/>
            <w:vAlign w:val="center"/>
          </w:tcPr>
          <w:p w14:paraId="674310FD" w14:textId="77777777" w:rsidR="006C12A6" w:rsidRPr="00224089" w:rsidRDefault="006C12A6" w:rsidP="006C12A6">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992" w:type="dxa"/>
            <w:vAlign w:val="center"/>
          </w:tcPr>
          <w:p w14:paraId="12EF9866" w14:textId="77777777" w:rsidR="006C12A6" w:rsidRPr="00224089" w:rsidRDefault="006C12A6" w:rsidP="006C12A6">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992" w:type="dxa"/>
            <w:vAlign w:val="center"/>
          </w:tcPr>
          <w:p w14:paraId="0CB63668" w14:textId="77777777" w:rsidR="006C12A6" w:rsidRPr="00224089" w:rsidRDefault="006C12A6" w:rsidP="006C12A6">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1276" w:type="dxa"/>
            <w:vAlign w:val="center"/>
          </w:tcPr>
          <w:p w14:paraId="4551F3D8" w14:textId="77777777" w:rsidR="006C12A6" w:rsidRPr="00224089" w:rsidRDefault="006C12A6" w:rsidP="006C12A6">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r>
      <w:tr w:rsidR="003A46F2" w:rsidRPr="00224089" w14:paraId="635274CC" w14:textId="77777777" w:rsidTr="006936E5">
        <w:tc>
          <w:tcPr>
            <w:tcW w:w="1702" w:type="dxa"/>
            <w:vAlign w:val="center"/>
          </w:tcPr>
          <w:p w14:paraId="6D525753" w14:textId="77777777" w:rsidR="006C12A6" w:rsidRPr="00224089" w:rsidRDefault="006C12A6" w:rsidP="006C12A6">
            <w:pPr>
              <w:pStyle w:val="NoSpacing"/>
              <w:jc w:val="both"/>
              <w:rPr>
                <w:rFonts w:ascii="Times New Roman" w:hAnsi="Times New Roman" w:cs="Times New Roman"/>
                <w:iCs/>
                <w:sz w:val="24"/>
                <w:szCs w:val="24"/>
                <w:lang w:eastAsia="lv-LV"/>
              </w:rPr>
            </w:pPr>
            <w:r w:rsidRPr="00224089">
              <w:rPr>
                <w:rFonts w:ascii="Times New Roman" w:hAnsi="Times New Roman" w:cs="Times New Roman"/>
                <w:iCs/>
                <w:sz w:val="24"/>
                <w:szCs w:val="24"/>
                <w:lang w:eastAsia="lv-LV"/>
              </w:rPr>
              <w:t>1.2. valsts speciālais budžets</w:t>
            </w:r>
          </w:p>
        </w:tc>
        <w:tc>
          <w:tcPr>
            <w:tcW w:w="992" w:type="dxa"/>
            <w:vAlign w:val="center"/>
          </w:tcPr>
          <w:p w14:paraId="0AECF208" w14:textId="77777777" w:rsidR="006C12A6" w:rsidRPr="00224089" w:rsidRDefault="006C12A6" w:rsidP="006C12A6">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1268" w:type="dxa"/>
            <w:vAlign w:val="center"/>
          </w:tcPr>
          <w:p w14:paraId="3F0DDF85" w14:textId="77777777" w:rsidR="006C12A6" w:rsidRPr="00224089" w:rsidRDefault="006C12A6" w:rsidP="006C12A6">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1000" w:type="dxa"/>
            <w:vAlign w:val="center"/>
          </w:tcPr>
          <w:p w14:paraId="1244B727" w14:textId="77777777" w:rsidR="006C12A6" w:rsidRPr="00224089" w:rsidRDefault="006C12A6" w:rsidP="006C12A6">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1134" w:type="dxa"/>
            <w:vAlign w:val="center"/>
          </w:tcPr>
          <w:p w14:paraId="713311BB" w14:textId="77777777" w:rsidR="006C12A6" w:rsidRPr="00224089" w:rsidRDefault="006C12A6" w:rsidP="006C12A6">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992" w:type="dxa"/>
            <w:vAlign w:val="center"/>
          </w:tcPr>
          <w:p w14:paraId="4F3C2679" w14:textId="77777777" w:rsidR="006C12A6" w:rsidRPr="00224089" w:rsidRDefault="006C12A6" w:rsidP="006C12A6">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992" w:type="dxa"/>
            <w:vAlign w:val="center"/>
          </w:tcPr>
          <w:p w14:paraId="519CCD64" w14:textId="77777777" w:rsidR="006C12A6" w:rsidRPr="00224089" w:rsidRDefault="006C12A6" w:rsidP="006C12A6">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1276" w:type="dxa"/>
            <w:vAlign w:val="center"/>
          </w:tcPr>
          <w:p w14:paraId="07806294" w14:textId="77777777" w:rsidR="006C12A6" w:rsidRPr="00224089" w:rsidRDefault="006C12A6" w:rsidP="006C12A6">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r>
      <w:tr w:rsidR="003A46F2" w:rsidRPr="00224089" w14:paraId="53D080B7" w14:textId="77777777" w:rsidTr="006936E5">
        <w:tc>
          <w:tcPr>
            <w:tcW w:w="1702" w:type="dxa"/>
            <w:vAlign w:val="center"/>
          </w:tcPr>
          <w:p w14:paraId="6D579651" w14:textId="77777777" w:rsidR="00CC0982" w:rsidRPr="00224089" w:rsidRDefault="00CC0982" w:rsidP="00CC0982">
            <w:pPr>
              <w:pStyle w:val="NoSpacing"/>
              <w:jc w:val="both"/>
              <w:rPr>
                <w:rFonts w:ascii="Times New Roman" w:hAnsi="Times New Roman" w:cs="Times New Roman"/>
                <w:iCs/>
                <w:sz w:val="24"/>
                <w:szCs w:val="24"/>
                <w:lang w:eastAsia="lv-LV"/>
              </w:rPr>
            </w:pPr>
            <w:r w:rsidRPr="00224089">
              <w:rPr>
                <w:rFonts w:ascii="Times New Roman" w:hAnsi="Times New Roman" w:cs="Times New Roman"/>
                <w:iCs/>
                <w:sz w:val="24"/>
                <w:szCs w:val="24"/>
                <w:lang w:eastAsia="lv-LV"/>
              </w:rPr>
              <w:t>1.3. pašvaldību budžets</w:t>
            </w:r>
          </w:p>
        </w:tc>
        <w:tc>
          <w:tcPr>
            <w:tcW w:w="992" w:type="dxa"/>
            <w:vAlign w:val="center"/>
          </w:tcPr>
          <w:p w14:paraId="542E83F5" w14:textId="77777777" w:rsidR="00CC0982" w:rsidRPr="00EC56FE" w:rsidRDefault="00CC0982" w:rsidP="00CC0982">
            <w:pPr>
              <w:pStyle w:val="NoSpacing"/>
              <w:rPr>
                <w:rFonts w:ascii="Times New Roman" w:hAnsi="Times New Roman" w:cs="Times New Roman"/>
                <w:iCs/>
                <w:lang w:eastAsia="lv-LV"/>
              </w:rPr>
            </w:pPr>
            <w:r w:rsidRPr="00EC56FE">
              <w:rPr>
                <w:rFonts w:ascii="Times New Roman" w:hAnsi="Times New Roman" w:cs="Times New Roman"/>
                <w:iCs/>
                <w:lang w:eastAsia="lv-LV"/>
              </w:rPr>
              <w:t>0</w:t>
            </w:r>
          </w:p>
        </w:tc>
        <w:tc>
          <w:tcPr>
            <w:tcW w:w="1268" w:type="dxa"/>
            <w:vAlign w:val="center"/>
          </w:tcPr>
          <w:p w14:paraId="17892273" w14:textId="77777777" w:rsidR="00CC0982" w:rsidRPr="00EC56FE" w:rsidRDefault="00CC0982" w:rsidP="00CC0982">
            <w:pPr>
              <w:pStyle w:val="NoSpacing"/>
              <w:rPr>
                <w:rFonts w:ascii="Times New Roman" w:hAnsi="Times New Roman" w:cs="Times New Roman"/>
                <w:iCs/>
                <w:lang w:eastAsia="lv-LV"/>
              </w:rPr>
            </w:pPr>
            <w:r w:rsidRPr="00EC56FE">
              <w:rPr>
                <w:rFonts w:ascii="Times New Roman" w:hAnsi="Times New Roman" w:cs="Times New Roman"/>
                <w:iCs/>
                <w:lang w:eastAsia="lv-LV"/>
              </w:rPr>
              <w:t>0</w:t>
            </w:r>
          </w:p>
        </w:tc>
        <w:tc>
          <w:tcPr>
            <w:tcW w:w="1000" w:type="dxa"/>
            <w:vAlign w:val="center"/>
          </w:tcPr>
          <w:p w14:paraId="02FB6475" w14:textId="77777777" w:rsidR="00CC0982" w:rsidRPr="00224089" w:rsidRDefault="00CC0982" w:rsidP="00CC0982">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1134" w:type="dxa"/>
            <w:vAlign w:val="center"/>
          </w:tcPr>
          <w:p w14:paraId="01498558" w14:textId="77777777" w:rsidR="00CC0982" w:rsidRPr="00224089" w:rsidRDefault="00CC0982" w:rsidP="00CC0982">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992" w:type="dxa"/>
            <w:vAlign w:val="center"/>
          </w:tcPr>
          <w:p w14:paraId="7C8D3438" w14:textId="77777777" w:rsidR="00CC0982" w:rsidRPr="00224089" w:rsidRDefault="00CC0982" w:rsidP="00CC0982">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992" w:type="dxa"/>
            <w:vAlign w:val="center"/>
          </w:tcPr>
          <w:p w14:paraId="50194278" w14:textId="77777777" w:rsidR="00CC0982" w:rsidRPr="00224089" w:rsidRDefault="00CC0982" w:rsidP="00CC0982">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1276" w:type="dxa"/>
            <w:vAlign w:val="center"/>
          </w:tcPr>
          <w:p w14:paraId="7417E59C" w14:textId="77777777" w:rsidR="00CC0982" w:rsidRPr="00224089" w:rsidRDefault="00CC0982" w:rsidP="00CC0982">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r>
      <w:tr w:rsidR="003A46F2" w:rsidRPr="00224089" w14:paraId="4645B82B" w14:textId="77777777" w:rsidTr="006A5DEF">
        <w:tc>
          <w:tcPr>
            <w:tcW w:w="1702" w:type="dxa"/>
            <w:vAlign w:val="center"/>
          </w:tcPr>
          <w:p w14:paraId="00E6CDD1" w14:textId="77777777" w:rsidR="006C12A6" w:rsidRPr="00224089" w:rsidRDefault="006C12A6" w:rsidP="006C12A6">
            <w:pPr>
              <w:pStyle w:val="NoSpacing"/>
              <w:jc w:val="both"/>
              <w:rPr>
                <w:rFonts w:ascii="Times New Roman" w:hAnsi="Times New Roman" w:cs="Times New Roman"/>
                <w:iCs/>
                <w:sz w:val="24"/>
                <w:szCs w:val="24"/>
                <w:lang w:eastAsia="lv-LV"/>
              </w:rPr>
            </w:pPr>
            <w:r w:rsidRPr="00224089">
              <w:rPr>
                <w:rFonts w:ascii="Times New Roman" w:hAnsi="Times New Roman" w:cs="Times New Roman"/>
                <w:iCs/>
                <w:sz w:val="24"/>
                <w:szCs w:val="24"/>
                <w:lang w:eastAsia="lv-LV"/>
              </w:rPr>
              <w:t>2. Budžeta izdevumi</w:t>
            </w:r>
          </w:p>
        </w:tc>
        <w:tc>
          <w:tcPr>
            <w:tcW w:w="992" w:type="dxa"/>
          </w:tcPr>
          <w:p w14:paraId="31727C88" w14:textId="77777777" w:rsidR="006C12A6" w:rsidRPr="00EC56FE" w:rsidRDefault="006C12A6" w:rsidP="006C12A6">
            <w:pPr>
              <w:rPr>
                <w:sz w:val="22"/>
                <w:szCs w:val="22"/>
              </w:rPr>
            </w:pPr>
            <w:r w:rsidRPr="00EC56FE">
              <w:rPr>
                <w:iCs/>
                <w:sz w:val="22"/>
                <w:szCs w:val="22"/>
              </w:rPr>
              <w:t>0</w:t>
            </w:r>
          </w:p>
        </w:tc>
        <w:tc>
          <w:tcPr>
            <w:tcW w:w="1268" w:type="dxa"/>
            <w:shd w:val="clear" w:color="auto" w:fill="auto"/>
            <w:vAlign w:val="center"/>
          </w:tcPr>
          <w:p w14:paraId="10202A54" w14:textId="33ABA830" w:rsidR="006C12A6" w:rsidRPr="00EC56FE" w:rsidRDefault="00BE6775" w:rsidP="006C12A6">
            <w:pPr>
              <w:pStyle w:val="NoSpacing"/>
              <w:rPr>
                <w:rFonts w:ascii="Times New Roman" w:hAnsi="Times New Roman" w:cs="Times New Roman"/>
                <w:iCs/>
                <w:lang w:eastAsia="lv-LV"/>
              </w:rPr>
            </w:pPr>
            <w:r w:rsidRPr="00EC56FE">
              <w:rPr>
                <w:rFonts w:ascii="Times New Roman" w:hAnsi="Times New Roman" w:cs="Times New Roman"/>
                <w:iCs/>
                <w:lang w:eastAsia="lv-LV"/>
              </w:rPr>
              <w:t>128 11</w:t>
            </w:r>
            <w:r w:rsidR="00A80A7E">
              <w:rPr>
                <w:rFonts w:ascii="Times New Roman" w:hAnsi="Times New Roman" w:cs="Times New Roman"/>
                <w:iCs/>
                <w:lang w:eastAsia="lv-LV"/>
              </w:rPr>
              <w:t>2</w:t>
            </w:r>
          </w:p>
        </w:tc>
        <w:tc>
          <w:tcPr>
            <w:tcW w:w="1000" w:type="dxa"/>
            <w:vAlign w:val="center"/>
          </w:tcPr>
          <w:p w14:paraId="3D048AFB" w14:textId="77777777" w:rsidR="006C12A6" w:rsidRPr="00224089" w:rsidRDefault="006C12A6" w:rsidP="006C12A6">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1134" w:type="dxa"/>
            <w:vAlign w:val="center"/>
          </w:tcPr>
          <w:p w14:paraId="725492B0" w14:textId="77777777" w:rsidR="006C12A6" w:rsidRPr="00224089" w:rsidRDefault="006C12A6" w:rsidP="006C12A6">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992" w:type="dxa"/>
            <w:vAlign w:val="center"/>
          </w:tcPr>
          <w:p w14:paraId="318C67D1" w14:textId="77777777" w:rsidR="006C12A6" w:rsidRPr="00224089" w:rsidRDefault="006C12A6" w:rsidP="006C12A6">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992" w:type="dxa"/>
            <w:vAlign w:val="center"/>
          </w:tcPr>
          <w:p w14:paraId="72779CC2" w14:textId="77777777" w:rsidR="006C12A6" w:rsidRPr="00224089" w:rsidRDefault="006C12A6" w:rsidP="006C12A6">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1276" w:type="dxa"/>
            <w:vAlign w:val="center"/>
          </w:tcPr>
          <w:p w14:paraId="71C5A487" w14:textId="77777777" w:rsidR="006C12A6" w:rsidRPr="00224089" w:rsidRDefault="006C12A6" w:rsidP="006C12A6">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r>
      <w:tr w:rsidR="003A46F2" w:rsidRPr="00224089" w14:paraId="468D00DB" w14:textId="77777777" w:rsidTr="006A5DEF">
        <w:tc>
          <w:tcPr>
            <w:tcW w:w="1702" w:type="dxa"/>
            <w:vAlign w:val="center"/>
          </w:tcPr>
          <w:p w14:paraId="7BB71D76" w14:textId="77777777" w:rsidR="006C12A6" w:rsidRPr="00224089" w:rsidRDefault="006C12A6" w:rsidP="006C12A6">
            <w:pPr>
              <w:pStyle w:val="NoSpacing"/>
              <w:jc w:val="both"/>
              <w:rPr>
                <w:rFonts w:ascii="Times New Roman" w:hAnsi="Times New Roman" w:cs="Times New Roman"/>
                <w:iCs/>
                <w:sz w:val="24"/>
                <w:szCs w:val="24"/>
                <w:lang w:eastAsia="lv-LV"/>
              </w:rPr>
            </w:pPr>
            <w:r w:rsidRPr="00224089">
              <w:rPr>
                <w:rFonts w:ascii="Times New Roman" w:hAnsi="Times New Roman" w:cs="Times New Roman"/>
                <w:iCs/>
                <w:sz w:val="24"/>
                <w:szCs w:val="24"/>
                <w:lang w:eastAsia="lv-LV"/>
              </w:rPr>
              <w:t>2.1. valsts pamatbudžets</w:t>
            </w:r>
          </w:p>
        </w:tc>
        <w:tc>
          <w:tcPr>
            <w:tcW w:w="992" w:type="dxa"/>
          </w:tcPr>
          <w:p w14:paraId="3AF241E3" w14:textId="77777777" w:rsidR="006C12A6" w:rsidRPr="00EC56FE" w:rsidRDefault="006C12A6" w:rsidP="006C12A6">
            <w:pPr>
              <w:rPr>
                <w:sz w:val="22"/>
                <w:szCs w:val="22"/>
              </w:rPr>
            </w:pPr>
            <w:r w:rsidRPr="00EC56FE">
              <w:rPr>
                <w:iCs/>
                <w:sz w:val="22"/>
                <w:szCs w:val="22"/>
              </w:rPr>
              <w:t>0</w:t>
            </w:r>
          </w:p>
        </w:tc>
        <w:tc>
          <w:tcPr>
            <w:tcW w:w="1268" w:type="dxa"/>
            <w:shd w:val="clear" w:color="auto" w:fill="auto"/>
            <w:vAlign w:val="center"/>
          </w:tcPr>
          <w:p w14:paraId="7AD66B6A" w14:textId="0B66AF4B" w:rsidR="006C12A6" w:rsidRPr="00EC56FE" w:rsidRDefault="00BE6775" w:rsidP="006C12A6">
            <w:pPr>
              <w:pStyle w:val="NoSpacing"/>
              <w:rPr>
                <w:rFonts w:ascii="Times New Roman" w:hAnsi="Times New Roman" w:cs="Times New Roman"/>
                <w:iCs/>
                <w:lang w:eastAsia="lv-LV"/>
              </w:rPr>
            </w:pPr>
            <w:r w:rsidRPr="00EC56FE">
              <w:rPr>
                <w:rFonts w:ascii="Times New Roman" w:hAnsi="Times New Roman" w:cs="Times New Roman"/>
                <w:iCs/>
                <w:lang w:eastAsia="lv-LV"/>
              </w:rPr>
              <w:t>128 11</w:t>
            </w:r>
            <w:r w:rsidR="00A80A7E">
              <w:rPr>
                <w:rFonts w:ascii="Times New Roman" w:hAnsi="Times New Roman" w:cs="Times New Roman"/>
                <w:iCs/>
                <w:lang w:eastAsia="lv-LV"/>
              </w:rPr>
              <w:t>2</w:t>
            </w:r>
          </w:p>
        </w:tc>
        <w:tc>
          <w:tcPr>
            <w:tcW w:w="1000" w:type="dxa"/>
            <w:vAlign w:val="center"/>
          </w:tcPr>
          <w:p w14:paraId="0EE3CC6E" w14:textId="77777777" w:rsidR="006C12A6" w:rsidRPr="00224089" w:rsidRDefault="006C12A6" w:rsidP="006C12A6">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1134" w:type="dxa"/>
            <w:vAlign w:val="center"/>
          </w:tcPr>
          <w:p w14:paraId="54264272" w14:textId="77777777" w:rsidR="006C12A6" w:rsidRPr="00224089" w:rsidRDefault="006C12A6" w:rsidP="006C12A6">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992" w:type="dxa"/>
            <w:vAlign w:val="center"/>
          </w:tcPr>
          <w:p w14:paraId="5ACFE8E1" w14:textId="77777777" w:rsidR="006C12A6" w:rsidRPr="00224089" w:rsidRDefault="006C12A6" w:rsidP="006C12A6">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992" w:type="dxa"/>
            <w:vAlign w:val="center"/>
          </w:tcPr>
          <w:p w14:paraId="7525D4EE" w14:textId="77777777" w:rsidR="006C12A6" w:rsidRPr="00224089" w:rsidRDefault="006C12A6" w:rsidP="006C12A6">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1276" w:type="dxa"/>
            <w:vAlign w:val="center"/>
          </w:tcPr>
          <w:p w14:paraId="47669C75" w14:textId="77777777" w:rsidR="006C12A6" w:rsidRPr="00224089" w:rsidRDefault="006C12A6" w:rsidP="006C12A6">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r>
      <w:tr w:rsidR="003A46F2" w:rsidRPr="00224089" w14:paraId="110539F7" w14:textId="77777777" w:rsidTr="006A5DEF">
        <w:tc>
          <w:tcPr>
            <w:tcW w:w="1702" w:type="dxa"/>
            <w:vAlign w:val="center"/>
          </w:tcPr>
          <w:p w14:paraId="2A66AEEC" w14:textId="77777777" w:rsidR="00B47986" w:rsidRPr="00224089" w:rsidRDefault="00B47986" w:rsidP="00B47986">
            <w:pPr>
              <w:pStyle w:val="NoSpacing"/>
              <w:jc w:val="both"/>
              <w:rPr>
                <w:rFonts w:ascii="Times New Roman" w:hAnsi="Times New Roman" w:cs="Times New Roman"/>
                <w:iCs/>
                <w:sz w:val="24"/>
                <w:szCs w:val="24"/>
                <w:lang w:eastAsia="lv-LV"/>
              </w:rPr>
            </w:pPr>
            <w:r w:rsidRPr="00224089">
              <w:rPr>
                <w:rFonts w:ascii="Times New Roman" w:hAnsi="Times New Roman" w:cs="Times New Roman"/>
                <w:iCs/>
                <w:sz w:val="24"/>
                <w:szCs w:val="24"/>
                <w:lang w:eastAsia="lv-LV"/>
              </w:rPr>
              <w:t>2.2. valsts speciālais budžets</w:t>
            </w:r>
          </w:p>
        </w:tc>
        <w:tc>
          <w:tcPr>
            <w:tcW w:w="992" w:type="dxa"/>
            <w:vAlign w:val="center"/>
          </w:tcPr>
          <w:p w14:paraId="405153A6" w14:textId="77777777" w:rsidR="00B47986" w:rsidRPr="00224089" w:rsidRDefault="00B47986" w:rsidP="00B47986">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1268" w:type="dxa"/>
            <w:shd w:val="clear" w:color="auto" w:fill="auto"/>
            <w:vAlign w:val="center"/>
          </w:tcPr>
          <w:p w14:paraId="0B02DED3" w14:textId="77777777" w:rsidR="00B47986" w:rsidRPr="00224089" w:rsidRDefault="00B47986" w:rsidP="00B47986">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1000" w:type="dxa"/>
            <w:vAlign w:val="center"/>
          </w:tcPr>
          <w:p w14:paraId="082AFE20" w14:textId="77777777" w:rsidR="00B47986" w:rsidRPr="00224089" w:rsidRDefault="00B47986" w:rsidP="00B47986">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1134" w:type="dxa"/>
            <w:vAlign w:val="center"/>
          </w:tcPr>
          <w:p w14:paraId="7463D150" w14:textId="77777777" w:rsidR="00B47986" w:rsidRPr="00224089" w:rsidRDefault="00B47986" w:rsidP="00B47986">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992" w:type="dxa"/>
            <w:vAlign w:val="center"/>
          </w:tcPr>
          <w:p w14:paraId="3461D30A" w14:textId="77777777" w:rsidR="00B47986" w:rsidRPr="00224089" w:rsidRDefault="00B47986" w:rsidP="00B47986">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992" w:type="dxa"/>
            <w:vAlign w:val="center"/>
          </w:tcPr>
          <w:p w14:paraId="27E9EC8B" w14:textId="77777777" w:rsidR="00B47986" w:rsidRPr="00224089" w:rsidRDefault="00B47986" w:rsidP="00B47986">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1276" w:type="dxa"/>
            <w:vAlign w:val="center"/>
          </w:tcPr>
          <w:p w14:paraId="54245607" w14:textId="77777777" w:rsidR="00B47986" w:rsidRPr="00224089" w:rsidRDefault="00B47986" w:rsidP="00B47986">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r>
      <w:tr w:rsidR="003A46F2" w:rsidRPr="00224089" w14:paraId="066DC2C8" w14:textId="77777777" w:rsidTr="006A5DEF">
        <w:tc>
          <w:tcPr>
            <w:tcW w:w="1702" w:type="dxa"/>
            <w:vAlign w:val="center"/>
          </w:tcPr>
          <w:p w14:paraId="108D7008" w14:textId="77777777" w:rsidR="00B47986" w:rsidRPr="00224089" w:rsidRDefault="00B47986" w:rsidP="00B47986">
            <w:pPr>
              <w:pStyle w:val="NoSpacing"/>
              <w:jc w:val="both"/>
              <w:rPr>
                <w:rFonts w:ascii="Times New Roman" w:hAnsi="Times New Roman" w:cs="Times New Roman"/>
                <w:iCs/>
                <w:sz w:val="24"/>
                <w:szCs w:val="24"/>
                <w:lang w:eastAsia="lv-LV"/>
              </w:rPr>
            </w:pPr>
            <w:r w:rsidRPr="00224089">
              <w:rPr>
                <w:rFonts w:ascii="Times New Roman" w:hAnsi="Times New Roman" w:cs="Times New Roman"/>
                <w:iCs/>
                <w:sz w:val="24"/>
                <w:szCs w:val="24"/>
                <w:lang w:eastAsia="lv-LV"/>
              </w:rPr>
              <w:t>2.3. pašvaldību budžets</w:t>
            </w:r>
          </w:p>
        </w:tc>
        <w:tc>
          <w:tcPr>
            <w:tcW w:w="992" w:type="dxa"/>
            <w:vAlign w:val="center"/>
          </w:tcPr>
          <w:p w14:paraId="1D0F9855" w14:textId="77777777" w:rsidR="00B47986" w:rsidRPr="00224089" w:rsidRDefault="00B47986" w:rsidP="00B47986">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1268" w:type="dxa"/>
            <w:shd w:val="clear" w:color="auto" w:fill="auto"/>
            <w:vAlign w:val="center"/>
          </w:tcPr>
          <w:p w14:paraId="7A53BBE8" w14:textId="77777777" w:rsidR="00B47986" w:rsidRPr="00224089" w:rsidRDefault="00B47986" w:rsidP="00B47986">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1000" w:type="dxa"/>
            <w:vAlign w:val="center"/>
          </w:tcPr>
          <w:p w14:paraId="795CBAF9" w14:textId="77777777" w:rsidR="00B47986" w:rsidRPr="00224089" w:rsidRDefault="00B47986" w:rsidP="00B47986">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1134" w:type="dxa"/>
            <w:vAlign w:val="center"/>
          </w:tcPr>
          <w:p w14:paraId="757DE0DC" w14:textId="77777777" w:rsidR="00B47986" w:rsidRPr="00224089" w:rsidRDefault="00B47986" w:rsidP="00B47986">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992" w:type="dxa"/>
            <w:vAlign w:val="center"/>
          </w:tcPr>
          <w:p w14:paraId="7928423E" w14:textId="77777777" w:rsidR="00B47986" w:rsidRPr="00224089" w:rsidRDefault="00B47986" w:rsidP="00B47986">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992" w:type="dxa"/>
            <w:vAlign w:val="center"/>
          </w:tcPr>
          <w:p w14:paraId="18823B23" w14:textId="77777777" w:rsidR="00B47986" w:rsidRPr="00224089" w:rsidRDefault="00B47986" w:rsidP="00B47986">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1276" w:type="dxa"/>
            <w:vAlign w:val="center"/>
          </w:tcPr>
          <w:p w14:paraId="572375DF" w14:textId="77777777" w:rsidR="00B47986" w:rsidRPr="00224089" w:rsidRDefault="00B47986" w:rsidP="00B47986">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r>
      <w:tr w:rsidR="003A46F2" w:rsidRPr="00224089" w14:paraId="3C1D4F5E" w14:textId="77777777" w:rsidTr="006A5DEF">
        <w:tc>
          <w:tcPr>
            <w:tcW w:w="1702" w:type="dxa"/>
            <w:vAlign w:val="center"/>
          </w:tcPr>
          <w:p w14:paraId="3BD6332C" w14:textId="77777777" w:rsidR="00F530FE" w:rsidRPr="00224089" w:rsidRDefault="00F530FE" w:rsidP="00F530FE">
            <w:pPr>
              <w:pStyle w:val="NoSpacing"/>
              <w:jc w:val="both"/>
              <w:rPr>
                <w:rFonts w:ascii="Times New Roman" w:hAnsi="Times New Roman" w:cs="Times New Roman"/>
                <w:iCs/>
                <w:sz w:val="24"/>
                <w:szCs w:val="24"/>
                <w:lang w:eastAsia="lv-LV"/>
              </w:rPr>
            </w:pPr>
            <w:r w:rsidRPr="00224089">
              <w:rPr>
                <w:rFonts w:ascii="Times New Roman" w:hAnsi="Times New Roman" w:cs="Times New Roman"/>
                <w:iCs/>
                <w:sz w:val="24"/>
                <w:szCs w:val="24"/>
                <w:lang w:eastAsia="lv-LV"/>
              </w:rPr>
              <w:t>3. Finansiālā ietekme</w:t>
            </w:r>
          </w:p>
        </w:tc>
        <w:tc>
          <w:tcPr>
            <w:tcW w:w="992" w:type="dxa"/>
            <w:vAlign w:val="center"/>
          </w:tcPr>
          <w:p w14:paraId="2375E186" w14:textId="77777777" w:rsidR="00F530FE" w:rsidRPr="00224089" w:rsidRDefault="00F530FE" w:rsidP="00F530FE">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1268" w:type="dxa"/>
            <w:shd w:val="clear" w:color="auto" w:fill="auto"/>
            <w:vAlign w:val="center"/>
          </w:tcPr>
          <w:p w14:paraId="7C59908B" w14:textId="7D5F8B96" w:rsidR="00F530FE" w:rsidRPr="00A80A7E" w:rsidRDefault="00EC56FE" w:rsidP="00F530FE">
            <w:pPr>
              <w:pStyle w:val="NoSpacing"/>
              <w:rPr>
                <w:rFonts w:ascii="Times New Roman" w:hAnsi="Times New Roman" w:cs="Times New Roman"/>
                <w:iCs/>
                <w:lang w:eastAsia="lv-LV"/>
              </w:rPr>
            </w:pPr>
            <w:r w:rsidRPr="00A80A7E">
              <w:rPr>
                <w:rFonts w:ascii="Times New Roman" w:hAnsi="Times New Roman" w:cs="Times New Roman"/>
                <w:iCs/>
                <w:lang w:eastAsia="lv-LV"/>
              </w:rPr>
              <w:t xml:space="preserve">141 138 </w:t>
            </w:r>
          </w:p>
        </w:tc>
        <w:tc>
          <w:tcPr>
            <w:tcW w:w="1000" w:type="dxa"/>
            <w:vAlign w:val="center"/>
          </w:tcPr>
          <w:p w14:paraId="130B0D8C" w14:textId="77777777" w:rsidR="00F530FE" w:rsidRPr="00224089" w:rsidRDefault="00F530FE" w:rsidP="00F530FE">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1134" w:type="dxa"/>
            <w:vAlign w:val="center"/>
          </w:tcPr>
          <w:p w14:paraId="2A1380D0" w14:textId="77777777" w:rsidR="00F530FE" w:rsidRPr="00224089" w:rsidRDefault="00F530FE" w:rsidP="00F530FE">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992" w:type="dxa"/>
            <w:vAlign w:val="center"/>
          </w:tcPr>
          <w:p w14:paraId="494173F1" w14:textId="77777777" w:rsidR="00F530FE" w:rsidRPr="00224089" w:rsidRDefault="00F530FE" w:rsidP="00F530FE">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992" w:type="dxa"/>
            <w:vAlign w:val="center"/>
          </w:tcPr>
          <w:p w14:paraId="6F09D038" w14:textId="77777777" w:rsidR="00F530FE" w:rsidRPr="00224089" w:rsidRDefault="00F530FE" w:rsidP="00F530FE">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1276" w:type="dxa"/>
            <w:vAlign w:val="center"/>
          </w:tcPr>
          <w:p w14:paraId="6685F538" w14:textId="77777777" w:rsidR="00F530FE" w:rsidRPr="00224089" w:rsidRDefault="00F530FE" w:rsidP="00F530FE">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r>
      <w:tr w:rsidR="003A46F2" w:rsidRPr="00224089" w14:paraId="30DA0EA6" w14:textId="77777777" w:rsidTr="006A5DEF">
        <w:tc>
          <w:tcPr>
            <w:tcW w:w="1702" w:type="dxa"/>
            <w:vAlign w:val="center"/>
          </w:tcPr>
          <w:p w14:paraId="4B7AA3D0" w14:textId="77777777" w:rsidR="00F530FE" w:rsidRPr="00224089" w:rsidRDefault="00F530FE" w:rsidP="00F530FE">
            <w:pPr>
              <w:pStyle w:val="NoSpacing"/>
              <w:jc w:val="both"/>
              <w:rPr>
                <w:rFonts w:ascii="Times New Roman" w:hAnsi="Times New Roman" w:cs="Times New Roman"/>
                <w:iCs/>
                <w:sz w:val="24"/>
                <w:szCs w:val="24"/>
                <w:lang w:eastAsia="lv-LV"/>
              </w:rPr>
            </w:pPr>
            <w:r w:rsidRPr="00224089">
              <w:rPr>
                <w:rFonts w:ascii="Times New Roman" w:hAnsi="Times New Roman" w:cs="Times New Roman"/>
                <w:iCs/>
                <w:sz w:val="24"/>
                <w:szCs w:val="24"/>
                <w:lang w:eastAsia="lv-LV"/>
              </w:rPr>
              <w:t>3.1. valsts pamatbudžets</w:t>
            </w:r>
          </w:p>
        </w:tc>
        <w:tc>
          <w:tcPr>
            <w:tcW w:w="992" w:type="dxa"/>
            <w:vAlign w:val="center"/>
          </w:tcPr>
          <w:p w14:paraId="3AEB3429" w14:textId="77777777" w:rsidR="00F530FE" w:rsidRPr="00224089" w:rsidRDefault="00F530FE" w:rsidP="00F530FE">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1268" w:type="dxa"/>
            <w:shd w:val="clear" w:color="auto" w:fill="auto"/>
            <w:vAlign w:val="center"/>
          </w:tcPr>
          <w:p w14:paraId="6C3CDB50" w14:textId="65FF66E5" w:rsidR="00F530FE" w:rsidRPr="00A80A7E" w:rsidRDefault="00EC56FE" w:rsidP="00F530FE">
            <w:pPr>
              <w:pStyle w:val="NoSpacing"/>
              <w:rPr>
                <w:rFonts w:ascii="Times New Roman" w:hAnsi="Times New Roman" w:cs="Times New Roman"/>
                <w:iCs/>
                <w:lang w:eastAsia="lv-LV"/>
              </w:rPr>
            </w:pPr>
            <w:r w:rsidRPr="00A80A7E">
              <w:rPr>
                <w:rFonts w:ascii="Times New Roman" w:hAnsi="Times New Roman" w:cs="Times New Roman"/>
                <w:iCs/>
                <w:lang w:eastAsia="lv-LV"/>
              </w:rPr>
              <w:t>141 138</w:t>
            </w:r>
          </w:p>
        </w:tc>
        <w:tc>
          <w:tcPr>
            <w:tcW w:w="1000" w:type="dxa"/>
            <w:vAlign w:val="center"/>
          </w:tcPr>
          <w:p w14:paraId="75B684C5" w14:textId="77777777" w:rsidR="00F530FE" w:rsidRPr="00224089" w:rsidRDefault="00F530FE" w:rsidP="00F530FE">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1134" w:type="dxa"/>
            <w:vAlign w:val="center"/>
          </w:tcPr>
          <w:p w14:paraId="76106B61" w14:textId="77777777" w:rsidR="00F530FE" w:rsidRPr="00224089" w:rsidRDefault="00F530FE" w:rsidP="00F530FE">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992" w:type="dxa"/>
            <w:vAlign w:val="center"/>
          </w:tcPr>
          <w:p w14:paraId="6EF46524" w14:textId="77777777" w:rsidR="00F530FE" w:rsidRPr="00224089" w:rsidRDefault="00F530FE" w:rsidP="00F530FE">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992" w:type="dxa"/>
            <w:vAlign w:val="center"/>
          </w:tcPr>
          <w:p w14:paraId="30D90E7D" w14:textId="77777777" w:rsidR="00F530FE" w:rsidRPr="00224089" w:rsidRDefault="00F530FE" w:rsidP="00F530FE">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1276" w:type="dxa"/>
            <w:vAlign w:val="center"/>
          </w:tcPr>
          <w:p w14:paraId="120DA75B" w14:textId="77777777" w:rsidR="00F530FE" w:rsidRPr="00224089" w:rsidRDefault="00F530FE" w:rsidP="00F530FE">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r>
      <w:tr w:rsidR="003A46F2" w:rsidRPr="00224089" w14:paraId="38D0AC11" w14:textId="77777777" w:rsidTr="006A5DEF">
        <w:tc>
          <w:tcPr>
            <w:tcW w:w="1702" w:type="dxa"/>
            <w:vAlign w:val="center"/>
          </w:tcPr>
          <w:p w14:paraId="3870BFCF" w14:textId="77777777" w:rsidR="00F530FE" w:rsidRPr="00224089" w:rsidRDefault="00F530FE" w:rsidP="00F530FE">
            <w:pPr>
              <w:pStyle w:val="NoSpacing"/>
              <w:jc w:val="both"/>
              <w:rPr>
                <w:rFonts w:ascii="Times New Roman" w:hAnsi="Times New Roman" w:cs="Times New Roman"/>
                <w:iCs/>
                <w:sz w:val="24"/>
                <w:szCs w:val="24"/>
                <w:lang w:eastAsia="lv-LV"/>
              </w:rPr>
            </w:pPr>
            <w:r w:rsidRPr="00224089">
              <w:rPr>
                <w:rFonts w:ascii="Times New Roman" w:hAnsi="Times New Roman" w:cs="Times New Roman"/>
                <w:iCs/>
                <w:sz w:val="24"/>
                <w:szCs w:val="24"/>
                <w:lang w:eastAsia="lv-LV"/>
              </w:rPr>
              <w:t>3.2. speciālais budžets</w:t>
            </w:r>
          </w:p>
        </w:tc>
        <w:tc>
          <w:tcPr>
            <w:tcW w:w="992" w:type="dxa"/>
            <w:vAlign w:val="center"/>
          </w:tcPr>
          <w:p w14:paraId="587B494E" w14:textId="77777777" w:rsidR="00F530FE" w:rsidRPr="00224089" w:rsidRDefault="00F530FE" w:rsidP="00F530FE">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1268" w:type="dxa"/>
            <w:shd w:val="clear" w:color="auto" w:fill="auto"/>
            <w:vAlign w:val="center"/>
          </w:tcPr>
          <w:p w14:paraId="0CB81EC3" w14:textId="77777777" w:rsidR="00F530FE" w:rsidRPr="00224089" w:rsidRDefault="00F530FE" w:rsidP="00F530FE">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1000" w:type="dxa"/>
            <w:vAlign w:val="center"/>
          </w:tcPr>
          <w:p w14:paraId="0E80E820" w14:textId="77777777" w:rsidR="00F530FE" w:rsidRPr="00224089" w:rsidRDefault="00F530FE" w:rsidP="00F530FE">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1134" w:type="dxa"/>
            <w:vAlign w:val="center"/>
          </w:tcPr>
          <w:p w14:paraId="0255B978" w14:textId="77777777" w:rsidR="00F530FE" w:rsidRPr="00224089" w:rsidRDefault="00F530FE" w:rsidP="00F530FE">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992" w:type="dxa"/>
            <w:vAlign w:val="center"/>
          </w:tcPr>
          <w:p w14:paraId="2DB8D9A8" w14:textId="77777777" w:rsidR="00F530FE" w:rsidRPr="00224089" w:rsidRDefault="00F530FE" w:rsidP="00F530FE">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992" w:type="dxa"/>
            <w:vAlign w:val="center"/>
          </w:tcPr>
          <w:p w14:paraId="2782CA31" w14:textId="77777777" w:rsidR="00F530FE" w:rsidRPr="00224089" w:rsidRDefault="00F530FE" w:rsidP="00F530FE">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1276" w:type="dxa"/>
            <w:vAlign w:val="center"/>
          </w:tcPr>
          <w:p w14:paraId="5F938135" w14:textId="77777777" w:rsidR="00F530FE" w:rsidRPr="00224089" w:rsidRDefault="00F530FE" w:rsidP="00F530FE">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r>
      <w:tr w:rsidR="003A46F2" w:rsidRPr="00224089" w14:paraId="5F57FD97" w14:textId="77777777" w:rsidTr="006A5DEF">
        <w:tc>
          <w:tcPr>
            <w:tcW w:w="1702" w:type="dxa"/>
            <w:vAlign w:val="center"/>
          </w:tcPr>
          <w:p w14:paraId="3865CB89" w14:textId="77777777" w:rsidR="00F530FE" w:rsidRPr="00224089" w:rsidRDefault="00F530FE" w:rsidP="00F530FE">
            <w:pPr>
              <w:pStyle w:val="NoSpacing"/>
              <w:jc w:val="both"/>
              <w:rPr>
                <w:rFonts w:ascii="Times New Roman" w:hAnsi="Times New Roman" w:cs="Times New Roman"/>
                <w:iCs/>
                <w:sz w:val="24"/>
                <w:szCs w:val="24"/>
                <w:lang w:eastAsia="lv-LV"/>
              </w:rPr>
            </w:pPr>
            <w:r w:rsidRPr="00224089">
              <w:rPr>
                <w:rFonts w:ascii="Times New Roman" w:hAnsi="Times New Roman" w:cs="Times New Roman"/>
                <w:iCs/>
                <w:sz w:val="24"/>
                <w:szCs w:val="24"/>
                <w:lang w:eastAsia="lv-LV"/>
              </w:rPr>
              <w:t>3.3. pašvaldību budžets</w:t>
            </w:r>
          </w:p>
        </w:tc>
        <w:tc>
          <w:tcPr>
            <w:tcW w:w="992" w:type="dxa"/>
            <w:vAlign w:val="center"/>
          </w:tcPr>
          <w:p w14:paraId="343E2BEC" w14:textId="77777777" w:rsidR="00F530FE" w:rsidRPr="00224089" w:rsidRDefault="00F530FE" w:rsidP="00F530FE">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1268" w:type="dxa"/>
            <w:shd w:val="clear" w:color="auto" w:fill="auto"/>
            <w:vAlign w:val="center"/>
          </w:tcPr>
          <w:p w14:paraId="5027DED1" w14:textId="77777777" w:rsidR="00F530FE" w:rsidRPr="00224089" w:rsidRDefault="00F530FE" w:rsidP="00F530FE">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1000" w:type="dxa"/>
            <w:vAlign w:val="center"/>
          </w:tcPr>
          <w:p w14:paraId="249BC8DA" w14:textId="77777777" w:rsidR="00F530FE" w:rsidRPr="00224089" w:rsidRDefault="00F530FE" w:rsidP="00F530FE">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1134" w:type="dxa"/>
            <w:vAlign w:val="center"/>
          </w:tcPr>
          <w:p w14:paraId="07750D45" w14:textId="77777777" w:rsidR="00F530FE" w:rsidRPr="00224089" w:rsidRDefault="00F530FE" w:rsidP="00F530FE">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992" w:type="dxa"/>
            <w:vAlign w:val="center"/>
          </w:tcPr>
          <w:p w14:paraId="308ABAC7" w14:textId="77777777" w:rsidR="00F530FE" w:rsidRPr="00224089" w:rsidRDefault="00F530FE" w:rsidP="00F530FE">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992" w:type="dxa"/>
            <w:vAlign w:val="center"/>
          </w:tcPr>
          <w:p w14:paraId="552C2C4C" w14:textId="77777777" w:rsidR="00F530FE" w:rsidRPr="00224089" w:rsidRDefault="00F530FE" w:rsidP="00F530FE">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1276" w:type="dxa"/>
            <w:vAlign w:val="center"/>
          </w:tcPr>
          <w:p w14:paraId="1AAC4ECE" w14:textId="77777777" w:rsidR="00F530FE" w:rsidRPr="00224089" w:rsidRDefault="00F530FE" w:rsidP="00F530FE">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r>
      <w:tr w:rsidR="003A46F2" w:rsidRPr="00224089" w14:paraId="3D411AC1" w14:textId="77777777" w:rsidTr="006A5DEF">
        <w:tc>
          <w:tcPr>
            <w:tcW w:w="1702" w:type="dxa"/>
            <w:vAlign w:val="center"/>
          </w:tcPr>
          <w:p w14:paraId="4DA87201" w14:textId="77777777" w:rsidR="00F530FE" w:rsidRPr="00224089" w:rsidRDefault="00F530FE" w:rsidP="00F530FE">
            <w:pPr>
              <w:pStyle w:val="NoSpacing"/>
              <w:jc w:val="both"/>
              <w:rPr>
                <w:rFonts w:ascii="Times New Roman" w:hAnsi="Times New Roman" w:cs="Times New Roman"/>
                <w:iCs/>
                <w:sz w:val="24"/>
                <w:szCs w:val="24"/>
                <w:lang w:eastAsia="lv-LV"/>
              </w:rPr>
            </w:pPr>
            <w:r w:rsidRPr="00224089">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14:paraId="522A7CA2" w14:textId="77777777" w:rsidR="00F530FE" w:rsidRPr="00224089" w:rsidRDefault="00F530FE" w:rsidP="00F530FE">
            <w:pPr>
              <w:pStyle w:val="NoSpacing"/>
              <w:rPr>
                <w:rFonts w:ascii="Times New Roman" w:hAnsi="Times New Roman" w:cs="Times New Roman"/>
                <w:iCs/>
                <w:lang w:eastAsia="lv-LV"/>
              </w:rPr>
            </w:pPr>
            <w:r w:rsidRPr="00224089">
              <w:rPr>
                <w:rFonts w:ascii="Times New Roman" w:hAnsi="Times New Roman" w:cs="Times New Roman"/>
                <w:iCs/>
                <w:lang w:eastAsia="lv-LV"/>
              </w:rPr>
              <w:t>X</w:t>
            </w:r>
          </w:p>
        </w:tc>
        <w:tc>
          <w:tcPr>
            <w:tcW w:w="1268" w:type="dxa"/>
            <w:shd w:val="clear" w:color="auto" w:fill="auto"/>
            <w:vAlign w:val="center"/>
          </w:tcPr>
          <w:p w14:paraId="42FC3EC0" w14:textId="22497748" w:rsidR="00F530FE" w:rsidRPr="00224089" w:rsidRDefault="00C80B0B" w:rsidP="00F530FE">
            <w:pPr>
              <w:pStyle w:val="NoSpacing"/>
              <w:rPr>
                <w:rFonts w:ascii="Times New Roman" w:hAnsi="Times New Roman" w:cs="Times New Roman"/>
                <w:iCs/>
                <w:lang w:eastAsia="lv-LV"/>
              </w:rPr>
            </w:pPr>
            <w:r w:rsidRPr="00224089">
              <w:rPr>
                <w:rFonts w:ascii="Times New Roman" w:hAnsi="Times New Roman" w:cs="Times New Roman"/>
                <w:shd w:val="clear" w:color="auto" w:fill="FFFFFF"/>
              </w:rPr>
              <w:t>0</w:t>
            </w:r>
          </w:p>
        </w:tc>
        <w:tc>
          <w:tcPr>
            <w:tcW w:w="1000" w:type="dxa"/>
            <w:vAlign w:val="center"/>
          </w:tcPr>
          <w:p w14:paraId="620014CE" w14:textId="77777777" w:rsidR="00F530FE" w:rsidRPr="00224089" w:rsidRDefault="00F530FE" w:rsidP="00F530FE">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1134" w:type="dxa"/>
            <w:vAlign w:val="center"/>
          </w:tcPr>
          <w:p w14:paraId="382B007F" w14:textId="77777777" w:rsidR="00F530FE" w:rsidRPr="00224089" w:rsidRDefault="00F530FE" w:rsidP="00F530FE">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992" w:type="dxa"/>
            <w:vAlign w:val="center"/>
          </w:tcPr>
          <w:p w14:paraId="64BEE3EC" w14:textId="77777777" w:rsidR="00F530FE" w:rsidRPr="00224089" w:rsidRDefault="00F530FE" w:rsidP="00F530FE">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992" w:type="dxa"/>
            <w:vAlign w:val="center"/>
          </w:tcPr>
          <w:p w14:paraId="0A3AC222" w14:textId="77777777" w:rsidR="00F530FE" w:rsidRPr="00224089" w:rsidRDefault="00F530FE" w:rsidP="00F530FE">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1276" w:type="dxa"/>
            <w:vAlign w:val="center"/>
          </w:tcPr>
          <w:p w14:paraId="0B364D53" w14:textId="77777777" w:rsidR="00F530FE" w:rsidRPr="00224089" w:rsidRDefault="00F530FE" w:rsidP="00F530FE">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r>
      <w:tr w:rsidR="003A46F2" w:rsidRPr="00224089" w14:paraId="4C1CEF67" w14:textId="77777777" w:rsidTr="006936E5">
        <w:tc>
          <w:tcPr>
            <w:tcW w:w="1702" w:type="dxa"/>
            <w:vAlign w:val="center"/>
          </w:tcPr>
          <w:p w14:paraId="05AC4166" w14:textId="77777777" w:rsidR="00F530FE" w:rsidRPr="00224089" w:rsidRDefault="00F530FE" w:rsidP="00F530FE">
            <w:pPr>
              <w:pStyle w:val="NoSpacing"/>
              <w:jc w:val="both"/>
              <w:rPr>
                <w:rFonts w:ascii="Times New Roman" w:hAnsi="Times New Roman" w:cs="Times New Roman"/>
                <w:iCs/>
                <w:sz w:val="24"/>
                <w:szCs w:val="24"/>
                <w:lang w:eastAsia="lv-LV"/>
              </w:rPr>
            </w:pPr>
            <w:r w:rsidRPr="00224089">
              <w:rPr>
                <w:rFonts w:ascii="Times New Roman" w:hAnsi="Times New Roman" w:cs="Times New Roman"/>
                <w:iCs/>
                <w:sz w:val="24"/>
                <w:szCs w:val="24"/>
                <w:lang w:eastAsia="lv-LV"/>
              </w:rPr>
              <w:t>5. Precizēta finansiālā ietekme</w:t>
            </w:r>
          </w:p>
        </w:tc>
        <w:tc>
          <w:tcPr>
            <w:tcW w:w="992" w:type="dxa"/>
            <w:vMerge w:val="restart"/>
            <w:vAlign w:val="center"/>
          </w:tcPr>
          <w:p w14:paraId="3C558D05" w14:textId="77777777" w:rsidR="00F530FE" w:rsidRPr="00224089" w:rsidRDefault="00F530FE" w:rsidP="00F530FE">
            <w:pPr>
              <w:pStyle w:val="NoSpacing"/>
              <w:rPr>
                <w:rFonts w:ascii="Times New Roman" w:hAnsi="Times New Roman" w:cs="Times New Roman"/>
                <w:iCs/>
                <w:lang w:eastAsia="lv-LV"/>
              </w:rPr>
            </w:pPr>
            <w:r w:rsidRPr="00224089">
              <w:rPr>
                <w:rFonts w:ascii="Times New Roman" w:hAnsi="Times New Roman" w:cs="Times New Roman"/>
                <w:iCs/>
                <w:lang w:eastAsia="lv-LV"/>
              </w:rPr>
              <w:t>X</w:t>
            </w:r>
          </w:p>
        </w:tc>
        <w:tc>
          <w:tcPr>
            <w:tcW w:w="1268" w:type="dxa"/>
            <w:vAlign w:val="center"/>
          </w:tcPr>
          <w:p w14:paraId="390FBDAD" w14:textId="2335DE31" w:rsidR="00F530FE" w:rsidRPr="00A80A7E" w:rsidRDefault="00EC56FE" w:rsidP="00F530FE">
            <w:pPr>
              <w:pStyle w:val="NoSpacing"/>
              <w:rPr>
                <w:rFonts w:ascii="Times New Roman" w:hAnsi="Times New Roman" w:cs="Times New Roman"/>
                <w:iCs/>
                <w:lang w:eastAsia="lv-LV"/>
              </w:rPr>
            </w:pPr>
            <w:r w:rsidRPr="00A80A7E">
              <w:rPr>
                <w:rFonts w:ascii="Times New Roman" w:hAnsi="Times New Roman" w:cs="Times New Roman"/>
                <w:iCs/>
                <w:lang w:eastAsia="lv-LV"/>
              </w:rPr>
              <w:t>141 138</w:t>
            </w:r>
          </w:p>
        </w:tc>
        <w:tc>
          <w:tcPr>
            <w:tcW w:w="1000" w:type="dxa"/>
            <w:vMerge w:val="restart"/>
            <w:vAlign w:val="center"/>
          </w:tcPr>
          <w:p w14:paraId="2BEC6CEA" w14:textId="77777777" w:rsidR="00F530FE" w:rsidRPr="00224089" w:rsidRDefault="00F530FE" w:rsidP="00F530FE">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1134" w:type="dxa"/>
            <w:vAlign w:val="center"/>
          </w:tcPr>
          <w:p w14:paraId="281B2965" w14:textId="77777777" w:rsidR="00F530FE" w:rsidRPr="00224089" w:rsidRDefault="00F530FE" w:rsidP="00F530FE">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992" w:type="dxa"/>
            <w:vMerge w:val="restart"/>
            <w:vAlign w:val="center"/>
          </w:tcPr>
          <w:p w14:paraId="350FE01C" w14:textId="77777777" w:rsidR="00F530FE" w:rsidRPr="00224089" w:rsidRDefault="00F530FE" w:rsidP="00F530FE">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992" w:type="dxa"/>
            <w:vAlign w:val="center"/>
          </w:tcPr>
          <w:p w14:paraId="3D155289" w14:textId="77777777" w:rsidR="00F530FE" w:rsidRPr="00224089" w:rsidRDefault="00F530FE" w:rsidP="00F530FE">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1276" w:type="dxa"/>
            <w:vAlign w:val="center"/>
          </w:tcPr>
          <w:p w14:paraId="760C2CBB" w14:textId="77777777" w:rsidR="00F530FE" w:rsidRPr="00224089" w:rsidRDefault="00F530FE" w:rsidP="00F530FE">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r>
      <w:tr w:rsidR="003A46F2" w:rsidRPr="00224089" w14:paraId="22055EB7" w14:textId="77777777" w:rsidTr="006936E5">
        <w:tc>
          <w:tcPr>
            <w:tcW w:w="1702" w:type="dxa"/>
            <w:vAlign w:val="center"/>
          </w:tcPr>
          <w:p w14:paraId="0D192ACC" w14:textId="77777777" w:rsidR="00F530FE" w:rsidRPr="00224089" w:rsidRDefault="00F530FE" w:rsidP="00F530FE">
            <w:pPr>
              <w:pStyle w:val="NoSpacing"/>
              <w:jc w:val="both"/>
              <w:rPr>
                <w:rFonts w:ascii="Times New Roman" w:hAnsi="Times New Roman" w:cs="Times New Roman"/>
                <w:iCs/>
                <w:sz w:val="24"/>
                <w:szCs w:val="24"/>
                <w:lang w:eastAsia="lv-LV"/>
              </w:rPr>
            </w:pPr>
            <w:r w:rsidRPr="00224089">
              <w:rPr>
                <w:rFonts w:ascii="Times New Roman" w:hAnsi="Times New Roman" w:cs="Times New Roman"/>
                <w:iCs/>
                <w:sz w:val="24"/>
                <w:szCs w:val="24"/>
                <w:lang w:eastAsia="lv-LV"/>
              </w:rPr>
              <w:t>5.1. valsts pamatbudžets</w:t>
            </w:r>
          </w:p>
        </w:tc>
        <w:tc>
          <w:tcPr>
            <w:tcW w:w="992" w:type="dxa"/>
            <w:vMerge/>
            <w:vAlign w:val="center"/>
          </w:tcPr>
          <w:p w14:paraId="198B8890" w14:textId="77777777" w:rsidR="00F530FE" w:rsidRPr="00224089" w:rsidRDefault="00F530FE" w:rsidP="00F530FE">
            <w:pPr>
              <w:pStyle w:val="NoSpacing"/>
              <w:rPr>
                <w:rFonts w:ascii="Times New Roman" w:hAnsi="Times New Roman" w:cs="Times New Roman"/>
                <w:iCs/>
                <w:lang w:eastAsia="lv-LV"/>
              </w:rPr>
            </w:pPr>
          </w:p>
        </w:tc>
        <w:tc>
          <w:tcPr>
            <w:tcW w:w="1268" w:type="dxa"/>
            <w:vAlign w:val="center"/>
          </w:tcPr>
          <w:p w14:paraId="1902B57C" w14:textId="5B6CE817" w:rsidR="00F530FE" w:rsidRPr="00A80A7E" w:rsidRDefault="00EC56FE" w:rsidP="00F530FE">
            <w:pPr>
              <w:pStyle w:val="NoSpacing"/>
              <w:rPr>
                <w:rFonts w:ascii="Times New Roman" w:hAnsi="Times New Roman" w:cs="Times New Roman"/>
                <w:iCs/>
                <w:lang w:eastAsia="lv-LV"/>
              </w:rPr>
            </w:pPr>
            <w:r w:rsidRPr="00A80A7E">
              <w:rPr>
                <w:rFonts w:ascii="Times New Roman" w:hAnsi="Times New Roman" w:cs="Times New Roman"/>
                <w:iCs/>
                <w:lang w:eastAsia="lv-LV"/>
              </w:rPr>
              <w:t>141 138</w:t>
            </w:r>
          </w:p>
        </w:tc>
        <w:tc>
          <w:tcPr>
            <w:tcW w:w="1000" w:type="dxa"/>
            <w:vMerge/>
            <w:vAlign w:val="center"/>
          </w:tcPr>
          <w:p w14:paraId="17F9203B" w14:textId="77777777" w:rsidR="00F530FE" w:rsidRPr="00224089" w:rsidRDefault="00F530FE" w:rsidP="00F530FE">
            <w:pPr>
              <w:pStyle w:val="NoSpacing"/>
              <w:rPr>
                <w:rFonts w:ascii="Times New Roman" w:hAnsi="Times New Roman" w:cs="Times New Roman"/>
                <w:iCs/>
                <w:lang w:eastAsia="lv-LV"/>
              </w:rPr>
            </w:pPr>
          </w:p>
        </w:tc>
        <w:tc>
          <w:tcPr>
            <w:tcW w:w="1134" w:type="dxa"/>
            <w:vAlign w:val="center"/>
          </w:tcPr>
          <w:p w14:paraId="4B56242A" w14:textId="77777777" w:rsidR="00F530FE" w:rsidRPr="00224089" w:rsidRDefault="00F530FE" w:rsidP="00F530FE">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992" w:type="dxa"/>
            <w:vMerge/>
            <w:vAlign w:val="center"/>
          </w:tcPr>
          <w:p w14:paraId="42B649F5" w14:textId="77777777" w:rsidR="00F530FE" w:rsidRPr="00224089" w:rsidRDefault="00F530FE" w:rsidP="00F530FE">
            <w:pPr>
              <w:pStyle w:val="NoSpacing"/>
              <w:rPr>
                <w:rFonts w:ascii="Times New Roman" w:hAnsi="Times New Roman" w:cs="Times New Roman"/>
                <w:iCs/>
                <w:lang w:eastAsia="lv-LV"/>
              </w:rPr>
            </w:pPr>
          </w:p>
        </w:tc>
        <w:tc>
          <w:tcPr>
            <w:tcW w:w="992" w:type="dxa"/>
            <w:vAlign w:val="center"/>
          </w:tcPr>
          <w:p w14:paraId="664008A7" w14:textId="77777777" w:rsidR="00F530FE" w:rsidRPr="00224089" w:rsidRDefault="00F530FE" w:rsidP="00F530FE">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1276" w:type="dxa"/>
            <w:vAlign w:val="center"/>
          </w:tcPr>
          <w:p w14:paraId="4198E7E7" w14:textId="77777777" w:rsidR="00F530FE" w:rsidRPr="00224089" w:rsidRDefault="00F530FE" w:rsidP="00F530FE">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r>
      <w:tr w:rsidR="003A46F2" w:rsidRPr="00224089" w14:paraId="4E8751D7" w14:textId="77777777" w:rsidTr="006936E5">
        <w:tc>
          <w:tcPr>
            <w:tcW w:w="1702" w:type="dxa"/>
            <w:vAlign w:val="center"/>
          </w:tcPr>
          <w:p w14:paraId="430F4522" w14:textId="77777777" w:rsidR="00F530FE" w:rsidRPr="00224089" w:rsidRDefault="00F530FE" w:rsidP="00F530FE">
            <w:pPr>
              <w:pStyle w:val="NoSpacing"/>
              <w:jc w:val="both"/>
              <w:rPr>
                <w:rFonts w:ascii="Times New Roman" w:hAnsi="Times New Roman" w:cs="Times New Roman"/>
                <w:iCs/>
                <w:sz w:val="24"/>
                <w:szCs w:val="24"/>
                <w:lang w:eastAsia="lv-LV"/>
              </w:rPr>
            </w:pPr>
            <w:r w:rsidRPr="00224089">
              <w:rPr>
                <w:rFonts w:ascii="Times New Roman" w:hAnsi="Times New Roman" w:cs="Times New Roman"/>
                <w:iCs/>
                <w:sz w:val="24"/>
                <w:szCs w:val="24"/>
                <w:lang w:eastAsia="lv-LV"/>
              </w:rPr>
              <w:t>5.2. speciālais budžets</w:t>
            </w:r>
          </w:p>
        </w:tc>
        <w:tc>
          <w:tcPr>
            <w:tcW w:w="992" w:type="dxa"/>
            <w:vMerge/>
            <w:vAlign w:val="center"/>
          </w:tcPr>
          <w:p w14:paraId="3BDBFB19" w14:textId="77777777" w:rsidR="00F530FE" w:rsidRPr="00224089" w:rsidRDefault="00F530FE" w:rsidP="00F530FE">
            <w:pPr>
              <w:pStyle w:val="NoSpacing"/>
              <w:rPr>
                <w:rFonts w:ascii="Times New Roman" w:hAnsi="Times New Roman" w:cs="Times New Roman"/>
                <w:iCs/>
                <w:lang w:eastAsia="lv-LV"/>
              </w:rPr>
            </w:pPr>
          </w:p>
        </w:tc>
        <w:tc>
          <w:tcPr>
            <w:tcW w:w="1268" w:type="dxa"/>
            <w:vAlign w:val="center"/>
          </w:tcPr>
          <w:p w14:paraId="013CCE72" w14:textId="77777777" w:rsidR="00F530FE" w:rsidRPr="00224089" w:rsidRDefault="00F530FE" w:rsidP="00F530FE">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1000" w:type="dxa"/>
            <w:vMerge/>
            <w:vAlign w:val="center"/>
          </w:tcPr>
          <w:p w14:paraId="14C88F28" w14:textId="77777777" w:rsidR="00F530FE" w:rsidRPr="00224089" w:rsidRDefault="00F530FE" w:rsidP="00F530FE">
            <w:pPr>
              <w:pStyle w:val="NoSpacing"/>
              <w:rPr>
                <w:rFonts w:ascii="Times New Roman" w:hAnsi="Times New Roman" w:cs="Times New Roman"/>
                <w:iCs/>
                <w:lang w:eastAsia="lv-LV"/>
              </w:rPr>
            </w:pPr>
          </w:p>
        </w:tc>
        <w:tc>
          <w:tcPr>
            <w:tcW w:w="1134" w:type="dxa"/>
            <w:vAlign w:val="center"/>
          </w:tcPr>
          <w:p w14:paraId="6D28BDA8" w14:textId="77777777" w:rsidR="00F530FE" w:rsidRPr="00224089" w:rsidRDefault="00F530FE" w:rsidP="00F530FE">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992" w:type="dxa"/>
            <w:vMerge/>
            <w:vAlign w:val="center"/>
          </w:tcPr>
          <w:p w14:paraId="4F00D05A" w14:textId="77777777" w:rsidR="00F530FE" w:rsidRPr="00224089" w:rsidRDefault="00F530FE" w:rsidP="00F530FE">
            <w:pPr>
              <w:pStyle w:val="NoSpacing"/>
              <w:rPr>
                <w:rFonts w:ascii="Times New Roman" w:hAnsi="Times New Roman" w:cs="Times New Roman"/>
                <w:iCs/>
                <w:lang w:eastAsia="lv-LV"/>
              </w:rPr>
            </w:pPr>
          </w:p>
        </w:tc>
        <w:tc>
          <w:tcPr>
            <w:tcW w:w="992" w:type="dxa"/>
            <w:vAlign w:val="center"/>
          </w:tcPr>
          <w:p w14:paraId="6D45E7BB" w14:textId="77777777" w:rsidR="00F530FE" w:rsidRPr="00224089" w:rsidRDefault="00F530FE" w:rsidP="00F530FE">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1276" w:type="dxa"/>
            <w:vAlign w:val="center"/>
          </w:tcPr>
          <w:p w14:paraId="2DD7E560" w14:textId="77777777" w:rsidR="00F530FE" w:rsidRPr="00224089" w:rsidRDefault="00F530FE" w:rsidP="00F530FE">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r>
      <w:tr w:rsidR="003A46F2" w:rsidRPr="00224089" w14:paraId="131B6E2F" w14:textId="77777777" w:rsidTr="006936E5">
        <w:tc>
          <w:tcPr>
            <w:tcW w:w="1702" w:type="dxa"/>
            <w:vAlign w:val="center"/>
          </w:tcPr>
          <w:p w14:paraId="385B8743" w14:textId="77777777" w:rsidR="00F530FE" w:rsidRPr="00224089" w:rsidRDefault="00F530FE" w:rsidP="00F530FE">
            <w:pPr>
              <w:pStyle w:val="NoSpacing"/>
              <w:jc w:val="both"/>
              <w:rPr>
                <w:rFonts w:ascii="Times New Roman" w:hAnsi="Times New Roman" w:cs="Times New Roman"/>
                <w:iCs/>
                <w:sz w:val="24"/>
                <w:szCs w:val="24"/>
                <w:lang w:eastAsia="lv-LV"/>
              </w:rPr>
            </w:pPr>
            <w:r w:rsidRPr="00224089">
              <w:rPr>
                <w:rFonts w:ascii="Times New Roman" w:hAnsi="Times New Roman" w:cs="Times New Roman"/>
                <w:iCs/>
                <w:sz w:val="24"/>
                <w:szCs w:val="24"/>
                <w:lang w:eastAsia="lv-LV"/>
              </w:rPr>
              <w:t>5.3. pašvaldību budžets</w:t>
            </w:r>
          </w:p>
        </w:tc>
        <w:tc>
          <w:tcPr>
            <w:tcW w:w="992" w:type="dxa"/>
            <w:vMerge/>
            <w:vAlign w:val="center"/>
          </w:tcPr>
          <w:p w14:paraId="2A60ED3B" w14:textId="77777777" w:rsidR="00F530FE" w:rsidRPr="00224089" w:rsidRDefault="00F530FE" w:rsidP="00F530FE">
            <w:pPr>
              <w:pStyle w:val="NoSpacing"/>
              <w:rPr>
                <w:rFonts w:ascii="Times New Roman" w:hAnsi="Times New Roman" w:cs="Times New Roman"/>
                <w:iCs/>
                <w:lang w:eastAsia="lv-LV"/>
              </w:rPr>
            </w:pPr>
          </w:p>
        </w:tc>
        <w:tc>
          <w:tcPr>
            <w:tcW w:w="1268" w:type="dxa"/>
            <w:vAlign w:val="center"/>
          </w:tcPr>
          <w:p w14:paraId="6379CCBE" w14:textId="77777777" w:rsidR="00F530FE" w:rsidRPr="00224089" w:rsidRDefault="00F530FE" w:rsidP="00F530FE">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1000" w:type="dxa"/>
            <w:vMerge/>
            <w:vAlign w:val="center"/>
          </w:tcPr>
          <w:p w14:paraId="52B08CD5" w14:textId="77777777" w:rsidR="00F530FE" w:rsidRPr="00224089" w:rsidRDefault="00F530FE" w:rsidP="00F530FE">
            <w:pPr>
              <w:pStyle w:val="NoSpacing"/>
              <w:rPr>
                <w:rFonts w:ascii="Times New Roman" w:hAnsi="Times New Roman" w:cs="Times New Roman"/>
                <w:iCs/>
                <w:lang w:eastAsia="lv-LV"/>
              </w:rPr>
            </w:pPr>
          </w:p>
        </w:tc>
        <w:tc>
          <w:tcPr>
            <w:tcW w:w="1134" w:type="dxa"/>
            <w:vAlign w:val="center"/>
          </w:tcPr>
          <w:p w14:paraId="5A17B23A" w14:textId="77777777" w:rsidR="00F530FE" w:rsidRPr="00224089" w:rsidRDefault="00F530FE" w:rsidP="00F530FE">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992" w:type="dxa"/>
            <w:vMerge/>
            <w:vAlign w:val="center"/>
          </w:tcPr>
          <w:p w14:paraId="5A1D35A8" w14:textId="77777777" w:rsidR="00F530FE" w:rsidRPr="00224089" w:rsidRDefault="00F530FE" w:rsidP="00F530FE">
            <w:pPr>
              <w:pStyle w:val="NoSpacing"/>
              <w:rPr>
                <w:rFonts w:ascii="Times New Roman" w:hAnsi="Times New Roman" w:cs="Times New Roman"/>
                <w:iCs/>
                <w:lang w:eastAsia="lv-LV"/>
              </w:rPr>
            </w:pPr>
          </w:p>
        </w:tc>
        <w:tc>
          <w:tcPr>
            <w:tcW w:w="992" w:type="dxa"/>
            <w:vAlign w:val="center"/>
          </w:tcPr>
          <w:p w14:paraId="2DA05F06" w14:textId="77777777" w:rsidR="00F530FE" w:rsidRPr="00224089" w:rsidRDefault="00F530FE" w:rsidP="00F530FE">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c>
          <w:tcPr>
            <w:tcW w:w="1276" w:type="dxa"/>
            <w:vAlign w:val="center"/>
          </w:tcPr>
          <w:p w14:paraId="7C6A3FB8" w14:textId="77777777" w:rsidR="00F530FE" w:rsidRPr="00224089" w:rsidRDefault="00F530FE" w:rsidP="00F530FE">
            <w:pPr>
              <w:pStyle w:val="NoSpacing"/>
              <w:rPr>
                <w:rFonts w:ascii="Times New Roman" w:hAnsi="Times New Roman" w:cs="Times New Roman"/>
                <w:iCs/>
                <w:lang w:eastAsia="lv-LV"/>
              </w:rPr>
            </w:pPr>
            <w:r w:rsidRPr="00224089">
              <w:rPr>
                <w:rFonts w:ascii="Times New Roman" w:hAnsi="Times New Roman" w:cs="Times New Roman"/>
                <w:iCs/>
                <w:lang w:eastAsia="lv-LV"/>
              </w:rPr>
              <w:t>0</w:t>
            </w:r>
          </w:p>
        </w:tc>
      </w:tr>
      <w:tr w:rsidR="003A46F2" w:rsidRPr="00224089" w14:paraId="711961B0" w14:textId="77777777" w:rsidTr="009547D2">
        <w:tc>
          <w:tcPr>
            <w:tcW w:w="1702" w:type="dxa"/>
            <w:vAlign w:val="center"/>
          </w:tcPr>
          <w:p w14:paraId="1E5EA9C3" w14:textId="77777777" w:rsidR="00F530FE" w:rsidRPr="00224089" w:rsidRDefault="00F530FE" w:rsidP="00F530FE">
            <w:pPr>
              <w:pStyle w:val="NoSpacing"/>
              <w:jc w:val="both"/>
              <w:rPr>
                <w:rFonts w:ascii="Times New Roman" w:hAnsi="Times New Roman" w:cs="Times New Roman"/>
                <w:iCs/>
                <w:sz w:val="24"/>
                <w:szCs w:val="24"/>
                <w:lang w:eastAsia="lv-LV"/>
              </w:rPr>
            </w:pPr>
            <w:r w:rsidRPr="00224089">
              <w:rPr>
                <w:rFonts w:ascii="Times New Roman" w:hAnsi="Times New Roman" w:cs="Times New Roman"/>
                <w:iCs/>
                <w:sz w:val="24"/>
                <w:szCs w:val="24"/>
                <w:lang w:eastAsia="lv-LV"/>
              </w:rPr>
              <w:t xml:space="preserve">6. Detalizēts ieņēmumu un izdevumu aprēķins (ja nepieciešams, detalizētu ieņēmumu un </w:t>
            </w:r>
            <w:r w:rsidRPr="00224089">
              <w:rPr>
                <w:rFonts w:ascii="Times New Roman" w:hAnsi="Times New Roman" w:cs="Times New Roman"/>
                <w:iCs/>
                <w:sz w:val="24"/>
                <w:szCs w:val="24"/>
                <w:lang w:eastAsia="lv-LV"/>
              </w:rPr>
              <w:lastRenderedPageBreak/>
              <w:t>izdevumu aprēķinu var pievienot anotācijas pielikumā)</w:t>
            </w:r>
          </w:p>
        </w:tc>
        <w:tc>
          <w:tcPr>
            <w:tcW w:w="7654" w:type="dxa"/>
            <w:gridSpan w:val="7"/>
            <w:vMerge w:val="restart"/>
            <w:shd w:val="clear" w:color="auto" w:fill="auto"/>
          </w:tcPr>
          <w:p w14:paraId="72414639" w14:textId="5F535EE8" w:rsidR="00DD555B" w:rsidRPr="00224089" w:rsidRDefault="003A46F2" w:rsidP="003A46F2">
            <w:pPr>
              <w:shd w:val="clear" w:color="auto" w:fill="FFFFFF"/>
              <w:spacing w:before="100" w:beforeAutospacing="1" w:after="100" w:afterAutospacing="1" w:line="293" w:lineRule="atLeast"/>
              <w:ind w:firstLine="300"/>
              <w:jc w:val="both"/>
            </w:pPr>
            <w:r w:rsidRPr="00224089">
              <w:lastRenderedPageBreak/>
              <w:t>Rīkojumu projekts paredz atbilstoši likuma “</w:t>
            </w:r>
            <w:hyperlink r:id="rId12" w:tgtFrame="_blank" w:history="1">
              <w:r w:rsidRPr="00224089">
                <w:t>Par valsts budžetu 202</w:t>
              </w:r>
              <w:r w:rsidR="00BE6775" w:rsidRPr="00224089">
                <w:t>1</w:t>
              </w:r>
              <w:r w:rsidRPr="00224089">
                <w:t>. gadam</w:t>
              </w:r>
            </w:hyperlink>
            <w:r w:rsidRPr="00224089">
              <w:t>” </w:t>
            </w:r>
            <w:hyperlink r:id="rId13" w:anchor="p42" w:tgtFrame="_blank" w:history="1">
              <w:r w:rsidRPr="00224089">
                <w:t>44. panta</w:t>
              </w:r>
            </w:hyperlink>
            <w:r w:rsidRPr="00224089">
              <w:t xml:space="preserve"> otrajai un trešajai daļai atbalstīt apropriācijas palielināšanu Veselības ministrijai resursiem no dotācijas no vispārējiem ieņēmumiem un izdevumiem programmā 97.00.00 “Nozares vadība un politikas plānošana” </w:t>
            </w:r>
            <w:r w:rsidR="00BE6775" w:rsidRPr="00224089">
              <w:rPr>
                <w:iCs/>
              </w:rPr>
              <w:t>128</w:t>
            </w:r>
            <w:r w:rsidR="00EB523D">
              <w:rPr>
                <w:iCs/>
              </w:rPr>
              <w:t> </w:t>
            </w:r>
            <w:r w:rsidR="00BE6775" w:rsidRPr="00224089">
              <w:rPr>
                <w:iCs/>
              </w:rPr>
              <w:t>11</w:t>
            </w:r>
            <w:r w:rsidR="00EB523D">
              <w:rPr>
                <w:iCs/>
              </w:rPr>
              <w:t xml:space="preserve">2 </w:t>
            </w:r>
            <w:proofErr w:type="spellStart"/>
            <w:r w:rsidRPr="00224089">
              <w:rPr>
                <w:i/>
                <w:iCs/>
              </w:rPr>
              <w:t>euro</w:t>
            </w:r>
            <w:proofErr w:type="spellEnd"/>
            <w:r w:rsidRPr="00224089">
              <w:t xml:space="preserve"> apmērā, lai nodrošinātu finansējumu kapitālieguldījumiem </w:t>
            </w:r>
            <w:r w:rsidRPr="00224089">
              <w:lastRenderedPageBreak/>
              <w:t xml:space="preserve">valsts nekustamajā īpašumā </w:t>
            </w:r>
            <w:r w:rsidR="00BE6775" w:rsidRPr="00224089">
              <w:t xml:space="preserve">Sēlpils </w:t>
            </w:r>
            <w:r w:rsidRPr="00224089">
              <w:t xml:space="preserve">ielā </w:t>
            </w:r>
            <w:r w:rsidR="00BE6775" w:rsidRPr="00224089">
              <w:t>9</w:t>
            </w:r>
            <w:r w:rsidRPr="00224089">
              <w:t>, Rīgā</w:t>
            </w:r>
            <w:r w:rsidR="0096116B" w:rsidRPr="00224089">
              <w:t xml:space="preserve"> (nekustamā īpašuma kadastra Nr. </w:t>
            </w:r>
            <w:r w:rsidR="00BE6775" w:rsidRPr="00224089">
              <w:t>01000642025</w:t>
            </w:r>
            <w:r w:rsidR="0096116B" w:rsidRPr="00224089">
              <w:t>)</w:t>
            </w:r>
            <w:r w:rsidRPr="00224089">
              <w:t>.</w:t>
            </w:r>
          </w:p>
          <w:p w14:paraId="6049FC18" w14:textId="77777777" w:rsidR="00DD555B" w:rsidRPr="00224089" w:rsidRDefault="00DD555B" w:rsidP="00DD555B">
            <w:pPr>
              <w:ind w:left="78" w:right="71" w:firstLine="362"/>
              <w:jc w:val="both"/>
              <w:rPr>
                <w:u w:val="single"/>
              </w:rPr>
            </w:pPr>
            <w:r w:rsidRPr="00224089">
              <w:t>Saskaņā ar Ministru kabineta 2011.gada 1.februāra noteikumu Nr.109 “Kārtība, kādā atsavināma publiskas personas manta” 36. un 37.punktu ieņēmumu un izdevumu aprēķins: pirkuma summa (realizācijas cena) – atsavināšanas izdevumi (50% no realizācijas cenas) = atlikušo summu pārskaita budžetā.</w:t>
            </w:r>
          </w:p>
          <w:p w14:paraId="115902C2" w14:textId="4FD4FAAA" w:rsidR="00DD555B" w:rsidRPr="00224089" w:rsidRDefault="00DD555B" w:rsidP="00DD555B">
            <w:pPr>
              <w:ind w:left="78" w:right="71" w:firstLine="362"/>
              <w:jc w:val="both"/>
              <w:rPr>
                <w:u w:val="single"/>
              </w:rPr>
            </w:pPr>
            <w:r w:rsidRPr="00224089">
              <w:rPr>
                <w:bCs/>
                <w:lang w:eastAsia="en-US"/>
              </w:rPr>
              <w:t>Nekustam</w:t>
            </w:r>
            <w:r w:rsidR="00B45713" w:rsidRPr="00224089">
              <w:rPr>
                <w:bCs/>
                <w:lang w:eastAsia="en-US"/>
              </w:rPr>
              <w:t>o</w:t>
            </w:r>
            <w:r w:rsidRPr="00224089">
              <w:rPr>
                <w:bCs/>
                <w:lang w:eastAsia="en-US"/>
              </w:rPr>
              <w:t xml:space="preserve"> īpašum</w:t>
            </w:r>
            <w:r w:rsidR="00B45713" w:rsidRPr="00224089">
              <w:rPr>
                <w:bCs/>
                <w:lang w:eastAsia="en-US"/>
              </w:rPr>
              <w:t>u</w:t>
            </w:r>
            <w:r w:rsidRPr="00224089">
              <w:rPr>
                <w:lang w:eastAsia="en-US"/>
              </w:rPr>
              <w:t xml:space="preserve"> realizācijas cena </w:t>
            </w:r>
            <w:r w:rsidR="00B45713" w:rsidRPr="00224089">
              <w:rPr>
                <w:lang w:eastAsia="en-US"/>
              </w:rPr>
              <w:t xml:space="preserve">( 538 500 </w:t>
            </w:r>
            <w:proofErr w:type="spellStart"/>
            <w:r w:rsidR="00B45713" w:rsidRPr="00224089">
              <w:rPr>
                <w:i/>
                <w:iCs/>
                <w:lang w:eastAsia="en-US"/>
              </w:rPr>
              <w:t>euro</w:t>
            </w:r>
            <w:proofErr w:type="spellEnd"/>
            <w:r w:rsidR="00B45713" w:rsidRPr="00224089">
              <w:rPr>
                <w:lang w:eastAsia="en-US"/>
              </w:rPr>
              <w:t xml:space="preserve">) </w:t>
            </w:r>
            <w:r w:rsidRPr="00224089">
              <w:rPr>
                <w:lang w:eastAsia="en-US"/>
              </w:rPr>
              <w:t>–</w:t>
            </w:r>
            <w:r w:rsidR="00F47A9F" w:rsidRPr="00224089">
              <w:rPr>
                <w:lang w:eastAsia="en-US"/>
              </w:rPr>
              <w:t xml:space="preserve"> </w:t>
            </w:r>
            <w:r w:rsidR="009D0E21" w:rsidRPr="00224089">
              <w:rPr>
                <w:iCs/>
                <w:lang w:eastAsia="en-US"/>
              </w:rPr>
              <w:t>atsavināšanas izdevumi (</w:t>
            </w:r>
            <w:r w:rsidR="00BE6775" w:rsidRPr="00224089">
              <w:rPr>
                <w:lang w:eastAsia="en-US"/>
              </w:rPr>
              <w:t>269 250</w:t>
            </w:r>
            <w:r w:rsidR="008B2B4E" w:rsidRPr="00224089">
              <w:rPr>
                <w:lang w:eastAsia="en-US"/>
              </w:rPr>
              <w:t xml:space="preserve"> </w:t>
            </w:r>
            <w:proofErr w:type="spellStart"/>
            <w:r w:rsidR="008B2B4E" w:rsidRPr="00224089">
              <w:rPr>
                <w:i/>
                <w:iCs/>
                <w:lang w:eastAsia="en-US"/>
              </w:rPr>
              <w:t>euro</w:t>
            </w:r>
            <w:proofErr w:type="spellEnd"/>
            <w:r w:rsidR="009D0E21" w:rsidRPr="00224089">
              <w:rPr>
                <w:lang w:eastAsia="en-US"/>
              </w:rPr>
              <w:t>) =</w:t>
            </w:r>
            <w:r w:rsidRPr="00224089">
              <w:rPr>
                <w:iCs/>
                <w:lang w:eastAsia="en-US"/>
              </w:rPr>
              <w:t xml:space="preserve"> </w:t>
            </w:r>
            <w:r w:rsidRPr="00224089">
              <w:rPr>
                <w:lang w:eastAsia="en-US"/>
              </w:rPr>
              <w:t xml:space="preserve">līdzekļi, </w:t>
            </w:r>
            <w:r w:rsidR="009D0E21" w:rsidRPr="00224089">
              <w:rPr>
                <w:lang w:eastAsia="en-US"/>
              </w:rPr>
              <w:t xml:space="preserve">ko </w:t>
            </w:r>
            <w:r w:rsidR="009D0E21" w:rsidRPr="00224089">
              <w:t>pārskaita budžetā</w:t>
            </w:r>
            <w:r w:rsidRPr="00224089">
              <w:rPr>
                <w:iCs/>
                <w:lang w:eastAsia="en-US"/>
              </w:rPr>
              <w:t xml:space="preserve"> </w:t>
            </w:r>
            <w:r w:rsidR="009D0E21" w:rsidRPr="00224089">
              <w:rPr>
                <w:lang w:eastAsia="en-US"/>
              </w:rPr>
              <w:t xml:space="preserve">(269 250 </w:t>
            </w:r>
            <w:proofErr w:type="spellStart"/>
            <w:r w:rsidR="009D0E21" w:rsidRPr="00224089">
              <w:rPr>
                <w:i/>
                <w:iCs/>
                <w:lang w:eastAsia="en-US"/>
              </w:rPr>
              <w:t>euro</w:t>
            </w:r>
            <w:proofErr w:type="spellEnd"/>
            <w:r w:rsidR="009D0E21" w:rsidRPr="00224089">
              <w:rPr>
                <w:lang w:eastAsia="en-US"/>
              </w:rPr>
              <w:t>)</w:t>
            </w:r>
            <w:r w:rsidRPr="00224089">
              <w:rPr>
                <w:lang w:eastAsia="en-US"/>
              </w:rPr>
              <w:t>.</w:t>
            </w:r>
          </w:p>
          <w:p w14:paraId="1ECB7E62" w14:textId="769C537A" w:rsidR="00DD555B" w:rsidRPr="00224089" w:rsidRDefault="00DD555B" w:rsidP="00DD555B">
            <w:pPr>
              <w:ind w:left="78" w:right="71" w:firstLine="362"/>
              <w:jc w:val="both"/>
              <w:rPr>
                <w:iCs/>
                <w:lang w:eastAsia="en-US"/>
              </w:rPr>
            </w:pPr>
            <w:r w:rsidRPr="00224089">
              <w:rPr>
                <w:lang w:eastAsia="en-US"/>
              </w:rPr>
              <w:t>Valsts pamatbudžeta ieņēmumu kontā ieskait</w:t>
            </w:r>
            <w:r w:rsidRPr="00224089">
              <w:rPr>
                <w:iCs/>
                <w:lang w:eastAsia="en-US"/>
              </w:rPr>
              <w:t xml:space="preserve">īti </w:t>
            </w:r>
            <w:r w:rsidR="00B45713" w:rsidRPr="00224089">
              <w:rPr>
                <w:iCs/>
                <w:lang w:eastAsia="en-US"/>
              </w:rPr>
              <w:t>269 250</w:t>
            </w:r>
            <w:r w:rsidR="008B2B4E" w:rsidRPr="00224089">
              <w:rPr>
                <w:iCs/>
                <w:lang w:eastAsia="en-US"/>
              </w:rPr>
              <w:t xml:space="preserve"> </w:t>
            </w:r>
            <w:proofErr w:type="spellStart"/>
            <w:r w:rsidR="008B2B4E" w:rsidRPr="00224089">
              <w:rPr>
                <w:i/>
                <w:lang w:eastAsia="en-US"/>
              </w:rPr>
              <w:t>euro</w:t>
            </w:r>
            <w:proofErr w:type="spellEnd"/>
            <w:r w:rsidRPr="00224089">
              <w:rPr>
                <w:i/>
                <w:iCs/>
                <w:lang w:eastAsia="en-US"/>
              </w:rPr>
              <w:t xml:space="preserve">, </w:t>
            </w:r>
            <w:r w:rsidRPr="00224089">
              <w:rPr>
                <w:iCs/>
                <w:lang w:eastAsia="en-US"/>
              </w:rPr>
              <w:t xml:space="preserve">no kuriem </w:t>
            </w:r>
            <w:r w:rsidRPr="00224089">
              <w:rPr>
                <w:lang w:eastAsia="en-US"/>
              </w:rPr>
              <w:t xml:space="preserve">ministrijai 50 procentu apmērā </w:t>
            </w:r>
            <w:r w:rsidR="008B2B4E" w:rsidRPr="00224089">
              <w:rPr>
                <w:lang w:eastAsia="en-US"/>
              </w:rPr>
              <w:t xml:space="preserve">(t.i. </w:t>
            </w:r>
            <w:r w:rsidR="006C64C4" w:rsidRPr="00224089">
              <w:rPr>
                <w:lang w:eastAsia="en-US"/>
              </w:rPr>
              <w:t>134 625</w:t>
            </w:r>
            <w:r w:rsidR="008B2B4E" w:rsidRPr="00224089">
              <w:rPr>
                <w:lang w:eastAsia="en-US"/>
              </w:rPr>
              <w:t xml:space="preserve"> </w:t>
            </w:r>
            <w:proofErr w:type="spellStart"/>
            <w:r w:rsidR="008B2B4E" w:rsidRPr="00224089">
              <w:rPr>
                <w:i/>
                <w:iCs/>
                <w:lang w:eastAsia="en-US"/>
              </w:rPr>
              <w:t>euro</w:t>
            </w:r>
            <w:proofErr w:type="spellEnd"/>
            <w:r w:rsidR="008B2B4E" w:rsidRPr="00224089">
              <w:rPr>
                <w:lang w:eastAsia="en-US"/>
              </w:rPr>
              <w:t xml:space="preserve"> apmērā) </w:t>
            </w:r>
            <w:r w:rsidRPr="00224089">
              <w:rPr>
                <w:lang w:eastAsia="en-US"/>
              </w:rPr>
              <w:t xml:space="preserve">var palielināt apropriāciju resursiem no dotācijas no </w:t>
            </w:r>
            <w:r w:rsidRPr="00224089">
              <w:rPr>
                <w:iCs/>
                <w:lang w:eastAsia="en-US"/>
              </w:rPr>
              <w:t>vispārējiem ieņēmumiem un izdevumiem.</w:t>
            </w:r>
          </w:p>
          <w:p w14:paraId="220065D6" w14:textId="65E6B59E" w:rsidR="007F7D5A" w:rsidRPr="00224089" w:rsidRDefault="00DD555B" w:rsidP="003A46F2">
            <w:pPr>
              <w:ind w:left="78" w:right="71" w:firstLine="362"/>
              <w:jc w:val="both"/>
              <w:rPr>
                <w:lang w:eastAsia="en-US"/>
              </w:rPr>
            </w:pPr>
            <w:r w:rsidRPr="00224089">
              <w:rPr>
                <w:lang w:eastAsia="en-US"/>
              </w:rPr>
              <w:t xml:space="preserve">Līdzekļus no nekustamā īpašuma pārdošanas plānots ieguldīt kapitālieguldījumiem </w:t>
            </w:r>
            <w:r w:rsidR="003A46F2" w:rsidRPr="00224089">
              <w:rPr>
                <w:lang w:eastAsia="en-US"/>
              </w:rPr>
              <w:t xml:space="preserve">ēkā </w:t>
            </w:r>
            <w:r w:rsidR="006C64C4" w:rsidRPr="00224089">
              <w:rPr>
                <w:lang w:eastAsia="en-US"/>
              </w:rPr>
              <w:t xml:space="preserve">Sēlpils </w:t>
            </w:r>
            <w:r w:rsidR="003A46F2" w:rsidRPr="00224089">
              <w:rPr>
                <w:lang w:eastAsia="en-US"/>
              </w:rPr>
              <w:t xml:space="preserve">ielā </w:t>
            </w:r>
            <w:r w:rsidR="006C64C4" w:rsidRPr="00224089">
              <w:rPr>
                <w:lang w:eastAsia="en-US"/>
              </w:rPr>
              <w:t>9</w:t>
            </w:r>
            <w:r w:rsidR="003A46F2" w:rsidRPr="00224089">
              <w:rPr>
                <w:lang w:eastAsia="en-US"/>
              </w:rPr>
              <w:t xml:space="preserve">, Rīgā (Veselības </w:t>
            </w:r>
            <w:r w:rsidRPr="00224089">
              <w:rPr>
                <w:lang w:eastAsia="en-US"/>
              </w:rPr>
              <w:t xml:space="preserve">ministrijas </w:t>
            </w:r>
            <w:r w:rsidR="003A46F2" w:rsidRPr="00224089">
              <w:rPr>
                <w:lang w:eastAsia="en-US"/>
              </w:rPr>
              <w:t xml:space="preserve">īpašums), kurā atrodas </w:t>
            </w:r>
            <w:r w:rsidR="006C64C4" w:rsidRPr="00224089">
              <w:rPr>
                <w:lang w:eastAsia="en-US"/>
              </w:rPr>
              <w:t>Valsts asinsdonoru centrs</w:t>
            </w:r>
            <w:r w:rsidR="003A46F2" w:rsidRPr="00224089">
              <w:rPr>
                <w:lang w:eastAsia="en-US"/>
              </w:rPr>
              <w:t xml:space="preserve">,  avārijas stāvoklī esošās </w:t>
            </w:r>
            <w:r w:rsidR="006C64C4" w:rsidRPr="00224089">
              <w:rPr>
                <w:lang w:eastAsia="en-US"/>
              </w:rPr>
              <w:t xml:space="preserve">elektroapgādes renovācijai </w:t>
            </w:r>
            <w:r w:rsidR="00925151" w:rsidRPr="00224089">
              <w:rPr>
                <w:lang w:eastAsia="en-US"/>
              </w:rPr>
              <w:t>(pamatkapitāla veidošana EKK 5000)</w:t>
            </w:r>
            <w:r w:rsidR="003A46F2" w:rsidRPr="00224089">
              <w:rPr>
                <w:lang w:eastAsia="en-US"/>
              </w:rPr>
              <w:t>.</w:t>
            </w:r>
          </w:p>
          <w:p w14:paraId="3BD46E00" w14:textId="06DC2AF6" w:rsidR="00FB3A66" w:rsidRPr="00224089" w:rsidRDefault="00FB3A66" w:rsidP="003A46F2">
            <w:pPr>
              <w:ind w:left="78" w:right="71" w:firstLine="362"/>
              <w:jc w:val="both"/>
              <w:rPr>
                <w:lang w:eastAsia="en-US"/>
              </w:rPr>
            </w:pPr>
            <w:r w:rsidRPr="00224089">
              <w:rPr>
                <w:lang w:eastAsia="en-US"/>
              </w:rPr>
              <w:t xml:space="preserve">Provizorisko izmaksu aprēķins/piedāvājums </w:t>
            </w:r>
            <w:r w:rsidR="006C64C4" w:rsidRPr="00224089">
              <w:rPr>
                <w:lang w:eastAsia="en-US"/>
              </w:rPr>
              <w:t>Valsts asinsdonoru centra</w:t>
            </w:r>
            <w:r w:rsidRPr="00224089">
              <w:rPr>
                <w:lang w:eastAsia="en-US"/>
              </w:rPr>
              <w:t xml:space="preserve">, </w:t>
            </w:r>
            <w:r w:rsidR="006C64C4" w:rsidRPr="00224089">
              <w:rPr>
                <w:lang w:eastAsia="en-US"/>
              </w:rPr>
              <w:t xml:space="preserve">Sēlpils </w:t>
            </w:r>
            <w:r w:rsidRPr="00224089">
              <w:rPr>
                <w:lang w:eastAsia="en-US"/>
              </w:rPr>
              <w:t xml:space="preserve">iela </w:t>
            </w:r>
            <w:r w:rsidR="006C64C4" w:rsidRPr="00224089">
              <w:rPr>
                <w:lang w:eastAsia="en-US"/>
              </w:rPr>
              <w:t>9</w:t>
            </w:r>
            <w:r w:rsidRPr="00224089">
              <w:rPr>
                <w:lang w:eastAsia="en-US"/>
              </w:rPr>
              <w:t xml:space="preserve">, </w:t>
            </w:r>
            <w:r w:rsidR="006C64C4" w:rsidRPr="00224089">
              <w:rPr>
                <w:lang w:eastAsia="en-US"/>
              </w:rPr>
              <w:t>elektroapgādes renovācijas</w:t>
            </w:r>
            <w:r w:rsidRPr="00224089">
              <w:rPr>
                <w:lang w:eastAsia="en-US"/>
              </w:rPr>
              <w:t xml:space="preserve"> darbiem</w:t>
            </w:r>
            <w:r w:rsidR="00342DAE" w:rsidRPr="00224089">
              <w:rPr>
                <w:lang w:eastAsia="en-US"/>
              </w:rPr>
              <w:t>:</w:t>
            </w:r>
          </w:p>
          <w:tbl>
            <w:tblPr>
              <w:tblW w:w="7572" w:type="dxa"/>
              <w:tblLayout w:type="fixed"/>
              <w:tblLook w:val="04A0" w:firstRow="1" w:lastRow="0" w:firstColumn="1" w:lastColumn="0" w:noHBand="0" w:noVBand="1"/>
            </w:tblPr>
            <w:tblGrid>
              <w:gridCol w:w="534"/>
              <w:gridCol w:w="5005"/>
              <w:gridCol w:w="1787"/>
              <w:gridCol w:w="246"/>
            </w:tblGrid>
            <w:tr w:rsidR="00342DAE" w:rsidRPr="00224089" w14:paraId="095C618B" w14:textId="77777777" w:rsidTr="00480A65">
              <w:trPr>
                <w:gridAfter w:val="1"/>
                <w:wAfter w:w="246" w:type="dxa"/>
                <w:trHeight w:val="458"/>
              </w:trPr>
              <w:tc>
                <w:tcPr>
                  <w:tcW w:w="5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D29648B" w14:textId="77777777" w:rsidR="00342DAE" w:rsidRPr="00224089" w:rsidRDefault="00342DAE" w:rsidP="00342DAE">
                  <w:pPr>
                    <w:jc w:val="center"/>
                    <w:rPr>
                      <w:sz w:val="20"/>
                      <w:szCs w:val="20"/>
                    </w:rPr>
                  </w:pPr>
                  <w:proofErr w:type="spellStart"/>
                  <w:r w:rsidRPr="00224089">
                    <w:rPr>
                      <w:sz w:val="20"/>
                      <w:szCs w:val="20"/>
                    </w:rPr>
                    <w:t>N.p.k</w:t>
                  </w:r>
                  <w:proofErr w:type="spellEnd"/>
                  <w:r w:rsidRPr="00224089">
                    <w:rPr>
                      <w:sz w:val="20"/>
                      <w:szCs w:val="20"/>
                    </w:rPr>
                    <w:t>.</w:t>
                  </w:r>
                </w:p>
              </w:tc>
              <w:tc>
                <w:tcPr>
                  <w:tcW w:w="500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8030867" w14:textId="131C73A4" w:rsidR="00342DAE" w:rsidRPr="00224089" w:rsidRDefault="00342DAE" w:rsidP="00342DAE">
                  <w:pPr>
                    <w:jc w:val="center"/>
                    <w:rPr>
                      <w:sz w:val="20"/>
                      <w:szCs w:val="20"/>
                    </w:rPr>
                  </w:pPr>
                  <w:r w:rsidRPr="00224089">
                    <w:rPr>
                      <w:sz w:val="20"/>
                      <w:szCs w:val="20"/>
                    </w:rPr>
                    <w:t>Darba nosaukums</w:t>
                  </w:r>
                </w:p>
              </w:tc>
              <w:tc>
                <w:tcPr>
                  <w:tcW w:w="17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664470" w14:textId="525F3730" w:rsidR="00342DAE" w:rsidRPr="00224089" w:rsidRDefault="00342DAE" w:rsidP="00342DAE">
                  <w:pPr>
                    <w:jc w:val="center"/>
                    <w:rPr>
                      <w:sz w:val="20"/>
                      <w:szCs w:val="20"/>
                    </w:rPr>
                  </w:pPr>
                  <w:r w:rsidRPr="00224089">
                    <w:rPr>
                      <w:sz w:val="20"/>
                      <w:szCs w:val="20"/>
                    </w:rPr>
                    <w:t>Darba izmaksas (</w:t>
                  </w:r>
                  <w:proofErr w:type="spellStart"/>
                  <w:r w:rsidRPr="00224089">
                    <w:rPr>
                      <w:sz w:val="20"/>
                      <w:szCs w:val="20"/>
                    </w:rPr>
                    <w:t>Euro</w:t>
                  </w:r>
                  <w:proofErr w:type="spellEnd"/>
                  <w:r w:rsidRPr="00224089">
                    <w:rPr>
                      <w:sz w:val="20"/>
                      <w:szCs w:val="20"/>
                    </w:rPr>
                    <w:t>)</w:t>
                  </w:r>
                </w:p>
              </w:tc>
            </w:tr>
            <w:tr w:rsidR="00342DAE" w:rsidRPr="00224089" w14:paraId="00DD9F3C" w14:textId="77777777" w:rsidTr="00480A65">
              <w:trPr>
                <w:trHeight w:val="299"/>
              </w:trPr>
              <w:tc>
                <w:tcPr>
                  <w:tcW w:w="534" w:type="dxa"/>
                  <w:vMerge/>
                  <w:tcBorders>
                    <w:top w:val="single" w:sz="4" w:space="0" w:color="auto"/>
                    <w:left w:val="single" w:sz="4" w:space="0" w:color="auto"/>
                    <w:bottom w:val="single" w:sz="4" w:space="0" w:color="000000"/>
                    <w:right w:val="single" w:sz="4" w:space="0" w:color="auto"/>
                  </w:tcBorders>
                  <w:vAlign w:val="center"/>
                  <w:hideMark/>
                </w:tcPr>
                <w:p w14:paraId="3816D7B4" w14:textId="77777777" w:rsidR="00342DAE" w:rsidRPr="00224089" w:rsidRDefault="00342DAE" w:rsidP="00342DAE">
                  <w:pPr>
                    <w:rPr>
                      <w:sz w:val="20"/>
                      <w:szCs w:val="20"/>
                    </w:rPr>
                  </w:pPr>
                </w:p>
              </w:tc>
              <w:tc>
                <w:tcPr>
                  <w:tcW w:w="5005" w:type="dxa"/>
                  <w:vMerge/>
                  <w:tcBorders>
                    <w:top w:val="single" w:sz="4" w:space="0" w:color="auto"/>
                    <w:left w:val="single" w:sz="4" w:space="0" w:color="auto"/>
                    <w:bottom w:val="single" w:sz="4" w:space="0" w:color="000000"/>
                    <w:right w:val="single" w:sz="4" w:space="0" w:color="auto"/>
                  </w:tcBorders>
                  <w:vAlign w:val="center"/>
                  <w:hideMark/>
                </w:tcPr>
                <w:p w14:paraId="5F5DF5CC" w14:textId="77777777" w:rsidR="00342DAE" w:rsidRPr="00224089" w:rsidRDefault="00342DAE" w:rsidP="00342DAE">
                  <w:pPr>
                    <w:rPr>
                      <w:sz w:val="20"/>
                      <w:szCs w:val="20"/>
                    </w:rPr>
                  </w:pPr>
                </w:p>
              </w:tc>
              <w:tc>
                <w:tcPr>
                  <w:tcW w:w="1787" w:type="dxa"/>
                  <w:vMerge/>
                  <w:tcBorders>
                    <w:top w:val="single" w:sz="4" w:space="0" w:color="auto"/>
                    <w:left w:val="single" w:sz="4" w:space="0" w:color="auto"/>
                    <w:bottom w:val="single" w:sz="4" w:space="0" w:color="000000"/>
                    <w:right w:val="single" w:sz="4" w:space="0" w:color="auto"/>
                  </w:tcBorders>
                  <w:vAlign w:val="center"/>
                  <w:hideMark/>
                </w:tcPr>
                <w:p w14:paraId="32AB720B" w14:textId="77777777" w:rsidR="00342DAE" w:rsidRPr="00224089" w:rsidRDefault="00342DAE" w:rsidP="00342DAE">
                  <w:pPr>
                    <w:rPr>
                      <w:sz w:val="20"/>
                      <w:szCs w:val="20"/>
                    </w:rPr>
                  </w:pPr>
                </w:p>
              </w:tc>
              <w:tc>
                <w:tcPr>
                  <w:tcW w:w="246" w:type="dxa"/>
                  <w:tcBorders>
                    <w:top w:val="nil"/>
                    <w:left w:val="nil"/>
                    <w:bottom w:val="nil"/>
                    <w:right w:val="nil"/>
                  </w:tcBorders>
                  <w:shd w:val="clear" w:color="auto" w:fill="auto"/>
                  <w:noWrap/>
                  <w:vAlign w:val="bottom"/>
                  <w:hideMark/>
                </w:tcPr>
                <w:p w14:paraId="7642EF27" w14:textId="77777777" w:rsidR="00342DAE" w:rsidRPr="00224089" w:rsidRDefault="00342DAE" w:rsidP="00342DAE">
                  <w:pPr>
                    <w:jc w:val="center"/>
                    <w:rPr>
                      <w:sz w:val="20"/>
                      <w:szCs w:val="20"/>
                    </w:rPr>
                  </w:pPr>
                </w:p>
              </w:tc>
            </w:tr>
            <w:tr w:rsidR="00342DAE" w:rsidRPr="00224089" w14:paraId="2BFF29C1" w14:textId="77777777" w:rsidTr="00480A65">
              <w:trPr>
                <w:trHeight w:val="299"/>
              </w:trPr>
              <w:tc>
                <w:tcPr>
                  <w:tcW w:w="534" w:type="dxa"/>
                  <w:vMerge/>
                  <w:tcBorders>
                    <w:top w:val="single" w:sz="4" w:space="0" w:color="auto"/>
                    <w:left w:val="single" w:sz="4" w:space="0" w:color="auto"/>
                    <w:bottom w:val="single" w:sz="4" w:space="0" w:color="000000"/>
                    <w:right w:val="single" w:sz="4" w:space="0" w:color="auto"/>
                  </w:tcBorders>
                  <w:vAlign w:val="center"/>
                  <w:hideMark/>
                </w:tcPr>
                <w:p w14:paraId="51328235" w14:textId="77777777" w:rsidR="00342DAE" w:rsidRPr="00224089" w:rsidRDefault="00342DAE" w:rsidP="00342DAE">
                  <w:pPr>
                    <w:rPr>
                      <w:sz w:val="20"/>
                      <w:szCs w:val="20"/>
                    </w:rPr>
                  </w:pPr>
                </w:p>
              </w:tc>
              <w:tc>
                <w:tcPr>
                  <w:tcW w:w="5005" w:type="dxa"/>
                  <w:vMerge/>
                  <w:tcBorders>
                    <w:top w:val="single" w:sz="4" w:space="0" w:color="auto"/>
                    <w:left w:val="single" w:sz="4" w:space="0" w:color="auto"/>
                    <w:bottom w:val="single" w:sz="4" w:space="0" w:color="000000"/>
                    <w:right w:val="single" w:sz="4" w:space="0" w:color="auto"/>
                  </w:tcBorders>
                  <w:vAlign w:val="center"/>
                  <w:hideMark/>
                </w:tcPr>
                <w:p w14:paraId="19BA1B0D" w14:textId="77777777" w:rsidR="00342DAE" w:rsidRPr="00224089" w:rsidRDefault="00342DAE" w:rsidP="00342DAE">
                  <w:pPr>
                    <w:rPr>
                      <w:sz w:val="20"/>
                      <w:szCs w:val="20"/>
                    </w:rPr>
                  </w:pPr>
                </w:p>
              </w:tc>
              <w:tc>
                <w:tcPr>
                  <w:tcW w:w="1787" w:type="dxa"/>
                  <w:vMerge/>
                  <w:tcBorders>
                    <w:top w:val="single" w:sz="4" w:space="0" w:color="auto"/>
                    <w:left w:val="single" w:sz="4" w:space="0" w:color="auto"/>
                    <w:bottom w:val="single" w:sz="4" w:space="0" w:color="000000"/>
                    <w:right w:val="single" w:sz="4" w:space="0" w:color="auto"/>
                  </w:tcBorders>
                  <w:vAlign w:val="center"/>
                  <w:hideMark/>
                </w:tcPr>
                <w:p w14:paraId="13AC80F7" w14:textId="77777777" w:rsidR="00342DAE" w:rsidRPr="00224089" w:rsidRDefault="00342DAE" w:rsidP="00342DAE">
                  <w:pPr>
                    <w:rPr>
                      <w:sz w:val="20"/>
                      <w:szCs w:val="20"/>
                    </w:rPr>
                  </w:pPr>
                </w:p>
              </w:tc>
              <w:tc>
                <w:tcPr>
                  <w:tcW w:w="246" w:type="dxa"/>
                  <w:tcBorders>
                    <w:top w:val="nil"/>
                    <w:left w:val="nil"/>
                    <w:bottom w:val="nil"/>
                    <w:right w:val="nil"/>
                  </w:tcBorders>
                  <w:shd w:val="clear" w:color="auto" w:fill="auto"/>
                  <w:noWrap/>
                  <w:vAlign w:val="bottom"/>
                  <w:hideMark/>
                </w:tcPr>
                <w:p w14:paraId="5BDC42E5" w14:textId="77777777" w:rsidR="00342DAE" w:rsidRPr="00224089" w:rsidRDefault="00342DAE" w:rsidP="00342DAE">
                  <w:pPr>
                    <w:rPr>
                      <w:sz w:val="20"/>
                      <w:szCs w:val="20"/>
                    </w:rPr>
                  </w:pPr>
                </w:p>
              </w:tc>
            </w:tr>
            <w:tr w:rsidR="00342DAE" w:rsidRPr="00224089" w14:paraId="7C5D9483" w14:textId="77777777" w:rsidTr="00480A65">
              <w:trPr>
                <w:trHeight w:val="237"/>
              </w:trPr>
              <w:tc>
                <w:tcPr>
                  <w:tcW w:w="534" w:type="dxa"/>
                  <w:tcBorders>
                    <w:top w:val="nil"/>
                    <w:left w:val="nil"/>
                    <w:bottom w:val="nil"/>
                    <w:right w:val="nil"/>
                  </w:tcBorders>
                  <w:shd w:val="clear" w:color="auto" w:fill="auto"/>
                  <w:noWrap/>
                  <w:vAlign w:val="bottom"/>
                  <w:hideMark/>
                </w:tcPr>
                <w:p w14:paraId="76F18D6D" w14:textId="77777777" w:rsidR="00342DAE" w:rsidRPr="00224089" w:rsidRDefault="00342DAE" w:rsidP="00342DAE">
                  <w:pPr>
                    <w:rPr>
                      <w:sz w:val="20"/>
                      <w:szCs w:val="20"/>
                    </w:rPr>
                  </w:pPr>
                </w:p>
              </w:tc>
              <w:tc>
                <w:tcPr>
                  <w:tcW w:w="5005" w:type="dxa"/>
                  <w:tcBorders>
                    <w:top w:val="nil"/>
                    <w:left w:val="nil"/>
                    <w:bottom w:val="nil"/>
                    <w:right w:val="nil"/>
                  </w:tcBorders>
                  <w:shd w:val="clear" w:color="auto" w:fill="auto"/>
                  <w:noWrap/>
                  <w:vAlign w:val="bottom"/>
                  <w:hideMark/>
                </w:tcPr>
                <w:p w14:paraId="2BCB9745" w14:textId="77777777" w:rsidR="00342DAE" w:rsidRPr="00224089" w:rsidRDefault="00342DAE" w:rsidP="00342DAE">
                  <w:pPr>
                    <w:rPr>
                      <w:sz w:val="20"/>
                      <w:szCs w:val="20"/>
                    </w:rPr>
                  </w:pPr>
                </w:p>
              </w:tc>
              <w:tc>
                <w:tcPr>
                  <w:tcW w:w="1787" w:type="dxa"/>
                  <w:tcBorders>
                    <w:top w:val="nil"/>
                    <w:left w:val="nil"/>
                    <w:bottom w:val="nil"/>
                    <w:right w:val="nil"/>
                  </w:tcBorders>
                  <w:shd w:val="clear" w:color="auto" w:fill="auto"/>
                  <w:noWrap/>
                  <w:vAlign w:val="bottom"/>
                  <w:hideMark/>
                </w:tcPr>
                <w:p w14:paraId="3C76F188" w14:textId="77777777" w:rsidR="00342DAE" w:rsidRPr="00224089" w:rsidRDefault="00342DAE" w:rsidP="00342DAE">
                  <w:pPr>
                    <w:rPr>
                      <w:sz w:val="20"/>
                      <w:szCs w:val="20"/>
                    </w:rPr>
                  </w:pPr>
                </w:p>
              </w:tc>
              <w:tc>
                <w:tcPr>
                  <w:tcW w:w="246" w:type="dxa"/>
                  <w:vAlign w:val="center"/>
                  <w:hideMark/>
                </w:tcPr>
                <w:p w14:paraId="3A1CC27A" w14:textId="77777777" w:rsidR="00342DAE" w:rsidRPr="00224089" w:rsidRDefault="00342DAE" w:rsidP="00342DAE">
                  <w:pPr>
                    <w:rPr>
                      <w:sz w:val="20"/>
                      <w:szCs w:val="20"/>
                    </w:rPr>
                  </w:pPr>
                </w:p>
              </w:tc>
            </w:tr>
            <w:tr w:rsidR="00342DAE" w:rsidRPr="00224089" w14:paraId="72D8BA3E" w14:textId="77777777" w:rsidTr="00480A65">
              <w:trPr>
                <w:trHeight w:val="47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76FC2" w14:textId="77777777" w:rsidR="00342DAE" w:rsidRPr="00224089" w:rsidRDefault="00342DAE" w:rsidP="00342DAE">
                  <w:pPr>
                    <w:jc w:val="center"/>
                    <w:rPr>
                      <w:sz w:val="20"/>
                      <w:szCs w:val="20"/>
                    </w:rPr>
                  </w:pPr>
                  <w:r w:rsidRPr="00224089">
                    <w:rPr>
                      <w:sz w:val="20"/>
                      <w:szCs w:val="20"/>
                    </w:rPr>
                    <w:t>1</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77273D37" w14:textId="741F0FD1" w:rsidR="00342DAE" w:rsidRPr="00224089" w:rsidRDefault="00342DAE" w:rsidP="00342DAE">
                  <w:pPr>
                    <w:rPr>
                      <w:sz w:val="20"/>
                      <w:szCs w:val="20"/>
                    </w:rPr>
                  </w:pPr>
                  <w:r w:rsidRPr="00224089">
                    <w:rPr>
                      <w:sz w:val="20"/>
                      <w:szCs w:val="20"/>
                    </w:rPr>
                    <w:t xml:space="preserve">Jauna </w:t>
                  </w:r>
                  <w:proofErr w:type="spellStart"/>
                  <w:r w:rsidRPr="00224089">
                    <w:rPr>
                      <w:sz w:val="20"/>
                      <w:szCs w:val="20"/>
                    </w:rPr>
                    <w:t>elektropieslēguma</w:t>
                  </w:r>
                  <w:proofErr w:type="spellEnd"/>
                  <w:r w:rsidRPr="00224089">
                    <w:rPr>
                      <w:sz w:val="20"/>
                      <w:szCs w:val="20"/>
                    </w:rPr>
                    <w:t xml:space="preserve"> (no transformatora apakšstacijas līdz objektam) izbūve atbilstoši Tehniskiem noteikumiem Nr.117258211</w:t>
                  </w:r>
                </w:p>
              </w:tc>
              <w:tc>
                <w:tcPr>
                  <w:tcW w:w="1787" w:type="dxa"/>
                  <w:tcBorders>
                    <w:top w:val="single" w:sz="4" w:space="0" w:color="auto"/>
                    <w:left w:val="nil"/>
                    <w:bottom w:val="single" w:sz="4" w:space="0" w:color="auto"/>
                    <w:right w:val="single" w:sz="4" w:space="0" w:color="auto"/>
                  </w:tcBorders>
                  <w:shd w:val="clear" w:color="auto" w:fill="auto"/>
                  <w:vAlign w:val="center"/>
                  <w:hideMark/>
                </w:tcPr>
                <w:p w14:paraId="37645BB8" w14:textId="77777777" w:rsidR="00342DAE" w:rsidRPr="00224089" w:rsidRDefault="00342DAE" w:rsidP="00342DAE">
                  <w:pPr>
                    <w:jc w:val="center"/>
                    <w:rPr>
                      <w:sz w:val="20"/>
                      <w:szCs w:val="20"/>
                    </w:rPr>
                  </w:pPr>
                  <w:r w:rsidRPr="00224089">
                    <w:rPr>
                      <w:sz w:val="20"/>
                      <w:szCs w:val="20"/>
                    </w:rPr>
                    <w:t>26 748.00</w:t>
                  </w:r>
                </w:p>
              </w:tc>
              <w:tc>
                <w:tcPr>
                  <w:tcW w:w="246" w:type="dxa"/>
                  <w:vAlign w:val="center"/>
                  <w:hideMark/>
                </w:tcPr>
                <w:p w14:paraId="201F7BAF" w14:textId="77777777" w:rsidR="00342DAE" w:rsidRPr="00224089" w:rsidRDefault="00342DAE" w:rsidP="00342DAE">
                  <w:pPr>
                    <w:rPr>
                      <w:sz w:val="20"/>
                      <w:szCs w:val="20"/>
                    </w:rPr>
                  </w:pPr>
                </w:p>
              </w:tc>
            </w:tr>
            <w:tr w:rsidR="00342DAE" w:rsidRPr="00224089" w14:paraId="0AE2066F" w14:textId="77777777" w:rsidTr="00480A65">
              <w:trPr>
                <w:trHeight w:val="237"/>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7F6DDC46" w14:textId="77777777" w:rsidR="00342DAE" w:rsidRPr="00224089" w:rsidRDefault="00342DAE" w:rsidP="00342DAE">
                  <w:pPr>
                    <w:jc w:val="center"/>
                    <w:rPr>
                      <w:sz w:val="20"/>
                      <w:szCs w:val="20"/>
                    </w:rPr>
                  </w:pPr>
                  <w:r w:rsidRPr="00224089">
                    <w:rPr>
                      <w:sz w:val="20"/>
                      <w:szCs w:val="20"/>
                    </w:rPr>
                    <w:t>2</w:t>
                  </w:r>
                </w:p>
              </w:tc>
              <w:tc>
                <w:tcPr>
                  <w:tcW w:w="5005" w:type="dxa"/>
                  <w:tcBorders>
                    <w:top w:val="nil"/>
                    <w:left w:val="nil"/>
                    <w:bottom w:val="single" w:sz="4" w:space="0" w:color="auto"/>
                    <w:right w:val="single" w:sz="4" w:space="0" w:color="auto"/>
                  </w:tcBorders>
                  <w:shd w:val="clear" w:color="auto" w:fill="auto"/>
                  <w:vAlign w:val="center"/>
                  <w:hideMark/>
                </w:tcPr>
                <w:p w14:paraId="34A85E18" w14:textId="77777777" w:rsidR="00342DAE" w:rsidRPr="00224089" w:rsidRDefault="00342DAE" w:rsidP="00342DAE">
                  <w:pPr>
                    <w:rPr>
                      <w:sz w:val="20"/>
                      <w:szCs w:val="20"/>
                    </w:rPr>
                  </w:pPr>
                  <w:r w:rsidRPr="00224089">
                    <w:rPr>
                      <w:sz w:val="20"/>
                      <w:szCs w:val="20"/>
                    </w:rPr>
                    <w:t xml:space="preserve">Objekta galvenā elektroapgādes </w:t>
                  </w:r>
                  <w:proofErr w:type="spellStart"/>
                  <w:r w:rsidRPr="00224089">
                    <w:rPr>
                      <w:sz w:val="20"/>
                      <w:szCs w:val="20"/>
                    </w:rPr>
                    <w:t>sadalnes</w:t>
                  </w:r>
                  <w:proofErr w:type="spellEnd"/>
                  <w:r w:rsidRPr="00224089">
                    <w:rPr>
                      <w:sz w:val="20"/>
                      <w:szCs w:val="20"/>
                    </w:rPr>
                    <w:t xml:space="preserve"> un divu barojošo kabeļu 30 m garumā izbūve</w:t>
                  </w:r>
                </w:p>
              </w:tc>
              <w:tc>
                <w:tcPr>
                  <w:tcW w:w="1787" w:type="dxa"/>
                  <w:tcBorders>
                    <w:top w:val="nil"/>
                    <w:left w:val="nil"/>
                    <w:bottom w:val="single" w:sz="4" w:space="0" w:color="auto"/>
                    <w:right w:val="single" w:sz="4" w:space="0" w:color="auto"/>
                  </w:tcBorders>
                  <w:shd w:val="clear" w:color="auto" w:fill="auto"/>
                  <w:vAlign w:val="center"/>
                  <w:hideMark/>
                </w:tcPr>
                <w:p w14:paraId="3A2E9184" w14:textId="77777777" w:rsidR="00342DAE" w:rsidRPr="00224089" w:rsidRDefault="00342DAE" w:rsidP="00342DAE">
                  <w:pPr>
                    <w:jc w:val="center"/>
                    <w:rPr>
                      <w:sz w:val="20"/>
                      <w:szCs w:val="20"/>
                    </w:rPr>
                  </w:pPr>
                  <w:r w:rsidRPr="00224089">
                    <w:rPr>
                      <w:sz w:val="20"/>
                      <w:szCs w:val="20"/>
                    </w:rPr>
                    <w:t>23 485.79</w:t>
                  </w:r>
                </w:p>
              </w:tc>
              <w:tc>
                <w:tcPr>
                  <w:tcW w:w="246" w:type="dxa"/>
                  <w:vAlign w:val="center"/>
                  <w:hideMark/>
                </w:tcPr>
                <w:p w14:paraId="279143C8" w14:textId="77777777" w:rsidR="00342DAE" w:rsidRPr="00224089" w:rsidRDefault="00342DAE" w:rsidP="00342DAE">
                  <w:pPr>
                    <w:rPr>
                      <w:sz w:val="20"/>
                      <w:szCs w:val="20"/>
                    </w:rPr>
                  </w:pPr>
                </w:p>
              </w:tc>
            </w:tr>
            <w:tr w:rsidR="00342DAE" w:rsidRPr="00224089" w14:paraId="1F95535E" w14:textId="77777777" w:rsidTr="00480A65">
              <w:trPr>
                <w:trHeight w:val="475"/>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1C1D7B56" w14:textId="77777777" w:rsidR="00342DAE" w:rsidRPr="00224089" w:rsidRDefault="00342DAE" w:rsidP="00342DAE">
                  <w:pPr>
                    <w:jc w:val="center"/>
                    <w:rPr>
                      <w:sz w:val="20"/>
                      <w:szCs w:val="20"/>
                    </w:rPr>
                  </w:pPr>
                  <w:r w:rsidRPr="00224089">
                    <w:rPr>
                      <w:sz w:val="20"/>
                      <w:szCs w:val="20"/>
                    </w:rPr>
                    <w:t>3</w:t>
                  </w:r>
                </w:p>
              </w:tc>
              <w:tc>
                <w:tcPr>
                  <w:tcW w:w="5005" w:type="dxa"/>
                  <w:tcBorders>
                    <w:top w:val="nil"/>
                    <w:left w:val="nil"/>
                    <w:bottom w:val="single" w:sz="4" w:space="0" w:color="auto"/>
                    <w:right w:val="single" w:sz="4" w:space="0" w:color="auto"/>
                  </w:tcBorders>
                  <w:shd w:val="clear" w:color="auto" w:fill="auto"/>
                  <w:vAlign w:val="center"/>
                  <w:hideMark/>
                </w:tcPr>
                <w:p w14:paraId="32114FC2" w14:textId="77777777" w:rsidR="00342DAE" w:rsidRPr="00224089" w:rsidRDefault="00342DAE" w:rsidP="00342DAE">
                  <w:pPr>
                    <w:rPr>
                      <w:sz w:val="20"/>
                      <w:szCs w:val="20"/>
                    </w:rPr>
                  </w:pPr>
                  <w:r w:rsidRPr="00224089">
                    <w:rPr>
                      <w:sz w:val="20"/>
                      <w:szCs w:val="20"/>
                    </w:rPr>
                    <w:t xml:space="preserve">Vecā laboratorijas korpusa galvenās elektroapgādes </w:t>
                  </w:r>
                  <w:proofErr w:type="spellStart"/>
                  <w:r w:rsidRPr="00224089">
                    <w:rPr>
                      <w:sz w:val="20"/>
                      <w:szCs w:val="20"/>
                    </w:rPr>
                    <w:t>sadalnes</w:t>
                  </w:r>
                  <w:proofErr w:type="spellEnd"/>
                  <w:r w:rsidRPr="00224089">
                    <w:rPr>
                      <w:sz w:val="20"/>
                      <w:szCs w:val="20"/>
                    </w:rPr>
                    <w:t xml:space="preserve"> un viena barojošo kabeļa 50 m garumā izbūve</w:t>
                  </w:r>
                </w:p>
              </w:tc>
              <w:tc>
                <w:tcPr>
                  <w:tcW w:w="1787" w:type="dxa"/>
                  <w:tcBorders>
                    <w:top w:val="nil"/>
                    <w:left w:val="nil"/>
                    <w:bottom w:val="single" w:sz="4" w:space="0" w:color="auto"/>
                    <w:right w:val="single" w:sz="4" w:space="0" w:color="auto"/>
                  </w:tcBorders>
                  <w:shd w:val="clear" w:color="auto" w:fill="auto"/>
                  <w:vAlign w:val="center"/>
                  <w:hideMark/>
                </w:tcPr>
                <w:p w14:paraId="5D2DA42F" w14:textId="77777777" w:rsidR="00342DAE" w:rsidRPr="00224089" w:rsidRDefault="00342DAE" w:rsidP="00342DAE">
                  <w:pPr>
                    <w:jc w:val="center"/>
                    <w:rPr>
                      <w:sz w:val="20"/>
                      <w:szCs w:val="20"/>
                    </w:rPr>
                  </w:pPr>
                  <w:r w:rsidRPr="00224089">
                    <w:rPr>
                      <w:sz w:val="20"/>
                      <w:szCs w:val="20"/>
                    </w:rPr>
                    <w:t>12 973.23</w:t>
                  </w:r>
                </w:p>
              </w:tc>
              <w:tc>
                <w:tcPr>
                  <w:tcW w:w="246" w:type="dxa"/>
                  <w:vAlign w:val="center"/>
                  <w:hideMark/>
                </w:tcPr>
                <w:p w14:paraId="3B008FB1" w14:textId="77777777" w:rsidR="00342DAE" w:rsidRPr="00224089" w:rsidRDefault="00342DAE" w:rsidP="00342DAE">
                  <w:pPr>
                    <w:rPr>
                      <w:sz w:val="20"/>
                      <w:szCs w:val="20"/>
                    </w:rPr>
                  </w:pPr>
                </w:p>
              </w:tc>
            </w:tr>
            <w:tr w:rsidR="00342DAE" w:rsidRPr="00224089" w14:paraId="4353260D" w14:textId="77777777" w:rsidTr="00480A65">
              <w:trPr>
                <w:trHeight w:val="475"/>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3EABFD5D" w14:textId="77777777" w:rsidR="00342DAE" w:rsidRPr="00224089" w:rsidRDefault="00342DAE" w:rsidP="00342DAE">
                  <w:pPr>
                    <w:jc w:val="center"/>
                    <w:rPr>
                      <w:sz w:val="20"/>
                      <w:szCs w:val="20"/>
                    </w:rPr>
                  </w:pPr>
                  <w:r w:rsidRPr="00224089">
                    <w:rPr>
                      <w:sz w:val="20"/>
                      <w:szCs w:val="20"/>
                    </w:rPr>
                    <w:t>4</w:t>
                  </w:r>
                </w:p>
              </w:tc>
              <w:tc>
                <w:tcPr>
                  <w:tcW w:w="5005" w:type="dxa"/>
                  <w:tcBorders>
                    <w:top w:val="nil"/>
                    <w:left w:val="nil"/>
                    <w:bottom w:val="single" w:sz="4" w:space="0" w:color="auto"/>
                    <w:right w:val="single" w:sz="4" w:space="0" w:color="auto"/>
                  </w:tcBorders>
                  <w:shd w:val="clear" w:color="auto" w:fill="auto"/>
                  <w:vAlign w:val="center"/>
                  <w:hideMark/>
                </w:tcPr>
                <w:p w14:paraId="6723A5CF" w14:textId="77777777" w:rsidR="00342DAE" w:rsidRPr="00224089" w:rsidRDefault="00342DAE" w:rsidP="00342DAE">
                  <w:pPr>
                    <w:rPr>
                      <w:sz w:val="20"/>
                      <w:szCs w:val="20"/>
                    </w:rPr>
                  </w:pPr>
                  <w:r w:rsidRPr="00224089">
                    <w:rPr>
                      <w:sz w:val="20"/>
                      <w:szCs w:val="20"/>
                    </w:rPr>
                    <w:t xml:space="preserve">Jaunā laboratorijas korpusa galvenās elektroapgādes </w:t>
                  </w:r>
                  <w:proofErr w:type="spellStart"/>
                  <w:r w:rsidRPr="00224089">
                    <w:rPr>
                      <w:sz w:val="20"/>
                      <w:szCs w:val="20"/>
                    </w:rPr>
                    <w:t>sadalnes</w:t>
                  </w:r>
                  <w:proofErr w:type="spellEnd"/>
                  <w:r w:rsidRPr="00224089">
                    <w:rPr>
                      <w:sz w:val="20"/>
                      <w:szCs w:val="20"/>
                    </w:rPr>
                    <w:t xml:space="preserve"> n viena barojošo kabeļa 40 m garumā izbūve</w:t>
                  </w:r>
                </w:p>
              </w:tc>
              <w:tc>
                <w:tcPr>
                  <w:tcW w:w="1787" w:type="dxa"/>
                  <w:tcBorders>
                    <w:top w:val="nil"/>
                    <w:left w:val="nil"/>
                    <w:bottom w:val="single" w:sz="4" w:space="0" w:color="auto"/>
                    <w:right w:val="single" w:sz="4" w:space="0" w:color="auto"/>
                  </w:tcBorders>
                  <w:shd w:val="clear" w:color="auto" w:fill="auto"/>
                  <w:vAlign w:val="center"/>
                  <w:hideMark/>
                </w:tcPr>
                <w:p w14:paraId="5D9CEBE9" w14:textId="77777777" w:rsidR="00342DAE" w:rsidRPr="00224089" w:rsidRDefault="00342DAE" w:rsidP="00342DAE">
                  <w:pPr>
                    <w:jc w:val="center"/>
                    <w:rPr>
                      <w:sz w:val="20"/>
                      <w:szCs w:val="20"/>
                    </w:rPr>
                  </w:pPr>
                  <w:r w:rsidRPr="00224089">
                    <w:rPr>
                      <w:sz w:val="20"/>
                      <w:szCs w:val="20"/>
                    </w:rPr>
                    <w:t>12 713.51</w:t>
                  </w:r>
                </w:p>
              </w:tc>
              <w:tc>
                <w:tcPr>
                  <w:tcW w:w="246" w:type="dxa"/>
                  <w:vAlign w:val="center"/>
                  <w:hideMark/>
                </w:tcPr>
                <w:p w14:paraId="68133131" w14:textId="77777777" w:rsidR="00342DAE" w:rsidRPr="00224089" w:rsidRDefault="00342DAE" w:rsidP="00342DAE">
                  <w:pPr>
                    <w:rPr>
                      <w:sz w:val="20"/>
                      <w:szCs w:val="20"/>
                    </w:rPr>
                  </w:pPr>
                </w:p>
              </w:tc>
            </w:tr>
            <w:tr w:rsidR="00342DAE" w:rsidRPr="00224089" w14:paraId="1DC79B9F" w14:textId="77777777" w:rsidTr="00480A65">
              <w:trPr>
                <w:trHeight w:val="237"/>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67E7A739" w14:textId="77777777" w:rsidR="00342DAE" w:rsidRPr="00224089" w:rsidRDefault="00342DAE" w:rsidP="00342DAE">
                  <w:pPr>
                    <w:jc w:val="center"/>
                    <w:rPr>
                      <w:sz w:val="20"/>
                      <w:szCs w:val="20"/>
                    </w:rPr>
                  </w:pPr>
                  <w:r w:rsidRPr="00224089">
                    <w:rPr>
                      <w:sz w:val="20"/>
                      <w:szCs w:val="20"/>
                    </w:rPr>
                    <w:t>5</w:t>
                  </w:r>
                </w:p>
              </w:tc>
              <w:tc>
                <w:tcPr>
                  <w:tcW w:w="5005" w:type="dxa"/>
                  <w:tcBorders>
                    <w:top w:val="nil"/>
                    <w:left w:val="nil"/>
                    <w:bottom w:val="single" w:sz="4" w:space="0" w:color="auto"/>
                    <w:right w:val="single" w:sz="4" w:space="0" w:color="auto"/>
                  </w:tcBorders>
                  <w:shd w:val="clear" w:color="auto" w:fill="auto"/>
                  <w:vAlign w:val="center"/>
                  <w:hideMark/>
                </w:tcPr>
                <w:p w14:paraId="3D072221" w14:textId="46A647D8" w:rsidR="00342DAE" w:rsidRPr="00224089" w:rsidRDefault="00342DAE" w:rsidP="00342DAE">
                  <w:pPr>
                    <w:rPr>
                      <w:sz w:val="20"/>
                      <w:szCs w:val="20"/>
                    </w:rPr>
                  </w:pPr>
                  <w:r w:rsidRPr="00224089">
                    <w:rPr>
                      <w:sz w:val="20"/>
                      <w:szCs w:val="20"/>
                    </w:rPr>
                    <w:t xml:space="preserve">Tehnisko ēku (Saldētavu un garāžu kompleksa) </w:t>
                  </w:r>
                  <w:proofErr w:type="spellStart"/>
                  <w:r w:rsidRPr="00224089">
                    <w:rPr>
                      <w:sz w:val="20"/>
                      <w:szCs w:val="20"/>
                    </w:rPr>
                    <w:t>sadalņu</w:t>
                  </w:r>
                  <w:proofErr w:type="spellEnd"/>
                  <w:r w:rsidRPr="00224089">
                    <w:rPr>
                      <w:sz w:val="20"/>
                      <w:szCs w:val="20"/>
                    </w:rPr>
                    <w:t xml:space="preserve"> un divu barojošo kabeļu izbūve</w:t>
                  </w:r>
                </w:p>
              </w:tc>
              <w:tc>
                <w:tcPr>
                  <w:tcW w:w="1787" w:type="dxa"/>
                  <w:tcBorders>
                    <w:top w:val="nil"/>
                    <w:left w:val="nil"/>
                    <w:bottom w:val="single" w:sz="4" w:space="0" w:color="auto"/>
                    <w:right w:val="single" w:sz="4" w:space="0" w:color="auto"/>
                  </w:tcBorders>
                  <w:shd w:val="clear" w:color="auto" w:fill="auto"/>
                  <w:vAlign w:val="center"/>
                  <w:hideMark/>
                </w:tcPr>
                <w:p w14:paraId="55B51F75" w14:textId="77777777" w:rsidR="00342DAE" w:rsidRPr="00224089" w:rsidRDefault="00342DAE" w:rsidP="00342DAE">
                  <w:pPr>
                    <w:jc w:val="center"/>
                    <w:rPr>
                      <w:sz w:val="20"/>
                      <w:szCs w:val="20"/>
                    </w:rPr>
                  </w:pPr>
                  <w:r w:rsidRPr="00224089">
                    <w:rPr>
                      <w:sz w:val="20"/>
                      <w:szCs w:val="20"/>
                    </w:rPr>
                    <w:t>18 856.95</w:t>
                  </w:r>
                </w:p>
              </w:tc>
              <w:tc>
                <w:tcPr>
                  <w:tcW w:w="246" w:type="dxa"/>
                  <w:vAlign w:val="center"/>
                  <w:hideMark/>
                </w:tcPr>
                <w:p w14:paraId="2084B2AF" w14:textId="77777777" w:rsidR="00342DAE" w:rsidRPr="00224089" w:rsidRDefault="00342DAE" w:rsidP="00342DAE">
                  <w:pPr>
                    <w:rPr>
                      <w:sz w:val="20"/>
                      <w:szCs w:val="20"/>
                    </w:rPr>
                  </w:pPr>
                </w:p>
              </w:tc>
            </w:tr>
            <w:tr w:rsidR="00342DAE" w:rsidRPr="00224089" w14:paraId="3A444955" w14:textId="77777777" w:rsidTr="00480A65">
              <w:trPr>
                <w:trHeight w:val="99"/>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0DA9F782" w14:textId="77777777" w:rsidR="00342DAE" w:rsidRPr="00224089" w:rsidRDefault="00342DAE" w:rsidP="00342DAE">
                  <w:pPr>
                    <w:jc w:val="center"/>
                    <w:rPr>
                      <w:sz w:val="20"/>
                      <w:szCs w:val="20"/>
                    </w:rPr>
                  </w:pPr>
                  <w:r w:rsidRPr="00224089">
                    <w:rPr>
                      <w:sz w:val="20"/>
                      <w:szCs w:val="20"/>
                    </w:rPr>
                    <w:t> </w:t>
                  </w:r>
                </w:p>
              </w:tc>
              <w:tc>
                <w:tcPr>
                  <w:tcW w:w="5005" w:type="dxa"/>
                  <w:tcBorders>
                    <w:top w:val="nil"/>
                    <w:left w:val="nil"/>
                    <w:bottom w:val="single" w:sz="4" w:space="0" w:color="auto"/>
                    <w:right w:val="single" w:sz="4" w:space="0" w:color="auto"/>
                  </w:tcBorders>
                  <w:shd w:val="clear" w:color="auto" w:fill="auto"/>
                  <w:vAlign w:val="center"/>
                  <w:hideMark/>
                </w:tcPr>
                <w:p w14:paraId="4C88FA69" w14:textId="77777777" w:rsidR="00342DAE" w:rsidRPr="00224089" w:rsidRDefault="00342DAE" w:rsidP="00342DAE">
                  <w:pPr>
                    <w:rPr>
                      <w:sz w:val="20"/>
                      <w:szCs w:val="20"/>
                    </w:rPr>
                  </w:pPr>
                  <w:r w:rsidRPr="00224089">
                    <w:rPr>
                      <w:sz w:val="20"/>
                      <w:szCs w:val="20"/>
                    </w:rPr>
                    <w:t> </w:t>
                  </w:r>
                </w:p>
              </w:tc>
              <w:tc>
                <w:tcPr>
                  <w:tcW w:w="1787" w:type="dxa"/>
                  <w:tcBorders>
                    <w:top w:val="nil"/>
                    <w:left w:val="nil"/>
                    <w:bottom w:val="single" w:sz="4" w:space="0" w:color="auto"/>
                    <w:right w:val="single" w:sz="4" w:space="0" w:color="auto"/>
                  </w:tcBorders>
                  <w:shd w:val="clear" w:color="auto" w:fill="auto"/>
                  <w:vAlign w:val="center"/>
                  <w:hideMark/>
                </w:tcPr>
                <w:p w14:paraId="3DFB7339" w14:textId="77777777" w:rsidR="00342DAE" w:rsidRPr="00224089" w:rsidRDefault="00342DAE" w:rsidP="00342DAE">
                  <w:pPr>
                    <w:jc w:val="center"/>
                    <w:rPr>
                      <w:sz w:val="20"/>
                      <w:szCs w:val="20"/>
                    </w:rPr>
                  </w:pPr>
                  <w:r w:rsidRPr="00224089">
                    <w:rPr>
                      <w:sz w:val="20"/>
                      <w:szCs w:val="20"/>
                    </w:rPr>
                    <w:t> </w:t>
                  </w:r>
                </w:p>
              </w:tc>
              <w:tc>
                <w:tcPr>
                  <w:tcW w:w="246" w:type="dxa"/>
                  <w:vAlign w:val="center"/>
                  <w:hideMark/>
                </w:tcPr>
                <w:p w14:paraId="72802CD1" w14:textId="77777777" w:rsidR="00342DAE" w:rsidRPr="00224089" w:rsidRDefault="00342DAE" w:rsidP="00342DAE">
                  <w:pPr>
                    <w:rPr>
                      <w:sz w:val="20"/>
                      <w:szCs w:val="20"/>
                    </w:rPr>
                  </w:pPr>
                </w:p>
              </w:tc>
            </w:tr>
            <w:tr w:rsidR="00342DAE" w:rsidRPr="00224089" w14:paraId="6076A2E9" w14:textId="77777777" w:rsidTr="00480A65">
              <w:trPr>
                <w:trHeight w:val="237"/>
              </w:trPr>
              <w:tc>
                <w:tcPr>
                  <w:tcW w:w="534" w:type="dxa"/>
                  <w:tcBorders>
                    <w:top w:val="nil"/>
                    <w:left w:val="nil"/>
                    <w:bottom w:val="nil"/>
                    <w:right w:val="nil"/>
                  </w:tcBorders>
                  <w:shd w:val="clear" w:color="auto" w:fill="auto"/>
                  <w:noWrap/>
                  <w:vAlign w:val="center"/>
                  <w:hideMark/>
                </w:tcPr>
                <w:p w14:paraId="68BE2202" w14:textId="77777777" w:rsidR="00342DAE" w:rsidRPr="00224089" w:rsidRDefault="00342DAE" w:rsidP="00342DAE">
                  <w:pPr>
                    <w:jc w:val="center"/>
                    <w:rPr>
                      <w:sz w:val="20"/>
                      <w:szCs w:val="20"/>
                    </w:rPr>
                  </w:pPr>
                </w:p>
              </w:tc>
              <w:tc>
                <w:tcPr>
                  <w:tcW w:w="5005" w:type="dxa"/>
                  <w:tcBorders>
                    <w:top w:val="nil"/>
                    <w:left w:val="nil"/>
                    <w:bottom w:val="nil"/>
                    <w:right w:val="nil"/>
                  </w:tcBorders>
                  <w:shd w:val="clear" w:color="auto" w:fill="auto"/>
                  <w:noWrap/>
                  <w:vAlign w:val="center"/>
                  <w:hideMark/>
                </w:tcPr>
                <w:p w14:paraId="612BA8A7" w14:textId="77777777" w:rsidR="00342DAE" w:rsidRPr="00224089" w:rsidRDefault="00342DAE" w:rsidP="00342DAE">
                  <w:pPr>
                    <w:rPr>
                      <w:sz w:val="20"/>
                      <w:szCs w:val="20"/>
                    </w:rPr>
                  </w:pPr>
                </w:p>
              </w:tc>
              <w:tc>
                <w:tcPr>
                  <w:tcW w:w="1787" w:type="dxa"/>
                  <w:tcBorders>
                    <w:top w:val="single" w:sz="4" w:space="0" w:color="auto"/>
                    <w:left w:val="nil"/>
                    <w:bottom w:val="nil"/>
                    <w:right w:val="single" w:sz="4" w:space="0" w:color="auto"/>
                  </w:tcBorders>
                  <w:shd w:val="clear" w:color="auto" w:fill="auto"/>
                  <w:noWrap/>
                  <w:vAlign w:val="bottom"/>
                  <w:hideMark/>
                </w:tcPr>
                <w:p w14:paraId="62F1E728" w14:textId="77777777" w:rsidR="00342DAE" w:rsidRPr="00224089" w:rsidRDefault="00342DAE" w:rsidP="00342DAE">
                  <w:pPr>
                    <w:rPr>
                      <w:color w:val="000000"/>
                      <w:sz w:val="20"/>
                      <w:szCs w:val="20"/>
                    </w:rPr>
                  </w:pPr>
                  <w:r w:rsidRPr="00224089">
                    <w:rPr>
                      <w:color w:val="000000"/>
                      <w:sz w:val="20"/>
                      <w:szCs w:val="20"/>
                    </w:rPr>
                    <w:t> </w:t>
                  </w:r>
                </w:p>
              </w:tc>
              <w:tc>
                <w:tcPr>
                  <w:tcW w:w="246" w:type="dxa"/>
                  <w:vAlign w:val="center"/>
                  <w:hideMark/>
                </w:tcPr>
                <w:p w14:paraId="753DD739" w14:textId="77777777" w:rsidR="00342DAE" w:rsidRPr="00224089" w:rsidRDefault="00342DAE" w:rsidP="00342DAE">
                  <w:pPr>
                    <w:rPr>
                      <w:sz w:val="20"/>
                      <w:szCs w:val="20"/>
                    </w:rPr>
                  </w:pPr>
                </w:p>
              </w:tc>
            </w:tr>
            <w:tr w:rsidR="00342DAE" w:rsidRPr="00224089" w14:paraId="710F0CD2" w14:textId="77777777" w:rsidTr="00480A65">
              <w:trPr>
                <w:trHeight w:val="309"/>
              </w:trPr>
              <w:tc>
                <w:tcPr>
                  <w:tcW w:w="534" w:type="dxa"/>
                  <w:tcBorders>
                    <w:top w:val="nil"/>
                    <w:left w:val="nil"/>
                    <w:bottom w:val="nil"/>
                    <w:right w:val="nil"/>
                  </w:tcBorders>
                  <w:shd w:val="clear" w:color="auto" w:fill="auto"/>
                  <w:noWrap/>
                  <w:vAlign w:val="center"/>
                  <w:hideMark/>
                </w:tcPr>
                <w:p w14:paraId="4254B291" w14:textId="77777777" w:rsidR="00342DAE" w:rsidRPr="00224089" w:rsidRDefault="00342DAE" w:rsidP="00342DAE">
                  <w:pPr>
                    <w:rPr>
                      <w:color w:val="000000"/>
                      <w:sz w:val="20"/>
                      <w:szCs w:val="20"/>
                    </w:rPr>
                  </w:pP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32A0F" w14:textId="77777777" w:rsidR="00342DAE" w:rsidRPr="00224089" w:rsidRDefault="00342DAE" w:rsidP="00342DAE">
                  <w:pPr>
                    <w:jc w:val="right"/>
                    <w:rPr>
                      <w:b/>
                      <w:bCs/>
                      <w:sz w:val="20"/>
                      <w:szCs w:val="20"/>
                    </w:rPr>
                  </w:pPr>
                  <w:r w:rsidRPr="00224089">
                    <w:rPr>
                      <w:b/>
                      <w:bCs/>
                      <w:sz w:val="20"/>
                      <w:szCs w:val="20"/>
                    </w:rPr>
                    <w:t>Kopā bez PVN:</w:t>
                  </w:r>
                </w:p>
              </w:tc>
              <w:tc>
                <w:tcPr>
                  <w:tcW w:w="1787" w:type="dxa"/>
                  <w:tcBorders>
                    <w:top w:val="single" w:sz="4" w:space="0" w:color="auto"/>
                    <w:left w:val="nil"/>
                    <w:bottom w:val="single" w:sz="4" w:space="0" w:color="auto"/>
                    <w:right w:val="single" w:sz="4" w:space="0" w:color="auto"/>
                  </w:tcBorders>
                  <w:shd w:val="clear" w:color="auto" w:fill="auto"/>
                  <w:noWrap/>
                  <w:vAlign w:val="center"/>
                  <w:hideMark/>
                </w:tcPr>
                <w:p w14:paraId="7F8162ED" w14:textId="77777777" w:rsidR="00342DAE" w:rsidRPr="00224089" w:rsidRDefault="00342DAE" w:rsidP="00342DAE">
                  <w:pPr>
                    <w:jc w:val="center"/>
                    <w:rPr>
                      <w:b/>
                      <w:bCs/>
                      <w:color w:val="000000"/>
                      <w:sz w:val="20"/>
                      <w:szCs w:val="20"/>
                    </w:rPr>
                  </w:pPr>
                  <w:r w:rsidRPr="00224089">
                    <w:rPr>
                      <w:b/>
                      <w:bCs/>
                      <w:color w:val="000000"/>
                      <w:sz w:val="20"/>
                      <w:szCs w:val="20"/>
                    </w:rPr>
                    <w:t>94 777.48</w:t>
                  </w:r>
                </w:p>
              </w:tc>
              <w:tc>
                <w:tcPr>
                  <w:tcW w:w="246" w:type="dxa"/>
                  <w:vAlign w:val="center"/>
                  <w:hideMark/>
                </w:tcPr>
                <w:p w14:paraId="21BD2A5E" w14:textId="77777777" w:rsidR="00342DAE" w:rsidRPr="00224089" w:rsidRDefault="00342DAE" w:rsidP="00342DAE">
                  <w:pPr>
                    <w:rPr>
                      <w:sz w:val="20"/>
                      <w:szCs w:val="20"/>
                    </w:rPr>
                  </w:pPr>
                </w:p>
              </w:tc>
            </w:tr>
            <w:tr w:rsidR="00342DAE" w:rsidRPr="00224089" w14:paraId="2890070A" w14:textId="77777777" w:rsidTr="00480A65">
              <w:trPr>
                <w:trHeight w:val="237"/>
              </w:trPr>
              <w:tc>
                <w:tcPr>
                  <w:tcW w:w="534" w:type="dxa"/>
                  <w:tcBorders>
                    <w:top w:val="nil"/>
                    <w:left w:val="nil"/>
                    <w:bottom w:val="nil"/>
                    <w:right w:val="nil"/>
                  </w:tcBorders>
                  <w:shd w:val="clear" w:color="auto" w:fill="auto"/>
                  <w:noWrap/>
                  <w:vAlign w:val="center"/>
                  <w:hideMark/>
                </w:tcPr>
                <w:p w14:paraId="696BC8BA" w14:textId="77777777" w:rsidR="00342DAE" w:rsidRPr="00224089" w:rsidRDefault="00342DAE" w:rsidP="00342DAE">
                  <w:pPr>
                    <w:jc w:val="center"/>
                    <w:rPr>
                      <w:b/>
                      <w:bCs/>
                      <w:color w:val="000000"/>
                      <w:sz w:val="20"/>
                      <w:szCs w:val="20"/>
                    </w:rPr>
                  </w:pPr>
                </w:p>
              </w:tc>
              <w:tc>
                <w:tcPr>
                  <w:tcW w:w="5005" w:type="dxa"/>
                  <w:tcBorders>
                    <w:top w:val="nil"/>
                    <w:left w:val="single" w:sz="4" w:space="0" w:color="auto"/>
                    <w:bottom w:val="single" w:sz="4" w:space="0" w:color="auto"/>
                    <w:right w:val="single" w:sz="4" w:space="0" w:color="auto"/>
                  </w:tcBorders>
                  <w:shd w:val="clear" w:color="auto" w:fill="auto"/>
                  <w:noWrap/>
                  <w:vAlign w:val="center"/>
                  <w:hideMark/>
                </w:tcPr>
                <w:p w14:paraId="67006BE6" w14:textId="77777777" w:rsidR="00342DAE" w:rsidRPr="00224089" w:rsidRDefault="00342DAE" w:rsidP="00342DAE">
                  <w:pPr>
                    <w:jc w:val="right"/>
                    <w:rPr>
                      <w:color w:val="000000"/>
                      <w:sz w:val="20"/>
                      <w:szCs w:val="20"/>
                    </w:rPr>
                  </w:pPr>
                  <w:r w:rsidRPr="00224089">
                    <w:rPr>
                      <w:color w:val="000000"/>
                      <w:sz w:val="20"/>
                      <w:szCs w:val="20"/>
                    </w:rPr>
                    <w:t>PVN 21%:</w:t>
                  </w:r>
                </w:p>
              </w:tc>
              <w:tc>
                <w:tcPr>
                  <w:tcW w:w="1787" w:type="dxa"/>
                  <w:tcBorders>
                    <w:top w:val="nil"/>
                    <w:left w:val="nil"/>
                    <w:bottom w:val="single" w:sz="4" w:space="0" w:color="auto"/>
                    <w:right w:val="single" w:sz="4" w:space="0" w:color="auto"/>
                  </w:tcBorders>
                  <w:shd w:val="clear" w:color="auto" w:fill="auto"/>
                  <w:noWrap/>
                  <w:vAlign w:val="center"/>
                  <w:hideMark/>
                </w:tcPr>
                <w:p w14:paraId="163838B7" w14:textId="77777777" w:rsidR="00342DAE" w:rsidRPr="00224089" w:rsidRDefault="00342DAE" w:rsidP="00342DAE">
                  <w:pPr>
                    <w:jc w:val="center"/>
                    <w:rPr>
                      <w:color w:val="000000"/>
                      <w:sz w:val="20"/>
                      <w:szCs w:val="20"/>
                    </w:rPr>
                  </w:pPr>
                  <w:r w:rsidRPr="00224089">
                    <w:rPr>
                      <w:color w:val="000000"/>
                      <w:sz w:val="20"/>
                      <w:szCs w:val="20"/>
                    </w:rPr>
                    <w:t>19 903.27</w:t>
                  </w:r>
                </w:p>
              </w:tc>
              <w:tc>
                <w:tcPr>
                  <w:tcW w:w="246" w:type="dxa"/>
                  <w:vAlign w:val="center"/>
                  <w:hideMark/>
                </w:tcPr>
                <w:p w14:paraId="05E47603" w14:textId="77777777" w:rsidR="00342DAE" w:rsidRPr="00224089" w:rsidRDefault="00342DAE" w:rsidP="00342DAE">
                  <w:pPr>
                    <w:rPr>
                      <w:sz w:val="20"/>
                      <w:szCs w:val="20"/>
                    </w:rPr>
                  </w:pPr>
                </w:p>
              </w:tc>
            </w:tr>
            <w:tr w:rsidR="00342DAE" w:rsidRPr="00224089" w14:paraId="6ECA2B06" w14:textId="77777777" w:rsidTr="00480A65">
              <w:trPr>
                <w:trHeight w:val="323"/>
              </w:trPr>
              <w:tc>
                <w:tcPr>
                  <w:tcW w:w="534" w:type="dxa"/>
                  <w:tcBorders>
                    <w:top w:val="nil"/>
                    <w:left w:val="nil"/>
                    <w:bottom w:val="nil"/>
                    <w:right w:val="nil"/>
                  </w:tcBorders>
                  <w:shd w:val="clear" w:color="auto" w:fill="auto"/>
                  <w:noWrap/>
                  <w:vAlign w:val="center"/>
                  <w:hideMark/>
                </w:tcPr>
                <w:p w14:paraId="386ADC15" w14:textId="77777777" w:rsidR="00342DAE" w:rsidRPr="00224089" w:rsidRDefault="00342DAE" w:rsidP="00342DAE">
                  <w:pPr>
                    <w:jc w:val="center"/>
                    <w:rPr>
                      <w:color w:val="000000"/>
                      <w:sz w:val="20"/>
                      <w:szCs w:val="20"/>
                    </w:rPr>
                  </w:pPr>
                </w:p>
              </w:tc>
              <w:tc>
                <w:tcPr>
                  <w:tcW w:w="5005" w:type="dxa"/>
                  <w:tcBorders>
                    <w:top w:val="nil"/>
                    <w:left w:val="single" w:sz="4" w:space="0" w:color="auto"/>
                    <w:bottom w:val="single" w:sz="4" w:space="0" w:color="auto"/>
                    <w:right w:val="single" w:sz="4" w:space="0" w:color="auto"/>
                  </w:tcBorders>
                  <w:shd w:val="clear" w:color="auto" w:fill="auto"/>
                  <w:noWrap/>
                  <w:vAlign w:val="center"/>
                  <w:hideMark/>
                </w:tcPr>
                <w:p w14:paraId="7689D61C" w14:textId="77777777" w:rsidR="00342DAE" w:rsidRPr="00224089" w:rsidRDefault="00342DAE" w:rsidP="00342DAE">
                  <w:pPr>
                    <w:jc w:val="right"/>
                    <w:rPr>
                      <w:b/>
                      <w:bCs/>
                      <w:color w:val="000000"/>
                      <w:sz w:val="20"/>
                      <w:szCs w:val="20"/>
                      <w:u w:val="single"/>
                    </w:rPr>
                  </w:pPr>
                  <w:r w:rsidRPr="00224089">
                    <w:rPr>
                      <w:b/>
                      <w:bCs/>
                      <w:color w:val="000000"/>
                      <w:sz w:val="20"/>
                      <w:szCs w:val="20"/>
                      <w:u w:val="single"/>
                    </w:rPr>
                    <w:t>Pavisam būvniecības izmaksas:</w:t>
                  </w:r>
                </w:p>
              </w:tc>
              <w:tc>
                <w:tcPr>
                  <w:tcW w:w="1787" w:type="dxa"/>
                  <w:tcBorders>
                    <w:top w:val="nil"/>
                    <w:left w:val="nil"/>
                    <w:bottom w:val="single" w:sz="4" w:space="0" w:color="auto"/>
                    <w:right w:val="single" w:sz="4" w:space="0" w:color="auto"/>
                  </w:tcBorders>
                  <w:shd w:val="clear" w:color="auto" w:fill="auto"/>
                  <w:noWrap/>
                  <w:vAlign w:val="center"/>
                  <w:hideMark/>
                </w:tcPr>
                <w:p w14:paraId="20E7F120" w14:textId="77777777" w:rsidR="00342DAE" w:rsidRPr="00224089" w:rsidRDefault="00342DAE" w:rsidP="00342DAE">
                  <w:pPr>
                    <w:jc w:val="center"/>
                    <w:rPr>
                      <w:b/>
                      <w:bCs/>
                      <w:color w:val="000000"/>
                      <w:sz w:val="20"/>
                      <w:szCs w:val="20"/>
                    </w:rPr>
                  </w:pPr>
                  <w:r w:rsidRPr="00224089">
                    <w:rPr>
                      <w:b/>
                      <w:bCs/>
                      <w:color w:val="000000"/>
                      <w:sz w:val="20"/>
                      <w:szCs w:val="20"/>
                    </w:rPr>
                    <w:t>114 680.75</w:t>
                  </w:r>
                </w:p>
              </w:tc>
              <w:tc>
                <w:tcPr>
                  <w:tcW w:w="246" w:type="dxa"/>
                  <w:vAlign w:val="center"/>
                  <w:hideMark/>
                </w:tcPr>
                <w:p w14:paraId="7D1A2353" w14:textId="77777777" w:rsidR="00342DAE" w:rsidRPr="00224089" w:rsidRDefault="00342DAE" w:rsidP="00342DAE">
                  <w:pPr>
                    <w:rPr>
                      <w:sz w:val="20"/>
                      <w:szCs w:val="20"/>
                    </w:rPr>
                  </w:pPr>
                </w:p>
              </w:tc>
            </w:tr>
            <w:tr w:rsidR="00342DAE" w:rsidRPr="00224089" w14:paraId="1D2256DF" w14:textId="77777777" w:rsidTr="00480A65">
              <w:trPr>
                <w:trHeight w:val="237"/>
              </w:trPr>
              <w:tc>
                <w:tcPr>
                  <w:tcW w:w="534" w:type="dxa"/>
                  <w:tcBorders>
                    <w:top w:val="nil"/>
                    <w:left w:val="nil"/>
                    <w:bottom w:val="nil"/>
                    <w:right w:val="nil"/>
                  </w:tcBorders>
                  <w:shd w:val="clear" w:color="auto" w:fill="auto"/>
                  <w:noWrap/>
                  <w:vAlign w:val="center"/>
                  <w:hideMark/>
                </w:tcPr>
                <w:p w14:paraId="5CE17964" w14:textId="77777777" w:rsidR="00342DAE" w:rsidRPr="00224089" w:rsidRDefault="00342DAE" w:rsidP="00342DAE">
                  <w:pPr>
                    <w:jc w:val="center"/>
                    <w:rPr>
                      <w:b/>
                      <w:bCs/>
                      <w:color w:val="000000"/>
                      <w:sz w:val="20"/>
                      <w:szCs w:val="20"/>
                    </w:rPr>
                  </w:pPr>
                </w:p>
              </w:tc>
              <w:tc>
                <w:tcPr>
                  <w:tcW w:w="5005" w:type="dxa"/>
                  <w:tcBorders>
                    <w:top w:val="nil"/>
                    <w:left w:val="nil"/>
                    <w:bottom w:val="nil"/>
                    <w:right w:val="nil"/>
                  </w:tcBorders>
                  <w:shd w:val="clear" w:color="auto" w:fill="auto"/>
                  <w:noWrap/>
                  <w:vAlign w:val="center"/>
                  <w:hideMark/>
                </w:tcPr>
                <w:p w14:paraId="50FAE70A" w14:textId="77777777" w:rsidR="00342DAE" w:rsidRPr="00224089" w:rsidRDefault="00342DAE" w:rsidP="00342DAE">
                  <w:pPr>
                    <w:rPr>
                      <w:sz w:val="20"/>
                      <w:szCs w:val="20"/>
                    </w:rPr>
                  </w:pPr>
                </w:p>
              </w:tc>
              <w:tc>
                <w:tcPr>
                  <w:tcW w:w="1787" w:type="dxa"/>
                  <w:tcBorders>
                    <w:top w:val="nil"/>
                    <w:left w:val="nil"/>
                    <w:bottom w:val="nil"/>
                    <w:right w:val="nil"/>
                  </w:tcBorders>
                  <w:shd w:val="clear" w:color="auto" w:fill="auto"/>
                  <w:noWrap/>
                  <w:vAlign w:val="center"/>
                  <w:hideMark/>
                </w:tcPr>
                <w:p w14:paraId="447E522F" w14:textId="77777777" w:rsidR="00342DAE" w:rsidRPr="00224089" w:rsidRDefault="00342DAE" w:rsidP="00342DAE">
                  <w:pPr>
                    <w:rPr>
                      <w:sz w:val="20"/>
                      <w:szCs w:val="20"/>
                    </w:rPr>
                  </w:pPr>
                </w:p>
              </w:tc>
              <w:tc>
                <w:tcPr>
                  <w:tcW w:w="246" w:type="dxa"/>
                  <w:vAlign w:val="center"/>
                  <w:hideMark/>
                </w:tcPr>
                <w:p w14:paraId="3D23AFF6" w14:textId="77777777" w:rsidR="00342DAE" w:rsidRPr="00224089" w:rsidRDefault="00342DAE" w:rsidP="00342DAE">
                  <w:pPr>
                    <w:rPr>
                      <w:sz w:val="20"/>
                      <w:szCs w:val="20"/>
                    </w:rPr>
                  </w:pPr>
                </w:p>
              </w:tc>
            </w:tr>
            <w:tr w:rsidR="00342DAE" w:rsidRPr="00224089" w14:paraId="3521BF43" w14:textId="77777777" w:rsidTr="00480A65">
              <w:trPr>
                <w:trHeight w:val="266"/>
              </w:trPr>
              <w:tc>
                <w:tcPr>
                  <w:tcW w:w="534" w:type="dxa"/>
                  <w:tcBorders>
                    <w:top w:val="nil"/>
                    <w:left w:val="nil"/>
                    <w:bottom w:val="nil"/>
                    <w:right w:val="nil"/>
                  </w:tcBorders>
                  <w:shd w:val="clear" w:color="auto" w:fill="auto"/>
                  <w:noWrap/>
                  <w:vAlign w:val="center"/>
                  <w:hideMark/>
                </w:tcPr>
                <w:p w14:paraId="496B6F12" w14:textId="77777777" w:rsidR="00342DAE" w:rsidRPr="00224089" w:rsidRDefault="00342DAE" w:rsidP="00342DAE">
                  <w:pPr>
                    <w:rPr>
                      <w:sz w:val="20"/>
                      <w:szCs w:val="20"/>
                    </w:rPr>
                  </w:pPr>
                </w:p>
              </w:tc>
              <w:tc>
                <w:tcPr>
                  <w:tcW w:w="5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0D903" w14:textId="77777777" w:rsidR="00342DAE" w:rsidRPr="00224089" w:rsidRDefault="00342DAE" w:rsidP="00342DAE">
                  <w:pPr>
                    <w:rPr>
                      <w:b/>
                      <w:bCs/>
                      <w:color w:val="000000"/>
                      <w:sz w:val="20"/>
                      <w:szCs w:val="20"/>
                      <w:u w:val="single"/>
                    </w:rPr>
                  </w:pPr>
                  <w:r w:rsidRPr="00224089">
                    <w:rPr>
                      <w:b/>
                      <w:bCs/>
                      <w:color w:val="000000"/>
                      <w:sz w:val="20"/>
                      <w:szCs w:val="20"/>
                      <w:u w:val="single"/>
                    </w:rPr>
                    <w:t>Ar būvniecību saistītie pārējie izdevumi:</w:t>
                  </w:r>
                </w:p>
              </w:tc>
              <w:tc>
                <w:tcPr>
                  <w:tcW w:w="1787" w:type="dxa"/>
                  <w:tcBorders>
                    <w:top w:val="single" w:sz="4" w:space="0" w:color="auto"/>
                    <w:left w:val="nil"/>
                    <w:bottom w:val="single" w:sz="4" w:space="0" w:color="auto"/>
                    <w:right w:val="single" w:sz="4" w:space="0" w:color="auto"/>
                  </w:tcBorders>
                  <w:shd w:val="clear" w:color="auto" w:fill="auto"/>
                  <w:noWrap/>
                  <w:vAlign w:val="center"/>
                  <w:hideMark/>
                </w:tcPr>
                <w:p w14:paraId="04E208E8" w14:textId="77777777" w:rsidR="00342DAE" w:rsidRPr="00224089" w:rsidRDefault="00342DAE" w:rsidP="00342DAE">
                  <w:pPr>
                    <w:jc w:val="center"/>
                    <w:rPr>
                      <w:sz w:val="20"/>
                      <w:szCs w:val="20"/>
                    </w:rPr>
                  </w:pPr>
                  <w:r w:rsidRPr="00224089">
                    <w:rPr>
                      <w:sz w:val="20"/>
                      <w:szCs w:val="20"/>
                    </w:rPr>
                    <w:t> </w:t>
                  </w:r>
                </w:p>
              </w:tc>
              <w:tc>
                <w:tcPr>
                  <w:tcW w:w="246" w:type="dxa"/>
                  <w:vAlign w:val="center"/>
                  <w:hideMark/>
                </w:tcPr>
                <w:p w14:paraId="6E7C6453" w14:textId="77777777" w:rsidR="00342DAE" w:rsidRPr="00224089" w:rsidRDefault="00342DAE" w:rsidP="00342DAE">
                  <w:pPr>
                    <w:rPr>
                      <w:sz w:val="20"/>
                      <w:szCs w:val="20"/>
                    </w:rPr>
                  </w:pPr>
                </w:p>
              </w:tc>
            </w:tr>
            <w:tr w:rsidR="00342DAE" w:rsidRPr="00224089" w14:paraId="362582DA" w14:textId="77777777" w:rsidTr="00480A65">
              <w:trPr>
                <w:trHeight w:val="475"/>
              </w:trPr>
              <w:tc>
                <w:tcPr>
                  <w:tcW w:w="534" w:type="dxa"/>
                  <w:tcBorders>
                    <w:top w:val="nil"/>
                    <w:left w:val="nil"/>
                    <w:bottom w:val="nil"/>
                    <w:right w:val="nil"/>
                  </w:tcBorders>
                  <w:shd w:val="clear" w:color="auto" w:fill="auto"/>
                  <w:noWrap/>
                  <w:vAlign w:val="center"/>
                  <w:hideMark/>
                </w:tcPr>
                <w:p w14:paraId="6AB33199" w14:textId="77777777" w:rsidR="00342DAE" w:rsidRPr="00224089" w:rsidRDefault="00342DAE" w:rsidP="00342DAE">
                  <w:pPr>
                    <w:jc w:val="center"/>
                    <w:rPr>
                      <w:sz w:val="20"/>
                      <w:szCs w:val="20"/>
                    </w:rPr>
                  </w:pPr>
                </w:p>
              </w:tc>
              <w:tc>
                <w:tcPr>
                  <w:tcW w:w="5005" w:type="dxa"/>
                  <w:tcBorders>
                    <w:top w:val="nil"/>
                    <w:left w:val="single" w:sz="4" w:space="0" w:color="auto"/>
                    <w:bottom w:val="single" w:sz="4" w:space="0" w:color="auto"/>
                    <w:right w:val="single" w:sz="4" w:space="0" w:color="auto"/>
                  </w:tcBorders>
                  <w:shd w:val="clear" w:color="auto" w:fill="auto"/>
                  <w:vAlign w:val="center"/>
                  <w:hideMark/>
                </w:tcPr>
                <w:p w14:paraId="7782A6A0" w14:textId="7C10922B" w:rsidR="00342DAE" w:rsidRPr="00224089" w:rsidRDefault="00342DAE" w:rsidP="00342DAE">
                  <w:pPr>
                    <w:rPr>
                      <w:color w:val="000000"/>
                      <w:sz w:val="20"/>
                      <w:szCs w:val="20"/>
                    </w:rPr>
                  </w:pPr>
                  <w:r w:rsidRPr="00224089">
                    <w:rPr>
                      <w:color w:val="000000"/>
                      <w:sz w:val="20"/>
                      <w:szCs w:val="20"/>
                    </w:rPr>
                    <w:t xml:space="preserve">Jauna </w:t>
                  </w:r>
                  <w:proofErr w:type="spellStart"/>
                  <w:r w:rsidRPr="00224089">
                    <w:rPr>
                      <w:color w:val="000000"/>
                      <w:sz w:val="20"/>
                      <w:szCs w:val="20"/>
                    </w:rPr>
                    <w:t>elektropieslēguma</w:t>
                  </w:r>
                  <w:proofErr w:type="spellEnd"/>
                  <w:r w:rsidRPr="00224089">
                    <w:rPr>
                      <w:color w:val="000000"/>
                      <w:sz w:val="20"/>
                      <w:szCs w:val="20"/>
                    </w:rPr>
                    <w:t xml:space="preserve"> (no transformatora apakš</w:t>
                  </w:r>
                  <w:r w:rsidR="00EC56FE">
                    <w:rPr>
                      <w:color w:val="000000"/>
                      <w:sz w:val="20"/>
                      <w:szCs w:val="20"/>
                    </w:rPr>
                    <w:t>s</w:t>
                  </w:r>
                  <w:r w:rsidRPr="00224089">
                    <w:rPr>
                      <w:color w:val="000000"/>
                      <w:sz w:val="20"/>
                      <w:szCs w:val="20"/>
                    </w:rPr>
                    <w:t>tacijas līdz objektam) atbilstoši Tehniskiem noteikumiem Nr.117258211 projektēšanas darbi</w:t>
                  </w:r>
                </w:p>
              </w:tc>
              <w:tc>
                <w:tcPr>
                  <w:tcW w:w="1787" w:type="dxa"/>
                  <w:tcBorders>
                    <w:top w:val="nil"/>
                    <w:left w:val="nil"/>
                    <w:bottom w:val="single" w:sz="4" w:space="0" w:color="auto"/>
                    <w:right w:val="single" w:sz="4" w:space="0" w:color="auto"/>
                  </w:tcBorders>
                  <w:shd w:val="clear" w:color="auto" w:fill="auto"/>
                  <w:noWrap/>
                  <w:vAlign w:val="center"/>
                  <w:hideMark/>
                </w:tcPr>
                <w:p w14:paraId="6A3F457A" w14:textId="77777777" w:rsidR="00342DAE" w:rsidRPr="00224089" w:rsidRDefault="00342DAE" w:rsidP="00342DAE">
                  <w:pPr>
                    <w:jc w:val="center"/>
                    <w:rPr>
                      <w:sz w:val="20"/>
                      <w:szCs w:val="20"/>
                    </w:rPr>
                  </w:pPr>
                  <w:r w:rsidRPr="00224089">
                    <w:rPr>
                      <w:sz w:val="20"/>
                      <w:szCs w:val="20"/>
                    </w:rPr>
                    <w:t>4235.00</w:t>
                  </w:r>
                </w:p>
              </w:tc>
              <w:tc>
                <w:tcPr>
                  <w:tcW w:w="246" w:type="dxa"/>
                  <w:vAlign w:val="center"/>
                  <w:hideMark/>
                </w:tcPr>
                <w:p w14:paraId="1859552E" w14:textId="77777777" w:rsidR="00342DAE" w:rsidRPr="00224089" w:rsidRDefault="00342DAE" w:rsidP="00342DAE">
                  <w:pPr>
                    <w:rPr>
                      <w:sz w:val="20"/>
                      <w:szCs w:val="20"/>
                    </w:rPr>
                  </w:pPr>
                </w:p>
              </w:tc>
            </w:tr>
            <w:tr w:rsidR="00342DAE" w:rsidRPr="00224089" w14:paraId="0D36FD52" w14:textId="77777777" w:rsidTr="00480A65">
              <w:trPr>
                <w:trHeight w:val="237"/>
              </w:trPr>
              <w:tc>
                <w:tcPr>
                  <w:tcW w:w="534" w:type="dxa"/>
                  <w:tcBorders>
                    <w:top w:val="nil"/>
                    <w:left w:val="nil"/>
                    <w:bottom w:val="nil"/>
                    <w:right w:val="nil"/>
                  </w:tcBorders>
                  <w:shd w:val="clear" w:color="auto" w:fill="auto"/>
                  <w:noWrap/>
                  <w:vAlign w:val="center"/>
                  <w:hideMark/>
                </w:tcPr>
                <w:p w14:paraId="5819C76D" w14:textId="77777777" w:rsidR="00342DAE" w:rsidRPr="00224089" w:rsidRDefault="00342DAE" w:rsidP="00342DAE">
                  <w:pPr>
                    <w:jc w:val="center"/>
                    <w:rPr>
                      <w:sz w:val="20"/>
                      <w:szCs w:val="20"/>
                    </w:rPr>
                  </w:pPr>
                </w:p>
              </w:tc>
              <w:tc>
                <w:tcPr>
                  <w:tcW w:w="5005" w:type="dxa"/>
                  <w:tcBorders>
                    <w:top w:val="nil"/>
                    <w:left w:val="single" w:sz="4" w:space="0" w:color="auto"/>
                    <w:bottom w:val="single" w:sz="4" w:space="0" w:color="auto"/>
                    <w:right w:val="single" w:sz="4" w:space="0" w:color="auto"/>
                  </w:tcBorders>
                  <w:shd w:val="clear" w:color="auto" w:fill="auto"/>
                  <w:noWrap/>
                  <w:vAlign w:val="center"/>
                  <w:hideMark/>
                </w:tcPr>
                <w:p w14:paraId="70047F74" w14:textId="77777777" w:rsidR="00342DAE" w:rsidRPr="00224089" w:rsidRDefault="00342DAE" w:rsidP="00342DAE">
                  <w:pPr>
                    <w:rPr>
                      <w:color w:val="000000"/>
                      <w:sz w:val="20"/>
                      <w:szCs w:val="20"/>
                    </w:rPr>
                  </w:pPr>
                  <w:proofErr w:type="spellStart"/>
                  <w:r w:rsidRPr="00224089">
                    <w:rPr>
                      <w:color w:val="000000"/>
                      <w:sz w:val="20"/>
                      <w:szCs w:val="20"/>
                    </w:rPr>
                    <w:t>Elektrosadaļņu</w:t>
                  </w:r>
                  <w:proofErr w:type="spellEnd"/>
                  <w:r w:rsidRPr="00224089">
                    <w:rPr>
                      <w:color w:val="000000"/>
                      <w:sz w:val="20"/>
                      <w:szCs w:val="20"/>
                    </w:rPr>
                    <w:t xml:space="preserve"> un VADC teritorijā ieguldīto elektrokabeļu renovācijas projektēšanas darbi</w:t>
                  </w:r>
                </w:p>
              </w:tc>
              <w:tc>
                <w:tcPr>
                  <w:tcW w:w="1787" w:type="dxa"/>
                  <w:tcBorders>
                    <w:top w:val="nil"/>
                    <w:left w:val="nil"/>
                    <w:bottom w:val="single" w:sz="4" w:space="0" w:color="auto"/>
                    <w:right w:val="single" w:sz="4" w:space="0" w:color="auto"/>
                  </w:tcBorders>
                  <w:shd w:val="clear" w:color="auto" w:fill="auto"/>
                  <w:noWrap/>
                  <w:vAlign w:val="center"/>
                  <w:hideMark/>
                </w:tcPr>
                <w:p w14:paraId="779A83B1" w14:textId="77777777" w:rsidR="00342DAE" w:rsidRPr="00224089" w:rsidRDefault="00342DAE" w:rsidP="00342DAE">
                  <w:pPr>
                    <w:jc w:val="center"/>
                    <w:rPr>
                      <w:sz w:val="20"/>
                      <w:szCs w:val="20"/>
                    </w:rPr>
                  </w:pPr>
                  <w:r w:rsidRPr="00224089">
                    <w:rPr>
                      <w:sz w:val="20"/>
                      <w:szCs w:val="20"/>
                    </w:rPr>
                    <w:t>4840.00</w:t>
                  </w:r>
                </w:p>
              </w:tc>
              <w:tc>
                <w:tcPr>
                  <w:tcW w:w="246" w:type="dxa"/>
                  <w:vAlign w:val="center"/>
                  <w:hideMark/>
                </w:tcPr>
                <w:p w14:paraId="7DBB158F" w14:textId="77777777" w:rsidR="00342DAE" w:rsidRPr="00224089" w:rsidRDefault="00342DAE" w:rsidP="00342DAE">
                  <w:pPr>
                    <w:rPr>
                      <w:sz w:val="20"/>
                      <w:szCs w:val="20"/>
                    </w:rPr>
                  </w:pPr>
                </w:p>
              </w:tc>
            </w:tr>
            <w:tr w:rsidR="00342DAE" w:rsidRPr="00224089" w14:paraId="738643BE" w14:textId="77777777" w:rsidTr="00480A65">
              <w:trPr>
                <w:trHeight w:val="237"/>
              </w:trPr>
              <w:tc>
                <w:tcPr>
                  <w:tcW w:w="534" w:type="dxa"/>
                  <w:tcBorders>
                    <w:top w:val="nil"/>
                    <w:left w:val="nil"/>
                    <w:bottom w:val="nil"/>
                    <w:right w:val="nil"/>
                  </w:tcBorders>
                  <w:shd w:val="clear" w:color="auto" w:fill="auto"/>
                  <w:noWrap/>
                  <w:vAlign w:val="center"/>
                  <w:hideMark/>
                </w:tcPr>
                <w:p w14:paraId="11A0FBB3" w14:textId="77777777" w:rsidR="00342DAE" w:rsidRPr="00224089" w:rsidRDefault="00342DAE" w:rsidP="00342DAE">
                  <w:pPr>
                    <w:jc w:val="center"/>
                    <w:rPr>
                      <w:sz w:val="20"/>
                      <w:szCs w:val="20"/>
                    </w:rPr>
                  </w:pPr>
                </w:p>
              </w:tc>
              <w:tc>
                <w:tcPr>
                  <w:tcW w:w="5005" w:type="dxa"/>
                  <w:tcBorders>
                    <w:top w:val="nil"/>
                    <w:left w:val="single" w:sz="4" w:space="0" w:color="auto"/>
                    <w:bottom w:val="single" w:sz="4" w:space="0" w:color="auto"/>
                    <w:right w:val="single" w:sz="4" w:space="0" w:color="auto"/>
                  </w:tcBorders>
                  <w:shd w:val="clear" w:color="auto" w:fill="auto"/>
                  <w:noWrap/>
                  <w:vAlign w:val="center"/>
                  <w:hideMark/>
                </w:tcPr>
                <w:p w14:paraId="67E4AB63" w14:textId="53C8B276" w:rsidR="00342DAE" w:rsidRPr="00465DA9" w:rsidRDefault="00465DA9" w:rsidP="00342DAE">
                  <w:pPr>
                    <w:rPr>
                      <w:color w:val="000000"/>
                      <w:sz w:val="20"/>
                      <w:szCs w:val="20"/>
                    </w:rPr>
                  </w:pPr>
                  <w:r w:rsidRPr="00465DA9">
                    <w:rPr>
                      <w:color w:val="201F1E"/>
                      <w:sz w:val="20"/>
                      <w:szCs w:val="20"/>
                      <w:shd w:val="clear" w:color="auto" w:fill="FFFFFF"/>
                    </w:rPr>
                    <w:t>Projekta vadības (administratīvās) izmaksas</w:t>
                  </w:r>
                  <w:r>
                    <w:rPr>
                      <w:color w:val="201F1E"/>
                      <w:sz w:val="20"/>
                      <w:szCs w:val="20"/>
                      <w:shd w:val="clear" w:color="auto" w:fill="FFFFFF"/>
                    </w:rPr>
                    <w:t xml:space="preserve">, </w:t>
                  </w:r>
                  <w:r w:rsidRPr="00465DA9">
                    <w:rPr>
                      <w:color w:val="201F1E"/>
                      <w:sz w:val="20"/>
                      <w:szCs w:val="20"/>
                      <w:shd w:val="clear" w:color="auto" w:fill="FFFFFF"/>
                    </w:rPr>
                    <w:t xml:space="preserve">kas </w:t>
                  </w:r>
                  <w:r>
                    <w:rPr>
                      <w:color w:val="201F1E"/>
                      <w:sz w:val="20"/>
                      <w:szCs w:val="20"/>
                      <w:shd w:val="clear" w:color="auto" w:fill="FFFFFF"/>
                    </w:rPr>
                    <w:t xml:space="preserve">veidojas - </w:t>
                  </w:r>
                  <w:r w:rsidRPr="00465DA9">
                    <w:rPr>
                      <w:color w:val="201F1E"/>
                      <w:sz w:val="20"/>
                      <w:szCs w:val="20"/>
                      <w:shd w:val="clear" w:color="auto" w:fill="FFFFFF"/>
                    </w:rPr>
                    <w:t>132h* x 33 EUR/h</w:t>
                  </w:r>
                  <w:r w:rsidRPr="00465DA9">
                    <w:rPr>
                      <w:color w:val="000000"/>
                      <w:sz w:val="20"/>
                      <w:szCs w:val="20"/>
                    </w:rPr>
                    <w:t>.</w:t>
                  </w:r>
                </w:p>
              </w:tc>
              <w:tc>
                <w:tcPr>
                  <w:tcW w:w="1787" w:type="dxa"/>
                  <w:tcBorders>
                    <w:top w:val="nil"/>
                    <w:left w:val="nil"/>
                    <w:bottom w:val="single" w:sz="4" w:space="0" w:color="auto"/>
                    <w:right w:val="single" w:sz="4" w:space="0" w:color="auto"/>
                  </w:tcBorders>
                  <w:shd w:val="clear" w:color="auto" w:fill="auto"/>
                  <w:noWrap/>
                  <w:vAlign w:val="center"/>
                  <w:hideMark/>
                </w:tcPr>
                <w:p w14:paraId="4A8FD8FE" w14:textId="77777777" w:rsidR="00342DAE" w:rsidRPr="00465DA9" w:rsidRDefault="00342DAE" w:rsidP="00342DAE">
                  <w:pPr>
                    <w:jc w:val="center"/>
                    <w:rPr>
                      <w:sz w:val="20"/>
                      <w:szCs w:val="20"/>
                    </w:rPr>
                  </w:pPr>
                  <w:r w:rsidRPr="00465DA9">
                    <w:rPr>
                      <w:sz w:val="20"/>
                      <w:szCs w:val="20"/>
                    </w:rPr>
                    <w:t>4356.00</w:t>
                  </w:r>
                </w:p>
              </w:tc>
              <w:tc>
                <w:tcPr>
                  <w:tcW w:w="246" w:type="dxa"/>
                  <w:vAlign w:val="center"/>
                  <w:hideMark/>
                </w:tcPr>
                <w:p w14:paraId="0B8474EC" w14:textId="77777777" w:rsidR="00342DAE" w:rsidRPr="00224089" w:rsidRDefault="00342DAE" w:rsidP="00342DAE">
                  <w:pPr>
                    <w:rPr>
                      <w:sz w:val="20"/>
                      <w:szCs w:val="20"/>
                    </w:rPr>
                  </w:pPr>
                </w:p>
              </w:tc>
            </w:tr>
            <w:tr w:rsidR="00342DAE" w:rsidRPr="00224089" w14:paraId="1F9C3FEF" w14:textId="77777777" w:rsidTr="00480A65">
              <w:trPr>
                <w:trHeight w:val="309"/>
              </w:trPr>
              <w:tc>
                <w:tcPr>
                  <w:tcW w:w="534" w:type="dxa"/>
                  <w:tcBorders>
                    <w:top w:val="nil"/>
                    <w:left w:val="nil"/>
                    <w:bottom w:val="nil"/>
                    <w:right w:val="nil"/>
                  </w:tcBorders>
                  <w:shd w:val="clear" w:color="auto" w:fill="auto"/>
                  <w:noWrap/>
                  <w:vAlign w:val="bottom"/>
                  <w:hideMark/>
                </w:tcPr>
                <w:p w14:paraId="00E1D134" w14:textId="77777777" w:rsidR="00342DAE" w:rsidRPr="00224089" w:rsidRDefault="00342DAE" w:rsidP="00342DAE">
                  <w:pPr>
                    <w:jc w:val="center"/>
                    <w:rPr>
                      <w:sz w:val="20"/>
                      <w:szCs w:val="20"/>
                    </w:rPr>
                  </w:pPr>
                </w:p>
              </w:tc>
              <w:tc>
                <w:tcPr>
                  <w:tcW w:w="5005" w:type="dxa"/>
                  <w:tcBorders>
                    <w:top w:val="nil"/>
                    <w:left w:val="single" w:sz="4" w:space="0" w:color="auto"/>
                    <w:bottom w:val="single" w:sz="4" w:space="0" w:color="auto"/>
                    <w:right w:val="single" w:sz="4" w:space="0" w:color="auto"/>
                  </w:tcBorders>
                  <w:shd w:val="clear" w:color="auto" w:fill="auto"/>
                  <w:noWrap/>
                  <w:vAlign w:val="center"/>
                  <w:hideMark/>
                </w:tcPr>
                <w:p w14:paraId="7223710F" w14:textId="77777777" w:rsidR="00342DAE" w:rsidRPr="00224089" w:rsidRDefault="00342DAE" w:rsidP="00342DAE">
                  <w:pPr>
                    <w:jc w:val="right"/>
                    <w:rPr>
                      <w:b/>
                      <w:bCs/>
                      <w:color w:val="000000"/>
                      <w:sz w:val="20"/>
                      <w:szCs w:val="20"/>
                    </w:rPr>
                  </w:pPr>
                  <w:r w:rsidRPr="00224089">
                    <w:rPr>
                      <w:b/>
                      <w:bCs/>
                      <w:color w:val="000000"/>
                      <w:sz w:val="20"/>
                      <w:szCs w:val="20"/>
                    </w:rPr>
                    <w:t>kopā:</w:t>
                  </w:r>
                </w:p>
              </w:tc>
              <w:tc>
                <w:tcPr>
                  <w:tcW w:w="1787" w:type="dxa"/>
                  <w:tcBorders>
                    <w:top w:val="nil"/>
                    <w:left w:val="nil"/>
                    <w:bottom w:val="single" w:sz="4" w:space="0" w:color="auto"/>
                    <w:right w:val="single" w:sz="4" w:space="0" w:color="auto"/>
                  </w:tcBorders>
                  <w:shd w:val="clear" w:color="auto" w:fill="auto"/>
                  <w:noWrap/>
                  <w:vAlign w:val="center"/>
                  <w:hideMark/>
                </w:tcPr>
                <w:p w14:paraId="54B53CFE" w14:textId="77777777" w:rsidR="00342DAE" w:rsidRPr="00224089" w:rsidRDefault="00342DAE" w:rsidP="00342DAE">
                  <w:pPr>
                    <w:jc w:val="center"/>
                    <w:rPr>
                      <w:b/>
                      <w:bCs/>
                      <w:sz w:val="20"/>
                      <w:szCs w:val="20"/>
                    </w:rPr>
                  </w:pPr>
                  <w:r w:rsidRPr="00224089">
                    <w:rPr>
                      <w:b/>
                      <w:bCs/>
                      <w:sz w:val="20"/>
                      <w:szCs w:val="20"/>
                    </w:rPr>
                    <w:t>13 431.00</w:t>
                  </w:r>
                </w:p>
              </w:tc>
              <w:tc>
                <w:tcPr>
                  <w:tcW w:w="246" w:type="dxa"/>
                  <w:vAlign w:val="center"/>
                  <w:hideMark/>
                </w:tcPr>
                <w:p w14:paraId="47F1BAE8" w14:textId="77777777" w:rsidR="00342DAE" w:rsidRPr="00224089" w:rsidRDefault="00342DAE" w:rsidP="00342DAE">
                  <w:pPr>
                    <w:rPr>
                      <w:sz w:val="20"/>
                      <w:szCs w:val="20"/>
                    </w:rPr>
                  </w:pPr>
                </w:p>
              </w:tc>
            </w:tr>
            <w:tr w:rsidR="00342DAE" w:rsidRPr="00224089" w14:paraId="14A66AF7" w14:textId="77777777" w:rsidTr="00480A65">
              <w:trPr>
                <w:trHeight w:val="252"/>
              </w:trPr>
              <w:tc>
                <w:tcPr>
                  <w:tcW w:w="534" w:type="dxa"/>
                  <w:tcBorders>
                    <w:top w:val="nil"/>
                    <w:left w:val="nil"/>
                    <w:bottom w:val="nil"/>
                    <w:right w:val="nil"/>
                  </w:tcBorders>
                  <w:shd w:val="clear" w:color="auto" w:fill="auto"/>
                  <w:noWrap/>
                  <w:vAlign w:val="bottom"/>
                  <w:hideMark/>
                </w:tcPr>
                <w:p w14:paraId="484D6BA5" w14:textId="77777777" w:rsidR="00342DAE" w:rsidRPr="00224089" w:rsidRDefault="00342DAE" w:rsidP="00342DAE">
                  <w:pPr>
                    <w:jc w:val="center"/>
                    <w:rPr>
                      <w:b/>
                      <w:bCs/>
                      <w:sz w:val="20"/>
                      <w:szCs w:val="20"/>
                    </w:rPr>
                  </w:pPr>
                </w:p>
              </w:tc>
              <w:tc>
                <w:tcPr>
                  <w:tcW w:w="5005" w:type="dxa"/>
                  <w:tcBorders>
                    <w:top w:val="nil"/>
                    <w:left w:val="single" w:sz="4" w:space="0" w:color="auto"/>
                    <w:bottom w:val="single" w:sz="4" w:space="0" w:color="auto"/>
                    <w:right w:val="single" w:sz="4" w:space="0" w:color="auto"/>
                  </w:tcBorders>
                  <w:shd w:val="clear" w:color="auto" w:fill="auto"/>
                  <w:noWrap/>
                  <w:vAlign w:val="bottom"/>
                  <w:hideMark/>
                </w:tcPr>
                <w:p w14:paraId="5D277F24" w14:textId="77777777" w:rsidR="00342DAE" w:rsidRPr="00224089" w:rsidRDefault="00342DAE" w:rsidP="00342DAE">
                  <w:pPr>
                    <w:jc w:val="right"/>
                    <w:rPr>
                      <w:b/>
                      <w:bCs/>
                      <w:color w:val="000000"/>
                      <w:sz w:val="20"/>
                      <w:szCs w:val="20"/>
                    </w:rPr>
                  </w:pPr>
                  <w:r w:rsidRPr="00224089">
                    <w:rPr>
                      <w:b/>
                      <w:bCs/>
                      <w:color w:val="000000"/>
                      <w:sz w:val="20"/>
                      <w:szCs w:val="20"/>
                    </w:rPr>
                    <w:t> </w:t>
                  </w:r>
                </w:p>
              </w:tc>
              <w:tc>
                <w:tcPr>
                  <w:tcW w:w="1787" w:type="dxa"/>
                  <w:tcBorders>
                    <w:top w:val="nil"/>
                    <w:left w:val="nil"/>
                    <w:bottom w:val="single" w:sz="4" w:space="0" w:color="auto"/>
                    <w:right w:val="single" w:sz="4" w:space="0" w:color="auto"/>
                  </w:tcBorders>
                  <w:shd w:val="clear" w:color="auto" w:fill="auto"/>
                  <w:noWrap/>
                  <w:vAlign w:val="bottom"/>
                  <w:hideMark/>
                </w:tcPr>
                <w:p w14:paraId="4F457EFD" w14:textId="77777777" w:rsidR="00342DAE" w:rsidRPr="00224089" w:rsidRDefault="00342DAE" w:rsidP="00342DAE">
                  <w:pPr>
                    <w:jc w:val="center"/>
                    <w:rPr>
                      <w:b/>
                      <w:bCs/>
                      <w:sz w:val="20"/>
                      <w:szCs w:val="20"/>
                    </w:rPr>
                  </w:pPr>
                  <w:r w:rsidRPr="00224089">
                    <w:rPr>
                      <w:b/>
                      <w:bCs/>
                      <w:sz w:val="20"/>
                      <w:szCs w:val="20"/>
                    </w:rPr>
                    <w:t> </w:t>
                  </w:r>
                </w:p>
              </w:tc>
              <w:tc>
                <w:tcPr>
                  <w:tcW w:w="246" w:type="dxa"/>
                  <w:vAlign w:val="center"/>
                  <w:hideMark/>
                </w:tcPr>
                <w:p w14:paraId="382593DE" w14:textId="77777777" w:rsidR="00342DAE" w:rsidRPr="00224089" w:rsidRDefault="00342DAE" w:rsidP="00342DAE">
                  <w:pPr>
                    <w:rPr>
                      <w:sz w:val="20"/>
                      <w:szCs w:val="20"/>
                    </w:rPr>
                  </w:pPr>
                </w:p>
              </w:tc>
            </w:tr>
            <w:tr w:rsidR="00342DAE" w:rsidRPr="00224089" w14:paraId="201AD0D9" w14:textId="77777777" w:rsidTr="00480A65">
              <w:trPr>
                <w:trHeight w:val="342"/>
              </w:trPr>
              <w:tc>
                <w:tcPr>
                  <w:tcW w:w="534" w:type="dxa"/>
                  <w:tcBorders>
                    <w:top w:val="nil"/>
                    <w:left w:val="nil"/>
                    <w:bottom w:val="nil"/>
                    <w:right w:val="nil"/>
                  </w:tcBorders>
                  <w:shd w:val="clear" w:color="auto" w:fill="auto"/>
                  <w:noWrap/>
                  <w:vAlign w:val="bottom"/>
                  <w:hideMark/>
                </w:tcPr>
                <w:p w14:paraId="4F624BDD" w14:textId="77777777" w:rsidR="00342DAE" w:rsidRPr="00224089" w:rsidRDefault="00342DAE" w:rsidP="00342DAE">
                  <w:pPr>
                    <w:jc w:val="center"/>
                    <w:rPr>
                      <w:b/>
                      <w:bCs/>
                      <w:sz w:val="20"/>
                      <w:szCs w:val="20"/>
                    </w:rPr>
                  </w:pPr>
                </w:p>
              </w:tc>
              <w:tc>
                <w:tcPr>
                  <w:tcW w:w="5005" w:type="dxa"/>
                  <w:tcBorders>
                    <w:top w:val="nil"/>
                    <w:left w:val="single" w:sz="4" w:space="0" w:color="auto"/>
                    <w:bottom w:val="single" w:sz="4" w:space="0" w:color="auto"/>
                    <w:right w:val="single" w:sz="4" w:space="0" w:color="auto"/>
                  </w:tcBorders>
                  <w:shd w:val="clear" w:color="auto" w:fill="auto"/>
                  <w:noWrap/>
                  <w:vAlign w:val="center"/>
                  <w:hideMark/>
                </w:tcPr>
                <w:p w14:paraId="090537BA" w14:textId="77777777" w:rsidR="00342DAE" w:rsidRPr="00224089" w:rsidRDefault="00342DAE" w:rsidP="00342DAE">
                  <w:pPr>
                    <w:jc w:val="right"/>
                    <w:rPr>
                      <w:b/>
                      <w:bCs/>
                      <w:color w:val="000000"/>
                      <w:sz w:val="20"/>
                      <w:szCs w:val="20"/>
                      <w:u w:val="single"/>
                    </w:rPr>
                  </w:pPr>
                  <w:r w:rsidRPr="00224089">
                    <w:rPr>
                      <w:b/>
                      <w:bCs/>
                      <w:color w:val="000000"/>
                      <w:sz w:val="20"/>
                      <w:szCs w:val="20"/>
                      <w:u w:val="single"/>
                    </w:rPr>
                    <w:t>Pavisam izmaksas:</w:t>
                  </w:r>
                </w:p>
              </w:tc>
              <w:tc>
                <w:tcPr>
                  <w:tcW w:w="1787" w:type="dxa"/>
                  <w:tcBorders>
                    <w:top w:val="nil"/>
                    <w:left w:val="nil"/>
                    <w:bottom w:val="single" w:sz="4" w:space="0" w:color="auto"/>
                    <w:right w:val="single" w:sz="4" w:space="0" w:color="auto"/>
                  </w:tcBorders>
                  <w:shd w:val="clear" w:color="auto" w:fill="auto"/>
                  <w:noWrap/>
                  <w:vAlign w:val="center"/>
                  <w:hideMark/>
                </w:tcPr>
                <w:p w14:paraId="28379744" w14:textId="77777777" w:rsidR="00342DAE" w:rsidRPr="00224089" w:rsidRDefault="00342DAE" w:rsidP="00342DAE">
                  <w:pPr>
                    <w:jc w:val="center"/>
                    <w:rPr>
                      <w:b/>
                      <w:bCs/>
                      <w:sz w:val="20"/>
                      <w:szCs w:val="20"/>
                    </w:rPr>
                  </w:pPr>
                  <w:r w:rsidRPr="00224089">
                    <w:rPr>
                      <w:b/>
                      <w:bCs/>
                      <w:sz w:val="20"/>
                      <w:szCs w:val="20"/>
                    </w:rPr>
                    <w:t>128 111.75</w:t>
                  </w:r>
                </w:p>
              </w:tc>
              <w:tc>
                <w:tcPr>
                  <w:tcW w:w="246" w:type="dxa"/>
                  <w:vAlign w:val="center"/>
                  <w:hideMark/>
                </w:tcPr>
                <w:p w14:paraId="77B2C41F" w14:textId="77777777" w:rsidR="00342DAE" w:rsidRPr="00224089" w:rsidRDefault="00342DAE" w:rsidP="00342DAE">
                  <w:pPr>
                    <w:rPr>
                      <w:sz w:val="20"/>
                      <w:szCs w:val="20"/>
                    </w:rPr>
                  </w:pPr>
                </w:p>
              </w:tc>
            </w:tr>
          </w:tbl>
          <w:p w14:paraId="2DB7B2F1" w14:textId="42BA3567" w:rsidR="00342DAE" w:rsidRPr="00465DA9" w:rsidRDefault="00465DA9" w:rsidP="003A46F2">
            <w:pPr>
              <w:ind w:left="78" w:right="71" w:firstLine="362"/>
              <w:jc w:val="both"/>
              <w:rPr>
                <w:sz w:val="20"/>
                <w:szCs w:val="20"/>
                <w:lang w:eastAsia="en-US"/>
              </w:rPr>
            </w:pPr>
            <w:r w:rsidRPr="00465DA9">
              <w:rPr>
                <w:color w:val="201F1E"/>
                <w:sz w:val="20"/>
                <w:szCs w:val="20"/>
                <w:shd w:val="clear" w:color="auto" w:fill="FFFFFF"/>
              </w:rPr>
              <w:t>*Norādītais stundu skaits ir indikatīvs, kas var mainīties atkarībā no faktiski patērētā laika projekta vadībā.</w:t>
            </w:r>
          </w:p>
          <w:p w14:paraId="295D086F" w14:textId="4768C7C1" w:rsidR="00D11F9F" w:rsidRPr="00224089" w:rsidRDefault="00925151" w:rsidP="00513F3B">
            <w:pPr>
              <w:ind w:right="71"/>
              <w:jc w:val="both"/>
              <w:rPr>
                <w:lang w:eastAsia="en-US"/>
              </w:rPr>
            </w:pPr>
            <w:r w:rsidRPr="00224089">
              <w:rPr>
                <w:lang w:eastAsia="en-US"/>
              </w:rPr>
              <w:lastRenderedPageBreak/>
              <w:t>Finansējums tiks izlietots līdz 202</w:t>
            </w:r>
            <w:r w:rsidR="007F0AF1" w:rsidRPr="00224089">
              <w:rPr>
                <w:lang w:eastAsia="en-US"/>
              </w:rPr>
              <w:t>1</w:t>
            </w:r>
            <w:r w:rsidRPr="00224089">
              <w:rPr>
                <w:lang w:eastAsia="en-US"/>
              </w:rPr>
              <w:t>.gada beigām.</w:t>
            </w:r>
          </w:p>
        </w:tc>
      </w:tr>
      <w:tr w:rsidR="003A46F2" w:rsidRPr="00224089" w14:paraId="7BB789AC" w14:textId="77777777" w:rsidTr="009547D2">
        <w:tc>
          <w:tcPr>
            <w:tcW w:w="1702" w:type="dxa"/>
            <w:vAlign w:val="center"/>
          </w:tcPr>
          <w:p w14:paraId="75C59532" w14:textId="77777777" w:rsidR="00F530FE" w:rsidRPr="00224089" w:rsidRDefault="00F530FE" w:rsidP="00F530FE">
            <w:pPr>
              <w:pStyle w:val="NoSpacing"/>
              <w:jc w:val="both"/>
              <w:rPr>
                <w:rFonts w:ascii="Times New Roman" w:hAnsi="Times New Roman" w:cs="Times New Roman"/>
                <w:iCs/>
                <w:sz w:val="24"/>
                <w:szCs w:val="24"/>
                <w:lang w:eastAsia="lv-LV"/>
              </w:rPr>
            </w:pPr>
            <w:r w:rsidRPr="00224089">
              <w:rPr>
                <w:rFonts w:ascii="Times New Roman" w:hAnsi="Times New Roman" w:cs="Times New Roman"/>
                <w:iCs/>
                <w:sz w:val="24"/>
                <w:szCs w:val="24"/>
                <w:lang w:eastAsia="lv-LV"/>
              </w:rPr>
              <w:lastRenderedPageBreak/>
              <w:t>6.1. detalizēts ieņēmumu aprēķins</w:t>
            </w:r>
          </w:p>
        </w:tc>
        <w:tc>
          <w:tcPr>
            <w:tcW w:w="7654" w:type="dxa"/>
            <w:gridSpan w:val="7"/>
            <w:vMerge/>
            <w:shd w:val="clear" w:color="auto" w:fill="auto"/>
            <w:vAlign w:val="center"/>
          </w:tcPr>
          <w:p w14:paraId="37F98D89" w14:textId="77777777" w:rsidR="00F530FE" w:rsidRPr="00224089" w:rsidRDefault="00F530FE" w:rsidP="00F530FE">
            <w:pPr>
              <w:pStyle w:val="NoSpacing"/>
              <w:rPr>
                <w:rFonts w:ascii="Times New Roman" w:hAnsi="Times New Roman" w:cs="Times New Roman"/>
                <w:iCs/>
                <w:sz w:val="24"/>
                <w:szCs w:val="24"/>
                <w:lang w:eastAsia="lv-LV"/>
              </w:rPr>
            </w:pPr>
          </w:p>
        </w:tc>
      </w:tr>
      <w:tr w:rsidR="003A46F2" w:rsidRPr="00224089" w14:paraId="06C252D3" w14:textId="77777777" w:rsidTr="009547D2">
        <w:tc>
          <w:tcPr>
            <w:tcW w:w="1702" w:type="dxa"/>
            <w:vAlign w:val="center"/>
          </w:tcPr>
          <w:p w14:paraId="4B298192" w14:textId="77777777" w:rsidR="00F530FE" w:rsidRPr="00224089" w:rsidRDefault="00F530FE" w:rsidP="00F530FE">
            <w:pPr>
              <w:pStyle w:val="NoSpacing"/>
              <w:jc w:val="both"/>
              <w:rPr>
                <w:rFonts w:ascii="Times New Roman" w:hAnsi="Times New Roman" w:cs="Times New Roman"/>
                <w:iCs/>
                <w:sz w:val="24"/>
                <w:szCs w:val="24"/>
                <w:lang w:eastAsia="lv-LV"/>
              </w:rPr>
            </w:pPr>
            <w:r w:rsidRPr="00224089">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14:paraId="125CA212" w14:textId="77777777" w:rsidR="00F530FE" w:rsidRPr="00224089" w:rsidRDefault="00F530FE" w:rsidP="00F530FE">
            <w:pPr>
              <w:pStyle w:val="NoSpacing"/>
              <w:rPr>
                <w:rFonts w:ascii="Times New Roman" w:hAnsi="Times New Roman" w:cs="Times New Roman"/>
                <w:iCs/>
                <w:sz w:val="24"/>
                <w:szCs w:val="24"/>
                <w:lang w:eastAsia="lv-LV"/>
              </w:rPr>
            </w:pPr>
          </w:p>
        </w:tc>
      </w:tr>
      <w:tr w:rsidR="003A46F2" w:rsidRPr="00224089" w14:paraId="691A3E92" w14:textId="77777777" w:rsidTr="002074A4">
        <w:tc>
          <w:tcPr>
            <w:tcW w:w="1702" w:type="dxa"/>
            <w:vAlign w:val="center"/>
          </w:tcPr>
          <w:p w14:paraId="67F02AA9" w14:textId="77777777" w:rsidR="00F530FE" w:rsidRPr="00224089" w:rsidRDefault="00F530FE" w:rsidP="00F530FE">
            <w:pPr>
              <w:pStyle w:val="NoSpacing"/>
              <w:jc w:val="both"/>
              <w:rPr>
                <w:rFonts w:ascii="Times New Roman" w:hAnsi="Times New Roman" w:cs="Times New Roman"/>
                <w:iCs/>
                <w:sz w:val="24"/>
                <w:szCs w:val="24"/>
                <w:lang w:eastAsia="lv-LV"/>
              </w:rPr>
            </w:pPr>
            <w:r w:rsidRPr="00224089">
              <w:rPr>
                <w:rFonts w:ascii="Times New Roman" w:hAnsi="Times New Roman" w:cs="Times New Roman"/>
                <w:iCs/>
                <w:sz w:val="24"/>
                <w:szCs w:val="24"/>
                <w:lang w:eastAsia="lv-LV"/>
              </w:rPr>
              <w:t>7. Amata vietu skaita izmaiņas</w:t>
            </w:r>
          </w:p>
        </w:tc>
        <w:tc>
          <w:tcPr>
            <w:tcW w:w="7654" w:type="dxa"/>
            <w:gridSpan w:val="7"/>
            <w:vAlign w:val="center"/>
          </w:tcPr>
          <w:p w14:paraId="03A19693" w14:textId="77777777" w:rsidR="00F530FE" w:rsidRPr="00224089" w:rsidRDefault="00F530FE" w:rsidP="00F530FE">
            <w:pPr>
              <w:pStyle w:val="NoSpacing"/>
              <w:rPr>
                <w:rFonts w:ascii="Times New Roman" w:hAnsi="Times New Roman" w:cs="Times New Roman"/>
                <w:iCs/>
                <w:sz w:val="24"/>
                <w:szCs w:val="24"/>
                <w:lang w:eastAsia="lv-LV"/>
              </w:rPr>
            </w:pPr>
            <w:r w:rsidRPr="00224089">
              <w:rPr>
                <w:rFonts w:ascii="Times New Roman" w:hAnsi="Times New Roman" w:cs="Times New Roman"/>
                <w:sz w:val="24"/>
              </w:rPr>
              <w:t>Projekts šo jomu neskar.</w:t>
            </w:r>
          </w:p>
        </w:tc>
      </w:tr>
      <w:tr w:rsidR="003A46F2" w:rsidRPr="00224089" w14:paraId="483AEF68" w14:textId="77777777" w:rsidTr="002074A4">
        <w:tc>
          <w:tcPr>
            <w:tcW w:w="1702" w:type="dxa"/>
            <w:vAlign w:val="center"/>
          </w:tcPr>
          <w:p w14:paraId="2EDF5795" w14:textId="77777777" w:rsidR="00F530FE" w:rsidRPr="00224089" w:rsidRDefault="00F530FE" w:rsidP="00F530FE">
            <w:pPr>
              <w:pStyle w:val="NoSpacing"/>
              <w:jc w:val="both"/>
              <w:rPr>
                <w:rFonts w:ascii="Times New Roman" w:hAnsi="Times New Roman" w:cs="Times New Roman"/>
                <w:iCs/>
                <w:sz w:val="24"/>
                <w:szCs w:val="24"/>
                <w:lang w:eastAsia="lv-LV"/>
              </w:rPr>
            </w:pPr>
            <w:r w:rsidRPr="00224089">
              <w:rPr>
                <w:rFonts w:ascii="Times New Roman" w:hAnsi="Times New Roman" w:cs="Times New Roman"/>
                <w:iCs/>
                <w:sz w:val="24"/>
                <w:szCs w:val="24"/>
                <w:lang w:eastAsia="lv-LV"/>
              </w:rPr>
              <w:t>8. Cita informācija</w:t>
            </w:r>
          </w:p>
        </w:tc>
        <w:tc>
          <w:tcPr>
            <w:tcW w:w="7654" w:type="dxa"/>
            <w:gridSpan w:val="7"/>
            <w:vAlign w:val="center"/>
          </w:tcPr>
          <w:p w14:paraId="492FC239" w14:textId="65CA77A4" w:rsidR="00F530FE" w:rsidRPr="00224089" w:rsidRDefault="00B16FE9" w:rsidP="00F530FE">
            <w:pPr>
              <w:pStyle w:val="NoSpacing"/>
              <w:jc w:val="both"/>
              <w:rPr>
                <w:rFonts w:ascii="Times New Roman" w:hAnsi="Times New Roman" w:cs="Times New Roman"/>
                <w:iCs/>
                <w:sz w:val="24"/>
                <w:szCs w:val="24"/>
                <w:lang w:eastAsia="lv-LV"/>
              </w:rPr>
            </w:pPr>
            <w:r w:rsidRPr="00224089">
              <w:rPr>
                <w:rFonts w:ascii="Times New Roman" w:hAnsi="Times New Roman" w:cs="Times New Roman"/>
                <w:sz w:val="24"/>
                <w:szCs w:val="24"/>
              </w:rPr>
              <w:t>Ņemot vērā, ka nekustamo īpašumu atsavināšan</w:t>
            </w:r>
            <w:r w:rsidR="00C55175" w:rsidRPr="00224089">
              <w:rPr>
                <w:rFonts w:ascii="Times New Roman" w:hAnsi="Times New Roman" w:cs="Times New Roman"/>
                <w:sz w:val="24"/>
                <w:szCs w:val="24"/>
              </w:rPr>
              <w:t>as rezultātā budžetā pārskaitītā summa ir</w:t>
            </w:r>
            <w:r w:rsidRPr="00224089">
              <w:rPr>
                <w:rFonts w:ascii="Times New Roman" w:hAnsi="Times New Roman" w:cs="Times New Roman"/>
                <w:sz w:val="24"/>
                <w:szCs w:val="24"/>
              </w:rPr>
              <w:t xml:space="preserve"> 269 250 </w:t>
            </w:r>
            <w:proofErr w:type="spellStart"/>
            <w:r w:rsidRPr="00224089">
              <w:rPr>
                <w:rFonts w:ascii="Times New Roman" w:hAnsi="Times New Roman" w:cs="Times New Roman"/>
                <w:i/>
                <w:iCs/>
                <w:sz w:val="24"/>
                <w:szCs w:val="24"/>
              </w:rPr>
              <w:t>euro</w:t>
            </w:r>
            <w:proofErr w:type="spellEnd"/>
            <w:r w:rsidR="00C55175" w:rsidRPr="00224089">
              <w:rPr>
                <w:rFonts w:ascii="Times New Roman" w:hAnsi="Times New Roman" w:cs="Times New Roman"/>
                <w:sz w:val="24"/>
                <w:szCs w:val="24"/>
              </w:rPr>
              <w:t xml:space="preserve"> </w:t>
            </w:r>
            <w:r w:rsidR="005C7D26" w:rsidRPr="00224089">
              <w:rPr>
                <w:rFonts w:ascii="Times New Roman" w:hAnsi="Times New Roman" w:cs="Times New Roman"/>
                <w:sz w:val="24"/>
                <w:szCs w:val="24"/>
              </w:rPr>
              <w:t>un</w:t>
            </w:r>
            <w:r w:rsidR="00C55175" w:rsidRPr="00224089">
              <w:rPr>
                <w:rFonts w:ascii="Times New Roman" w:hAnsi="Times New Roman" w:cs="Times New Roman"/>
                <w:sz w:val="24"/>
                <w:szCs w:val="24"/>
              </w:rPr>
              <w:t xml:space="preserve"> Veselības ministrija</w:t>
            </w:r>
            <w:r w:rsidR="005C7D26" w:rsidRPr="00224089">
              <w:rPr>
                <w:rFonts w:ascii="Times New Roman" w:hAnsi="Times New Roman" w:cs="Times New Roman"/>
                <w:sz w:val="24"/>
                <w:szCs w:val="24"/>
              </w:rPr>
              <w:t xml:space="preserve"> 50 procentu apmērā (t.i. 134 625 </w:t>
            </w:r>
            <w:proofErr w:type="spellStart"/>
            <w:r w:rsidR="005C7D26" w:rsidRPr="00224089">
              <w:rPr>
                <w:rFonts w:ascii="Times New Roman" w:hAnsi="Times New Roman" w:cs="Times New Roman"/>
                <w:i/>
                <w:iCs/>
                <w:sz w:val="24"/>
                <w:szCs w:val="24"/>
              </w:rPr>
              <w:t>euro</w:t>
            </w:r>
            <w:proofErr w:type="spellEnd"/>
            <w:r w:rsidR="005C7D26" w:rsidRPr="00224089">
              <w:rPr>
                <w:rFonts w:ascii="Times New Roman" w:hAnsi="Times New Roman" w:cs="Times New Roman"/>
                <w:sz w:val="24"/>
                <w:szCs w:val="24"/>
              </w:rPr>
              <w:t xml:space="preserve"> apmērā) var palielināt apropriāciju resursiem no dotācijām, un ņemot vērā, ka </w:t>
            </w:r>
            <w:r w:rsidRPr="00224089">
              <w:rPr>
                <w:rFonts w:ascii="Times New Roman" w:hAnsi="Times New Roman" w:cs="Times New Roman"/>
                <w:sz w:val="24"/>
                <w:szCs w:val="24"/>
              </w:rPr>
              <w:t>š</w:t>
            </w:r>
            <w:r w:rsidR="00B45713" w:rsidRPr="00224089">
              <w:rPr>
                <w:rFonts w:ascii="Times New Roman" w:hAnsi="Times New Roman" w:cs="Times New Roman"/>
                <w:sz w:val="24"/>
                <w:szCs w:val="24"/>
              </w:rPr>
              <w:t>ī</w:t>
            </w:r>
            <w:r w:rsidRPr="00224089">
              <w:rPr>
                <w:rFonts w:ascii="Times New Roman" w:hAnsi="Times New Roman" w:cs="Times New Roman"/>
                <w:sz w:val="24"/>
                <w:szCs w:val="24"/>
              </w:rPr>
              <w:t xml:space="preserve"> rīkojum</w:t>
            </w:r>
            <w:r w:rsidR="00B45713" w:rsidRPr="00224089">
              <w:rPr>
                <w:rFonts w:ascii="Times New Roman" w:hAnsi="Times New Roman" w:cs="Times New Roman"/>
                <w:sz w:val="24"/>
                <w:szCs w:val="24"/>
              </w:rPr>
              <w:t xml:space="preserve">a ietvaros </w:t>
            </w:r>
            <w:r w:rsidR="005C7D26" w:rsidRPr="00224089">
              <w:rPr>
                <w:rFonts w:ascii="Times New Roman" w:hAnsi="Times New Roman" w:cs="Times New Roman"/>
                <w:sz w:val="24"/>
                <w:szCs w:val="24"/>
              </w:rPr>
              <w:t xml:space="preserve">Veselības ministrija </w:t>
            </w:r>
            <w:r w:rsidR="00B45713" w:rsidRPr="00224089">
              <w:rPr>
                <w:rFonts w:ascii="Times New Roman" w:hAnsi="Times New Roman" w:cs="Times New Roman"/>
                <w:sz w:val="24"/>
                <w:szCs w:val="24"/>
              </w:rPr>
              <w:t xml:space="preserve">lūdz atbalstīt apropriācijas palielināšanu Veselības ministrijai resursiem no dotācijas no vispārējiem ieņēmumiem un izdevumiem programmā 97.00.00 “Nozares vadība un politikas plānošana” 128  112 </w:t>
            </w:r>
            <w:proofErr w:type="spellStart"/>
            <w:r w:rsidR="00B45713" w:rsidRPr="00224089">
              <w:rPr>
                <w:rFonts w:ascii="Times New Roman" w:hAnsi="Times New Roman" w:cs="Times New Roman"/>
                <w:i/>
                <w:iCs/>
                <w:sz w:val="24"/>
                <w:szCs w:val="24"/>
              </w:rPr>
              <w:t>euro</w:t>
            </w:r>
            <w:proofErr w:type="spellEnd"/>
            <w:r w:rsidR="00B45713" w:rsidRPr="00224089">
              <w:rPr>
                <w:rFonts w:ascii="Times New Roman" w:hAnsi="Times New Roman" w:cs="Times New Roman"/>
                <w:sz w:val="24"/>
                <w:szCs w:val="24"/>
              </w:rPr>
              <w:t xml:space="preserve"> apmērā, </w:t>
            </w:r>
            <w:r w:rsidR="00922B75" w:rsidRPr="00224089">
              <w:rPr>
                <w:rFonts w:ascii="Times New Roman" w:hAnsi="Times New Roman" w:cs="Times New Roman"/>
                <w:sz w:val="24"/>
                <w:szCs w:val="24"/>
              </w:rPr>
              <w:t xml:space="preserve">Veselības ministrija </w:t>
            </w:r>
            <w:r w:rsidR="00480A65" w:rsidRPr="00224089">
              <w:rPr>
                <w:rFonts w:ascii="Times New Roman" w:hAnsi="Times New Roman" w:cs="Times New Roman"/>
                <w:sz w:val="24"/>
                <w:szCs w:val="24"/>
              </w:rPr>
              <w:t>sagatavos papildus rīkojuma projekt</w:t>
            </w:r>
            <w:r w:rsidR="00EC56FE">
              <w:rPr>
                <w:rFonts w:ascii="Times New Roman" w:hAnsi="Times New Roman" w:cs="Times New Roman"/>
                <w:sz w:val="24"/>
                <w:szCs w:val="24"/>
              </w:rPr>
              <w:t>u</w:t>
            </w:r>
            <w:r w:rsidRPr="00224089">
              <w:rPr>
                <w:rFonts w:ascii="Times New Roman" w:hAnsi="Times New Roman" w:cs="Times New Roman"/>
                <w:sz w:val="24"/>
                <w:szCs w:val="24"/>
              </w:rPr>
              <w:t xml:space="preserve"> par</w:t>
            </w:r>
            <w:r w:rsidR="00480A65" w:rsidRPr="00224089">
              <w:rPr>
                <w:rFonts w:ascii="Times New Roman" w:hAnsi="Times New Roman" w:cs="Times New Roman"/>
                <w:sz w:val="24"/>
                <w:szCs w:val="24"/>
              </w:rPr>
              <w:t xml:space="preserve"> apropriācijas palielināšanu </w:t>
            </w:r>
            <w:r w:rsidR="00EC56FE">
              <w:rPr>
                <w:rFonts w:ascii="Times New Roman" w:hAnsi="Times New Roman" w:cs="Times New Roman"/>
                <w:sz w:val="24"/>
                <w:szCs w:val="24"/>
              </w:rPr>
              <w:t>par atlikušo summu 6</w:t>
            </w:r>
            <w:r w:rsidR="00EB523D">
              <w:rPr>
                <w:rFonts w:ascii="Times New Roman" w:hAnsi="Times New Roman" w:cs="Times New Roman"/>
                <w:sz w:val="24"/>
                <w:szCs w:val="24"/>
              </w:rPr>
              <w:t xml:space="preserve"> </w:t>
            </w:r>
            <w:r w:rsidR="00EC56FE">
              <w:rPr>
                <w:rFonts w:ascii="Times New Roman" w:hAnsi="Times New Roman" w:cs="Times New Roman"/>
                <w:sz w:val="24"/>
                <w:szCs w:val="24"/>
              </w:rPr>
              <w:t xml:space="preserve">513 </w:t>
            </w:r>
            <w:proofErr w:type="spellStart"/>
            <w:r w:rsidR="00EC56FE" w:rsidRPr="00A467CF">
              <w:rPr>
                <w:rFonts w:ascii="Times New Roman" w:hAnsi="Times New Roman" w:cs="Times New Roman"/>
                <w:i/>
                <w:iCs/>
                <w:sz w:val="24"/>
                <w:szCs w:val="24"/>
              </w:rPr>
              <w:t>e</w:t>
            </w:r>
            <w:r w:rsidR="00A467CF">
              <w:rPr>
                <w:rFonts w:ascii="Times New Roman" w:hAnsi="Times New Roman" w:cs="Times New Roman"/>
                <w:i/>
                <w:iCs/>
                <w:sz w:val="24"/>
                <w:szCs w:val="24"/>
              </w:rPr>
              <w:t>u</w:t>
            </w:r>
            <w:r w:rsidR="00EC56FE" w:rsidRPr="00A467CF">
              <w:rPr>
                <w:rFonts w:ascii="Times New Roman" w:hAnsi="Times New Roman" w:cs="Times New Roman"/>
                <w:i/>
                <w:iCs/>
                <w:sz w:val="24"/>
                <w:szCs w:val="24"/>
              </w:rPr>
              <w:t>ro</w:t>
            </w:r>
            <w:proofErr w:type="spellEnd"/>
            <w:r w:rsidR="00EC56FE">
              <w:rPr>
                <w:rFonts w:ascii="Times New Roman" w:hAnsi="Times New Roman" w:cs="Times New Roman"/>
                <w:sz w:val="24"/>
                <w:szCs w:val="24"/>
              </w:rPr>
              <w:t xml:space="preserve"> apmērā </w:t>
            </w:r>
            <w:r w:rsidR="00480A65" w:rsidRPr="00224089">
              <w:rPr>
                <w:rFonts w:ascii="Times New Roman" w:hAnsi="Times New Roman" w:cs="Times New Roman"/>
                <w:sz w:val="24"/>
                <w:szCs w:val="24"/>
              </w:rPr>
              <w:t>Veselības ministrijai resursiem no dotācijas no vispārējiem ieņēmumiem un izdevumiem programmā 97.00.00 “Nozares vadība un politikas plānošana”</w:t>
            </w:r>
            <w:r w:rsidRPr="00224089">
              <w:rPr>
                <w:rFonts w:ascii="Times New Roman" w:hAnsi="Times New Roman" w:cs="Times New Roman"/>
                <w:sz w:val="24"/>
                <w:szCs w:val="24"/>
              </w:rPr>
              <w:t xml:space="preserve"> atbilstoši likuma “</w:t>
            </w:r>
            <w:hyperlink r:id="rId14" w:tgtFrame="_blank" w:history="1">
              <w:r w:rsidRPr="00224089">
                <w:rPr>
                  <w:rFonts w:ascii="Times New Roman" w:hAnsi="Times New Roman" w:cs="Times New Roman"/>
                  <w:sz w:val="24"/>
                  <w:szCs w:val="24"/>
                </w:rPr>
                <w:t>Par valsts budžetu 2021. gadam</w:t>
              </w:r>
            </w:hyperlink>
            <w:r w:rsidRPr="00224089">
              <w:rPr>
                <w:rFonts w:ascii="Times New Roman" w:hAnsi="Times New Roman" w:cs="Times New Roman"/>
                <w:sz w:val="24"/>
                <w:szCs w:val="24"/>
              </w:rPr>
              <w:t>” </w:t>
            </w:r>
            <w:hyperlink r:id="rId15" w:anchor="p42" w:tgtFrame="_blank" w:history="1">
              <w:r w:rsidRPr="00224089">
                <w:rPr>
                  <w:rFonts w:ascii="Times New Roman" w:hAnsi="Times New Roman" w:cs="Times New Roman"/>
                  <w:sz w:val="24"/>
                  <w:szCs w:val="24"/>
                </w:rPr>
                <w:t>44. panta</w:t>
              </w:r>
            </w:hyperlink>
            <w:r w:rsidRPr="00224089">
              <w:rPr>
                <w:rFonts w:ascii="Times New Roman" w:hAnsi="Times New Roman" w:cs="Times New Roman"/>
                <w:sz w:val="24"/>
                <w:szCs w:val="24"/>
              </w:rPr>
              <w:t> otrajai un trešajai daļai,</w:t>
            </w:r>
            <w:r w:rsidR="00C55175" w:rsidRPr="00224089">
              <w:rPr>
                <w:rFonts w:ascii="Times New Roman" w:hAnsi="Times New Roman" w:cs="Times New Roman"/>
                <w:sz w:val="24"/>
                <w:szCs w:val="24"/>
              </w:rPr>
              <w:t xml:space="preserve"> </w:t>
            </w:r>
            <w:r w:rsidR="00480A65" w:rsidRPr="00224089">
              <w:rPr>
                <w:rFonts w:ascii="Times New Roman" w:hAnsi="Times New Roman" w:cs="Times New Roman"/>
                <w:sz w:val="24"/>
                <w:szCs w:val="24"/>
              </w:rPr>
              <w:t xml:space="preserve">lai </w:t>
            </w:r>
            <w:r w:rsidR="00C55175" w:rsidRPr="00224089">
              <w:rPr>
                <w:rFonts w:ascii="Times New Roman" w:hAnsi="Times New Roman" w:cs="Times New Roman"/>
                <w:sz w:val="24"/>
                <w:szCs w:val="24"/>
              </w:rPr>
              <w:t>atbalstīt apropriācijas palielināšanu</w:t>
            </w:r>
            <w:r w:rsidR="00EB523D">
              <w:rPr>
                <w:rFonts w:ascii="Times New Roman" w:hAnsi="Times New Roman" w:cs="Times New Roman"/>
                <w:sz w:val="24"/>
                <w:szCs w:val="24"/>
              </w:rPr>
              <w:t xml:space="preserve"> </w:t>
            </w:r>
            <w:r w:rsidR="00C55175" w:rsidRPr="00224089">
              <w:rPr>
                <w:rFonts w:ascii="Times New Roman" w:hAnsi="Times New Roman" w:cs="Times New Roman"/>
                <w:sz w:val="24"/>
                <w:szCs w:val="24"/>
              </w:rPr>
              <w:t xml:space="preserve">Veselības ministrijai, kuras ietvaros plānots veikt </w:t>
            </w:r>
            <w:r w:rsidR="00480A65" w:rsidRPr="00224089">
              <w:rPr>
                <w:rFonts w:ascii="Times New Roman" w:hAnsi="Times New Roman" w:cs="Times New Roman"/>
                <w:sz w:val="24"/>
                <w:szCs w:val="24"/>
              </w:rPr>
              <w:t>kapitālieguldījum</w:t>
            </w:r>
            <w:r w:rsidR="00C55175" w:rsidRPr="00224089">
              <w:rPr>
                <w:rFonts w:ascii="Times New Roman" w:hAnsi="Times New Roman" w:cs="Times New Roman"/>
                <w:sz w:val="24"/>
                <w:szCs w:val="24"/>
              </w:rPr>
              <w:t>us</w:t>
            </w:r>
            <w:r w:rsidR="00480A65" w:rsidRPr="00224089">
              <w:rPr>
                <w:rFonts w:ascii="Times New Roman" w:hAnsi="Times New Roman" w:cs="Times New Roman"/>
                <w:sz w:val="24"/>
                <w:szCs w:val="24"/>
              </w:rPr>
              <w:t xml:space="preserve"> valsts nekustamajā īpašumā Antonijas ielā 1, Rīgā, </w:t>
            </w:r>
            <w:r w:rsidR="00C55175" w:rsidRPr="00224089">
              <w:rPr>
                <w:rFonts w:ascii="Times New Roman" w:hAnsi="Times New Roman" w:cs="Times New Roman"/>
                <w:sz w:val="24"/>
                <w:szCs w:val="24"/>
              </w:rPr>
              <w:t>lai</w:t>
            </w:r>
            <w:r w:rsidR="00480A65" w:rsidRPr="00224089">
              <w:rPr>
                <w:rFonts w:ascii="Times New Roman" w:hAnsi="Times New Roman" w:cs="Times New Roman"/>
                <w:sz w:val="24"/>
                <w:szCs w:val="24"/>
              </w:rPr>
              <w:t xml:space="preserve"> veikt</w:t>
            </w:r>
            <w:r w:rsidR="00C55175" w:rsidRPr="00224089">
              <w:rPr>
                <w:rFonts w:ascii="Times New Roman" w:hAnsi="Times New Roman" w:cs="Times New Roman"/>
                <w:sz w:val="24"/>
                <w:szCs w:val="24"/>
              </w:rPr>
              <w:t>u</w:t>
            </w:r>
            <w:r w:rsidR="00480A65" w:rsidRPr="00224089">
              <w:rPr>
                <w:rFonts w:ascii="Times New Roman" w:hAnsi="Times New Roman" w:cs="Times New Roman"/>
                <w:sz w:val="24"/>
                <w:szCs w:val="24"/>
              </w:rPr>
              <w:t xml:space="preserve"> </w:t>
            </w:r>
            <w:r w:rsidRPr="00224089">
              <w:rPr>
                <w:rFonts w:ascii="Times New Roman" w:hAnsi="Times New Roman" w:cs="Times New Roman"/>
                <w:sz w:val="24"/>
                <w:szCs w:val="24"/>
              </w:rPr>
              <w:t>darbus būvju tehniskā stāvokļa uzlabošanai</w:t>
            </w:r>
            <w:r w:rsidR="00B45713" w:rsidRPr="00224089">
              <w:rPr>
                <w:rFonts w:ascii="Times New Roman" w:hAnsi="Times New Roman" w:cs="Times New Roman"/>
                <w:sz w:val="24"/>
                <w:szCs w:val="24"/>
              </w:rPr>
              <w:t>.</w:t>
            </w:r>
          </w:p>
        </w:tc>
      </w:tr>
    </w:tbl>
    <w:p w14:paraId="17FF3570" w14:textId="77777777" w:rsidR="00E5323B" w:rsidRPr="00224089"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3A46F2" w:rsidRPr="00224089" w14:paraId="20A771F6" w14:textId="77777777" w:rsidTr="006936E5">
        <w:tc>
          <w:tcPr>
            <w:tcW w:w="9356" w:type="dxa"/>
          </w:tcPr>
          <w:p w14:paraId="34B1B632" w14:textId="77777777" w:rsidR="007F6F87" w:rsidRPr="00224089" w:rsidRDefault="007F6F87" w:rsidP="003903BF">
            <w:pPr>
              <w:pStyle w:val="NoSpacing"/>
              <w:jc w:val="center"/>
              <w:rPr>
                <w:rFonts w:ascii="Times New Roman" w:hAnsi="Times New Roman" w:cs="Times New Roman"/>
                <w:b/>
                <w:sz w:val="24"/>
                <w:szCs w:val="24"/>
                <w:lang w:eastAsia="lv-LV"/>
              </w:rPr>
            </w:pPr>
            <w:r w:rsidRPr="00224089">
              <w:rPr>
                <w:rFonts w:ascii="Times New Roman" w:hAnsi="Times New Roman" w:cs="Times New Roman"/>
                <w:b/>
                <w:iCs/>
                <w:sz w:val="24"/>
                <w:szCs w:val="24"/>
                <w:lang w:eastAsia="lv-LV"/>
              </w:rPr>
              <w:t>IV. Tiesību akta projekta ietekme uz spēkā esošo tiesību normu sistēmu</w:t>
            </w:r>
          </w:p>
        </w:tc>
      </w:tr>
      <w:tr w:rsidR="003A46F2" w:rsidRPr="00224089" w14:paraId="68539A90" w14:textId="77777777" w:rsidTr="006936E5">
        <w:tc>
          <w:tcPr>
            <w:tcW w:w="9356" w:type="dxa"/>
          </w:tcPr>
          <w:p w14:paraId="52CB9D05" w14:textId="77777777" w:rsidR="007F6F87" w:rsidRPr="00224089" w:rsidRDefault="007F6F87" w:rsidP="003903BF">
            <w:pPr>
              <w:pStyle w:val="NoSpacing"/>
              <w:jc w:val="center"/>
              <w:rPr>
                <w:rFonts w:ascii="Times New Roman" w:hAnsi="Times New Roman" w:cs="Times New Roman"/>
                <w:sz w:val="24"/>
                <w:szCs w:val="24"/>
                <w:lang w:eastAsia="lv-LV"/>
              </w:rPr>
            </w:pPr>
            <w:r w:rsidRPr="00224089">
              <w:rPr>
                <w:rFonts w:ascii="Times New Roman" w:hAnsi="Times New Roman" w:cs="Times New Roman"/>
                <w:sz w:val="24"/>
                <w:szCs w:val="24"/>
                <w:lang w:eastAsia="lv-LV"/>
              </w:rPr>
              <w:t>Projekts šo jomu neskar</w:t>
            </w:r>
            <w:r w:rsidR="007272A8" w:rsidRPr="00224089">
              <w:rPr>
                <w:rFonts w:ascii="Times New Roman" w:hAnsi="Times New Roman" w:cs="Times New Roman"/>
                <w:sz w:val="24"/>
                <w:szCs w:val="24"/>
                <w:lang w:eastAsia="lv-LV"/>
              </w:rPr>
              <w:t>.</w:t>
            </w:r>
          </w:p>
        </w:tc>
      </w:tr>
    </w:tbl>
    <w:p w14:paraId="6A5D66AB" w14:textId="77777777" w:rsidR="007F6F87" w:rsidRPr="00224089"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3A46F2" w:rsidRPr="00224089" w14:paraId="4328D2FC" w14:textId="77777777" w:rsidTr="006936E5">
        <w:tc>
          <w:tcPr>
            <w:tcW w:w="9356" w:type="dxa"/>
          </w:tcPr>
          <w:p w14:paraId="1C389E97" w14:textId="77777777" w:rsidR="007F6F87" w:rsidRPr="00224089" w:rsidRDefault="007F6F87" w:rsidP="003903BF">
            <w:pPr>
              <w:pStyle w:val="NoSpacing"/>
              <w:jc w:val="center"/>
              <w:rPr>
                <w:rFonts w:ascii="Times New Roman" w:hAnsi="Times New Roman" w:cs="Times New Roman"/>
                <w:b/>
                <w:sz w:val="24"/>
                <w:szCs w:val="24"/>
                <w:lang w:eastAsia="lv-LV"/>
              </w:rPr>
            </w:pPr>
            <w:r w:rsidRPr="00224089">
              <w:rPr>
                <w:rFonts w:ascii="Times New Roman" w:hAnsi="Times New Roman" w:cs="Times New Roman"/>
                <w:b/>
                <w:iCs/>
                <w:sz w:val="24"/>
                <w:szCs w:val="24"/>
                <w:lang w:eastAsia="lv-LV"/>
              </w:rPr>
              <w:t>V. Tiesību akta projekta atbilstība Latvijas Republikas starptautiskajām saistībām</w:t>
            </w:r>
          </w:p>
        </w:tc>
      </w:tr>
      <w:tr w:rsidR="003A46F2" w:rsidRPr="00224089" w14:paraId="0948B0A5" w14:textId="77777777" w:rsidTr="006936E5">
        <w:tc>
          <w:tcPr>
            <w:tcW w:w="9356" w:type="dxa"/>
          </w:tcPr>
          <w:p w14:paraId="1032D601" w14:textId="77777777" w:rsidR="007F6F87" w:rsidRPr="00224089" w:rsidRDefault="007F6F87" w:rsidP="003903BF">
            <w:pPr>
              <w:pStyle w:val="NoSpacing"/>
              <w:jc w:val="center"/>
              <w:rPr>
                <w:rFonts w:ascii="Times New Roman" w:hAnsi="Times New Roman" w:cs="Times New Roman"/>
                <w:sz w:val="24"/>
                <w:szCs w:val="24"/>
                <w:lang w:eastAsia="lv-LV"/>
              </w:rPr>
            </w:pPr>
            <w:r w:rsidRPr="00224089">
              <w:rPr>
                <w:rFonts w:ascii="Times New Roman" w:hAnsi="Times New Roman" w:cs="Times New Roman"/>
                <w:sz w:val="24"/>
                <w:szCs w:val="24"/>
                <w:lang w:eastAsia="lv-LV"/>
              </w:rPr>
              <w:t>Projekts šo jomu neskar</w:t>
            </w:r>
            <w:r w:rsidR="007272A8" w:rsidRPr="00224089">
              <w:rPr>
                <w:rFonts w:ascii="Times New Roman" w:hAnsi="Times New Roman" w:cs="Times New Roman"/>
                <w:sz w:val="24"/>
                <w:szCs w:val="24"/>
                <w:lang w:eastAsia="lv-LV"/>
              </w:rPr>
              <w:t>.</w:t>
            </w:r>
          </w:p>
        </w:tc>
      </w:tr>
    </w:tbl>
    <w:p w14:paraId="44AD59F8" w14:textId="77777777" w:rsidR="007F6F87" w:rsidRPr="00224089"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3A46F2" w:rsidRPr="00224089" w14:paraId="3918DDEA" w14:textId="77777777" w:rsidTr="006936E5">
        <w:tc>
          <w:tcPr>
            <w:tcW w:w="9356" w:type="dxa"/>
          </w:tcPr>
          <w:p w14:paraId="4961697E" w14:textId="77777777" w:rsidR="007F6F87" w:rsidRPr="00224089" w:rsidRDefault="007F6F87" w:rsidP="003903BF">
            <w:pPr>
              <w:pStyle w:val="NoSpacing"/>
              <w:jc w:val="center"/>
              <w:rPr>
                <w:rFonts w:ascii="Times New Roman" w:hAnsi="Times New Roman" w:cs="Times New Roman"/>
                <w:b/>
                <w:sz w:val="24"/>
                <w:szCs w:val="24"/>
                <w:lang w:eastAsia="lv-LV"/>
              </w:rPr>
            </w:pPr>
            <w:r w:rsidRPr="00224089">
              <w:rPr>
                <w:rFonts w:ascii="Times New Roman" w:hAnsi="Times New Roman" w:cs="Times New Roman"/>
                <w:b/>
                <w:iCs/>
                <w:sz w:val="24"/>
                <w:szCs w:val="24"/>
                <w:lang w:eastAsia="lv-LV"/>
              </w:rPr>
              <w:t>VI. Sabiedrības līdzdalība un komunikācijas aktivitātes</w:t>
            </w:r>
          </w:p>
        </w:tc>
      </w:tr>
      <w:tr w:rsidR="003A46F2" w:rsidRPr="00224089" w14:paraId="2C6CED15" w14:textId="77777777" w:rsidTr="006936E5">
        <w:tc>
          <w:tcPr>
            <w:tcW w:w="9356" w:type="dxa"/>
          </w:tcPr>
          <w:p w14:paraId="0A063D5E" w14:textId="77777777" w:rsidR="007F6F87" w:rsidRPr="00224089" w:rsidRDefault="007F6F87" w:rsidP="003903BF">
            <w:pPr>
              <w:pStyle w:val="NoSpacing"/>
              <w:jc w:val="center"/>
              <w:rPr>
                <w:rFonts w:ascii="Times New Roman" w:hAnsi="Times New Roman" w:cs="Times New Roman"/>
                <w:sz w:val="24"/>
                <w:szCs w:val="24"/>
                <w:lang w:eastAsia="lv-LV"/>
              </w:rPr>
            </w:pPr>
            <w:r w:rsidRPr="00224089">
              <w:rPr>
                <w:rFonts w:ascii="Times New Roman" w:hAnsi="Times New Roman" w:cs="Times New Roman"/>
                <w:sz w:val="24"/>
                <w:szCs w:val="24"/>
                <w:lang w:eastAsia="lv-LV"/>
              </w:rPr>
              <w:t>Projekts šo jomu neskar</w:t>
            </w:r>
            <w:r w:rsidR="007272A8" w:rsidRPr="00224089">
              <w:rPr>
                <w:rFonts w:ascii="Times New Roman" w:hAnsi="Times New Roman" w:cs="Times New Roman"/>
                <w:sz w:val="24"/>
                <w:szCs w:val="24"/>
                <w:lang w:eastAsia="lv-LV"/>
              </w:rPr>
              <w:t>.</w:t>
            </w:r>
          </w:p>
        </w:tc>
      </w:tr>
    </w:tbl>
    <w:p w14:paraId="69CFFF5D" w14:textId="77777777" w:rsidR="007F6F87" w:rsidRPr="00224089" w:rsidRDefault="00E5323B" w:rsidP="00EC6E12">
      <w:pPr>
        <w:pStyle w:val="NoSpacing"/>
        <w:rPr>
          <w:rFonts w:ascii="Times New Roman" w:hAnsi="Times New Roman" w:cs="Times New Roman"/>
          <w:iCs/>
          <w:sz w:val="24"/>
          <w:szCs w:val="24"/>
          <w:lang w:eastAsia="lv-LV"/>
        </w:rPr>
      </w:pPr>
      <w:r w:rsidRPr="00224089">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3A46F2" w:rsidRPr="00224089" w14:paraId="57ABC9B8" w14:textId="77777777" w:rsidTr="006936E5">
        <w:tc>
          <w:tcPr>
            <w:tcW w:w="9356" w:type="dxa"/>
            <w:gridSpan w:val="3"/>
          </w:tcPr>
          <w:p w14:paraId="6B849096" w14:textId="77777777" w:rsidR="007F6F87" w:rsidRPr="00224089" w:rsidRDefault="007F6F87" w:rsidP="003903BF">
            <w:pPr>
              <w:pStyle w:val="NoSpacing"/>
              <w:jc w:val="center"/>
              <w:rPr>
                <w:rFonts w:ascii="Times New Roman" w:hAnsi="Times New Roman" w:cs="Times New Roman"/>
                <w:b/>
                <w:sz w:val="24"/>
                <w:szCs w:val="24"/>
                <w:lang w:eastAsia="lv-LV"/>
              </w:rPr>
            </w:pPr>
            <w:r w:rsidRPr="00224089">
              <w:rPr>
                <w:rFonts w:ascii="Times New Roman" w:hAnsi="Times New Roman" w:cs="Times New Roman"/>
                <w:b/>
                <w:iCs/>
                <w:sz w:val="24"/>
                <w:szCs w:val="24"/>
                <w:lang w:eastAsia="lv-LV"/>
              </w:rPr>
              <w:t>VII. Tiesību akta projekta izpildes nodrošināšana un tās ietekme uz institūcijām</w:t>
            </w:r>
          </w:p>
        </w:tc>
      </w:tr>
      <w:tr w:rsidR="003A46F2" w:rsidRPr="00224089" w14:paraId="61D5D85E" w14:textId="77777777" w:rsidTr="006936E5">
        <w:tc>
          <w:tcPr>
            <w:tcW w:w="568" w:type="dxa"/>
          </w:tcPr>
          <w:p w14:paraId="7466822A" w14:textId="77777777" w:rsidR="007F7D5A" w:rsidRPr="00224089" w:rsidRDefault="007F7D5A" w:rsidP="007F7D5A">
            <w:pPr>
              <w:pStyle w:val="NoSpacing"/>
              <w:jc w:val="center"/>
              <w:rPr>
                <w:rFonts w:ascii="Times New Roman" w:hAnsi="Times New Roman" w:cs="Times New Roman"/>
                <w:sz w:val="24"/>
                <w:szCs w:val="24"/>
                <w:lang w:eastAsia="lv-LV"/>
              </w:rPr>
            </w:pPr>
            <w:r w:rsidRPr="00224089">
              <w:rPr>
                <w:rFonts w:ascii="Times New Roman" w:hAnsi="Times New Roman" w:cs="Times New Roman"/>
                <w:sz w:val="24"/>
                <w:szCs w:val="24"/>
                <w:lang w:eastAsia="lv-LV"/>
              </w:rPr>
              <w:t>1.</w:t>
            </w:r>
          </w:p>
        </w:tc>
        <w:tc>
          <w:tcPr>
            <w:tcW w:w="3260" w:type="dxa"/>
          </w:tcPr>
          <w:p w14:paraId="1B9C7BCC" w14:textId="77777777" w:rsidR="007F7D5A" w:rsidRPr="00224089" w:rsidRDefault="007F7D5A" w:rsidP="007F7D5A">
            <w:pPr>
              <w:pStyle w:val="NoSpacing"/>
              <w:jc w:val="both"/>
              <w:rPr>
                <w:rFonts w:ascii="Times New Roman" w:hAnsi="Times New Roman" w:cs="Times New Roman"/>
                <w:iCs/>
                <w:sz w:val="24"/>
                <w:szCs w:val="24"/>
                <w:lang w:eastAsia="lv-LV"/>
              </w:rPr>
            </w:pPr>
            <w:r w:rsidRPr="00224089">
              <w:rPr>
                <w:rFonts w:ascii="Times New Roman" w:hAnsi="Times New Roman" w:cs="Times New Roman"/>
                <w:iCs/>
                <w:sz w:val="24"/>
                <w:szCs w:val="24"/>
                <w:lang w:eastAsia="lv-LV"/>
              </w:rPr>
              <w:t>Projekta izpildē iesaistītās institūcijas</w:t>
            </w:r>
          </w:p>
        </w:tc>
        <w:tc>
          <w:tcPr>
            <w:tcW w:w="5528" w:type="dxa"/>
          </w:tcPr>
          <w:p w14:paraId="5D46025F" w14:textId="48481B3F" w:rsidR="007F7D5A" w:rsidRPr="00224089" w:rsidRDefault="007F7D5A" w:rsidP="007F7D5A">
            <w:pPr>
              <w:jc w:val="both"/>
            </w:pPr>
            <w:r w:rsidRPr="00224089">
              <w:t xml:space="preserve">Veselības ministrija, </w:t>
            </w:r>
            <w:r w:rsidR="003A46F2" w:rsidRPr="00224089">
              <w:t>VNĪ</w:t>
            </w:r>
          </w:p>
        </w:tc>
      </w:tr>
      <w:tr w:rsidR="003A46F2" w:rsidRPr="00224089" w14:paraId="7431A2A7" w14:textId="77777777" w:rsidTr="006936E5">
        <w:tc>
          <w:tcPr>
            <w:tcW w:w="568" w:type="dxa"/>
          </w:tcPr>
          <w:p w14:paraId="63DA7087" w14:textId="77777777" w:rsidR="0049601C" w:rsidRPr="00224089" w:rsidRDefault="0049601C" w:rsidP="0049601C">
            <w:pPr>
              <w:pStyle w:val="NoSpacing"/>
              <w:jc w:val="center"/>
              <w:rPr>
                <w:rFonts w:ascii="Times New Roman" w:hAnsi="Times New Roman" w:cs="Times New Roman"/>
                <w:sz w:val="24"/>
                <w:szCs w:val="24"/>
                <w:lang w:eastAsia="lv-LV"/>
              </w:rPr>
            </w:pPr>
            <w:r w:rsidRPr="00224089">
              <w:rPr>
                <w:rFonts w:ascii="Times New Roman" w:hAnsi="Times New Roman" w:cs="Times New Roman"/>
                <w:sz w:val="24"/>
                <w:szCs w:val="24"/>
                <w:lang w:eastAsia="lv-LV"/>
              </w:rPr>
              <w:t>2.</w:t>
            </w:r>
          </w:p>
        </w:tc>
        <w:tc>
          <w:tcPr>
            <w:tcW w:w="3260" w:type="dxa"/>
          </w:tcPr>
          <w:p w14:paraId="4E1BD7D7" w14:textId="77777777" w:rsidR="0049601C" w:rsidRPr="00224089" w:rsidRDefault="0049601C" w:rsidP="0049601C">
            <w:pPr>
              <w:pStyle w:val="NoSpacing"/>
              <w:rPr>
                <w:rFonts w:ascii="Times New Roman" w:hAnsi="Times New Roman" w:cs="Times New Roman"/>
                <w:iCs/>
                <w:sz w:val="24"/>
                <w:szCs w:val="24"/>
                <w:lang w:eastAsia="lv-LV"/>
              </w:rPr>
            </w:pPr>
            <w:r w:rsidRPr="00224089">
              <w:rPr>
                <w:rFonts w:ascii="Times New Roman" w:hAnsi="Times New Roman" w:cs="Times New Roman"/>
                <w:iCs/>
                <w:sz w:val="24"/>
                <w:szCs w:val="24"/>
                <w:lang w:eastAsia="lv-LV"/>
              </w:rPr>
              <w:t>Projekta izpildes ietekme uz pārvaldes funkcijām un institucionālo struktūru.</w:t>
            </w:r>
            <w:r w:rsidRPr="00224089">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1D34230E" w14:textId="77777777" w:rsidR="0049601C" w:rsidRPr="00224089" w:rsidRDefault="0049601C" w:rsidP="0049601C">
            <w:r w:rsidRPr="00224089">
              <w:t>Projekts šo jomu neskar.</w:t>
            </w:r>
          </w:p>
        </w:tc>
      </w:tr>
      <w:tr w:rsidR="003A46F2" w:rsidRPr="00224089" w14:paraId="4FB33349" w14:textId="77777777" w:rsidTr="006936E5">
        <w:tc>
          <w:tcPr>
            <w:tcW w:w="568" w:type="dxa"/>
          </w:tcPr>
          <w:p w14:paraId="2F39E751" w14:textId="77777777" w:rsidR="0049601C" w:rsidRPr="00224089" w:rsidRDefault="0049601C" w:rsidP="0049601C">
            <w:pPr>
              <w:pStyle w:val="NoSpacing"/>
              <w:jc w:val="center"/>
              <w:rPr>
                <w:rFonts w:ascii="Times New Roman" w:hAnsi="Times New Roman" w:cs="Times New Roman"/>
                <w:sz w:val="24"/>
                <w:szCs w:val="24"/>
                <w:lang w:eastAsia="lv-LV"/>
              </w:rPr>
            </w:pPr>
            <w:r w:rsidRPr="00224089">
              <w:rPr>
                <w:rFonts w:ascii="Times New Roman" w:hAnsi="Times New Roman" w:cs="Times New Roman"/>
                <w:sz w:val="24"/>
                <w:szCs w:val="24"/>
                <w:lang w:eastAsia="lv-LV"/>
              </w:rPr>
              <w:t>3.</w:t>
            </w:r>
          </w:p>
        </w:tc>
        <w:tc>
          <w:tcPr>
            <w:tcW w:w="3260" w:type="dxa"/>
          </w:tcPr>
          <w:p w14:paraId="5B6BD1A3" w14:textId="77777777" w:rsidR="0049601C" w:rsidRPr="00224089" w:rsidRDefault="0049601C" w:rsidP="0049601C">
            <w:pPr>
              <w:pStyle w:val="NoSpacing"/>
              <w:jc w:val="both"/>
              <w:rPr>
                <w:rFonts w:ascii="Times New Roman" w:hAnsi="Times New Roman" w:cs="Times New Roman"/>
                <w:iCs/>
                <w:sz w:val="24"/>
                <w:szCs w:val="24"/>
                <w:lang w:eastAsia="lv-LV"/>
              </w:rPr>
            </w:pPr>
            <w:r w:rsidRPr="00224089">
              <w:rPr>
                <w:rFonts w:ascii="Times New Roman" w:hAnsi="Times New Roman" w:cs="Times New Roman"/>
                <w:iCs/>
                <w:sz w:val="24"/>
                <w:szCs w:val="24"/>
                <w:lang w:eastAsia="lv-LV"/>
              </w:rPr>
              <w:t>Cita informācija</w:t>
            </w:r>
          </w:p>
        </w:tc>
        <w:tc>
          <w:tcPr>
            <w:tcW w:w="5528" w:type="dxa"/>
          </w:tcPr>
          <w:p w14:paraId="5256316E" w14:textId="77777777" w:rsidR="0049601C" w:rsidRPr="00224089" w:rsidRDefault="0049601C" w:rsidP="0049601C">
            <w:pPr>
              <w:pStyle w:val="NoSpacing"/>
              <w:rPr>
                <w:rFonts w:ascii="Times New Roman" w:hAnsi="Times New Roman" w:cs="Times New Roman"/>
                <w:sz w:val="24"/>
                <w:szCs w:val="24"/>
                <w:lang w:eastAsia="lv-LV"/>
              </w:rPr>
            </w:pPr>
            <w:r w:rsidRPr="00224089">
              <w:rPr>
                <w:rFonts w:ascii="Times New Roman" w:hAnsi="Times New Roman" w:cs="Times New Roman"/>
                <w:sz w:val="24"/>
                <w:szCs w:val="24"/>
                <w:lang w:eastAsia="lv-LV"/>
              </w:rPr>
              <w:t>Nav</w:t>
            </w:r>
          </w:p>
        </w:tc>
      </w:tr>
    </w:tbl>
    <w:p w14:paraId="66A238C6" w14:textId="77777777" w:rsidR="008B37B7" w:rsidRPr="00224089" w:rsidRDefault="008B37B7" w:rsidP="00EC6E12">
      <w:pPr>
        <w:pStyle w:val="NoSpacing"/>
        <w:rPr>
          <w:rFonts w:ascii="Times New Roman" w:hAnsi="Times New Roman" w:cs="Times New Roman"/>
          <w:iCs/>
          <w:sz w:val="24"/>
          <w:szCs w:val="24"/>
          <w:lang w:eastAsia="lv-LV"/>
        </w:rPr>
      </w:pPr>
    </w:p>
    <w:p w14:paraId="7868FE36" w14:textId="4BC0D66E" w:rsidR="00DF461F" w:rsidRPr="00224089" w:rsidRDefault="00DC2DAF" w:rsidP="00DF461F">
      <w:pPr>
        <w:ind w:right="-765"/>
        <w:rPr>
          <w:rFonts w:eastAsia="Calibri"/>
          <w:sz w:val="28"/>
          <w:szCs w:val="28"/>
        </w:rPr>
      </w:pPr>
      <w:r w:rsidRPr="00224089">
        <w:rPr>
          <w:sz w:val="28"/>
          <w:szCs w:val="28"/>
        </w:rPr>
        <w:t>Veselības ministr</w:t>
      </w:r>
      <w:r w:rsidR="007F0AF1" w:rsidRPr="00224089">
        <w:rPr>
          <w:sz w:val="28"/>
          <w:szCs w:val="28"/>
        </w:rPr>
        <w:t>s</w:t>
      </w:r>
      <w:r w:rsidRPr="00224089">
        <w:rPr>
          <w:sz w:val="28"/>
          <w:szCs w:val="28"/>
        </w:rPr>
        <w:t xml:space="preserve"> </w:t>
      </w:r>
      <w:r w:rsidRPr="00224089">
        <w:rPr>
          <w:sz w:val="28"/>
          <w:szCs w:val="28"/>
        </w:rPr>
        <w:tab/>
      </w:r>
      <w:r w:rsidRPr="00224089">
        <w:rPr>
          <w:sz w:val="28"/>
          <w:szCs w:val="28"/>
        </w:rPr>
        <w:tab/>
      </w:r>
      <w:r w:rsidRPr="00224089">
        <w:rPr>
          <w:sz w:val="28"/>
          <w:szCs w:val="28"/>
        </w:rPr>
        <w:tab/>
      </w:r>
      <w:r w:rsidRPr="00224089">
        <w:rPr>
          <w:sz w:val="28"/>
          <w:szCs w:val="28"/>
        </w:rPr>
        <w:tab/>
      </w:r>
      <w:r w:rsidRPr="00224089">
        <w:rPr>
          <w:sz w:val="28"/>
          <w:szCs w:val="28"/>
        </w:rPr>
        <w:tab/>
      </w:r>
      <w:r w:rsidRPr="00224089">
        <w:rPr>
          <w:sz w:val="28"/>
          <w:szCs w:val="28"/>
        </w:rPr>
        <w:tab/>
      </w:r>
      <w:r w:rsidR="007F0AF1" w:rsidRPr="00224089">
        <w:rPr>
          <w:sz w:val="28"/>
          <w:szCs w:val="28"/>
        </w:rPr>
        <w:t>D. Pavļuts</w:t>
      </w:r>
    </w:p>
    <w:p w14:paraId="1FF93849" w14:textId="03EF83C8" w:rsidR="00DF461F" w:rsidRPr="00224089" w:rsidRDefault="00DF461F" w:rsidP="00224089">
      <w:pPr>
        <w:tabs>
          <w:tab w:val="left" w:pos="6237"/>
        </w:tabs>
        <w:ind w:firstLine="720"/>
        <w:rPr>
          <w:rFonts w:eastAsiaTheme="minorHAnsi"/>
          <w:sz w:val="28"/>
          <w:szCs w:val="28"/>
        </w:rPr>
      </w:pPr>
      <w:r w:rsidRPr="00224089">
        <w:rPr>
          <w:sz w:val="28"/>
          <w:szCs w:val="28"/>
        </w:rPr>
        <w:tab/>
      </w:r>
    </w:p>
    <w:p w14:paraId="1A049203" w14:textId="169F4995" w:rsidR="00611352" w:rsidRPr="00224089" w:rsidRDefault="00DF461F" w:rsidP="00155578">
      <w:pPr>
        <w:pStyle w:val="NormalWeb"/>
        <w:spacing w:before="0" w:beforeAutospacing="0" w:after="0" w:afterAutospacing="0"/>
        <w:rPr>
          <w:sz w:val="20"/>
          <w:szCs w:val="20"/>
        </w:rPr>
      </w:pPr>
      <w:r w:rsidRPr="00224089">
        <w:rPr>
          <w:rFonts w:eastAsia="Calibri"/>
          <w:sz w:val="28"/>
          <w:szCs w:val="28"/>
        </w:rPr>
        <w:t>Vīza: Valsts sekretār</w:t>
      </w:r>
      <w:r w:rsidR="00340618" w:rsidRPr="00224089">
        <w:rPr>
          <w:rFonts w:eastAsia="Calibri"/>
          <w:sz w:val="28"/>
          <w:szCs w:val="28"/>
        </w:rPr>
        <w:t>e</w:t>
      </w:r>
      <w:r w:rsidR="00340618" w:rsidRPr="00224089">
        <w:rPr>
          <w:rFonts w:eastAsia="Calibri"/>
          <w:sz w:val="28"/>
          <w:szCs w:val="28"/>
        </w:rPr>
        <w:tab/>
      </w:r>
      <w:r w:rsidRPr="00224089">
        <w:rPr>
          <w:rFonts w:eastAsia="Calibri"/>
          <w:sz w:val="28"/>
          <w:szCs w:val="28"/>
        </w:rPr>
        <w:tab/>
      </w:r>
      <w:r w:rsidRPr="00224089">
        <w:rPr>
          <w:rFonts w:eastAsia="Calibri"/>
          <w:sz w:val="28"/>
          <w:szCs w:val="28"/>
        </w:rPr>
        <w:tab/>
      </w:r>
      <w:r w:rsidRPr="00224089">
        <w:rPr>
          <w:rFonts w:eastAsia="Calibri"/>
          <w:sz w:val="28"/>
          <w:szCs w:val="28"/>
        </w:rPr>
        <w:tab/>
      </w:r>
      <w:r w:rsidRPr="00224089">
        <w:rPr>
          <w:rFonts w:eastAsia="Calibri"/>
          <w:sz w:val="28"/>
          <w:szCs w:val="28"/>
        </w:rPr>
        <w:tab/>
      </w:r>
      <w:proofErr w:type="spellStart"/>
      <w:r w:rsidR="007F0AF1" w:rsidRPr="00224089">
        <w:rPr>
          <w:rFonts w:eastAsia="Calibri"/>
          <w:sz w:val="28"/>
          <w:szCs w:val="28"/>
        </w:rPr>
        <w:t>I.Dreika</w:t>
      </w:r>
      <w:proofErr w:type="spellEnd"/>
    </w:p>
    <w:p w14:paraId="1EFC3031" w14:textId="4BD19D72" w:rsidR="00611352" w:rsidRPr="00224089" w:rsidRDefault="00611352" w:rsidP="00155578">
      <w:pPr>
        <w:pStyle w:val="NormalWeb"/>
        <w:spacing w:before="0" w:beforeAutospacing="0" w:after="0" w:afterAutospacing="0"/>
        <w:rPr>
          <w:sz w:val="20"/>
          <w:szCs w:val="20"/>
        </w:rPr>
      </w:pPr>
    </w:p>
    <w:p w14:paraId="4391E97E" w14:textId="4FB760C3" w:rsidR="00611352" w:rsidRPr="00224089" w:rsidRDefault="00611352" w:rsidP="00155578">
      <w:pPr>
        <w:pStyle w:val="NormalWeb"/>
        <w:spacing w:before="0" w:beforeAutospacing="0" w:after="0" w:afterAutospacing="0"/>
        <w:rPr>
          <w:sz w:val="20"/>
          <w:szCs w:val="20"/>
        </w:rPr>
      </w:pPr>
    </w:p>
    <w:p w14:paraId="1B0D3123" w14:textId="0AA7A47B" w:rsidR="007F0AF1" w:rsidRPr="00224089" w:rsidRDefault="007F0AF1" w:rsidP="007F0AF1">
      <w:pPr>
        <w:pStyle w:val="NormalWeb"/>
        <w:spacing w:before="0" w:beforeAutospacing="0" w:after="0" w:afterAutospacing="0"/>
      </w:pPr>
      <w:r w:rsidRPr="00224089">
        <w:t>Jurevica 60005510</w:t>
      </w:r>
    </w:p>
    <w:p w14:paraId="6422C196" w14:textId="212617D2" w:rsidR="007F0AF1" w:rsidRPr="00224089" w:rsidRDefault="00A467CF" w:rsidP="007F0AF1">
      <w:pPr>
        <w:pStyle w:val="NormalWeb"/>
        <w:spacing w:before="0" w:beforeAutospacing="0" w:after="0" w:afterAutospacing="0"/>
      </w:pPr>
      <w:hyperlink r:id="rId16" w:history="1">
        <w:r w:rsidR="007F0AF1" w:rsidRPr="00224089">
          <w:rPr>
            <w:rStyle w:val="Hyperlink"/>
          </w:rPr>
          <w:t>Agnese.Jurevica@vm.gov.lv</w:t>
        </w:r>
      </w:hyperlink>
    </w:p>
    <w:p w14:paraId="4907F873" w14:textId="77777777" w:rsidR="00611352" w:rsidRPr="00224089" w:rsidRDefault="00611352" w:rsidP="00155578">
      <w:pPr>
        <w:pStyle w:val="NormalWeb"/>
        <w:spacing w:before="0" w:beforeAutospacing="0" w:after="0" w:afterAutospacing="0"/>
        <w:rPr>
          <w:sz w:val="20"/>
          <w:szCs w:val="20"/>
        </w:rPr>
      </w:pPr>
    </w:p>
    <w:p w14:paraId="4B04BF8C" w14:textId="028358BA" w:rsidR="00E465CE" w:rsidRPr="00224089" w:rsidRDefault="00E465CE">
      <w:pPr>
        <w:pStyle w:val="NormalWeb"/>
        <w:spacing w:before="0" w:beforeAutospacing="0" w:after="0" w:afterAutospacing="0"/>
      </w:pPr>
    </w:p>
    <w:sectPr w:rsidR="00E465CE" w:rsidRPr="00224089" w:rsidSect="00224089">
      <w:headerReference w:type="default" r:id="rId17"/>
      <w:footerReference w:type="first" r:id="rId18"/>
      <w:pgSz w:w="11906" w:h="16838"/>
      <w:pgMar w:top="1418"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E70E8" w14:textId="77777777" w:rsidR="005D2953" w:rsidRDefault="005D2953" w:rsidP="00894C55">
      <w:r>
        <w:separator/>
      </w:r>
    </w:p>
  </w:endnote>
  <w:endnote w:type="continuationSeparator" w:id="0">
    <w:p w14:paraId="02D84951" w14:textId="77777777" w:rsidR="005D2953" w:rsidRDefault="005D2953"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E49E0" w14:textId="3ACD9A21" w:rsidR="005D2953" w:rsidRPr="00893E26" w:rsidRDefault="005D2953" w:rsidP="00893E26">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VManot_1</w:t>
    </w:r>
    <w:r w:rsidR="00480A65">
      <w:rPr>
        <w:rFonts w:ascii="Times New Roman" w:hAnsi="Times New Roman" w:cs="Times New Roman"/>
        <w:noProof/>
        <w:sz w:val="20"/>
        <w:szCs w:val="20"/>
      </w:rPr>
      <w:t>706</w:t>
    </w:r>
    <w:r>
      <w:rPr>
        <w:rFonts w:ascii="Times New Roman" w:hAnsi="Times New Roman" w:cs="Times New Roman"/>
        <w:sz w:val="20"/>
        <w:szCs w:val="20"/>
      </w:rPr>
      <w:fldChar w:fldCharType="end"/>
    </w:r>
    <w:r w:rsidR="00480A65">
      <w:rPr>
        <w:rFonts w:ascii="Times New Roman" w:hAnsi="Times New Roman" w:cs="Times New Roman"/>
        <w:sz w:val="20"/>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E326C" w14:textId="77777777" w:rsidR="005D2953" w:rsidRDefault="005D2953" w:rsidP="00894C55">
      <w:r>
        <w:separator/>
      </w:r>
    </w:p>
  </w:footnote>
  <w:footnote w:type="continuationSeparator" w:id="0">
    <w:p w14:paraId="563E474D" w14:textId="77777777" w:rsidR="005D2953" w:rsidRDefault="005D2953"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369EFC5" w14:textId="77777777" w:rsidR="005D2953" w:rsidRPr="00C25B49" w:rsidRDefault="005D295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A5D81"/>
    <w:multiLevelType w:val="multilevel"/>
    <w:tmpl w:val="ABE4BE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1A86A09"/>
    <w:multiLevelType w:val="hybridMultilevel"/>
    <w:tmpl w:val="4422572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10436E"/>
    <w:multiLevelType w:val="hybridMultilevel"/>
    <w:tmpl w:val="3870883C"/>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3" w15:restartNumberingAfterBreak="0">
    <w:nsid w:val="453B1D72"/>
    <w:multiLevelType w:val="hybridMultilevel"/>
    <w:tmpl w:val="779290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5E50BDD"/>
    <w:multiLevelType w:val="hybridMultilevel"/>
    <w:tmpl w:val="66986B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28C5552"/>
    <w:multiLevelType w:val="hybridMultilevel"/>
    <w:tmpl w:val="086ECD0A"/>
    <w:lvl w:ilvl="0" w:tplc="0338D91E">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C9D17E8"/>
    <w:multiLevelType w:val="hybridMultilevel"/>
    <w:tmpl w:val="910C12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1DC49F1"/>
    <w:multiLevelType w:val="hybridMultilevel"/>
    <w:tmpl w:val="CCD6C8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2627A3C"/>
    <w:multiLevelType w:val="multilevel"/>
    <w:tmpl w:val="563A5A4A"/>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 w15:restartNumberingAfterBreak="0">
    <w:nsid w:val="745415FC"/>
    <w:multiLevelType w:val="hybridMultilevel"/>
    <w:tmpl w:val="0F9E8B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AD9383E"/>
    <w:multiLevelType w:val="hybridMultilevel"/>
    <w:tmpl w:val="C9ECFF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num>
  <w:num w:numId="2">
    <w:abstractNumId w:val="1"/>
  </w:num>
  <w:num w:numId="3">
    <w:abstractNumId w:val="4"/>
  </w:num>
  <w:num w:numId="4">
    <w:abstractNumId w:val="9"/>
  </w:num>
  <w:num w:numId="5">
    <w:abstractNumId w:val="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6AF"/>
    <w:rsid w:val="0000729D"/>
    <w:rsid w:val="00010109"/>
    <w:rsid w:val="00012055"/>
    <w:rsid w:val="000140B8"/>
    <w:rsid w:val="00015508"/>
    <w:rsid w:val="0002126E"/>
    <w:rsid w:val="00021774"/>
    <w:rsid w:val="00031925"/>
    <w:rsid w:val="00035CD5"/>
    <w:rsid w:val="00035E6E"/>
    <w:rsid w:val="00037257"/>
    <w:rsid w:val="00037CA6"/>
    <w:rsid w:val="0004022B"/>
    <w:rsid w:val="00041BCC"/>
    <w:rsid w:val="0004685C"/>
    <w:rsid w:val="00047FF1"/>
    <w:rsid w:val="00050143"/>
    <w:rsid w:val="00051EE3"/>
    <w:rsid w:val="00054473"/>
    <w:rsid w:val="00055704"/>
    <w:rsid w:val="0006374D"/>
    <w:rsid w:val="00064959"/>
    <w:rsid w:val="00067B40"/>
    <w:rsid w:val="0007255D"/>
    <w:rsid w:val="000746B1"/>
    <w:rsid w:val="00076EDC"/>
    <w:rsid w:val="00080BB1"/>
    <w:rsid w:val="0008249D"/>
    <w:rsid w:val="00087E40"/>
    <w:rsid w:val="000946D7"/>
    <w:rsid w:val="00095F9A"/>
    <w:rsid w:val="000971AA"/>
    <w:rsid w:val="000A21B9"/>
    <w:rsid w:val="000A4002"/>
    <w:rsid w:val="000A4A1E"/>
    <w:rsid w:val="000A7DB5"/>
    <w:rsid w:val="000B0F4A"/>
    <w:rsid w:val="000B32B9"/>
    <w:rsid w:val="000B54FA"/>
    <w:rsid w:val="000C4480"/>
    <w:rsid w:val="000C568F"/>
    <w:rsid w:val="000C7E9B"/>
    <w:rsid w:val="000D04E5"/>
    <w:rsid w:val="000D069C"/>
    <w:rsid w:val="000D26B7"/>
    <w:rsid w:val="000D7BBA"/>
    <w:rsid w:val="000E0D22"/>
    <w:rsid w:val="000E6028"/>
    <w:rsid w:val="000E6D72"/>
    <w:rsid w:val="001001E8"/>
    <w:rsid w:val="00113381"/>
    <w:rsid w:val="00114A05"/>
    <w:rsid w:val="00116F95"/>
    <w:rsid w:val="00125A50"/>
    <w:rsid w:val="00127069"/>
    <w:rsid w:val="00130487"/>
    <w:rsid w:val="00133FF1"/>
    <w:rsid w:val="001360AF"/>
    <w:rsid w:val="00136376"/>
    <w:rsid w:val="00140644"/>
    <w:rsid w:val="00141039"/>
    <w:rsid w:val="001412C1"/>
    <w:rsid w:val="001416FE"/>
    <w:rsid w:val="0014584E"/>
    <w:rsid w:val="0015016B"/>
    <w:rsid w:val="001507E7"/>
    <w:rsid w:val="0015188C"/>
    <w:rsid w:val="00152501"/>
    <w:rsid w:val="001525D7"/>
    <w:rsid w:val="00154A6D"/>
    <w:rsid w:val="00155578"/>
    <w:rsid w:val="00157405"/>
    <w:rsid w:val="00157AC8"/>
    <w:rsid w:val="00157EB4"/>
    <w:rsid w:val="00162996"/>
    <w:rsid w:val="00177A29"/>
    <w:rsid w:val="001824D7"/>
    <w:rsid w:val="0018516A"/>
    <w:rsid w:val="001A2778"/>
    <w:rsid w:val="001A559D"/>
    <w:rsid w:val="001A5818"/>
    <w:rsid w:val="001A7F37"/>
    <w:rsid w:val="001B6C59"/>
    <w:rsid w:val="001C1896"/>
    <w:rsid w:val="001C2F68"/>
    <w:rsid w:val="001C4FAF"/>
    <w:rsid w:val="001C5440"/>
    <w:rsid w:val="001C768D"/>
    <w:rsid w:val="001C797C"/>
    <w:rsid w:val="001C7E53"/>
    <w:rsid w:val="001D0F46"/>
    <w:rsid w:val="001D4B02"/>
    <w:rsid w:val="001D5E4E"/>
    <w:rsid w:val="001D66EB"/>
    <w:rsid w:val="001D723F"/>
    <w:rsid w:val="001E37ED"/>
    <w:rsid w:val="001E7774"/>
    <w:rsid w:val="001E7D97"/>
    <w:rsid w:val="001E7EAF"/>
    <w:rsid w:val="001F4EA3"/>
    <w:rsid w:val="001F6AC3"/>
    <w:rsid w:val="002019D8"/>
    <w:rsid w:val="002074A4"/>
    <w:rsid w:val="002119C3"/>
    <w:rsid w:val="00220B1B"/>
    <w:rsid w:val="00223CED"/>
    <w:rsid w:val="00224089"/>
    <w:rsid w:val="00230841"/>
    <w:rsid w:val="0023168A"/>
    <w:rsid w:val="002355FE"/>
    <w:rsid w:val="00243426"/>
    <w:rsid w:val="00251A72"/>
    <w:rsid w:val="002549F5"/>
    <w:rsid w:val="00256091"/>
    <w:rsid w:val="00264753"/>
    <w:rsid w:val="00266162"/>
    <w:rsid w:val="002702EA"/>
    <w:rsid w:val="0027706F"/>
    <w:rsid w:val="00277A80"/>
    <w:rsid w:val="00282312"/>
    <w:rsid w:val="002834FB"/>
    <w:rsid w:val="00284852"/>
    <w:rsid w:val="00284C2D"/>
    <w:rsid w:val="0028659C"/>
    <w:rsid w:val="00287A59"/>
    <w:rsid w:val="00293399"/>
    <w:rsid w:val="002948BA"/>
    <w:rsid w:val="002971E2"/>
    <w:rsid w:val="002A217A"/>
    <w:rsid w:val="002A5E5F"/>
    <w:rsid w:val="002B6C5A"/>
    <w:rsid w:val="002C6CE2"/>
    <w:rsid w:val="002C75B1"/>
    <w:rsid w:val="002C76F1"/>
    <w:rsid w:val="002D1E95"/>
    <w:rsid w:val="002D3F58"/>
    <w:rsid w:val="002E1C05"/>
    <w:rsid w:val="002E48DC"/>
    <w:rsid w:val="002E6CE7"/>
    <w:rsid w:val="002F2DDA"/>
    <w:rsid w:val="002F32CD"/>
    <w:rsid w:val="002F7B64"/>
    <w:rsid w:val="00303246"/>
    <w:rsid w:val="003102E6"/>
    <w:rsid w:val="00312097"/>
    <w:rsid w:val="00312466"/>
    <w:rsid w:val="00313AD3"/>
    <w:rsid w:val="003142B7"/>
    <w:rsid w:val="00315B04"/>
    <w:rsid w:val="00320014"/>
    <w:rsid w:val="003205CD"/>
    <w:rsid w:val="003243B6"/>
    <w:rsid w:val="0033371C"/>
    <w:rsid w:val="00334745"/>
    <w:rsid w:val="00335899"/>
    <w:rsid w:val="00340618"/>
    <w:rsid w:val="00340F13"/>
    <w:rsid w:val="00341D70"/>
    <w:rsid w:val="00342DAE"/>
    <w:rsid w:val="00346F00"/>
    <w:rsid w:val="00350806"/>
    <w:rsid w:val="003605E4"/>
    <w:rsid w:val="00360972"/>
    <w:rsid w:val="00361916"/>
    <w:rsid w:val="00362642"/>
    <w:rsid w:val="00362E82"/>
    <w:rsid w:val="003671CE"/>
    <w:rsid w:val="00367478"/>
    <w:rsid w:val="00367AB5"/>
    <w:rsid w:val="00367E06"/>
    <w:rsid w:val="00372ACB"/>
    <w:rsid w:val="00380C6D"/>
    <w:rsid w:val="003874BB"/>
    <w:rsid w:val="003903BF"/>
    <w:rsid w:val="003A4303"/>
    <w:rsid w:val="003A46F2"/>
    <w:rsid w:val="003B0BF9"/>
    <w:rsid w:val="003B76AB"/>
    <w:rsid w:val="003C0235"/>
    <w:rsid w:val="003C2624"/>
    <w:rsid w:val="003C7AEA"/>
    <w:rsid w:val="003D23E3"/>
    <w:rsid w:val="003D3453"/>
    <w:rsid w:val="003D4330"/>
    <w:rsid w:val="003D6DD6"/>
    <w:rsid w:val="003E0791"/>
    <w:rsid w:val="003E0FF4"/>
    <w:rsid w:val="003E4147"/>
    <w:rsid w:val="003E7430"/>
    <w:rsid w:val="003F1D68"/>
    <w:rsid w:val="003F1F2D"/>
    <w:rsid w:val="003F28AC"/>
    <w:rsid w:val="003F66CA"/>
    <w:rsid w:val="004016A4"/>
    <w:rsid w:val="00401F30"/>
    <w:rsid w:val="00403A2F"/>
    <w:rsid w:val="0041654D"/>
    <w:rsid w:val="00417A7A"/>
    <w:rsid w:val="00420133"/>
    <w:rsid w:val="00421EB1"/>
    <w:rsid w:val="00431C39"/>
    <w:rsid w:val="0043377F"/>
    <w:rsid w:val="00435568"/>
    <w:rsid w:val="0043765E"/>
    <w:rsid w:val="004454FE"/>
    <w:rsid w:val="00451F79"/>
    <w:rsid w:val="0045228D"/>
    <w:rsid w:val="00452463"/>
    <w:rsid w:val="00456E40"/>
    <w:rsid w:val="004622AB"/>
    <w:rsid w:val="00463B4E"/>
    <w:rsid w:val="00464944"/>
    <w:rsid w:val="00465DA9"/>
    <w:rsid w:val="00467DE3"/>
    <w:rsid w:val="00470506"/>
    <w:rsid w:val="00470591"/>
    <w:rsid w:val="00470ECD"/>
    <w:rsid w:val="00471F27"/>
    <w:rsid w:val="00475F37"/>
    <w:rsid w:val="00477E09"/>
    <w:rsid w:val="00480A65"/>
    <w:rsid w:val="00485E78"/>
    <w:rsid w:val="0048753C"/>
    <w:rsid w:val="004875DD"/>
    <w:rsid w:val="00493BF2"/>
    <w:rsid w:val="00494F80"/>
    <w:rsid w:val="00495760"/>
    <w:rsid w:val="0049601C"/>
    <w:rsid w:val="004964B8"/>
    <w:rsid w:val="004B5A63"/>
    <w:rsid w:val="004B7149"/>
    <w:rsid w:val="004C1FE7"/>
    <w:rsid w:val="004C44A1"/>
    <w:rsid w:val="004D2294"/>
    <w:rsid w:val="004D6991"/>
    <w:rsid w:val="004D7640"/>
    <w:rsid w:val="004E0175"/>
    <w:rsid w:val="004E1BA2"/>
    <w:rsid w:val="004E259F"/>
    <w:rsid w:val="004E276D"/>
    <w:rsid w:val="004E282B"/>
    <w:rsid w:val="004E29AE"/>
    <w:rsid w:val="004F0343"/>
    <w:rsid w:val="004F7DEC"/>
    <w:rsid w:val="0050178F"/>
    <w:rsid w:val="00502D97"/>
    <w:rsid w:val="005109D3"/>
    <w:rsid w:val="00513F3B"/>
    <w:rsid w:val="005169EA"/>
    <w:rsid w:val="00520FE1"/>
    <w:rsid w:val="005242EC"/>
    <w:rsid w:val="00526ADC"/>
    <w:rsid w:val="00526E2C"/>
    <w:rsid w:val="00527D8B"/>
    <w:rsid w:val="00533206"/>
    <w:rsid w:val="005349F0"/>
    <w:rsid w:val="00535C88"/>
    <w:rsid w:val="00541371"/>
    <w:rsid w:val="00547595"/>
    <w:rsid w:val="005534E6"/>
    <w:rsid w:val="00553E16"/>
    <w:rsid w:val="00564C6B"/>
    <w:rsid w:val="0056696D"/>
    <w:rsid w:val="00566AD6"/>
    <w:rsid w:val="005728A3"/>
    <w:rsid w:val="00577052"/>
    <w:rsid w:val="005805C4"/>
    <w:rsid w:val="00580732"/>
    <w:rsid w:val="005826B6"/>
    <w:rsid w:val="00583964"/>
    <w:rsid w:val="005856D9"/>
    <w:rsid w:val="00590AE6"/>
    <w:rsid w:val="00592966"/>
    <w:rsid w:val="00594B91"/>
    <w:rsid w:val="005A0C9D"/>
    <w:rsid w:val="005B1660"/>
    <w:rsid w:val="005C5A84"/>
    <w:rsid w:val="005C7D26"/>
    <w:rsid w:val="005D2953"/>
    <w:rsid w:val="005D34DD"/>
    <w:rsid w:val="005D54F2"/>
    <w:rsid w:val="005D68A5"/>
    <w:rsid w:val="005E0C81"/>
    <w:rsid w:val="005E25B2"/>
    <w:rsid w:val="005E2981"/>
    <w:rsid w:val="005E3D77"/>
    <w:rsid w:val="005E5FFC"/>
    <w:rsid w:val="005E7658"/>
    <w:rsid w:val="005F0566"/>
    <w:rsid w:val="005F4FE2"/>
    <w:rsid w:val="005F7BA4"/>
    <w:rsid w:val="006043EA"/>
    <w:rsid w:val="006107B7"/>
    <w:rsid w:val="00611352"/>
    <w:rsid w:val="0061155F"/>
    <w:rsid w:val="00613BBF"/>
    <w:rsid w:val="006232F5"/>
    <w:rsid w:val="00626AC5"/>
    <w:rsid w:val="00627631"/>
    <w:rsid w:val="006329A1"/>
    <w:rsid w:val="006335C0"/>
    <w:rsid w:val="00635B83"/>
    <w:rsid w:val="0064126F"/>
    <w:rsid w:val="0064127B"/>
    <w:rsid w:val="0064498B"/>
    <w:rsid w:val="00644B15"/>
    <w:rsid w:val="00646244"/>
    <w:rsid w:val="0064653C"/>
    <w:rsid w:val="00647B3D"/>
    <w:rsid w:val="00647F0D"/>
    <w:rsid w:val="0065272F"/>
    <w:rsid w:val="006538AC"/>
    <w:rsid w:val="00655F2C"/>
    <w:rsid w:val="0065732C"/>
    <w:rsid w:val="0065758B"/>
    <w:rsid w:val="00663AF4"/>
    <w:rsid w:val="0066441B"/>
    <w:rsid w:val="00665761"/>
    <w:rsid w:val="0066594E"/>
    <w:rsid w:val="0066749E"/>
    <w:rsid w:val="0067466F"/>
    <w:rsid w:val="00674E12"/>
    <w:rsid w:val="00676DA8"/>
    <w:rsid w:val="00681F74"/>
    <w:rsid w:val="006842C0"/>
    <w:rsid w:val="00685E0B"/>
    <w:rsid w:val="006936E5"/>
    <w:rsid w:val="006A31D0"/>
    <w:rsid w:val="006A3331"/>
    <w:rsid w:val="006A3A22"/>
    <w:rsid w:val="006A479C"/>
    <w:rsid w:val="006A4B9B"/>
    <w:rsid w:val="006A4BF8"/>
    <w:rsid w:val="006A5A9B"/>
    <w:rsid w:val="006A5DEF"/>
    <w:rsid w:val="006B221B"/>
    <w:rsid w:val="006B490A"/>
    <w:rsid w:val="006C0B4E"/>
    <w:rsid w:val="006C0EB5"/>
    <w:rsid w:val="006C12A6"/>
    <w:rsid w:val="006C219D"/>
    <w:rsid w:val="006C2DFF"/>
    <w:rsid w:val="006C64C4"/>
    <w:rsid w:val="006C7AE7"/>
    <w:rsid w:val="006D4250"/>
    <w:rsid w:val="006E0366"/>
    <w:rsid w:val="006E1081"/>
    <w:rsid w:val="006E587D"/>
    <w:rsid w:val="006E71F7"/>
    <w:rsid w:val="006F09C2"/>
    <w:rsid w:val="006F0FC6"/>
    <w:rsid w:val="006F193F"/>
    <w:rsid w:val="006F265C"/>
    <w:rsid w:val="006F4690"/>
    <w:rsid w:val="006F56B9"/>
    <w:rsid w:val="00701AC4"/>
    <w:rsid w:val="00701ED0"/>
    <w:rsid w:val="00702CFD"/>
    <w:rsid w:val="00707161"/>
    <w:rsid w:val="00714300"/>
    <w:rsid w:val="00716E57"/>
    <w:rsid w:val="00717431"/>
    <w:rsid w:val="00717FAF"/>
    <w:rsid w:val="00720585"/>
    <w:rsid w:val="00720987"/>
    <w:rsid w:val="00726660"/>
    <w:rsid w:val="007272A8"/>
    <w:rsid w:val="00727895"/>
    <w:rsid w:val="00740D0B"/>
    <w:rsid w:val="00740EEA"/>
    <w:rsid w:val="00742254"/>
    <w:rsid w:val="00742F60"/>
    <w:rsid w:val="007441D5"/>
    <w:rsid w:val="00746399"/>
    <w:rsid w:val="0074680C"/>
    <w:rsid w:val="00750D89"/>
    <w:rsid w:val="00751927"/>
    <w:rsid w:val="007606BC"/>
    <w:rsid w:val="007606BD"/>
    <w:rsid w:val="00765B2E"/>
    <w:rsid w:val="00766BFA"/>
    <w:rsid w:val="00773AF6"/>
    <w:rsid w:val="00773EC6"/>
    <w:rsid w:val="00776EE7"/>
    <w:rsid w:val="00780184"/>
    <w:rsid w:val="00781317"/>
    <w:rsid w:val="00782C47"/>
    <w:rsid w:val="0079260F"/>
    <w:rsid w:val="00793180"/>
    <w:rsid w:val="00795F71"/>
    <w:rsid w:val="007A0DA7"/>
    <w:rsid w:val="007A1AB4"/>
    <w:rsid w:val="007A3F62"/>
    <w:rsid w:val="007A7695"/>
    <w:rsid w:val="007A7826"/>
    <w:rsid w:val="007B1C39"/>
    <w:rsid w:val="007B1D31"/>
    <w:rsid w:val="007B3917"/>
    <w:rsid w:val="007B3A0F"/>
    <w:rsid w:val="007B4E09"/>
    <w:rsid w:val="007B7A0E"/>
    <w:rsid w:val="007D632A"/>
    <w:rsid w:val="007D695F"/>
    <w:rsid w:val="007D6D57"/>
    <w:rsid w:val="007E06B4"/>
    <w:rsid w:val="007E3BCE"/>
    <w:rsid w:val="007E4DF3"/>
    <w:rsid w:val="007E5F7A"/>
    <w:rsid w:val="007E6AAA"/>
    <w:rsid w:val="007E73AB"/>
    <w:rsid w:val="007F0AF1"/>
    <w:rsid w:val="007F2EF9"/>
    <w:rsid w:val="007F6F87"/>
    <w:rsid w:val="007F7D5A"/>
    <w:rsid w:val="0080508B"/>
    <w:rsid w:val="008055ED"/>
    <w:rsid w:val="00805F4C"/>
    <w:rsid w:val="00811F73"/>
    <w:rsid w:val="00816479"/>
    <w:rsid w:val="008168AC"/>
    <w:rsid w:val="00816C11"/>
    <w:rsid w:val="00817B91"/>
    <w:rsid w:val="00822C45"/>
    <w:rsid w:val="00824A17"/>
    <w:rsid w:val="008256CB"/>
    <w:rsid w:val="00830B14"/>
    <w:rsid w:val="00831629"/>
    <w:rsid w:val="00840EE9"/>
    <w:rsid w:val="00842113"/>
    <w:rsid w:val="00842AD1"/>
    <w:rsid w:val="008470F2"/>
    <w:rsid w:val="00851D8B"/>
    <w:rsid w:val="0085714D"/>
    <w:rsid w:val="00860032"/>
    <w:rsid w:val="00861998"/>
    <w:rsid w:val="00863DCA"/>
    <w:rsid w:val="00864989"/>
    <w:rsid w:val="00867737"/>
    <w:rsid w:val="00870ADA"/>
    <w:rsid w:val="00874A6E"/>
    <w:rsid w:val="00875194"/>
    <w:rsid w:val="0087595E"/>
    <w:rsid w:val="00875A9D"/>
    <w:rsid w:val="00877646"/>
    <w:rsid w:val="00880941"/>
    <w:rsid w:val="008870FC"/>
    <w:rsid w:val="00891AF0"/>
    <w:rsid w:val="00891CFD"/>
    <w:rsid w:val="00893E26"/>
    <w:rsid w:val="00894C55"/>
    <w:rsid w:val="008954E8"/>
    <w:rsid w:val="00896510"/>
    <w:rsid w:val="00896A9B"/>
    <w:rsid w:val="00896B28"/>
    <w:rsid w:val="008A66C9"/>
    <w:rsid w:val="008B2B4E"/>
    <w:rsid w:val="008B37B7"/>
    <w:rsid w:val="008C1794"/>
    <w:rsid w:val="008C2003"/>
    <w:rsid w:val="008C3A5C"/>
    <w:rsid w:val="008C3E17"/>
    <w:rsid w:val="008C563B"/>
    <w:rsid w:val="008C7E5C"/>
    <w:rsid w:val="008D16B8"/>
    <w:rsid w:val="008D372B"/>
    <w:rsid w:val="008E09D7"/>
    <w:rsid w:val="008E4FC1"/>
    <w:rsid w:val="008E61BF"/>
    <w:rsid w:val="008F504A"/>
    <w:rsid w:val="008F5220"/>
    <w:rsid w:val="0090017B"/>
    <w:rsid w:val="00900815"/>
    <w:rsid w:val="00903694"/>
    <w:rsid w:val="00904B72"/>
    <w:rsid w:val="00910BAE"/>
    <w:rsid w:val="009115E9"/>
    <w:rsid w:val="0091192F"/>
    <w:rsid w:val="00912458"/>
    <w:rsid w:val="0091488A"/>
    <w:rsid w:val="0091740C"/>
    <w:rsid w:val="00922B75"/>
    <w:rsid w:val="00922C9E"/>
    <w:rsid w:val="00922E9E"/>
    <w:rsid w:val="00925151"/>
    <w:rsid w:val="0092709B"/>
    <w:rsid w:val="009271C0"/>
    <w:rsid w:val="00931C65"/>
    <w:rsid w:val="00931F74"/>
    <w:rsid w:val="009337F9"/>
    <w:rsid w:val="00934582"/>
    <w:rsid w:val="00940FC7"/>
    <w:rsid w:val="0094176A"/>
    <w:rsid w:val="00945CE6"/>
    <w:rsid w:val="009505DA"/>
    <w:rsid w:val="00950BF1"/>
    <w:rsid w:val="00950DF4"/>
    <w:rsid w:val="00952108"/>
    <w:rsid w:val="00952FE1"/>
    <w:rsid w:val="009547D2"/>
    <w:rsid w:val="00960937"/>
    <w:rsid w:val="0096116B"/>
    <w:rsid w:val="009644BB"/>
    <w:rsid w:val="00966B5F"/>
    <w:rsid w:val="00972E35"/>
    <w:rsid w:val="009740EA"/>
    <w:rsid w:val="009741D2"/>
    <w:rsid w:val="00986BC6"/>
    <w:rsid w:val="009870A7"/>
    <w:rsid w:val="009907E2"/>
    <w:rsid w:val="009936B8"/>
    <w:rsid w:val="009945F3"/>
    <w:rsid w:val="00995509"/>
    <w:rsid w:val="009A0037"/>
    <w:rsid w:val="009A0228"/>
    <w:rsid w:val="009A22AF"/>
    <w:rsid w:val="009A2654"/>
    <w:rsid w:val="009A38DD"/>
    <w:rsid w:val="009A6794"/>
    <w:rsid w:val="009A6ABE"/>
    <w:rsid w:val="009B0CA2"/>
    <w:rsid w:val="009B37C5"/>
    <w:rsid w:val="009B61EE"/>
    <w:rsid w:val="009B7770"/>
    <w:rsid w:val="009C15CF"/>
    <w:rsid w:val="009D0E21"/>
    <w:rsid w:val="009E1A8B"/>
    <w:rsid w:val="009E38B2"/>
    <w:rsid w:val="009E53FF"/>
    <w:rsid w:val="009E7C81"/>
    <w:rsid w:val="009F0F42"/>
    <w:rsid w:val="009F25E7"/>
    <w:rsid w:val="009F2D30"/>
    <w:rsid w:val="00A0244D"/>
    <w:rsid w:val="00A03A77"/>
    <w:rsid w:val="00A03AB5"/>
    <w:rsid w:val="00A07BD4"/>
    <w:rsid w:val="00A10FC3"/>
    <w:rsid w:val="00A16B22"/>
    <w:rsid w:val="00A21353"/>
    <w:rsid w:val="00A2399C"/>
    <w:rsid w:val="00A25C20"/>
    <w:rsid w:val="00A25EBA"/>
    <w:rsid w:val="00A35E02"/>
    <w:rsid w:val="00A364B7"/>
    <w:rsid w:val="00A406EF"/>
    <w:rsid w:val="00A467CF"/>
    <w:rsid w:val="00A53F16"/>
    <w:rsid w:val="00A57B21"/>
    <w:rsid w:val="00A6073E"/>
    <w:rsid w:val="00A60D70"/>
    <w:rsid w:val="00A61146"/>
    <w:rsid w:val="00A65FAC"/>
    <w:rsid w:val="00A772AD"/>
    <w:rsid w:val="00A80382"/>
    <w:rsid w:val="00A80A7E"/>
    <w:rsid w:val="00A80FDB"/>
    <w:rsid w:val="00A85518"/>
    <w:rsid w:val="00A92096"/>
    <w:rsid w:val="00A935DA"/>
    <w:rsid w:val="00A93640"/>
    <w:rsid w:val="00AA4209"/>
    <w:rsid w:val="00AA4648"/>
    <w:rsid w:val="00AA55ED"/>
    <w:rsid w:val="00AB35AD"/>
    <w:rsid w:val="00AB6561"/>
    <w:rsid w:val="00AB7EA7"/>
    <w:rsid w:val="00AC24B1"/>
    <w:rsid w:val="00AC50B8"/>
    <w:rsid w:val="00AC50CF"/>
    <w:rsid w:val="00AC5884"/>
    <w:rsid w:val="00AC58B1"/>
    <w:rsid w:val="00AD0171"/>
    <w:rsid w:val="00AD0E17"/>
    <w:rsid w:val="00AE1295"/>
    <w:rsid w:val="00AE3F78"/>
    <w:rsid w:val="00AE5567"/>
    <w:rsid w:val="00AE73AA"/>
    <w:rsid w:val="00AF1239"/>
    <w:rsid w:val="00AF3AB8"/>
    <w:rsid w:val="00AF7C42"/>
    <w:rsid w:val="00B04563"/>
    <w:rsid w:val="00B07343"/>
    <w:rsid w:val="00B1213A"/>
    <w:rsid w:val="00B130ED"/>
    <w:rsid w:val="00B15FDD"/>
    <w:rsid w:val="00B16480"/>
    <w:rsid w:val="00B16FE9"/>
    <w:rsid w:val="00B2165C"/>
    <w:rsid w:val="00B22B77"/>
    <w:rsid w:val="00B24C87"/>
    <w:rsid w:val="00B2576B"/>
    <w:rsid w:val="00B25BAC"/>
    <w:rsid w:val="00B2616F"/>
    <w:rsid w:val="00B31BDD"/>
    <w:rsid w:val="00B34AB7"/>
    <w:rsid w:val="00B35F78"/>
    <w:rsid w:val="00B40D44"/>
    <w:rsid w:val="00B425D2"/>
    <w:rsid w:val="00B45713"/>
    <w:rsid w:val="00B47986"/>
    <w:rsid w:val="00B5648E"/>
    <w:rsid w:val="00B622AD"/>
    <w:rsid w:val="00B6729B"/>
    <w:rsid w:val="00B67377"/>
    <w:rsid w:val="00B716E9"/>
    <w:rsid w:val="00B76E17"/>
    <w:rsid w:val="00B8149C"/>
    <w:rsid w:val="00B83DE2"/>
    <w:rsid w:val="00B83EC8"/>
    <w:rsid w:val="00B84835"/>
    <w:rsid w:val="00B91FC6"/>
    <w:rsid w:val="00B9226B"/>
    <w:rsid w:val="00B927DC"/>
    <w:rsid w:val="00B9393D"/>
    <w:rsid w:val="00BA104A"/>
    <w:rsid w:val="00BA20AA"/>
    <w:rsid w:val="00BA33EF"/>
    <w:rsid w:val="00BA4D7E"/>
    <w:rsid w:val="00BA7BA7"/>
    <w:rsid w:val="00BB15E3"/>
    <w:rsid w:val="00BB6937"/>
    <w:rsid w:val="00BD0B06"/>
    <w:rsid w:val="00BD3CD6"/>
    <w:rsid w:val="00BD4425"/>
    <w:rsid w:val="00BD7F5E"/>
    <w:rsid w:val="00BE6775"/>
    <w:rsid w:val="00BE7C51"/>
    <w:rsid w:val="00BE7DC1"/>
    <w:rsid w:val="00BF02AF"/>
    <w:rsid w:val="00BF2A90"/>
    <w:rsid w:val="00C0281A"/>
    <w:rsid w:val="00C02AE6"/>
    <w:rsid w:val="00C03C0C"/>
    <w:rsid w:val="00C05E15"/>
    <w:rsid w:val="00C07AF6"/>
    <w:rsid w:val="00C10270"/>
    <w:rsid w:val="00C10676"/>
    <w:rsid w:val="00C200B1"/>
    <w:rsid w:val="00C24A45"/>
    <w:rsid w:val="00C24D49"/>
    <w:rsid w:val="00C25B49"/>
    <w:rsid w:val="00C264A6"/>
    <w:rsid w:val="00C26520"/>
    <w:rsid w:val="00C30F18"/>
    <w:rsid w:val="00C348FC"/>
    <w:rsid w:val="00C34C39"/>
    <w:rsid w:val="00C35679"/>
    <w:rsid w:val="00C35C79"/>
    <w:rsid w:val="00C36745"/>
    <w:rsid w:val="00C36EA7"/>
    <w:rsid w:val="00C42475"/>
    <w:rsid w:val="00C43873"/>
    <w:rsid w:val="00C468ED"/>
    <w:rsid w:val="00C47037"/>
    <w:rsid w:val="00C53849"/>
    <w:rsid w:val="00C55175"/>
    <w:rsid w:val="00C55F33"/>
    <w:rsid w:val="00C56F75"/>
    <w:rsid w:val="00C65A4B"/>
    <w:rsid w:val="00C66852"/>
    <w:rsid w:val="00C676A2"/>
    <w:rsid w:val="00C722A3"/>
    <w:rsid w:val="00C77477"/>
    <w:rsid w:val="00C80B0B"/>
    <w:rsid w:val="00C83131"/>
    <w:rsid w:val="00C8678C"/>
    <w:rsid w:val="00C9634E"/>
    <w:rsid w:val="00CA1AEE"/>
    <w:rsid w:val="00CA747D"/>
    <w:rsid w:val="00CB0786"/>
    <w:rsid w:val="00CB1824"/>
    <w:rsid w:val="00CB19C9"/>
    <w:rsid w:val="00CB6BA4"/>
    <w:rsid w:val="00CC0982"/>
    <w:rsid w:val="00CC0D2D"/>
    <w:rsid w:val="00CC4FDB"/>
    <w:rsid w:val="00CC6EDA"/>
    <w:rsid w:val="00CC720B"/>
    <w:rsid w:val="00CD2F04"/>
    <w:rsid w:val="00CD44BF"/>
    <w:rsid w:val="00CD6F4E"/>
    <w:rsid w:val="00CE49C7"/>
    <w:rsid w:val="00CE5657"/>
    <w:rsid w:val="00CE7A73"/>
    <w:rsid w:val="00CF262B"/>
    <w:rsid w:val="00CF3D9F"/>
    <w:rsid w:val="00CF6439"/>
    <w:rsid w:val="00CF7143"/>
    <w:rsid w:val="00D01A6E"/>
    <w:rsid w:val="00D02DDA"/>
    <w:rsid w:val="00D03ADD"/>
    <w:rsid w:val="00D11F9F"/>
    <w:rsid w:val="00D12358"/>
    <w:rsid w:val="00D133F8"/>
    <w:rsid w:val="00D138E7"/>
    <w:rsid w:val="00D14A3E"/>
    <w:rsid w:val="00D21D7F"/>
    <w:rsid w:val="00D22281"/>
    <w:rsid w:val="00D24501"/>
    <w:rsid w:val="00D24640"/>
    <w:rsid w:val="00D37AAD"/>
    <w:rsid w:val="00D4052F"/>
    <w:rsid w:val="00D4751F"/>
    <w:rsid w:val="00D50278"/>
    <w:rsid w:val="00D507E2"/>
    <w:rsid w:val="00D548C7"/>
    <w:rsid w:val="00D56A82"/>
    <w:rsid w:val="00D56F78"/>
    <w:rsid w:val="00D82125"/>
    <w:rsid w:val="00D857CF"/>
    <w:rsid w:val="00D8655B"/>
    <w:rsid w:val="00D900BB"/>
    <w:rsid w:val="00D903DA"/>
    <w:rsid w:val="00D92E60"/>
    <w:rsid w:val="00DB079D"/>
    <w:rsid w:val="00DB1AB8"/>
    <w:rsid w:val="00DB423E"/>
    <w:rsid w:val="00DB50C9"/>
    <w:rsid w:val="00DB6C09"/>
    <w:rsid w:val="00DC09E9"/>
    <w:rsid w:val="00DC2DAF"/>
    <w:rsid w:val="00DC4012"/>
    <w:rsid w:val="00DC5AA3"/>
    <w:rsid w:val="00DC5EDB"/>
    <w:rsid w:val="00DC6B64"/>
    <w:rsid w:val="00DC7938"/>
    <w:rsid w:val="00DD4186"/>
    <w:rsid w:val="00DD555B"/>
    <w:rsid w:val="00DD5E1F"/>
    <w:rsid w:val="00DE07F2"/>
    <w:rsid w:val="00DE540F"/>
    <w:rsid w:val="00DF027E"/>
    <w:rsid w:val="00DF461F"/>
    <w:rsid w:val="00DF5C02"/>
    <w:rsid w:val="00DF68F8"/>
    <w:rsid w:val="00DF776E"/>
    <w:rsid w:val="00DF77D6"/>
    <w:rsid w:val="00E01657"/>
    <w:rsid w:val="00E04A9C"/>
    <w:rsid w:val="00E14EE8"/>
    <w:rsid w:val="00E21304"/>
    <w:rsid w:val="00E31F13"/>
    <w:rsid w:val="00E32710"/>
    <w:rsid w:val="00E3716B"/>
    <w:rsid w:val="00E374E1"/>
    <w:rsid w:val="00E4149D"/>
    <w:rsid w:val="00E45EF4"/>
    <w:rsid w:val="00E465CE"/>
    <w:rsid w:val="00E51795"/>
    <w:rsid w:val="00E5323B"/>
    <w:rsid w:val="00E53D86"/>
    <w:rsid w:val="00E560D2"/>
    <w:rsid w:val="00E570F0"/>
    <w:rsid w:val="00E66E09"/>
    <w:rsid w:val="00E67EAF"/>
    <w:rsid w:val="00E71E92"/>
    <w:rsid w:val="00E742DF"/>
    <w:rsid w:val="00E74A7C"/>
    <w:rsid w:val="00E751EA"/>
    <w:rsid w:val="00E84B2A"/>
    <w:rsid w:val="00E867F1"/>
    <w:rsid w:val="00E8749E"/>
    <w:rsid w:val="00E874D8"/>
    <w:rsid w:val="00E90C01"/>
    <w:rsid w:val="00E90D0B"/>
    <w:rsid w:val="00E966C3"/>
    <w:rsid w:val="00E96DC6"/>
    <w:rsid w:val="00E97680"/>
    <w:rsid w:val="00EA0908"/>
    <w:rsid w:val="00EA130F"/>
    <w:rsid w:val="00EA486E"/>
    <w:rsid w:val="00EA5229"/>
    <w:rsid w:val="00EA6F6F"/>
    <w:rsid w:val="00EB17D4"/>
    <w:rsid w:val="00EB32C5"/>
    <w:rsid w:val="00EB3AFC"/>
    <w:rsid w:val="00EB49A7"/>
    <w:rsid w:val="00EB523D"/>
    <w:rsid w:val="00EC1502"/>
    <w:rsid w:val="00EC56FE"/>
    <w:rsid w:val="00EC59F3"/>
    <w:rsid w:val="00EC6E12"/>
    <w:rsid w:val="00EC766A"/>
    <w:rsid w:val="00ED25EE"/>
    <w:rsid w:val="00ED2D59"/>
    <w:rsid w:val="00ED5F8C"/>
    <w:rsid w:val="00EE0AC0"/>
    <w:rsid w:val="00EE2F62"/>
    <w:rsid w:val="00EE3715"/>
    <w:rsid w:val="00EE6183"/>
    <w:rsid w:val="00EE7ECB"/>
    <w:rsid w:val="00EF3C3A"/>
    <w:rsid w:val="00F00B5E"/>
    <w:rsid w:val="00F01AE4"/>
    <w:rsid w:val="00F01E73"/>
    <w:rsid w:val="00F04C70"/>
    <w:rsid w:val="00F05142"/>
    <w:rsid w:val="00F12351"/>
    <w:rsid w:val="00F12E92"/>
    <w:rsid w:val="00F145E9"/>
    <w:rsid w:val="00F14A00"/>
    <w:rsid w:val="00F160EC"/>
    <w:rsid w:val="00F17FDC"/>
    <w:rsid w:val="00F26232"/>
    <w:rsid w:val="00F277CC"/>
    <w:rsid w:val="00F3460D"/>
    <w:rsid w:val="00F464CE"/>
    <w:rsid w:val="00F47A9F"/>
    <w:rsid w:val="00F530FE"/>
    <w:rsid w:val="00F57AC1"/>
    <w:rsid w:val="00F57B0C"/>
    <w:rsid w:val="00F679E9"/>
    <w:rsid w:val="00F67B4B"/>
    <w:rsid w:val="00F71600"/>
    <w:rsid w:val="00F72D88"/>
    <w:rsid w:val="00F77376"/>
    <w:rsid w:val="00F778E9"/>
    <w:rsid w:val="00F77F67"/>
    <w:rsid w:val="00F8145B"/>
    <w:rsid w:val="00F822DD"/>
    <w:rsid w:val="00F82318"/>
    <w:rsid w:val="00F85BFB"/>
    <w:rsid w:val="00F85DC5"/>
    <w:rsid w:val="00F87284"/>
    <w:rsid w:val="00F87CAE"/>
    <w:rsid w:val="00F95701"/>
    <w:rsid w:val="00F96ED0"/>
    <w:rsid w:val="00F97428"/>
    <w:rsid w:val="00FA2114"/>
    <w:rsid w:val="00FA5D3C"/>
    <w:rsid w:val="00FB3A66"/>
    <w:rsid w:val="00FB4965"/>
    <w:rsid w:val="00FC3FDB"/>
    <w:rsid w:val="00FC7F88"/>
    <w:rsid w:val="00FD3303"/>
    <w:rsid w:val="00FD48F3"/>
    <w:rsid w:val="00FE01C3"/>
    <w:rsid w:val="00FE5BDE"/>
    <w:rsid w:val="00FE71B1"/>
    <w:rsid w:val="00FF3A1B"/>
    <w:rsid w:val="00FF3C58"/>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6385"/>
    <o:shapelayout v:ext="edit">
      <o:idmap v:ext="edit" data="1"/>
    </o:shapelayout>
  </w:shapeDefaults>
  <w:decimalSymbol w:val="."/>
  <w:listSeparator w:val=","/>
  <w14:docId w14:val="5C37B3EF"/>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877646"/>
    <w:rPr>
      <w:sz w:val="16"/>
      <w:szCs w:val="16"/>
    </w:rPr>
  </w:style>
  <w:style w:type="paragraph" w:styleId="CommentText">
    <w:name w:val="annotation text"/>
    <w:basedOn w:val="Normal"/>
    <w:link w:val="CommentTextChar"/>
    <w:uiPriority w:val="99"/>
    <w:unhideWhenUsed/>
    <w:rsid w:val="00877646"/>
    <w:rPr>
      <w:sz w:val="20"/>
      <w:szCs w:val="20"/>
    </w:rPr>
  </w:style>
  <w:style w:type="character" w:customStyle="1" w:styleId="CommentTextChar">
    <w:name w:val="Comment Text Char"/>
    <w:basedOn w:val="DefaultParagraphFont"/>
    <w:link w:val="CommentText"/>
    <w:uiPriority w:val="99"/>
    <w:rsid w:val="00877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77646"/>
    <w:rPr>
      <w:b/>
      <w:bCs/>
    </w:rPr>
  </w:style>
  <w:style w:type="character" w:customStyle="1" w:styleId="CommentSubjectChar">
    <w:name w:val="Comment Subject Char"/>
    <w:basedOn w:val="CommentTextChar"/>
    <w:link w:val="CommentSubject"/>
    <w:uiPriority w:val="99"/>
    <w:semiHidden/>
    <w:rsid w:val="00877646"/>
    <w:rPr>
      <w:rFonts w:ascii="Times New Roman" w:eastAsia="Times New Roman" w:hAnsi="Times New Roman" w:cs="Times New Roman"/>
      <w:b/>
      <w:bCs/>
      <w:sz w:val="20"/>
      <w:szCs w:val="20"/>
      <w:lang w:eastAsia="lv-LV"/>
    </w:rPr>
  </w:style>
  <w:style w:type="paragraph" w:styleId="FootnoteText">
    <w:name w:val="footnote text"/>
    <w:aliases w:val="fn,Char Char,Footnote Text2,Footnote Text11,ALTS FOOTNOTE11,Footnote Text Char111,Footnote Text Char Char Char11,Footnote Text Char1 Char Char Char Char11,Footnote Text Char1 Char Char Char11,ALTS FOOTNOTE2,Footnote Text1,ft,footnote te"/>
    <w:basedOn w:val="Normal"/>
    <w:link w:val="FootnoteTextChar"/>
    <w:uiPriority w:val="99"/>
    <w:rsid w:val="001E7D97"/>
    <w:pPr>
      <w:jc w:val="both"/>
    </w:pPr>
    <w:rPr>
      <w:sz w:val="20"/>
      <w:szCs w:val="20"/>
      <w:lang w:eastAsia="en-US"/>
    </w:rPr>
  </w:style>
  <w:style w:type="character" w:customStyle="1" w:styleId="FootnoteTextChar">
    <w:name w:val="Footnote Text Char"/>
    <w:aliases w:val="fn Char,Char Char Char,Footnote Text2 Char,Footnote Text11 Char,ALTS FOOTNOTE11 Char,Footnote Text Char111 Char,Footnote Text Char Char Char11 Char,Footnote Text Char1 Char Char Char Char11 Char,ALTS FOOTNOTE2 Char,Footnote Text1 Char"/>
    <w:basedOn w:val="DefaultParagraphFont"/>
    <w:link w:val="FootnoteText"/>
    <w:uiPriority w:val="99"/>
    <w:rsid w:val="001E7D97"/>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3A4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951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3253758">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37564372">
      <w:bodyDiv w:val="1"/>
      <w:marLeft w:val="0"/>
      <w:marRight w:val="0"/>
      <w:marTop w:val="0"/>
      <w:marBottom w:val="0"/>
      <w:divBdr>
        <w:top w:val="none" w:sz="0" w:space="0" w:color="auto"/>
        <w:left w:val="none" w:sz="0" w:space="0" w:color="auto"/>
        <w:bottom w:val="none" w:sz="0" w:space="0" w:color="auto"/>
        <w:right w:val="none" w:sz="0" w:space="0" w:color="auto"/>
      </w:divBdr>
    </w:div>
    <w:div w:id="651906779">
      <w:bodyDiv w:val="1"/>
      <w:marLeft w:val="0"/>
      <w:marRight w:val="0"/>
      <w:marTop w:val="0"/>
      <w:marBottom w:val="0"/>
      <w:divBdr>
        <w:top w:val="none" w:sz="0" w:space="0" w:color="auto"/>
        <w:left w:val="none" w:sz="0" w:space="0" w:color="auto"/>
        <w:bottom w:val="none" w:sz="0" w:space="0" w:color="auto"/>
        <w:right w:val="none" w:sz="0" w:space="0" w:color="auto"/>
      </w:divBdr>
    </w:div>
    <w:div w:id="744568555">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69378897">
      <w:bodyDiv w:val="1"/>
      <w:marLeft w:val="0"/>
      <w:marRight w:val="0"/>
      <w:marTop w:val="0"/>
      <w:marBottom w:val="0"/>
      <w:divBdr>
        <w:top w:val="none" w:sz="0" w:space="0" w:color="auto"/>
        <w:left w:val="none" w:sz="0" w:space="0" w:color="auto"/>
        <w:bottom w:val="none" w:sz="0" w:space="0" w:color="auto"/>
        <w:right w:val="none" w:sz="0" w:space="0" w:color="auto"/>
      </w:divBdr>
    </w:div>
    <w:div w:id="1069889259">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50073458">
      <w:bodyDiv w:val="1"/>
      <w:marLeft w:val="0"/>
      <w:marRight w:val="0"/>
      <w:marTop w:val="0"/>
      <w:marBottom w:val="0"/>
      <w:divBdr>
        <w:top w:val="none" w:sz="0" w:space="0" w:color="auto"/>
        <w:left w:val="none" w:sz="0" w:space="0" w:color="auto"/>
        <w:bottom w:val="none" w:sz="0" w:space="0" w:color="auto"/>
        <w:right w:val="none" w:sz="0" w:space="0" w:color="auto"/>
      </w:divBdr>
    </w:div>
    <w:div w:id="212985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06232-par-valsts-budzetu-2019-gadam" TargetMode="External"/><Relationship Id="rId13" Type="http://schemas.openxmlformats.org/officeDocument/2006/relationships/hyperlink" Target="https://likumi.lv/ta/id/306232-par-valsts-budzetu-2019-gada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306232-par-valsts-budzetu-2019-gada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gnese.Jurevica@vm.gov.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06232-par-valsts-budzetu-2019-gadam" TargetMode="External"/><Relationship Id="rId5" Type="http://schemas.openxmlformats.org/officeDocument/2006/relationships/webSettings" Target="webSettings.xml"/><Relationship Id="rId15" Type="http://schemas.openxmlformats.org/officeDocument/2006/relationships/hyperlink" Target="https://likumi.lv/ta/id/306232-par-valsts-budzetu-2019-gadam" TargetMode="External"/><Relationship Id="rId10" Type="http://schemas.openxmlformats.org/officeDocument/2006/relationships/hyperlink" Target="https://likumi.lv/ta/id/306232-par-valsts-budzetu-2019-gad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306232-par-valsts-budzetu-2019-gadam" TargetMode="External"/><Relationship Id="rId14" Type="http://schemas.openxmlformats.org/officeDocument/2006/relationships/hyperlink" Target="https://likumi.lv/ta/id/306232-par-valsts-budzetu-2019-ga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61B5F-80EF-4EF6-B2B5-16298B5BF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6</Pages>
  <Words>9422</Words>
  <Characters>5372</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liene.abola@vm.gov.lv</dc:creator>
  <dc:description>67876169, Ivita.Lazdina@vm.gov.lv, Nozares budžeta plānošanas departamenta_x000d_
Vecākā eksperte</dc:description>
  <cp:lastModifiedBy>Agnese Jurevica</cp:lastModifiedBy>
  <cp:revision>20</cp:revision>
  <cp:lastPrinted>2020-03-24T15:32:00Z</cp:lastPrinted>
  <dcterms:created xsi:type="dcterms:W3CDTF">2021-06-15T07:00:00Z</dcterms:created>
  <dcterms:modified xsi:type="dcterms:W3CDTF">2021-07-01T10:43:00Z</dcterms:modified>
</cp:coreProperties>
</file>