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8E4F" w14:textId="77777777" w:rsidR="00D01B51" w:rsidRDefault="00D01B51" w:rsidP="00F52622">
      <w:pPr>
        <w:jc w:val="both"/>
        <w:rPr>
          <w:sz w:val="28"/>
          <w:szCs w:val="28"/>
        </w:rPr>
      </w:pPr>
    </w:p>
    <w:p w14:paraId="24D354EE" w14:textId="77777777" w:rsidR="009F610B" w:rsidRPr="00CB77F6" w:rsidRDefault="009F610B" w:rsidP="00F52622">
      <w:pPr>
        <w:jc w:val="both"/>
        <w:rPr>
          <w:sz w:val="28"/>
          <w:szCs w:val="28"/>
        </w:rPr>
      </w:pPr>
    </w:p>
    <w:tbl>
      <w:tblPr>
        <w:tblW w:w="9498" w:type="dxa"/>
        <w:tblInd w:w="-34" w:type="dxa"/>
        <w:tblLayout w:type="fixed"/>
        <w:tblLook w:val="0000" w:firstRow="0" w:lastRow="0" w:firstColumn="0" w:lastColumn="0" w:noHBand="0" w:noVBand="0"/>
      </w:tblPr>
      <w:tblGrid>
        <w:gridCol w:w="4251"/>
        <w:gridCol w:w="886"/>
        <w:gridCol w:w="4361"/>
      </w:tblGrid>
      <w:tr w:rsidR="00F52622" w:rsidRPr="00B1525C" w14:paraId="67DBFBB7" w14:textId="77777777" w:rsidTr="00F52622">
        <w:trPr>
          <w:cantSplit/>
        </w:trPr>
        <w:tc>
          <w:tcPr>
            <w:tcW w:w="4251" w:type="dxa"/>
          </w:tcPr>
          <w:p w14:paraId="503A0F4D" w14:textId="77777777" w:rsidR="00F52622" w:rsidRPr="00B1525C" w:rsidRDefault="00F52622" w:rsidP="00294981">
            <w:pPr>
              <w:rPr>
                <w:sz w:val="28"/>
                <w:szCs w:val="28"/>
              </w:rPr>
            </w:pPr>
            <w:r w:rsidRPr="00B1525C">
              <w:rPr>
                <w:sz w:val="28"/>
                <w:szCs w:val="28"/>
              </w:rPr>
              <w:t>Rīgā</w:t>
            </w:r>
          </w:p>
        </w:tc>
        <w:tc>
          <w:tcPr>
            <w:tcW w:w="886" w:type="dxa"/>
          </w:tcPr>
          <w:p w14:paraId="5E69D5C3" w14:textId="77777777" w:rsidR="00F52622" w:rsidRPr="00B1525C" w:rsidRDefault="00F52622" w:rsidP="00294981">
            <w:pPr>
              <w:rPr>
                <w:sz w:val="28"/>
                <w:szCs w:val="28"/>
              </w:rPr>
            </w:pPr>
            <w:r w:rsidRPr="00B1525C">
              <w:rPr>
                <w:sz w:val="28"/>
                <w:szCs w:val="28"/>
              </w:rPr>
              <w:t>Nr.</w:t>
            </w:r>
          </w:p>
        </w:tc>
        <w:tc>
          <w:tcPr>
            <w:tcW w:w="4361" w:type="dxa"/>
          </w:tcPr>
          <w:p w14:paraId="1D3A7D0C" w14:textId="6C8C46C2" w:rsidR="00F52622" w:rsidRPr="00B1525C" w:rsidRDefault="002B1C98" w:rsidP="000326CB">
            <w:pPr>
              <w:jc w:val="right"/>
              <w:rPr>
                <w:sz w:val="28"/>
                <w:szCs w:val="28"/>
              </w:rPr>
            </w:pPr>
            <w:r w:rsidRPr="00B1525C">
              <w:rPr>
                <w:sz w:val="28"/>
                <w:szCs w:val="28"/>
              </w:rPr>
              <w:t>20</w:t>
            </w:r>
            <w:r w:rsidR="00A83679">
              <w:rPr>
                <w:sz w:val="28"/>
                <w:szCs w:val="28"/>
              </w:rPr>
              <w:t>21</w:t>
            </w:r>
            <w:r w:rsidR="00F52622" w:rsidRPr="00B1525C">
              <w:rPr>
                <w:sz w:val="28"/>
                <w:szCs w:val="28"/>
              </w:rPr>
              <w:t>. gada                        </w:t>
            </w:r>
          </w:p>
        </w:tc>
      </w:tr>
    </w:tbl>
    <w:p w14:paraId="7D548AD2" w14:textId="77777777" w:rsidR="00F52622" w:rsidRPr="00B1525C" w:rsidRDefault="00F52622" w:rsidP="00294981">
      <w:pPr>
        <w:tabs>
          <w:tab w:val="left" w:pos="6804"/>
        </w:tabs>
        <w:ind w:firstLine="709"/>
        <w:rPr>
          <w:sz w:val="28"/>
          <w:szCs w:val="28"/>
        </w:rPr>
      </w:pPr>
    </w:p>
    <w:p w14:paraId="4720261B" w14:textId="77777777" w:rsidR="00F52622" w:rsidRPr="00B1525C" w:rsidRDefault="00F52622" w:rsidP="00294981">
      <w:pPr>
        <w:tabs>
          <w:tab w:val="left" w:pos="6804"/>
        </w:tabs>
        <w:ind w:firstLine="709"/>
        <w:rPr>
          <w:sz w:val="28"/>
          <w:szCs w:val="28"/>
        </w:rPr>
      </w:pPr>
    </w:p>
    <w:p w14:paraId="5AE0EAF3" w14:textId="77777777" w:rsidR="00F52622" w:rsidRPr="00B1525C" w:rsidRDefault="00F52622" w:rsidP="00294981">
      <w:pPr>
        <w:jc w:val="center"/>
        <w:rPr>
          <w:b/>
          <w:sz w:val="28"/>
          <w:szCs w:val="28"/>
        </w:rPr>
      </w:pPr>
      <w:r w:rsidRPr="00B1525C">
        <w:rPr>
          <w:b/>
          <w:sz w:val="28"/>
          <w:szCs w:val="28"/>
        </w:rPr>
        <w:t>. §</w:t>
      </w:r>
    </w:p>
    <w:p w14:paraId="14C68E52" w14:textId="77777777" w:rsidR="00D01B51" w:rsidRPr="00B1525C" w:rsidRDefault="00D01B51" w:rsidP="00F52622">
      <w:pPr>
        <w:jc w:val="both"/>
        <w:rPr>
          <w:rFonts w:cs="Times New Roman"/>
          <w:sz w:val="28"/>
          <w:szCs w:val="28"/>
        </w:rPr>
      </w:pPr>
    </w:p>
    <w:p w14:paraId="14C68E53" w14:textId="27D5D9D8" w:rsidR="001A7E5B" w:rsidRPr="00B1525C" w:rsidRDefault="00A83679" w:rsidP="00F52622">
      <w:pPr>
        <w:jc w:val="center"/>
        <w:rPr>
          <w:rFonts w:cs="Times New Roman"/>
          <w:b/>
          <w:sz w:val="28"/>
          <w:szCs w:val="28"/>
        </w:rPr>
      </w:pPr>
      <w:r w:rsidRPr="00A83679">
        <w:rPr>
          <w:rFonts w:cs="Times New Roman"/>
          <w:b/>
          <w:sz w:val="28"/>
          <w:szCs w:val="28"/>
        </w:rPr>
        <w:t>Ministru kabineta noteikumu projekt</w:t>
      </w:r>
      <w:r>
        <w:rPr>
          <w:rFonts w:cs="Times New Roman"/>
          <w:b/>
          <w:sz w:val="28"/>
          <w:szCs w:val="28"/>
        </w:rPr>
        <w:t>s</w:t>
      </w:r>
      <w:r w:rsidRPr="00A83679">
        <w:rPr>
          <w:rFonts w:cs="Times New Roman"/>
          <w:b/>
          <w:sz w:val="28"/>
          <w:szCs w:val="28"/>
        </w:rPr>
        <w:t xml:space="preserve"> “Grozījums  Ministru kabineta 2020.gada </w:t>
      </w:r>
      <w:r w:rsidR="00C16AA3">
        <w:rPr>
          <w:rFonts w:cs="Times New Roman"/>
          <w:b/>
          <w:sz w:val="28"/>
          <w:szCs w:val="28"/>
        </w:rPr>
        <w:t>2</w:t>
      </w:r>
      <w:r w:rsidRPr="00A83679">
        <w:rPr>
          <w:rFonts w:cs="Times New Roman"/>
          <w:b/>
          <w:sz w:val="28"/>
          <w:szCs w:val="28"/>
        </w:rPr>
        <w:t>1.janvāra noteikumos Nr.40 “Kontrolšāvienu izdarīšanas kārtība un valsts nodevu apmērs un maksāšanas kārtība””</w:t>
      </w:r>
    </w:p>
    <w:p w14:paraId="14C68E54" w14:textId="77777777" w:rsidR="00D01B51" w:rsidRPr="00B1525C" w:rsidRDefault="00D01B51" w:rsidP="00F52622">
      <w:pPr>
        <w:jc w:val="center"/>
        <w:rPr>
          <w:rFonts w:cs="Times New Roman"/>
          <w:sz w:val="28"/>
          <w:szCs w:val="28"/>
        </w:rPr>
      </w:pPr>
      <w:r w:rsidRPr="00B1525C">
        <w:rPr>
          <w:rFonts w:cs="Times New Roman"/>
          <w:sz w:val="28"/>
          <w:szCs w:val="28"/>
        </w:rPr>
        <w:t>____________________________________________________</w:t>
      </w:r>
    </w:p>
    <w:p w14:paraId="14C68E55" w14:textId="77777777" w:rsidR="00D01B51" w:rsidRPr="00B1525C" w:rsidRDefault="00D01B51" w:rsidP="00F52622">
      <w:pPr>
        <w:jc w:val="center"/>
        <w:rPr>
          <w:sz w:val="28"/>
          <w:szCs w:val="28"/>
        </w:rPr>
      </w:pPr>
      <w:r w:rsidRPr="00B1525C">
        <w:rPr>
          <w:sz w:val="28"/>
          <w:szCs w:val="28"/>
        </w:rPr>
        <w:t>(…)</w:t>
      </w:r>
    </w:p>
    <w:p w14:paraId="14C68E56" w14:textId="77777777" w:rsidR="00D01B51" w:rsidRPr="00B1525C" w:rsidRDefault="00D01B51" w:rsidP="00F52622">
      <w:pPr>
        <w:jc w:val="both"/>
        <w:rPr>
          <w:sz w:val="28"/>
          <w:szCs w:val="28"/>
        </w:rPr>
      </w:pPr>
    </w:p>
    <w:p w14:paraId="4AF43055" w14:textId="21012918" w:rsidR="00F77145" w:rsidRPr="00B1525C" w:rsidRDefault="00F77145" w:rsidP="009F610B">
      <w:pPr>
        <w:ind w:firstLine="709"/>
        <w:jc w:val="both"/>
        <w:rPr>
          <w:sz w:val="28"/>
          <w:szCs w:val="28"/>
        </w:rPr>
      </w:pPr>
      <w:r w:rsidRPr="00B1525C">
        <w:rPr>
          <w:sz w:val="28"/>
          <w:szCs w:val="28"/>
        </w:rPr>
        <w:t xml:space="preserve">1. Pieņemt iesniegto </w:t>
      </w:r>
      <w:r w:rsidR="00A83679">
        <w:rPr>
          <w:sz w:val="28"/>
          <w:szCs w:val="28"/>
        </w:rPr>
        <w:t>noteikumu</w:t>
      </w:r>
      <w:r w:rsidRPr="00B1525C">
        <w:rPr>
          <w:sz w:val="28"/>
          <w:szCs w:val="28"/>
        </w:rPr>
        <w:t xml:space="preserve"> projektu.</w:t>
      </w:r>
    </w:p>
    <w:p w14:paraId="408DF471" w14:textId="5C6F91F9" w:rsidR="00F77145" w:rsidRPr="00B1525C" w:rsidRDefault="00F77145" w:rsidP="00F77145">
      <w:pPr>
        <w:ind w:firstLine="720"/>
        <w:jc w:val="both"/>
        <w:rPr>
          <w:sz w:val="28"/>
          <w:szCs w:val="28"/>
        </w:rPr>
      </w:pPr>
      <w:r w:rsidRPr="00B1525C">
        <w:rPr>
          <w:sz w:val="28"/>
          <w:szCs w:val="28"/>
        </w:rPr>
        <w:t xml:space="preserve">Valsts kancelejai sagatavot </w:t>
      </w:r>
      <w:r w:rsidR="00A83679">
        <w:rPr>
          <w:sz w:val="28"/>
          <w:szCs w:val="28"/>
        </w:rPr>
        <w:t>noteikumu</w:t>
      </w:r>
      <w:r w:rsidRPr="00B1525C">
        <w:rPr>
          <w:sz w:val="28"/>
          <w:szCs w:val="28"/>
        </w:rPr>
        <w:t xml:space="preserve"> projektu parakstīšanai.</w:t>
      </w:r>
    </w:p>
    <w:p w14:paraId="14C68E57" w14:textId="4460F160" w:rsidR="00D01B51" w:rsidRPr="00B1525C" w:rsidRDefault="00F77145" w:rsidP="00F77145">
      <w:pPr>
        <w:ind w:firstLine="720"/>
        <w:jc w:val="both"/>
        <w:rPr>
          <w:sz w:val="28"/>
          <w:szCs w:val="28"/>
        </w:rPr>
      </w:pPr>
      <w:r w:rsidRPr="00B1525C">
        <w:rPr>
          <w:sz w:val="28"/>
          <w:szCs w:val="28"/>
        </w:rPr>
        <w:t>2. </w:t>
      </w:r>
      <w:r w:rsidR="00A83679">
        <w:rPr>
          <w:sz w:val="28"/>
          <w:szCs w:val="28"/>
        </w:rPr>
        <w:t xml:space="preserve">Finanšu ministrijai samazināt valsts pamatbudžetā iemaksājamās valsts nodevas un citus maksājumus no valsts institūciju sniegtajiem pakalpojumiem, paredzot ieņēmumus no valsts nodevas par Ieroču aprites likumā paredzētā kontrolšāviena ar vītņstobra šaujamieroci izdarīšanu, par šaujamieroča un lielas enerģijas pneimatiskā ieroča dezaktivēšanas apliecinājuma izsniegšanu un par </w:t>
      </w:r>
      <w:proofErr w:type="spellStart"/>
      <w:r w:rsidR="00A83679">
        <w:rPr>
          <w:sz w:val="28"/>
          <w:szCs w:val="28"/>
        </w:rPr>
        <w:t>salūtieroča</w:t>
      </w:r>
      <w:proofErr w:type="spellEnd"/>
      <w:r w:rsidR="00A83679">
        <w:rPr>
          <w:sz w:val="28"/>
          <w:szCs w:val="28"/>
        </w:rPr>
        <w:t xml:space="preserve"> (akustiskā ieroča) apliecinājuma izsniegšanu 2022. gadā un turpmāk katru gadu 78 642 </w:t>
      </w:r>
      <w:r w:rsidR="00A83679">
        <w:rPr>
          <w:i/>
          <w:sz w:val="28"/>
          <w:szCs w:val="28"/>
        </w:rPr>
        <w:t>euro</w:t>
      </w:r>
      <w:r w:rsidR="00A83679">
        <w:rPr>
          <w:sz w:val="28"/>
          <w:szCs w:val="28"/>
        </w:rPr>
        <w:t xml:space="preserve"> (samazinājums par 1 519 </w:t>
      </w:r>
      <w:r w:rsidR="00A83679">
        <w:rPr>
          <w:i/>
          <w:sz w:val="28"/>
          <w:szCs w:val="28"/>
        </w:rPr>
        <w:t>euro</w:t>
      </w:r>
      <w:r w:rsidR="00A83679">
        <w:rPr>
          <w:sz w:val="28"/>
          <w:szCs w:val="28"/>
        </w:rPr>
        <w:t>).”</w:t>
      </w:r>
      <w:r w:rsidR="0021786A" w:rsidRPr="00B1525C">
        <w:rPr>
          <w:sz w:val="28"/>
          <w:szCs w:val="28"/>
        </w:rPr>
        <w:t xml:space="preserve">. </w:t>
      </w:r>
    </w:p>
    <w:p w14:paraId="14C68E58" w14:textId="77777777" w:rsidR="00D01B51" w:rsidRPr="00B1525C" w:rsidRDefault="00D01B51" w:rsidP="00F52622">
      <w:pPr>
        <w:jc w:val="both"/>
        <w:rPr>
          <w:sz w:val="28"/>
          <w:szCs w:val="28"/>
        </w:rPr>
      </w:pPr>
    </w:p>
    <w:p w14:paraId="6DC3072E" w14:textId="77777777" w:rsidR="00F52622" w:rsidRPr="00B1525C" w:rsidRDefault="00F52622" w:rsidP="00F52622">
      <w:pPr>
        <w:jc w:val="both"/>
        <w:rPr>
          <w:sz w:val="28"/>
          <w:szCs w:val="28"/>
        </w:rPr>
      </w:pPr>
    </w:p>
    <w:p w14:paraId="54D2F85F" w14:textId="34733F1C" w:rsidR="00A83679" w:rsidRPr="00226F58" w:rsidRDefault="00A83679" w:rsidP="00A83679">
      <w:pPr>
        <w:spacing w:after="480"/>
        <w:ind w:right="-766" w:firstLine="851"/>
        <w:rPr>
          <w:rFonts w:eastAsia="Calibri"/>
          <w:sz w:val="28"/>
          <w:szCs w:val="28"/>
        </w:rPr>
      </w:pPr>
      <w:r w:rsidRPr="00226F58">
        <w:rPr>
          <w:rFonts w:eastAsia="Calibri"/>
          <w:sz w:val="28"/>
          <w:szCs w:val="28"/>
        </w:rPr>
        <w:t>Ministru prezidents</w:t>
      </w:r>
      <w:r w:rsidRPr="00226F58">
        <w:rPr>
          <w:rFonts w:eastAsia="Calibri"/>
          <w:sz w:val="28"/>
          <w:szCs w:val="28"/>
        </w:rPr>
        <w:tab/>
      </w:r>
      <w:r w:rsidRPr="00226F58">
        <w:rPr>
          <w:rFonts w:eastAsia="Calibri"/>
          <w:sz w:val="28"/>
          <w:szCs w:val="28"/>
        </w:rPr>
        <w:tab/>
      </w:r>
      <w:r w:rsidRPr="00226F58">
        <w:rPr>
          <w:rFonts w:eastAsia="Calibri"/>
          <w:sz w:val="28"/>
          <w:szCs w:val="28"/>
        </w:rPr>
        <w:tab/>
      </w:r>
      <w:r w:rsidRPr="00226F58">
        <w:rPr>
          <w:rFonts w:eastAsia="Calibri"/>
          <w:sz w:val="28"/>
          <w:szCs w:val="28"/>
        </w:rPr>
        <w:tab/>
      </w:r>
      <w:r w:rsidRPr="00226F58">
        <w:rPr>
          <w:rFonts w:eastAsia="Calibri"/>
          <w:sz w:val="28"/>
          <w:szCs w:val="28"/>
        </w:rPr>
        <w:tab/>
      </w:r>
      <w:r>
        <w:rPr>
          <w:rFonts w:eastAsia="Calibri"/>
          <w:sz w:val="28"/>
          <w:szCs w:val="28"/>
        </w:rPr>
        <w:t xml:space="preserve">           A. K. Kariņš</w:t>
      </w:r>
    </w:p>
    <w:p w14:paraId="3C8F498D" w14:textId="4448DB14" w:rsidR="00A83679" w:rsidRPr="00226F58" w:rsidRDefault="00A83679" w:rsidP="00A83679">
      <w:pPr>
        <w:pStyle w:val="Heading2"/>
        <w:spacing w:after="720"/>
        <w:ind w:firstLine="851"/>
        <w:rPr>
          <w:szCs w:val="28"/>
        </w:rPr>
      </w:pPr>
      <w:r w:rsidRPr="00226F58">
        <w:rPr>
          <w:szCs w:val="28"/>
        </w:rPr>
        <w:t>Valsts kancelejas direktors</w:t>
      </w:r>
      <w:r w:rsidRPr="00226F58">
        <w:rPr>
          <w:szCs w:val="28"/>
        </w:rPr>
        <w:tab/>
      </w:r>
      <w:r w:rsidRPr="00226F58">
        <w:rPr>
          <w:szCs w:val="28"/>
        </w:rPr>
        <w:tab/>
      </w:r>
      <w:r w:rsidRPr="00226F58">
        <w:rPr>
          <w:szCs w:val="28"/>
        </w:rPr>
        <w:tab/>
      </w:r>
      <w:r w:rsidRPr="00226F58">
        <w:rPr>
          <w:szCs w:val="28"/>
        </w:rPr>
        <w:tab/>
      </w:r>
      <w:r>
        <w:rPr>
          <w:szCs w:val="28"/>
        </w:rPr>
        <w:t xml:space="preserve">           </w:t>
      </w:r>
      <w:r w:rsidRPr="00226F58">
        <w:rPr>
          <w:szCs w:val="28"/>
        </w:rPr>
        <w:t>J</w:t>
      </w:r>
      <w:r>
        <w:rPr>
          <w:szCs w:val="28"/>
        </w:rPr>
        <w:t>.</w:t>
      </w:r>
      <w:r w:rsidRPr="00226F58">
        <w:rPr>
          <w:szCs w:val="28"/>
        </w:rPr>
        <w:t xml:space="preserve"> </w:t>
      </w:r>
      <w:proofErr w:type="spellStart"/>
      <w:r w:rsidRPr="00226F58">
        <w:rPr>
          <w:szCs w:val="28"/>
        </w:rPr>
        <w:t>Citskovskis</w:t>
      </w:r>
      <w:bookmarkStart w:id="0" w:name="_GoBack"/>
      <w:bookmarkEnd w:id="0"/>
      <w:proofErr w:type="spellEnd"/>
    </w:p>
    <w:sectPr w:rsidR="00A83679" w:rsidRPr="00226F58" w:rsidSect="00F52622">
      <w:headerReference w:type="first" r:id="rId6"/>
      <w:pgSz w:w="11906" w:h="16838"/>
      <w:pgMar w:top="1417"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C880" w14:textId="77777777" w:rsidR="00E113A7" w:rsidRDefault="00E113A7" w:rsidP="00090C45">
      <w:r>
        <w:separator/>
      </w:r>
    </w:p>
  </w:endnote>
  <w:endnote w:type="continuationSeparator" w:id="0">
    <w:p w14:paraId="6414D3B9" w14:textId="77777777" w:rsidR="00E113A7" w:rsidRDefault="00E113A7" w:rsidP="00090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C2EF" w14:textId="77777777" w:rsidR="00E113A7" w:rsidRDefault="00E113A7" w:rsidP="00090C45">
      <w:r>
        <w:separator/>
      </w:r>
    </w:p>
  </w:footnote>
  <w:footnote w:type="continuationSeparator" w:id="0">
    <w:p w14:paraId="17A46EE5" w14:textId="77777777" w:rsidR="00E113A7" w:rsidRDefault="00E113A7" w:rsidP="00090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8E71" w14:textId="4A32790C" w:rsidR="007200AA" w:rsidRPr="009F610B" w:rsidRDefault="007200AA">
    <w:pPr>
      <w:pStyle w:val="Header"/>
      <w:rPr>
        <w:sz w:val="28"/>
        <w:szCs w:val="28"/>
      </w:rPr>
    </w:pPr>
  </w:p>
  <w:p w14:paraId="06BCA99E" w14:textId="77777777" w:rsidR="009F610B" w:rsidRPr="009F610B" w:rsidRDefault="009F610B">
    <w:pPr>
      <w:pStyle w:val="Header"/>
      <w:pBdr>
        <w:bottom w:val="single" w:sz="4" w:space="1" w:color="auto"/>
      </w:pBdr>
      <w:jc w:val="center"/>
      <w:rPr>
        <w:sz w:val="28"/>
        <w:szCs w:val="28"/>
      </w:rPr>
    </w:pPr>
    <w:r w:rsidRPr="009F610B">
      <w:rPr>
        <w:b/>
        <w:bCs/>
        <w:sz w:val="28"/>
        <w:szCs w:val="28"/>
      </w:rPr>
      <w:t>MINISTRU KABINETA SĒDES PROTOKOLLĒMUMS</w:t>
    </w:r>
  </w:p>
  <w:p w14:paraId="0EC3C068" w14:textId="77777777" w:rsidR="009F610B" w:rsidRPr="009F610B" w:rsidRDefault="009F610B">
    <w:pPr>
      <w:pStyle w:val="Header"/>
      <w:rPr>
        <w:sz w:val="28"/>
        <w:szCs w:val="28"/>
      </w:rPr>
    </w:pPr>
  </w:p>
  <w:p w14:paraId="0D5AA76A" w14:textId="168BA81A" w:rsidR="00F52622" w:rsidRPr="009F610B" w:rsidRDefault="00F52622">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51"/>
    <w:rsid w:val="00080B0B"/>
    <w:rsid w:val="00090C45"/>
    <w:rsid w:val="00117D08"/>
    <w:rsid w:val="00156739"/>
    <w:rsid w:val="00182C16"/>
    <w:rsid w:val="00192A88"/>
    <w:rsid w:val="001A7E5B"/>
    <w:rsid w:val="001F3DB3"/>
    <w:rsid w:val="00205CA4"/>
    <w:rsid w:val="0021786A"/>
    <w:rsid w:val="00222DDD"/>
    <w:rsid w:val="002B1C98"/>
    <w:rsid w:val="002F0FF1"/>
    <w:rsid w:val="003066B7"/>
    <w:rsid w:val="00310B43"/>
    <w:rsid w:val="00367BFC"/>
    <w:rsid w:val="00396B82"/>
    <w:rsid w:val="003C48DB"/>
    <w:rsid w:val="003E01C4"/>
    <w:rsid w:val="00440ACB"/>
    <w:rsid w:val="00443B15"/>
    <w:rsid w:val="00463779"/>
    <w:rsid w:val="00491AB3"/>
    <w:rsid w:val="00513ABE"/>
    <w:rsid w:val="00515271"/>
    <w:rsid w:val="00566010"/>
    <w:rsid w:val="00580845"/>
    <w:rsid w:val="005C042E"/>
    <w:rsid w:val="005E4588"/>
    <w:rsid w:val="0065305B"/>
    <w:rsid w:val="006572E5"/>
    <w:rsid w:val="006602D9"/>
    <w:rsid w:val="00670C64"/>
    <w:rsid w:val="00696F8B"/>
    <w:rsid w:val="006E1C72"/>
    <w:rsid w:val="006F201C"/>
    <w:rsid w:val="007200AA"/>
    <w:rsid w:val="00795BC4"/>
    <w:rsid w:val="007978F1"/>
    <w:rsid w:val="008376D6"/>
    <w:rsid w:val="008A2CB1"/>
    <w:rsid w:val="00970CBF"/>
    <w:rsid w:val="009B6E44"/>
    <w:rsid w:val="009F27A2"/>
    <w:rsid w:val="009F610B"/>
    <w:rsid w:val="00A308CC"/>
    <w:rsid w:val="00A52D15"/>
    <w:rsid w:val="00A83679"/>
    <w:rsid w:val="00B1525C"/>
    <w:rsid w:val="00BC7853"/>
    <w:rsid w:val="00C16AA3"/>
    <w:rsid w:val="00C71617"/>
    <w:rsid w:val="00C81060"/>
    <w:rsid w:val="00C874CF"/>
    <w:rsid w:val="00CB77F6"/>
    <w:rsid w:val="00CC48E3"/>
    <w:rsid w:val="00CC7609"/>
    <w:rsid w:val="00D01B51"/>
    <w:rsid w:val="00D2447A"/>
    <w:rsid w:val="00D32F5D"/>
    <w:rsid w:val="00D9141E"/>
    <w:rsid w:val="00DB5E7C"/>
    <w:rsid w:val="00DE1DC7"/>
    <w:rsid w:val="00DE5A5C"/>
    <w:rsid w:val="00E113A7"/>
    <w:rsid w:val="00E11ECA"/>
    <w:rsid w:val="00E22B7F"/>
    <w:rsid w:val="00E3054F"/>
    <w:rsid w:val="00E77AC4"/>
    <w:rsid w:val="00F03E35"/>
    <w:rsid w:val="00F32E8C"/>
    <w:rsid w:val="00F52622"/>
    <w:rsid w:val="00F751F2"/>
    <w:rsid w:val="00F75C1A"/>
    <w:rsid w:val="00F77145"/>
    <w:rsid w:val="00F933BA"/>
    <w:rsid w:val="00FC7E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C68E48"/>
  <w15:docId w15:val="{778C8E97-EFEA-400A-B499-A87A4F4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83679"/>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C45"/>
    <w:rPr>
      <w:color w:val="0000FF" w:themeColor="hyperlink"/>
      <w:u w:val="single"/>
    </w:rPr>
  </w:style>
  <w:style w:type="paragraph" w:styleId="Header">
    <w:name w:val="header"/>
    <w:basedOn w:val="Normal"/>
    <w:link w:val="HeaderChar"/>
    <w:uiPriority w:val="99"/>
    <w:unhideWhenUsed/>
    <w:rsid w:val="00090C45"/>
    <w:pPr>
      <w:tabs>
        <w:tab w:val="center" w:pos="4153"/>
        <w:tab w:val="right" w:pos="8306"/>
      </w:tabs>
    </w:pPr>
  </w:style>
  <w:style w:type="character" w:customStyle="1" w:styleId="HeaderChar">
    <w:name w:val="Header Char"/>
    <w:basedOn w:val="DefaultParagraphFont"/>
    <w:link w:val="Header"/>
    <w:uiPriority w:val="99"/>
    <w:rsid w:val="00090C45"/>
  </w:style>
  <w:style w:type="paragraph" w:styleId="Footer">
    <w:name w:val="footer"/>
    <w:basedOn w:val="Normal"/>
    <w:link w:val="FooterChar"/>
    <w:uiPriority w:val="99"/>
    <w:unhideWhenUsed/>
    <w:rsid w:val="00090C45"/>
    <w:pPr>
      <w:tabs>
        <w:tab w:val="center" w:pos="4153"/>
        <w:tab w:val="right" w:pos="8306"/>
      </w:tabs>
    </w:pPr>
  </w:style>
  <w:style w:type="character" w:customStyle="1" w:styleId="FooterChar">
    <w:name w:val="Footer Char"/>
    <w:basedOn w:val="DefaultParagraphFont"/>
    <w:link w:val="Footer"/>
    <w:uiPriority w:val="99"/>
    <w:rsid w:val="00090C45"/>
  </w:style>
  <w:style w:type="paragraph" w:styleId="BalloonText">
    <w:name w:val="Balloon Text"/>
    <w:basedOn w:val="Normal"/>
    <w:link w:val="BalloonTextChar"/>
    <w:uiPriority w:val="99"/>
    <w:semiHidden/>
    <w:unhideWhenUsed/>
    <w:rsid w:val="00090C45"/>
    <w:rPr>
      <w:rFonts w:ascii="Tahoma" w:hAnsi="Tahoma" w:cs="Tahoma"/>
      <w:sz w:val="16"/>
      <w:szCs w:val="16"/>
    </w:rPr>
  </w:style>
  <w:style w:type="character" w:customStyle="1" w:styleId="BalloonTextChar">
    <w:name w:val="Balloon Text Char"/>
    <w:basedOn w:val="DefaultParagraphFont"/>
    <w:link w:val="BalloonText"/>
    <w:uiPriority w:val="99"/>
    <w:semiHidden/>
    <w:rsid w:val="00090C45"/>
    <w:rPr>
      <w:rFonts w:ascii="Tahoma" w:hAnsi="Tahoma" w:cs="Tahoma"/>
      <w:sz w:val="16"/>
      <w:szCs w:val="16"/>
    </w:rPr>
  </w:style>
  <w:style w:type="paragraph" w:customStyle="1" w:styleId="naisf">
    <w:name w:val="naisf"/>
    <w:basedOn w:val="Normal"/>
    <w:rsid w:val="00CB77F6"/>
    <w:pPr>
      <w:spacing w:before="75" w:after="75"/>
      <w:ind w:firstLine="375"/>
      <w:jc w:val="both"/>
    </w:pPr>
    <w:rPr>
      <w:rFonts w:eastAsia="Times New Roman" w:cs="Times New Roman"/>
      <w:szCs w:val="24"/>
      <w:lang w:eastAsia="lv-LV"/>
    </w:rPr>
  </w:style>
  <w:style w:type="paragraph" w:customStyle="1" w:styleId="NChar1CharCharCharCharCharChar">
    <w:name w:val="N Char1 Char Char Char Char Char Char"/>
    <w:basedOn w:val="Normal"/>
    <w:autoRedefine/>
    <w:rsid w:val="00F52622"/>
    <w:pPr>
      <w:tabs>
        <w:tab w:val="left" w:pos="6379"/>
      </w:tabs>
      <w:ind w:firstLine="709"/>
      <w:jc w:val="both"/>
    </w:pPr>
    <w:rPr>
      <w:rFonts w:eastAsia="Times New Roman" w:cs="Times New Roman"/>
      <w:bCs/>
      <w:sz w:val="28"/>
      <w:szCs w:val="28"/>
      <w:lang w:eastAsia="lv-LV"/>
    </w:rPr>
  </w:style>
  <w:style w:type="paragraph" w:styleId="BodyText">
    <w:name w:val="Body Text"/>
    <w:basedOn w:val="Normal"/>
    <w:link w:val="BodyTextChar"/>
    <w:rsid w:val="00F52622"/>
    <w:rPr>
      <w:rFonts w:eastAsia="Times New Roman" w:cs="Times New Roman"/>
      <w:sz w:val="28"/>
      <w:szCs w:val="24"/>
      <w:lang w:val="x-none"/>
    </w:rPr>
  </w:style>
  <w:style w:type="character" w:customStyle="1" w:styleId="BodyTextChar">
    <w:name w:val="Body Text Char"/>
    <w:basedOn w:val="DefaultParagraphFont"/>
    <w:link w:val="BodyText"/>
    <w:rsid w:val="00F52622"/>
    <w:rPr>
      <w:rFonts w:eastAsia="Times New Roman" w:cs="Times New Roman"/>
      <w:sz w:val="28"/>
      <w:szCs w:val="24"/>
      <w:lang w:val="x-none"/>
    </w:rPr>
  </w:style>
  <w:style w:type="character" w:customStyle="1" w:styleId="Heading2Char">
    <w:name w:val="Heading 2 Char"/>
    <w:basedOn w:val="DefaultParagraphFont"/>
    <w:link w:val="Heading2"/>
    <w:rsid w:val="00A83679"/>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2016. gada 31. maija sēdes protokollēmuma (prot.Nr.26 39.§) "Informatīvais ziņojums "Par valsts budžeta izdevumu pārskatīšanas 2017. , 2018.  un 2019. gadam rezultātiem un priekšlikumi par šo rezultātu izmantošanu likumprojekta "Par </vt:lpstr>
    </vt:vector>
  </TitlesOfParts>
  <Company>Valsts kanceleja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 gada 31. maija sēdes protokollēmuma (prot.Nr.26 39.§) "Informatīvais ziņojums "Par valsts budžeta izdevumu pārskatīšanas 2017. , 2018.  un 2019. gadam rezultātiem un priekšlikumi par šo rezultātu izmantošanu likumprojekta "Par vidēja termiņa budžeta 2017., 2018.  un 2019. gadam" un likumprojekta "Par valsts budžetu 2017. gadam" izstrādes procesā"" 6.33. punktā dotā uzdevuma izpildes termiņa pagarināšanu</dc:title>
  <dc:subject>MK sēdes protokollēmuma projekts</dc:subject>
  <dc:creator>Iveta.Galzone@mk.gov.lv</dc:creator>
  <dc:description>Iveta Galzone, tālr.67082977,
iveta.galzone@mk.gov.lv</dc:description>
  <cp:lastModifiedBy>Irina Zeigliša</cp:lastModifiedBy>
  <cp:revision>4</cp:revision>
  <cp:lastPrinted>2017-06-05T08:13:00Z</cp:lastPrinted>
  <dcterms:created xsi:type="dcterms:W3CDTF">2021-07-26T08:21:00Z</dcterms:created>
  <dcterms:modified xsi:type="dcterms:W3CDTF">2021-07-28T07:32:00Z</dcterms:modified>
</cp:coreProperties>
</file>