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C31E" w14:textId="0268F222" w:rsidR="00EE5472" w:rsidRPr="008F504E" w:rsidRDefault="00EE5472" w:rsidP="00540981">
      <w:pPr>
        <w:shd w:val="clear" w:color="auto" w:fill="FFFFFF"/>
        <w:spacing w:before="130" w:after="0" w:line="260" w:lineRule="exact"/>
        <w:jc w:val="center"/>
        <w:rPr>
          <w:rFonts w:ascii="Times New Roman" w:hAnsi="Times New Roman" w:cs="Times New Roman"/>
          <w:b/>
          <w:bCs/>
          <w:sz w:val="24"/>
          <w:szCs w:val="24"/>
        </w:rPr>
      </w:pPr>
      <w:r w:rsidRPr="008F504E">
        <w:rPr>
          <w:rFonts w:ascii="Times New Roman" w:hAnsi="Times New Roman" w:cs="Times New Roman"/>
          <w:b/>
          <w:sz w:val="24"/>
          <w:szCs w:val="24"/>
        </w:rPr>
        <w:t>Ministru kabineta noteikumu projekta “</w:t>
      </w:r>
      <w:r w:rsidR="00F335B2" w:rsidRPr="008F504E">
        <w:rPr>
          <w:rFonts w:ascii="Times New Roman" w:hAnsi="Times New Roman" w:cs="Times New Roman"/>
          <w:b/>
          <w:bCs/>
          <w:sz w:val="24"/>
          <w:szCs w:val="24"/>
        </w:rPr>
        <w:t>Kārtība, kādā Aizsardzības ministrija īsteno projektu konkursus militāru vai divējāda lietojuma produktu attīstības atbalstam</w:t>
      </w:r>
      <w:r w:rsidR="00CA33D9" w:rsidRPr="008F504E">
        <w:rPr>
          <w:rFonts w:ascii="Times New Roman" w:hAnsi="Times New Roman" w:cs="Times New Roman"/>
          <w:b/>
          <w:bCs/>
          <w:sz w:val="24"/>
          <w:szCs w:val="24"/>
        </w:rPr>
        <w:t xml:space="preserve">” </w:t>
      </w:r>
      <w:r w:rsidRPr="008F504E">
        <w:rPr>
          <w:rFonts w:ascii="Times New Roman" w:hAnsi="Times New Roman" w:cs="Times New Roman"/>
          <w:b/>
          <w:bCs/>
          <w:sz w:val="24"/>
          <w:szCs w:val="24"/>
        </w:rPr>
        <w:t>sākotnējās ietekmes novērtējuma ziņojums (anotācija)</w:t>
      </w:r>
    </w:p>
    <w:p w14:paraId="71FBFF8E" w14:textId="77777777" w:rsidR="00B87D04" w:rsidRPr="008F504E" w:rsidRDefault="00B87D04" w:rsidP="00B87D0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F504E" w:rsidRPr="008F504E" w14:paraId="5652EFA2" w14:textId="77777777" w:rsidTr="007E42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87DDC0" w14:textId="77777777" w:rsidR="00B87D04" w:rsidRPr="008F504E" w:rsidRDefault="00B87D04" w:rsidP="007E42BA">
            <w:pPr>
              <w:spacing w:after="0" w:line="240" w:lineRule="auto"/>
              <w:rPr>
                <w:rFonts w:ascii="Times New Roman" w:eastAsia="Times New Roman" w:hAnsi="Times New Roman" w:cs="Times New Roman"/>
                <w:b/>
                <w:bCs/>
                <w:iCs/>
                <w:sz w:val="24"/>
                <w:szCs w:val="24"/>
                <w:lang w:eastAsia="lv-LV"/>
              </w:rPr>
            </w:pPr>
            <w:r w:rsidRPr="008F504E">
              <w:rPr>
                <w:rFonts w:ascii="Times New Roman" w:eastAsia="Times New Roman" w:hAnsi="Times New Roman" w:cs="Times New Roman"/>
                <w:b/>
                <w:bCs/>
                <w:iCs/>
                <w:sz w:val="24"/>
                <w:szCs w:val="24"/>
                <w:lang w:eastAsia="lv-LV"/>
              </w:rPr>
              <w:t>Tiesību akta projekta anotācijas kopsavilkums</w:t>
            </w:r>
          </w:p>
        </w:tc>
      </w:tr>
      <w:tr w:rsidR="008F504E" w:rsidRPr="008F504E" w14:paraId="6E5457DC" w14:textId="77777777" w:rsidTr="006C21BD">
        <w:trPr>
          <w:trHeight w:val="106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BFEE72" w14:textId="77777777" w:rsidR="00B87D04" w:rsidRPr="008F504E" w:rsidRDefault="00B87D04" w:rsidP="007E42BA">
            <w:pPr>
              <w:spacing w:after="0" w:line="240" w:lineRule="auto"/>
              <w:rPr>
                <w:rFonts w:ascii="Times New Roman" w:eastAsia="Times New Roman" w:hAnsi="Times New Roman" w:cs="Times New Roman"/>
                <w:iCs/>
                <w:sz w:val="24"/>
                <w:szCs w:val="24"/>
                <w:lang w:eastAsia="lv-LV"/>
              </w:rPr>
            </w:pPr>
            <w:r w:rsidRPr="008F504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429B80" w14:textId="73FDF548" w:rsidR="00B87D04" w:rsidRPr="008F504E" w:rsidRDefault="006E2398" w:rsidP="00484882">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 xml:space="preserve">Izstrādātā Ministru kabineta noteikumu projekta mērķis ir </w:t>
            </w:r>
            <w:r w:rsidR="00680419" w:rsidRPr="008F504E">
              <w:rPr>
                <w:rFonts w:ascii="Times New Roman" w:hAnsi="Times New Roman" w:cs="Times New Roman"/>
                <w:sz w:val="24"/>
                <w:szCs w:val="24"/>
              </w:rPr>
              <w:t>noteik</w:t>
            </w:r>
            <w:r w:rsidRPr="008F504E">
              <w:rPr>
                <w:rFonts w:ascii="Times New Roman" w:hAnsi="Times New Roman" w:cs="Times New Roman"/>
                <w:sz w:val="24"/>
                <w:szCs w:val="24"/>
              </w:rPr>
              <w:t xml:space="preserve">t </w:t>
            </w:r>
            <w:r w:rsidR="00DE4C6C" w:rsidRPr="008F504E">
              <w:rPr>
                <w:rFonts w:ascii="Times New Roman" w:hAnsi="Times New Roman" w:cs="Times New Roman"/>
                <w:sz w:val="24"/>
                <w:szCs w:val="24"/>
              </w:rPr>
              <w:t>tiesisko regulējumu</w:t>
            </w:r>
            <w:r w:rsidR="00680419" w:rsidRPr="008F504E">
              <w:rPr>
                <w:rFonts w:ascii="Times New Roman" w:hAnsi="Times New Roman" w:cs="Times New Roman"/>
                <w:sz w:val="24"/>
                <w:szCs w:val="24"/>
              </w:rPr>
              <w:t>, pārņemot</w:t>
            </w:r>
            <w:r w:rsidR="00DE4C6C" w:rsidRPr="008F504E">
              <w:rPr>
                <w:rFonts w:ascii="Times New Roman" w:hAnsi="Times New Roman" w:cs="Times New Roman"/>
                <w:sz w:val="24"/>
                <w:szCs w:val="24"/>
              </w:rPr>
              <w:t xml:space="preserve"> </w:t>
            </w:r>
            <w:r w:rsidR="00680419" w:rsidRPr="008F504E">
              <w:rPr>
                <w:rFonts w:ascii="Times New Roman" w:hAnsi="Times New Roman" w:cs="Times New Roman"/>
                <w:sz w:val="24"/>
                <w:szCs w:val="24"/>
              </w:rPr>
              <w:t xml:space="preserve">2021. gada 1. jūlijā spēku zaudējušo </w:t>
            </w:r>
            <w:r w:rsidRPr="008F504E">
              <w:rPr>
                <w:rFonts w:ascii="Times New Roman" w:hAnsi="Times New Roman" w:cs="Times New Roman"/>
                <w:sz w:val="24"/>
                <w:szCs w:val="24"/>
              </w:rPr>
              <w:t>Ministru kabineta 2018. gada 28.</w:t>
            </w:r>
            <w:r w:rsidR="00680419" w:rsidRPr="008F504E">
              <w:rPr>
                <w:rFonts w:ascii="Times New Roman" w:hAnsi="Times New Roman" w:cs="Times New Roman"/>
                <w:sz w:val="24"/>
                <w:szCs w:val="24"/>
              </w:rPr>
              <w:t> </w:t>
            </w:r>
            <w:r w:rsidRPr="008F504E">
              <w:rPr>
                <w:rFonts w:ascii="Times New Roman" w:hAnsi="Times New Roman" w:cs="Times New Roman"/>
                <w:sz w:val="24"/>
                <w:szCs w:val="24"/>
              </w:rPr>
              <w:t>augusta noteikum</w:t>
            </w:r>
            <w:r w:rsidR="00680419" w:rsidRPr="008F504E">
              <w:rPr>
                <w:rFonts w:ascii="Times New Roman" w:hAnsi="Times New Roman" w:cs="Times New Roman"/>
                <w:sz w:val="24"/>
                <w:szCs w:val="24"/>
              </w:rPr>
              <w:t>u</w:t>
            </w:r>
            <w:r w:rsidRPr="008F504E">
              <w:rPr>
                <w:rFonts w:ascii="Times New Roman" w:hAnsi="Times New Roman" w:cs="Times New Roman"/>
                <w:sz w:val="24"/>
                <w:szCs w:val="24"/>
              </w:rPr>
              <w:t xml:space="preserve"> Nr.</w:t>
            </w:r>
            <w:r w:rsidR="00CC0B9B" w:rsidRPr="008F504E">
              <w:rPr>
                <w:rFonts w:ascii="Times New Roman" w:hAnsi="Times New Roman" w:cs="Times New Roman"/>
                <w:sz w:val="24"/>
                <w:szCs w:val="24"/>
              </w:rPr>
              <w:t> </w:t>
            </w:r>
            <w:r w:rsidRPr="008F504E">
              <w:rPr>
                <w:rFonts w:ascii="Times New Roman" w:hAnsi="Times New Roman" w:cs="Times New Roman"/>
                <w:sz w:val="24"/>
                <w:szCs w:val="24"/>
              </w:rPr>
              <w:t>544 “Kārtība, kādā Aizsardzības ministrija īsteno projektu konkursus militāru vai divējāda lietojuma produktu attīstības atbalstam”</w:t>
            </w:r>
            <w:r w:rsidR="00680419" w:rsidRPr="008F504E">
              <w:rPr>
                <w:rFonts w:ascii="Times New Roman" w:hAnsi="Times New Roman" w:cs="Times New Roman"/>
                <w:sz w:val="24"/>
                <w:szCs w:val="24"/>
              </w:rPr>
              <w:t xml:space="preserve"> (turpmāk – MK noteikumi) normas</w:t>
            </w:r>
            <w:r w:rsidR="00DE4C6C" w:rsidRPr="008F504E">
              <w:rPr>
                <w:rFonts w:ascii="Times New Roman" w:hAnsi="Times New Roman" w:cs="Times New Roman"/>
                <w:sz w:val="24"/>
                <w:szCs w:val="24"/>
              </w:rPr>
              <w:t xml:space="preserve">, </w:t>
            </w:r>
            <w:r w:rsidR="00680419" w:rsidRPr="008F504E">
              <w:rPr>
                <w:rFonts w:ascii="Times New Roman" w:hAnsi="Times New Roman" w:cs="Times New Roman"/>
                <w:sz w:val="24"/>
                <w:szCs w:val="24"/>
              </w:rPr>
              <w:t xml:space="preserve">papildus </w:t>
            </w:r>
            <w:r w:rsidR="00DE4C6C" w:rsidRPr="008F504E">
              <w:rPr>
                <w:rFonts w:ascii="Times New Roman" w:hAnsi="Times New Roman" w:cs="Times New Roman"/>
                <w:sz w:val="24"/>
                <w:szCs w:val="24"/>
              </w:rPr>
              <w:t>ņemot</w:t>
            </w:r>
            <w:r w:rsidR="00680419" w:rsidRPr="008F504E">
              <w:rPr>
                <w:rFonts w:ascii="Times New Roman" w:hAnsi="Times New Roman" w:cs="Times New Roman"/>
                <w:sz w:val="24"/>
                <w:szCs w:val="24"/>
              </w:rPr>
              <w:t xml:space="preserve"> vērā</w:t>
            </w:r>
            <w:r w:rsidRPr="008F504E">
              <w:rPr>
                <w:rFonts w:ascii="Times New Roman" w:hAnsi="Times New Roman" w:cs="Times New Roman"/>
                <w:sz w:val="24"/>
                <w:szCs w:val="24"/>
              </w:rPr>
              <w:t xml:space="preserve"> jaun</w:t>
            </w:r>
            <w:r w:rsidR="00DE4C6C" w:rsidRPr="008F504E">
              <w:rPr>
                <w:rFonts w:ascii="Times New Roman" w:hAnsi="Times New Roman" w:cs="Times New Roman"/>
                <w:sz w:val="24"/>
                <w:szCs w:val="24"/>
              </w:rPr>
              <w:t>u</w:t>
            </w:r>
            <w:r w:rsidRPr="008F504E">
              <w:rPr>
                <w:rFonts w:ascii="Times New Roman" w:hAnsi="Times New Roman" w:cs="Times New Roman"/>
                <w:sz w:val="24"/>
                <w:szCs w:val="24"/>
              </w:rPr>
              <w:t xml:space="preserve"> </w:t>
            </w:r>
            <w:r w:rsidR="00680419" w:rsidRPr="008F504E">
              <w:rPr>
                <w:rFonts w:ascii="Times New Roman" w:hAnsi="Times New Roman" w:cs="Times New Roman"/>
                <w:sz w:val="24"/>
                <w:szCs w:val="24"/>
              </w:rPr>
              <w:t xml:space="preserve">MK </w:t>
            </w:r>
            <w:r w:rsidRPr="008F504E">
              <w:rPr>
                <w:rFonts w:ascii="Times New Roman" w:hAnsi="Times New Roman" w:cs="Times New Roman"/>
                <w:sz w:val="24"/>
                <w:szCs w:val="24"/>
              </w:rPr>
              <w:t>noteikumu izdošanas pamatojum</w:t>
            </w:r>
            <w:r w:rsidR="00DE4C6C" w:rsidRPr="008F504E">
              <w:rPr>
                <w:rFonts w:ascii="Times New Roman" w:hAnsi="Times New Roman" w:cs="Times New Roman"/>
                <w:sz w:val="24"/>
                <w:szCs w:val="24"/>
              </w:rPr>
              <w:t>u</w:t>
            </w:r>
            <w:r w:rsidRPr="008F504E">
              <w:rPr>
                <w:rFonts w:ascii="Times New Roman" w:hAnsi="Times New Roman" w:cs="Times New Roman"/>
                <w:sz w:val="24"/>
                <w:szCs w:val="24"/>
              </w:rPr>
              <w:t xml:space="preserve"> (deleģējoš</w:t>
            </w:r>
            <w:r w:rsidR="00DE4C6C" w:rsidRPr="008F504E">
              <w:rPr>
                <w:rFonts w:ascii="Times New Roman" w:hAnsi="Times New Roman" w:cs="Times New Roman"/>
                <w:sz w:val="24"/>
                <w:szCs w:val="24"/>
              </w:rPr>
              <w:t>o</w:t>
            </w:r>
            <w:r w:rsidRPr="008F504E">
              <w:rPr>
                <w:rFonts w:ascii="Times New Roman" w:hAnsi="Times New Roman" w:cs="Times New Roman"/>
                <w:sz w:val="24"/>
                <w:szCs w:val="24"/>
              </w:rPr>
              <w:t xml:space="preserve"> norm</w:t>
            </w:r>
            <w:r w:rsidR="00DE4C6C" w:rsidRPr="008F504E">
              <w:rPr>
                <w:rFonts w:ascii="Times New Roman" w:hAnsi="Times New Roman" w:cs="Times New Roman"/>
                <w:sz w:val="24"/>
                <w:szCs w:val="24"/>
              </w:rPr>
              <w:t>u</w:t>
            </w:r>
            <w:r w:rsidRPr="008F504E">
              <w:rPr>
                <w:rFonts w:ascii="Times New Roman" w:hAnsi="Times New Roman" w:cs="Times New Roman"/>
                <w:sz w:val="24"/>
                <w:szCs w:val="24"/>
              </w:rPr>
              <w:t>), izmaiņ</w:t>
            </w:r>
            <w:r w:rsidR="00DE4C6C" w:rsidRPr="008F504E">
              <w:rPr>
                <w:rFonts w:ascii="Times New Roman" w:hAnsi="Times New Roman" w:cs="Times New Roman"/>
                <w:sz w:val="24"/>
                <w:szCs w:val="24"/>
              </w:rPr>
              <w:t>as</w:t>
            </w:r>
            <w:r w:rsidRPr="008F504E">
              <w:rPr>
                <w:rFonts w:ascii="Times New Roman" w:hAnsi="Times New Roman" w:cs="Times New Roman"/>
                <w:sz w:val="24"/>
                <w:szCs w:val="24"/>
              </w:rPr>
              <w:t xml:space="preserve"> </w:t>
            </w:r>
            <w:r w:rsidR="008F3439" w:rsidRPr="008F504E">
              <w:rPr>
                <w:rFonts w:ascii="Times New Roman" w:hAnsi="Times New Roman" w:cs="Times New Roman"/>
                <w:sz w:val="24"/>
                <w:szCs w:val="24"/>
              </w:rPr>
              <w:t xml:space="preserve">Eiropas Komisijas 2013. gada 18. decembra Regulas (ES) Nr. 1407/2013 par Līguma par Eiropas Savienības darbību 107. un 108. panta piemērošanu </w:t>
            </w:r>
            <w:proofErr w:type="spellStart"/>
            <w:r w:rsidR="008F3439" w:rsidRPr="008F504E">
              <w:rPr>
                <w:rFonts w:ascii="Times New Roman" w:hAnsi="Times New Roman" w:cs="Times New Roman"/>
                <w:i/>
                <w:sz w:val="24"/>
                <w:szCs w:val="24"/>
              </w:rPr>
              <w:t>de</w:t>
            </w:r>
            <w:proofErr w:type="spellEnd"/>
            <w:r w:rsidR="008F3439" w:rsidRPr="008F504E">
              <w:rPr>
                <w:rFonts w:ascii="Times New Roman" w:hAnsi="Times New Roman" w:cs="Times New Roman"/>
                <w:i/>
                <w:sz w:val="24"/>
                <w:szCs w:val="24"/>
              </w:rPr>
              <w:t xml:space="preserve"> </w:t>
            </w:r>
            <w:proofErr w:type="spellStart"/>
            <w:r w:rsidR="008F3439" w:rsidRPr="008F504E">
              <w:rPr>
                <w:rFonts w:ascii="Times New Roman" w:hAnsi="Times New Roman" w:cs="Times New Roman"/>
                <w:i/>
                <w:sz w:val="24"/>
                <w:szCs w:val="24"/>
              </w:rPr>
              <w:t>minimis</w:t>
            </w:r>
            <w:proofErr w:type="spellEnd"/>
            <w:r w:rsidR="008F3439" w:rsidRPr="008F504E">
              <w:rPr>
                <w:rFonts w:ascii="Times New Roman" w:hAnsi="Times New Roman" w:cs="Times New Roman"/>
                <w:sz w:val="24"/>
                <w:szCs w:val="24"/>
              </w:rPr>
              <w:t xml:space="preserve"> atbalstam spēkā esamības termiņā, kā </w:t>
            </w:r>
            <w:r w:rsidR="00DE4C6C" w:rsidRPr="008F504E">
              <w:rPr>
                <w:rFonts w:ascii="Times New Roman" w:hAnsi="Times New Roman" w:cs="Times New Roman"/>
                <w:sz w:val="24"/>
                <w:szCs w:val="24"/>
              </w:rPr>
              <w:t xml:space="preserve">arī </w:t>
            </w:r>
            <w:r w:rsidR="00680419" w:rsidRPr="008F504E">
              <w:rPr>
                <w:rFonts w:ascii="Times New Roman" w:hAnsi="Times New Roman" w:cs="Times New Roman"/>
                <w:sz w:val="24"/>
                <w:szCs w:val="24"/>
              </w:rPr>
              <w:t xml:space="preserve">labojot </w:t>
            </w:r>
            <w:r w:rsidR="008F3439" w:rsidRPr="008F504E">
              <w:rPr>
                <w:rFonts w:ascii="Times New Roman" w:hAnsi="Times New Roman" w:cs="Times New Roman"/>
                <w:sz w:val="24"/>
                <w:szCs w:val="24"/>
              </w:rPr>
              <w:t>konstatētā</w:t>
            </w:r>
            <w:r w:rsidR="00DE4C6C" w:rsidRPr="008F504E">
              <w:rPr>
                <w:rFonts w:ascii="Times New Roman" w:hAnsi="Times New Roman" w:cs="Times New Roman"/>
                <w:sz w:val="24"/>
                <w:szCs w:val="24"/>
              </w:rPr>
              <w:t>s</w:t>
            </w:r>
            <w:r w:rsidR="008F3439" w:rsidRPr="008F504E">
              <w:rPr>
                <w:rFonts w:ascii="Times New Roman" w:hAnsi="Times New Roman" w:cs="Times New Roman"/>
                <w:sz w:val="24"/>
                <w:szCs w:val="24"/>
              </w:rPr>
              <w:t xml:space="preserve"> neprecizitāt</w:t>
            </w:r>
            <w:r w:rsidR="00DE4C6C" w:rsidRPr="008F504E">
              <w:rPr>
                <w:rFonts w:ascii="Times New Roman" w:hAnsi="Times New Roman" w:cs="Times New Roman"/>
                <w:sz w:val="24"/>
                <w:szCs w:val="24"/>
              </w:rPr>
              <w:t>es</w:t>
            </w:r>
            <w:r w:rsidR="00680419" w:rsidRPr="008F504E">
              <w:rPr>
                <w:rFonts w:ascii="Times New Roman" w:hAnsi="Times New Roman" w:cs="Times New Roman"/>
                <w:sz w:val="24"/>
                <w:szCs w:val="24"/>
              </w:rPr>
              <w:t xml:space="preserve"> iepriekšējos MK noteikumos</w:t>
            </w:r>
            <w:r w:rsidR="008F3439" w:rsidRPr="008F504E">
              <w:rPr>
                <w:rFonts w:ascii="Times New Roman" w:hAnsi="Times New Roman" w:cs="Times New Roman"/>
                <w:sz w:val="24"/>
                <w:szCs w:val="24"/>
              </w:rPr>
              <w:t xml:space="preserve"> un</w:t>
            </w:r>
            <w:r w:rsidR="00403C4B">
              <w:rPr>
                <w:rFonts w:ascii="Times New Roman" w:hAnsi="Times New Roman" w:cs="Times New Roman"/>
                <w:sz w:val="24"/>
                <w:szCs w:val="24"/>
              </w:rPr>
              <w:t xml:space="preserve"> ievērojot</w:t>
            </w:r>
            <w:r w:rsidR="008F3439" w:rsidRPr="008F504E">
              <w:rPr>
                <w:rFonts w:ascii="Times New Roman" w:hAnsi="Times New Roman" w:cs="Times New Roman"/>
                <w:sz w:val="24"/>
                <w:szCs w:val="24"/>
              </w:rPr>
              <w:t xml:space="preserve"> Aizsardzības ministrijas administrētās grantu sistēmas līdzšinējās darbības ietvaros gūt</w:t>
            </w:r>
            <w:r w:rsidR="00DE4C6C" w:rsidRPr="008F504E">
              <w:rPr>
                <w:rFonts w:ascii="Times New Roman" w:hAnsi="Times New Roman" w:cs="Times New Roman"/>
                <w:sz w:val="24"/>
                <w:szCs w:val="24"/>
              </w:rPr>
              <w:t>os</w:t>
            </w:r>
            <w:r w:rsidR="008F3439" w:rsidRPr="008F504E">
              <w:rPr>
                <w:rFonts w:ascii="Times New Roman" w:hAnsi="Times New Roman" w:cs="Times New Roman"/>
                <w:sz w:val="24"/>
                <w:szCs w:val="24"/>
              </w:rPr>
              <w:t xml:space="preserve"> secinājum</w:t>
            </w:r>
            <w:r w:rsidR="00DE4C6C" w:rsidRPr="008F504E">
              <w:rPr>
                <w:rFonts w:ascii="Times New Roman" w:hAnsi="Times New Roman" w:cs="Times New Roman"/>
                <w:sz w:val="24"/>
                <w:szCs w:val="24"/>
              </w:rPr>
              <w:t>us</w:t>
            </w:r>
            <w:r w:rsidR="008F3439" w:rsidRPr="008F504E">
              <w:rPr>
                <w:rFonts w:ascii="Times New Roman" w:hAnsi="Times New Roman" w:cs="Times New Roman"/>
                <w:sz w:val="24"/>
                <w:szCs w:val="24"/>
              </w:rPr>
              <w:t>.</w:t>
            </w:r>
          </w:p>
        </w:tc>
      </w:tr>
    </w:tbl>
    <w:p w14:paraId="74D3C3C2" w14:textId="77777777" w:rsidR="00E5323B" w:rsidRPr="008F504E" w:rsidRDefault="00E5323B" w:rsidP="00E5323B">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504E" w:rsidRPr="008F504E" w14:paraId="44BE5C52" w14:textId="77777777" w:rsidTr="00FC4F4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09DF09" w14:textId="77777777" w:rsidR="00655F2C" w:rsidRPr="008F504E" w:rsidRDefault="00E5323B" w:rsidP="00E5323B">
            <w:pPr>
              <w:spacing w:after="0" w:line="240" w:lineRule="auto"/>
              <w:rPr>
                <w:rFonts w:ascii="Times New Roman" w:hAnsi="Times New Roman" w:cs="Times New Roman"/>
                <w:b/>
                <w:sz w:val="24"/>
                <w:szCs w:val="24"/>
              </w:rPr>
            </w:pPr>
            <w:r w:rsidRPr="008F504E">
              <w:rPr>
                <w:rFonts w:ascii="Times New Roman" w:hAnsi="Times New Roman" w:cs="Times New Roman"/>
                <w:b/>
                <w:sz w:val="24"/>
                <w:szCs w:val="24"/>
              </w:rPr>
              <w:t>I. Tiesību akta projekta izstrādes nepieciešamība</w:t>
            </w:r>
          </w:p>
        </w:tc>
      </w:tr>
      <w:tr w:rsidR="008F504E" w:rsidRPr="008F504E" w14:paraId="709D1DF2"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89FF6" w14:textId="77777777" w:rsidR="00655F2C" w:rsidRPr="008F504E" w:rsidRDefault="00E5323B" w:rsidP="00E5323B">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584D88F7" w14:textId="77777777" w:rsidR="00E5323B" w:rsidRPr="008F504E" w:rsidRDefault="00E5323B" w:rsidP="00E5323B">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Pamatojums</w:t>
            </w:r>
          </w:p>
        </w:tc>
        <w:tc>
          <w:tcPr>
            <w:tcW w:w="2960" w:type="pct"/>
            <w:tcBorders>
              <w:top w:val="outset" w:sz="6" w:space="0" w:color="auto"/>
              <w:left w:val="outset" w:sz="6" w:space="0" w:color="auto"/>
              <w:bottom w:val="outset" w:sz="6" w:space="0" w:color="auto"/>
              <w:right w:val="outset" w:sz="6" w:space="0" w:color="auto"/>
            </w:tcBorders>
          </w:tcPr>
          <w:p w14:paraId="0BFCA5EE" w14:textId="77777777" w:rsidR="00B23DA4" w:rsidRPr="008F504E" w:rsidRDefault="00A2385E" w:rsidP="00B23DA4">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Ministru kabineta noteikumu projekts “</w:t>
            </w:r>
            <w:r w:rsidRPr="008F504E">
              <w:rPr>
                <w:rFonts w:ascii="Times New Roman" w:hAnsi="Times New Roman" w:cs="Times New Roman"/>
                <w:bCs/>
                <w:sz w:val="24"/>
                <w:szCs w:val="24"/>
              </w:rPr>
              <w:t>Kārtība, kādā Aizsardzības ministrija īsteno projektu konkursus militāru vai divējāda lietojuma produktu attīstības atbalstam”</w:t>
            </w:r>
            <w:r w:rsidR="00A04842" w:rsidRPr="008F504E">
              <w:rPr>
                <w:rFonts w:ascii="Times New Roman" w:hAnsi="Times New Roman" w:cs="Times New Roman"/>
                <w:b/>
                <w:bCs/>
                <w:sz w:val="24"/>
                <w:szCs w:val="24"/>
              </w:rPr>
              <w:t xml:space="preserve"> </w:t>
            </w:r>
            <w:r w:rsidR="00A04842" w:rsidRPr="008F504E">
              <w:rPr>
                <w:rFonts w:ascii="Times New Roman" w:hAnsi="Times New Roman" w:cs="Times New Roman"/>
                <w:bCs/>
                <w:sz w:val="24"/>
                <w:szCs w:val="24"/>
              </w:rPr>
              <w:t>(turpmāk - MK noteikumu projekts)</w:t>
            </w:r>
            <w:r w:rsidRPr="008F504E">
              <w:rPr>
                <w:rFonts w:ascii="Times New Roman" w:hAnsi="Times New Roman" w:cs="Times New Roman"/>
                <w:b/>
                <w:bCs/>
                <w:sz w:val="24"/>
                <w:szCs w:val="24"/>
              </w:rPr>
              <w:t xml:space="preserve"> </w:t>
            </w:r>
            <w:r w:rsidRPr="008F504E">
              <w:rPr>
                <w:rFonts w:ascii="Times New Roman" w:hAnsi="Times New Roman" w:cs="Times New Roman"/>
                <w:bCs/>
                <w:sz w:val="24"/>
                <w:szCs w:val="24"/>
              </w:rPr>
              <w:t>ir izstrādāts pēc</w:t>
            </w:r>
            <w:r w:rsidRPr="008F504E">
              <w:rPr>
                <w:rFonts w:ascii="Times New Roman" w:hAnsi="Times New Roman" w:cs="Times New Roman"/>
                <w:b/>
                <w:bCs/>
                <w:sz w:val="24"/>
                <w:szCs w:val="24"/>
              </w:rPr>
              <w:t xml:space="preserve"> </w:t>
            </w:r>
            <w:r w:rsidR="00EE5472" w:rsidRPr="008F504E">
              <w:rPr>
                <w:rFonts w:ascii="Times New Roman" w:hAnsi="Times New Roman" w:cs="Times New Roman"/>
                <w:sz w:val="24"/>
                <w:szCs w:val="24"/>
              </w:rPr>
              <w:t>Aizsardzības ministrijas</w:t>
            </w:r>
            <w:r w:rsidR="00F27C17" w:rsidRPr="008F504E">
              <w:rPr>
                <w:rFonts w:ascii="Times New Roman" w:hAnsi="Times New Roman" w:cs="Times New Roman"/>
                <w:sz w:val="24"/>
                <w:szCs w:val="24"/>
              </w:rPr>
              <w:t xml:space="preserve"> (turpmāk – AM)</w:t>
            </w:r>
            <w:r w:rsidR="00A529EC" w:rsidRPr="008F504E">
              <w:rPr>
                <w:rFonts w:ascii="Times New Roman" w:hAnsi="Times New Roman" w:cs="Times New Roman"/>
                <w:sz w:val="24"/>
                <w:szCs w:val="24"/>
              </w:rPr>
              <w:t xml:space="preserve"> </w:t>
            </w:r>
            <w:r w:rsidR="00EE5472" w:rsidRPr="008F504E">
              <w:rPr>
                <w:rFonts w:ascii="Times New Roman" w:hAnsi="Times New Roman" w:cs="Times New Roman"/>
                <w:sz w:val="24"/>
                <w:szCs w:val="24"/>
              </w:rPr>
              <w:t>iniciatīva</w:t>
            </w:r>
            <w:r w:rsidRPr="008F504E">
              <w:rPr>
                <w:rFonts w:ascii="Times New Roman" w:hAnsi="Times New Roman" w:cs="Times New Roman"/>
                <w:sz w:val="24"/>
                <w:szCs w:val="24"/>
              </w:rPr>
              <w:t>s</w:t>
            </w:r>
            <w:r w:rsidR="00EE5472" w:rsidRPr="008F504E">
              <w:rPr>
                <w:rFonts w:ascii="Times New Roman" w:hAnsi="Times New Roman" w:cs="Times New Roman"/>
                <w:bCs/>
                <w:sz w:val="24"/>
                <w:szCs w:val="24"/>
              </w:rPr>
              <w:t>.</w:t>
            </w:r>
            <w:r w:rsidR="00B23DA4" w:rsidRPr="008F504E">
              <w:rPr>
                <w:rFonts w:ascii="Times New Roman" w:hAnsi="Times New Roman" w:cs="Times New Roman"/>
                <w:sz w:val="24"/>
                <w:szCs w:val="24"/>
              </w:rPr>
              <w:t xml:space="preserve"> </w:t>
            </w:r>
          </w:p>
          <w:p w14:paraId="31C8157E" w14:textId="77777777" w:rsidR="00B23DA4" w:rsidRPr="008F504E" w:rsidRDefault="00B23DA4" w:rsidP="00B23DA4">
            <w:pPr>
              <w:spacing w:after="0" w:line="240" w:lineRule="auto"/>
              <w:jc w:val="both"/>
              <w:rPr>
                <w:rFonts w:ascii="Times New Roman" w:hAnsi="Times New Roman" w:cs="Times New Roman"/>
                <w:sz w:val="24"/>
                <w:szCs w:val="24"/>
              </w:rPr>
            </w:pPr>
          </w:p>
          <w:p w14:paraId="1AEB9A24" w14:textId="7739C1B1" w:rsidR="00B23DA4" w:rsidRPr="008F504E" w:rsidRDefault="00680419" w:rsidP="00B23DA4">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Iepriekšējie</w:t>
            </w:r>
            <w:r w:rsidR="00B23DA4" w:rsidRPr="008F504E">
              <w:rPr>
                <w:rFonts w:ascii="Times New Roman" w:hAnsi="Times New Roman" w:cs="Times New Roman"/>
                <w:sz w:val="24"/>
                <w:szCs w:val="24"/>
              </w:rPr>
              <w:t xml:space="preserve"> MK noteikumi </w:t>
            </w:r>
            <w:r w:rsidR="00B5381B" w:rsidRPr="008F504E">
              <w:rPr>
                <w:rFonts w:ascii="Times New Roman" w:hAnsi="Times New Roman" w:cs="Times New Roman"/>
                <w:sz w:val="24"/>
                <w:szCs w:val="24"/>
              </w:rPr>
              <w:t>bija</w:t>
            </w:r>
            <w:r w:rsidR="00B23DA4" w:rsidRPr="008F504E">
              <w:rPr>
                <w:rFonts w:ascii="Times New Roman" w:hAnsi="Times New Roman" w:cs="Times New Roman"/>
                <w:sz w:val="24"/>
                <w:szCs w:val="24"/>
              </w:rPr>
              <w:t xml:space="preserve"> izdoti saskaņā ar Ministru kabineta iekārtas likuma 31. panta pirmās daļas 3. punktu, proti, ja tas nepieciešams Eiropas Savienības tiesību aktu piemērošanai un ja attiecīgais jautājums ar likumu nav noregulēts. Šobrīd atbilstošu regulējumu nosaka Mobilizācijas likuma 9. panta 14. punkts (2019. gada 19. decembra likums “Grozījumi Mobilizācijas likumā”), un Ministru kabinetam saskaņā ar izveidoto tiesību normu sistēmu un jauno likuma pilnvarojumu ir jāizdod jauni Ministru kabineta noteikumi. Tā kā jebkuru Ministru kabineta noteikumu nosaukuma sastāvdaļa ir konkrēto noteikumu pieņemšanas datums, tad n</w:t>
            </w:r>
            <w:r w:rsidR="00A76561" w:rsidRPr="008F504E">
              <w:rPr>
                <w:rFonts w:ascii="Times New Roman" w:hAnsi="Times New Roman" w:cs="Times New Roman"/>
                <w:sz w:val="24"/>
                <w:szCs w:val="24"/>
              </w:rPr>
              <w:t>ebūtu</w:t>
            </w:r>
            <w:r w:rsidR="00B23DA4" w:rsidRPr="008F504E">
              <w:rPr>
                <w:rFonts w:ascii="Times New Roman" w:hAnsi="Times New Roman" w:cs="Times New Roman"/>
                <w:sz w:val="24"/>
                <w:szCs w:val="24"/>
              </w:rPr>
              <w:t xml:space="preserve"> korekti saglabāt MK noteikumus, kas ir pieņemti ātrāk nekā atbilstošā likuma pilnvarojuma norm</w:t>
            </w:r>
            <w:r w:rsidR="00A76561" w:rsidRPr="008F504E">
              <w:rPr>
                <w:rFonts w:ascii="Times New Roman" w:hAnsi="Times New Roman" w:cs="Times New Roman"/>
                <w:sz w:val="24"/>
                <w:szCs w:val="24"/>
              </w:rPr>
              <w:t>a. Turklāt 2021. gada 1. jūlijā beidzās MK noteikumos paredzētais spēkā esamības termiņš,</w:t>
            </w:r>
            <w:r w:rsidR="00B23DA4" w:rsidRPr="008F504E">
              <w:rPr>
                <w:rFonts w:ascii="Times New Roman" w:hAnsi="Times New Roman" w:cs="Times New Roman"/>
                <w:sz w:val="24"/>
                <w:szCs w:val="24"/>
              </w:rPr>
              <w:t xml:space="preserve"> tāpēc šajā </w:t>
            </w:r>
            <w:r w:rsidR="00B23DA4" w:rsidRPr="008F504E">
              <w:rPr>
                <w:rFonts w:ascii="Times New Roman" w:hAnsi="Times New Roman" w:cs="Times New Roman"/>
                <w:sz w:val="24"/>
                <w:szCs w:val="24"/>
              </w:rPr>
              <w:lastRenderedPageBreak/>
              <w:t xml:space="preserve">gadījumā nepieciešams sagatavot jaunu noteikumu projektu. </w:t>
            </w:r>
          </w:p>
          <w:p w14:paraId="318C5B73" w14:textId="7DC89018" w:rsidR="00E5323B" w:rsidRPr="008F504E" w:rsidRDefault="00B23DA4" w:rsidP="00A76561">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Ņemot vērā minēto, AM ir izstrādājusi MK noteikumu projektu, pārņe</w:t>
            </w:r>
            <w:r w:rsidR="00680419" w:rsidRPr="008F504E">
              <w:rPr>
                <w:rFonts w:ascii="Times New Roman" w:hAnsi="Times New Roman" w:cs="Times New Roman"/>
                <w:sz w:val="24"/>
                <w:szCs w:val="24"/>
              </w:rPr>
              <w:t>mot iepriek</w:t>
            </w:r>
            <w:r w:rsidRPr="008F504E">
              <w:rPr>
                <w:rFonts w:ascii="Times New Roman" w:hAnsi="Times New Roman" w:cs="Times New Roman"/>
                <w:sz w:val="24"/>
                <w:szCs w:val="24"/>
              </w:rPr>
              <w:t>š</w:t>
            </w:r>
            <w:r w:rsidR="00680419" w:rsidRPr="008F504E">
              <w:rPr>
                <w:rFonts w:ascii="Times New Roman" w:hAnsi="Times New Roman" w:cs="Times New Roman"/>
                <w:sz w:val="24"/>
                <w:szCs w:val="24"/>
              </w:rPr>
              <w:t>ēj</w:t>
            </w:r>
            <w:r w:rsidRPr="008F504E">
              <w:rPr>
                <w:rFonts w:ascii="Times New Roman" w:hAnsi="Times New Roman" w:cs="Times New Roman"/>
                <w:sz w:val="24"/>
                <w:szCs w:val="24"/>
              </w:rPr>
              <w:t>o MK noteikumu normas, kur nepieciešams, tās precizējot un papildinot ar jaunām normām.</w:t>
            </w:r>
          </w:p>
        </w:tc>
      </w:tr>
      <w:tr w:rsidR="008F504E" w:rsidRPr="008F504E" w14:paraId="12D6186B"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92BE94"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6A622BC"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BF8E6B6" w14:textId="7F8AA069" w:rsidR="00DE328B" w:rsidRPr="008F504E" w:rsidRDefault="00A04842" w:rsidP="007C02CF">
            <w:pPr>
              <w:spacing w:after="0" w:line="240" w:lineRule="auto"/>
              <w:jc w:val="both"/>
              <w:rPr>
                <w:rFonts w:ascii="Times New Roman" w:hAnsi="Times New Roman" w:cs="Times New Roman"/>
                <w:bCs/>
                <w:sz w:val="24"/>
                <w:szCs w:val="24"/>
              </w:rPr>
            </w:pPr>
            <w:r w:rsidRPr="008F504E">
              <w:rPr>
                <w:rFonts w:ascii="Times New Roman" w:hAnsi="Times New Roman" w:cs="Times New Roman"/>
                <w:sz w:val="24"/>
                <w:szCs w:val="24"/>
              </w:rPr>
              <w:t xml:space="preserve">MK noteikumu projekts </w:t>
            </w:r>
            <w:r w:rsidR="00B23DA4" w:rsidRPr="008F504E">
              <w:rPr>
                <w:rFonts w:ascii="Times New Roman" w:hAnsi="Times New Roman" w:cs="Times New Roman"/>
                <w:sz w:val="24"/>
                <w:szCs w:val="24"/>
              </w:rPr>
              <w:t xml:space="preserve">pārņem </w:t>
            </w:r>
            <w:r w:rsidR="00680419" w:rsidRPr="008F504E">
              <w:rPr>
                <w:rFonts w:ascii="Times New Roman" w:hAnsi="Times New Roman" w:cs="Times New Roman"/>
                <w:sz w:val="24"/>
                <w:szCs w:val="24"/>
              </w:rPr>
              <w:t>iepriek</w:t>
            </w:r>
            <w:r w:rsidR="00B23DA4" w:rsidRPr="008F504E">
              <w:rPr>
                <w:rFonts w:ascii="Times New Roman" w:hAnsi="Times New Roman" w:cs="Times New Roman"/>
                <w:sz w:val="24"/>
                <w:szCs w:val="24"/>
              </w:rPr>
              <w:t xml:space="preserve">šējo MK noteikumu </w:t>
            </w:r>
            <w:r w:rsidR="0084751E" w:rsidRPr="008F504E">
              <w:rPr>
                <w:rFonts w:ascii="Times New Roman" w:hAnsi="Times New Roman" w:cs="Times New Roman"/>
                <w:bCs/>
                <w:sz w:val="24"/>
                <w:szCs w:val="24"/>
              </w:rPr>
              <w:t>normas un precizē tās</w:t>
            </w:r>
            <w:r w:rsidR="00EE5472" w:rsidRPr="008F504E">
              <w:rPr>
                <w:rFonts w:ascii="Times New Roman" w:hAnsi="Times New Roman" w:cs="Times New Roman"/>
                <w:bCs/>
                <w:sz w:val="24"/>
                <w:szCs w:val="24"/>
              </w:rPr>
              <w:t xml:space="preserve"> atbilstoši jauna</w:t>
            </w:r>
            <w:r w:rsidRPr="008F504E">
              <w:rPr>
                <w:rFonts w:ascii="Times New Roman" w:hAnsi="Times New Roman" w:cs="Times New Roman"/>
                <w:bCs/>
                <w:sz w:val="24"/>
                <w:szCs w:val="24"/>
              </w:rPr>
              <w:t>ja</w:t>
            </w:r>
            <w:r w:rsidR="00EE5472" w:rsidRPr="008F504E">
              <w:rPr>
                <w:rFonts w:ascii="Times New Roman" w:hAnsi="Times New Roman" w:cs="Times New Roman"/>
                <w:bCs/>
                <w:sz w:val="24"/>
                <w:szCs w:val="24"/>
              </w:rPr>
              <w:t xml:space="preserve">i </w:t>
            </w:r>
            <w:r w:rsidR="001E7461" w:rsidRPr="008F504E">
              <w:rPr>
                <w:rFonts w:ascii="Times New Roman" w:hAnsi="Times New Roman" w:cs="Times New Roman"/>
                <w:bCs/>
                <w:sz w:val="24"/>
                <w:szCs w:val="24"/>
              </w:rPr>
              <w:t>Komisijas Regula</w:t>
            </w:r>
            <w:r w:rsidR="00104D92" w:rsidRPr="008F504E">
              <w:rPr>
                <w:rFonts w:ascii="Times New Roman" w:hAnsi="Times New Roman" w:cs="Times New Roman"/>
                <w:bCs/>
                <w:sz w:val="24"/>
                <w:szCs w:val="24"/>
              </w:rPr>
              <w:t>i</w:t>
            </w:r>
            <w:r w:rsidR="001E7461" w:rsidRPr="008F504E">
              <w:rPr>
                <w:rFonts w:ascii="Times New Roman" w:hAnsi="Times New Roman" w:cs="Times New Roman"/>
                <w:bCs/>
                <w:sz w:val="24"/>
                <w:szCs w:val="24"/>
              </w:rPr>
              <w:t xml:space="preserve"> (ES) 2020/972 (2020. gada 2.</w:t>
            </w:r>
            <w:r w:rsidR="008C2932" w:rsidRPr="008F504E">
              <w:rPr>
                <w:rFonts w:ascii="Times New Roman" w:hAnsi="Times New Roman" w:cs="Times New Roman"/>
                <w:bCs/>
                <w:sz w:val="24"/>
                <w:szCs w:val="24"/>
              </w:rPr>
              <w:t> </w:t>
            </w:r>
            <w:r w:rsidR="001E7461" w:rsidRPr="008F504E">
              <w:rPr>
                <w:rFonts w:ascii="Times New Roman" w:hAnsi="Times New Roman" w:cs="Times New Roman"/>
                <w:bCs/>
                <w:sz w:val="24"/>
                <w:szCs w:val="24"/>
              </w:rPr>
              <w:t>jūlijs), ar ko groza Regulu (ES) Nr.</w:t>
            </w:r>
            <w:r w:rsidR="008C2932" w:rsidRPr="008F504E">
              <w:rPr>
                <w:rFonts w:ascii="Times New Roman" w:hAnsi="Times New Roman" w:cs="Times New Roman"/>
                <w:bCs/>
                <w:sz w:val="24"/>
                <w:szCs w:val="24"/>
              </w:rPr>
              <w:t> </w:t>
            </w:r>
            <w:r w:rsidR="001E7461" w:rsidRPr="008F504E">
              <w:rPr>
                <w:rFonts w:ascii="Times New Roman" w:hAnsi="Times New Roman" w:cs="Times New Roman"/>
                <w:bCs/>
                <w:sz w:val="24"/>
                <w:szCs w:val="24"/>
              </w:rPr>
              <w:t>1407/2013 attiecībā uz tās pagarināšanu un groza Regulu (ES) Nr. 651/2014 attiecībā uz tās pagarināšanu un attiecīgiem pielāgojumiem</w:t>
            </w:r>
            <w:r w:rsidR="0084751E" w:rsidRPr="008F504E">
              <w:rPr>
                <w:rFonts w:ascii="Times New Roman" w:hAnsi="Times New Roman" w:cs="Times New Roman"/>
                <w:bCs/>
                <w:sz w:val="24"/>
                <w:szCs w:val="24"/>
              </w:rPr>
              <w:t>,</w:t>
            </w:r>
            <w:r w:rsidR="00EE5472" w:rsidRPr="008F504E">
              <w:rPr>
                <w:rFonts w:ascii="Times New Roman" w:hAnsi="Times New Roman" w:cs="Times New Roman"/>
                <w:sz w:val="24"/>
                <w:szCs w:val="24"/>
              </w:rPr>
              <w:t xml:space="preserve"> </w:t>
            </w:r>
            <w:r w:rsidR="00EE5472" w:rsidRPr="008F504E">
              <w:rPr>
                <w:rFonts w:ascii="Times New Roman" w:hAnsi="Times New Roman" w:cs="Times New Roman"/>
                <w:bCs/>
                <w:sz w:val="24"/>
                <w:szCs w:val="24"/>
              </w:rPr>
              <w:t>k</w:t>
            </w:r>
            <w:r w:rsidR="008C2932" w:rsidRPr="008F504E">
              <w:rPr>
                <w:rFonts w:ascii="Times New Roman" w:hAnsi="Times New Roman" w:cs="Times New Roman"/>
                <w:bCs/>
                <w:sz w:val="24"/>
                <w:szCs w:val="24"/>
              </w:rPr>
              <w:t>ā</w:t>
            </w:r>
            <w:r w:rsidR="00EE5472" w:rsidRPr="008F504E">
              <w:rPr>
                <w:rFonts w:ascii="Times New Roman" w:hAnsi="Times New Roman" w:cs="Times New Roman"/>
                <w:bCs/>
                <w:sz w:val="24"/>
                <w:szCs w:val="24"/>
              </w:rPr>
              <w:t xml:space="preserve"> arī </w:t>
            </w:r>
            <w:r w:rsidR="008F3A68" w:rsidRPr="008F504E">
              <w:rPr>
                <w:rFonts w:ascii="Times New Roman" w:hAnsi="Times New Roman" w:cs="Times New Roman"/>
                <w:bCs/>
                <w:sz w:val="24"/>
                <w:szCs w:val="24"/>
              </w:rPr>
              <w:t>papildina</w:t>
            </w:r>
            <w:r w:rsidR="0084751E" w:rsidRPr="008F504E">
              <w:rPr>
                <w:rFonts w:ascii="Times New Roman" w:hAnsi="Times New Roman" w:cs="Times New Roman"/>
                <w:bCs/>
                <w:sz w:val="24"/>
                <w:szCs w:val="24"/>
              </w:rPr>
              <w:t xml:space="preserve"> </w:t>
            </w:r>
            <w:r w:rsidR="00104D92" w:rsidRPr="008F504E">
              <w:rPr>
                <w:rFonts w:ascii="Times New Roman" w:hAnsi="Times New Roman" w:cs="Times New Roman"/>
                <w:bCs/>
                <w:sz w:val="24"/>
                <w:szCs w:val="24"/>
              </w:rPr>
              <w:t xml:space="preserve">atbilstoši </w:t>
            </w:r>
            <w:r w:rsidR="00A529EC" w:rsidRPr="008F504E">
              <w:rPr>
                <w:rFonts w:ascii="Times New Roman" w:hAnsi="Times New Roman" w:cs="Times New Roman"/>
                <w:bCs/>
                <w:sz w:val="24"/>
                <w:szCs w:val="24"/>
              </w:rPr>
              <w:t xml:space="preserve">AM veikto trīs projektu konkursu uzsaukumos gūtajai </w:t>
            </w:r>
            <w:r w:rsidR="00104D92" w:rsidRPr="008F504E">
              <w:rPr>
                <w:rFonts w:ascii="Times New Roman" w:hAnsi="Times New Roman" w:cs="Times New Roman"/>
                <w:bCs/>
                <w:sz w:val="24"/>
                <w:szCs w:val="24"/>
              </w:rPr>
              <w:t>pieredzei</w:t>
            </w:r>
            <w:r w:rsidR="00A529EC" w:rsidRPr="008F504E">
              <w:rPr>
                <w:rFonts w:ascii="Times New Roman" w:hAnsi="Times New Roman" w:cs="Times New Roman"/>
                <w:bCs/>
                <w:sz w:val="24"/>
                <w:szCs w:val="24"/>
              </w:rPr>
              <w:t>.</w:t>
            </w:r>
          </w:p>
          <w:p w14:paraId="2CCDA1E1" w14:textId="3D2F355B" w:rsidR="00DE328B" w:rsidRPr="008F504E" w:rsidRDefault="00DE328B" w:rsidP="007C02CF">
            <w:pPr>
              <w:spacing w:after="0" w:line="240" w:lineRule="auto"/>
              <w:jc w:val="both"/>
              <w:rPr>
                <w:rFonts w:ascii="Times New Roman" w:hAnsi="Times New Roman" w:cs="Times New Roman"/>
                <w:sz w:val="24"/>
                <w:szCs w:val="24"/>
              </w:rPr>
            </w:pPr>
          </w:p>
          <w:p w14:paraId="453F7D3E" w14:textId="6328186D" w:rsidR="0084751E" w:rsidRPr="008F504E" w:rsidRDefault="0084751E" w:rsidP="007C02CF">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 xml:space="preserve">Papildus </w:t>
            </w:r>
            <w:r w:rsidR="00680419" w:rsidRPr="008F504E">
              <w:rPr>
                <w:rFonts w:ascii="Times New Roman" w:hAnsi="Times New Roman" w:cs="Times New Roman"/>
                <w:sz w:val="24"/>
                <w:szCs w:val="24"/>
              </w:rPr>
              <w:t>agrāka</w:t>
            </w:r>
            <w:r w:rsidRPr="008F504E">
              <w:rPr>
                <w:rFonts w:ascii="Times New Roman" w:hAnsi="Times New Roman" w:cs="Times New Roman"/>
                <w:sz w:val="24"/>
                <w:szCs w:val="24"/>
              </w:rPr>
              <w:t>jam regulējumam</w:t>
            </w:r>
            <w:r w:rsidR="00922B77" w:rsidRPr="008F504E">
              <w:rPr>
                <w:rFonts w:ascii="Times New Roman" w:hAnsi="Times New Roman" w:cs="Times New Roman"/>
                <w:sz w:val="24"/>
                <w:szCs w:val="24"/>
              </w:rPr>
              <w:t xml:space="preserve"> ar MK noteikumu projektu</w:t>
            </w:r>
            <w:r w:rsidRPr="008F504E">
              <w:rPr>
                <w:rFonts w:ascii="Times New Roman" w:hAnsi="Times New Roman" w:cs="Times New Roman"/>
                <w:sz w:val="24"/>
                <w:szCs w:val="24"/>
              </w:rPr>
              <w:t xml:space="preserve"> MK noteikum</w:t>
            </w:r>
            <w:r w:rsidR="00922B77" w:rsidRPr="008F504E">
              <w:rPr>
                <w:rFonts w:ascii="Times New Roman" w:hAnsi="Times New Roman" w:cs="Times New Roman"/>
                <w:sz w:val="24"/>
                <w:szCs w:val="24"/>
              </w:rPr>
              <w:t>i</w:t>
            </w:r>
            <w:r w:rsidRPr="008F504E">
              <w:rPr>
                <w:rFonts w:ascii="Times New Roman" w:hAnsi="Times New Roman" w:cs="Times New Roman"/>
                <w:sz w:val="24"/>
                <w:szCs w:val="24"/>
              </w:rPr>
              <w:t xml:space="preserve"> </w:t>
            </w:r>
            <w:r w:rsidR="00922B77" w:rsidRPr="008F504E">
              <w:rPr>
                <w:rFonts w:ascii="Times New Roman" w:hAnsi="Times New Roman" w:cs="Times New Roman"/>
                <w:sz w:val="24"/>
                <w:szCs w:val="24"/>
              </w:rPr>
              <w:t xml:space="preserve">tiek </w:t>
            </w:r>
            <w:r w:rsidRPr="008F504E">
              <w:rPr>
                <w:rFonts w:ascii="Times New Roman" w:hAnsi="Times New Roman" w:cs="Times New Roman"/>
                <w:sz w:val="24"/>
                <w:szCs w:val="24"/>
              </w:rPr>
              <w:t>papildināt</w:t>
            </w:r>
            <w:r w:rsidR="00922B77" w:rsidRPr="008F504E">
              <w:rPr>
                <w:rFonts w:ascii="Times New Roman" w:hAnsi="Times New Roman" w:cs="Times New Roman"/>
                <w:sz w:val="24"/>
                <w:szCs w:val="24"/>
              </w:rPr>
              <w:t>i</w:t>
            </w:r>
            <w:r w:rsidRPr="008F504E">
              <w:rPr>
                <w:rFonts w:ascii="Times New Roman" w:hAnsi="Times New Roman" w:cs="Times New Roman"/>
                <w:sz w:val="24"/>
                <w:szCs w:val="24"/>
              </w:rPr>
              <w:t xml:space="preserve"> ar sekojošiem punktiem.</w:t>
            </w:r>
          </w:p>
          <w:p w14:paraId="37D6811A" w14:textId="77777777" w:rsidR="0084751E" w:rsidRPr="008F504E" w:rsidRDefault="0084751E" w:rsidP="007C02CF">
            <w:pPr>
              <w:spacing w:after="0" w:line="240" w:lineRule="auto"/>
              <w:jc w:val="both"/>
              <w:rPr>
                <w:rFonts w:ascii="Times New Roman" w:hAnsi="Times New Roman" w:cs="Times New Roman"/>
                <w:sz w:val="24"/>
                <w:szCs w:val="24"/>
              </w:rPr>
            </w:pPr>
          </w:p>
          <w:p w14:paraId="45C8A5EC" w14:textId="6E0C4622" w:rsidR="00F27C17" w:rsidRPr="008F504E" w:rsidRDefault="00A04842" w:rsidP="007C02CF">
            <w:pPr>
              <w:spacing w:after="0" w:line="240" w:lineRule="auto"/>
              <w:jc w:val="both"/>
              <w:rPr>
                <w:rFonts w:ascii="Times New Roman" w:hAnsi="Times New Roman" w:cs="Times New Roman"/>
                <w:bCs/>
                <w:sz w:val="24"/>
                <w:szCs w:val="24"/>
              </w:rPr>
            </w:pPr>
            <w:r w:rsidRPr="008F504E">
              <w:rPr>
                <w:rFonts w:ascii="Times New Roman" w:hAnsi="Times New Roman" w:cs="Times New Roman"/>
                <w:sz w:val="24"/>
                <w:szCs w:val="24"/>
              </w:rPr>
              <w:t xml:space="preserve">MK </w:t>
            </w:r>
            <w:r w:rsidR="00FB1AB0" w:rsidRPr="008F504E">
              <w:rPr>
                <w:rFonts w:ascii="Times New Roman" w:hAnsi="Times New Roman" w:cs="Times New Roman"/>
                <w:sz w:val="24"/>
                <w:szCs w:val="24"/>
              </w:rPr>
              <w:t xml:space="preserve">noteikumi nosaka, ka projekta iesniedzējs cita starpā iesniedz uzskaites veidlapu par sniedzamo informāciju </w:t>
            </w:r>
            <w:proofErr w:type="spellStart"/>
            <w:r w:rsidR="00FB1AB0" w:rsidRPr="008F504E">
              <w:rPr>
                <w:rFonts w:ascii="Times New Roman" w:hAnsi="Times New Roman" w:cs="Times New Roman"/>
                <w:i/>
                <w:sz w:val="24"/>
                <w:szCs w:val="24"/>
              </w:rPr>
              <w:t>de</w:t>
            </w:r>
            <w:proofErr w:type="spellEnd"/>
            <w:r w:rsidR="00FB1AB0" w:rsidRPr="008F504E">
              <w:rPr>
                <w:rFonts w:ascii="Times New Roman" w:hAnsi="Times New Roman" w:cs="Times New Roman"/>
                <w:i/>
                <w:sz w:val="24"/>
                <w:szCs w:val="24"/>
              </w:rPr>
              <w:t xml:space="preserve"> </w:t>
            </w:r>
            <w:proofErr w:type="spellStart"/>
            <w:r w:rsidR="00FB1AB0" w:rsidRPr="008F504E">
              <w:rPr>
                <w:rFonts w:ascii="Times New Roman" w:hAnsi="Times New Roman" w:cs="Times New Roman"/>
                <w:i/>
                <w:sz w:val="24"/>
                <w:szCs w:val="24"/>
              </w:rPr>
              <w:t>minimis</w:t>
            </w:r>
            <w:proofErr w:type="spellEnd"/>
            <w:r w:rsidR="00FB1AB0" w:rsidRPr="008F504E">
              <w:rPr>
                <w:rFonts w:ascii="Times New Roman" w:hAnsi="Times New Roman" w:cs="Times New Roman"/>
                <w:sz w:val="24"/>
                <w:szCs w:val="24"/>
              </w:rPr>
              <w:t xml:space="preserve"> atbalsta piešķiršanai</w:t>
            </w:r>
            <w:r w:rsidR="00FB1AB0" w:rsidRPr="008F504E">
              <w:t xml:space="preserve"> </w:t>
            </w:r>
            <w:r w:rsidR="00FB1AB0" w:rsidRPr="008F504E">
              <w:rPr>
                <w:rFonts w:ascii="Times New Roman" w:hAnsi="Times New Roman" w:cs="Times New Roman"/>
                <w:sz w:val="24"/>
                <w:szCs w:val="24"/>
              </w:rPr>
              <w:t xml:space="preserve">saskaņā ar normatīvajiem aktiem par </w:t>
            </w:r>
            <w:proofErr w:type="spellStart"/>
            <w:r w:rsidR="00FB1AB0" w:rsidRPr="008F504E">
              <w:rPr>
                <w:rFonts w:ascii="Times New Roman" w:hAnsi="Times New Roman" w:cs="Times New Roman"/>
                <w:i/>
                <w:sz w:val="24"/>
                <w:szCs w:val="24"/>
              </w:rPr>
              <w:t>de</w:t>
            </w:r>
            <w:proofErr w:type="spellEnd"/>
            <w:r w:rsidR="00FB1AB0" w:rsidRPr="008F504E">
              <w:rPr>
                <w:rFonts w:ascii="Times New Roman" w:hAnsi="Times New Roman" w:cs="Times New Roman"/>
                <w:i/>
                <w:sz w:val="24"/>
                <w:szCs w:val="24"/>
              </w:rPr>
              <w:t xml:space="preserve"> </w:t>
            </w:r>
            <w:proofErr w:type="spellStart"/>
            <w:r w:rsidR="00FB1AB0" w:rsidRPr="008F504E">
              <w:rPr>
                <w:rFonts w:ascii="Times New Roman" w:hAnsi="Times New Roman" w:cs="Times New Roman"/>
                <w:i/>
                <w:sz w:val="24"/>
                <w:szCs w:val="24"/>
              </w:rPr>
              <w:t>minimis</w:t>
            </w:r>
            <w:proofErr w:type="spellEnd"/>
            <w:r w:rsidR="00FB1AB0" w:rsidRPr="008F504E">
              <w:rPr>
                <w:rFonts w:ascii="Times New Roman" w:hAnsi="Times New Roman" w:cs="Times New Roman"/>
                <w:sz w:val="24"/>
                <w:szCs w:val="24"/>
              </w:rPr>
              <w:t xml:space="preserve"> atbalsta uzskaites un piešķiršanas kārtību un </w:t>
            </w:r>
            <w:proofErr w:type="spellStart"/>
            <w:r w:rsidR="00FB1AB0" w:rsidRPr="008F504E">
              <w:rPr>
                <w:rFonts w:ascii="Times New Roman" w:hAnsi="Times New Roman" w:cs="Times New Roman"/>
                <w:i/>
                <w:sz w:val="24"/>
                <w:szCs w:val="24"/>
              </w:rPr>
              <w:t>de</w:t>
            </w:r>
            <w:proofErr w:type="spellEnd"/>
            <w:r w:rsidR="00FB1AB0" w:rsidRPr="008F504E">
              <w:rPr>
                <w:rFonts w:ascii="Times New Roman" w:hAnsi="Times New Roman" w:cs="Times New Roman"/>
                <w:i/>
                <w:sz w:val="24"/>
                <w:szCs w:val="24"/>
              </w:rPr>
              <w:t xml:space="preserve"> </w:t>
            </w:r>
            <w:proofErr w:type="spellStart"/>
            <w:r w:rsidR="00FB1AB0" w:rsidRPr="008F504E">
              <w:rPr>
                <w:rFonts w:ascii="Times New Roman" w:hAnsi="Times New Roman" w:cs="Times New Roman"/>
                <w:i/>
                <w:sz w:val="24"/>
                <w:szCs w:val="24"/>
              </w:rPr>
              <w:t>minimis</w:t>
            </w:r>
            <w:proofErr w:type="spellEnd"/>
            <w:r w:rsidR="00FB1AB0" w:rsidRPr="008F504E">
              <w:rPr>
                <w:rFonts w:ascii="Times New Roman" w:hAnsi="Times New Roman" w:cs="Times New Roman"/>
                <w:sz w:val="24"/>
                <w:szCs w:val="24"/>
              </w:rPr>
              <w:t xml:space="preserve"> atbalsta uzskaites veidlapu paraugiem. Lai mazinātu iesniedzamo dokumentu skaitu, </w:t>
            </w:r>
            <w:r w:rsidRPr="008F504E">
              <w:rPr>
                <w:rFonts w:ascii="Times New Roman" w:hAnsi="Times New Roman" w:cs="Times New Roman"/>
                <w:sz w:val="24"/>
                <w:szCs w:val="24"/>
              </w:rPr>
              <w:t>MK n</w:t>
            </w:r>
            <w:r w:rsidR="00FB1AB0" w:rsidRPr="008F504E">
              <w:rPr>
                <w:rFonts w:ascii="Times New Roman" w:hAnsi="Times New Roman" w:cs="Times New Roman"/>
                <w:sz w:val="24"/>
                <w:szCs w:val="24"/>
              </w:rPr>
              <w:t>oteikumu projekts</w:t>
            </w:r>
            <w:r w:rsidR="000378DC" w:rsidRPr="008F504E">
              <w:rPr>
                <w:rFonts w:ascii="Times New Roman" w:hAnsi="Times New Roman" w:cs="Times New Roman"/>
                <w:sz w:val="24"/>
                <w:szCs w:val="24"/>
              </w:rPr>
              <w:t xml:space="preserve"> (</w:t>
            </w:r>
            <w:r w:rsidR="00F32F67" w:rsidRPr="008F504E">
              <w:rPr>
                <w:rFonts w:ascii="Times New Roman" w:hAnsi="Times New Roman" w:cs="Times New Roman"/>
                <w:sz w:val="24"/>
                <w:szCs w:val="24"/>
              </w:rPr>
              <w:t xml:space="preserve">papildināts </w:t>
            </w:r>
            <w:r w:rsidR="000378DC" w:rsidRPr="008F504E">
              <w:rPr>
                <w:rFonts w:ascii="Times New Roman" w:hAnsi="Times New Roman" w:cs="Times New Roman"/>
                <w:sz w:val="24"/>
                <w:szCs w:val="24"/>
              </w:rPr>
              <w:t>16.4</w:t>
            </w:r>
            <w:r w:rsidR="003F1BC2" w:rsidRPr="008F504E">
              <w:rPr>
                <w:rFonts w:ascii="Times New Roman" w:hAnsi="Times New Roman" w:cs="Times New Roman"/>
                <w:sz w:val="24"/>
                <w:szCs w:val="24"/>
              </w:rPr>
              <w:t>.</w:t>
            </w:r>
            <w:r w:rsidR="000378DC" w:rsidRPr="008F504E">
              <w:rPr>
                <w:rFonts w:ascii="Times New Roman" w:hAnsi="Times New Roman" w:cs="Times New Roman"/>
                <w:sz w:val="24"/>
                <w:szCs w:val="24"/>
              </w:rPr>
              <w:t> apakšpunkts)</w:t>
            </w:r>
            <w:r w:rsidR="00FB1AB0" w:rsidRPr="008F504E">
              <w:rPr>
                <w:rFonts w:ascii="Times New Roman" w:hAnsi="Times New Roman" w:cs="Times New Roman"/>
                <w:sz w:val="24"/>
                <w:szCs w:val="24"/>
              </w:rPr>
              <w:t xml:space="preserve"> paredz iespēju minēt</w:t>
            </w:r>
            <w:r w:rsidR="00F27C17" w:rsidRPr="008F504E">
              <w:rPr>
                <w:rFonts w:ascii="Times New Roman" w:hAnsi="Times New Roman" w:cs="Times New Roman"/>
                <w:sz w:val="24"/>
                <w:szCs w:val="24"/>
              </w:rPr>
              <w:t>o</w:t>
            </w:r>
            <w:r w:rsidR="00FB1AB0" w:rsidRPr="008F504E">
              <w:rPr>
                <w:rFonts w:ascii="Times New Roman" w:hAnsi="Times New Roman" w:cs="Times New Roman"/>
                <w:sz w:val="24"/>
                <w:szCs w:val="24"/>
              </w:rPr>
              <w:t xml:space="preserve"> veidlapu iesniegšanas vietā </w:t>
            </w:r>
            <w:r w:rsidR="00F27C17" w:rsidRPr="008F504E">
              <w:rPr>
                <w:rFonts w:ascii="Times New Roman" w:hAnsi="Times New Roman" w:cs="Times New Roman"/>
                <w:sz w:val="24"/>
                <w:szCs w:val="24"/>
              </w:rPr>
              <w:t xml:space="preserve">projekta iesniegumā </w:t>
            </w:r>
            <w:r w:rsidR="00FB1AB0" w:rsidRPr="008F504E">
              <w:rPr>
                <w:rFonts w:ascii="Times New Roman" w:hAnsi="Times New Roman" w:cs="Times New Roman"/>
                <w:sz w:val="24"/>
                <w:szCs w:val="24"/>
              </w:rPr>
              <w:t>norādīt</w:t>
            </w:r>
            <w:r w:rsidR="00A76561" w:rsidRPr="008F504E">
              <w:rPr>
                <w:rFonts w:ascii="Times New Roman" w:hAnsi="Times New Roman" w:cs="Times New Roman"/>
                <w:sz w:val="24"/>
                <w:szCs w:val="24"/>
              </w:rPr>
              <w:t xml:space="preserve"> </w:t>
            </w:r>
            <w:r w:rsidR="00FB1AB0" w:rsidRPr="008F504E">
              <w:rPr>
                <w:rFonts w:ascii="Times New Roman" w:hAnsi="Times New Roman" w:cs="Times New Roman"/>
                <w:sz w:val="24"/>
                <w:szCs w:val="24"/>
              </w:rPr>
              <w:t xml:space="preserve"> attiecīgajā valsts informācijas sistēmā – </w:t>
            </w:r>
            <w:proofErr w:type="spellStart"/>
            <w:r w:rsidR="00FB1AB0" w:rsidRPr="008F504E">
              <w:rPr>
                <w:rFonts w:ascii="Times New Roman" w:hAnsi="Times New Roman" w:cs="Times New Roman"/>
                <w:i/>
                <w:sz w:val="24"/>
                <w:szCs w:val="24"/>
              </w:rPr>
              <w:t>de</w:t>
            </w:r>
            <w:proofErr w:type="spellEnd"/>
            <w:r w:rsidR="00FB1AB0" w:rsidRPr="008F504E">
              <w:rPr>
                <w:rFonts w:ascii="Times New Roman" w:hAnsi="Times New Roman" w:cs="Times New Roman"/>
                <w:i/>
                <w:sz w:val="24"/>
                <w:szCs w:val="24"/>
              </w:rPr>
              <w:t xml:space="preserve"> </w:t>
            </w:r>
            <w:proofErr w:type="spellStart"/>
            <w:r w:rsidR="00FB1AB0" w:rsidRPr="008F504E">
              <w:rPr>
                <w:rFonts w:ascii="Times New Roman" w:hAnsi="Times New Roman" w:cs="Times New Roman"/>
                <w:i/>
                <w:sz w:val="24"/>
                <w:szCs w:val="24"/>
              </w:rPr>
              <w:t>minimis</w:t>
            </w:r>
            <w:proofErr w:type="spellEnd"/>
            <w:r w:rsidR="00FB1AB0" w:rsidRPr="008F504E">
              <w:rPr>
                <w:rFonts w:ascii="Times New Roman" w:hAnsi="Times New Roman" w:cs="Times New Roman"/>
                <w:sz w:val="24"/>
                <w:szCs w:val="24"/>
              </w:rPr>
              <w:t xml:space="preserve"> atbalsta uzskaites sistēmā – sagatavotās un apstiprinātās veidlapas numur</w:t>
            </w:r>
            <w:r w:rsidR="00F27C17" w:rsidRPr="008F504E">
              <w:rPr>
                <w:rFonts w:ascii="Times New Roman" w:hAnsi="Times New Roman" w:cs="Times New Roman"/>
                <w:sz w:val="24"/>
                <w:szCs w:val="24"/>
              </w:rPr>
              <w:t>u</w:t>
            </w:r>
            <w:r w:rsidR="00FB1AB0" w:rsidRPr="008F504E">
              <w:rPr>
                <w:rFonts w:ascii="Times New Roman" w:hAnsi="Times New Roman" w:cs="Times New Roman"/>
                <w:sz w:val="24"/>
                <w:szCs w:val="24"/>
              </w:rPr>
              <w:t>.</w:t>
            </w:r>
            <w:r w:rsidR="00C61015" w:rsidRPr="008F504E">
              <w:rPr>
                <w:rFonts w:ascii="Times New Roman" w:hAnsi="Times New Roman" w:cs="Times New Roman"/>
                <w:sz w:val="24"/>
                <w:szCs w:val="24"/>
              </w:rPr>
              <w:t xml:space="preserve"> Gadījumā, ja projekta iesniegumu iesniedz, izmantojot </w:t>
            </w:r>
            <w:r w:rsidRPr="008F504E">
              <w:rPr>
                <w:rFonts w:ascii="Times New Roman" w:hAnsi="Times New Roman" w:cs="Times New Roman"/>
                <w:sz w:val="24"/>
                <w:szCs w:val="24"/>
              </w:rPr>
              <w:t xml:space="preserve">MK </w:t>
            </w:r>
            <w:r w:rsidR="00C61015" w:rsidRPr="008F504E">
              <w:rPr>
                <w:rFonts w:ascii="Times New Roman" w:hAnsi="Times New Roman" w:cs="Times New Roman"/>
                <w:sz w:val="24"/>
                <w:szCs w:val="24"/>
              </w:rPr>
              <w:t>noteikumu 1. pielikumā paredzēto veidlapu, attiecīgi papildināta</w:t>
            </w:r>
            <w:r w:rsidR="00DE0CDF" w:rsidRPr="008F504E">
              <w:rPr>
                <w:rFonts w:ascii="Times New Roman" w:hAnsi="Times New Roman" w:cs="Times New Roman"/>
                <w:sz w:val="24"/>
                <w:szCs w:val="24"/>
              </w:rPr>
              <w:t xml:space="preserve"> MK noteikumu</w:t>
            </w:r>
            <w:r w:rsidR="00C61015" w:rsidRPr="008F504E">
              <w:rPr>
                <w:rFonts w:ascii="Times New Roman" w:hAnsi="Times New Roman" w:cs="Times New Roman"/>
                <w:sz w:val="24"/>
                <w:szCs w:val="24"/>
              </w:rPr>
              <w:t xml:space="preserve"> 1. pielikuma otrā tabula minētās informācijas norādīšanai.</w:t>
            </w:r>
          </w:p>
          <w:p w14:paraId="2CED5829" w14:textId="77777777" w:rsidR="00E04A69" w:rsidRPr="008F504E" w:rsidRDefault="00E04A69" w:rsidP="00E04A69">
            <w:pPr>
              <w:pStyle w:val="ListParagraph"/>
              <w:tabs>
                <w:tab w:val="left" w:pos="993"/>
              </w:tabs>
              <w:spacing w:after="0" w:line="240" w:lineRule="auto"/>
              <w:ind w:left="0"/>
              <w:contextualSpacing w:val="0"/>
              <w:rPr>
                <w:rFonts w:ascii="Times New Roman" w:hAnsi="Times New Roman" w:cs="Times New Roman"/>
                <w:sz w:val="24"/>
                <w:szCs w:val="24"/>
              </w:rPr>
            </w:pPr>
          </w:p>
          <w:p w14:paraId="5E8A5287" w14:textId="540EEF2F" w:rsidR="00A018E6" w:rsidRPr="008F504E" w:rsidRDefault="00C80CE2" w:rsidP="00C80CE2">
            <w:pPr>
              <w:pStyle w:val="ListParagraph"/>
              <w:tabs>
                <w:tab w:val="left" w:pos="993"/>
              </w:tabs>
              <w:spacing w:after="0" w:line="240" w:lineRule="auto"/>
              <w:ind w:left="0"/>
              <w:contextualSpacing w:val="0"/>
              <w:jc w:val="both"/>
              <w:rPr>
                <w:rFonts w:ascii="Times New Roman" w:hAnsi="Times New Roman" w:cs="Times New Roman"/>
                <w:sz w:val="24"/>
                <w:szCs w:val="24"/>
              </w:rPr>
            </w:pPr>
            <w:r w:rsidRPr="008F504E">
              <w:rPr>
                <w:rFonts w:ascii="Times New Roman" w:hAnsi="Times New Roman" w:cs="Times New Roman"/>
                <w:sz w:val="24"/>
                <w:szCs w:val="24"/>
              </w:rPr>
              <w:t>Lai precizētu projektu konkursa iesniegumu vērtēšanas kārtību, MK noteikum</w:t>
            </w:r>
            <w:r w:rsidR="004B1D54" w:rsidRPr="008F504E">
              <w:rPr>
                <w:rFonts w:ascii="Times New Roman" w:hAnsi="Times New Roman" w:cs="Times New Roman"/>
                <w:sz w:val="24"/>
                <w:szCs w:val="24"/>
              </w:rPr>
              <w:t>i</w:t>
            </w:r>
            <w:r w:rsidRPr="008F504E">
              <w:rPr>
                <w:rFonts w:ascii="Times New Roman" w:hAnsi="Times New Roman" w:cs="Times New Roman"/>
                <w:sz w:val="24"/>
                <w:szCs w:val="24"/>
              </w:rPr>
              <w:t xml:space="preserve"> papildināt</w:t>
            </w:r>
            <w:r w:rsidR="004B1D54" w:rsidRPr="008F504E">
              <w:rPr>
                <w:rFonts w:ascii="Times New Roman" w:hAnsi="Times New Roman" w:cs="Times New Roman"/>
                <w:sz w:val="24"/>
                <w:szCs w:val="24"/>
              </w:rPr>
              <w:t>i</w:t>
            </w:r>
            <w:r w:rsidRPr="008F504E">
              <w:rPr>
                <w:rFonts w:ascii="Times New Roman" w:hAnsi="Times New Roman" w:cs="Times New Roman"/>
                <w:sz w:val="24"/>
                <w:szCs w:val="24"/>
              </w:rPr>
              <w:t xml:space="preserve"> ar jaunu punktu (2</w:t>
            </w:r>
            <w:r w:rsidR="00F32F67" w:rsidRPr="008F504E">
              <w:rPr>
                <w:rFonts w:ascii="Times New Roman" w:hAnsi="Times New Roman" w:cs="Times New Roman"/>
                <w:sz w:val="24"/>
                <w:szCs w:val="24"/>
              </w:rPr>
              <w:t>3</w:t>
            </w:r>
            <w:r w:rsidRPr="008F504E">
              <w:rPr>
                <w:rFonts w:ascii="Times New Roman" w:hAnsi="Times New Roman" w:cs="Times New Roman"/>
                <w:sz w:val="24"/>
                <w:szCs w:val="24"/>
              </w:rPr>
              <w:t xml:space="preserve">.) par AM kā atbalsta sniedzēja veiktu iesnieguma atbilstības </w:t>
            </w:r>
            <w:proofErr w:type="spellStart"/>
            <w:r w:rsidRPr="008F504E">
              <w:rPr>
                <w:rFonts w:ascii="Times New Roman" w:hAnsi="Times New Roman" w:cs="Times New Roman"/>
                <w:i/>
                <w:sz w:val="24"/>
                <w:szCs w:val="24"/>
              </w:rPr>
              <w:t>de</w:t>
            </w:r>
            <w:proofErr w:type="spellEnd"/>
            <w:r w:rsidRPr="008F504E">
              <w:rPr>
                <w:rFonts w:ascii="Times New Roman" w:hAnsi="Times New Roman" w:cs="Times New Roman"/>
                <w:i/>
                <w:sz w:val="24"/>
                <w:szCs w:val="24"/>
              </w:rPr>
              <w:t xml:space="preserve"> </w:t>
            </w:r>
            <w:proofErr w:type="spellStart"/>
            <w:r w:rsidRPr="008F504E">
              <w:rPr>
                <w:rFonts w:ascii="Times New Roman" w:hAnsi="Times New Roman" w:cs="Times New Roman"/>
                <w:i/>
                <w:sz w:val="24"/>
                <w:szCs w:val="24"/>
              </w:rPr>
              <w:t>minimis</w:t>
            </w:r>
            <w:proofErr w:type="spellEnd"/>
            <w:r w:rsidRPr="008F504E">
              <w:rPr>
                <w:rFonts w:ascii="Times New Roman" w:hAnsi="Times New Roman" w:cs="Times New Roman"/>
                <w:sz w:val="24"/>
                <w:szCs w:val="24"/>
              </w:rPr>
              <w:t xml:space="preserve"> </w:t>
            </w:r>
            <w:r w:rsidR="00F32F67" w:rsidRPr="008F504E">
              <w:rPr>
                <w:rFonts w:ascii="Times New Roman" w:hAnsi="Times New Roman" w:cs="Times New Roman"/>
                <w:sz w:val="24"/>
                <w:szCs w:val="24"/>
              </w:rPr>
              <w:t xml:space="preserve">robežvērtības un </w:t>
            </w:r>
            <w:r w:rsidRPr="008F504E">
              <w:rPr>
                <w:rFonts w:ascii="Times New Roman" w:hAnsi="Times New Roman" w:cs="Times New Roman"/>
                <w:sz w:val="24"/>
                <w:szCs w:val="24"/>
              </w:rPr>
              <w:t xml:space="preserve">kumulācijas nosacījumiem izvērtējumu. </w:t>
            </w:r>
          </w:p>
          <w:p w14:paraId="116C9569" w14:textId="77777777" w:rsidR="00C80CE2" w:rsidRPr="008F504E" w:rsidRDefault="00C80CE2" w:rsidP="00C80CE2">
            <w:pPr>
              <w:pStyle w:val="ListParagraph"/>
              <w:tabs>
                <w:tab w:val="left" w:pos="993"/>
              </w:tabs>
              <w:spacing w:after="0" w:line="240" w:lineRule="auto"/>
              <w:ind w:left="0"/>
              <w:contextualSpacing w:val="0"/>
              <w:jc w:val="both"/>
              <w:rPr>
                <w:rFonts w:ascii="Times New Roman" w:hAnsi="Times New Roman" w:cs="Times New Roman"/>
                <w:sz w:val="24"/>
                <w:szCs w:val="24"/>
              </w:rPr>
            </w:pPr>
          </w:p>
          <w:p w14:paraId="6FC9E172" w14:textId="77777777" w:rsidR="00E04A69" w:rsidRPr="008F504E" w:rsidRDefault="00E04A69" w:rsidP="00E04A69">
            <w:pPr>
              <w:pStyle w:val="ListParagraph"/>
              <w:tabs>
                <w:tab w:val="left" w:pos="993"/>
              </w:tabs>
              <w:spacing w:after="0" w:line="240" w:lineRule="auto"/>
              <w:ind w:left="0"/>
              <w:contextualSpacing w:val="0"/>
              <w:jc w:val="both"/>
              <w:rPr>
                <w:rFonts w:ascii="Times New Roman" w:hAnsi="Times New Roman" w:cs="Times New Roman"/>
                <w:sz w:val="24"/>
                <w:szCs w:val="24"/>
              </w:rPr>
            </w:pPr>
            <w:r w:rsidRPr="008F504E">
              <w:rPr>
                <w:rFonts w:ascii="Times New Roman" w:hAnsi="Times New Roman" w:cs="Times New Roman"/>
                <w:sz w:val="24"/>
                <w:szCs w:val="24"/>
              </w:rPr>
              <w:t xml:space="preserve">MK noteikumu projekts ietver vienu tehnisku labojumu </w:t>
            </w:r>
          </w:p>
          <w:p w14:paraId="2EDAB732" w14:textId="12DAA392" w:rsidR="00E04A69" w:rsidRPr="008F504E" w:rsidRDefault="00E04A69" w:rsidP="00E04A69">
            <w:pPr>
              <w:pStyle w:val="ListParagraph"/>
              <w:tabs>
                <w:tab w:val="left" w:pos="993"/>
              </w:tabs>
              <w:spacing w:after="0" w:line="240" w:lineRule="auto"/>
              <w:ind w:left="0"/>
              <w:contextualSpacing w:val="0"/>
              <w:jc w:val="both"/>
              <w:rPr>
                <w:rFonts w:ascii="Times New Roman" w:hAnsi="Times New Roman" w:cs="Times New Roman"/>
                <w:sz w:val="24"/>
                <w:szCs w:val="24"/>
              </w:rPr>
            </w:pPr>
            <w:r w:rsidRPr="008F504E">
              <w:rPr>
                <w:rFonts w:ascii="Times New Roman" w:hAnsi="Times New Roman" w:cs="Times New Roman"/>
                <w:sz w:val="24"/>
                <w:szCs w:val="24"/>
              </w:rPr>
              <w:t>MK noteikumu 2</w:t>
            </w:r>
            <w:r w:rsidR="00B07EA1" w:rsidRPr="008F504E">
              <w:rPr>
                <w:rFonts w:ascii="Times New Roman" w:hAnsi="Times New Roman" w:cs="Times New Roman"/>
                <w:sz w:val="24"/>
                <w:szCs w:val="24"/>
              </w:rPr>
              <w:t>7</w:t>
            </w:r>
            <w:r w:rsidRPr="008F504E">
              <w:rPr>
                <w:rFonts w:ascii="Times New Roman" w:hAnsi="Times New Roman" w:cs="Times New Roman"/>
                <w:sz w:val="24"/>
                <w:szCs w:val="24"/>
              </w:rPr>
              <w:t xml:space="preserve">. punktā, jo </w:t>
            </w:r>
            <w:r w:rsidR="00CD32EC" w:rsidRPr="008F504E">
              <w:rPr>
                <w:rFonts w:ascii="Times New Roman" w:hAnsi="Times New Roman" w:cs="Times New Roman"/>
                <w:sz w:val="24"/>
                <w:szCs w:val="24"/>
              </w:rPr>
              <w:t>agrāk</w:t>
            </w:r>
            <w:r w:rsidRPr="008F504E">
              <w:rPr>
                <w:rFonts w:ascii="Times New Roman" w:hAnsi="Times New Roman" w:cs="Times New Roman"/>
                <w:sz w:val="24"/>
                <w:szCs w:val="24"/>
              </w:rPr>
              <w:t>ā redakcija</w:t>
            </w:r>
            <w:r w:rsidR="00B07EA1" w:rsidRPr="008F504E">
              <w:rPr>
                <w:rFonts w:ascii="Times New Roman" w:hAnsi="Times New Roman" w:cs="Times New Roman"/>
                <w:sz w:val="24"/>
                <w:szCs w:val="24"/>
              </w:rPr>
              <w:t xml:space="preserve"> (26. punkts)</w:t>
            </w:r>
            <w:r w:rsidRPr="008F504E">
              <w:rPr>
                <w:rFonts w:ascii="Times New Roman" w:hAnsi="Times New Roman" w:cs="Times New Roman"/>
                <w:sz w:val="24"/>
                <w:szCs w:val="24"/>
              </w:rPr>
              <w:t xml:space="preserve"> satur atsauci uz nepareizu MK noteikumu punktu.</w:t>
            </w:r>
          </w:p>
          <w:p w14:paraId="3B1993AD" w14:textId="5F4328E4" w:rsidR="00A018E6" w:rsidRPr="008F504E" w:rsidRDefault="00A018E6" w:rsidP="00E04A69">
            <w:pPr>
              <w:pStyle w:val="ListParagraph"/>
              <w:tabs>
                <w:tab w:val="left" w:pos="993"/>
              </w:tabs>
              <w:spacing w:after="0" w:line="240" w:lineRule="auto"/>
              <w:ind w:left="0"/>
              <w:contextualSpacing w:val="0"/>
              <w:jc w:val="both"/>
              <w:rPr>
                <w:rFonts w:ascii="Times New Roman" w:hAnsi="Times New Roman" w:cs="Times New Roman"/>
                <w:sz w:val="24"/>
                <w:szCs w:val="24"/>
              </w:rPr>
            </w:pPr>
          </w:p>
          <w:p w14:paraId="2F03E30F" w14:textId="5F321631" w:rsidR="00A018E6" w:rsidRPr="008F504E" w:rsidRDefault="00A018E6" w:rsidP="00A018E6">
            <w:pPr>
              <w:pStyle w:val="ListParagraph"/>
              <w:tabs>
                <w:tab w:val="left" w:pos="993"/>
              </w:tabs>
              <w:spacing w:after="0" w:line="240" w:lineRule="auto"/>
              <w:ind w:left="0"/>
              <w:contextualSpacing w:val="0"/>
              <w:jc w:val="both"/>
              <w:rPr>
                <w:rFonts w:ascii="Times New Roman" w:hAnsi="Times New Roman" w:cs="Times New Roman"/>
                <w:sz w:val="24"/>
                <w:szCs w:val="24"/>
              </w:rPr>
            </w:pPr>
            <w:r w:rsidRPr="008F504E">
              <w:rPr>
                <w:rFonts w:ascii="Times New Roman" w:hAnsi="Times New Roman" w:cs="Times New Roman"/>
                <w:sz w:val="24"/>
                <w:szCs w:val="24"/>
              </w:rPr>
              <w:t>MK noteikumi papildināti ar jaunu punktu (2</w:t>
            </w:r>
            <w:r w:rsidR="00B07EA1" w:rsidRPr="008F504E">
              <w:rPr>
                <w:rFonts w:ascii="Times New Roman" w:hAnsi="Times New Roman" w:cs="Times New Roman"/>
                <w:sz w:val="24"/>
                <w:szCs w:val="24"/>
              </w:rPr>
              <w:t>8</w:t>
            </w:r>
            <w:r w:rsidRPr="008F504E">
              <w:rPr>
                <w:rFonts w:ascii="Times New Roman" w:hAnsi="Times New Roman" w:cs="Times New Roman"/>
                <w:sz w:val="24"/>
                <w:szCs w:val="24"/>
              </w:rPr>
              <w:t>.), kas pared</w:t>
            </w:r>
            <w:r w:rsidR="00B07EA1" w:rsidRPr="008F504E">
              <w:rPr>
                <w:rFonts w:ascii="Times New Roman" w:hAnsi="Times New Roman" w:cs="Times New Roman"/>
                <w:sz w:val="24"/>
                <w:szCs w:val="24"/>
              </w:rPr>
              <w:t>z</w:t>
            </w:r>
            <w:r w:rsidRPr="008F504E">
              <w:rPr>
                <w:rFonts w:ascii="Times New Roman" w:hAnsi="Times New Roman" w:cs="Times New Roman"/>
                <w:sz w:val="24"/>
                <w:szCs w:val="24"/>
              </w:rPr>
              <w:t xml:space="preserve"> AM tiesības</w:t>
            </w:r>
            <w:r w:rsidR="00B07EA1" w:rsidRPr="008F504E">
              <w:rPr>
                <w:rFonts w:ascii="Times New Roman" w:hAnsi="Times New Roman" w:cs="Times New Roman"/>
                <w:sz w:val="24"/>
                <w:szCs w:val="24"/>
              </w:rPr>
              <w:t xml:space="preserve"> </w:t>
            </w:r>
            <w:r w:rsidRPr="008F504E">
              <w:rPr>
                <w:rFonts w:ascii="Times New Roman" w:hAnsi="Times New Roman" w:cs="Times New Roman"/>
                <w:sz w:val="24"/>
                <w:szCs w:val="24"/>
              </w:rPr>
              <w:t xml:space="preserve">piešķirt </w:t>
            </w:r>
            <w:r w:rsidR="00B07EA1" w:rsidRPr="008F504E">
              <w:rPr>
                <w:rFonts w:ascii="Times New Roman" w:hAnsi="Times New Roman" w:cs="Times New Roman"/>
                <w:sz w:val="24"/>
                <w:szCs w:val="24"/>
              </w:rPr>
              <w:t xml:space="preserve">projekta iesniedzējam </w:t>
            </w:r>
            <w:r w:rsidRPr="008F504E">
              <w:rPr>
                <w:rFonts w:ascii="Times New Roman" w:hAnsi="Times New Roman" w:cs="Times New Roman"/>
                <w:sz w:val="24"/>
                <w:szCs w:val="24"/>
              </w:rPr>
              <w:t>tād</w:t>
            </w:r>
            <w:r w:rsidR="00B07EA1" w:rsidRPr="008F504E">
              <w:rPr>
                <w:rFonts w:ascii="Times New Roman" w:hAnsi="Times New Roman" w:cs="Times New Roman"/>
                <w:sz w:val="24"/>
                <w:szCs w:val="24"/>
              </w:rPr>
              <w:t>u</w:t>
            </w:r>
            <w:r w:rsidRPr="008F504E">
              <w:rPr>
                <w:rFonts w:ascii="Times New Roman" w:hAnsi="Times New Roman" w:cs="Times New Roman"/>
                <w:sz w:val="24"/>
                <w:szCs w:val="24"/>
              </w:rPr>
              <w:t xml:space="preserve"> atbalsta summ</w:t>
            </w:r>
            <w:r w:rsidR="00B07EA1" w:rsidRPr="008F504E">
              <w:rPr>
                <w:rFonts w:ascii="Times New Roman" w:hAnsi="Times New Roman" w:cs="Times New Roman"/>
                <w:sz w:val="24"/>
                <w:szCs w:val="24"/>
              </w:rPr>
              <w:t>u</w:t>
            </w:r>
            <w:r w:rsidRPr="008F504E">
              <w:rPr>
                <w:rFonts w:ascii="Times New Roman" w:hAnsi="Times New Roman" w:cs="Times New Roman"/>
                <w:sz w:val="24"/>
                <w:szCs w:val="24"/>
              </w:rPr>
              <w:t xml:space="preserve">, kas ir mazāka nekā projekta </w:t>
            </w:r>
            <w:r w:rsidRPr="008F504E">
              <w:rPr>
                <w:rFonts w:ascii="Times New Roman" w:hAnsi="Times New Roman" w:cs="Times New Roman"/>
                <w:sz w:val="24"/>
                <w:szCs w:val="24"/>
              </w:rPr>
              <w:lastRenderedPageBreak/>
              <w:t xml:space="preserve">iesniegumā norādītā, </w:t>
            </w:r>
            <w:r w:rsidR="00B07EA1" w:rsidRPr="008F504E">
              <w:rPr>
                <w:rFonts w:ascii="Times New Roman" w:hAnsi="Times New Roman" w:cs="Times New Roman"/>
                <w:sz w:val="24"/>
                <w:szCs w:val="24"/>
              </w:rPr>
              <w:t xml:space="preserve">ja ar projekta iesniegumā norādīto (pieprasīto) atbalsta summu tiktu pārkāpts </w:t>
            </w:r>
            <w:proofErr w:type="spellStart"/>
            <w:r w:rsidR="00B07EA1" w:rsidRPr="008F504E">
              <w:rPr>
                <w:rFonts w:ascii="Times New Roman" w:hAnsi="Times New Roman" w:cs="Times New Roman"/>
                <w:i/>
                <w:sz w:val="24"/>
                <w:szCs w:val="24"/>
              </w:rPr>
              <w:t>de</w:t>
            </w:r>
            <w:proofErr w:type="spellEnd"/>
            <w:r w:rsidR="00B07EA1" w:rsidRPr="008F504E">
              <w:rPr>
                <w:rFonts w:ascii="Times New Roman" w:hAnsi="Times New Roman" w:cs="Times New Roman"/>
                <w:i/>
                <w:sz w:val="24"/>
                <w:szCs w:val="24"/>
              </w:rPr>
              <w:t xml:space="preserve"> </w:t>
            </w:r>
            <w:proofErr w:type="spellStart"/>
            <w:r w:rsidR="00B07EA1" w:rsidRPr="008F504E">
              <w:rPr>
                <w:rFonts w:ascii="Times New Roman" w:hAnsi="Times New Roman" w:cs="Times New Roman"/>
                <w:i/>
                <w:sz w:val="24"/>
                <w:szCs w:val="24"/>
              </w:rPr>
              <w:t>minimis</w:t>
            </w:r>
            <w:proofErr w:type="spellEnd"/>
            <w:r w:rsidR="00B07EA1" w:rsidRPr="008F504E">
              <w:rPr>
                <w:rFonts w:ascii="Times New Roman" w:hAnsi="Times New Roman" w:cs="Times New Roman"/>
                <w:sz w:val="24"/>
                <w:szCs w:val="24"/>
              </w:rPr>
              <w:t xml:space="preserve"> atbalsta robežlielums. </w:t>
            </w:r>
            <w:r w:rsidR="00CE35F3" w:rsidRPr="008F504E">
              <w:rPr>
                <w:rFonts w:ascii="Times New Roman" w:hAnsi="Times New Roman" w:cs="Times New Roman"/>
                <w:sz w:val="24"/>
                <w:szCs w:val="24"/>
              </w:rPr>
              <w:t>Turklāt, ņemot vērā Eiropas Savienības Tiesas judikatūru (2020. gada 28. oktobra sprieduma Lietā C 608/19 45. apsvērums), norma papildināta ar</w:t>
            </w:r>
            <w:r w:rsidRPr="008F504E">
              <w:rPr>
                <w:rFonts w:ascii="Times New Roman" w:hAnsi="Times New Roman" w:cs="Times New Roman"/>
                <w:sz w:val="24"/>
                <w:szCs w:val="24"/>
              </w:rPr>
              <w:t xml:space="preserve"> nosacījumu par </w:t>
            </w:r>
            <w:r w:rsidR="00A85A4E" w:rsidRPr="008F504E">
              <w:rPr>
                <w:rFonts w:ascii="Times New Roman" w:hAnsi="Times New Roman" w:cs="Times New Roman"/>
                <w:sz w:val="24"/>
                <w:szCs w:val="24"/>
              </w:rPr>
              <w:t xml:space="preserve">nepieciešamību šādā gadījumā labot </w:t>
            </w:r>
            <w:r w:rsidRPr="008F504E">
              <w:rPr>
                <w:rFonts w:ascii="Times New Roman" w:hAnsi="Times New Roman" w:cs="Times New Roman"/>
                <w:sz w:val="24"/>
                <w:szCs w:val="24"/>
              </w:rPr>
              <w:t>projekta iesniegum</w:t>
            </w:r>
            <w:r w:rsidR="00A85A4E" w:rsidRPr="008F504E">
              <w:rPr>
                <w:rFonts w:ascii="Times New Roman" w:hAnsi="Times New Roman" w:cs="Times New Roman"/>
                <w:sz w:val="24"/>
                <w:szCs w:val="24"/>
              </w:rPr>
              <w:t>u</w:t>
            </w:r>
            <w:r w:rsidRPr="008F504E">
              <w:rPr>
                <w:rFonts w:ascii="Times New Roman" w:hAnsi="Times New Roman" w:cs="Times New Roman"/>
                <w:sz w:val="24"/>
                <w:szCs w:val="24"/>
              </w:rPr>
              <w:t>.</w:t>
            </w:r>
          </w:p>
          <w:p w14:paraId="3E5C0CD1" w14:textId="77777777" w:rsidR="00E04A69" w:rsidRPr="008F504E" w:rsidRDefault="00E04A69" w:rsidP="00E04A69">
            <w:pPr>
              <w:pStyle w:val="ListParagraph"/>
              <w:tabs>
                <w:tab w:val="left" w:pos="993"/>
              </w:tabs>
              <w:spacing w:after="0" w:line="240" w:lineRule="auto"/>
              <w:ind w:left="0"/>
              <w:contextualSpacing w:val="0"/>
              <w:jc w:val="both"/>
              <w:rPr>
                <w:rFonts w:ascii="Times New Roman" w:hAnsi="Times New Roman" w:cs="Times New Roman"/>
                <w:sz w:val="24"/>
                <w:szCs w:val="24"/>
              </w:rPr>
            </w:pPr>
          </w:p>
          <w:p w14:paraId="1FB99573" w14:textId="305A4A10" w:rsidR="00DE328B" w:rsidRPr="008F504E" w:rsidRDefault="00EE5472" w:rsidP="007C02CF">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 xml:space="preserve">Saskaņā ar </w:t>
            </w:r>
            <w:r w:rsidR="006A4DBD" w:rsidRPr="008F504E">
              <w:rPr>
                <w:rFonts w:ascii="Times New Roman" w:hAnsi="Times New Roman" w:cs="Times New Roman"/>
                <w:sz w:val="24"/>
                <w:szCs w:val="24"/>
              </w:rPr>
              <w:t xml:space="preserve">MK </w:t>
            </w:r>
            <w:r w:rsidRPr="008F504E">
              <w:rPr>
                <w:rFonts w:ascii="Times New Roman" w:hAnsi="Times New Roman" w:cs="Times New Roman"/>
                <w:sz w:val="24"/>
                <w:szCs w:val="24"/>
              </w:rPr>
              <w:t xml:space="preserve">noteikumu </w:t>
            </w:r>
            <w:r w:rsidR="00B15D62" w:rsidRPr="008F504E">
              <w:rPr>
                <w:rFonts w:ascii="Times New Roman" w:hAnsi="Times New Roman" w:cs="Times New Roman"/>
                <w:sz w:val="24"/>
                <w:szCs w:val="24"/>
              </w:rPr>
              <w:t>33</w:t>
            </w:r>
            <w:r w:rsidRPr="008F504E">
              <w:rPr>
                <w:rFonts w:ascii="Times New Roman" w:hAnsi="Times New Roman" w:cs="Times New Roman"/>
                <w:sz w:val="24"/>
                <w:szCs w:val="24"/>
              </w:rPr>
              <w:t xml:space="preserve">. punktu </w:t>
            </w:r>
            <w:r w:rsidR="00B15D62" w:rsidRPr="008F504E">
              <w:rPr>
                <w:rFonts w:ascii="Times New Roman" w:hAnsi="Times New Roman" w:cs="Times New Roman"/>
                <w:sz w:val="24"/>
                <w:szCs w:val="24"/>
              </w:rPr>
              <w:t>AM lēmumu par atbalsta piešķiršanu</w:t>
            </w:r>
            <w:r w:rsidR="001D3CC0" w:rsidRPr="008F504E">
              <w:rPr>
                <w:rFonts w:ascii="Times New Roman" w:hAnsi="Times New Roman" w:cs="Times New Roman"/>
                <w:sz w:val="24"/>
                <w:szCs w:val="24"/>
              </w:rPr>
              <w:t>,</w:t>
            </w:r>
            <w:r w:rsidR="00B15D62" w:rsidRPr="008F504E">
              <w:rPr>
                <w:rFonts w:ascii="Times New Roman" w:hAnsi="Times New Roman" w:cs="Times New Roman"/>
                <w:sz w:val="24"/>
                <w:szCs w:val="24"/>
              </w:rPr>
              <w:t xml:space="preserve"> vai atteikumu piešķirt atbalstu pieņem mēneša laikā no iesnieguma saņemšanas dienas. Norādām, ka atsevišķu projekta iesniedzējam noteikto prasību pārbaude (piemēram, atzinuma saņemšana no Militārās izlūkošanas un drošības dienesta, jo īpaši</w:t>
            </w:r>
            <w:r w:rsidR="001D3CC0" w:rsidRPr="008F504E">
              <w:rPr>
                <w:rFonts w:ascii="Times New Roman" w:hAnsi="Times New Roman" w:cs="Times New Roman"/>
                <w:sz w:val="24"/>
                <w:szCs w:val="24"/>
              </w:rPr>
              <w:t>, ja</w:t>
            </w:r>
            <w:r w:rsidR="00B15D62" w:rsidRPr="008F504E">
              <w:rPr>
                <w:rFonts w:ascii="Times New Roman" w:hAnsi="Times New Roman" w:cs="Times New Roman"/>
                <w:sz w:val="24"/>
                <w:szCs w:val="24"/>
              </w:rPr>
              <w:t xml:space="preserve"> projekta iesniedzējs</w:t>
            </w:r>
            <w:r w:rsidR="0069566A" w:rsidRPr="008F504E">
              <w:rPr>
                <w:rFonts w:ascii="Times New Roman" w:hAnsi="Times New Roman" w:cs="Times New Roman"/>
                <w:sz w:val="24"/>
                <w:szCs w:val="24"/>
              </w:rPr>
              <w:t>,</w:t>
            </w:r>
            <w:r w:rsidR="00B15D62" w:rsidRPr="008F504E">
              <w:rPr>
                <w:rFonts w:ascii="Times New Roman" w:hAnsi="Times New Roman" w:cs="Times New Roman"/>
                <w:sz w:val="24"/>
                <w:szCs w:val="24"/>
              </w:rPr>
              <w:t xml:space="preserve"> tā valdes vai padomes locekļi vai dalībnieki nav Latvijas rezidenti) var aizņemt ilgāku laiku, turklāt </w:t>
            </w:r>
            <w:r w:rsidR="0069566A" w:rsidRPr="008F504E">
              <w:rPr>
                <w:rFonts w:ascii="Times New Roman" w:hAnsi="Times New Roman" w:cs="Times New Roman"/>
                <w:sz w:val="24"/>
                <w:szCs w:val="24"/>
              </w:rPr>
              <w:t>ar katru gadu AM saņem arvien vairāk projektu iesniegumu (no 10 pirmajā uzsaukumā līdz 31 projektam trešajā uzsaukumā), kā dēļ veikt nepieciešamo prasību pārbaudi un kvalitatīvu iesniegto projektu izvērtējumu, kurā piedalās ne tikai AM, bet arī citu struktūru speciālisti, noteiktajā viena mēneša periodā</w:t>
            </w:r>
            <w:r w:rsidR="00FA7BD3" w:rsidRPr="008F504E">
              <w:rPr>
                <w:rFonts w:ascii="Times New Roman" w:hAnsi="Times New Roman" w:cs="Times New Roman"/>
                <w:sz w:val="24"/>
                <w:szCs w:val="24"/>
              </w:rPr>
              <w:t xml:space="preserve"> </w:t>
            </w:r>
            <w:r w:rsidR="0069566A" w:rsidRPr="008F504E">
              <w:rPr>
                <w:rFonts w:ascii="Times New Roman" w:hAnsi="Times New Roman" w:cs="Times New Roman"/>
                <w:sz w:val="24"/>
                <w:szCs w:val="24"/>
              </w:rPr>
              <w:t xml:space="preserve">ir praktiski neiespējami. Bet, galvenais, </w:t>
            </w:r>
            <w:r w:rsidR="00FA7BD3" w:rsidRPr="008F504E">
              <w:rPr>
                <w:rFonts w:ascii="Times New Roman" w:hAnsi="Times New Roman" w:cs="Times New Roman"/>
                <w:sz w:val="24"/>
                <w:szCs w:val="24"/>
              </w:rPr>
              <w:t>iepriekšējā</w:t>
            </w:r>
            <w:r w:rsidR="00B15D62" w:rsidRPr="008F504E">
              <w:rPr>
                <w:rFonts w:ascii="Times New Roman" w:hAnsi="Times New Roman" w:cs="Times New Roman"/>
                <w:sz w:val="24"/>
                <w:szCs w:val="24"/>
              </w:rPr>
              <w:t xml:space="preserve"> regulējum</w:t>
            </w:r>
            <w:r w:rsidR="00FA7BD3" w:rsidRPr="008F504E">
              <w:rPr>
                <w:rFonts w:ascii="Times New Roman" w:hAnsi="Times New Roman" w:cs="Times New Roman"/>
                <w:sz w:val="24"/>
                <w:szCs w:val="24"/>
              </w:rPr>
              <w:t>a redakcija</w:t>
            </w:r>
            <w:r w:rsidR="00B15D62" w:rsidRPr="008F504E">
              <w:rPr>
                <w:rFonts w:ascii="Times New Roman" w:hAnsi="Times New Roman" w:cs="Times New Roman"/>
                <w:sz w:val="24"/>
                <w:szCs w:val="24"/>
              </w:rPr>
              <w:t xml:space="preserve"> nozīmē nevienmērīgu lēmuma pieņemšanas procesu</w:t>
            </w:r>
            <w:r w:rsidR="0069566A" w:rsidRPr="008F504E">
              <w:rPr>
                <w:rFonts w:ascii="Times New Roman" w:hAnsi="Times New Roman" w:cs="Times New Roman"/>
                <w:sz w:val="24"/>
                <w:szCs w:val="24"/>
              </w:rPr>
              <w:t xml:space="preserve"> -</w:t>
            </w:r>
            <w:r w:rsidR="00B15D62" w:rsidRPr="008F504E">
              <w:rPr>
                <w:rFonts w:ascii="Times New Roman" w:hAnsi="Times New Roman" w:cs="Times New Roman"/>
                <w:sz w:val="24"/>
                <w:szCs w:val="24"/>
              </w:rPr>
              <w:t xml:space="preserve"> AM projektu iesniegum</w:t>
            </w:r>
            <w:r w:rsidR="00F27C17" w:rsidRPr="008F504E">
              <w:rPr>
                <w:rFonts w:ascii="Times New Roman" w:hAnsi="Times New Roman" w:cs="Times New Roman"/>
                <w:sz w:val="24"/>
                <w:szCs w:val="24"/>
              </w:rPr>
              <w:t>u</w:t>
            </w:r>
            <w:r w:rsidR="00B15D62" w:rsidRPr="008F504E">
              <w:rPr>
                <w:rFonts w:ascii="Times New Roman" w:hAnsi="Times New Roman" w:cs="Times New Roman"/>
                <w:sz w:val="24"/>
                <w:szCs w:val="24"/>
              </w:rPr>
              <w:t>s saņem</w:t>
            </w:r>
            <w:r w:rsidR="0069566A" w:rsidRPr="008F504E">
              <w:rPr>
                <w:rFonts w:ascii="Times New Roman" w:hAnsi="Times New Roman" w:cs="Times New Roman"/>
                <w:sz w:val="24"/>
                <w:szCs w:val="24"/>
              </w:rPr>
              <w:t xml:space="preserve"> sākot no pirmās, līdz pat pēdējai projektu iesniegšanas termiņa dienai</w:t>
            </w:r>
            <w:r w:rsidR="00B15D62" w:rsidRPr="008F504E">
              <w:rPr>
                <w:rFonts w:ascii="Times New Roman" w:hAnsi="Times New Roman" w:cs="Times New Roman"/>
                <w:sz w:val="24"/>
                <w:szCs w:val="24"/>
              </w:rPr>
              <w:t xml:space="preserve"> </w:t>
            </w:r>
            <w:r w:rsidR="0069566A" w:rsidRPr="008F504E">
              <w:rPr>
                <w:rFonts w:ascii="Times New Roman" w:hAnsi="Times New Roman" w:cs="Times New Roman"/>
                <w:sz w:val="24"/>
                <w:szCs w:val="24"/>
              </w:rPr>
              <w:t>(kas ir vismaz</w:t>
            </w:r>
            <w:r w:rsidR="00B15D62" w:rsidRPr="008F504E">
              <w:rPr>
                <w:rFonts w:ascii="Times New Roman" w:hAnsi="Times New Roman" w:cs="Times New Roman"/>
                <w:sz w:val="24"/>
                <w:szCs w:val="24"/>
              </w:rPr>
              <w:t xml:space="preserve"> 30 dienu </w:t>
            </w:r>
            <w:r w:rsidR="0069566A" w:rsidRPr="008F504E">
              <w:rPr>
                <w:rFonts w:ascii="Times New Roman" w:hAnsi="Times New Roman" w:cs="Times New Roman"/>
                <w:sz w:val="24"/>
                <w:szCs w:val="24"/>
              </w:rPr>
              <w:t>ilgs periods).</w:t>
            </w:r>
            <w:r w:rsidR="00B15D62" w:rsidRPr="008F504E">
              <w:rPr>
                <w:rFonts w:ascii="Times New Roman" w:hAnsi="Times New Roman" w:cs="Times New Roman"/>
                <w:sz w:val="24"/>
                <w:szCs w:val="24"/>
              </w:rPr>
              <w:t xml:space="preserve"> Ņemot vērā minēto, </w:t>
            </w:r>
            <w:r w:rsidR="006A4DBD" w:rsidRPr="008F504E">
              <w:rPr>
                <w:rFonts w:ascii="Times New Roman" w:hAnsi="Times New Roman" w:cs="Times New Roman"/>
                <w:sz w:val="24"/>
                <w:szCs w:val="24"/>
              </w:rPr>
              <w:t>MK n</w:t>
            </w:r>
            <w:r w:rsidRPr="008F504E">
              <w:rPr>
                <w:rFonts w:ascii="Times New Roman" w:hAnsi="Times New Roman" w:cs="Times New Roman"/>
                <w:sz w:val="24"/>
                <w:szCs w:val="24"/>
              </w:rPr>
              <w:t>oteikumu p</w:t>
            </w:r>
            <w:r w:rsidR="00B15D62" w:rsidRPr="008F504E">
              <w:rPr>
                <w:rFonts w:ascii="Times New Roman" w:hAnsi="Times New Roman" w:cs="Times New Roman"/>
                <w:sz w:val="24"/>
                <w:szCs w:val="24"/>
              </w:rPr>
              <w:t>rojekts</w:t>
            </w:r>
            <w:r w:rsidR="00A85A4E" w:rsidRPr="008F504E">
              <w:rPr>
                <w:rFonts w:ascii="Times New Roman" w:hAnsi="Times New Roman" w:cs="Times New Roman"/>
                <w:sz w:val="24"/>
                <w:szCs w:val="24"/>
              </w:rPr>
              <w:t xml:space="preserve"> </w:t>
            </w:r>
            <w:r w:rsidR="008C71A4" w:rsidRPr="008F504E">
              <w:rPr>
                <w:rFonts w:ascii="Times New Roman" w:hAnsi="Times New Roman" w:cs="Times New Roman"/>
                <w:sz w:val="24"/>
                <w:szCs w:val="24"/>
              </w:rPr>
              <w:t>(35. punkts)</w:t>
            </w:r>
            <w:r w:rsidRPr="008F504E">
              <w:rPr>
                <w:rFonts w:ascii="Times New Roman" w:hAnsi="Times New Roman" w:cs="Times New Roman"/>
                <w:sz w:val="24"/>
                <w:szCs w:val="24"/>
              </w:rPr>
              <w:t xml:space="preserve"> paredz </w:t>
            </w:r>
            <w:r w:rsidR="0069566A" w:rsidRPr="008F504E">
              <w:rPr>
                <w:rFonts w:ascii="Times New Roman" w:hAnsi="Times New Roman" w:cs="Times New Roman"/>
                <w:sz w:val="24"/>
                <w:szCs w:val="24"/>
              </w:rPr>
              <w:t>pagarināt AM lēmuma pieņemšanai noteikto termiņu, turklāt t</w:t>
            </w:r>
            <w:r w:rsidR="00F27C17" w:rsidRPr="008F504E">
              <w:rPr>
                <w:rFonts w:ascii="Times New Roman" w:hAnsi="Times New Roman" w:cs="Times New Roman"/>
                <w:sz w:val="24"/>
                <w:szCs w:val="24"/>
              </w:rPr>
              <w:t>ā</w:t>
            </w:r>
            <w:r w:rsidR="0069566A" w:rsidRPr="008F504E">
              <w:rPr>
                <w:rFonts w:ascii="Times New Roman" w:hAnsi="Times New Roman" w:cs="Times New Roman"/>
                <w:sz w:val="24"/>
                <w:szCs w:val="24"/>
              </w:rPr>
              <w:t xml:space="preserve"> atskaiti sākot no projektu iesniegumu iesniegšanas termiņa beig</w:t>
            </w:r>
            <w:r w:rsidR="00F27C17" w:rsidRPr="008F504E">
              <w:rPr>
                <w:rFonts w:ascii="Times New Roman" w:hAnsi="Times New Roman" w:cs="Times New Roman"/>
                <w:sz w:val="24"/>
                <w:szCs w:val="24"/>
              </w:rPr>
              <w:t>ām</w:t>
            </w:r>
            <w:r w:rsidRPr="008F504E">
              <w:rPr>
                <w:rFonts w:ascii="Times New Roman" w:hAnsi="Times New Roman" w:cs="Times New Roman"/>
                <w:sz w:val="24"/>
                <w:szCs w:val="24"/>
              </w:rPr>
              <w:t>.</w:t>
            </w:r>
          </w:p>
          <w:p w14:paraId="6359A1EE" w14:textId="0266D256" w:rsidR="00AB7456" w:rsidRPr="008F504E" w:rsidRDefault="00AB7456" w:rsidP="007C02CF">
            <w:pPr>
              <w:spacing w:after="0" w:line="240" w:lineRule="auto"/>
              <w:jc w:val="both"/>
              <w:rPr>
                <w:rFonts w:ascii="Times New Roman" w:hAnsi="Times New Roman" w:cs="Times New Roman"/>
                <w:sz w:val="28"/>
                <w:szCs w:val="24"/>
              </w:rPr>
            </w:pPr>
            <w:r w:rsidRPr="008F504E">
              <w:rPr>
                <w:rFonts w:ascii="Times New Roman" w:hAnsi="Times New Roman" w:cs="Times New Roman"/>
                <w:sz w:val="24"/>
                <w:szCs w:val="24"/>
              </w:rPr>
              <w:t xml:space="preserve">Tāpat </w:t>
            </w:r>
            <w:r w:rsidR="00FB4689" w:rsidRPr="008F504E">
              <w:rPr>
                <w:rFonts w:ascii="Times New Roman" w:hAnsi="Times New Roman" w:cs="Times New Roman"/>
                <w:sz w:val="24"/>
                <w:szCs w:val="24"/>
              </w:rPr>
              <w:t>minētais punkts</w:t>
            </w:r>
            <w:r w:rsidRPr="008F504E">
              <w:rPr>
                <w:rFonts w:ascii="Times New Roman" w:hAnsi="Times New Roman" w:cs="Times New Roman"/>
                <w:sz w:val="24"/>
                <w:szCs w:val="24"/>
              </w:rPr>
              <w:t xml:space="preserve"> papildināts ar norādi uz AM pieņemto lēmumu kā atbalsta piešķiršanas brīdi, kā tas ir atbilstoši Komisijas regulas Nr.1407/2003 3. panta 4. daļā noteiktajam un kas ir būtisks ar </w:t>
            </w:r>
            <w:proofErr w:type="spellStart"/>
            <w:r w:rsidRPr="008F504E">
              <w:rPr>
                <w:rFonts w:ascii="Times New Roman" w:hAnsi="Times New Roman" w:cs="Times New Roman"/>
                <w:i/>
                <w:sz w:val="24"/>
                <w:szCs w:val="24"/>
              </w:rPr>
              <w:t>de</w:t>
            </w:r>
            <w:proofErr w:type="spellEnd"/>
            <w:r w:rsidRPr="008F504E">
              <w:rPr>
                <w:rFonts w:ascii="Times New Roman" w:hAnsi="Times New Roman" w:cs="Times New Roman"/>
                <w:i/>
                <w:sz w:val="24"/>
                <w:szCs w:val="24"/>
              </w:rPr>
              <w:t xml:space="preserve"> </w:t>
            </w:r>
            <w:proofErr w:type="spellStart"/>
            <w:r w:rsidRPr="008F504E">
              <w:rPr>
                <w:rFonts w:ascii="Times New Roman" w:hAnsi="Times New Roman" w:cs="Times New Roman"/>
                <w:i/>
                <w:sz w:val="24"/>
                <w:szCs w:val="24"/>
              </w:rPr>
              <w:t>minimis</w:t>
            </w:r>
            <w:proofErr w:type="spellEnd"/>
            <w:r w:rsidRPr="008F504E">
              <w:rPr>
                <w:rFonts w:ascii="Times New Roman" w:hAnsi="Times New Roman" w:cs="Times New Roman"/>
                <w:sz w:val="24"/>
                <w:szCs w:val="24"/>
              </w:rPr>
              <w:t xml:space="preserve"> atbalsta saņemšanu saistītās informācijas  glabāšanas termiņa noteikšanai atbilstoši Komisijas regulas Nr.  1407/2013 6. panta 4. punktam (MK noteikumu 39. punkts</w:t>
            </w:r>
            <w:r w:rsidR="00152084" w:rsidRPr="008F504E">
              <w:rPr>
                <w:rFonts w:ascii="Times New Roman" w:hAnsi="Times New Roman" w:cs="Times New Roman"/>
                <w:sz w:val="24"/>
                <w:szCs w:val="24"/>
              </w:rPr>
              <w:t xml:space="preserve"> (MK noteikumu projekta 42. punkts</w:t>
            </w:r>
            <w:r w:rsidRPr="008F504E">
              <w:rPr>
                <w:rFonts w:ascii="Times New Roman" w:hAnsi="Times New Roman" w:cs="Times New Roman"/>
                <w:sz w:val="24"/>
                <w:szCs w:val="24"/>
              </w:rPr>
              <w:t>)</w:t>
            </w:r>
            <w:r w:rsidR="009A5E2D" w:rsidRPr="008F504E">
              <w:rPr>
                <w:rFonts w:ascii="Times New Roman" w:hAnsi="Times New Roman" w:cs="Times New Roman"/>
                <w:sz w:val="24"/>
                <w:szCs w:val="24"/>
              </w:rPr>
              <w:t>)</w:t>
            </w:r>
            <w:r w:rsidRPr="008F504E">
              <w:rPr>
                <w:rFonts w:ascii="Times New Roman" w:hAnsi="Times New Roman" w:cs="Times New Roman"/>
                <w:sz w:val="24"/>
                <w:szCs w:val="24"/>
              </w:rPr>
              <w:t>.</w:t>
            </w:r>
          </w:p>
          <w:p w14:paraId="155873D5" w14:textId="77777777" w:rsidR="00DE328B" w:rsidRPr="008F504E" w:rsidRDefault="00DE328B" w:rsidP="007C02CF">
            <w:pPr>
              <w:spacing w:after="0" w:line="240" w:lineRule="auto"/>
              <w:jc w:val="both"/>
              <w:rPr>
                <w:rFonts w:ascii="Times New Roman" w:hAnsi="Times New Roman" w:cs="Times New Roman"/>
                <w:sz w:val="24"/>
                <w:szCs w:val="24"/>
              </w:rPr>
            </w:pPr>
          </w:p>
          <w:p w14:paraId="3C1CE19E" w14:textId="1896C780" w:rsidR="00DE328B" w:rsidRPr="008F504E" w:rsidRDefault="00D7707B" w:rsidP="007C02CF">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Tā kā MK noteikumi paredz kontroles pienākumu AM ne retāk kā reizi atbalsta periodā pārbaudot atbalsta saņēmēja atbilstību MK noteikumos minētajām prasībām, ņ</w:t>
            </w:r>
            <w:r w:rsidR="00FB4689" w:rsidRPr="008F504E">
              <w:rPr>
                <w:rFonts w:ascii="Times New Roman" w:hAnsi="Times New Roman" w:cs="Times New Roman"/>
                <w:sz w:val="24"/>
                <w:szCs w:val="24"/>
              </w:rPr>
              <w:t>emot vērā</w:t>
            </w:r>
            <w:r w:rsidRPr="008F504E">
              <w:rPr>
                <w:rFonts w:ascii="Times New Roman" w:hAnsi="Times New Roman" w:cs="Times New Roman"/>
                <w:sz w:val="24"/>
                <w:szCs w:val="24"/>
              </w:rPr>
              <w:t xml:space="preserve"> to</w:t>
            </w:r>
            <w:r w:rsidR="00FB4689" w:rsidRPr="008F504E">
              <w:rPr>
                <w:rFonts w:ascii="Times New Roman" w:hAnsi="Times New Roman" w:cs="Times New Roman"/>
                <w:sz w:val="24"/>
                <w:szCs w:val="24"/>
              </w:rPr>
              <w:t xml:space="preserve">, ka 2021. gada 8. jūnijā ir stājies spēkā 2021. gada 13. maija likums “Grozījumi Komercdarbības atbalsta kontroles likumā”, kura IV un V nodaļā ir ietverti nosacījumi nelikumīga un nesaderīga komercdarbības atbalsta atgūšanai, </w:t>
            </w:r>
            <w:r w:rsidR="006A4DBD" w:rsidRPr="008F504E">
              <w:rPr>
                <w:rFonts w:ascii="Times New Roman" w:hAnsi="Times New Roman" w:cs="Times New Roman"/>
                <w:sz w:val="24"/>
                <w:szCs w:val="24"/>
              </w:rPr>
              <w:t>MK n</w:t>
            </w:r>
            <w:r w:rsidR="00EE5472" w:rsidRPr="008F504E">
              <w:rPr>
                <w:rFonts w:ascii="Times New Roman" w:hAnsi="Times New Roman" w:cs="Times New Roman"/>
                <w:sz w:val="24"/>
                <w:szCs w:val="24"/>
              </w:rPr>
              <w:t>oteikum</w:t>
            </w:r>
            <w:r w:rsidR="00FB4689" w:rsidRPr="008F504E">
              <w:rPr>
                <w:rFonts w:ascii="Times New Roman" w:hAnsi="Times New Roman" w:cs="Times New Roman"/>
                <w:sz w:val="24"/>
                <w:szCs w:val="24"/>
              </w:rPr>
              <w:t xml:space="preserve">i </w:t>
            </w:r>
            <w:r w:rsidR="00460F73" w:rsidRPr="008F504E">
              <w:rPr>
                <w:rFonts w:ascii="Times New Roman" w:hAnsi="Times New Roman" w:cs="Times New Roman"/>
                <w:sz w:val="24"/>
                <w:szCs w:val="24"/>
              </w:rPr>
              <w:t>papildināt</w:t>
            </w:r>
            <w:r w:rsidR="00FB4689" w:rsidRPr="008F504E">
              <w:rPr>
                <w:rFonts w:ascii="Times New Roman" w:hAnsi="Times New Roman" w:cs="Times New Roman"/>
                <w:sz w:val="24"/>
                <w:szCs w:val="24"/>
              </w:rPr>
              <w:t>i</w:t>
            </w:r>
            <w:r w:rsidR="00460F73" w:rsidRPr="008F504E">
              <w:rPr>
                <w:rFonts w:ascii="Times New Roman" w:hAnsi="Times New Roman" w:cs="Times New Roman"/>
                <w:sz w:val="24"/>
                <w:szCs w:val="24"/>
              </w:rPr>
              <w:t xml:space="preserve"> ar </w:t>
            </w:r>
            <w:r w:rsidR="00FB4689" w:rsidRPr="008F504E">
              <w:rPr>
                <w:rFonts w:ascii="Times New Roman" w:hAnsi="Times New Roman" w:cs="Times New Roman"/>
                <w:sz w:val="24"/>
                <w:szCs w:val="24"/>
              </w:rPr>
              <w:t>jaunu punktu (</w:t>
            </w:r>
            <w:r w:rsidR="008C71A4" w:rsidRPr="008F504E">
              <w:rPr>
                <w:rFonts w:ascii="Times New Roman" w:hAnsi="Times New Roman" w:cs="Times New Roman"/>
                <w:sz w:val="24"/>
                <w:szCs w:val="24"/>
              </w:rPr>
              <w:t>41.</w:t>
            </w:r>
            <w:r w:rsidR="00FB4689" w:rsidRPr="008F504E">
              <w:rPr>
                <w:rFonts w:ascii="Times New Roman" w:hAnsi="Times New Roman" w:cs="Times New Roman"/>
                <w:sz w:val="24"/>
                <w:szCs w:val="24"/>
              </w:rPr>
              <w:t xml:space="preserve">) par atbalsta saņēmēja pienākumu atmaksāt AM visu MK </w:t>
            </w:r>
            <w:r w:rsidR="00FB4689" w:rsidRPr="008F504E">
              <w:rPr>
                <w:rFonts w:ascii="Times New Roman" w:hAnsi="Times New Roman" w:cs="Times New Roman"/>
                <w:sz w:val="24"/>
                <w:szCs w:val="24"/>
              </w:rPr>
              <w:lastRenderedPageBreak/>
              <w:t xml:space="preserve">noteikumu ietvaros saņemto </w:t>
            </w:r>
            <w:proofErr w:type="spellStart"/>
            <w:r w:rsidR="00FB4689" w:rsidRPr="008F504E">
              <w:rPr>
                <w:rFonts w:ascii="Times New Roman" w:hAnsi="Times New Roman" w:cs="Times New Roman"/>
                <w:i/>
                <w:sz w:val="24"/>
                <w:szCs w:val="24"/>
              </w:rPr>
              <w:t>de</w:t>
            </w:r>
            <w:proofErr w:type="spellEnd"/>
            <w:r w:rsidR="00FB4689" w:rsidRPr="008F504E">
              <w:rPr>
                <w:rFonts w:ascii="Times New Roman" w:hAnsi="Times New Roman" w:cs="Times New Roman"/>
                <w:i/>
                <w:sz w:val="24"/>
                <w:szCs w:val="24"/>
              </w:rPr>
              <w:t xml:space="preserve"> </w:t>
            </w:r>
            <w:proofErr w:type="spellStart"/>
            <w:r w:rsidR="00FB4689" w:rsidRPr="008F504E">
              <w:rPr>
                <w:rFonts w:ascii="Times New Roman" w:hAnsi="Times New Roman" w:cs="Times New Roman"/>
                <w:i/>
                <w:sz w:val="24"/>
                <w:szCs w:val="24"/>
              </w:rPr>
              <w:t>minimis</w:t>
            </w:r>
            <w:proofErr w:type="spellEnd"/>
            <w:r w:rsidR="00FB4689" w:rsidRPr="008F504E">
              <w:rPr>
                <w:rFonts w:ascii="Times New Roman" w:hAnsi="Times New Roman" w:cs="Times New Roman"/>
                <w:sz w:val="24"/>
                <w:szCs w:val="24"/>
              </w:rPr>
              <w:t xml:space="preserve"> atbalstu</w:t>
            </w:r>
            <w:r w:rsidR="00460F73" w:rsidRPr="008F504E">
              <w:rPr>
                <w:rFonts w:ascii="Times New Roman" w:hAnsi="Times New Roman" w:cs="Times New Roman"/>
                <w:sz w:val="24"/>
                <w:szCs w:val="24"/>
              </w:rPr>
              <w:t>, ja atbilstības pārbaudēs AM konstatē, ka ir pārkāptas Komisijas regulas Nr. 1407/2013 prasības</w:t>
            </w:r>
            <w:r w:rsidR="00EE5472" w:rsidRPr="008F504E">
              <w:rPr>
                <w:rFonts w:ascii="Times New Roman" w:hAnsi="Times New Roman" w:cs="Times New Roman"/>
                <w:sz w:val="24"/>
                <w:szCs w:val="24"/>
              </w:rPr>
              <w:t xml:space="preserve">. </w:t>
            </w:r>
          </w:p>
          <w:p w14:paraId="45B61AC6" w14:textId="77777777" w:rsidR="00DE328B" w:rsidRPr="008F504E" w:rsidRDefault="00DE328B" w:rsidP="00DE328B">
            <w:pPr>
              <w:spacing w:after="0" w:line="240" w:lineRule="auto"/>
              <w:rPr>
                <w:rFonts w:ascii="Times New Roman" w:hAnsi="Times New Roman" w:cs="Times New Roman"/>
                <w:bCs/>
                <w:sz w:val="24"/>
                <w:szCs w:val="24"/>
              </w:rPr>
            </w:pPr>
          </w:p>
          <w:p w14:paraId="78FCBC70" w14:textId="64426FD2" w:rsidR="00744110" w:rsidRPr="008F504E" w:rsidRDefault="00744110" w:rsidP="007C02CF">
            <w:pPr>
              <w:spacing w:after="0" w:line="240" w:lineRule="auto"/>
              <w:jc w:val="both"/>
              <w:rPr>
                <w:rFonts w:ascii="Times New Roman" w:hAnsi="Times New Roman" w:cs="Times New Roman"/>
                <w:sz w:val="24"/>
                <w:szCs w:val="24"/>
              </w:rPr>
            </w:pPr>
            <w:r w:rsidRPr="008F504E">
              <w:rPr>
                <w:rFonts w:ascii="Times New Roman" w:hAnsi="Times New Roman" w:cs="Times New Roman"/>
                <w:bCs/>
                <w:sz w:val="24"/>
                <w:szCs w:val="24"/>
              </w:rPr>
              <w:t xml:space="preserve">Līdz šim viens no </w:t>
            </w:r>
            <w:r w:rsidR="00DE328B" w:rsidRPr="008F504E">
              <w:rPr>
                <w:rFonts w:ascii="Times New Roman" w:hAnsi="Times New Roman" w:cs="Times New Roman"/>
                <w:bCs/>
                <w:sz w:val="24"/>
                <w:szCs w:val="24"/>
              </w:rPr>
              <w:t>AM</w:t>
            </w:r>
            <w:r w:rsidRPr="008F504E">
              <w:rPr>
                <w:rFonts w:ascii="Times New Roman" w:hAnsi="Times New Roman" w:cs="Times New Roman"/>
                <w:bCs/>
                <w:sz w:val="24"/>
                <w:szCs w:val="24"/>
              </w:rPr>
              <w:t xml:space="preserve"> administrētās grantu programmas pamatojumiem bija Eiropas Komisijas 2013. gada 18. decembra Regula (ES) Nr. 1407/2013 par Līguma par Eiropas Savienības darbību 107. un 108. panta piemērošanu </w:t>
            </w:r>
            <w:proofErr w:type="spellStart"/>
            <w:r w:rsidRPr="008F504E">
              <w:rPr>
                <w:rFonts w:ascii="Times New Roman" w:hAnsi="Times New Roman" w:cs="Times New Roman"/>
                <w:bCs/>
                <w:i/>
                <w:sz w:val="24"/>
                <w:szCs w:val="24"/>
              </w:rPr>
              <w:t>de</w:t>
            </w:r>
            <w:proofErr w:type="spellEnd"/>
            <w:r w:rsidRPr="008F504E">
              <w:rPr>
                <w:rFonts w:ascii="Times New Roman" w:hAnsi="Times New Roman" w:cs="Times New Roman"/>
                <w:bCs/>
                <w:i/>
                <w:sz w:val="24"/>
                <w:szCs w:val="24"/>
              </w:rPr>
              <w:t xml:space="preserve"> </w:t>
            </w:r>
            <w:proofErr w:type="spellStart"/>
            <w:r w:rsidRPr="008F504E">
              <w:rPr>
                <w:rFonts w:ascii="Times New Roman" w:hAnsi="Times New Roman" w:cs="Times New Roman"/>
                <w:bCs/>
                <w:i/>
                <w:sz w:val="24"/>
                <w:szCs w:val="24"/>
              </w:rPr>
              <w:t>minimis</w:t>
            </w:r>
            <w:proofErr w:type="spellEnd"/>
            <w:r w:rsidRPr="008F504E">
              <w:rPr>
                <w:rFonts w:ascii="Times New Roman" w:hAnsi="Times New Roman" w:cs="Times New Roman"/>
                <w:bCs/>
                <w:sz w:val="24"/>
                <w:szCs w:val="24"/>
              </w:rPr>
              <w:t xml:space="preserve"> atbalstam (turpmāk – Komisijas regula Nr. 1407/2013)</w:t>
            </w:r>
            <w:r w:rsidRPr="008F504E">
              <w:rPr>
                <w:rFonts w:ascii="Times New Roman" w:hAnsi="Times New Roman" w:cs="Times New Roman"/>
                <w:sz w:val="24"/>
                <w:szCs w:val="24"/>
              </w:rPr>
              <w:t xml:space="preserve">.  Ņemot vērā minētās Regulas darbības laiku, arī </w:t>
            </w:r>
            <w:r w:rsidR="006A4DBD" w:rsidRPr="008F504E">
              <w:rPr>
                <w:rFonts w:ascii="Times New Roman" w:hAnsi="Times New Roman" w:cs="Times New Roman"/>
                <w:sz w:val="24"/>
                <w:szCs w:val="24"/>
              </w:rPr>
              <w:t xml:space="preserve">MK </w:t>
            </w:r>
            <w:r w:rsidRPr="008F504E">
              <w:rPr>
                <w:rFonts w:ascii="Times New Roman" w:hAnsi="Times New Roman" w:cs="Times New Roman"/>
                <w:sz w:val="24"/>
                <w:szCs w:val="24"/>
              </w:rPr>
              <w:t>noteikumiem Nr. 544 to sākotnējā redakcijā bija noteikts darbības laiks – līdz 2021. gada 30. jūnijam. Atbilstoši jaun</w:t>
            </w:r>
            <w:r w:rsidR="00F14994" w:rsidRPr="008F504E">
              <w:rPr>
                <w:rFonts w:ascii="Times New Roman" w:hAnsi="Times New Roman" w:cs="Times New Roman"/>
                <w:sz w:val="24"/>
                <w:szCs w:val="24"/>
              </w:rPr>
              <w:t xml:space="preserve">ās </w:t>
            </w:r>
            <w:r w:rsidRPr="008F504E">
              <w:rPr>
                <w:rFonts w:ascii="Times New Roman" w:hAnsi="Times New Roman" w:cs="Times New Roman"/>
                <w:sz w:val="24"/>
                <w:szCs w:val="24"/>
              </w:rPr>
              <w:t xml:space="preserve"> Komisijas Regul</w:t>
            </w:r>
            <w:r w:rsidR="00F14994" w:rsidRPr="008F504E">
              <w:rPr>
                <w:rFonts w:ascii="Times New Roman" w:hAnsi="Times New Roman" w:cs="Times New Roman"/>
                <w:sz w:val="24"/>
                <w:szCs w:val="24"/>
              </w:rPr>
              <w:t>as</w:t>
            </w:r>
            <w:r w:rsidRPr="008F504E">
              <w:rPr>
                <w:rFonts w:ascii="Times New Roman" w:hAnsi="Times New Roman" w:cs="Times New Roman"/>
                <w:sz w:val="24"/>
                <w:szCs w:val="24"/>
              </w:rPr>
              <w:t xml:space="preserve"> (ES) 2020/972 (2020. gada 2. jūlijs), ar ko groza Regulu (ES) Nr. 1407/2013 attiecībā uz tās pagarināšanu un groza Regulu (ES) Nr. 651/2014 attiecībā uz tās pagarināšanu un attiecīgiem pielāgojumiem,</w:t>
            </w:r>
            <w:r w:rsidR="00F14994" w:rsidRPr="008F504E">
              <w:rPr>
                <w:rFonts w:ascii="Times New Roman" w:hAnsi="Times New Roman" w:cs="Times New Roman"/>
                <w:sz w:val="24"/>
                <w:szCs w:val="24"/>
              </w:rPr>
              <w:t xml:space="preserve"> 1. pantā un Komisijas </w:t>
            </w:r>
            <w:r w:rsidR="008F3439" w:rsidRPr="008F504E">
              <w:rPr>
                <w:rFonts w:ascii="Times New Roman" w:hAnsi="Times New Roman" w:cs="Times New Roman"/>
                <w:sz w:val="24"/>
                <w:szCs w:val="24"/>
              </w:rPr>
              <w:t>r</w:t>
            </w:r>
            <w:r w:rsidR="00F14994" w:rsidRPr="008F504E">
              <w:rPr>
                <w:rFonts w:ascii="Times New Roman" w:hAnsi="Times New Roman" w:cs="Times New Roman"/>
                <w:sz w:val="24"/>
                <w:szCs w:val="24"/>
              </w:rPr>
              <w:t>egulas 1407/2013 7. panta 4. daļā noteiktajam, MK</w:t>
            </w:r>
            <w:r w:rsidR="006A4DBD" w:rsidRPr="008F504E">
              <w:rPr>
                <w:rFonts w:ascii="Times New Roman" w:hAnsi="Times New Roman" w:cs="Times New Roman"/>
                <w:sz w:val="24"/>
                <w:szCs w:val="24"/>
              </w:rPr>
              <w:t xml:space="preserve"> n</w:t>
            </w:r>
            <w:r w:rsidRPr="008F504E">
              <w:rPr>
                <w:rFonts w:ascii="Times New Roman" w:hAnsi="Times New Roman" w:cs="Times New Roman"/>
                <w:sz w:val="24"/>
                <w:szCs w:val="24"/>
              </w:rPr>
              <w:t xml:space="preserve">oteikumu projekta darbības termiņš </w:t>
            </w:r>
            <w:r w:rsidR="00F14994" w:rsidRPr="008F504E">
              <w:rPr>
                <w:rFonts w:ascii="Times New Roman" w:hAnsi="Times New Roman" w:cs="Times New Roman"/>
                <w:sz w:val="24"/>
                <w:szCs w:val="24"/>
              </w:rPr>
              <w:t>noteik</w:t>
            </w:r>
            <w:r w:rsidRPr="008F504E">
              <w:rPr>
                <w:rFonts w:ascii="Times New Roman" w:hAnsi="Times New Roman" w:cs="Times New Roman"/>
                <w:sz w:val="24"/>
                <w:szCs w:val="24"/>
              </w:rPr>
              <w:t>ts līdz 202</w:t>
            </w:r>
            <w:r w:rsidR="00F14994" w:rsidRPr="008F504E">
              <w:rPr>
                <w:rFonts w:ascii="Times New Roman" w:hAnsi="Times New Roman" w:cs="Times New Roman"/>
                <w:sz w:val="24"/>
                <w:szCs w:val="24"/>
              </w:rPr>
              <w:t>4</w:t>
            </w:r>
            <w:r w:rsidRPr="008F504E">
              <w:rPr>
                <w:rFonts w:ascii="Times New Roman" w:hAnsi="Times New Roman" w:cs="Times New Roman"/>
                <w:sz w:val="24"/>
                <w:szCs w:val="24"/>
              </w:rPr>
              <w:t>. gada 3</w:t>
            </w:r>
            <w:r w:rsidR="00F14994" w:rsidRPr="008F504E">
              <w:rPr>
                <w:rFonts w:ascii="Times New Roman" w:hAnsi="Times New Roman" w:cs="Times New Roman"/>
                <w:sz w:val="24"/>
                <w:szCs w:val="24"/>
              </w:rPr>
              <w:t>0</w:t>
            </w:r>
            <w:r w:rsidRPr="008F504E">
              <w:rPr>
                <w:rFonts w:ascii="Times New Roman" w:hAnsi="Times New Roman" w:cs="Times New Roman"/>
                <w:sz w:val="24"/>
                <w:szCs w:val="24"/>
              </w:rPr>
              <w:t>. </w:t>
            </w:r>
            <w:r w:rsidR="00F14994" w:rsidRPr="008F504E">
              <w:rPr>
                <w:rFonts w:ascii="Times New Roman" w:hAnsi="Times New Roman" w:cs="Times New Roman"/>
                <w:sz w:val="24"/>
                <w:szCs w:val="24"/>
              </w:rPr>
              <w:t>jūnija</w:t>
            </w:r>
            <w:r w:rsidRPr="008F504E">
              <w:rPr>
                <w:rFonts w:ascii="Times New Roman" w:hAnsi="Times New Roman" w:cs="Times New Roman"/>
                <w:sz w:val="24"/>
                <w:szCs w:val="24"/>
              </w:rPr>
              <w:t>m.</w:t>
            </w:r>
          </w:p>
        </w:tc>
      </w:tr>
      <w:tr w:rsidR="008F504E" w:rsidRPr="008F504E" w14:paraId="415B21B5"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37180"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D610EA"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453E3E9" w14:textId="1088AC28" w:rsidR="00EE5472" w:rsidRPr="008F504E" w:rsidRDefault="00EE5472" w:rsidP="00EE5472">
            <w:pPr>
              <w:spacing w:after="0"/>
              <w:ind w:right="164"/>
              <w:jc w:val="both"/>
              <w:rPr>
                <w:rFonts w:ascii="Times New Roman" w:hAnsi="Times New Roman" w:cs="Times New Roman"/>
                <w:sz w:val="24"/>
                <w:szCs w:val="24"/>
              </w:rPr>
            </w:pPr>
            <w:r w:rsidRPr="008F504E">
              <w:rPr>
                <w:rFonts w:ascii="Times New Roman" w:hAnsi="Times New Roman" w:cs="Times New Roman"/>
                <w:sz w:val="24"/>
                <w:szCs w:val="24"/>
              </w:rPr>
              <w:t>Aizsardzības ministrija.</w:t>
            </w:r>
          </w:p>
        </w:tc>
      </w:tr>
      <w:tr w:rsidR="008F504E" w:rsidRPr="008F504E" w14:paraId="161D5C00"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90235"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204682D9"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C167F45" w14:textId="467053DA" w:rsidR="00EE5472" w:rsidRPr="008F504E" w:rsidRDefault="00EE5472" w:rsidP="00EE5472">
            <w:pPr>
              <w:snapToGrid w:val="0"/>
              <w:spacing w:after="0"/>
              <w:jc w:val="both"/>
              <w:rPr>
                <w:rFonts w:ascii="Times New Roman" w:hAnsi="Times New Roman" w:cs="Times New Roman"/>
                <w:sz w:val="24"/>
                <w:szCs w:val="24"/>
              </w:rPr>
            </w:pPr>
            <w:r w:rsidRPr="008F504E">
              <w:rPr>
                <w:rFonts w:ascii="Times New Roman" w:hAnsi="Times New Roman" w:cs="Times New Roman"/>
                <w:sz w:val="24"/>
                <w:szCs w:val="24"/>
              </w:rPr>
              <w:t xml:space="preserve"> Nav.</w:t>
            </w:r>
          </w:p>
        </w:tc>
      </w:tr>
    </w:tbl>
    <w:p w14:paraId="7F5F2EFB" w14:textId="77777777" w:rsidR="00E5323B" w:rsidRPr="008F504E" w:rsidRDefault="00E5323B" w:rsidP="00E5323B">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504E" w:rsidRPr="008F504E" w14:paraId="1AB6F5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9A623A" w14:textId="77777777" w:rsidR="00655F2C" w:rsidRPr="008F504E" w:rsidRDefault="00E5323B" w:rsidP="00E5323B">
            <w:pPr>
              <w:spacing w:after="0" w:line="240" w:lineRule="auto"/>
              <w:rPr>
                <w:rFonts w:ascii="Times New Roman" w:hAnsi="Times New Roman" w:cs="Times New Roman"/>
                <w:b/>
                <w:sz w:val="24"/>
                <w:szCs w:val="24"/>
              </w:rPr>
            </w:pPr>
            <w:r w:rsidRPr="008F504E">
              <w:rPr>
                <w:rFonts w:ascii="Times New Roman" w:hAnsi="Times New Roman" w:cs="Times New Roman"/>
                <w:b/>
                <w:sz w:val="24"/>
                <w:szCs w:val="24"/>
              </w:rPr>
              <w:t>II. Tiesību akta projekta ietekme uz sabiedrību, tautsaimniecības attīstību un administratīvo slogu</w:t>
            </w:r>
          </w:p>
        </w:tc>
      </w:tr>
      <w:tr w:rsidR="008F504E" w:rsidRPr="008F504E" w14:paraId="23B74087"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E5E2D3"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493BB213"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122B570D" w14:textId="571333EB" w:rsidR="00EE5472" w:rsidRPr="008F504E" w:rsidRDefault="007E42BA" w:rsidP="00EE5472">
            <w:pPr>
              <w:spacing w:after="0"/>
              <w:jc w:val="both"/>
              <w:rPr>
                <w:rFonts w:ascii="Times New Roman" w:hAnsi="Times New Roman" w:cs="Times New Roman"/>
                <w:sz w:val="24"/>
                <w:szCs w:val="24"/>
              </w:rPr>
            </w:pPr>
            <w:r w:rsidRPr="008F504E">
              <w:rPr>
                <w:rFonts w:ascii="Times New Roman" w:hAnsi="Times New Roman" w:cs="Times New Roman"/>
                <w:sz w:val="24"/>
                <w:szCs w:val="24"/>
              </w:rPr>
              <w:t>Latvijas aizsardzības industrijas uzņēmēji un divējāda lietoj</w:t>
            </w:r>
            <w:r w:rsidR="00B30104" w:rsidRPr="008F504E">
              <w:rPr>
                <w:rFonts w:ascii="Times New Roman" w:hAnsi="Times New Roman" w:cs="Times New Roman"/>
                <w:sz w:val="24"/>
                <w:szCs w:val="24"/>
              </w:rPr>
              <w:t>uma</w:t>
            </w:r>
            <w:r w:rsidRPr="008F504E">
              <w:rPr>
                <w:rFonts w:ascii="Times New Roman" w:hAnsi="Times New Roman" w:cs="Times New Roman"/>
                <w:sz w:val="24"/>
                <w:szCs w:val="24"/>
              </w:rPr>
              <w:t xml:space="preserve"> preču ražotāji, ar aizsardzības industriju saistītas zinātniskās institūcijas.</w:t>
            </w:r>
          </w:p>
        </w:tc>
      </w:tr>
      <w:tr w:rsidR="008F504E" w:rsidRPr="008F504E" w14:paraId="50647C16"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3345D"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F6CABE6"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370B87C6" w14:textId="26F8732C" w:rsidR="00EE5472" w:rsidRPr="008F504E" w:rsidRDefault="00744110" w:rsidP="00F27C17">
            <w:pPr>
              <w:pStyle w:val="CommentText"/>
              <w:spacing w:after="0"/>
              <w:jc w:val="both"/>
              <w:rPr>
                <w:rFonts w:ascii="Times New Roman" w:hAnsi="Times New Roman" w:cs="Times New Roman"/>
                <w:sz w:val="24"/>
                <w:szCs w:val="24"/>
              </w:rPr>
            </w:pPr>
            <w:r w:rsidRPr="008F504E">
              <w:rPr>
                <w:rFonts w:ascii="Times New Roman" w:hAnsi="Times New Roman" w:cs="Times New Roman"/>
                <w:sz w:val="24"/>
                <w:szCs w:val="24"/>
              </w:rPr>
              <w:t xml:space="preserve">Līdz ar </w:t>
            </w:r>
            <w:r w:rsidR="006A4DBD" w:rsidRPr="008F504E">
              <w:rPr>
                <w:rFonts w:ascii="Times New Roman" w:hAnsi="Times New Roman" w:cs="Times New Roman"/>
                <w:sz w:val="24"/>
                <w:szCs w:val="24"/>
              </w:rPr>
              <w:t>MK n</w:t>
            </w:r>
            <w:r w:rsidRPr="008F504E">
              <w:rPr>
                <w:rFonts w:ascii="Times New Roman" w:hAnsi="Times New Roman" w:cs="Times New Roman"/>
                <w:sz w:val="24"/>
                <w:szCs w:val="24"/>
              </w:rPr>
              <w:t>oteikumu projekta darbības termiņa pagarinājumu AM turpinās</w:t>
            </w:r>
            <w:r w:rsidR="007E42BA" w:rsidRPr="008F504E">
              <w:rPr>
                <w:rFonts w:ascii="Times New Roman" w:hAnsi="Times New Roman" w:cs="Times New Roman"/>
                <w:sz w:val="24"/>
                <w:szCs w:val="24"/>
              </w:rPr>
              <w:t xml:space="preserve"> veicināt militārās industrijas un ar to saistīto zinātnisko institūciju attīstīb</w:t>
            </w:r>
            <w:r w:rsidRPr="008F504E">
              <w:rPr>
                <w:rFonts w:ascii="Times New Roman" w:hAnsi="Times New Roman" w:cs="Times New Roman"/>
                <w:sz w:val="24"/>
                <w:szCs w:val="24"/>
              </w:rPr>
              <w:t>u</w:t>
            </w:r>
            <w:r w:rsidR="007E42BA" w:rsidRPr="008F504E">
              <w:rPr>
                <w:rFonts w:ascii="Times New Roman" w:hAnsi="Times New Roman" w:cs="Times New Roman"/>
                <w:sz w:val="24"/>
                <w:szCs w:val="24"/>
              </w:rPr>
              <w:t xml:space="preserve"> Latvijā</w:t>
            </w:r>
            <w:r w:rsidR="00B30104" w:rsidRPr="008F504E">
              <w:rPr>
                <w:rFonts w:ascii="Times New Roman" w:hAnsi="Times New Roman" w:cs="Times New Roman"/>
                <w:sz w:val="24"/>
                <w:szCs w:val="24"/>
              </w:rPr>
              <w:t xml:space="preserve">, </w:t>
            </w:r>
            <w:r w:rsidRPr="008F504E">
              <w:rPr>
                <w:rFonts w:ascii="Times New Roman" w:hAnsi="Times New Roman" w:cs="Times New Roman"/>
                <w:sz w:val="24"/>
                <w:szCs w:val="24"/>
              </w:rPr>
              <w:t>palielināt to ekonomiskās un pētnieciskās darbības rezultātu lietoj</w:t>
            </w:r>
            <w:r w:rsidR="00F27C17" w:rsidRPr="008F504E">
              <w:rPr>
                <w:rFonts w:ascii="Times New Roman" w:hAnsi="Times New Roman" w:cs="Times New Roman"/>
                <w:sz w:val="24"/>
                <w:szCs w:val="24"/>
              </w:rPr>
              <w:t>uma</w:t>
            </w:r>
            <w:r w:rsidRPr="008F504E">
              <w:rPr>
                <w:rFonts w:ascii="Times New Roman" w:hAnsi="Times New Roman" w:cs="Times New Roman"/>
                <w:sz w:val="24"/>
                <w:szCs w:val="24"/>
              </w:rPr>
              <w:t xml:space="preserve"> aizsardzības </w:t>
            </w:r>
            <w:r w:rsidR="00B30104" w:rsidRPr="008F504E">
              <w:rPr>
                <w:rFonts w:ascii="Times New Roman" w:hAnsi="Times New Roman" w:cs="Times New Roman"/>
                <w:sz w:val="24"/>
                <w:szCs w:val="24"/>
              </w:rPr>
              <w:t>jom</w:t>
            </w:r>
            <w:r w:rsidRPr="008F504E">
              <w:rPr>
                <w:rFonts w:ascii="Times New Roman" w:hAnsi="Times New Roman" w:cs="Times New Roman"/>
                <w:sz w:val="24"/>
                <w:szCs w:val="24"/>
              </w:rPr>
              <w:t>ā potenciālu</w:t>
            </w:r>
            <w:r w:rsidR="00B30104" w:rsidRPr="008F504E">
              <w:rPr>
                <w:rFonts w:ascii="Times New Roman" w:hAnsi="Times New Roman" w:cs="Times New Roman"/>
                <w:sz w:val="24"/>
                <w:szCs w:val="24"/>
              </w:rPr>
              <w:t xml:space="preserve"> gan nacionālā, gan starptautiskā līmenī</w:t>
            </w:r>
            <w:r w:rsidR="007E42BA" w:rsidRPr="008F504E">
              <w:rPr>
                <w:rFonts w:ascii="Times New Roman" w:hAnsi="Times New Roman" w:cs="Times New Roman"/>
                <w:sz w:val="24"/>
                <w:szCs w:val="24"/>
              </w:rPr>
              <w:t>, nepalielinot administratīvo slogu.</w:t>
            </w:r>
          </w:p>
        </w:tc>
      </w:tr>
      <w:tr w:rsidR="008F504E" w:rsidRPr="008F504E" w14:paraId="066590B1"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F94AEF"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BBC7EBA" w14:textId="45C3A4F9"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eastAsia="Times New Roman" w:hAnsi="Times New Roman" w:cs="Times New Roman"/>
                <w:iCs/>
                <w:sz w:val="24"/>
                <w:szCs w:val="24"/>
                <w:lang w:eastAsia="lv-LV"/>
              </w:rPr>
              <w:t>Administratīvo</w:t>
            </w:r>
            <w:r w:rsidRPr="008F504E">
              <w:rPr>
                <w:rFonts w:ascii="Times New Roman" w:hAnsi="Times New Roman" w:cs="Times New Roman"/>
                <w:sz w:val="24"/>
                <w:szCs w:val="24"/>
              </w:rPr>
              <w:t xml:space="preserve">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567F7B" w14:textId="028A0E13" w:rsidR="00EE5472" w:rsidRPr="008F504E" w:rsidRDefault="007E42BA" w:rsidP="00EE5472">
            <w:pPr>
              <w:jc w:val="both"/>
              <w:rPr>
                <w:rFonts w:ascii="Times New Roman" w:hAnsi="Times New Roman" w:cs="Times New Roman"/>
                <w:sz w:val="24"/>
                <w:szCs w:val="24"/>
              </w:rPr>
            </w:pPr>
            <w:r w:rsidRPr="008F504E">
              <w:rPr>
                <w:rFonts w:ascii="Times New Roman" w:hAnsi="Times New Roman" w:cs="Times New Roman"/>
                <w:sz w:val="24"/>
                <w:szCs w:val="24"/>
              </w:rPr>
              <w:t xml:space="preserve">Nav. </w:t>
            </w:r>
          </w:p>
        </w:tc>
      </w:tr>
      <w:tr w:rsidR="008F504E" w:rsidRPr="008F504E" w14:paraId="5E3CFE9C"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3513C" w14:textId="77777777" w:rsidR="00EE5472" w:rsidRPr="008F504E" w:rsidRDefault="00EE5472" w:rsidP="00EE5472">
            <w:pPr>
              <w:spacing w:after="0" w:line="240" w:lineRule="auto"/>
              <w:rPr>
                <w:rFonts w:ascii="Times New Roman" w:eastAsia="Times New Roman" w:hAnsi="Times New Roman" w:cs="Times New Roman"/>
                <w:iCs/>
                <w:sz w:val="24"/>
                <w:szCs w:val="24"/>
                <w:lang w:eastAsia="lv-LV"/>
              </w:rPr>
            </w:pPr>
            <w:r w:rsidRPr="008F504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14030EF" w14:textId="77777777" w:rsidR="00EE5472" w:rsidRPr="008F504E" w:rsidRDefault="00EE5472" w:rsidP="00EE5472">
            <w:pPr>
              <w:spacing w:after="0" w:line="240" w:lineRule="auto"/>
              <w:rPr>
                <w:rFonts w:ascii="Times New Roman" w:eastAsia="Times New Roman" w:hAnsi="Times New Roman" w:cs="Times New Roman"/>
                <w:iCs/>
                <w:sz w:val="24"/>
                <w:szCs w:val="24"/>
                <w:lang w:eastAsia="lv-LV"/>
              </w:rPr>
            </w:pPr>
            <w:r w:rsidRPr="008F504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6A1F4E7" w14:textId="3079EB9B" w:rsidR="00EE5472" w:rsidRPr="008F504E" w:rsidRDefault="00EE5472" w:rsidP="00EE5472">
            <w:pPr>
              <w:spacing w:after="0" w:line="240" w:lineRule="auto"/>
              <w:rPr>
                <w:rFonts w:ascii="Times New Roman" w:eastAsia="Times New Roman" w:hAnsi="Times New Roman" w:cs="Times New Roman"/>
                <w:iCs/>
                <w:sz w:val="24"/>
                <w:szCs w:val="24"/>
                <w:lang w:eastAsia="lv-LV"/>
              </w:rPr>
            </w:pPr>
            <w:r w:rsidRPr="008F504E">
              <w:rPr>
                <w:rFonts w:ascii="Times New Roman" w:eastAsia="Times New Roman" w:hAnsi="Times New Roman" w:cs="Times New Roman"/>
                <w:iCs/>
                <w:sz w:val="24"/>
                <w:szCs w:val="24"/>
                <w:lang w:eastAsia="lv-LV"/>
              </w:rPr>
              <w:t>Nav.</w:t>
            </w:r>
          </w:p>
        </w:tc>
      </w:tr>
      <w:tr w:rsidR="008F504E" w:rsidRPr="008F504E" w14:paraId="4611A3C9"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6C8549" w14:textId="7D9CB0BB"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eastAsia="Times New Roman" w:hAnsi="Times New Roman" w:cs="Times New Roman"/>
                <w:iCs/>
                <w:sz w:val="24"/>
                <w:szCs w:val="24"/>
                <w:lang w:eastAsia="lv-LV"/>
              </w:rPr>
              <w:t>5</w:t>
            </w:r>
            <w:r w:rsidRPr="008F504E">
              <w:rPr>
                <w:rFonts w:ascii="Times New Roman" w:hAnsi="Times New Roman" w:cs="Times New Roman"/>
                <w:sz w:val="24"/>
                <w:szCs w:val="24"/>
              </w:rPr>
              <w:t>.</w:t>
            </w:r>
          </w:p>
        </w:tc>
        <w:tc>
          <w:tcPr>
            <w:tcW w:w="1678" w:type="pct"/>
            <w:tcBorders>
              <w:top w:val="outset" w:sz="6" w:space="0" w:color="auto"/>
              <w:left w:val="outset" w:sz="6" w:space="0" w:color="auto"/>
              <w:bottom w:val="outset" w:sz="6" w:space="0" w:color="auto"/>
              <w:right w:val="outset" w:sz="6" w:space="0" w:color="auto"/>
            </w:tcBorders>
            <w:hideMark/>
          </w:tcPr>
          <w:p w14:paraId="3B41F0BA" w14:textId="77777777"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BBCD3AE" w14:textId="5E541F0E" w:rsidR="00EE5472" w:rsidRPr="008F504E" w:rsidRDefault="00EE5472" w:rsidP="00EE547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Nav.</w:t>
            </w:r>
          </w:p>
        </w:tc>
      </w:tr>
    </w:tbl>
    <w:p w14:paraId="4D737E74" w14:textId="4546A509" w:rsidR="000524D6" w:rsidRPr="008F504E" w:rsidRDefault="00E5323B"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3"/>
        <w:gridCol w:w="911"/>
        <w:gridCol w:w="985"/>
        <w:gridCol w:w="869"/>
        <w:gridCol w:w="985"/>
        <w:gridCol w:w="869"/>
        <w:gridCol w:w="1026"/>
        <w:gridCol w:w="1976"/>
      </w:tblGrid>
      <w:tr w:rsidR="008F504E" w:rsidRPr="008F504E" w14:paraId="1D2B00EF" w14:textId="77777777" w:rsidTr="00653DE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50711477" w14:textId="58A4F79F" w:rsidR="00072B02" w:rsidRPr="008F504E" w:rsidRDefault="00072B02" w:rsidP="007E42BA">
            <w:pPr>
              <w:spacing w:after="0" w:line="240" w:lineRule="auto"/>
              <w:rPr>
                <w:rFonts w:ascii="Times New Roman" w:eastAsia="Times New Roman" w:hAnsi="Times New Roman" w:cs="Times New Roman"/>
                <w:b/>
                <w:bCs/>
                <w:sz w:val="24"/>
                <w:szCs w:val="24"/>
                <w:lang w:eastAsia="lv-LV"/>
              </w:rPr>
            </w:pPr>
            <w:r w:rsidRPr="008F504E">
              <w:rPr>
                <w:rFonts w:ascii="Times New Roman" w:eastAsia="Times New Roman" w:hAnsi="Times New Roman" w:cs="Times New Roman"/>
                <w:b/>
                <w:bCs/>
                <w:sz w:val="24"/>
                <w:szCs w:val="24"/>
                <w:lang w:eastAsia="lv-LV"/>
              </w:rPr>
              <w:t>III. Tiesību akta projekta ietekme uz valsts budžetu un pašvaldību budžetiem</w:t>
            </w:r>
          </w:p>
        </w:tc>
      </w:tr>
      <w:tr w:rsidR="008F504E" w:rsidRPr="008F504E" w14:paraId="0549F635"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Merge w:val="restart"/>
            <w:vAlign w:val="center"/>
          </w:tcPr>
          <w:p w14:paraId="22FE2DC2"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Rādītāji</w:t>
            </w:r>
          </w:p>
        </w:tc>
        <w:tc>
          <w:tcPr>
            <w:tcW w:w="1029" w:type="pct"/>
            <w:gridSpan w:val="2"/>
            <w:vMerge w:val="restart"/>
            <w:vAlign w:val="center"/>
          </w:tcPr>
          <w:p w14:paraId="0C2E3EA7" w14:textId="21E2B42D" w:rsidR="00072B02" w:rsidRPr="008F504E" w:rsidRDefault="00072B02" w:rsidP="0056419E">
            <w:pPr>
              <w:pStyle w:val="naisf"/>
              <w:spacing w:before="0" w:beforeAutospacing="0" w:after="0" w:afterAutospacing="0"/>
              <w:jc w:val="center"/>
              <w:rPr>
                <w:b/>
                <w:sz w:val="19"/>
                <w:szCs w:val="19"/>
              </w:rPr>
            </w:pPr>
            <w:r w:rsidRPr="008F504E">
              <w:rPr>
                <w:b/>
                <w:sz w:val="19"/>
                <w:szCs w:val="19"/>
              </w:rPr>
              <w:t>2021</w:t>
            </w:r>
          </w:p>
        </w:tc>
        <w:tc>
          <w:tcPr>
            <w:tcW w:w="3133" w:type="pct"/>
            <w:gridSpan w:val="5"/>
            <w:vAlign w:val="center"/>
          </w:tcPr>
          <w:p w14:paraId="6526319B" w14:textId="77777777" w:rsidR="00072B02" w:rsidRPr="008F504E" w:rsidRDefault="00072B02" w:rsidP="0056419E">
            <w:pPr>
              <w:pStyle w:val="naisf"/>
              <w:spacing w:before="0" w:beforeAutospacing="0" w:after="0" w:afterAutospacing="0"/>
              <w:jc w:val="center"/>
              <w:rPr>
                <w:b/>
                <w:i/>
                <w:sz w:val="19"/>
                <w:szCs w:val="19"/>
              </w:rPr>
            </w:pPr>
            <w:r w:rsidRPr="008F504E">
              <w:rPr>
                <w:sz w:val="19"/>
                <w:szCs w:val="19"/>
              </w:rPr>
              <w:t>Turpmākie trīs gadi (</w:t>
            </w:r>
            <w:r w:rsidRPr="008F504E">
              <w:rPr>
                <w:i/>
                <w:sz w:val="19"/>
                <w:szCs w:val="19"/>
              </w:rPr>
              <w:t>euro</w:t>
            </w:r>
            <w:r w:rsidRPr="008F504E">
              <w:rPr>
                <w:sz w:val="19"/>
                <w:szCs w:val="19"/>
              </w:rPr>
              <w:t>)</w:t>
            </w:r>
          </w:p>
        </w:tc>
      </w:tr>
      <w:tr w:rsidR="008F504E" w:rsidRPr="008F504E" w14:paraId="799319A1"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Merge/>
            <w:vAlign w:val="center"/>
          </w:tcPr>
          <w:p w14:paraId="0176FC24" w14:textId="77777777" w:rsidR="00072B02" w:rsidRPr="008F504E" w:rsidRDefault="00072B02" w:rsidP="0056419E">
            <w:pPr>
              <w:pStyle w:val="naisf"/>
              <w:spacing w:before="0" w:beforeAutospacing="0" w:after="0" w:afterAutospacing="0"/>
              <w:jc w:val="center"/>
              <w:rPr>
                <w:b/>
                <w:i/>
                <w:sz w:val="19"/>
                <w:szCs w:val="19"/>
              </w:rPr>
            </w:pPr>
          </w:p>
        </w:tc>
        <w:tc>
          <w:tcPr>
            <w:tcW w:w="1029" w:type="pct"/>
            <w:gridSpan w:val="2"/>
            <w:vMerge/>
            <w:vAlign w:val="center"/>
          </w:tcPr>
          <w:p w14:paraId="4CB39CFC" w14:textId="77777777" w:rsidR="00072B02" w:rsidRPr="008F504E" w:rsidRDefault="00072B02" w:rsidP="0056419E">
            <w:pPr>
              <w:pStyle w:val="naisf"/>
              <w:spacing w:before="0" w:beforeAutospacing="0" w:after="0" w:afterAutospacing="0"/>
              <w:jc w:val="center"/>
              <w:rPr>
                <w:b/>
                <w:i/>
                <w:sz w:val="19"/>
                <w:szCs w:val="19"/>
              </w:rPr>
            </w:pPr>
          </w:p>
        </w:tc>
        <w:tc>
          <w:tcPr>
            <w:tcW w:w="1006" w:type="pct"/>
            <w:gridSpan w:val="2"/>
            <w:vAlign w:val="center"/>
          </w:tcPr>
          <w:p w14:paraId="219A5A53" w14:textId="51E82B66" w:rsidR="00072B02" w:rsidRPr="008F504E" w:rsidRDefault="00072B02" w:rsidP="0056419E">
            <w:pPr>
              <w:pStyle w:val="naisf"/>
              <w:spacing w:before="0" w:beforeAutospacing="0" w:after="0" w:afterAutospacing="0"/>
              <w:jc w:val="center"/>
              <w:rPr>
                <w:b/>
                <w:i/>
                <w:sz w:val="19"/>
                <w:szCs w:val="19"/>
              </w:rPr>
            </w:pPr>
            <w:r w:rsidRPr="008F504E">
              <w:rPr>
                <w:b/>
                <w:bCs/>
                <w:sz w:val="19"/>
                <w:szCs w:val="19"/>
              </w:rPr>
              <w:t>2022</w:t>
            </w:r>
          </w:p>
        </w:tc>
        <w:tc>
          <w:tcPr>
            <w:tcW w:w="1057" w:type="pct"/>
            <w:gridSpan w:val="2"/>
            <w:vAlign w:val="center"/>
          </w:tcPr>
          <w:p w14:paraId="3987DAE0" w14:textId="15845371" w:rsidR="00072B02" w:rsidRPr="008F504E" w:rsidRDefault="00072B02" w:rsidP="0056419E">
            <w:pPr>
              <w:pStyle w:val="naisf"/>
              <w:spacing w:before="0" w:beforeAutospacing="0" w:after="0" w:afterAutospacing="0"/>
              <w:jc w:val="center"/>
              <w:rPr>
                <w:b/>
                <w:i/>
                <w:sz w:val="19"/>
                <w:szCs w:val="19"/>
              </w:rPr>
            </w:pPr>
            <w:r w:rsidRPr="008F504E">
              <w:rPr>
                <w:b/>
                <w:bCs/>
                <w:sz w:val="19"/>
                <w:szCs w:val="19"/>
              </w:rPr>
              <w:t>2023</w:t>
            </w:r>
          </w:p>
        </w:tc>
        <w:tc>
          <w:tcPr>
            <w:tcW w:w="1037" w:type="pct"/>
            <w:vAlign w:val="center"/>
          </w:tcPr>
          <w:p w14:paraId="2BE48A1C" w14:textId="5D177D7B" w:rsidR="00072B02" w:rsidRPr="008F504E" w:rsidRDefault="00072B02" w:rsidP="0056419E">
            <w:pPr>
              <w:pStyle w:val="naisf"/>
              <w:spacing w:before="0" w:beforeAutospacing="0" w:after="0" w:afterAutospacing="0"/>
              <w:jc w:val="center"/>
              <w:rPr>
                <w:b/>
                <w:i/>
                <w:sz w:val="19"/>
                <w:szCs w:val="19"/>
              </w:rPr>
            </w:pPr>
            <w:r w:rsidRPr="008F504E">
              <w:rPr>
                <w:b/>
                <w:bCs/>
                <w:sz w:val="19"/>
                <w:szCs w:val="19"/>
              </w:rPr>
              <w:t>2024</w:t>
            </w:r>
          </w:p>
        </w:tc>
      </w:tr>
      <w:tr w:rsidR="008F504E" w:rsidRPr="008F504E" w14:paraId="1244ACAE"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Merge/>
            <w:vAlign w:val="center"/>
          </w:tcPr>
          <w:p w14:paraId="1B4B1DF1" w14:textId="77777777" w:rsidR="00072B02" w:rsidRPr="008F504E" w:rsidRDefault="00072B02" w:rsidP="0056419E">
            <w:pPr>
              <w:pStyle w:val="naisf"/>
              <w:spacing w:before="0" w:beforeAutospacing="0" w:after="0" w:afterAutospacing="0"/>
              <w:jc w:val="center"/>
              <w:rPr>
                <w:b/>
                <w:i/>
                <w:sz w:val="19"/>
                <w:szCs w:val="19"/>
              </w:rPr>
            </w:pPr>
          </w:p>
        </w:tc>
        <w:tc>
          <w:tcPr>
            <w:tcW w:w="486" w:type="pct"/>
            <w:vAlign w:val="center"/>
          </w:tcPr>
          <w:p w14:paraId="2BC8621F" w14:textId="77777777" w:rsidR="00072B02" w:rsidRPr="008F504E" w:rsidRDefault="00072B02" w:rsidP="0056419E">
            <w:pPr>
              <w:pStyle w:val="naisf"/>
              <w:spacing w:before="0" w:beforeAutospacing="0" w:after="0" w:afterAutospacing="0"/>
              <w:jc w:val="center"/>
              <w:rPr>
                <w:b/>
                <w:i/>
                <w:sz w:val="19"/>
                <w:szCs w:val="19"/>
              </w:rPr>
            </w:pPr>
            <w:r w:rsidRPr="008F504E">
              <w:rPr>
                <w:sz w:val="19"/>
                <w:szCs w:val="19"/>
              </w:rPr>
              <w:t>Saskaņā ar valsts budžetu kārtējam gadam</w:t>
            </w:r>
          </w:p>
        </w:tc>
        <w:tc>
          <w:tcPr>
            <w:tcW w:w="527" w:type="pct"/>
            <w:vAlign w:val="center"/>
          </w:tcPr>
          <w:p w14:paraId="4169023F" w14:textId="77777777" w:rsidR="00072B02" w:rsidRPr="008F504E" w:rsidRDefault="00072B02" w:rsidP="0056419E">
            <w:pPr>
              <w:pStyle w:val="naisf"/>
              <w:spacing w:before="0" w:beforeAutospacing="0" w:after="0" w:afterAutospacing="0"/>
              <w:jc w:val="center"/>
              <w:rPr>
                <w:b/>
                <w:i/>
                <w:sz w:val="19"/>
                <w:szCs w:val="19"/>
              </w:rPr>
            </w:pPr>
            <w:r w:rsidRPr="008F504E">
              <w:rPr>
                <w:sz w:val="19"/>
                <w:szCs w:val="19"/>
              </w:rPr>
              <w:t>Izmaiņas kārtējā gadā, salīdzinot ar budžetu kārtējam gadam</w:t>
            </w:r>
          </w:p>
        </w:tc>
        <w:tc>
          <w:tcPr>
            <w:tcW w:w="463" w:type="pct"/>
            <w:vAlign w:val="center"/>
          </w:tcPr>
          <w:p w14:paraId="7488138F" w14:textId="77777777" w:rsidR="00072B02" w:rsidRPr="008F504E" w:rsidRDefault="00072B02" w:rsidP="0056419E">
            <w:pPr>
              <w:pStyle w:val="naisf"/>
              <w:spacing w:before="0" w:beforeAutospacing="0" w:after="0" w:afterAutospacing="0"/>
              <w:jc w:val="center"/>
              <w:rPr>
                <w:b/>
                <w:i/>
                <w:sz w:val="19"/>
                <w:szCs w:val="19"/>
              </w:rPr>
            </w:pPr>
            <w:r w:rsidRPr="008F504E">
              <w:rPr>
                <w:sz w:val="19"/>
                <w:szCs w:val="19"/>
              </w:rPr>
              <w:t>Saskaņā ar vidēja termiņa budžeta ietvaru</w:t>
            </w:r>
          </w:p>
        </w:tc>
        <w:tc>
          <w:tcPr>
            <w:tcW w:w="527" w:type="pct"/>
            <w:vAlign w:val="center"/>
          </w:tcPr>
          <w:p w14:paraId="23634BA3" w14:textId="5D5E66F1" w:rsidR="00072B02" w:rsidRPr="008F504E" w:rsidRDefault="00072B02" w:rsidP="0056419E">
            <w:pPr>
              <w:pStyle w:val="naisf"/>
              <w:spacing w:before="0" w:beforeAutospacing="0" w:after="0" w:afterAutospacing="0"/>
              <w:jc w:val="center"/>
              <w:rPr>
                <w:b/>
                <w:sz w:val="19"/>
                <w:szCs w:val="19"/>
              </w:rPr>
            </w:pPr>
            <w:r w:rsidRPr="008F504E">
              <w:rPr>
                <w:bCs/>
                <w:iCs/>
                <w:sz w:val="19"/>
                <w:szCs w:val="19"/>
              </w:rPr>
              <w:t>Izmaiņas, salīdzinot ar vidējā termiņa budžeta ietvaru 20</w:t>
            </w:r>
            <w:r w:rsidR="00162FC8" w:rsidRPr="008F504E">
              <w:rPr>
                <w:bCs/>
                <w:iCs/>
                <w:sz w:val="19"/>
                <w:szCs w:val="19"/>
              </w:rPr>
              <w:t>22</w:t>
            </w:r>
            <w:r w:rsidRPr="008F504E">
              <w:rPr>
                <w:bCs/>
                <w:iCs/>
                <w:sz w:val="19"/>
                <w:szCs w:val="19"/>
              </w:rPr>
              <w:t>. gadam</w:t>
            </w:r>
          </w:p>
        </w:tc>
        <w:tc>
          <w:tcPr>
            <w:tcW w:w="463" w:type="pct"/>
            <w:vAlign w:val="center"/>
          </w:tcPr>
          <w:p w14:paraId="33597B44" w14:textId="77777777" w:rsidR="00072B02" w:rsidRPr="008F504E" w:rsidRDefault="00072B02" w:rsidP="0056419E">
            <w:pPr>
              <w:pStyle w:val="naisf"/>
              <w:spacing w:before="0" w:beforeAutospacing="0" w:after="0" w:afterAutospacing="0"/>
              <w:jc w:val="center"/>
              <w:rPr>
                <w:b/>
                <w:i/>
                <w:sz w:val="19"/>
                <w:szCs w:val="19"/>
              </w:rPr>
            </w:pPr>
            <w:r w:rsidRPr="008F504E">
              <w:rPr>
                <w:sz w:val="19"/>
                <w:szCs w:val="19"/>
              </w:rPr>
              <w:t>Saskaņā ar vidēja termiņa budžeta ietvaru</w:t>
            </w:r>
          </w:p>
        </w:tc>
        <w:tc>
          <w:tcPr>
            <w:tcW w:w="578" w:type="pct"/>
            <w:vAlign w:val="center"/>
          </w:tcPr>
          <w:p w14:paraId="0ADAAB62" w14:textId="5DB33FB4" w:rsidR="00072B02" w:rsidRPr="008F504E" w:rsidRDefault="00072B02" w:rsidP="0056419E">
            <w:pPr>
              <w:pStyle w:val="naisf"/>
              <w:spacing w:before="0" w:beforeAutospacing="0" w:after="0" w:afterAutospacing="0"/>
              <w:jc w:val="center"/>
              <w:rPr>
                <w:b/>
                <w:sz w:val="19"/>
                <w:szCs w:val="19"/>
              </w:rPr>
            </w:pPr>
            <w:r w:rsidRPr="008F504E">
              <w:rPr>
                <w:bCs/>
                <w:iCs/>
                <w:sz w:val="19"/>
                <w:szCs w:val="19"/>
              </w:rPr>
              <w:t>Izmaiņas, salīdzinot ar vidējā termiņa budžeta ietvaru 202</w:t>
            </w:r>
            <w:r w:rsidR="00162FC8" w:rsidRPr="008F504E">
              <w:rPr>
                <w:bCs/>
                <w:iCs/>
                <w:sz w:val="19"/>
                <w:szCs w:val="19"/>
              </w:rPr>
              <w:t>3</w:t>
            </w:r>
            <w:r w:rsidRPr="008F504E">
              <w:rPr>
                <w:bCs/>
                <w:iCs/>
                <w:sz w:val="19"/>
                <w:szCs w:val="19"/>
              </w:rPr>
              <w:t>. gadam</w:t>
            </w:r>
          </w:p>
        </w:tc>
        <w:tc>
          <w:tcPr>
            <w:tcW w:w="1037" w:type="pct"/>
            <w:vAlign w:val="center"/>
          </w:tcPr>
          <w:p w14:paraId="01ED939D" w14:textId="4A13479F" w:rsidR="00072B02" w:rsidRPr="008F504E" w:rsidRDefault="00072B02" w:rsidP="0056419E">
            <w:pPr>
              <w:pStyle w:val="naisf"/>
              <w:spacing w:before="0" w:beforeAutospacing="0" w:after="0" w:afterAutospacing="0"/>
              <w:jc w:val="center"/>
              <w:rPr>
                <w:b/>
                <w:i/>
                <w:sz w:val="19"/>
                <w:szCs w:val="19"/>
              </w:rPr>
            </w:pPr>
            <w:r w:rsidRPr="008F504E">
              <w:rPr>
                <w:bCs/>
                <w:iCs/>
                <w:sz w:val="19"/>
                <w:szCs w:val="19"/>
              </w:rPr>
              <w:t>Izmaiņas, salīdzinot ar vidējā termiņa budžeta ietvaru 202</w:t>
            </w:r>
            <w:r w:rsidR="00162FC8" w:rsidRPr="008F504E">
              <w:rPr>
                <w:bCs/>
                <w:iCs/>
                <w:sz w:val="19"/>
                <w:szCs w:val="19"/>
              </w:rPr>
              <w:t>3</w:t>
            </w:r>
            <w:r w:rsidRPr="008F504E">
              <w:rPr>
                <w:bCs/>
                <w:iCs/>
                <w:sz w:val="19"/>
                <w:szCs w:val="19"/>
              </w:rPr>
              <w:t>. gadam</w:t>
            </w:r>
          </w:p>
        </w:tc>
      </w:tr>
      <w:tr w:rsidR="008F504E" w:rsidRPr="008F504E" w14:paraId="746BAB73"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6FA13CFE"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1</w:t>
            </w:r>
          </w:p>
        </w:tc>
        <w:tc>
          <w:tcPr>
            <w:tcW w:w="486" w:type="pct"/>
            <w:vAlign w:val="center"/>
          </w:tcPr>
          <w:p w14:paraId="17ADCC72"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2</w:t>
            </w:r>
          </w:p>
        </w:tc>
        <w:tc>
          <w:tcPr>
            <w:tcW w:w="527" w:type="pct"/>
            <w:vAlign w:val="center"/>
          </w:tcPr>
          <w:p w14:paraId="0188E1BF"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3</w:t>
            </w:r>
          </w:p>
        </w:tc>
        <w:tc>
          <w:tcPr>
            <w:tcW w:w="463" w:type="pct"/>
            <w:vAlign w:val="center"/>
          </w:tcPr>
          <w:p w14:paraId="7B4915EE"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4</w:t>
            </w:r>
          </w:p>
        </w:tc>
        <w:tc>
          <w:tcPr>
            <w:tcW w:w="527" w:type="pct"/>
            <w:vAlign w:val="center"/>
          </w:tcPr>
          <w:p w14:paraId="3DDB387C"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5</w:t>
            </w:r>
          </w:p>
        </w:tc>
        <w:tc>
          <w:tcPr>
            <w:tcW w:w="463" w:type="pct"/>
            <w:vAlign w:val="center"/>
          </w:tcPr>
          <w:p w14:paraId="1E12B727"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6</w:t>
            </w:r>
          </w:p>
        </w:tc>
        <w:tc>
          <w:tcPr>
            <w:tcW w:w="578" w:type="pct"/>
            <w:vAlign w:val="center"/>
          </w:tcPr>
          <w:p w14:paraId="4F091F4B"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7</w:t>
            </w:r>
          </w:p>
        </w:tc>
        <w:tc>
          <w:tcPr>
            <w:tcW w:w="1037" w:type="pct"/>
            <w:vAlign w:val="center"/>
          </w:tcPr>
          <w:p w14:paraId="2C026F11" w14:textId="77777777" w:rsidR="00072B02" w:rsidRPr="008F504E" w:rsidRDefault="00072B02" w:rsidP="0056419E">
            <w:pPr>
              <w:pStyle w:val="naisf"/>
              <w:spacing w:before="0" w:beforeAutospacing="0" w:after="0" w:afterAutospacing="0"/>
              <w:jc w:val="center"/>
              <w:rPr>
                <w:bCs/>
                <w:sz w:val="19"/>
                <w:szCs w:val="19"/>
              </w:rPr>
            </w:pPr>
            <w:r w:rsidRPr="008F504E">
              <w:rPr>
                <w:bCs/>
                <w:sz w:val="19"/>
                <w:szCs w:val="19"/>
              </w:rPr>
              <w:t>8</w:t>
            </w:r>
          </w:p>
        </w:tc>
      </w:tr>
      <w:tr w:rsidR="008F504E" w:rsidRPr="008F504E" w14:paraId="07662682"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shd w:val="clear" w:color="auto" w:fill="E6E6E6"/>
            <w:vAlign w:val="center"/>
          </w:tcPr>
          <w:p w14:paraId="619D5788" w14:textId="77777777" w:rsidR="00072B02" w:rsidRPr="008F504E" w:rsidRDefault="00072B02" w:rsidP="0056419E">
            <w:pPr>
              <w:pStyle w:val="naisf"/>
              <w:spacing w:before="0" w:beforeAutospacing="0" w:after="0" w:afterAutospacing="0"/>
              <w:rPr>
                <w:i/>
                <w:sz w:val="19"/>
                <w:szCs w:val="19"/>
              </w:rPr>
            </w:pPr>
            <w:r w:rsidRPr="008F504E">
              <w:rPr>
                <w:sz w:val="19"/>
                <w:szCs w:val="19"/>
              </w:rPr>
              <w:t>1.Budžeta ieņēmumi:</w:t>
            </w:r>
          </w:p>
        </w:tc>
        <w:tc>
          <w:tcPr>
            <w:tcW w:w="486" w:type="pct"/>
            <w:shd w:val="clear" w:color="auto" w:fill="E6E6E6"/>
            <w:vAlign w:val="center"/>
          </w:tcPr>
          <w:p w14:paraId="6C33E6E1" w14:textId="43001860" w:rsidR="00072B02" w:rsidRPr="008F504E" w:rsidRDefault="00072B02" w:rsidP="0056419E">
            <w:pPr>
              <w:pStyle w:val="naisf"/>
              <w:spacing w:before="0" w:beforeAutospacing="0" w:after="0" w:afterAutospacing="0"/>
              <w:jc w:val="center"/>
              <w:rPr>
                <w:b/>
                <w:sz w:val="19"/>
                <w:szCs w:val="19"/>
              </w:rPr>
            </w:pPr>
            <w:r w:rsidRPr="008F504E">
              <w:rPr>
                <w:b/>
                <w:sz w:val="19"/>
                <w:szCs w:val="19"/>
              </w:rPr>
              <w:t>400 000</w:t>
            </w:r>
          </w:p>
        </w:tc>
        <w:tc>
          <w:tcPr>
            <w:tcW w:w="527" w:type="pct"/>
            <w:shd w:val="clear" w:color="auto" w:fill="E6E6E6"/>
            <w:vAlign w:val="center"/>
          </w:tcPr>
          <w:p w14:paraId="1E2D23DA"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44C51B11"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400 000</w:t>
            </w:r>
          </w:p>
        </w:tc>
        <w:tc>
          <w:tcPr>
            <w:tcW w:w="527" w:type="pct"/>
            <w:shd w:val="clear" w:color="auto" w:fill="E6E6E6"/>
            <w:vAlign w:val="center"/>
          </w:tcPr>
          <w:p w14:paraId="58AC2FD8"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60B4550C"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400 000</w:t>
            </w:r>
          </w:p>
        </w:tc>
        <w:tc>
          <w:tcPr>
            <w:tcW w:w="578" w:type="pct"/>
            <w:shd w:val="clear" w:color="auto" w:fill="E6E6E6"/>
            <w:vAlign w:val="center"/>
          </w:tcPr>
          <w:p w14:paraId="012F9690"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1037" w:type="pct"/>
            <w:shd w:val="clear" w:color="auto" w:fill="E6E6E6"/>
            <w:vAlign w:val="center"/>
          </w:tcPr>
          <w:p w14:paraId="19AFC6B1"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r>
      <w:tr w:rsidR="008F504E" w:rsidRPr="008F504E" w14:paraId="44107ECE"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shd w:val="clear" w:color="auto" w:fill="auto"/>
            <w:vAlign w:val="center"/>
          </w:tcPr>
          <w:p w14:paraId="74DFFCA9" w14:textId="77777777" w:rsidR="00072B02" w:rsidRPr="008F504E" w:rsidRDefault="00072B02" w:rsidP="0056419E">
            <w:pPr>
              <w:pStyle w:val="naisf"/>
              <w:spacing w:before="0" w:beforeAutospacing="0" w:after="0" w:afterAutospacing="0"/>
              <w:rPr>
                <w:sz w:val="19"/>
                <w:szCs w:val="19"/>
              </w:rPr>
            </w:pPr>
            <w:r w:rsidRPr="008F504E">
              <w:rPr>
                <w:sz w:val="19"/>
                <w:szCs w:val="19"/>
              </w:rPr>
              <w:t>1.1. valsts pamatbudžets, tai skaitā ieņēmumi no maksas pakalpojumiem un citi pašu ieņēmumi</w:t>
            </w:r>
          </w:p>
        </w:tc>
        <w:tc>
          <w:tcPr>
            <w:tcW w:w="486" w:type="pct"/>
            <w:shd w:val="clear" w:color="auto" w:fill="auto"/>
            <w:vAlign w:val="center"/>
          </w:tcPr>
          <w:p w14:paraId="4FECE720" w14:textId="14AFD4CC" w:rsidR="00072B02" w:rsidRPr="008F504E" w:rsidRDefault="00072B02" w:rsidP="0056419E">
            <w:pPr>
              <w:pStyle w:val="naisf"/>
              <w:spacing w:before="0" w:beforeAutospacing="0" w:after="0" w:afterAutospacing="0"/>
              <w:jc w:val="center"/>
              <w:rPr>
                <w:iCs/>
                <w:sz w:val="19"/>
                <w:szCs w:val="19"/>
              </w:rPr>
            </w:pPr>
            <w:r w:rsidRPr="008F504E">
              <w:rPr>
                <w:iCs/>
                <w:sz w:val="19"/>
                <w:szCs w:val="19"/>
              </w:rPr>
              <w:t>400 000</w:t>
            </w:r>
          </w:p>
        </w:tc>
        <w:tc>
          <w:tcPr>
            <w:tcW w:w="527" w:type="pct"/>
            <w:shd w:val="clear" w:color="auto" w:fill="auto"/>
            <w:vAlign w:val="center"/>
          </w:tcPr>
          <w:p w14:paraId="4E6BA54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shd w:val="clear" w:color="auto" w:fill="auto"/>
            <w:vAlign w:val="center"/>
          </w:tcPr>
          <w:p w14:paraId="12B112F4" w14:textId="77777777" w:rsidR="00072B02" w:rsidRPr="008F504E" w:rsidRDefault="00072B02" w:rsidP="0056419E">
            <w:pPr>
              <w:pStyle w:val="naisf"/>
              <w:spacing w:before="0" w:beforeAutospacing="0" w:after="0" w:afterAutospacing="0"/>
              <w:jc w:val="center"/>
              <w:rPr>
                <w:iCs/>
                <w:sz w:val="19"/>
                <w:szCs w:val="19"/>
              </w:rPr>
            </w:pPr>
            <w:r w:rsidRPr="008F504E">
              <w:rPr>
                <w:iCs/>
                <w:sz w:val="19"/>
                <w:szCs w:val="19"/>
              </w:rPr>
              <w:t>400 000</w:t>
            </w:r>
          </w:p>
        </w:tc>
        <w:tc>
          <w:tcPr>
            <w:tcW w:w="527" w:type="pct"/>
            <w:shd w:val="clear" w:color="auto" w:fill="auto"/>
            <w:vAlign w:val="center"/>
          </w:tcPr>
          <w:p w14:paraId="2E30D2EA" w14:textId="77777777" w:rsidR="00072B02" w:rsidRPr="008F504E" w:rsidRDefault="00072B02" w:rsidP="0056419E">
            <w:pPr>
              <w:pStyle w:val="naisf"/>
              <w:spacing w:before="0" w:beforeAutospacing="0" w:after="0" w:afterAutospacing="0"/>
              <w:jc w:val="center"/>
              <w:rPr>
                <w:iCs/>
                <w:sz w:val="19"/>
                <w:szCs w:val="19"/>
              </w:rPr>
            </w:pPr>
            <w:r w:rsidRPr="008F504E">
              <w:rPr>
                <w:iCs/>
                <w:sz w:val="19"/>
                <w:szCs w:val="19"/>
              </w:rPr>
              <w:t>0</w:t>
            </w:r>
          </w:p>
        </w:tc>
        <w:tc>
          <w:tcPr>
            <w:tcW w:w="463" w:type="pct"/>
            <w:shd w:val="clear" w:color="auto" w:fill="auto"/>
            <w:vAlign w:val="center"/>
          </w:tcPr>
          <w:p w14:paraId="22181E4C"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400 000</w:t>
            </w:r>
          </w:p>
        </w:tc>
        <w:tc>
          <w:tcPr>
            <w:tcW w:w="578" w:type="pct"/>
            <w:shd w:val="clear" w:color="auto" w:fill="auto"/>
            <w:vAlign w:val="center"/>
          </w:tcPr>
          <w:p w14:paraId="124F016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shd w:val="clear" w:color="auto" w:fill="auto"/>
            <w:vAlign w:val="center"/>
          </w:tcPr>
          <w:p w14:paraId="7BF6BF29"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71B87BBA"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47DD88DD" w14:textId="77777777" w:rsidR="00072B02" w:rsidRPr="008F504E" w:rsidRDefault="00072B02" w:rsidP="0056419E">
            <w:pPr>
              <w:pStyle w:val="naisf"/>
              <w:spacing w:before="0" w:beforeAutospacing="0" w:after="0" w:afterAutospacing="0"/>
              <w:rPr>
                <w:i/>
                <w:sz w:val="19"/>
                <w:szCs w:val="19"/>
              </w:rPr>
            </w:pPr>
            <w:r w:rsidRPr="008F504E">
              <w:rPr>
                <w:sz w:val="19"/>
                <w:szCs w:val="19"/>
              </w:rPr>
              <w:t>1.2. valsts speciālais budžets</w:t>
            </w:r>
          </w:p>
        </w:tc>
        <w:tc>
          <w:tcPr>
            <w:tcW w:w="486" w:type="pct"/>
            <w:vAlign w:val="center"/>
          </w:tcPr>
          <w:p w14:paraId="18D872E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42BDFCD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0D99788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53B2BF1E"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0B5AD272"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36480C2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0506D225"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1AE07D99"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4D6F87CE" w14:textId="77777777" w:rsidR="00072B02" w:rsidRPr="008F504E" w:rsidRDefault="00072B02" w:rsidP="0056419E">
            <w:pPr>
              <w:pStyle w:val="naisf"/>
              <w:spacing w:before="0" w:beforeAutospacing="0" w:after="0" w:afterAutospacing="0"/>
              <w:rPr>
                <w:i/>
                <w:sz w:val="19"/>
                <w:szCs w:val="19"/>
              </w:rPr>
            </w:pPr>
            <w:r w:rsidRPr="008F504E">
              <w:rPr>
                <w:sz w:val="19"/>
                <w:szCs w:val="19"/>
              </w:rPr>
              <w:t>1.3. pašvaldību budžets</w:t>
            </w:r>
          </w:p>
        </w:tc>
        <w:tc>
          <w:tcPr>
            <w:tcW w:w="486" w:type="pct"/>
            <w:vAlign w:val="center"/>
          </w:tcPr>
          <w:p w14:paraId="4AB9BFC7"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52FF1C3E"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1FEB6665"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24C3EB70"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0B2BEAC0"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2ED99108"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6B9DAC1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2B8E5FEE"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shd w:val="clear" w:color="auto" w:fill="E6E6E6"/>
            <w:vAlign w:val="center"/>
          </w:tcPr>
          <w:p w14:paraId="313F1EBD"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2. Budžeta izdevumi:</w:t>
            </w:r>
          </w:p>
        </w:tc>
        <w:tc>
          <w:tcPr>
            <w:tcW w:w="486" w:type="pct"/>
            <w:shd w:val="clear" w:color="auto" w:fill="E6E6E6"/>
            <w:vAlign w:val="center"/>
          </w:tcPr>
          <w:p w14:paraId="5D8B0F6D" w14:textId="260141B0" w:rsidR="00072B02" w:rsidRPr="008F504E" w:rsidRDefault="00072B02" w:rsidP="0056419E">
            <w:pPr>
              <w:pStyle w:val="naisf"/>
              <w:spacing w:before="0" w:beforeAutospacing="0" w:after="0" w:afterAutospacing="0"/>
              <w:jc w:val="center"/>
              <w:rPr>
                <w:b/>
                <w:sz w:val="19"/>
                <w:szCs w:val="19"/>
              </w:rPr>
            </w:pPr>
            <w:r w:rsidRPr="008F504E">
              <w:rPr>
                <w:b/>
                <w:sz w:val="19"/>
                <w:szCs w:val="19"/>
              </w:rPr>
              <w:t>400 000</w:t>
            </w:r>
          </w:p>
        </w:tc>
        <w:tc>
          <w:tcPr>
            <w:tcW w:w="527" w:type="pct"/>
            <w:shd w:val="clear" w:color="auto" w:fill="E6E6E6"/>
            <w:vAlign w:val="center"/>
          </w:tcPr>
          <w:p w14:paraId="3ADBAF7A"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18E79DDC"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400 000</w:t>
            </w:r>
          </w:p>
        </w:tc>
        <w:tc>
          <w:tcPr>
            <w:tcW w:w="527" w:type="pct"/>
            <w:shd w:val="clear" w:color="auto" w:fill="E6E6E6"/>
            <w:vAlign w:val="center"/>
          </w:tcPr>
          <w:p w14:paraId="089FBFCA"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738D6B11"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400 000</w:t>
            </w:r>
          </w:p>
        </w:tc>
        <w:tc>
          <w:tcPr>
            <w:tcW w:w="578" w:type="pct"/>
            <w:shd w:val="clear" w:color="auto" w:fill="E6E6E6"/>
            <w:vAlign w:val="center"/>
          </w:tcPr>
          <w:p w14:paraId="13515E58"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1037" w:type="pct"/>
            <w:shd w:val="clear" w:color="auto" w:fill="E6E6E6"/>
            <w:vAlign w:val="center"/>
          </w:tcPr>
          <w:p w14:paraId="339D107D"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0</w:t>
            </w:r>
          </w:p>
        </w:tc>
      </w:tr>
      <w:tr w:rsidR="008F504E" w:rsidRPr="008F504E" w14:paraId="19DA5F74"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1003031B"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2.1. valsts pamatbudžets</w:t>
            </w:r>
          </w:p>
        </w:tc>
        <w:tc>
          <w:tcPr>
            <w:tcW w:w="486" w:type="pct"/>
            <w:vAlign w:val="center"/>
          </w:tcPr>
          <w:p w14:paraId="5E9AEDE3" w14:textId="030B348B" w:rsidR="00072B02" w:rsidRPr="008F504E" w:rsidRDefault="00072B02" w:rsidP="0056419E">
            <w:pPr>
              <w:pStyle w:val="naisf"/>
              <w:spacing w:before="0" w:beforeAutospacing="0" w:after="0" w:afterAutospacing="0"/>
              <w:jc w:val="center"/>
              <w:rPr>
                <w:sz w:val="19"/>
                <w:szCs w:val="19"/>
              </w:rPr>
            </w:pPr>
            <w:r w:rsidRPr="008F504E">
              <w:rPr>
                <w:sz w:val="19"/>
                <w:szCs w:val="19"/>
              </w:rPr>
              <w:t>400 000</w:t>
            </w:r>
          </w:p>
        </w:tc>
        <w:tc>
          <w:tcPr>
            <w:tcW w:w="527" w:type="pct"/>
            <w:vAlign w:val="center"/>
          </w:tcPr>
          <w:p w14:paraId="78A4F773"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6BB5FCB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400 000</w:t>
            </w:r>
          </w:p>
        </w:tc>
        <w:tc>
          <w:tcPr>
            <w:tcW w:w="527" w:type="pct"/>
            <w:vAlign w:val="center"/>
          </w:tcPr>
          <w:p w14:paraId="3FAE22E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167DA09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400 000</w:t>
            </w:r>
          </w:p>
        </w:tc>
        <w:tc>
          <w:tcPr>
            <w:tcW w:w="578" w:type="pct"/>
            <w:vAlign w:val="center"/>
          </w:tcPr>
          <w:p w14:paraId="6C8725FC"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17C91FEC"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410FFE70"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698C99E3"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2.2. valsts speciālais budžets</w:t>
            </w:r>
          </w:p>
        </w:tc>
        <w:tc>
          <w:tcPr>
            <w:tcW w:w="486" w:type="pct"/>
            <w:vAlign w:val="center"/>
          </w:tcPr>
          <w:p w14:paraId="51F894D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48740F12"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2772FA23"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00F2C6F8"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7CC7B8A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1505124E"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7E9BFB98"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0E7609E1"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1DA0F138"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 xml:space="preserve">2.3. pašvaldību budžets </w:t>
            </w:r>
          </w:p>
        </w:tc>
        <w:tc>
          <w:tcPr>
            <w:tcW w:w="486" w:type="pct"/>
            <w:vAlign w:val="center"/>
          </w:tcPr>
          <w:p w14:paraId="4252C5B7"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7C77C52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19D495C3"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0B820CB8"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172EAF23"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75017F58"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557F448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3218C994"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shd w:val="clear" w:color="auto" w:fill="E6E6E6"/>
            <w:vAlign w:val="center"/>
          </w:tcPr>
          <w:p w14:paraId="6165ADBD"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3. Finansiālā ietekme:</w:t>
            </w:r>
          </w:p>
        </w:tc>
        <w:tc>
          <w:tcPr>
            <w:tcW w:w="486" w:type="pct"/>
            <w:shd w:val="clear" w:color="auto" w:fill="E6E6E6"/>
            <w:vAlign w:val="center"/>
          </w:tcPr>
          <w:p w14:paraId="14C723EC"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527" w:type="pct"/>
            <w:shd w:val="clear" w:color="auto" w:fill="E6E6E6"/>
            <w:vAlign w:val="center"/>
          </w:tcPr>
          <w:p w14:paraId="36B9DCAB"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13534DFC"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0</w:t>
            </w:r>
          </w:p>
        </w:tc>
        <w:tc>
          <w:tcPr>
            <w:tcW w:w="527" w:type="pct"/>
            <w:shd w:val="clear" w:color="auto" w:fill="E6E6E6"/>
            <w:vAlign w:val="center"/>
          </w:tcPr>
          <w:p w14:paraId="7DE3896B"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1D1BDC03"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0</w:t>
            </w:r>
          </w:p>
        </w:tc>
        <w:tc>
          <w:tcPr>
            <w:tcW w:w="578" w:type="pct"/>
            <w:shd w:val="clear" w:color="auto" w:fill="E6E6E6"/>
            <w:vAlign w:val="center"/>
          </w:tcPr>
          <w:p w14:paraId="50D42898"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1037" w:type="pct"/>
            <w:shd w:val="clear" w:color="auto" w:fill="E6E6E6"/>
            <w:vAlign w:val="center"/>
          </w:tcPr>
          <w:p w14:paraId="76263053"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0</w:t>
            </w:r>
          </w:p>
        </w:tc>
      </w:tr>
      <w:tr w:rsidR="008F504E" w:rsidRPr="008F504E" w14:paraId="1EB48C05"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7BF9FC1E"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3.1. valsts pamatbudžets</w:t>
            </w:r>
          </w:p>
        </w:tc>
        <w:tc>
          <w:tcPr>
            <w:tcW w:w="486" w:type="pct"/>
            <w:shd w:val="clear" w:color="auto" w:fill="auto"/>
            <w:vAlign w:val="center"/>
          </w:tcPr>
          <w:p w14:paraId="404A046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7298E1C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6E1A65C2"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05BEB4F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0032554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25FF73C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540A002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0B527A9F"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0F6C69F8"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3.2. speciālais budžets</w:t>
            </w:r>
          </w:p>
        </w:tc>
        <w:tc>
          <w:tcPr>
            <w:tcW w:w="486" w:type="pct"/>
            <w:shd w:val="clear" w:color="auto" w:fill="auto"/>
            <w:vAlign w:val="center"/>
          </w:tcPr>
          <w:p w14:paraId="4D2A13E1"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62496ED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362DE840"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1A33B74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4D0B7C21"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4CA5ED8E"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14974C30"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3C75DF27"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7636ED8A"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 xml:space="preserve">3.3. pašvaldību budžets </w:t>
            </w:r>
          </w:p>
        </w:tc>
        <w:tc>
          <w:tcPr>
            <w:tcW w:w="486" w:type="pct"/>
            <w:shd w:val="clear" w:color="auto" w:fill="auto"/>
            <w:vAlign w:val="center"/>
          </w:tcPr>
          <w:p w14:paraId="3443C7C9"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27543F37"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6609E89C"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252D9B64"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61AF0253"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11F9106F"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1AF8237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35CC9BBB"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60"/>
          <w:jc w:val="center"/>
        </w:trPr>
        <w:tc>
          <w:tcPr>
            <w:tcW w:w="771" w:type="pct"/>
            <w:vAlign w:val="center"/>
          </w:tcPr>
          <w:p w14:paraId="10FEC139"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4. Finanšu līdzekļi papildu izde</w:t>
            </w:r>
            <w:r w:rsidRPr="008F504E">
              <w:rPr>
                <w:rFonts w:ascii="Times New Roman" w:hAnsi="Times New Roman" w:cs="Times New Roman"/>
                <w:sz w:val="19"/>
                <w:szCs w:val="19"/>
              </w:rPr>
              <w:softHyphen/>
              <w:t>vumu finansēšanai (kompensējošu izdevumu samazinājumu norāda ar „+” zīmi)</w:t>
            </w:r>
          </w:p>
        </w:tc>
        <w:tc>
          <w:tcPr>
            <w:tcW w:w="486" w:type="pct"/>
            <w:shd w:val="clear" w:color="auto" w:fill="auto"/>
            <w:vAlign w:val="center"/>
          </w:tcPr>
          <w:p w14:paraId="18476A52"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06C691A0" w14:textId="77777777" w:rsidR="00072B02" w:rsidRPr="008F504E" w:rsidRDefault="00072B02" w:rsidP="0056419E">
            <w:pPr>
              <w:pStyle w:val="naisf"/>
              <w:spacing w:before="0" w:after="0"/>
              <w:jc w:val="center"/>
              <w:rPr>
                <w:sz w:val="19"/>
                <w:szCs w:val="19"/>
              </w:rPr>
            </w:pPr>
            <w:r w:rsidRPr="008F504E">
              <w:rPr>
                <w:sz w:val="19"/>
                <w:szCs w:val="19"/>
              </w:rPr>
              <w:t>0</w:t>
            </w:r>
          </w:p>
        </w:tc>
        <w:tc>
          <w:tcPr>
            <w:tcW w:w="463" w:type="pct"/>
            <w:vAlign w:val="center"/>
          </w:tcPr>
          <w:p w14:paraId="0ACD65B2" w14:textId="77777777" w:rsidR="00072B02" w:rsidRPr="008F504E" w:rsidRDefault="00072B02" w:rsidP="0056419E">
            <w:pPr>
              <w:pStyle w:val="naisf"/>
              <w:spacing w:before="0" w:after="0"/>
              <w:jc w:val="center"/>
              <w:rPr>
                <w:sz w:val="19"/>
                <w:szCs w:val="19"/>
              </w:rPr>
            </w:pPr>
            <w:r w:rsidRPr="008F504E">
              <w:rPr>
                <w:sz w:val="19"/>
                <w:szCs w:val="19"/>
              </w:rPr>
              <w:t>0</w:t>
            </w:r>
          </w:p>
        </w:tc>
        <w:tc>
          <w:tcPr>
            <w:tcW w:w="527" w:type="pct"/>
            <w:vAlign w:val="center"/>
          </w:tcPr>
          <w:p w14:paraId="04C3047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488F999B" w14:textId="77777777" w:rsidR="00072B02" w:rsidRPr="008F504E" w:rsidRDefault="00072B02" w:rsidP="0056419E">
            <w:pPr>
              <w:pStyle w:val="naisf"/>
              <w:spacing w:before="0" w:after="0"/>
              <w:jc w:val="center"/>
              <w:rPr>
                <w:sz w:val="19"/>
                <w:szCs w:val="19"/>
              </w:rPr>
            </w:pPr>
            <w:r w:rsidRPr="008F504E">
              <w:rPr>
                <w:sz w:val="19"/>
                <w:szCs w:val="19"/>
              </w:rPr>
              <w:t>0</w:t>
            </w:r>
          </w:p>
        </w:tc>
        <w:tc>
          <w:tcPr>
            <w:tcW w:w="578" w:type="pct"/>
            <w:vAlign w:val="center"/>
          </w:tcPr>
          <w:p w14:paraId="4804AE9E"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76ABBF08" w14:textId="77777777" w:rsidR="00072B02" w:rsidRPr="008F504E" w:rsidRDefault="00072B02" w:rsidP="0056419E">
            <w:pPr>
              <w:pStyle w:val="naisf"/>
              <w:spacing w:before="0" w:after="0"/>
              <w:jc w:val="center"/>
              <w:rPr>
                <w:sz w:val="19"/>
                <w:szCs w:val="19"/>
              </w:rPr>
            </w:pPr>
            <w:r w:rsidRPr="008F504E">
              <w:rPr>
                <w:sz w:val="19"/>
                <w:szCs w:val="19"/>
              </w:rPr>
              <w:t>0</w:t>
            </w:r>
          </w:p>
        </w:tc>
      </w:tr>
      <w:tr w:rsidR="008F504E" w:rsidRPr="008F504E" w14:paraId="2ADD41F9"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shd w:val="clear" w:color="auto" w:fill="E6E6E6"/>
            <w:vAlign w:val="center"/>
          </w:tcPr>
          <w:p w14:paraId="057F184C"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lastRenderedPageBreak/>
              <w:t>5. Precizēta finansiālā ietekme:</w:t>
            </w:r>
          </w:p>
        </w:tc>
        <w:tc>
          <w:tcPr>
            <w:tcW w:w="486" w:type="pct"/>
            <w:vMerge w:val="restart"/>
            <w:shd w:val="clear" w:color="auto" w:fill="auto"/>
            <w:vAlign w:val="center"/>
          </w:tcPr>
          <w:p w14:paraId="77D3DA65"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shd w:val="clear" w:color="auto" w:fill="E6E6E6"/>
            <w:vAlign w:val="center"/>
          </w:tcPr>
          <w:p w14:paraId="156E5D24"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45F7D8B6"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0</w:t>
            </w:r>
          </w:p>
        </w:tc>
        <w:tc>
          <w:tcPr>
            <w:tcW w:w="527" w:type="pct"/>
            <w:shd w:val="clear" w:color="auto" w:fill="E6E6E6"/>
            <w:vAlign w:val="center"/>
          </w:tcPr>
          <w:p w14:paraId="5041A584"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463" w:type="pct"/>
            <w:shd w:val="clear" w:color="auto" w:fill="E6E6E6"/>
            <w:vAlign w:val="center"/>
          </w:tcPr>
          <w:p w14:paraId="0177AC46"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0</w:t>
            </w:r>
          </w:p>
        </w:tc>
        <w:tc>
          <w:tcPr>
            <w:tcW w:w="578" w:type="pct"/>
            <w:shd w:val="clear" w:color="auto" w:fill="E6E6E6"/>
            <w:vAlign w:val="center"/>
          </w:tcPr>
          <w:p w14:paraId="67189B72" w14:textId="77777777" w:rsidR="00072B02" w:rsidRPr="008F504E" w:rsidRDefault="00072B02" w:rsidP="0056419E">
            <w:pPr>
              <w:pStyle w:val="naisf"/>
              <w:spacing w:before="0" w:beforeAutospacing="0" w:after="0" w:afterAutospacing="0"/>
              <w:jc w:val="center"/>
              <w:rPr>
                <w:b/>
                <w:sz w:val="19"/>
                <w:szCs w:val="19"/>
              </w:rPr>
            </w:pPr>
            <w:r w:rsidRPr="008F504E">
              <w:rPr>
                <w:b/>
                <w:sz w:val="19"/>
                <w:szCs w:val="19"/>
              </w:rPr>
              <w:t>0</w:t>
            </w:r>
          </w:p>
        </w:tc>
        <w:tc>
          <w:tcPr>
            <w:tcW w:w="1037" w:type="pct"/>
            <w:shd w:val="clear" w:color="auto" w:fill="E6E6E6"/>
            <w:vAlign w:val="center"/>
          </w:tcPr>
          <w:p w14:paraId="36105017" w14:textId="77777777" w:rsidR="00072B02" w:rsidRPr="008F504E" w:rsidRDefault="00072B02" w:rsidP="0056419E">
            <w:pPr>
              <w:pStyle w:val="naisf"/>
              <w:spacing w:before="0" w:beforeAutospacing="0" w:after="0" w:afterAutospacing="0"/>
              <w:jc w:val="center"/>
              <w:rPr>
                <w:b/>
                <w:sz w:val="19"/>
                <w:szCs w:val="19"/>
              </w:rPr>
            </w:pPr>
            <w:r w:rsidRPr="008F504E">
              <w:rPr>
                <w:b/>
                <w:bCs/>
                <w:sz w:val="19"/>
                <w:szCs w:val="19"/>
              </w:rPr>
              <w:t>0</w:t>
            </w:r>
          </w:p>
        </w:tc>
      </w:tr>
      <w:tr w:rsidR="008F504E" w:rsidRPr="008F504E" w14:paraId="3A4A0C29"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0538A91B"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5.1. valsts pamatbudžets</w:t>
            </w:r>
          </w:p>
        </w:tc>
        <w:tc>
          <w:tcPr>
            <w:tcW w:w="486" w:type="pct"/>
            <w:vMerge/>
            <w:shd w:val="clear" w:color="auto" w:fill="auto"/>
            <w:vAlign w:val="center"/>
          </w:tcPr>
          <w:p w14:paraId="69BC1466" w14:textId="77777777" w:rsidR="00072B02" w:rsidRPr="008F504E" w:rsidRDefault="00072B02" w:rsidP="0056419E">
            <w:pPr>
              <w:pStyle w:val="naisf"/>
              <w:spacing w:before="0" w:beforeAutospacing="0" w:after="0" w:afterAutospacing="0"/>
              <w:jc w:val="center"/>
              <w:rPr>
                <w:sz w:val="19"/>
                <w:szCs w:val="19"/>
              </w:rPr>
            </w:pPr>
          </w:p>
        </w:tc>
        <w:tc>
          <w:tcPr>
            <w:tcW w:w="527" w:type="pct"/>
            <w:vAlign w:val="center"/>
          </w:tcPr>
          <w:p w14:paraId="6F67719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6E7E3E5E"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7C2B8E1C"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2DF7D304"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17670A43"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67015C97"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0DE8510F"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45C14BAC"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5.2. speciālais budžets</w:t>
            </w:r>
          </w:p>
        </w:tc>
        <w:tc>
          <w:tcPr>
            <w:tcW w:w="486" w:type="pct"/>
            <w:vMerge/>
            <w:shd w:val="clear" w:color="auto" w:fill="auto"/>
            <w:vAlign w:val="center"/>
          </w:tcPr>
          <w:p w14:paraId="2380E9F7" w14:textId="77777777" w:rsidR="00072B02" w:rsidRPr="008F504E" w:rsidRDefault="00072B02" w:rsidP="0056419E">
            <w:pPr>
              <w:pStyle w:val="naisf"/>
              <w:spacing w:before="0" w:beforeAutospacing="0" w:after="0" w:afterAutospacing="0"/>
              <w:jc w:val="center"/>
              <w:rPr>
                <w:sz w:val="19"/>
                <w:szCs w:val="19"/>
              </w:rPr>
            </w:pPr>
          </w:p>
        </w:tc>
        <w:tc>
          <w:tcPr>
            <w:tcW w:w="527" w:type="pct"/>
            <w:vAlign w:val="center"/>
          </w:tcPr>
          <w:p w14:paraId="239C727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43DFE884"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7FE7ED03"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7F7C7CDA"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65CEC5A2"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4880BD3B"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5F12BA61"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247A7103"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 xml:space="preserve">5.3. pašvaldību budžets </w:t>
            </w:r>
          </w:p>
        </w:tc>
        <w:tc>
          <w:tcPr>
            <w:tcW w:w="486" w:type="pct"/>
            <w:vMerge/>
            <w:shd w:val="clear" w:color="auto" w:fill="auto"/>
            <w:vAlign w:val="center"/>
          </w:tcPr>
          <w:p w14:paraId="084E3B49" w14:textId="77777777" w:rsidR="00072B02" w:rsidRPr="008F504E" w:rsidRDefault="00072B02" w:rsidP="0056419E">
            <w:pPr>
              <w:pStyle w:val="naisf"/>
              <w:spacing w:before="0" w:beforeAutospacing="0" w:after="0" w:afterAutospacing="0"/>
              <w:jc w:val="center"/>
              <w:rPr>
                <w:sz w:val="19"/>
                <w:szCs w:val="19"/>
              </w:rPr>
            </w:pPr>
          </w:p>
        </w:tc>
        <w:tc>
          <w:tcPr>
            <w:tcW w:w="527" w:type="pct"/>
            <w:vAlign w:val="center"/>
          </w:tcPr>
          <w:p w14:paraId="3C452607"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43D0B176"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27" w:type="pct"/>
            <w:vAlign w:val="center"/>
          </w:tcPr>
          <w:p w14:paraId="3834CA51"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463" w:type="pct"/>
            <w:vAlign w:val="center"/>
          </w:tcPr>
          <w:p w14:paraId="5C426615"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578" w:type="pct"/>
            <w:vAlign w:val="center"/>
          </w:tcPr>
          <w:p w14:paraId="7A53199A"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c>
          <w:tcPr>
            <w:tcW w:w="1037" w:type="pct"/>
            <w:vAlign w:val="center"/>
          </w:tcPr>
          <w:p w14:paraId="610A3150"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0</w:t>
            </w:r>
          </w:p>
        </w:tc>
      </w:tr>
      <w:tr w:rsidR="008F504E" w:rsidRPr="008F504E" w14:paraId="0A69E405"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6C84FFCA"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6. Detalizēts ieņēmumu un izdevu</w:t>
            </w:r>
            <w:r w:rsidRPr="008F504E">
              <w:rPr>
                <w:rFonts w:ascii="Times New Roman" w:hAnsi="Times New Roman" w:cs="Times New Roman"/>
                <w:sz w:val="19"/>
                <w:szCs w:val="19"/>
              </w:rPr>
              <w:softHyphen/>
              <w:t>mu aprēķins (ja nepieciešams, detalizētu ieņēmumu un izdevumu aprēķinu var pievienot anotācijas pielikumā):</w:t>
            </w:r>
          </w:p>
        </w:tc>
        <w:tc>
          <w:tcPr>
            <w:tcW w:w="4179" w:type="pct"/>
            <w:gridSpan w:val="7"/>
            <w:vMerge w:val="restart"/>
            <w:vAlign w:val="center"/>
          </w:tcPr>
          <w:p w14:paraId="4555DF72" w14:textId="77777777" w:rsidR="00072B02" w:rsidRPr="008F504E" w:rsidRDefault="00072B02" w:rsidP="0056419E">
            <w:pPr>
              <w:pStyle w:val="naisf"/>
              <w:spacing w:before="0" w:beforeAutospacing="0" w:after="0" w:afterAutospacing="0"/>
              <w:jc w:val="center"/>
              <w:rPr>
                <w:sz w:val="19"/>
                <w:szCs w:val="19"/>
              </w:rPr>
            </w:pPr>
          </w:p>
        </w:tc>
      </w:tr>
      <w:tr w:rsidR="008F504E" w:rsidRPr="008F504E" w14:paraId="14713859"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1B5D51DC"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6.1. detalizēts ieņēmumu aprēķins</w:t>
            </w:r>
          </w:p>
        </w:tc>
        <w:tc>
          <w:tcPr>
            <w:tcW w:w="4179" w:type="pct"/>
            <w:gridSpan w:val="7"/>
            <w:vMerge/>
            <w:vAlign w:val="center"/>
          </w:tcPr>
          <w:p w14:paraId="661A27AE" w14:textId="77777777" w:rsidR="00072B02" w:rsidRPr="008F504E" w:rsidRDefault="00072B02" w:rsidP="0056419E">
            <w:pPr>
              <w:pStyle w:val="naisf"/>
              <w:spacing w:before="0" w:beforeAutospacing="0" w:after="0" w:afterAutospacing="0"/>
              <w:rPr>
                <w:sz w:val="19"/>
                <w:szCs w:val="19"/>
              </w:rPr>
            </w:pPr>
          </w:p>
        </w:tc>
      </w:tr>
      <w:tr w:rsidR="008F504E" w:rsidRPr="008F504E" w14:paraId="135EE340"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27"/>
          <w:jc w:val="center"/>
        </w:trPr>
        <w:tc>
          <w:tcPr>
            <w:tcW w:w="771" w:type="pct"/>
            <w:vAlign w:val="center"/>
          </w:tcPr>
          <w:p w14:paraId="568B64A7"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6.2. detalizēts izdevumu aprēķins</w:t>
            </w:r>
          </w:p>
        </w:tc>
        <w:tc>
          <w:tcPr>
            <w:tcW w:w="4179" w:type="pct"/>
            <w:gridSpan w:val="7"/>
            <w:vMerge/>
            <w:vAlign w:val="center"/>
          </w:tcPr>
          <w:p w14:paraId="3CA14EF5" w14:textId="77777777" w:rsidR="00072B02" w:rsidRPr="008F504E" w:rsidRDefault="00072B02" w:rsidP="0056419E">
            <w:pPr>
              <w:pStyle w:val="naisf"/>
              <w:spacing w:before="0" w:beforeAutospacing="0" w:after="0" w:afterAutospacing="0"/>
              <w:jc w:val="center"/>
              <w:rPr>
                <w:b/>
                <w:sz w:val="19"/>
                <w:szCs w:val="19"/>
              </w:rPr>
            </w:pPr>
          </w:p>
        </w:tc>
      </w:tr>
      <w:tr w:rsidR="008F504E" w:rsidRPr="008F504E" w14:paraId="21197417"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27"/>
          <w:jc w:val="center"/>
        </w:trPr>
        <w:tc>
          <w:tcPr>
            <w:tcW w:w="771" w:type="pct"/>
            <w:vAlign w:val="center"/>
          </w:tcPr>
          <w:p w14:paraId="3A40C459" w14:textId="77777777" w:rsidR="00072B02" w:rsidRPr="008F504E" w:rsidRDefault="00072B02" w:rsidP="0056419E">
            <w:pPr>
              <w:rPr>
                <w:rFonts w:ascii="Times New Roman" w:hAnsi="Times New Roman" w:cs="Times New Roman"/>
                <w:sz w:val="19"/>
                <w:szCs w:val="19"/>
              </w:rPr>
            </w:pPr>
            <w:r w:rsidRPr="008F504E">
              <w:rPr>
                <w:rFonts w:ascii="Times New Roman" w:hAnsi="Times New Roman" w:cs="Times New Roman"/>
                <w:sz w:val="19"/>
                <w:szCs w:val="19"/>
              </w:rPr>
              <w:t>7. Amata vietu skaita izmaiņas</w:t>
            </w:r>
          </w:p>
        </w:tc>
        <w:tc>
          <w:tcPr>
            <w:tcW w:w="4179" w:type="pct"/>
            <w:gridSpan w:val="7"/>
            <w:vAlign w:val="center"/>
          </w:tcPr>
          <w:p w14:paraId="61B969B7" w14:textId="77777777" w:rsidR="00072B02" w:rsidRPr="008F504E" w:rsidRDefault="00072B02" w:rsidP="0056419E">
            <w:pPr>
              <w:pStyle w:val="naisf"/>
              <w:spacing w:before="0" w:beforeAutospacing="0" w:after="0" w:afterAutospacing="0"/>
              <w:jc w:val="center"/>
              <w:rPr>
                <w:sz w:val="19"/>
                <w:szCs w:val="19"/>
              </w:rPr>
            </w:pPr>
            <w:r w:rsidRPr="008F504E">
              <w:rPr>
                <w:sz w:val="19"/>
                <w:szCs w:val="19"/>
              </w:rPr>
              <w:t>Nav plānotas.</w:t>
            </w:r>
          </w:p>
        </w:tc>
      </w:tr>
      <w:tr w:rsidR="008F504E" w:rsidRPr="008F504E" w14:paraId="072D1BFA" w14:textId="77777777" w:rsidTr="00653DEB">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771" w:type="pct"/>
            <w:vAlign w:val="center"/>
          </w:tcPr>
          <w:p w14:paraId="68874B54" w14:textId="77777777" w:rsidR="00072B02" w:rsidRPr="008F504E" w:rsidRDefault="00072B02" w:rsidP="0056419E">
            <w:pPr>
              <w:jc w:val="both"/>
              <w:rPr>
                <w:rFonts w:ascii="Times New Roman" w:hAnsi="Times New Roman" w:cs="Times New Roman"/>
                <w:sz w:val="19"/>
                <w:szCs w:val="19"/>
              </w:rPr>
            </w:pPr>
            <w:r w:rsidRPr="008F504E">
              <w:rPr>
                <w:rFonts w:ascii="Times New Roman" w:hAnsi="Times New Roman" w:cs="Times New Roman"/>
                <w:sz w:val="19"/>
                <w:szCs w:val="19"/>
              </w:rPr>
              <w:t xml:space="preserve"> 8.Cita informācija</w:t>
            </w:r>
          </w:p>
        </w:tc>
        <w:tc>
          <w:tcPr>
            <w:tcW w:w="4179" w:type="pct"/>
            <w:gridSpan w:val="7"/>
            <w:vAlign w:val="center"/>
          </w:tcPr>
          <w:p w14:paraId="2961BF77" w14:textId="697FB83A" w:rsidR="00072B02" w:rsidRPr="008F504E" w:rsidRDefault="00072B02" w:rsidP="005C3388">
            <w:pPr>
              <w:pStyle w:val="naisf"/>
              <w:spacing w:before="0" w:beforeAutospacing="0" w:after="0" w:afterAutospacing="0"/>
              <w:rPr>
                <w:sz w:val="22"/>
                <w:szCs w:val="22"/>
              </w:rPr>
            </w:pPr>
            <w:r w:rsidRPr="008F504E">
              <w:rPr>
                <w:sz w:val="22"/>
                <w:szCs w:val="22"/>
              </w:rPr>
              <w:t xml:space="preserve">Militāra vai divējāda pielietojuma produktu atbalsts 2021. gadā tiks finansēts no </w:t>
            </w:r>
            <w:r w:rsidRPr="008F504E">
              <w:rPr>
                <w:bCs/>
                <w:iCs/>
                <w:sz w:val="22"/>
                <w:szCs w:val="22"/>
              </w:rPr>
              <w:t xml:space="preserve">Aizsardzības ministrijas budžeta apakšprogrammā 22.12.00 “Nacionālo bruņoto spēku uzturēšana” plānotajiem </w:t>
            </w:r>
            <w:r w:rsidRPr="008F504E">
              <w:rPr>
                <w:sz w:val="22"/>
                <w:szCs w:val="22"/>
              </w:rPr>
              <w:t xml:space="preserve">līdzekļiem grantiem. </w:t>
            </w:r>
          </w:p>
          <w:p w14:paraId="2B0558D1" w14:textId="5D00655E" w:rsidR="00072B02" w:rsidRPr="008F504E" w:rsidRDefault="00072B02" w:rsidP="005C3388">
            <w:pPr>
              <w:pStyle w:val="naisf"/>
              <w:spacing w:before="0" w:beforeAutospacing="0" w:after="0" w:afterAutospacing="0"/>
              <w:rPr>
                <w:sz w:val="19"/>
                <w:szCs w:val="19"/>
              </w:rPr>
            </w:pPr>
            <w:r w:rsidRPr="008F504E">
              <w:rPr>
                <w:sz w:val="22"/>
                <w:szCs w:val="22"/>
              </w:rPr>
              <w:t>Militāra vai divējāda pielietojuma produktu atbalsts no 2022.  – 202</w:t>
            </w:r>
            <w:r w:rsidR="005C3388" w:rsidRPr="008F504E">
              <w:rPr>
                <w:sz w:val="22"/>
                <w:szCs w:val="22"/>
              </w:rPr>
              <w:t>3</w:t>
            </w:r>
            <w:r w:rsidRPr="008F504E">
              <w:rPr>
                <w:sz w:val="22"/>
                <w:szCs w:val="22"/>
              </w:rPr>
              <w:t>. gadam tiks īstenots Aizsardzības ministrija</w:t>
            </w:r>
            <w:r w:rsidR="005C3388" w:rsidRPr="008F504E">
              <w:rPr>
                <w:sz w:val="22"/>
                <w:szCs w:val="22"/>
              </w:rPr>
              <w:t>i piešķirto</w:t>
            </w:r>
            <w:r w:rsidRPr="008F504E">
              <w:rPr>
                <w:sz w:val="22"/>
                <w:szCs w:val="22"/>
              </w:rPr>
              <w:t xml:space="preserve"> budžeta</w:t>
            </w:r>
            <w:r w:rsidR="005C3388" w:rsidRPr="008F504E">
              <w:rPr>
                <w:sz w:val="22"/>
                <w:szCs w:val="22"/>
              </w:rPr>
              <w:t xml:space="preserve"> līdzekļu ietvaros no budžeta</w:t>
            </w:r>
            <w:r w:rsidRPr="008F504E">
              <w:rPr>
                <w:sz w:val="22"/>
                <w:szCs w:val="22"/>
              </w:rPr>
              <w:t xml:space="preserve"> apakšprogrammas 22.12.00 “Nacionālo bruņoto spēku uzturēšana”</w:t>
            </w:r>
            <w:r w:rsidR="005C3388" w:rsidRPr="008F504E">
              <w:rPr>
                <w:sz w:val="22"/>
                <w:szCs w:val="22"/>
              </w:rPr>
              <w:t>.</w:t>
            </w:r>
            <w:r w:rsidRPr="008F504E">
              <w:rPr>
                <w:sz w:val="22"/>
                <w:szCs w:val="22"/>
              </w:rPr>
              <w:t xml:space="preserve"> </w:t>
            </w:r>
            <w:r w:rsidR="005C3388" w:rsidRPr="008F504E">
              <w:rPr>
                <w:sz w:val="22"/>
                <w:szCs w:val="22"/>
              </w:rPr>
              <w:t>A</w:t>
            </w:r>
            <w:r w:rsidRPr="008F504E">
              <w:rPr>
                <w:sz w:val="22"/>
                <w:szCs w:val="22"/>
              </w:rPr>
              <w:t xml:space="preserve">tbalstāmo projektu </w:t>
            </w:r>
            <w:r w:rsidR="008553A1" w:rsidRPr="008F504E">
              <w:rPr>
                <w:sz w:val="22"/>
                <w:szCs w:val="22"/>
              </w:rPr>
              <w:t xml:space="preserve">daudzums </w:t>
            </w:r>
            <w:r w:rsidRPr="008F504E">
              <w:rPr>
                <w:sz w:val="22"/>
                <w:szCs w:val="22"/>
              </w:rPr>
              <w:t xml:space="preserve">un </w:t>
            </w:r>
            <w:r w:rsidR="008553A1" w:rsidRPr="008F504E">
              <w:rPr>
                <w:sz w:val="22"/>
                <w:szCs w:val="22"/>
              </w:rPr>
              <w:t>pieejam</w:t>
            </w:r>
            <w:r w:rsidRPr="008F504E">
              <w:rPr>
                <w:sz w:val="22"/>
                <w:szCs w:val="22"/>
              </w:rPr>
              <w:t xml:space="preserve">ā finansiālā atbalsta </w:t>
            </w:r>
            <w:r w:rsidR="008553A1" w:rsidRPr="008F504E">
              <w:rPr>
                <w:sz w:val="22"/>
                <w:szCs w:val="22"/>
              </w:rPr>
              <w:t>sadalījums</w:t>
            </w:r>
            <w:r w:rsidRPr="008F504E">
              <w:rPr>
                <w:sz w:val="22"/>
                <w:szCs w:val="22"/>
              </w:rPr>
              <w:t xml:space="preserve"> atkarīgs no </w:t>
            </w:r>
            <w:r w:rsidR="00545419" w:rsidRPr="008F504E">
              <w:rPr>
                <w:sz w:val="22"/>
                <w:szCs w:val="22"/>
              </w:rPr>
              <w:t xml:space="preserve">kopējā </w:t>
            </w:r>
            <w:r w:rsidRPr="008F504E">
              <w:rPr>
                <w:sz w:val="22"/>
                <w:szCs w:val="22"/>
              </w:rPr>
              <w:t>iesniegto projektu daudzuma</w:t>
            </w:r>
            <w:r w:rsidR="00545419" w:rsidRPr="008F504E">
              <w:rPr>
                <w:sz w:val="22"/>
                <w:szCs w:val="22"/>
              </w:rPr>
              <w:t xml:space="preserve"> un pieprasītā finansiālā atbalsta</w:t>
            </w:r>
            <w:r w:rsidRPr="008F504E">
              <w:rPr>
                <w:sz w:val="22"/>
                <w:szCs w:val="22"/>
              </w:rPr>
              <w:t>.</w:t>
            </w:r>
          </w:p>
        </w:tc>
      </w:tr>
    </w:tbl>
    <w:p w14:paraId="76A57831"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04E" w:rsidRPr="008F504E" w14:paraId="4EA577E3" w14:textId="77777777" w:rsidTr="007E42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0E6DD" w14:textId="77777777" w:rsidR="000524D6" w:rsidRPr="008F504E" w:rsidRDefault="000524D6" w:rsidP="007E42BA">
            <w:pPr>
              <w:spacing w:after="0" w:line="240" w:lineRule="auto"/>
              <w:rPr>
                <w:rFonts w:ascii="Times New Roman" w:hAnsi="Times New Roman" w:cs="Times New Roman"/>
                <w:b/>
                <w:sz w:val="24"/>
                <w:szCs w:val="24"/>
              </w:rPr>
            </w:pPr>
            <w:r w:rsidRPr="008F504E">
              <w:rPr>
                <w:rFonts w:ascii="Times New Roman" w:hAnsi="Times New Roman" w:cs="Times New Roman"/>
                <w:b/>
                <w:sz w:val="24"/>
                <w:szCs w:val="24"/>
              </w:rPr>
              <w:t>IV. Tiesību akta projekta ietekme uz spēkā esošo tiesību normu sistēmu</w:t>
            </w:r>
          </w:p>
        </w:tc>
      </w:tr>
      <w:tr w:rsidR="000524D6" w:rsidRPr="008F504E" w14:paraId="236DE4C6" w14:textId="77777777" w:rsidTr="007E42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F523DF" w14:textId="77777777" w:rsidR="000524D6" w:rsidRPr="008F504E" w:rsidRDefault="000524D6" w:rsidP="007E42BA">
            <w:pPr>
              <w:spacing w:after="0" w:line="240" w:lineRule="auto"/>
              <w:jc w:val="center"/>
              <w:rPr>
                <w:rFonts w:ascii="Times New Roman" w:hAnsi="Times New Roman" w:cs="Times New Roman"/>
                <w:b/>
                <w:sz w:val="24"/>
                <w:szCs w:val="24"/>
              </w:rPr>
            </w:pPr>
            <w:r w:rsidRPr="008F504E">
              <w:rPr>
                <w:rFonts w:ascii="Times New Roman" w:hAnsi="Times New Roman" w:cs="Times New Roman"/>
                <w:bCs/>
                <w:sz w:val="24"/>
                <w:szCs w:val="24"/>
              </w:rPr>
              <w:t>Noteikumu projekts šo jomu neskar.</w:t>
            </w:r>
          </w:p>
        </w:tc>
      </w:tr>
    </w:tbl>
    <w:p w14:paraId="49EE53B3" w14:textId="77777777" w:rsidR="000524D6" w:rsidRPr="008F504E" w:rsidRDefault="000524D6" w:rsidP="000524D6">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
        <w:gridCol w:w="2407"/>
        <w:gridCol w:w="5965"/>
      </w:tblGrid>
      <w:tr w:rsidR="008F504E" w:rsidRPr="008F504E" w14:paraId="48F2F868" w14:textId="77777777" w:rsidTr="004654B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0DD6B6" w14:textId="77777777" w:rsidR="000524D6" w:rsidRPr="008F504E" w:rsidRDefault="000524D6" w:rsidP="007E42BA">
            <w:pPr>
              <w:spacing w:after="0" w:line="240" w:lineRule="auto"/>
              <w:rPr>
                <w:rFonts w:ascii="Times New Roman" w:hAnsi="Times New Roman" w:cs="Times New Roman"/>
                <w:b/>
                <w:sz w:val="24"/>
                <w:szCs w:val="24"/>
              </w:rPr>
            </w:pPr>
            <w:r w:rsidRPr="008F504E">
              <w:rPr>
                <w:rFonts w:ascii="Times New Roman" w:hAnsi="Times New Roman" w:cs="Times New Roman"/>
                <w:b/>
                <w:sz w:val="24"/>
                <w:szCs w:val="24"/>
              </w:rPr>
              <w:t>V. Tiesību akta projekta atbilstība Latvijas Republikas starptautiskajām saistībām</w:t>
            </w:r>
          </w:p>
        </w:tc>
      </w:tr>
      <w:tr w:rsidR="008C534C" w:rsidRPr="008F504E" w14:paraId="5C45B6A4" w14:textId="77777777" w:rsidTr="0054121F">
        <w:trPr>
          <w:tblCellSpacing w:w="15" w:type="dxa"/>
        </w:trPr>
        <w:tc>
          <w:tcPr>
            <w:tcW w:w="355" w:type="pct"/>
            <w:tcBorders>
              <w:top w:val="outset" w:sz="6" w:space="0" w:color="auto"/>
              <w:left w:val="outset" w:sz="6" w:space="0" w:color="auto"/>
              <w:bottom w:val="outset" w:sz="6" w:space="0" w:color="auto"/>
              <w:right w:val="outset" w:sz="6" w:space="0" w:color="auto"/>
            </w:tcBorders>
            <w:vAlign w:val="center"/>
          </w:tcPr>
          <w:p w14:paraId="6779D108" w14:textId="0793152F" w:rsidR="008C534C" w:rsidRPr="008F504E" w:rsidRDefault="008C534C" w:rsidP="007E42BA">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1.</w:t>
            </w:r>
          </w:p>
        </w:tc>
        <w:tc>
          <w:tcPr>
            <w:tcW w:w="1321" w:type="pct"/>
            <w:tcBorders>
              <w:top w:val="outset" w:sz="6" w:space="0" w:color="auto"/>
              <w:left w:val="outset" w:sz="6" w:space="0" w:color="auto"/>
              <w:bottom w:val="outset" w:sz="6" w:space="0" w:color="auto"/>
              <w:right w:val="outset" w:sz="6" w:space="0" w:color="auto"/>
            </w:tcBorders>
            <w:vAlign w:val="center"/>
          </w:tcPr>
          <w:p w14:paraId="4755152B" w14:textId="58CDF5C9" w:rsidR="008C534C" w:rsidRPr="008F504E" w:rsidRDefault="008C534C" w:rsidP="008C534C">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Saistības pret Eiropas Savienību</w:t>
            </w:r>
          </w:p>
        </w:tc>
        <w:tc>
          <w:tcPr>
            <w:tcW w:w="3257" w:type="pct"/>
            <w:tcBorders>
              <w:top w:val="outset" w:sz="6" w:space="0" w:color="auto"/>
              <w:left w:val="outset" w:sz="6" w:space="0" w:color="auto"/>
              <w:bottom w:val="outset" w:sz="6" w:space="0" w:color="auto"/>
              <w:right w:val="outset" w:sz="6" w:space="0" w:color="auto"/>
            </w:tcBorders>
            <w:vAlign w:val="center"/>
          </w:tcPr>
          <w:p w14:paraId="207462AC" w14:textId="77777777" w:rsidR="008C534C" w:rsidRPr="008F504E" w:rsidRDefault="008C534C" w:rsidP="008C534C">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Tiek ieviestas šādu Eiropas Savienības tiesību aktu normas:</w:t>
            </w:r>
          </w:p>
          <w:p w14:paraId="79DE8353" w14:textId="621878A9" w:rsidR="00FA7BD3" w:rsidRPr="008F504E" w:rsidRDefault="00FA7BD3" w:rsidP="0054121F">
            <w:pPr>
              <w:pStyle w:val="ListParagraph"/>
              <w:numPr>
                <w:ilvl w:val="0"/>
                <w:numId w:val="1"/>
              </w:numPr>
              <w:spacing w:after="60" w:line="240" w:lineRule="auto"/>
              <w:ind w:left="108" w:firstLine="0"/>
              <w:contextualSpacing w:val="0"/>
              <w:rPr>
                <w:rFonts w:ascii="Times New Roman" w:hAnsi="Times New Roman" w:cs="Times New Roman"/>
                <w:sz w:val="24"/>
                <w:szCs w:val="24"/>
              </w:rPr>
            </w:pPr>
            <w:r w:rsidRPr="008F504E">
              <w:rPr>
                <w:rFonts w:ascii="Times New Roman" w:hAnsi="Times New Roman" w:cs="Times New Roman"/>
                <w:sz w:val="24"/>
                <w:szCs w:val="24"/>
              </w:rPr>
              <w:t xml:space="preserve">Eiropas Komisijas 2013. gada 18. decembra Regula (ES) Nr. 1407/2013 par Līguma par Eiropas Savienības darbību 107. un 108. panta piemērošanu </w:t>
            </w:r>
            <w:proofErr w:type="spellStart"/>
            <w:r w:rsidRPr="008F504E">
              <w:rPr>
                <w:rFonts w:ascii="Times New Roman" w:hAnsi="Times New Roman" w:cs="Times New Roman"/>
                <w:sz w:val="24"/>
                <w:szCs w:val="24"/>
              </w:rPr>
              <w:t>de</w:t>
            </w:r>
            <w:proofErr w:type="spellEnd"/>
            <w:r w:rsidRPr="008F504E">
              <w:rPr>
                <w:rFonts w:ascii="Times New Roman" w:hAnsi="Times New Roman" w:cs="Times New Roman"/>
                <w:sz w:val="24"/>
                <w:szCs w:val="24"/>
              </w:rPr>
              <w:t xml:space="preserve"> </w:t>
            </w:r>
            <w:proofErr w:type="spellStart"/>
            <w:r w:rsidRPr="008F504E">
              <w:rPr>
                <w:rFonts w:ascii="Times New Roman" w:hAnsi="Times New Roman" w:cs="Times New Roman"/>
                <w:sz w:val="24"/>
                <w:szCs w:val="24"/>
              </w:rPr>
              <w:t>minimis</w:t>
            </w:r>
            <w:proofErr w:type="spellEnd"/>
            <w:r w:rsidRPr="008F504E">
              <w:rPr>
                <w:rFonts w:ascii="Times New Roman" w:hAnsi="Times New Roman" w:cs="Times New Roman"/>
                <w:sz w:val="24"/>
                <w:szCs w:val="24"/>
              </w:rPr>
              <w:t xml:space="preserve"> atbalstam (turpmāk – Regula Nr. 1407/2013)</w:t>
            </w:r>
            <w:r w:rsidR="00077343" w:rsidRPr="008F504E">
              <w:rPr>
                <w:rFonts w:ascii="Times New Roman" w:hAnsi="Times New Roman" w:cs="Times New Roman"/>
                <w:sz w:val="24"/>
                <w:szCs w:val="24"/>
              </w:rPr>
              <w:t>;</w:t>
            </w:r>
          </w:p>
          <w:p w14:paraId="22C9661D" w14:textId="247B2162" w:rsidR="004D62E8" w:rsidRPr="008F504E" w:rsidRDefault="004D62E8" w:rsidP="0054121F">
            <w:pPr>
              <w:pStyle w:val="ListParagraph"/>
              <w:numPr>
                <w:ilvl w:val="0"/>
                <w:numId w:val="1"/>
              </w:numPr>
              <w:spacing w:after="60" w:line="240" w:lineRule="auto"/>
              <w:ind w:left="108" w:firstLine="0"/>
              <w:contextualSpacing w:val="0"/>
              <w:rPr>
                <w:rFonts w:ascii="Times New Roman" w:hAnsi="Times New Roman" w:cs="Times New Roman"/>
                <w:sz w:val="24"/>
                <w:szCs w:val="24"/>
              </w:rPr>
            </w:pPr>
            <w:r w:rsidRPr="008F504E">
              <w:rPr>
                <w:rFonts w:ascii="Times New Roman" w:hAnsi="Times New Roman" w:cs="Times New Roman"/>
                <w:sz w:val="24"/>
                <w:szCs w:val="24"/>
              </w:rPr>
              <w:lastRenderedPageBreak/>
              <w:t xml:space="preserve">Eiropas Komisijas 2020. gada 2. jūlija Regula (ES) 2020/972, ar ko groza Regulu (ES) Nr. 1407/2013 attiecībā uz tās pagarināšanu un groza Regulu (ES) Nr. 651/2014 attiecībā uz tās pagarināšanu un attiecīgiem pielāgojumiem </w:t>
            </w:r>
            <w:r w:rsidR="0054121F" w:rsidRPr="008F504E">
              <w:rPr>
                <w:rFonts w:ascii="Times New Roman" w:hAnsi="Times New Roman" w:cs="Times New Roman"/>
                <w:sz w:val="24"/>
                <w:szCs w:val="24"/>
              </w:rPr>
              <w:t xml:space="preserve">(turpmāk – Regula Nr. 2020/972) </w:t>
            </w:r>
            <w:r w:rsidRPr="008F504E">
              <w:rPr>
                <w:rFonts w:ascii="Times New Roman" w:hAnsi="Times New Roman" w:cs="Times New Roman"/>
                <w:sz w:val="24"/>
                <w:szCs w:val="24"/>
              </w:rPr>
              <w:t xml:space="preserve">1. pantā noteiktais Regulas </w:t>
            </w:r>
            <w:r w:rsidR="0054121F" w:rsidRPr="008F504E">
              <w:rPr>
                <w:rFonts w:ascii="Times New Roman" w:hAnsi="Times New Roman" w:cs="Times New Roman"/>
                <w:sz w:val="24"/>
                <w:szCs w:val="24"/>
              </w:rPr>
              <w:t>Nr. </w:t>
            </w:r>
            <w:r w:rsidRPr="008F504E">
              <w:rPr>
                <w:rFonts w:ascii="Times New Roman" w:hAnsi="Times New Roman" w:cs="Times New Roman"/>
                <w:sz w:val="24"/>
                <w:szCs w:val="24"/>
              </w:rPr>
              <w:t>1407/2013 piemērošanas termiņš</w:t>
            </w:r>
            <w:r w:rsidR="00830DF2" w:rsidRPr="008F504E">
              <w:rPr>
                <w:rFonts w:ascii="Times New Roman" w:hAnsi="Times New Roman" w:cs="Times New Roman"/>
                <w:sz w:val="24"/>
                <w:szCs w:val="24"/>
              </w:rPr>
              <w:t>;</w:t>
            </w:r>
          </w:p>
          <w:p w14:paraId="282E0C24" w14:textId="6603CE7E" w:rsidR="004654B0" w:rsidRPr="008F504E" w:rsidRDefault="00830DF2" w:rsidP="00077343">
            <w:pPr>
              <w:pStyle w:val="ListParagraph"/>
              <w:numPr>
                <w:ilvl w:val="0"/>
                <w:numId w:val="1"/>
              </w:numPr>
              <w:spacing w:after="60" w:line="240" w:lineRule="auto"/>
              <w:ind w:left="108" w:firstLine="0"/>
              <w:contextualSpacing w:val="0"/>
              <w:rPr>
                <w:rFonts w:ascii="Times New Roman" w:hAnsi="Times New Roman" w:cs="Times New Roman"/>
                <w:sz w:val="24"/>
                <w:szCs w:val="24"/>
              </w:rPr>
            </w:pPr>
            <w:r w:rsidRPr="008F504E">
              <w:rPr>
                <w:rFonts w:ascii="Times New Roman" w:hAnsi="Times New Roman" w:cs="Times New Roman"/>
                <w:sz w:val="24"/>
                <w:szCs w:val="24"/>
              </w:rPr>
              <w:t>Eiropas Padomes 2009. gada 5. maija Regulas (EK) Nr. 428/2009, ar ko izveido Kopienas režīmu divējāda lietojuma preču eksporta, pārvadājumu, starpniecības un tranzīta kontrolei (turpmāk – Regula Nr. 428/2009)</w:t>
            </w:r>
            <w:r w:rsidR="00077343" w:rsidRPr="008F504E">
              <w:rPr>
                <w:rFonts w:ascii="Times New Roman" w:hAnsi="Times New Roman" w:cs="Times New Roman"/>
                <w:sz w:val="24"/>
                <w:szCs w:val="24"/>
              </w:rPr>
              <w:t>,</w:t>
            </w:r>
            <w:r w:rsidRPr="008F504E">
              <w:rPr>
                <w:rFonts w:ascii="Times New Roman" w:hAnsi="Times New Roman" w:cs="Times New Roman"/>
                <w:sz w:val="24"/>
                <w:szCs w:val="24"/>
              </w:rPr>
              <w:t xml:space="preserve"> 2. panta 1. punkts;</w:t>
            </w:r>
          </w:p>
          <w:p w14:paraId="2C308406" w14:textId="23469661" w:rsidR="00830DF2" w:rsidRPr="008F504E" w:rsidRDefault="00537069" w:rsidP="001E5913">
            <w:pPr>
              <w:pStyle w:val="ListParagraph"/>
              <w:numPr>
                <w:ilvl w:val="0"/>
                <w:numId w:val="1"/>
              </w:numPr>
              <w:spacing w:after="0" w:line="240" w:lineRule="auto"/>
              <w:ind w:left="105" w:firstLine="0"/>
              <w:rPr>
                <w:rFonts w:ascii="Times New Roman" w:hAnsi="Times New Roman" w:cs="Times New Roman"/>
                <w:sz w:val="24"/>
                <w:szCs w:val="24"/>
              </w:rPr>
            </w:pPr>
            <w:r w:rsidRPr="008F504E">
              <w:rPr>
                <w:rFonts w:ascii="Times New Roman" w:hAnsi="Times New Roman" w:cs="Times New Roman"/>
                <w:sz w:val="24"/>
                <w:szCs w:val="24"/>
              </w:rPr>
              <w:t>Eiropas Komisijas 2014. gada 17. jūnija Regulas (ES) Nr. 651/2014, ar ko noteiktas atbalsta kategorijas atzīst par saderīgām ar iekšējo tirgu, piemērojot Līguma 107. un 108. pantu (turpmāk – Regula Nr. 651/2014)</w:t>
            </w:r>
            <w:r w:rsidR="00077343" w:rsidRPr="008F504E">
              <w:rPr>
                <w:rFonts w:ascii="Times New Roman" w:hAnsi="Times New Roman" w:cs="Times New Roman"/>
                <w:sz w:val="24"/>
                <w:szCs w:val="24"/>
              </w:rPr>
              <w:t xml:space="preserve">, </w:t>
            </w:r>
            <w:r w:rsidRPr="008F504E">
              <w:rPr>
                <w:rFonts w:ascii="Times New Roman" w:hAnsi="Times New Roman" w:cs="Times New Roman"/>
                <w:sz w:val="24"/>
                <w:szCs w:val="24"/>
              </w:rPr>
              <w:t>2. panta 2. punkts</w:t>
            </w:r>
            <w:r w:rsidR="00077343" w:rsidRPr="008F504E">
              <w:rPr>
                <w:rFonts w:ascii="Times New Roman" w:hAnsi="Times New Roman" w:cs="Times New Roman"/>
                <w:sz w:val="24"/>
                <w:szCs w:val="24"/>
              </w:rPr>
              <w:t>.</w:t>
            </w:r>
          </w:p>
        </w:tc>
      </w:tr>
    </w:tbl>
    <w:p w14:paraId="797C90F5" w14:textId="5C0B590F" w:rsidR="000524D6" w:rsidRPr="008F504E" w:rsidRDefault="000524D6" w:rsidP="000524D6">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7"/>
        <w:gridCol w:w="1607"/>
        <w:gridCol w:w="1772"/>
        <w:gridCol w:w="3839"/>
      </w:tblGrid>
      <w:tr w:rsidR="008F504E" w:rsidRPr="008F504E" w14:paraId="1DC32B92" w14:textId="77777777" w:rsidTr="00EE52C1">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14:paraId="0BBD3510" w14:textId="77777777" w:rsidR="00EE52C1" w:rsidRPr="008F504E" w:rsidRDefault="00EE52C1" w:rsidP="007E42BA">
            <w:pPr>
              <w:spacing w:after="0" w:line="240" w:lineRule="auto"/>
              <w:jc w:val="center"/>
              <w:rPr>
                <w:rFonts w:ascii="Times New Roman" w:hAnsi="Times New Roman" w:cs="Times New Roman"/>
                <w:b/>
                <w:sz w:val="24"/>
                <w:szCs w:val="24"/>
              </w:rPr>
            </w:pPr>
            <w:r w:rsidRPr="008F504E">
              <w:rPr>
                <w:rFonts w:ascii="Times New Roman" w:hAnsi="Times New Roman" w:cs="Times New Roman"/>
                <w:b/>
                <w:sz w:val="24"/>
                <w:szCs w:val="24"/>
              </w:rPr>
              <w:t>1. tabula</w:t>
            </w:r>
          </w:p>
          <w:p w14:paraId="70DE5DD8" w14:textId="39A6649B" w:rsidR="00EE52C1" w:rsidRPr="008F504E" w:rsidRDefault="00EE52C1" w:rsidP="007E42BA">
            <w:pPr>
              <w:spacing w:after="0" w:line="240" w:lineRule="auto"/>
              <w:jc w:val="center"/>
              <w:rPr>
                <w:rFonts w:ascii="Times New Roman" w:hAnsi="Times New Roman" w:cs="Times New Roman"/>
                <w:sz w:val="24"/>
                <w:szCs w:val="24"/>
              </w:rPr>
            </w:pPr>
            <w:r w:rsidRPr="008F504E">
              <w:rPr>
                <w:rFonts w:ascii="Times New Roman" w:hAnsi="Times New Roman" w:cs="Times New Roman"/>
                <w:b/>
                <w:sz w:val="24"/>
                <w:szCs w:val="24"/>
              </w:rPr>
              <w:t>Tiesību akta projekta atbilstība ES tiesību aktiem</w:t>
            </w:r>
          </w:p>
        </w:tc>
      </w:tr>
      <w:tr w:rsidR="008F504E" w:rsidRPr="008F504E" w14:paraId="27C2CEEC"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2A20B8FB" w14:textId="3ABEED02" w:rsidR="00EE52C1" w:rsidRPr="008F504E" w:rsidRDefault="00EE52C1" w:rsidP="00EE52C1">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A</w:t>
            </w:r>
          </w:p>
        </w:tc>
        <w:tc>
          <w:tcPr>
            <w:tcW w:w="871" w:type="pct"/>
            <w:tcBorders>
              <w:top w:val="outset" w:sz="6" w:space="0" w:color="auto"/>
              <w:left w:val="outset" w:sz="6" w:space="0" w:color="auto"/>
              <w:bottom w:val="outset" w:sz="6" w:space="0" w:color="auto"/>
              <w:right w:val="outset" w:sz="6" w:space="0" w:color="auto"/>
            </w:tcBorders>
            <w:vAlign w:val="center"/>
          </w:tcPr>
          <w:p w14:paraId="44652E94" w14:textId="49972EA2" w:rsidR="00EE52C1" w:rsidRPr="008F504E" w:rsidRDefault="00EE52C1" w:rsidP="00EE52C1">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B</w:t>
            </w:r>
          </w:p>
        </w:tc>
        <w:tc>
          <w:tcPr>
            <w:tcW w:w="975" w:type="pct"/>
            <w:tcBorders>
              <w:top w:val="outset" w:sz="6" w:space="0" w:color="auto"/>
              <w:left w:val="outset" w:sz="6" w:space="0" w:color="auto"/>
              <w:bottom w:val="outset" w:sz="6" w:space="0" w:color="auto"/>
              <w:right w:val="outset" w:sz="6" w:space="0" w:color="auto"/>
            </w:tcBorders>
            <w:vAlign w:val="center"/>
          </w:tcPr>
          <w:p w14:paraId="78B8C2D9" w14:textId="47E4CC93" w:rsidR="00EE52C1" w:rsidRPr="008F504E" w:rsidRDefault="00EE52C1" w:rsidP="00EE52C1">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C</w:t>
            </w:r>
          </w:p>
        </w:tc>
        <w:tc>
          <w:tcPr>
            <w:tcW w:w="2070" w:type="pct"/>
            <w:tcBorders>
              <w:top w:val="outset" w:sz="6" w:space="0" w:color="auto"/>
              <w:left w:val="outset" w:sz="6" w:space="0" w:color="auto"/>
              <w:bottom w:val="outset" w:sz="6" w:space="0" w:color="auto"/>
              <w:right w:val="outset" w:sz="6" w:space="0" w:color="auto"/>
            </w:tcBorders>
            <w:vAlign w:val="center"/>
          </w:tcPr>
          <w:p w14:paraId="6317EBED" w14:textId="080469B0" w:rsidR="00EE52C1" w:rsidRPr="008F504E" w:rsidRDefault="00EE52C1" w:rsidP="00EE52C1">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D</w:t>
            </w:r>
          </w:p>
        </w:tc>
      </w:tr>
      <w:tr w:rsidR="008F504E" w:rsidRPr="008F504E" w14:paraId="240C710A"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1A8CE66E"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Attiecīgā ES tiesību akta panta numurs (uzskaitot katru tiesību akta</w:t>
            </w:r>
            <w:r w:rsidRPr="008F504E">
              <w:rPr>
                <w:rFonts w:ascii="Times New Roman" w:hAnsi="Times New Roman" w:cs="Times New Roman"/>
                <w:sz w:val="24"/>
                <w:szCs w:val="24"/>
              </w:rPr>
              <w:br/>
              <w:t>vienību - pantu, daļu, punktu, apakšpunktu)</w:t>
            </w:r>
          </w:p>
        </w:tc>
        <w:tc>
          <w:tcPr>
            <w:tcW w:w="871" w:type="pct"/>
            <w:tcBorders>
              <w:top w:val="outset" w:sz="6" w:space="0" w:color="auto"/>
              <w:left w:val="outset" w:sz="6" w:space="0" w:color="auto"/>
              <w:bottom w:val="outset" w:sz="6" w:space="0" w:color="auto"/>
              <w:right w:val="outset" w:sz="6" w:space="0" w:color="auto"/>
            </w:tcBorders>
            <w:vAlign w:val="center"/>
          </w:tcPr>
          <w:p w14:paraId="2A70D87D"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Projekta vienība, kas pārņem vai ievieš katru šīs tabulas A ailē minēto ES tiesību akta vienību</w:t>
            </w:r>
          </w:p>
        </w:tc>
        <w:tc>
          <w:tcPr>
            <w:tcW w:w="975" w:type="pct"/>
            <w:tcBorders>
              <w:top w:val="outset" w:sz="6" w:space="0" w:color="auto"/>
              <w:left w:val="outset" w:sz="6" w:space="0" w:color="auto"/>
              <w:bottom w:val="outset" w:sz="6" w:space="0" w:color="auto"/>
              <w:right w:val="outset" w:sz="6" w:space="0" w:color="auto"/>
            </w:tcBorders>
            <w:vAlign w:val="center"/>
          </w:tcPr>
          <w:p w14:paraId="462DF4AC"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6C104C57"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14:paraId="484D87FC"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Norāda institūciju, kas ir atbildīga par šo saistību izpildi pilnībā.</w:t>
            </w:r>
          </w:p>
        </w:tc>
        <w:tc>
          <w:tcPr>
            <w:tcW w:w="2070" w:type="pct"/>
            <w:tcBorders>
              <w:top w:val="outset" w:sz="6" w:space="0" w:color="auto"/>
              <w:left w:val="outset" w:sz="6" w:space="0" w:color="auto"/>
              <w:bottom w:val="outset" w:sz="6" w:space="0" w:color="auto"/>
              <w:right w:val="outset" w:sz="6" w:space="0" w:color="auto"/>
            </w:tcBorders>
            <w:vAlign w:val="center"/>
          </w:tcPr>
          <w:p w14:paraId="6166BB6A"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D30CECA"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Ja projekts satur stingrākas prasības nekā attiecīgais ES tiesību akts, - norāda pamatojumu un samērīgumu.</w:t>
            </w:r>
          </w:p>
          <w:p w14:paraId="1479E9D6" w14:textId="77777777" w:rsidR="0054121F" w:rsidRPr="008F504E" w:rsidRDefault="0054121F" w:rsidP="0054121F">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F504E" w:rsidRPr="008F504E" w14:paraId="30DB370C" w14:textId="77777777" w:rsidTr="00FA7BD3">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14:paraId="6E8CF68B" w14:textId="60233032" w:rsidR="00FA7BD3" w:rsidRPr="008F504E" w:rsidRDefault="00FA7BD3" w:rsidP="00FA7BD3">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lastRenderedPageBreak/>
              <w:t>Regula Nr.1407/2013</w:t>
            </w:r>
          </w:p>
        </w:tc>
      </w:tr>
      <w:tr w:rsidR="008F504E" w:rsidRPr="008F504E" w14:paraId="0A258659"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67FF3490" w14:textId="4E448816" w:rsidR="00F73122" w:rsidRPr="008F504E" w:rsidRDefault="00830DF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w:t>
            </w:r>
            <w:r w:rsidR="00F73122" w:rsidRPr="008F504E">
              <w:rPr>
                <w:rFonts w:ascii="Times New Roman" w:hAnsi="Times New Roman" w:cs="Times New Roman"/>
                <w:sz w:val="24"/>
                <w:szCs w:val="24"/>
              </w:rPr>
              <w:t>egulas Nr. 1407/2013 1. panta 1. punkts</w:t>
            </w:r>
          </w:p>
        </w:tc>
        <w:tc>
          <w:tcPr>
            <w:tcW w:w="871" w:type="pct"/>
            <w:tcBorders>
              <w:top w:val="outset" w:sz="6" w:space="0" w:color="auto"/>
              <w:left w:val="outset" w:sz="6" w:space="0" w:color="auto"/>
              <w:bottom w:val="outset" w:sz="6" w:space="0" w:color="auto"/>
              <w:right w:val="outset" w:sz="6" w:space="0" w:color="auto"/>
            </w:tcBorders>
            <w:vAlign w:val="center"/>
          </w:tcPr>
          <w:p w14:paraId="44906CC0" w14:textId="36214FD6"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5. punkts</w:t>
            </w:r>
          </w:p>
        </w:tc>
        <w:tc>
          <w:tcPr>
            <w:tcW w:w="975" w:type="pct"/>
            <w:tcBorders>
              <w:top w:val="outset" w:sz="6" w:space="0" w:color="auto"/>
              <w:left w:val="outset" w:sz="6" w:space="0" w:color="auto"/>
              <w:bottom w:val="outset" w:sz="6" w:space="0" w:color="auto"/>
              <w:right w:val="outset" w:sz="6" w:space="0" w:color="auto"/>
            </w:tcBorders>
            <w:vAlign w:val="center"/>
          </w:tcPr>
          <w:p w14:paraId="73A8E5ED" w14:textId="624E8DCA"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3189AFAE" w14:textId="7AA2645B"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projekts neparedz stingrākas prasības</w:t>
            </w:r>
          </w:p>
        </w:tc>
      </w:tr>
      <w:tr w:rsidR="008F504E" w:rsidRPr="008F504E" w14:paraId="13CFCBA1"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3E33E4EA" w14:textId="41B37ECC"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1407/2013 2. panta 2. punkts</w:t>
            </w:r>
          </w:p>
        </w:tc>
        <w:tc>
          <w:tcPr>
            <w:tcW w:w="871" w:type="pct"/>
            <w:tcBorders>
              <w:top w:val="outset" w:sz="6" w:space="0" w:color="auto"/>
              <w:left w:val="outset" w:sz="6" w:space="0" w:color="auto"/>
              <w:bottom w:val="outset" w:sz="6" w:space="0" w:color="auto"/>
              <w:right w:val="outset" w:sz="6" w:space="0" w:color="auto"/>
            </w:tcBorders>
            <w:vAlign w:val="center"/>
          </w:tcPr>
          <w:p w14:paraId="67E1C3F1" w14:textId="1E142AE8"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2. punkta 7. apakšpunkts</w:t>
            </w:r>
          </w:p>
        </w:tc>
        <w:tc>
          <w:tcPr>
            <w:tcW w:w="975" w:type="pct"/>
            <w:tcBorders>
              <w:top w:val="outset" w:sz="6" w:space="0" w:color="auto"/>
              <w:left w:val="outset" w:sz="6" w:space="0" w:color="auto"/>
              <w:bottom w:val="outset" w:sz="6" w:space="0" w:color="auto"/>
              <w:right w:val="outset" w:sz="6" w:space="0" w:color="auto"/>
            </w:tcBorders>
            <w:vAlign w:val="center"/>
          </w:tcPr>
          <w:p w14:paraId="5B26D3B5" w14:textId="06BED51C"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7B94BAD1" w14:textId="620249F1"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projekts neparedz stingrākas prasības</w:t>
            </w:r>
          </w:p>
        </w:tc>
      </w:tr>
      <w:tr w:rsidR="008F504E" w:rsidRPr="008F504E" w14:paraId="60BE52F9"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50C5FA23" w14:textId="70808C49"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1407/2013, 3. panta 2. punkts</w:t>
            </w:r>
          </w:p>
        </w:tc>
        <w:tc>
          <w:tcPr>
            <w:tcW w:w="871" w:type="pct"/>
            <w:tcBorders>
              <w:top w:val="outset" w:sz="6" w:space="0" w:color="auto"/>
              <w:left w:val="outset" w:sz="6" w:space="0" w:color="auto"/>
              <w:bottom w:val="outset" w:sz="6" w:space="0" w:color="auto"/>
              <w:right w:val="outset" w:sz="6" w:space="0" w:color="auto"/>
            </w:tcBorders>
            <w:vAlign w:val="center"/>
          </w:tcPr>
          <w:p w14:paraId="5619DFB0" w14:textId="71D233FC"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2. punkta 1. apakšpunkts, 4. punkts, 6. punkts</w:t>
            </w:r>
          </w:p>
        </w:tc>
        <w:tc>
          <w:tcPr>
            <w:tcW w:w="975" w:type="pct"/>
            <w:tcBorders>
              <w:top w:val="outset" w:sz="6" w:space="0" w:color="auto"/>
              <w:left w:val="outset" w:sz="6" w:space="0" w:color="auto"/>
              <w:bottom w:val="outset" w:sz="6" w:space="0" w:color="auto"/>
              <w:right w:val="outset" w:sz="6" w:space="0" w:color="auto"/>
            </w:tcBorders>
            <w:vAlign w:val="center"/>
          </w:tcPr>
          <w:p w14:paraId="39A74E03" w14:textId="5522C42C"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62689238" w14:textId="31CCBBEE"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projekts neparedz stingrākas prasības</w:t>
            </w:r>
          </w:p>
        </w:tc>
      </w:tr>
      <w:tr w:rsidR="008F504E" w:rsidRPr="008F504E" w14:paraId="77A35100"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0F1C1BE8" w14:textId="3C49768D"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1407/2013, 3. panta 4. punkts</w:t>
            </w:r>
          </w:p>
        </w:tc>
        <w:tc>
          <w:tcPr>
            <w:tcW w:w="871" w:type="pct"/>
            <w:tcBorders>
              <w:top w:val="outset" w:sz="6" w:space="0" w:color="auto"/>
              <w:left w:val="outset" w:sz="6" w:space="0" w:color="auto"/>
              <w:bottom w:val="outset" w:sz="6" w:space="0" w:color="auto"/>
              <w:right w:val="outset" w:sz="6" w:space="0" w:color="auto"/>
            </w:tcBorders>
            <w:vAlign w:val="center"/>
          </w:tcPr>
          <w:p w14:paraId="44673C44" w14:textId="094BA1A7"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35. punkts</w:t>
            </w:r>
          </w:p>
        </w:tc>
        <w:tc>
          <w:tcPr>
            <w:tcW w:w="975" w:type="pct"/>
            <w:tcBorders>
              <w:top w:val="outset" w:sz="6" w:space="0" w:color="auto"/>
              <w:left w:val="outset" w:sz="6" w:space="0" w:color="auto"/>
              <w:bottom w:val="outset" w:sz="6" w:space="0" w:color="auto"/>
              <w:right w:val="outset" w:sz="6" w:space="0" w:color="auto"/>
            </w:tcBorders>
            <w:vAlign w:val="center"/>
          </w:tcPr>
          <w:p w14:paraId="477FE441" w14:textId="35854455"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10646C81" w14:textId="3891B5E9"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projekts neparedz stingrākas prasības</w:t>
            </w:r>
          </w:p>
        </w:tc>
      </w:tr>
      <w:tr w:rsidR="008F504E" w:rsidRPr="008F504E" w14:paraId="19A30B0E"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27D507BA" w14:textId="1B09AAF3" w:rsidR="00F73122" w:rsidRPr="008F504E" w:rsidRDefault="00830DF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w:t>
            </w:r>
            <w:r w:rsidR="00F73122" w:rsidRPr="008F504E">
              <w:rPr>
                <w:rFonts w:ascii="Times New Roman" w:hAnsi="Times New Roman" w:cs="Times New Roman"/>
                <w:sz w:val="24"/>
                <w:szCs w:val="24"/>
              </w:rPr>
              <w:t>egulas Nr.  1407/2013 5. panta 1. un 2. punkts</w:t>
            </w:r>
          </w:p>
        </w:tc>
        <w:tc>
          <w:tcPr>
            <w:tcW w:w="871" w:type="pct"/>
            <w:tcBorders>
              <w:top w:val="outset" w:sz="6" w:space="0" w:color="auto"/>
              <w:left w:val="outset" w:sz="6" w:space="0" w:color="auto"/>
              <w:bottom w:val="outset" w:sz="6" w:space="0" w:color="auto"/>
              <w:right w:val="outset" w:sz="6" w:space="0" w:color="auto"/>
            </w:tcBorders>
            <w:vAlign w:val="center"/>
          </w:tcPr>
          <w:p w14:paraId="32963F04" w14:textId="5FA47BE0"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7. punkts</w:t>
            </w:r>
          </w:p>
        </w:tc>
        <w:tc>
          <w:tcPr>
            <w:tcW w:w="975" w:type="pct"/>
            <w:tcBorders>
              <w:top w:val="outset" w:sz="6" w:space="0" w:color="auto"/>
              <w:left w:val="outset" w:sz="6" w:space="0" w:color="auto"/>
              <w:bottom w:val="outset" w:sz="6" w:space="0" w:color="auto"/>
              <w:right w:val="outset" w:sz="6" w:space="0" w:color="auto"/>
            </w:tcBorders>
            <w:vAlign w:val="center"/>
          </w:tcPr>
          <w:p w14:paraId="48FC4B21" w14:textId="16F5E58F"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11DB0031" w14:textId="72745A84"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projekts neparedz stingrākas prasības</w:t>
            </w:r>
          </w:p>
        </w:tc>
      </w:tr>
      <w:tr w:rsidR="008F504E" w:rsidRPr="008F504E" w14:paraId="7538A93E"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72AD941B" w14:textId="0830F223" w:rsidR="00F73122" w:rsidRPr="008F504E" w:rsidRDefault="00830DF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w:t>
            </w:r>
            <w:r w:rsidR="00F73122" w:rsidRPr="008F504E">
              <w:rPr>
                <w:rFonts w:ascii="Times New Roman" w:hAnsi="Times New Roman" w:cs="Times New Roman"/>
                <w:sz w:val="24"/>
                <w:szCs w:val="24"/>
              </w:rPr>
              <w:t>egulas Nr.  1407/2013 6. panta 4. punkts</w:t>
            </w:r>
          </w:p>
        </w:tc>
        <w:tc>
          <w:tcPr>
            <w:tcW w:w="871" w:type="pct"/>
            <w:tcBorders>
              <w:top w:val="outset" w:sz="6" w:space="0" w:color="auto"/>
              <w:left w:val="outset" w:sz="6" w:space="0" w:color="auto"/>
              <w:bottom w:val="outset" w:sz="6" w:space="0" w:color="auto"/>
              <w:right w:val="outset" w:sz="6" w:space="0" w:color="auto"/>
            </w:tcBorders>
            <w:vAlign w:val="center"/>
          </w:tcPr>
          <w:p w14:paraId="0817B484" w14:textId="188567E0"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42. punkts</w:t>
            </w:r>
          </w:p>
        </w:tc>
        <w:tc>
          <w:tcPr>
            <w:tcW w:w="975" w:type="pct"/>
            <w:tcBorders>
              <w:top w:val="outset" w:sz="6" w:space="0" w:color="auto"/>
              <w:left w:val="outset" w:sz="6" w:space="0" w:color="auto"/>
              <w:bottom w:val="outset" w:sz="6" w:space="0" w:color="auto"/>
              <w:right w:val="outset" w:sz="6" w:space="0" w:color="auto"/>
            </w:tcBorders>
            <w:vAlign w:val="center"/>
          </w:tcPr>
          <w:p w14:paraId="1074E43A" w14:textId="1C63378C"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6F64485A" w14:textId="2556C882" w:rsidR="00F73122" w:rsidRPr="008F504E" w:rsidRDefault="00F73122" w:rsidP="00F7312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projekts neparedz stingrākas prasības</w:t>
            </w:r>
          </w:p>
        </w:tc>
      </w:tr>
      <w:tr w:rsidR="008F504E" w:rsidRPr="008F504E" w14:paraId="393911BE"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23DB9080" w14:textId="41497F3F"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1407/2013 7. panta 4. punkts</w:t>
            </w:r>
          </w:p>
        </w:tc>
        <w:tc>
          <w:tcPr>
            <w:tcW w:w="871" w:type="pct"/>
            <w:tcBorders>
              <w:top w:val="outset" w:sz="6" w:space="0" w:color="auto"/>
              <w:left w:val="outset" w:sz="6" w:space="0" w:color="auto"/>
              <w:bottom w:val="outset" w:sz="6" w:space="0" w:color="auto"/>
              <w:right w:val="outset" w:sz="6" w:space="0" w:color="auto"/>
            </w:tcBorders>
            <w:vAlign w:val="center"/>
          </w:tcPr>
          <w:p w14:paraId="39435412" w14:textId="0C2CCBC2"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43. punkts</w:t>
            </w:r>
          </w:p>
        </w:tc>
        <w:tc>
          <w:tcPr>
            <w:tcW w:w="975" w:type="pct"/>
            <w:tcBorders>
              <w:top w:val="outset" w:sz="6" w:space="0" w:color="auto"/>
              <w:left w:val="outset" w:sz="6" w:space="0" w:color="auto"/>
              <w:bottom w:val="outset" w:sz="6" w:space="0" w:color="auto"/>
              <w:right w:val="outset" w:sz="6" w:space="0" w:color="auto"/>
            </w:tcBorders>
            <w:vAlign w:val="center"/>
          </w:tcPr>
          <w:p w14:paraId="66FCFAA6" w14:textId="4D0524CE"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1228906B" w14:textId="5961D870"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projekts neparedz stingrākas prasības</w:t>
            </w:r>
          </w:p>
        </w:tc>
      </w:tr>
      <w:tr w:rsidR="008F504E" w:rsidRPr="008F504E" w14:paraId="2FE4F21C" w14:textId="77777777" w:rsidTr="00FA7BD3">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14:paraId="664CEB1F" w14:textId="139855FD" w:rsidR="00830DF2" w:rsidRPr="008F504E" w:rsidRDefault="00830DF2" w:rsidP="00830DF2">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Regula Nr. 2020/972</w:t>
            </w:r>
          </w:p>
        </w:tc>
      </w:tr>
      <w:tr w:rsidR="008F504E" w:rsidRPr="008F504E" w14:paraId="6AF0D0D2"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1F8D2FEF" w14:textId="23D206D8"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2020/972 1. pants</w:t>
            </w:r>
          </w:p>
        </w:tc>
        <w:tc>
          <w:tcPr>
            <w:tcW w:w="871" w:type="pct"/>
            <w:tcBorders>
              <w:top w:val="outset" w:sz="6" w:space="0" w:color="auto"/>
              <w:left w:val="outset" w:sz="6" w:space="0" w:color="auto"/>
              <w:bottom w:val="outset" w:sz="6" w:space="0" w:color="auto"/>
              <w:right w:val="outset" w:sz="6" w:space="0" w:color="auto"/>
            </w:tcBorders>
            <w:vAlign w:val="center"/>
          </w:tcPr>
          <w:p w14:paraId="06749A87" w14:textId="2AE010E8"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43. punkts</w:t>
            </w:r>
          </w:p>
        </w:tc>
        <w:tc>
          <w:tcPr>
            <w:tcW w:w="975" w:type="pct"/>
            <w:tcBorders>
              <w:top w:val="outset" w:sz="6" w:space="0" w:color="auto"/>
              <w:left w:val="outset" w:sz="6" w:space="0" w:color="auto"/>
              <w:bottom w:val="outset" w:sz="6" w:space="0" w:color="auto"/>
              <w:right w:val="outset" w:sz="6" w:space="0" w:color="auto"/>
            </w:tcBorders>
            <w:vAlign w:val="center"/>
          </w:tcPr>
          <w:p w14:paraId="4258D115" w14:textId="70F55C82"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6459FAA1" w14:textId="0FEAEB54" w:rsidR="00830DF2" w:rsidRPr="008F504E" w:rsidRDefault="00830DF2" w:rsidP="00830DF2">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Neparedz stingrākas prasības</w:t>
            </w:r>
          </w:p>
        </w:tc>
      </w:tr>
      <w:tr w:rsidR="008F504E" w:rsidRPr="008F504E" w14:paraId="1A786DBF" w14:textId="77777777" w:rsidTr="00830DF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14:paraId="3915F583" w14:textId="7E1946B0" w:rsidR="00830DF2" w:rsidRPr="008F504E" w:rsidRDefault="00830DF2" w:rsidP="00830DF2">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Regula Nr. 428/2009</w:t>
            </w:r>
          </w:p>
        </w:tc>
      </w:tr>
      <w:tr w:rsidR="008F504E" w:rsidRPr="008F504E" w14:paraId="7CCD6682"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60856558" w14:textId="68E41115"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428/2009 2. panta 1. punkts</w:t>
            </w:r>
          </w:p>
        </w:tc>
        <w:tc>
          <w:tcPr>
            <w:tcW w:w="871" w:type="pct"/>
            <w:tcBorders>
              <w:top w:val="outset" w:sz="6" w:space="0" w:color="auto"/>
              <w:left w:val="outset" w:sz="6" w:space="0" w:color="auto"/>
              <w:bottom w:val="outset" w:sz="6" w:space="0" w:color="auto"/>
              <w:right w:val="outset" w:sz="6" w:space="0" w:color="auto"/>
            </w:tcBorders>
            <w:vAlign w:val="center"/>
          </w:tcPr>
          <w:p w14:paraId="788DD747" w14:textId="3335E532"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2. punkta 2. apakšpunkts</w:t>
            </w:r>
          </w:p>
        </w:tc>
        <w:tc>
          <w:tcPr>
            <w:tcW w:w="975" w:type="pct"/>
            <w:tcBorders>
              <w:top w:val="outset" w:sz="6" w:space="0" w:color="auto"/>
              <w:left w:val="outset" w:sz="6" w:space="0" w:color="auto"/>
              <w:bottom w:val="outset" w:sz="6" w:space="0" w:color="auto"/>
              <w:right w:val="outset" w:sz="6" w:space="0" w:color="auto"/>
            </w:tcBorders>
            <w:vAlign w:val="center"/>
          </w:tcPr>
          <w:p w14:paraId="7488B7B9" w14:textId="1B5A2BDD"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3BFD3B01" w14:textId="6D516B37"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Neparedz stingrākas prasības</w:t>
            </w:r>
          </w:p>
        </w:tc>
      </w:tr>
      <w:tr w:rsidR="008F504E" w:rsidRPr="008F504E" w14:paraId="74625B7B" w14:textId="77777777" w:rsidTr="0053706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14:paraId="10F3CF3F" w14:textId="45B5DE73" w:rsidR="00537069" w:rsidRPr="008F504E" w:rsidRDefault="00537069" w:rsidP="00537069">
            <w:pPr>
              <w:spacing w:after="0" w:line="240" w:lineRule="auto"/>
              <w:jc w:val="center"/>
              <w:rPr>
                <w:rFonts w:ascii="Times New Roman" w:hAnsi="Times New Roman" w:cs="Times New Roman"/>
                <w:sz w:val="24"/>
                <w:szCs w:val="24"/>
              </w:rPr>
            </w:pPr>
            <w:r w:rsidRPr="008F504E">
              <w:rPr>
                <w:rFonts w:ascii="Times New Roman" w:hAnsi="Times New Roman" w:cs="Times New Roman"/>
                <w:sz w:val="24"/>
                <w:szCs w:val="24"/>
              </w:rPr>
              <w:t xml:space="preserve">Regula Nr. 651/2014 </w:t>
            </w:r>
          </w:p>
        </w:tc>
      </w:tr>
      <w:tr w:rsidR="008F504E" w:rsidRPr="008F504E" w14:paraId="7CF01DAB"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5250530B" w14:textId="5193E8F1"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651/2014 2. panta 2. punkts</w:t>
            </w:r>
          </w:p>
        </w:tc>
        <w:tc>
          <w:tcPr>
            <w:tcW w:w="871" w:type="pct"/>
            <w:tcBorders>
              <w:top w:val="outset" w:sz="6" w:space="0" w:color="auto"/>
              <w:left w:val="outset" w:sz="6" w:space="0" w:color="auto"/>
              <w:bottom w:val="outset" w:sz="6" w:space="0" w:color="auto"/>
              <w:right w:val="outset" w:sz="6" w:space="0" w:color="auto"/>
            </w:tcBorders>
            <w:vAlign w:val="center"/>
          </w:tcPr>
          <w:p w14:paraId="6E8EACAD" w14:textId="463BF145"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2. punkta 4. apakšpunkts</w:t>
            </w:r>
          </w:p>
        </w:tc>
        <w:tc>
          <w:tcPr>
            <w:tcW w:w="975" w:type="pct"/>
            <w:tcBorders>
              <w:top w:val="outset" w:sz="6" w:space="0" w:color="auto"/>
              <w:left w:val="outset" w:sz="6" w:space="0" w:color="auto"/>
              <w:bottom w:val="outset" w:sz="6" w:space="0" w:color="auto"/>
              <w:right w:val="outset" w:sz="6" w:space="0" w:color="auto"/>
            </w:tcBorders>
            <w:vAlign w:val="center"/>
          </w:tcPr>
          <w:p w14:paraId="72836753" w14:textId="1A8B3675"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361FCC5F" w14:textId="69B4EFDB"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Neparedz stingrākas prasības</w:t>
            </w:r>
          </w:p>
        </w:tc>
      </w:tr>
      <w:tr w:rsidR="00E65BA4" w:rsidRPr="008F504E" w14:paraId="540A7F5A" w14:textId="77777777" w:rsidTr="00537069">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tcPr>
          <w:p w14:paraId="021C670F" w14:textId="45E0FF12"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Regulas Nr. 651/2014 2. panta 83. punkts</w:t>
            </w:r>
          </w:p>
        </w:tc>
        <w:tc>
          <w:tcPr>
            <w:tcW w:w="871" w:type="pct"/>
            <w:tcBorders>
              <w:top w:val="outset" w:sz="6" w:space="0" w:color="auto"/>
              <w:left w:val="outset" w:sz="6" w:space="0" w:color="auto"/>
              <w:bottom w:val="outset" w:sz="6" w:space="0" w:color="auto"/>
              <w:right w:val="outset" w:sz="6" w:space="0" w:color="auto"/>
            </w:tcBorders>
            <w:vAlign w:val="center"/>
          </w:tcPr>
          <w:p w14:paraId="16AA6EDD" w14:textId="31D1C01B"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Noteikumu projekta 2. punkta 6. apakšpunkts</w:t>
            </w:r>
          </w:p>
        </w:tc>
        <w:tc>
          <w:tcPr>
            <w:tcW w:w="975" w:type="pct"/>
            <w:tcBorders>
              <w:top w:val="outset" w:sz="6" w:space="0" w:color="auto"/>
              <w:left w:val="outset" w:sz="6" w:space="0" w:color="auto"/>
              <w:bottom w:val="outset" w:sz="6" w:space="0" w:color="auto"/>
              <w:right w:val="outset" w:sz="6" w:space="0" w:color="auto"/>
            </w:tcBorders>
            <w:vAlign w:val="center"/>
          </w:tcPr>
          <w:p w14:paraId="236BC18C" w14:textId="4DC429BB"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Pārņemts pilnībā</w:t>
            </w:r>
          </w:p>
        </w:tc>
        <w:tc>
          <w:tcPr>
            <w:tcW w:w="2070" w:type="pct"/>
            <w:tcBorders>
              <w:top w:val="outset" w:sz="6" w:space="0" w:color="auto"/>
              <w:left w:val="outset" w:sz="6" w:space="0" w:color="auto"/>
              <w:bottom w:val="outset" w:sz="6" w:space="0" w:color="auto"/>
              <w:right w:val="outset" w:sz="6" w:space="0" w:color="auto"/>
            </w:tcBorders>
            <w:vAlign w:val="center"/>
          </w:tcPr>
          <w:p w14:paraId="77ECD73F" w14:textId="7981C30C" w:rsidR="00537069" w:rsidRPr="008F504E" w:rsidRDefault="00537069" w:rsidP="00537069">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Neparedz stingrākas prasības</w:t>
            </w:r>
          </w:p>
        </w:tc>
      </w:tr>
    </w:tbl>
    <w:p w14:paraId="16BB7D80" w14:textId="77777777" w:rsidR="004654B0" w:rsidRPr="008F504E" w:rsidRDefault="004654B0" w:rsidP="000524D6">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504E" w:rsidRPr="008F504E" w14:paraId="27BB9ECC" w14:textId="77777777" w:rsidTr="007E42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D20FF9" w14:textId="77777777" w:rsidR="000524D6" w:rsidRPr="008F504E" w:rsidRDefault="000524D6" w:rsidP="007E42BA">
            <w:pPr>
              <w:spacing w:after="0" w:line="240" w:lineRule="auto"/>
              <w:rPr>
                <w:rFonts w:ascii="Times New Roman" w:hAnsi="Times New Roman" w:cs="Times New Roman"/>
                <w:b/>
                <w:sz w:val="24"/>
                <w:szCs w:val="24"/>
              </w:rPr>
            </w:pPr>
            <w:r w:rsidRPr="008F504E">
              <w:rPr>
                <w:rFonts w:ascii="Times New Roman" w:hAnsi="Times New Roman" w:cs="Times New Roman"/>
                <w:b/>
                <w:sz w:val="24"/>
                <w:szCs w:val="24"/>
              </w:rPr>
              <w:t>VI. Sabiedrības līdzdalība un komunikācijas aktivitātes</w:t>
            </w:r>
          </w:p>
        </w:tc>
      </w:tr>
      <w:tr w:rsidR="008F504E" w:rsidRPr="008F504E" w14:paraId="00DA2121" w14:textId="77777777" w:rsidTr="000524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C7BBB1"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0786F5D"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754F224" w14:textId="4D83DB3C" w:rsidR="00A95A39" w:rsidRPr="008F504E" w:rsidRDefault="00F85CEA"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 xml:space="preserve">Atbilstoši </w:t>
            </w:r>
            <w:hyperlink r:id="rId13" w:history="1">
              <w:r w:rsidRPr="008F504E">
                <w:rPr>
                  <w:rFonts w:ascii="Times New Roman" w:hAnsi="Times New Roman" w:cs="Times New Roman"/>
                  <w:sz w:val="24"/>
                  <w:szCs w:val="24"/>
                </w:rPr>
                <w:t>Ministru kabineta 2009. gada 25. augusta noteikumiem Nr. 970 "Sabiedrības līdzdalības kārtība attīstības plānošanas procesā"</w:t>
              </w:r>
            </w:hyperlink>
            <w:r w:rsidRPr="008F504E">
              <w:rPr>
                <w:rFonts w:ascii="Times New Roman" w:hAnsi="Times New Roman" w:cs="Times New Roman"/>
                <w:sz w:val="24"/>
                <w:szCs w:val="24"/>
              </w:rPr>
              <w:t xml:space="preserve"> sabiedrībai ir dota iespēja rakstiski sniegt viedokli par noteikumu projektu tā izstrādes stadijā. Informācija ir publicēta AM tīmekļa vietnē </w:t>
            </w:r>
            <w:hyperlink r:id="rId14" w:history="1">
              <w:r w:rsidRPr="008F504E">
                <w:rPr>
                  <w:rStyle w:val="Hyperlink"/>
                  <w:rFonts w:ascii="Times New Roman" w:hAnsi="Times New Roman" w:cs="Times New Roman"/>
                  <w:color w:val="auto"/>
                  <w:sz w:val="24"/>
                  <w:szCs w:val="24"/>
                </w:rPr>
                <w:t>www.mod.gov.lv</w:t>
              </w:r>
            </w:hyperlink>
            <w:r w:rsidRPr="008F504E">
              <w:rPr>
                <w:rFonts w:ascii="Times New Roman" w:hAnsi="Times New Roman" w:cs="Times New Roman"/>
                <w:sz w:val="24"/>
                <w:szCs w:val="24"/>
              </w:rPr>
              <w:t xml:space="preserve"> 2021. gada 28. aprīlī.</w:t>
            </w:r>
          </w:p>
        </w:tc>
      </w:tr>
      <w:tr w:rsidR="008F504E" w:rsidRPr="008F504E" w14:paraId="3E6A1874" w14:textId="77777777" w:rsidTr="000524D6">
        <w:trPr>
          <w:trHeight w:val="7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5A9FE"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4C763E8"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505094D2" w14:textId="6026925E" w:rsidR="000524D6" w:rsidRPr="008F504E" w:rsidRDefault="00F85CEA" w:rsidP="002556C9">
            <w:pPr>
              <w:spacing w:after="0" w:line="240" w:lineRule="auto"/>
              <w:jc w:val="both"/>
              <w:rPr>
                <w:rFonts w:ascii="Times New Roman" w:eastAsia="Times New Roman" w:hAnsi="Times New Roman"/>
                <w:iCs/>
                <w:sz w:val="24"/>
                <w:szCs w:val="24"/>
                <w:lang w:eastAsia="lv-LV"/>
              </w:rPr>
            </w:pPr>
            <w:r w:rsidRPr="008F504E">
              <w:rPr>
                <w:rFonts w:ascii="Times New Roman" w:hAnsi="Times New Roman" w:cs="Times New Roman"/>
                <w:sz w:val="24"/>
                <w:szCs w:val="24"/>
              </w:rPr>
              <w:t xml:space="preserve">Lai informētu sabiedrību par noteikumu projektu un dotu iespēju izteikt viedokli, noteikumu projekts 2021. gada 28. aprīlī ievietots AM tīmekļa vietnē </w:t>
            </w:r>
            <w:hyperlink r:id="rId15" w:history="1">
              <w:r w:rsidRPr="008F504E">
                <w:rPr>
                  <w:rStyle w:val="Hyperlink"/>
                  <w:rFonts w:ascii="Times New Roman" w:hAnsi="Times New Roman" w:cs="Times New Roman"/>
                  <w:color w:val="auto"/>
                  <w:sz w:val="24"/>
                  <w:szCs w:val="24"/>
                </w:rPr>
                <w:t>https://www.mod.gov.lv/lv/nozares-politika/sabiedribas-lidzdaliba/sabiedriskas-un-publiskas-apspriesanas</w:t>
              </w:r>
            </w:hyperlink>
            <w:r w:rsidRPr="008F504E">
              <w:rPr>
                <w:rFonts w:ascii="Times New Roman" w:hAnsi="Times New Roman" w:cs="Times New Roman"/>
                <w:sz w:val="24"/>
                <w:szCs w:val="24"/>
              </w:rPr>
              <w:t>.</w:t>
            </w:r>
          </w:p>
        </w:tc>
      </w:tr>
      <w:tr w:rsidR="008F504E" w:rsidRPr="008F504E" w14:paraId="7DF1BB13" w14:textId="77777777" w:rsidTr="000524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38DDA8"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B9C1C65"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EFA2888" w14:textId="4714A663" w:rsidR="000524D6" w:rsidRPr="008F504E" w:rsidRDefault="00A706C6" w:rsidP="000524D6">
            <w:pPr>
              <w:spacing w:after="0" w:line="240" w:lineRule="auto"/>
              <w:rPr>
                <w:rFonts w:ascii="Times New Roman" w:hAnsi="Times New Roman" w:cs="Times New Roman"/>
                <w:sz w:val="24"/>
                <w:szCs w:val="24"/>
              </w:rPr>
            </w:pPr>
            <w:r w:rsidRPr="008F504E">
              <w:rPr>
                <w:rFonts w:ascii="Times New Roman" w:eastAsia="Times New Roman" w:hAnsi="Times New Roman" w:cs="Times New Roman"/>
                <w:sz w:val="24"/>
                <w:szCs w:val="24"/>
                <w:lang w:eastAsia="lv-LV"/>
              </w:rPr>
              <w:t>Nav saņemti priekšlikumi vai iebildumi.</w:t>
            </w:r>
          </w:p>
        </w:tc>
      </w:tr>
      <w:tr w:rsidR="008F504E" w:rsidRPr="008F504E" w14:paraId="436DC4CD" w14:textId="77777777" w:rsidTr="000524D6">
        <w:trPr>
          <w:trHeight w:val="14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A2C7A8"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28D24655"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5E0FD9A"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Nav.</w:t>
            </w:r>
          </w:p>
        </w:tc>
      </w:tr>
    </w:tbl>
    <w:p w14:paraId="6523CDBA" w14:textId="77777777" w:rsidR="000524D6" w:rsidRPr="008F504E" w:rsidRDefault="000524D6" w:rsidP="000524D6">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504E" w:rsidRPr="008F504E" w14:paraId="533F44DC" w14:textId="77777777" w:rsidTr="007E42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84FEF" w14:textId="77777777" w:rsidR="000524D6" w:rsidRPr="008F504E" w:rsidRDefault="000524D6" w:rsidP="007E42BA">
            <w:pPr>
              <w:spacing w:after="0" w:line="240" w:lineRule="auto"/>
              <w:rPr>
                <w:rFonts w:ascii="Times New Roman" w:hAnsi="Times New Roman" w:cs="Times New Roman"/>
                <w:b/>
                <w:sz w:val="24"/>
                <w:szCs w:val="24"/>
              </w:rPr>
            </w:pPr>
            <w:r w:rsidRPr="008F504E">
              <w:rPr>
                <w:rFonts w:ascii="Times New Roman" w:hAnsi="Times New Roman" w:cs="Times New Roman"/>
                <w:b/>
                <w:sz w:val="24"/>
                <w:szCs w:val="24"/>
              </w:rPr>
              <w:t>VII. Tiesību akta projekta izpildes nodrošināšana un tās ietekme uz institūcijām</w:t>
            </w:r>
          </w:p>
        </w:tc>
      </w:tr>
      <w:tr w:rsidR="008F504E" w:rsidRPr="008F504E" w14:paraId="7E08B559" w14:textId="77777777" w:rsidTr="007E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19F3D" w14:textId="77777777" w:rsidR="000524D6" w:rsidRPr="008F504E" w:rsidRDefault="000524D6" w:rsidP="007E42BA">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1986AF8B" w14:textId="77777777" w:rsidR="000524D6" w:rsidRPr="008F504E" w:rsidRDefault="000524D6" w:rsidP="007E42BA">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F092CCE" w14:textId="5C2D2BB7" w:rsidR="000524D6" w:rsidRPr="008F504E" w:rsidRDefault="00ED400F" w:rsidP="007E42BA">
            <w:pPr>
              <w:snapToGrid w:val="0"/>
              <w:jc w:val="both"/>
              <w:rPr>
                <w:rFonts w:ascii="Times New Roman" w:hAnsi="Times New Roman" w:cs="Times New Roman"/>
                <w:sz w:val="24"/>
                <w:szCs w:val="24"/>
              </w:rPr>
            </w:pPr>
            <w:r w:rsidRPr="008F504E">
              <w:rPr>
                <w:rFonts w:ascii="Times New Roman" w:hAnsi="Times New Roman" w:cs="Times New Roman"/>
                <w:sz w:val="24"/>
                <w:szCs w:val="24"/>
              </w:rPr>
              <w:t>Aizsardzības ministrija</w:t>
            </w:r>
          </w:p>
        </w:tc>
      </w:tr>
      <w:tr w:rsidR="008F504E" w:rsidRPr="008F504E" w14:paraId="542F6726" w14:textId="77777777" w:rsidTr="007E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22015B" w14:textId="77777777" w:rsidR="000524D6" w:rsidRPr="008F504E" w:rsidRDefault="000524D6" w:rsidP="007E42BA">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69ADACC" w14:textId="77777777" w:rsidR="000524D6" w:rsidRPr="008F504E" w:rsidRDefault="000524D6" w:rsidP="007E42BA">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Projekta izpildes ietekme uz pārvaldes funkcijām un institucionālo struktūru.</w:t>
            </w:r>
            <w:r w:rsidRPr="008F504E">
              <w:rPr>
                <w:rFonts w:ascii="Times New Roman" w:hAnsi="Times New Roman" w:cs="Times New Roman"/>
                <w:sz w:val="24"/>
                <w:szCs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DC89CAD" w14:textId="39521D12" w:rsidR="000524D6" w:rsidRPr="008F504E" w:rsidRDefault="00ED400F" w:rsidP="007E42BA">
            <w:pPr>
              <w:spacing w:after="0" w:line="240" w:lineRule="auto"/>
              <w:jc w:val="both"/>
              <w:rPr>
                <w:rFonts w:ascii="Times New Roman" w:hAnsi="Times New Roman" w:cs="Times New Roman"/>
                <w:sz w:val="24"/>
                <w:szCs w:val="24"/>
              </w:rPr>
            </w:pPr>
            <w:r w:rsidRPr="008F504E">
              <w:rPr>
                <w:rFonts w:ascii="Times New Roman" w:hAnsi="Times New Roman" w:cs="Times New Roman"/>
                <w:sz w:val="24"/>
                <w:szCs w:val="24"/>
              </w:rPr>
              <w:t xml:space="preserve">Nav paredzēta esošu institūciju likvidācija vai reorganizācija. Iestāžu institucionālā struktūra netiek ietekmēta, papildu resursi nav nepieciešami. </w:t>
            </w:r>
          </w:p>
        </w:tc>
      </w:tr>
      <w:tr w:rsidR="000524D6" w:rsidRPr="008F504E" w14:paraId="23743190" w14:textId="77777777" w:rsidTr="007E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94EF87" w14:textId="77777777" w:rsidR="000524D6" w:rsidRPr="008F504E" w:rsidRDefault="000524D6" w:rsidP="007E42BA">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1B5D5E7" w14:textId="77777777" w:rsidR="000524D6" w:rsidRPr="008F504E" w:rsidRDefault="000524D6" w:rsidP="007E42BA">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7DBB9CF" w14:textId="77777777" w:rsidR="000524D6" w:rsidRPr="008F504E" w:rsidRDefault="000524D6" w:rsidP="007E42BA">
            <w:pPr>
              <w:spacing w:after="0" w:line="240" w:lineRule="auto"/>
              <w:rPr>
                <w:rFonts w:ascii="Times New Roman" w:hAnsi="Times New Roman" w:cs="Times New Roman"/>
                <w:sz w:val="24"/>
                <w:szCs w:val="24"/>
              </w:rPr>
            </w:pPr>
            <w:r w:rsidRPr="008F504E">
              <w:rPr>
                <w:rFonts w:ascii="Times New Roman" w:hAnsi="Times New Roman" w:cs="Times New Roman"/>
                <w:sz w:val="24"/>
                <w:szCs w:val="24"/>
              </w:rPr>
              <w:t>Nav.</w:t>
            </w:r>
          </w:p>
        </w:tc>
      </w:tr>
    </w:tbl>
    <w:p w14:paraId="15BDB118" w14:textId="0F4FADE9" w:rsidR="00EE5472" w:rsidRPr="008F504E" w:rsidRDefault="00EE5472" w:rsidP="00ED400F">
      <w:pPr>
        <w:tabs>
          <w:tab w:val="right" w:pos="9074"/>
        </w:tabs>
        <w:rPr>
          <w:rFonts w:ascii="Times New Roman" w:hAnsi="Times New Roman" w:cs="Times New Roman"/>
          <w:sz w:val="24"/>
          <w:szCs w:val="24"/>
        </w:rPr>
      </w:pPr>
    </w:p>
    <w:p w14:paraId="773D7EBA" w14:textId="77777777" w:rsidR="00334754" w:rsidRPr="00334754" w:rsidRDefault="00334754" w:rsidP="00334754">
      <w:pPr>
        <w:spacing w:after="0"/>
        <w:rPr>
          <w:rFonts w:ascii="Times New Roman" w:hAnsi="Times New Roman" w:cs="Times New Roman"/>
          <w:sz w:val="24"/>
          <w:szCs w:val="24"/>
        </w:rPr>
      </w:pPr>
      <w:r w:rsidRPr="00334754">
        <w:rPr>
          <w:rFonts w:ascii="Times New Roman" w:hAnsi="Times New Roman" w:cs="Times New Roman"/>
          <w:sz w:val="24"/>
          <w:szCs w:val="24"/>
        </w:rPr>
        <w:t xml:space="preserve">Ministru prezidenta biedrs, </w:t>
      </w:r>
    </w:p>
    <w:p w14:paraId="2D3DD322" w14:textId="1009FC83" w:rsidR="00653DEB" w:rsidRPr="008F504E" w:rsidRDefault="00334754" w:rsidP="00334754">
      <w:pPr>
        <w:rPr>
          <w:rFonts w:ascii="Times New Roman" w:hAnsi="Times New Roman" w:cs="Times New Roman"/>
          <w:sz w:val="24"/>
          <w:szCs w:val="24"/>
        </w:rPr>
      </w:pPr>
      <w:r w:rsidRPr="00334754">
        <w:rPr>
          <w:rFonts w:ascii="Times New Roman" w:hAnsi="Times New Roman" w:cs="Times New Roman"/>
          <w:sz w:val="24"/>
          <w:szCs w:val="24"/>
        </w:rPr>
        <w:t>aizsardzības ministrs</w:t>
      </w:r>
      <w:r w:rsidRPr="0033475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334754">
        <w:rPr>
          <w:rFonts w:ascii="Times New Roman" w:hAnsi="Times New Roman" w:cs="Times New Roman"/>
          <w:sz w:val="24"/>
          <w:szCs w:val="24"/>
        </w:rPr>
        <w:t>Artis Pabriks</w:t>
      </w:r>
    </w:p>
    <w:p w14:paraId="2EC34F06" w14:textId="77777777" w:rsidR="00334754" w:rsidRDefault="00334754" w:rsidP="000611E0">
      <w:pPr>
        <w:spacing w:after="0" w:line="240" w:lineRule="auto"/>
        <w:rPr>
          <w:rFonts w:ascii="Times New Roman" w:hAnsi="Times New Roman" w:cs="Times New Roman"/>
          <w:sz w:val="20"/>
          <w:szCs w:val="20"/>
        </w:rPr>
      </w:pPr>
    </w:p>
    <w:p w14:paraId="68C8380D" w14:textId="77777777" w:rsidR="00334754" w:rsidRDefault="00334754" w:rsidP="000611E0">
      <w:pPr>
        <w:spacing w:after="0" w:line="240" w:lineRule="auto"/>
        <w:rPr>
          <w:rFonts w:ascii="Times New Roman" w:hAnsi="Times New Roman" w:cs="Times New Roman"/>
          <w:sz w:val="20"/>
          <w:szCs w:val="20"/>
        </w:rPr>
      </w:pPr>
    </w:p>
    <w:p w14:paraId="65641244" w14:textId="77777777" w:rsidR="00334754" w:rsidRDefault="00334754" w:rsidP="000611E0">
      <w:pPr>
        <w:spacing w:after="0" w:line="240" w:lineRule="auto"/>
        <w:rPr>
          <w:rFonts w:ascii="Times New Roman" w:hAnsi="Times New Roman" w:cs="Times New Roman"/>
          <w:sz w:val="20"/>
          <w:szCs w:val="20"/>
        </w:rPr>
      </w:pPr>
    </w:p>
    <w:p w14:paraId="0FE0CEC8" w14:textId="77777777" w:rsidR="00334754" w:rsidRDefault="00334754" w:rsidP="000611E0">
      <w:pPr>
        <w:spacing w:after="0" w:line="240" w:lineRule="auto"/>
        <w:rPr>
          <w:rFonts w:ascii="Times New Roman" w:hAnsi="Times New Roman" w:cs="Times New Roman"/>
          <w:sz w:val="20"/>
          <w:szCs w:val="20"/>
        </w:rPr>
      </w:pPr>
    </w:p>
    <w:p w14:paraId="2BD37B06" w14:textId="26330F5B" w:rsidR="00EE5472" w:rsidRPr="008F504E" w:rsidRDefault="003579EB" w:rsidP="000611E0">
      <w:pPr>
        <w:spacing w:after="0" w:line="240" w:lineRule="auto"/>
        <w:rPr>
          <w:rFonts w:ascii="Times New Roman" w:hAnsi="Times New Roman" w:cs="Times New Roman"/>
          <w:sz w:val="20"/>
          <w:szCs w:val="20"/>
        </w:rPr>
      </w:pPr>
      <w:r w:rsidRPr="008F504E">
        <w:rPr>
          <w:rFonts w:ascii="Times New Roman" w:hAnsi="Times New Roman" w:cs="Times New Roman"/>
          <w:sz w:val="20"/>
          <w:szCs w:val="20"/>
        </w:rPr>
        <w:t>Spriņģe</w:t>
      </w:r>
      <w:r w:rsidR="00EE5472" w:rsidRPr="008F504E">
        <w:rPr>
          <w:rFonts w:ascii="Times New Roman" w:hAnsi="Times New Roman" w:cs="Times New Roman"/>
          <w:sz w:val="20"/>
          <w:szCs w:val="20"/>
        </w:rPr>
        <w:t xml:space="preserve">, </w:t>
      </w:r>
      <w:r w:rsidRPr="008F504E">
        <w:rPr>
          <w:rFonts w:ascii="Times New Roman" w:hAnsi="Times New Roman" w:cs="Times New Roman"/>
          <w:sz w:val="20"/>
          <w:szCs w:val="20"/>
        </w:rPr>
        <w:t>6</w:t>
      </w:r>
      <w:r w:rsidR="00EE5472" w:rsidRPr="008F504E">
        <w:rPr>
          <w:rFonts w:ascii="Times New Roman" w:hAnsi="Times New Roman" w:cs="Times New Roman"/>
          <w:sz w:val="20"/>
          <w:szCs w:val="20"/>
        </w:rPr>
        <w:t>733523</w:t>
      </w:r>
      <w:r w:rsidRPr="008F504E">
        <w:rPr>
          <w:rFonts w:ascii="Times New Roman" w:hAnsi="Times New Roman" w:cs="Times New Roman"/>
          <w:sz w:val="20"/>
          <w:szCs w:val="20"/>
        </w:rPr>
        <w:t>4</w:t>
      </w:r>
      <w:r w:rsidR="00EE5472" w:rsidRPr="008F504E">
        <w:rPr>
          <w:rFonts w:ascii="Times New Roman" w:hAnsi="Times New Roman" w:cs="Times New Roman"/>
          <w:sz w:val="20"/>
          <w:szCs w:val="20"/>
        </w:rPr>
        <w:t>;</w:t>
      </w:r>
    </w:p>
    <w:p w14:paraId="71882519" w14:textId="2A003937" w:rsidR="00BD6123" w:rsidRPr="008F504E" w:rsidRDefault="003579EB" w:rsidP="000611E0">
      <w:pPr>
        <w:spacing w:after="0" w:line="240" w:lineRule="auto"/>
        <w:rPr>
          <w:rFonts w:ascii="Times New Roman" w:hAnsi="Times New Roman" w:cs="Times New Roman"/>
          <w:sz w:val="20"/>
          <w:szCs w:val="20"/>
        </w:rPr>
      </w:pPr>
      <w:r w:rsidRPr="008F504E">
        <w:rPr>
          <w:rFonts w:ascii="Times New Roman" w:hAnsi="Times New Roman" w:cs="Times New Roman"/>
          <w:sz w:val="20"/>
          <w:szCs w:val="20"/>
        </w:rPr>
        <w:t>inta.springe@mod.gov.lv</w:t>
      </w:r>
      <w:r w:rsidR="00EE5472" w:rsidRPr="008F504E">
        <w:rPr>
          <w:rFonts w:ascii="Times New Roman" w:hAnsi="Times New Roman" w:cs="Times New Roman"/>
          <w:sz w:val="20"/>
          <w:szCs w:val="20"/>
        </w:rPr>
        <w:t xml:space="preserve"> </w:t>
      </w:r>
      <w:bookmarkStart w:id="1" w:name="OLE_LINK1"/>
      <w:bookmarkStart w:id="2" w:name="OLE_LINK2"/>
      <w:bookmarkEnd w:id="1"/>
      <w:bookmarkEnd w:id="2"/>
    </w:p>
    <w:sectPr w:rsidR="00BD6123" w:rsidRPr="008F504E" w:rsidSect="002079DC">
      <w:headerReference w:type="default" r:id="rId16"/>
      <w:footerReference w:type="default" r:id="rId17"/>
      <w:footerReference w:type="first" r:id="rId18"/>
      <w:pgSz w:w="11906" w:h="16838"/>
      <w:pgMar w:top="1418" w:right="1134" w:bottom="1134" w:left="1701"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6B93" w14:textId="77777777" w:rsidR="00166F7B" w:rsidRDefault="00166F7B" w:rsidP="00894C55">
      <w:pPr>
        <w:spacing w:after="0" w:line="240" w:lineRule="auto"/>
      </w:pPr>
      <w:r>
        <w:separator/>
      </w:r>
    </w:p>
  </w:endnote>
  <w:endnote w:type="continuationSeparator" w:id="0">
    <w:p w14:paraId="0BCE491D" w14:textId="77777777" w:rsidR="00166F7B" w:rsidRDefault="00166F7B" w:rsidP="00894C55">
      <w:pPr>
        <w:spacing w:after="0" w:line="240" w:lineRule="auto"/>
      </w:pPr>
      <w:r>
        <w:continuationSeparator/>
      </w:r>
    </w:p>
  </w:endnote>
  <w:endnote w:type="continuationNotice" w:id="1">
    <w:p w14:paraId="03162CE8" w14:textId="77777777" w:rsidR="00166F7B" w:rsidRDefault="00166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8EA7" w14:textId="147CAAC0" w:rsidR="00716B72" w:rsidRPr="000A7C6E" w:rsidRDefault="00716B72" w:rsidP="000A7C6E">
    <w:pPr>
      <w:pStyle w:val="Footer"/>
    </w:pPr>
    <w:r w:rsidRPr="00A71E37">
      <w:rPr>
        <w:rFonts w:ascii="Times New Roman" w:hAnsi="Times New Roman" w:cs="Times New Roman"/>
        <w:sz w:val="20"/>
        <w:szCs w:val="20"/>
      </w:rPr>
      <w:t>A</w:t>
    </w:r>
    <w:r>
      <w:rPr>
        <w:rFonts w:ascii="Times New Roman" w:hAnsi="Times New Roman" w:cs="Times New Roman"/>
        <w:sz w:val="20"/>
        <w:szCs w:val="20"/>
      </w:rPr>
      <w:t>I</w:t>
    </w:r>
    <w:r w:rsidRPr="00A71E37">
      <w:rPr>
        <w:rFonts w:ascii="Times New Roman" w:hAnsi="Times New Roman" w:cs="Times New Roman"/>
        <w:sz w:val="20"/>
        <w:szCs w:val="20"/>
      </w:rPr>
      <w:t>M</w:t>
    </w:r>
    <w:r>
      <w:rPr>
        <w:rFonts w:ascii="Times New Roman" w:hAnsi="Times New Roman" w:cs="Times New Roman"/>
        <w:sz w:val="20"/>
        <w:szCs w:val="20"/>
      </w:rPr>
      <w:t>a</w:t>
    </w:r>
    <w:r w:rsidRPr="00A71E37">
      <w:rPr>
        <w:rFonts w:ascii="Times New Roman" w:hAnsi="Times New Roman" w:cs="Times New Roman"/>
        <w:sz w:val="20"/>
        <w:szCs w:val="20"/>
      </w:rPr>
      <w:t>not_</w:t>
    </w:r>
    <w:r w:rsidR="00B5381B">
      <w:rPr>
        <w:rFonts w:ascii="Times New Roman" w:hAnsi="Times New Roman" w:cs="Times New Roman"/>
        <w:sz w:val="20"/>
        <w:szCs w:val="20"/>
      </w:rPr>
      <w:t>0407</w:t>
    </w:r>
    <w:r w:rsidR="007C02CF">
      <w:rPr>
        <w:rFonts w:ascii="Times New Roman" w:hAnsi="Times New Roman" w:cs="Times New Roman"/>
        <w:sz w:val="20"/>
        <w:szCs w:val="20"/>
      </w:rPr>
      <w:t>21</w:t>
    </w:r>
    <w:r>
      <w:rPr>
        <w:rFonts w:ascii="Times New Roman" w:hAnsi="Times New Roman" w:cs="Times New Roman"/>
        <w:sz w:val="20"/>
        <w:szCs w:val="20"/>
      </w:rPr>
      <w:t>_MK</w:t>
    </w:r>
    <w:r w:rsidR="00E01585">
      <w:rPr>
        <w:rFonts w:ascii="Times New Roman" w:hAnsi="Times New Roman" w:cs="Times New Roman"/>
        <w:sz w:val="20"/>
        <w:szCs w:val="20"/>
      </w:rPr>
      <w:t>544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9B18" w14:textId="6BB9C425" w:rsidR="00C17F75" w:rsidRDefault="00716B72" w:rsidP="00A71E37">
    <w:pPr>
      <w:pStyle w:val="Footer"/>
      <w:rPr>
        <w:rFonts w:ascii="Times New Roman" w:hAnsi="Times New Roman" w:cs="Times New Roman"/>
        <w:sz w:val="20"/>
        <w:szCs w:val="20"/>
      </w:rPr>
    </w:pPr>
    <w:r w:rsidRPr="00A71E37">
      <w:rPr>
        <w:rFonts w:ascii="Times New Roman" w:hAnsi="Times New Roman" w:cs="Times New Roman"/>
        <w:sz w:val="20"/>
        <w:szCs w:val="20"/>
      </w:rPr>
      <w:t>A</w:t>
    </w:r>
    <w:r>
      <w:rPr>
        <w:rFonts w:ascii="Times New Roman" w:hAnsi="Times New Roman" w:cs="Times New Roman"/>
        <w:sz w:val="20"/>
        <w:szCs w:val="20"/>
      </w:rPr>
      <w:t>I</w:t>
    </w:r>
    <w:r w:rsidRPr="00A71E37">
      <w:rPr>
        <w:rFonts w:ascii="Times New Roman" w:hAnsi="Times New Roman" w:cs="Times New Roman"/>
        <w:sz w:val="20"/>
        <w:szCs w:val="20"/>
      </w:rPr>
      <w:t>M</w:t>
    </w:r>
    <w:r>
      <w:rPr>
        <w:rFonts w:ascii="Times New Roman" w:hAnsi="Times New Roman" w:cs="Times New Roman"/>
        <w:sz w:val="20"/>
        <w:szCs w:val="20"/>
      </w:rPr>
      <w:t>a</w:t>
    </w:r>
    <w:r w:rsidRPr="00A71E37">
      <w:rPr>
        <w:rFonts w:ascii="Times New Roman" w:hAnsi="Times New Roman" w:cs="Times New Roman"/>
        <w:sz w:val="20"/>
        <w:szCs w:val="20"/>
      </w:rPr>
      <w:t>not</w:t>
    </w:r>
    <w:r w:rsidR="00C17F75">
      <w:rPr>
        <w:rFonts w:ascii="Times New Roman" w:hAnsi="Times New Roman" w:cs="Times New Roman"/>
        <w:sz w:val="20"/>
        <w:szCs w:val="20"/>
      </w:rPr>
      <w:t>_</w:t>
    </w:r>
    <w:r w:rsidR="00217B52">
      <w:rPr>
        <w:rFonts w:ascii="Times New Roman" w:hAnsi="Times New Roman" w:cs="Times New Roman"/>
        <w:sz w:val="20"/>
        <w:szCs w:val="20"/>
      </w:rPr>
      <w:t>21</w:t>
    </w:r>
    <w:r w:rsidR="00AB7456">
      <w:rPr>
        <w:rFonts w:ascii="Times New Roman" w:hAnsi="Times New Roman" w:cs="Times New Roman"/>
        <w:sz w:val="20"/>
        <w:szCs w:val="20"/>
      </w:rPr>
      <w:t>06</w:t>
    </w:r>
    <w:r>
      <w:rPr>
        <w:rFonts w:ascii="Times New Roman" w:hAnsi="Times New Roman" w:cs="Times New Roman"/>
        <w:sz w:val="20"/>
        <w:szCs w:val="20"/>
      </w:rPr>
      <w:t>21</w:t>
    </w:r>
    <w:r w:rsidR="00C17F75">
      <w:rPr>
        <w:rFonts w:ascii="Times New Roman" w:hAnsi="Times New Roman" w:cs="Times New Roman"/>
        <w:sz w:val="20"/>
        <w:szCs w:val="20"/>
      </w:rPr>
      <w:t>_</w:t>
    </w:r>
    <w:r w:rsidR="00217B52">
      <w:rPr>
        <w:rFonts w:ascii="Times New Roman" w:hAnsi="Times New Roman" w:cs="Times New Roman"/>
        <w:sz w:val="20"/>
        <w:szCs w:val="20"/>
      </w:rPr>
      <w:t>VSS-485</w:t>
    </w:r>
  </w:p>
  <w:p w14:paraId="60BD7E8E" w14:textId="77777777" w:rsidR="00C17F75" w:rsidRDefault="00C17F75" w:rsidP="00A71E37">
    <w:pPr>
      <w:pStyle w:val="Footer"/>
      <w:rPr>
        <w:rFonts w:ascii="Times New Roman" w:hAnsi="Times New Roman" w:cs="Times New Roman"/>
        <w:sz w:val="20"/>
        <w:szCs w:val="20"/>
      </w:rPr>
    </w:pPr>
  </w:p>
  <w:p w14:paraId="2CC77886" w14:textId="77777777" w:rsidR="00716B72" w:rsidRPr="00A71E37" w:rsidRDefault="00716B72" w:rsidP="00A7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F3B24" w14:textId="77777777" w:rsidR="00166F7B" w:rsidRDefault="00166F7B" w:rsidP="00894C55">
      <w:pPr>
        <w:spacing w:after="0" w:line="240" w:lineRule="auto"/>
      </w:pPr>
      <w:r>
        <w:separator/>
      </w:r>
    </w:p>
  </w:footnote>
  <w:footnote w:type="continuationSeparator" w:id="0">
    <w:p w14:paraId="6E3437EA" w14:textId="77777777" w:rsidR="00166F7B" w:rsidRDefault="00166F7B" w:rsidP="00894C55">
      <w:pPr>
        <w:spacing w:after="0" w:line="240" w:lineRule="auto"/>
      </w:pPr>
      <w:r>
        <w:continuationSeparator/>
      </w:r>
    </w:p>
  </w:footnote>
  <w:footnote w:type="continuationNotice" w:id="1">
    <w:p w14:paraId="36BD32A1" w14:textId="77777777" w:rsidR="00166F7B" w:rsidRDefault="00166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673636" w14:textId="4192CB92" w:rsidR="00716B72" w:rsidRPr="00C25B49" w:rsidRDefault="00716B7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42D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54D94"/>
    <w:multiLevelType w:val="hybridMultilevel"/>
    <w:tmpl w:val="700A9852"/>
    <w:lvl w:ilvl="0" w:tplc="27485E12">
      <w:start w:val="1"/>
      <w:numFmt w:val="decimal"/>
      <w:lvlText w:val="%1)"/>
      <w:lvlJc w:val="left"/>
      <w:pPr>
        <w:ind w:left="720" w:hanging="360"/>
      </w:pPr>
      <w:rPr>
        <w:rFonts w:ascii="Times New Roman" w:eastAsiaTheme="minorHAnsi" w:hAnsi="Times New Roman" w:cs="Times New Roman"/>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78DC"/>
    <w:rsid w:val="0004160F"/>
    <w:rsid w:val="00046A61"/>
    <w:rsid w:val="00050EEB"/>
    <w:rsid w:val="000524D6"/>
    <w:rsid w:val="000611E0"/>
    <w:rsid w:val="00072B02"/>
    <w:rsid w:val="00077343"/>
    <w:rsid w:val="00083864"/>
    <w:rsid w:val="000A3554"/>
    <w:rsid w:val="000A7C6E"/>
    <w:rsid w:val="000B2FBD"/>
    <w:rsid w:val="000B5AA4"/>
    <w:rsid w:val="000C15A9"/>
    <w:rsid w:val="000C22CF"/>
    <w:rsid w:val="000F0007"/>
    <w:rsid w:val="000F51DF"/>
    <w:rsid w:val="000F6186"/>
    <w:rsid w:val="00104D92"/>
    <w:rsid w:val="001109B1"/>
    <w:rsid w:val="00120324"/>
    <w:rsid w:val="00124143"/>
    <w:rsid w:val="00124E9F"/>
    <w:rsid w:val="00135775"/>
    <w:rsid w:val="00140784"/>
    <w:rsid w:val="00152084"/>
    <w:rsid w:val="00161F76"/>
    <w:rsid w:val="00162FC8"/>
    <w:rsid w:val="00166F7B"/>
    <w:rsid w:val="00180032"/>
    <w:rsid w:val="00180BBA"/>
    <w:rsid w:val="00195766"/>
    <w:rsid w:val="001B0030"/>
    <w:rsid w:val="001B16B5"/>
    <w:rsid w:val="001B5BEF"/>
    <w:rsid w:val="001C0F2D"/>
    <w:rsid w:val="001C13F8"/>
    <w:rsid w:val="001C1E5B"/>
    <w:rsid w:val="001C5CB8"/>
    <w:rsid w:val="001D21DA"/>
    <w:rsid w:val="001D3CC0"/>
    <w:rsid w:val="001D54F6"/>
    <w:rsid w:val="001E5913"/>
    <w:rsid w:val="001E7461"/>
    <w:rsid w:val="00206ECC"/>
    <w:rsid w:val="002079DC"/>
    <w:rsid w:val="00217756"/>
    <w:rsid w:val="00217B52"/>
    <w:rsid w:val="002250B4"/>
    <w:rsid w:val="00243426"/>
    <w:rsid w:val="002556C9"/>
    <w:rsid w:val="00285AF3"/>
    <w:rsid w:val="0029100A"/>
    <w:rsid w:val="00297D8B"/>
    <w:rsid w:val="002C60F2"/>
    <w:rsid w:val="002C697A"/>
    <w:rsid w:val="002D108A"/>
    <w:rsid w:val="002E01BD"/>
    <w:rsid w:val="002E1C05"/>
    <w:rsid w:val="002E3461"/>
    <w:rsid w:val="002E4A2D"/>
    <w:rsid w:val="003061D9"/>
    <w:rsid w:val="003142DE"/>
    <w:rsid w:val="0032021A"/>
    <w:rsid w:val="00324F9C"/>
    <w:rsid w:val="0033311C"/>
    <w:rsid w:val="00334754"/>
    <w:rsid w:val="00337A3A"/>
    <w:rsid w:val="0034055C"/>
    <w:rsid w:val="00342559"/>
    <w:rsid w:val="00344B25"/>
    <w:rsid w:val="0034627B"/>
    <w:rsid w:val="003579EB"/>
    <w:rsid w:val="0036091F"/>
    <w:rsid w:val="0036176C"/>
    <w:rsid w:val="00374442"/>
    <w:rsid w:val="00383A0C"/>
    <w:rsid w:val="00390D52"/>
    <w:rsid w:val="00392BEA"/>
    <w:rsid w:val="003A19EC"/>
    <w:rsid w:val="003B0BF9"/>
    <w:rsid w:val="003C355F"/>
    <w:rsid w:val="003D01AB"/>
    <w:rsid w:val="003D1A05"/>
    <w:rsid w:val="003D4AF0"/>
    <w:rsid w:val="003D5D62"/>
    <w:rsid w:val="003D7DB1"/>
    <w:rsid w:val="003E0791"/>
    <w:rsid w:val="003E0FE9"/>
    <w:rsid w:val="003E3F2D"/>
    <w:rsid w:val="003F1BC2"/>
    <w:rsid w:val="003F28AC"/>
    <w:rsid w:val="003F29F2"/>
    <w:rsid w:val="00403C4B"/>
    <w:rsid w:val="0042265B"/>
    <w:rsid w:val="00427401"/>
    <w:rsid w:val="00441B39"/>
    <w:rsid w:val="00442CD8"/>
    <w:rsid w:val="004454FE"/>
    <w:rsid w:val="00456E40"/>
    <w:rsid w:val="00460F73"/>
    <w:rsid w:val="00462F21"/>
    <w:rsid w:val="004654B0"/>
    <w:rsid w:val="00465683"/>
    <w:rsid w:val="00471F27"/>
    <w:rsid w:val="00484882"/>
    <w:rsid w:val="004A3889"/>
    <w:rsid w:val="004A5472"/>
    <w:rsid w:val="004A5FBB"/>
    <w:rsid w:val="004B1D54"/>
    <w:rsid w:val="004C0BEB"/>
    <w:rsid w:val="004C3D0D"/>
    <w:rsid w:val="004D58BD"/>
    <w:rsid w:val="004D62E8"/>
    <w:rsid w:val="004E59B9"/>
    <w:rsid w:val="004F366C"/>
    <w:rsid w:val="00501182"/>
    <w:rsid w:val="0050178F"/>
    <w:rsid w:val="005026D5"/>
    <w:rsid w:val="00502F9F"/>
    <w:rsid w:val="0050356B"/>
    <w:rsid w:val="00506C64"/>
    <w:rsid w:val="00513A33"/>
    <w:rsid w:val="00521B12"/>
    <w:rsid w:val="00537069"/>
    <w:rsid w:val="00540154"/>
    <w:rsid w:val="00540981"/>
    <w:rsid w:val="0054121F"/>
    <w:rsid w:val="00545419"/>
    <w:rsid w:val="00547A21"/>
    <w:rsid w:val="00554F26"/>
    <w:rsid w:val="005648BA"/>
    <w:rsid w:val="00565A71"/>
    <w:rsid w:val="0057242E"/>
    <w:rsid w:val="00572518"/>
    <w:rsid w:val="00575CA3"/>
    <w:rsid w:val="00577804"/>
    <w:rsid w:val="00583CA7"/>
    <w:rsid w:val="00584BDC"/>
    <w:rsid w:val="00586D59"/>
    <w:rsid w:val="005B1275"/>
    <w:rsid w:val="005B1B9D"/>
    <w:rsid w:val="005B4955"/>
    <w:rsid w:val="005C192C"/>
    <w:rsid w:val="005C3388"/>
    <w:rsid w:val="00604A93"/>
    <w:rsid w:val="006050EF"/>
    <w:rsid w:val="00623676"/>
    <w:rsid w:val="00631C70"/>
    <w:rsid w:val="00637DA8"/>
    <w:rsid w:val="00650A6A"/>
    <w:rsid w:val="00653DEB"/>
    <w:rsid w:val="00655F2C"/>
    <w:rsid w:val="00657B36"/>
    <w:rsid w:val="0066085B"/>
    <w:rsid w:val="006616A2"/>
    <w:rsid w:val="006632B3"/>
    <w:rsid w:val="00667AAA"/>
    <w:rsid w:val="00680419"/>
    <w:rsid w:val="00680AD8"/>
    <w:rsid w:val="0068330A"/>
    <w:rsid w:val="006950F6"/>
    <w:rsid w:val="0069566A"/>
    <w:rsid w:val="006A1989"/>
    <w:rsid w:val="006A4DBD"/>
    <w:rsid w:val="006A7CE2"/>
    <w:rsid w:val="006B7390"/>
    <w:rsid w:val="006C21BD"/>
    <w:rsid w:val="006C39CB"/>
    <w:rsid w:val="006C5429"/>
    <w:rsid w:val="006E1081"/>
    <w:rsid w:val="006E2398"/>
    <w:rsid w:val="00707762"/>
    <w:rsid w:val="00712801"/>
    <w:rsid w:val="00716B72"/>
    <w:rsid w:val="00720585"/>
    <w:rsid w:val="00724EC1"/>
    <w:rsid w:val="0073605D"/>
    <w:rsid w:val="00737C0C"/>
    <w:rsid w:val="00740E23"/>
    <w:rsid w:val="00744110"/>
    <w:rsid w:val="00745756"/>
    <w:rsid w:val="007505D7"/>
    <w:rsid w:val="00755937"/>
    <w:rsid w:val="0077255F"/>
    <w:rsid w:val="00773AF6"/>
    <w:rsid w:val="00774344"/>
    <w:rsid w:val="007777F8"/>
    <w:rsid w:val="007805AD"/>
    <w:rsid w:val="00781775"/>
    <w:rsid w:val="00795F71"/>
    <w:rsid w:val="007A2E11"/>
    <w:rsid w:val="007A7C1D"/>
    <w:rsid w:val="007B0142"/>
    <w:rsid w:val="007B38AD"/>
    <w:rsid w:val="007B6784"/>
    <w:rsid w:val="007C02CF"/>
    <w:rsid w:val="007C2A32"/>
    <w:rsid w:val="007C440F"/>
    <w:rsid w:val="007D2136"/>
    <w:rsid w:val="007E3787"/>
    <w:rsid w:val="007E42BA"/>
    <w:rsid w:val="007E5F7A"/>
    <w:rsid w:val="007E73AB"/>
    <w:rsid w:val="007E7A8D"/>
    <w:rsid w:val="007F2632"/>
    <w:rsid w:val="007F3E77"/>
    <w:rsid w:val="00814DE3"/>
    <w:rsid w:val="00816C11"/>
    <w:rsid w:val="00824A13"/>
    <w:rsid w:val="00830DF2"/>
    <w:rsid w:val="0083185B"/>
    <w:rsid w:val="00833E81"/>
    <w:rsid w:val="00841448"/>
    <w:rsid w:val="00843E4E"/>
    <w:rsid w:val="00845939"/>
    <w:rsid w:val="0084751E"/>
    <w:rsid w:val="00850DED"/>
    <w:rsid w:val="008553A1"/>
    <w:rsid w:val="0085618B"/>
    <w:rsid w:val="0086554F"/>
    <w:rsid w:val="00866D39"/>
    <w:rsid w:val="00870FCB"/>
    <w:rsid w:val="00871449"/>
    <w:rsid w:val="0087295C"/>
    <w:rsid w:val="008730B3"/>
    <w:rsid w:val="008815D2"/>
    <w:rsid w:val="0088255A"/>
    <w:rsid w:val="00885101"/>
    <w:rsid w:val="00886D5F"/>
    <w:rsid w:val="00890663"/>
    <w:rsid w:val="00894C55"/>
    <w:rsid w:val="008C2932"/>
    <w:rsid w:val="008C534C"/>
    <w:rsid w:val="008C71A4"/>
    <w:rsid w:val="008E283C"/>
    <w:rsid w:val="008E2B51"/>
    <w:rsid w:val="008F3439"/>
    <w:rsid w:val="008F3A68"/>
    <w:rsid w:val="008F504E"/>
    <w:rsid w:val="009018E4"/>
    <w:rsid w:val="00922B77"/>
    <w:rsid w:val="00925E3D"/>
    <w:rsid w:val="00944FF1"/>
    <w:rsid w:val="00947393"/>
    <w:rsid w:val="009724D6"/>
    <w:rsid w:val="00973C8C"/>
    <w:rsid w:val="00980622"/>
    <w:rsid w:val="00981FBB"/>
    <w:rsid w:val="009A2654"/>
    <w:rsid w:val="009A5038"/>
    <w:rsid w:val="009A5E2D"/>
    <w:rsid w:val="009B51A6"/>
    <w:rsid w:val="009C1A4B"/>
    <w:rsid w:val="009C5F30"/>
    <w:rsid w:val="009D1DCF"/>
    <w:rsid w:val="009D31EA"/>
    <w:rsid w:val="009E2B7D"/>
    <w:rsid w:val="009E42A8"/>
    <w:rsid w:val="00A018E6"/>
    <w:rsid w:val="00A03778"/>
    <w:rsid w:val="00A04842"/>
    <w:rsid w:val="00A10FC3"/>
    <w:rsid w:val="00A1403C"/>
    <w:rsid w:val="00A2385E"/>
    <w:rsid w:val="00A26190"/>
    <w:rsid w:val="00A320E3"/>
    <w:rsid w:val="00A47B05"/>
    <w:rsid w:val="00A529EC"/>
    <w:rsid w:val="00A56FF6"/>
    <w:rsid w:val="00A6073E"/>
    <w:rsid w:val="00A6748E"/>
    <w:rsid w:val="00A706C6"/>
    <w:rsid w:val="00A71E37"/>
    <w:rsid w:val="00A74A1F"/>
    <w:rsid w:val="00A76561"/>
    <w:rsid w:val="00A84CFC"/>
    <w:rsid w:val="00A855CB"/>
    <w:rsid w:val="00A85A4E"/>
    <w:rsid w:val="00A95A39"/>
    <w:rsid w:val="00AA03D7"/>
    <w:rsid w:val="00AB7456"/>
    <w:rsid w:val="00AC41A5"/>
    <w:rsid w:val="00AD5D48"/>
    <w:rsid w:val="00AE5567"/>
    <w:rsid w:val="00AF1239"/>
    <w:rsid w:val="00AF161A"/>
    <w:rsid w:val="00B05042"/>
    <w:rsid w:val="00B07EA1"/>
    <w:rsid w:val="00B07F4D"/>
    <w:rsid w:val="00B101A7"/>
    <w:rsid w:val="00B15D62"/>
    <w:rsid w:val="00B16480"/>
    <w:rsid w:val="00B20847"/>
    <w:rsid w:val="00B2165C"/>
    <w:rsid w:val="00B22496"/>
    <w:rsid w:val="00B23DA4"/>
    <w:rsid w:val="00B30104"/>
    <w:rsid w:val="00B33F42"/>
    <w:rsid w:val="00B46C07"/>
    <w:rsid w:val="00B5381B"/>
    <w:rsid w:val="00B602F3"/>
    <w:rsid w:val="00B65262"/>
    <w:rsid w:val="00B82E4D"/>
    <w:rsid w:val="00B87D04"/>
    <w:rsid w:val="00B9120B"/>
    <w:rsid w:val="00B922A0"/>
    <w:rsid w:val="00BA20AA"/>
    <w:rsid w:val="00BB28E9"/>
    <w:rsid w:val="00BB3B70"/>
    <w:rsid w:val="00BB4162"/>
    <w:rsid w:val="00BD4425"/>
    <w:rsid w:val="00BD4CA3"/>
    <w:rsid w:val="00BD6123"/>
    <w:rsid w:val="00BE7C77"/>
    <w:rsid w:val="00BF1815"/>
    <w:rsid w:val="00C17F75"/>
    <w:rsid w:val="00C24F8E"/>
    <w:rsid w:val="00C25B49"/>
    <w:rsid w:val="00C333EE"/>
    <w:rsid w:val="00C46B76"/>
    <w:rsid w:val="00C56C5D"/>
    <w:rsid w:val="00C61015"/>
    <w:rsid w:val="00C67BE3"/>
    <w:rsid w:val="00C734B1"/>
    <w:rsid w:val="00C801C3"/>
    <w:rsid w:val="00C80CE2"/>
    <w:rsid w:val="00C824C1"/>
    <w:rsid w:val="00C91C03"/>
    <w:rsid w:val="00CA0865"/>
    <w:rsid w:val="00CA2DC4"/>
    <w:rsid w:val="00CA33D9"/>
    <w:rsid w:val="00CB3FFB"/>
    <w:rsid w:val="00CB7E85"/>
    <w:rsid w:val="00CC0B9B"/>
    <w:rsid w:val="00CC0D2D"/>
    <w:rsid w:val="00CC1847"/>
    <w:rsid w:val="00CC2409"/>
    <w:rsid w:val="00CC3A2D"/>
    <w:rsid w:val="00CD32EC"/>
    <w:rsid w:val="00CD4411"/>
    <w:rsid w:val="00CD457E"/>
    <w:rsid w:val="00CE35F3"/>
    <w:rsid w:val="00CE5657"/>
    <w:rsid w:val="00CE7E0C"/>
    <w:rsid w:val="00D133F8"/>
    <w:rsid w:val="00D14A3E"/>
    <w:rsid w:val="00D3075A"/>
    <w:rsid w:val="00D3719F"/>
    <w:rsid w:val="00D40925"/>
    <w:rsid w:val="00D40C30"/>
    <w:rsid w:val="00D57FE2"/>
    <w:rsid w:val="00D6616A"/>
    <w:rsid w:val="00D7707B"/>
    <w:rsid w:val="00D77A37"/>
    <w:rsid w:val="00D83056"/>
    <w:rsid w:val="00DD4B6C"/>
    <w:rsid w:val="00DE0CDF"/>
    <w:rsid w:val="00DE328B"/>
    <w:rsid w:val="00DE3FBF"/>
    <w:rsid w:val="00DE4C6C"/>
    <w:rsid w:val="00DF3B93"/>
    <w:rsid w:val="00E01585"/>
    <w:rsid w:val="00E04A69"/>
    <w:rsid w:val="00E104FB"/>
    <w:rsid w:val="00E3716B"/>
    <w:rsid w:val="00E5323B"/>
    <w:rsid w:val="00E65BA4"/>
    <w:rsid w:val="00E75B9C"/>
    <w:rsid w:val="00E8749E"/>
    <w:rsid w:val="00E90C01"/>
    <w:rsid w:val="00E95722"/>
    <w:rsid w:val="00E958F6"/>
    <w:rsid w:val="00EA486E"/>
    <w:rsid w:val="00EB26D9"/>
    <w:rsid w:val="00EB5014"/>
    <w:rsid w:val="00ED400F"/>
    <w:rsid w:val="00EE52C1"/>
    <w:rsid w:val="00EE5472"/>
    <w:rsid w:val="00EF1C73"/>
    <w:rsid w:val="00F14994"/>
    <w:rsid w:val="00F24F45"/>
    <w:rsid w:val="00F27C17"/>
    <w:rsid w:val="00F32F67"/>
    <w:rsid w:val="00F335B2"/>
    <w:rsid w:val="00F44DA5"/>
    <w:rsid w:val="00F44E6B"/>
    <w:rsid w:val="00F57B0C"/>
    <w:rsid w:val="00F57BDE"/>
    <w:rsid w:val="00F63F2E"/>
    <w:rsid w:val="00F73122"/>
    <w:rsid w:val="00F82835"/>
    <w:rsid w:val="00F85CEA"/>
    <w:rsid w:val="00F968AB"/>
    <w:rsid w:val="00FA7BD3"/>
    <w:rsid w:val="00FB1AB0"/>
    <w:rsid w:val="00FB4689"/>
    <w:rsid w:val="00FC0201"/>
    <w:rsid w:val="00FC076B"/>
    <w:rsid w:val="00FC4F45"/>
    <w:rsid w:val="00FC72D9"/>
    <w:rsid w:val="00FC747D"/>
    <w:rsid w:val="00FD3864"/>
    <w:rsid w:val="00FE27E2"/>
    <w:rsid w:val="00FF33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D6AAF"/>
  <w15:docId w15:val="{1665BF29-B6B6-4D83-B176-5AB0F46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F161A"/>
    <w:rPr>
      <w:sz w:val="16"/>
      <w:szCs w:val="16"/>
    </w:rPr>
  </w:style>
  <w:style w:type="paragraph" w:styleId="CommentText">
    <w:name w:val="annotation text"/>
    <w:basedOn w:val="Normal"/>
    <w:link w:val="CommentTextChar"/>
    <w:unhideWhenUsed/>
    <w:rsid w:val="00AF161A"/>
    <w:pPr>
      <w:spacing w:line="240" w:lineRule="auto"/>
    </w:pPr>
    <w:rPr>
      <w:sz w:val="20"/>
      <w:szCs w:val="20"/>
    </w:rPr>
  </w:style>
  <w:style w:type="character" w:customStyle="1" w:styleId="CommentTextChar">
    <w:name w:val="Comment Text Char"/>
    <w:basedOn w:val="DefaultParagraphFont"/>
    <w:link w:val="CommentText"/>
    <w:rsid w:val="00AF161A"/>
    <w:rPr>
      <w:sz w:val="20"/>
      <w:szCs w:val="20"/>
    </w:rPr>
  </w:style>
  <w:style w:type="paragraph" w:styleId="CommentSubject">
    <w:name w:val="annotation subject"/>
    <w:basedOn w:val="CommentText"/>
    <w:next w:val="CommentText"/>
    <w:link w:val="CommentSubjectChar"/>
    <w:uiPriority w:val="99"/>
    <w:semiHidden/>
    <w:unhideWhenUsed/>
    <w:rsid w:val="00AF161A"/>
    <w:rPr>
      <w:b/>
      <w:bCs/>
    </w:rPr>
  </w:style>
  <w:style w:type="character" w:customStyle="1" w:styleId="CommentSubjectChar">
    <w:name w:val="Comment Subject Char"/>
    <w:basedOn w:val="CommentTextChar"/>
    <w:link w:val="CommentSubject"/>
    <w:uiPriority w:val="99"/>
    <w:semiHidden/>
    <w:rsid w:val="00AF161A"/>
    <w:rPr>
      <w:b/>
      <w:bCs/>
      <w:sz w:val="20"/>
      <w:szCs w:val="20"/>
    </w:rPr>
  </w:style>
  <w:style w:type="paragraph" w:styleId="ListParagraph">
    <w:name w:val="List Paragraph"/>
    <w:basedOn w:val="Normal"/>
    <w:uiPriority w:val="34"/>
    <w:qFormat/>
    <w:rsid w:val="00B65262"/>
    <w:pPr>
      <w:ind w:left="720"/>
      <w:contextualSpacing/>
    </w:pPr>
  </w:style>
  <w:style w:type="paragraph" w:customStyle="1" w:styleId="naiskr">
    <w:name w:val="naiskr"/>
    <w:basedOn w:val="Normal"/>
    <w:rsid w:val="0066085B"/>
    <w:pPr>
      <w:spacing w:before="75" w:after="75" w:line="240" w:lineRule="auto"/>
    </w:pPr>
    <w:rPr>
      <w:rFonts w:ascii="Times New Roman" w:eastAsia="Times New Roman" w:hAnsi="Times New Roman" w:cs="Times New Roman"/>
      <w:sz w:val="24"/>
      <w:szCs w:val="24"/>
      <w:lang w:eastAsia="lv-LV"/>
    </w:rPr>
  </w:style>
  <w:style w:type="paragraph" w:customStyle="1" w:styleId="Body">
    <w:name w:val="Body"/>
    <w:rsid w:val="0066085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EE547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E5472"/>
    <w:rPr>
      <w:rFonts w:ascii="Times New Roman" w:eastAsia="Times New Roman" w:hAnsi="Times New Roman" w:cs="Times New Roman"/>
      <w:sz w:val="28"/>
      <w:szCs w:val="20"/>
    </w:rPr>
  </w:style>
  <w:style w:type="character" w:customStyle="1" w:styleId="UnresolvedMention1">
    <w:name w:val="Unresolved Mention1"/>
    <w:basedOn w:val="DefaultParagraphFont"/>
    <w:uiPriority w:val="99"/>
    <w:semiHidden/>
    <w:unhideWhenUsed/>
    <w:rsid w:val="003579EB"/>
    <w:rPr>
      <w:color w:val="605E5C"/>
      <w:shd w:val="clear" w:color="auto" w:fill="E1DFDD"/>
    </w:rPr>
  </w:style>
  <w:style w:type="paragraph" w:styleId="NormalWeb">
    <w:name w:val="Normal (Web)"/>
    <w:basedOn w:val="Normal"/>
    <w:uiPriority w:val="99"/>
    <w:unhideWhenUsed/>
    <w:rsid w:val="00072B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72B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ndnoteReference">
    <w:name w:val="endnote reference"/>
    <w:basedOn w:val="DefaultParagraphFont"/>
    <w:uiPriority w:val="99"/>
    <w:semiHidden/>
    <w:unhideWhenUsed/>
    <w:rsid w:val="007C0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8693264">
      <w:bodyDiv w:val="1"/>
      <w:marLeft w:val="0"/>
      <w:marRight w:val="0"/>
      <w:marTop w:val="0"/>
      <w:marBottom w:val="0"/>
      <w:divBdr>
        <w:top w:val="none" w:sz="0" w:space="0" w:color="auto"/>
        <w:left w:val="none" w:sz="0" w:space="0" w:color="auto"/>
        <w:bottom w:val="none" w:sz="0" w:space="0" w:color="auto"/>
        <w:right w:val="none" w:sz="0" w:space="0" w:color="auto"/>
      </w:divBdr>
    </w:div>
    <w:div w:id="777918703">
      <w:bodyDiv w:val="1"/>
      <w:marLeft w:val="0"/>
      <w:marRight w:val="0"/>
      <w:marTop w:val="0"/>
      <w:marBottom w:val="0"/>
      <w:divBdr>
        <w:top w:val="none" w:sz="0" w:space="0" w:color="auto"/>
        <w:left w:val="none" w:sz="0" w:space="0" w:color="auto"/>
        <w:bottom w:val="none" w:sz="0" w:space="0" w:color="auto"/>
        <w:right w:val="none" w:sz="0" w:space="0" w:color="auto"/>
      </w:divBdr>
    </w:div>
    <w:div w:id="9853561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7796947">
      <w:bodyDiv w:val="1"/>
      <w:marLeft w:val="0"/>
      <w:marRight w:val="0"/>
      <w:marTop w:val="0"/>
      <w:marBottom w:val="0"/>
      <w:divBdr>
        <w:top w:val="none" w:sz="0" w:space="0" w:color="auto"/>
        <w:left w:val="none" w:sz="0" w:space="0" w:color="auto"/>
        <w:bottom w:val="none" w:sz="0" w:space="0" w:color="auto"/>
        <w:right w:val="none" w:sz="0" w:space="0" w:color="auto"/>
      </w:divBdr>
    </w:div>
    <w:div w:id="1919484488">
      <w:bodyDiv w:val="1"/>
      <w:marLeft w:val="0"/>
      <w:marRight w:val="0"/>
      <w:marTop w:val="0"/>
      <w:marBottom w:val="0"/>
      <w:divBdr>
        <w:top w:val="none" w:sz="0" w:space="0" w:color="auto"/>
        <w:left w:val="none" w:sz="0" w:space="0" w:color="auto"/>
        <w:bottom w:val="none" w:sz="0" w:space="0" w:color="auto"/>
        <w:right w:val="none" w:sz="0" w:space="0" w:color="auto"/>
      </w:divBdr>
    </w:div>
    <w:div w:id="1923448803">
      <w:bodyDiv w:val="1"/>
      <w:marLeft w:val="0"/>
      <w:marRight w:val="0"/>
      <w:marTop w:val="0"/>
      <w:marBottom w:val="0"/>
      <w:divBdr>
        <w:top w:val="none" w:sz="0" w:space="0" w:color="auto"/>
        <w:left w:val="none" w:sz="0" w:space="0" w:color="auto"/>
        <w:bottom w:val="none" w:sz="0" w:space="0" w:color="auto"/>
        <w:right w:val="none" w:sz="0" w:space="0" w:color="auto"/>
      </w:divBdr>
    </w:div>
    <w:div w:id="19824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ikumi.lv/doc.php?id=19703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od.gov.lv/lv/nozares-politika/sabiedribas-lidzdaliba/sabiedriskas-un-publiskas-apspriesana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4342598D5D06141BB9CF5F18F5FFAE9" ma:contentTypeVersion="336" ma:contentTypeDescription="Izveidot jaunu dokumentu." ma:contentTypeScope="" ma:versionID="6762c2b0ab35964e28f07ac70906baf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Ārējās tirdzniecības un ārējo ekonomisko sakaru veicināšanas departaments</TermName>
          <TermId xmlns="http://schemas.microsoft.com/office/infopath/2007/PartnerControls">c71853a5-5ede-4e09-a126-515bd69da8c5</TermId>
        </TermInfo>
      </Terms>
    </n85de85c44494d77850ec883bf791ea1>
    <amDokSaturs xmlns="801ff49e-5150-41f0-9cd7-015d16134d38">Sagatavoti grozījumi noteikumos par licenču izsniegšanu. Grozījumi paredz atvieglojumus divējāda lietojuma preču importam.</amDokSaturs>
    <TaxCatchAll xmlns="21a93588-6fe8-41e9-94dc-424b783ca979">
      <Value>1</Value>
      <Value>33</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Stratēģiskās nozīmes preču eksporta kontroles nodaļa</TermName>
          <TermId xmlns="http://schemas.microsoft.com/office/infopath/2007/PartnerControls">f8b7e0ad-1897-4e31-a5c7-f45724fc6c74</TermId>
        </TermInfo>
      </Terms>
    </aee6b300c46d41ecb957189889b62b92>
    <amLietasNumurs xmlns="801ff49e-5150-41f0-9cd7-015d16134d38" xsi:nil="true"/>
    <amSagatavotajs xmlns="801ff49e-5150-41f0-9cd7-015d16134d38">
      <UserInfo>
        <DisplayName>Nauris Rumpe</DisplayName>
        <AccountId>227</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67-122</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32C6-3877-42ED-8AFC-1AD7F35B1CC2}">
  <ds:schemaRefs>
    <ds:schemaRef ds:uri="http://schemas.microsoft.com/sharepoint/v3/contenttype/forms"/>
  </ds:schemaRefs>
</ds:datastoreItem>
</file>

<file path=customXml/itemProps2.xml><?xml version="1.0" encoding="utf-8"?>
<ds:datastoreItem xmlns:ds="http://schemas.openxmlformats.org/officeDocument/2006/customXml" ds:itemID="{11327CB9-98A9-4926-8F3C-79E2726D5B68}">
  <ds:schemaRefs>
    <ds:schemaRef ds:uri="http://schemas.microsoft.com/sharepoint/events"/>
  </ds:schemaRefs>
</ds:datastoreItem>
</file>

<file path=customXml/itemProps3.xml><?xml version="1.0" encoding="utf-8"?>
<ds:datastoreItem xmlns:ds="http://schemas.openxmlformats.org/officeDocument/2006/customXml" ds:itemID="{BD077D56-296F-4181-B0A5-C31354EC4F85}">
  <ds:schemaRefs>
    <ds:schemaRef ds:uri="Microsoft.SharePoint.Taxonomy.ContentTypeSync"/>
  </ds:schemaRefs>
</ds:datastoreItem>
</file>

<file path=customXml/itemProps4.xml><?xml version="1.0" encoding="utf-8"?>
<ds:datastoreItem xmlns:ds="http://schemas.openxmlformats.org/officeDocument/2006/customXml" ds:itemID="{D832D025-3705-45FF-B32F-6C3DCA6C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0DC36D-5D92-4D2E-9A88-D063106D9F43}">
  <ds:schemaRefs>
    <ds:schemaRef ds:uri="http://schemas.microsoft.com/office/2006/metadata/properties"/>
    <ds:schemaRef ds:uri="http://schemas.microsoft.com/office/infopath/2007/PartnerControls"/>
    <ds:schemaRef ds:uri="aaa33240-aed4-492d-84f2-cf9262a9abbc"/>
    <ds:schemaRef ds:uri="868a9e47-9582-4ad3-b31f-392ce2da298b"/>
    <ds:schemaRef ds:uri="801ff49e-5150-41f0-9cd7-015d16134d38"/>
    <ds:schemaRef ds:uri="21a93588-6fe8-41e9-94dc-424b783ca979"/>
  </ds:schemaRefs>
</ds:datastoreItem>
</file>

<file path=customXml/itemProps6.xml><?xml version="1.0" encoding="utf-8"?>
<ds:datastoreItem xmlns:ds="http://schemas.openxmlformats.org/officeDocument/2006/customXml" ds:itemID="{64F8CB11-3E76-413C-9836-4D066636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10871</Words>
  <Characters>6198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AIManot_040721_VSS-485</vt:lpstr>
    </vt:vector>
  </TitlesOfParts>
  <Company>Ārlietu ministrija</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Aizsardzības ministrija īsteno projektu konkursus militāru vai divējāda lietojuma produktu attīstības atbalstam</dc:title>
  <dc:subject>Anotācija</dc:subject>
  <dc:creator>Inta Spriņģe</dc:creator>
  <dc:description>67335234
inta.springe@mod.gov.lv</dc:description>
  <cp:lastModifiedBy>Ingūna Ernštreite</cp:lastModifiedBy>
  <cp:revision>19</cp:revision>
  <cp:lastPrinted>2021-01-19T08:14:00Z</cp:lastPrinted>
  <dcterms:created xsi:type="dcterms:W3CDTF">2021-06-19T05:54:00Z</dcterms:created>
  <dcterms:modified xsi:type="dcterms:W3CDTF">2021-07-06T10:35:00Z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0x010100B1C2858224DA4374904E017A8E9DA54800B4342598D5D06141BB9CF5F18F5FFAE9</vt:lpwstr>
  </property>
  <property fmtid="{D5CDD505-2E9C-101B-9397-08002B2CF9AE}" pid="3" name="amStrukturvieniba">
    <vt:lpwstr>33;#Stratēģiskās nozīmes preču eksporta kontroles nodaļa|f8b7e0ad-1897-4e31-a5c7-f45724fc6c74</vt:lpwstr>
  </property>
  <property fmtid="{D5CDD505-2E9C-101B-9397-08002B2CF9AE}" pid="4" name="amRegistrStrukturvieniba">
    <vt:lpwstr>1;#Ārējās tirdzniecības un ārējo ekonomisko sakaru veicināšanas departaments|c71853a5-5ede-4e09-a126-515bd69da8c5</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