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D56F" w14:textId="77777777" w:rsidR="000D518D" w:rsidRDefault="000D46C8">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Likumprojekta "Grozījumi Ģeotelpiskās informācijas likumā"</w:t>
      </w:r>
    </w:p>
    <w:p w14:paraId="0175FB4A" w14:textId="77777777" w:rsidR="000D518D" w:rsidRDefault="000D46C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sākotnējās ietekmes novērtējuma ziņojums (anotācija)</w:t>
      </w:r>
    </w:p>
    <w:p w14:paraId="2635F204" w14:textId="77777777" w:rsidR="000D518D" w:rsidRDefault="000D518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3631"/>
        <w:gridCol w:w="5424"/>
      </w:tblGrid>
      <w:tr w:rsidR="000D518D" w14:paraId="4FFDC453" w14:textId="77777777">
        <w:tc>
          <w:tcPr>
            <w:tcW w:w="9070" w:type="dxa"/>
            <w:gridSpan w:val="2"/>
            <w:tcBorders>
              <w:top w:val="outset" w:sz="6" w:space="0" w:color="000000"/>
              <w:left w:val="outset" w:sz="6" w:space="0" w:color="000000"/>
              <w:bottom w:val="outset" w:sz="6" w:space="0" w:color="000000"/>
              <w:right w:val="outset" w:sz="6" w:space="0" w:color="000000"/>
            </w:tcBorders>
            <w:vAlign w:val="center"/>
          </w:tcPr>
          <w:p w14:paraId="7E925CC4"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D518D" w14:paraId="3EF12E8A" w14:textId="77777777">
        <w:tc>
          <w:tcPr>
            <w:tcW w:w="3637" w:type="dxa"/>
            <w:tcBorders>
              <w:top w:val="outset" w:sz="6" w:space="0" w:color="000000"/>
              <w:left w:val="outset" w:sz="6" w:space="0" w:color="000000"/>
              <w:bottom w:val="outset" w:sz="6" w:space="0" w:color="000000"/>
              <w:right w:val="outset" w:sz="6" w:space="0" w:color="000000"/>
            </w:tcBorders>
          </w:tcPr>
          <w:p w14:paraId="556182C9"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3" w:type="dxa"/>
            <w:tcBorders>
              <w:top w:val="outset" w:sz="6" w:space="0" w:color="000000"/>
              <w:left w:val="outset" w:sz="6" w:space="0" w:color="000000"/>
              <w:bottom w:val="outset" w:sz="6" w:space="0" w:color="000000"/>
              <w:right w:val="outset" w:sz="6" w:space="0" w:color="000000"/>
            </w:tcBorders>
          </w:tcPr>
          <w:p w14:paraId="18E342AC" w14:textId="77777777" w:rsidR="000D518D" w:rsidRDefault="000D46C8">
            <w:pPr>
              <w:widowControl w:val="0"/>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“Grozījumi Ģeotelpiskās informācijas likumā” (turpmāk – projekts) mērķis ir paplašināt Latvijas Ģeotelpiskās informācijas aģentūras (turpmāk – Aģentūra) funkciju tvērumu, nosakot, ka Aģentūra piedalās valsts politikas izstrādē ģeodēzijas, kartogrāfijas un ģeotelpiskās informācijas jomās. Tāpat projekts paredz precizēt Ģeotelpiskās informācijas likuma (turpmāk – ĢIL) normu, kas nosaka iestādi, kura pārstāv Latvijas Republiku Eiropas Savienības institūcijās un sniedz informāciju Eiropas Komisijai par ģeotelpiskās infrastruktūras ieviešanu Latvijas Republikā un ziņas par Eiropas Kopienas ģeotelpiskās informācijas infrastruktūras turpmāko attīstību. Projekts arī paredz harmonizēt un attiecībā uz visām specialitātēm mērniecības jomā noteikt vienotus noteikumus, paredzot deleģējumu Ministru kabinetam pilnvarot sertificēšanas institūciju arī ģeodēzijas jomā un apstiprināt tās maksas pakalpojumu cenrādi. </w:t>
            </w:r>
          </w:p>
          <w:p w14:paraId="6181784E" w14:textId="77777777" w:rsidR="000D518D" w:rsidRDefault="000D46C8">
            <w:pPr>
              <w:widowControl w:val="0"/>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nākamajā dienā pēc tā publicēšanas oficiālajā izdevumā „Latvijas Vēstnesis.”</w:t>
            </w:r>
          </w:p>
        </w:tc>
      </w:tr>
    </w:tbl>
    <w:p w14:paraId="459334AE" w14:textId="77777777" w:rsidR="000D518D" w:rsidRDefault="000D46C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8D" w14:paraId="5ADCBFEF"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3B58DB2A"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0D518D" w14:paraId="010C575F" w14:textId="77777777">
        <w:tc>
          <w:tcPr>
            <w:tcW w:w="582" w:type="dxa"/>
            <w:tcBorders>
              <w:top w:val="outset" w:sz="6" w:space="0" w:color="000000"/>
              <w:left w:val="outset" w:sz="6" w:space="0" w:color="000000"/>
              <w:bottom w:val="outset" w:sz="6" w:space="0" w:color="000000"/>
              <w:right w:val="outset" w:sz="6" w:space="0" w:color="000000"/>
            </w:tcBorders>
          </w:tcPr>
          <w:p w14:paraId="61BC2052"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tcPr>
          <w:p w14:paraId="0930C43B"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16" w:type="dxa"/>
            <w:tcBorders>
              <w:top w:val="outset" w:sz="6" w:space="0" w:color="000000"/>
              <w:left w:val="outset" w:sz="6" w:space="0" w:color="000000"/>
              <w:bottom w:val="outset" w:sz="6" w:space="0" w:color="000000"/>
              <w:right w:val="outset" w:sz="6" w:space="0" w:color="000000"/>
            </w:tcBorders>
          </w:tcPr>
          <w:p w14:paraId="2EE4C820" w14:textId="77777777" w:rsidR="000D518D" w:rsidRDefault="000D46C8">
            <w:pPr>
              <w:pStyle w:val="ListParagraph"/>
              <w:widowControl w:val="0"/>
              <w:numPr>
                <w:ilvl w:val="0"/>
                <w:numId w:val="1"/>
              </w:numPr>
              <w:spacing w:after="0" w:line="240" w:lineRule="auto"/>
              <w:ind w:left="357"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ministrijas un Tieslietu ministrijas kopīga iniciatīva;</w:t>
            </w:r>
          </w:p>
          <w:p w14:paraId="19DE5269" w14:textId="18F252AE" w:rsidR="000D518D" w:rsidRDefault="000D46C8">
            <w:pPr>
              <w:pStyle w:val="ListParagraph"/>
              <w:widowControl w:val="0"/>
              <w:numPr>
                <w:ilvl w:val="0"/>
                <w:numId w:val="1"/>
              </w:numPr>
              <w:spacing w:after="0" w:line="240" w:lineRule="auto"/>
              <w:ind w:left="357"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2021. gada 24. marta sēdes protokollēmums (prot. Nr. 29,</w:t>
            </w:r>
            <w:r w:rsidR="006F51D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12.§</w:t>
            </w:r>
            <w:r w:rsidR="006F51DF">
              <w:rPr>
                <w:rFonts w:ascii="Times New Roman" w:eastAsia="Times New Roman" w:hAnsi="Times New Roman" w:cs="Times New Roman"/>
                <w:iCs/>
                <w:sz w:val="24"/>
                <w:szCs w:val="24"/>
                <w:lang w:eastAsia="lv-LV"/>
              </w:rPr>
              <w:t xml:space="preserve"> 2. punkts</w:t>
            </w:r>
            <w:r>
              <w:rPr>
                <w:rFonts w:ascii="Times New Roman" w:eastAsia="Times New Roman" w:hAnsi="Times New Roman" w:cs="Times New Roman"/>
                <w:iCs/>
                <w:sz w:val="24"/>
                <w:szCs w:val="24"/>
                <w:lang w:eastAsia="lv-LV"/>
              </w:rPr>
              <w:t>).</w:t>
            </w:r>
          </w:p>
        </w:tc>
      </w:tr>
      <w:tr w:rsidR="000D518D" w14:paraId="694D70E4" w14:textId="77777777">
        <w:tc>
          <w:tcPr>
            <w:tcW w:w="582" w:type="dxa"/>
            <w:tcBorders>
              <w:top w:val="outset" w:sz="6" w:space="0" w:color="000000"/>
              <w:left w:val="outset" w:sz="6" w:space="0" w:color="000000"/>
              <w:bottom w:val="outset" w:sz="6" w:space="0" w:color="000000"/>
              <w:right w:val="outset" w:sz="6" w:space="0" w:color="000000"/>
            </w:tcBorders>
          </w:tcPr>
          <w:p w14:paraId="5180871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tcPr>
          <w:p w14:paraId="4ACB644F"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416" w:type="dxa"/>
            <w:tcBorders>
              <w:top w:val="outset" w:sz="6" w:space="0" w:color="000000"/>
              <w:left w:val="outset" w:sz="6" w:space="0" w:color="000000"/>
              <w:bottom w:val="outset" w:sz="6" w:space="0" w:color="000000"/>
              <w:right w:val="outset" w:sz="6" w:space="0" w:color="000000"/>
            </w:tcBorders>
          </w:tcPr>
          <w:p w14:paraId="77D3FFAA"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izstrāde ir nepieciešama sakarā ar to, ka šobrīd Aģentūras darbību reglamentējošajā tiesību aktā ir noteikts, ka Aģentūra īsteno valsts politiku ģeodēzijas, kartogrāfijas un ģeotelpiskās informācijas jomās, taču </w:t>
            </w:r>
            <w:r w:rsidRPr="00FE34C0">
              <w:rPr>
                <w:rFonts w:ascii="Times New Roman" w:eastAsia="Times New Roman" w:hAnsi="Times New Roman" w:cs="Times New Roman"/>
                <w:iCs/>
                <w:sz w:val="24"/>
                <w:szCs w:val="24"/>
                <w:lang w:eastAsia="lv-LV"/>
              </w:rPr>
              <w:t>Aģentūra praktiski piedalās arī minēto politikas jomu plānošanā un nodrošina to metodisko vadību – izstrādājot specifiskus nozares normatīvos aktus, piemēram, Ministru kabineta noteikumu projektus, attīstības plānošanas dokumentus (piemēram, ģeotelpiskās informācijas attīstības koncepciju), kā arī nodrošinot ģeotelpisko datu atvēršanu (atvērtie dati) un tml.</w:t>
            </w:r>
            <w:r>
              <w:rPr>
                <w:rFonts w:ascii="Times New Roman" w:eastAsia="Times New Roman" w:hAnsi="Times New Roman" w:cs="Times New Roman"/>
                <w:iCs/>
                <w:sz w:val="24"/>
                <w:szCs w:val="24"/>
                <w:lang w:eastAsia="lv-LV"/>
              </w:rPr>
              <w:t xml:space="preserve"> Projekts izstrādāts, </w:t>
            </w:r>
            <w:r>
              <w:rPr>
                <w:rFonts w:ascii="Times New Roman" w:hAnsi="Times New Roman" w:cs="Times New Roman"/>
                <w:sz w:val="24"/>
                <w:szCs w:val="24"/>
              </w:rPr>
              <w:t xml:space="preserve">lai korekti nodalītu Aizsardzības ministrijas (turpmāk – AM) un Aģentūras funkcijas un uzdevumus. Vienlaikus projekta izstrāde ir nepieciešama sakarā ar to, ka šobrīd ĢIL 8. pantā AM noteikti pienākumi, kas saistīti ar Latvijas Republikas pārstāvēšanu Eiropas Savienības institūcijās un informācijas sniegšanu Eiropas Komisijai par ģeotelpiskās informācijas infrastruktūras ieviešanu, taču faktiski minētos uzdevumus veic Vides aizsardzības un </w:t>
            </w:r>
            <w:r>
              <w:rPr>
                <w:rFonts w:ascii="Times New Roman" w:hAnsi="Times New Roman" w:cs="Times New Roman"/>
                <w:sz w:val="24"/>
                <w:szCs w:val="24"/>
              </w:rPr>
              <w:lastRenderedPageBreak/>
              <w:t>reģionālās attīstības ministrija (turpmāk – VARAM), jo saskaņā ar Ministru kabineta 2013. gada 28. decembra rīkojumu Nr. 686 “Par Latvijas ģeotelpiskās informācijas attīstības koncepciju” (turpmāk – MK rīkojums Nr. 686) VARAM ir noteikta par atbildīgo institūciju Eiropas Parlamenta un Padomes 2007. gada 14. marta direktīvas 2007/2/EK, ar ko izveido Telpiskās informācijas infrastruktūru Eiropas Kopienā (turpmāk – INSPIRE direktīva), turpmākās ieviešanas koordinēšanā Latvijā. Tāpat projekta izstrāde ir nepieciešama, jo speciālistu sertifikācijai un darbības uzraudzībai zemes kadastrālās uzmērīšanas, zemes ierīcības un ģeodēzijas jomā nav vienota regulējuma, tādēļ ka vienā no mērniecības jomas apakšnozarēm, proti, ģeodēzijā, iztrūkst deleģējums Ministru kabinetam pilnvarot ģeodēzistu sertificēšanas institūciju, tādējādi arī iztrūkstot deleģējumam Ministru kabinetam apstiprināt ģeodēzistu sertificēšanas un uzraudzības maksas pakalpojumu cenrādi.</w:t>
            </w:r>
          </w:p>
          <w:p w14:paraId="1B041C3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paredz noteikt šādu tiesisko regulējumu:</w:t>
            </w:r>
          </w:p>
          <w:p w14:paraId="07BB1C69" w14:textId="77777777" w:rsidR="000D518D" w:rsidRDefault="000D46C8">
            <w:pPr>
              <w:widowControl w:val="0"/>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Saskaņā ar ĢIL 4. panta pirmo daļu AM organizē un koordinē valsts politikas īstenošanu ģeodēzijas, kartogrāfijas un ģeotelpiskās informācijas jomā. ĢIL 4. panta otrajā daļā noteikts, ka Aģentūra ir AM pārraudzībā esoša vadošā iestāde valsts politikas īstenošanā ģeodēzijas, kartogrāfijas un ģeotelpiskās informācijas jomā. </w:t>
            </w:r>
          </w:p>
          <w:p w14:paraId="303DA4FD" w14:textId="77777777" w:rsidR="000D518D" w:rsidRDefault="000D46C8">
            <w:pPr>
              <w:widowControl w:val="0"/>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2013. gada 9. jūlija noteikumu Nr. 384 “Latvijas Ģeotelpiskās informācijas aģentūras nolikums” (turpmāk – MK noteikumi Nr. 384) 1. un 2. punktā noteikts, ka Aģentūra ir AM pārraudzībā esoša valsts pārvaldes iestāde, kuras darbības mērķis ir valsts politikas īstenošana ģeodēzijas, kartogrāfijas un ģeotelpiskās informācijas jomā.</w:t>
            </w:r>
          </w:p>
          <w:p w14:paraId="47EF4445"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Saskaņā ar Noteikumu Nr. 384 4.18. apakšpunktu Aģentūra atbilstoši kompetencei izstrādā un iesniedz priekšlikumus normatīvo aktu pilnveidošanai. Savukārt atbilstoši Ministru kabineta 2003. gada 29. aprīļa noteikumu Nr. 236 “Aizsardzības ministrijas nolikums” 4.3. un 5.12. apakšpunktam ministrija organizē un koordinē valsts politikas īstenošanu ģeodēzijas, kartogrāfijas un ģeotelpiskās informācijas jomā un nodrošina normatīvo aktu projektu izstrādi, kā arī nozares metodisko vadību un pārraudzību minētajā jomā.</w:t>
            </w:r>
          </w:p>
          <w:p w14:paraId="411AD40C" w14:textId="22C0F3EA"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AM nav cilvēkresursu, lai sagatavotu un virzītu specifiskus ārējos normatīvos aktus ģeodēzijas, kartogrāfijas un ģeotelpiskās informācijas jomā. Līdz ar to Aģentūra ir faktiski atbildīga par normatīvo aktu izstrādi, t.sk. nepieciešamo grozījumu sagatavošanu, kas izdoti uz ĢIL pamata. Piemēram, Aģentūra </w:t>
            </w:r>
            <w:proofErr w:type="spellStart"/>
            <w:r>
              <w:rPr>
                <w:rFonts w:ascii="Times New Roman" w:hAnsi="Times New Roman" w:cs="Times New Roman"/>
                <w:sz w:val="24"/>
                <w:szCs w:val="24"/>
              </w:rPr>
              <w:t>izstrādā(āja</w:t>
            </w:r>
            <w:proofErr w:type="spellEnd"/>
            <w:r>
              <w:rPr>
                <w:rFonts w:ascii="Times New Roman" w:hAnsi="Times New Roman" w:cs="Times New Roman"/>
                <w:sz w:val="24"/>
                <w:szCs w:val="24"/>
              </w:rPr>
              <w:t xml:space="preserve">), kā arī aktīvi piedalās saskaņošanas (darba </w:t>
            </w:r>
            <w:r>
              <w:rPr>
                <w:rFonts w:ascii="Times New Roman" w:hAnsi="Times New Roman" w:cs="Times New Roman"/>
                <w:sz w:val="24"/>
                <w:szCs w:val="24"/>
              </w:rPr>
              <w:lastRenderedPageBreak/>
              <w:t>grupas, elektroniskā saskaņošana, starpministriju (starpinstitūciju) sanāksmēs) un tālākā virzības procesa nodrošināšanā izskatīšanai Ministru kabinetā par 1) Ministru kabineta noteikumiem “Latvijas Ģeotelpiskās informācijas aģentūras maksas pakalpojumu cenrādis un tā piemērošanas kārtība”, kuru izdošan</w:t>
            </w:r>
            <w:r w:rsidR="00A84433">
              <w:rPr>
                <w:rFonts w:ascii="Times New Roman" w:hAnsi="Times New Roman" w:cs="Times New Roman"/>
                <w:sz w:val="24"/>
                <w:szCs w:val="24"/>
              </w:rPr>
              <w:t xml:space="preserve">as tiesiskais pamats izriet no </w:t>
            </w:r>
            <w:r>
              <w:rPr>
                <w:rFonts w:ascii="Times New Roman" w:hAnsi="Times New Roman" w:cs="Times New Roman"/>
                <w:sz w:val="24"/>
                <w:szCs w:val="24"/>
              </w:rPr>
              <w:t>likuma par budžetu un finanšu vadību 5. panta devītās daļas, ĢIL 10. panta ceturtās daļas, 15. panta otrās daļas, 26. panta sestās un septītās daļas, 2) Ministru kabineta noteikumus “Ģeotelpisko pamatdatu informācijas sistēmas noteikumi”, kuru deleģējums izriet no ĢIL 17. panta ceturtās daļas, kā arī 3) Ministru kabineta noteikumiem “Ģeodēziskās atskaites sistēmas un topogrāfisko karšu sistēmas noteikumi”, kuru deleģējums izriet no ĢIL 11. panta trešās daļas un 12. panta ceturtās daļas.</w:t>
            </w:r>
          </w:p>
          <w:p w14:paraId="3D45A70D"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Tāpat jānorāda, ka Aģentūra, sadarbojoties ar sertificēšanas institūcijām, organizē apmācības sertificētām personām (ģeodēzistiem) par ģeodēzijas nozarei aktuāliem jautājumiem. </w:t>
            </w:r>
          </w:p>
          <w:p w14:paraId="34267DA2" w14:textId="77777777" w:rsidR="000D518D" w:rsidRDefault="000D46C8">
            <w:pPr>
              <w:widowControl w:val="0"/>
              <w:spacing w:after="0" w:line="240" w:lineRule="auto"/>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Ņemot vērā visu iepriekš minēto, projekts paredz precizēt ĢIL normu, deleģējot Aģentūrai funkciju piedalīties </w:t>
            </w:r>
            <w:r>
              <w:rPr>
                <w:rFonts w:ascii="Times New Roman" w:eastAsia="Times New Roman" w:hAnsi="Times New Roman" w:cs="Times New Roman"/>
                <w:iCs/>
                <w:sz w:val="24"/>
                <w:szCs w:val="24"/>
                <w:lang w:eastAsia="lv-LV"/>
              </w:rPr>
              <w:t>valsts politikas izstrādē ģeodēzijas, kartogrāfijas un ģeotelpiskās informācijas jomās.</w:t>
            </w:r>
          </w:p>
          <w:p w14:paraId="43AE7682" w14:textId="77777777" w:rsidR="000D518D" w:rsidRDefault="000D46C8">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Līdzīgi gadījumi, kad padotības iestādes līdzdarbojas nozares politikas veidošanā, ir noteikti, piemēram, Ministru kabineta 2013. gada 30. jūlija noteikumu Nr. 449 “Valsts meža dienesta nolikums” 3.2. apakšpunktā, kā arī Ministru kabineta 2018. gada 27. februārī noteikumu Nr. 111 “Valsts aģentūras "Latvijas Nacionālais akreditācijas birojs" nolikums” 2. punktā.</w:t>
            </w:r>
          </w:p>
          <w:p w14:paraId="17053E15"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2. </w:t>
            </w:r>
            <w:r w:rsidRPr="00FE34C0">
              <w:rPr>
                <w:rFonts w:ascii="Times New Roman" w:hAnsi="Times New Roman" w:cs="Times New Roman"/>
                <w:sz w:val="24"/>
                <w:szCs w:val="24"/>
              </w:rPr>
              <w:t>Ministriju atbildība un kompetence ģeotelpiskās informācijas jomā, tai skaitā par INSPIRE direktīvas ieviešanu ir noteikta ĢIL 4. panta ceturtajā, piektajā un sestajā daļā.</w:t>
            </w:r>
          </w:p>
          <w:p w14:paraId="3F2B71D6"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Saskaņā ar INSPIRE direktīvas aktivitāšu laika tabulu, kas balstās uz tiesiskajām normām, kurās ietverti to ieviešanas gala termiņi (skatīt: </w:t>
            </w:r>
            <w:r w:rsidRPr="00FE34C0">
              <w:rPr>
                <w:rFonts w:ascii="Times New Roman" w:hAnsi="Times New Roman" w:cs="Times New Roman"/>
                <w:sz w:val="24"/>
                <w:szCs w:val="24"/>
              </w:rPr>
              <w:t>“</w:t>
            </w:r>
            <w:proofErr w:type="spellStart"/>
            <w:r w:rsidRPr="00FE34C0">
              <w:fldChar w:fldCharType="begin"/>
            </w:r>
            <w:r w:rsidRPr="00FE34C0">
              <w:rPr>
                <w:rFonts w:ascii="Times New Roman" w:hAnsi="Times New Roman" w:cs="Times New Roman"/>
                <w:sz w:val="24"/>
                <w:szCs w:val="24"/>
              </w:rPr>
              <w:instrText xml:space="preserve"> HYPERLINK "https://inspire.ec.europa.eu/road-map-graphic/32443" \h </w:instrText>
            </w:r>
            <w:r w:rsidRPr="00FE34C0">
              <w:fldChar w:fldCharType="separate"/>
            </w:r>
            <w:r w:rsidRPr="00FE34C0">
              <w:rPr>
                <w:rStyle w:val="Hyperlink"/>
                <w:rFonts w:ascii="Times New Roman" w:hAnsi="Times New Roman" w:cs="Times New Roman"/>
                <w:sz w:val="24"/>
                <w:szCs w:val="24"/>
              </w:rPr>
              <w:t>Road</w:t>
            </w:r>
            <w:proofErr w:type="spellEnd"/>
            <w:r w:rsidRPr="00FE34C0">
              <w:rPr>
                <w:rStyle w:val="Hyperlink"/>
                <w:rFonts w:ascii="Times New Roman" w:hAnsi="Times New Roman" w:cs="Times New Roman"/>
                <w:sz w:val="24"/>
                <w:szCs w:val="24"/>
              </w:rPr>
              <w:t xml:space="preserve"> </w:t>
            </w:r>
            <w:proofErr w:type="spellStart"/>
            <w:r w:rsidRPr="00FE34C0">
              <w:rPr>
                <w:rStyle w:val="Hyperlink"/>
                <w:rFonts w:ascii="Times New Roman" w:hAnsi="Times New Roman" w:cs="Times New Roman"/>
                <w:sz w:val="24"/>
                <w:szCs w:val="24"/>
              </w:rPr>
              <w:t>Map</w:t>
            </w:r>
            <w:proofErr w:type="spellEnd"/>
            <w:r w:rsidRPr="00FE34C0">
              <w:rPr>
                <w:rStyle w:val="Hyperlink"/>
                <w:rFonts w:ascii="Times New Roman" w:hAnsi="Times New Roman" w:cs="Times New Roman"/>
                <w:sz w:val="24"/>
                <w:szCs w:val="24"/>
              </w:rPr>
              <w:t xml:space="preserve"> </w:t>
            </w:r>
            <w:proofErr w:type="spellStart"/>
            <w:r w:rsidRPr="00FE34C0">
              <w:rPr>
                <w:rStyle w:val="Hyperlink"/>
                <w:rFonts w:ascii="Times New Roman" w:hAnsi="Times New Roman" w:cs="Times New Roman"/>
                <w:sz w:val="24"/>
                <w:szCs w:val="24"/>
              </w:rPr>
              <w:t>Graphic</w:t>
            </w:r>
            <w:proofErr w:type="spellEnd"/>
            <w:r w:rsidRPr="00FE34C0">
              <w:rPr>
                <w:rStyle w:val="Hyperlink"/>
                <w:rFonts w:ascii="Times New Roman" w:hAnsi="Times New Roman" w:cs="Times New Roman"/>
                <w:sz w:val="24"/>
                <w:szCs w:val="24"/>
              </w:rPr>
              <w:t>” Eiropas Komisijas mājas lapas sadaļā “INSPIRE”</w:t>
            </w:r>
            <w:r w:rsidRPr="00FE34C0">
              <w:rPr>
                <w:rStyle w:val="Hyperlink"/>
                <w:rFonts w:ascii="Times New Roman" w:hAnsi="Times New Roman" w:cs="Times New Roman"/>
                <w:sz w:val="24"/>
                <w:szCs w:val="24"/>
              </w:rPr>
              <w:fldChar w:fldCharType="end"/>
            </w:r>
            <w:r w:rsidRPr="00FE34C0">
              <w:rPr>
                <w:rFonts w:ascii="Times New Roman" w:hAnsi="Times New Roman" w:cs="Times New Roman"/>
                <w:sz w:val="24"/>
                <w:szCs w:val="24"/>
              </w:rPr>
              <w:t>)</w:t>
            </w:r>
            <w:r>
              <w:rPr>
                <w:rFonts w:ascii="Times New Roman" w:hAnsi="Times New Roman" w:cs="Times New Roman"/>
                <w:sz w:val="24"/>
                <w:szCs w:val="24"/>
              </w:rPr>
              <w:t xml:space="preserve">, izriet, ka INSPIRE direktīvas ieviešanas fāze beidzās 2013. gada 3. decembrī, kas bija par pamatu INSPIRE Komitejai 2013. gada 3. aprīlī pieņemt lēmumu par INSPIRE uzturēšanas darba grupas (INSPIRE </w:t>
            </w:r>
            <w:proofErr w:type="spellStart"/>
            <w:r>
              <w:rPr>
                <w:rFonts w:ascii="Times New Roman" w:hAnsi="Times New Roman" w:cs="Times New Roman"/>
                <w:sz w:val="24"/>
                <w:szCs w:val="24"/>
              </w:rPr>
              <w:t>Maintenance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(MIG)) pārveidi divu līmeņu grupās – MIG-P (politiskā) un MIG-T (tehniskā). Latvijā INSPIRE direktīvas ieviešana noslēdzās 2020. gada beigās nodrošinot pēdējo vides ziņošanas prioritāro datu kopu un to </w:t>
            </w:r>
            <w:proofErr w:type="spellStart"/>
            <w:r>
              <w:rPr>
                <w:rFonts w:ascii="Times New Roman" w:hAnsi="Times New Roman" w:cs="Times New Roman"/>
                <w:sz w:val="24"/>
                <w:szCs w:val="24"/>
              </w:rPr>
              <w:t>pakalpju</w:t>
            </w:r>
            <w:proofErr w:type="spellEnd"/>
            <w:r>
              <w:rPr>
                <w:rFonts w:ascii="Times New Roman" w:hAnsi="Times New Roman" w:cs="Times New Roman"/>
                <w:sz w:val="24"/>
                <w:szCs w:val="24"/>
              </w:rPr>
              <w:t xml:space="preserve"> publicēšanu Valsts vienotajā ģeotelpiskās informācijas portālā un Eiropas INSPIRE </w:t>
            </w:r>
            <w:proofErr w:type="spellStart"/>
            <w:r>
              <w:rPr>
                <w:rFonts w:ascii="Times New Roman" w:hAnsi="Times New Roman" w:cs="Times New Roman"/>
                <w:sz w:val="24"/>
                <w:szCs w:val="24"/>
              </w:rPr>
              <w:t>ģeoportālā</w:t>
            </w:r>
            <w:proofErr w:type="spellEnd"/>
            <w:r>
              <w:rPr>
                <w:rFonts w:ascii="Times New Roman" w:hAnsi="Times New Roman" w:cs="Times New Roman"/>
                <w:sz w:val="24"/>
                <w:szCs w:val="24"/>
              </w:rPr>
              <w:t xml:space="preserve">. Saistībā ar šo ĢIL teksta redakcija no “INSPIRE </w:t>
            </w:r>
            <w:r>
              <w:rPr>
                <w:rFonts w:ascii="Times New Roman" w:hAnsi="Times New Roman" w:cs="Times New Roman"/>
                <w:sz w:val="24"/>
                <w:szCs w:val="24"/>
              </w:rPr>
              <w:lastRenderedPageBreak/>
              <w:t>direktīvas ieviešana” tiek mainīta uz “INSPIRE direktīvas darbība” ar to saprotot visas tiesiskās, tehniskās un publiskās darbības, kas nepieciešamas INSPIRE direktīvas nodrošināšanai, darbības uzlabošanai un attīstībai valstī.</w:t>
            </w:r>
          </w:p>
          <w:p w14:paraId="00BB0027"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Saskaņā ar ĢIL 4. panta ceturto daļu atsevišķas funkcijas ģeodēzijas, kartogrāfijas un ģeotelpiskās informācijas politikas īstenošanā atbilstoši savai kompetencei pilda VARAM, Zemkopības ministrija, Tieslietu ministrija, Satiksmes ministrija, Ekonomikas ministrija, Iekšlietu ministrija, Veselības ministrija, Izglītības un zinātnes ministrija, Kultūras ministrija un vietējās pašvaldības, kā arī biedrības un nodibinājumi, kuru darbība attiecīgajā jomā ir reģistrēta. Savukārt atbilstoši minētā panta sestajai daļai, šā panta ceturtajā daļā minētās ministrijas sagatavo un sniedz AM ziņas par attiecīgās nozares ģeotelpisko informāciju, pakalpojumiem un pasākumiem, lai nodrošinātu efektīvu ģeotelpiskās informācijas iegūšanu, sagatavošanu, atjaunināšanu un attiecīgu ģeotelpiskās informācijas pakalpojumu sniegšanu valstī un šā likuma 8. panta otrajā un trešajā daļā noteikto uzdevumu izpildi.</w:t>
            </w:r>
          </w:p>
          <w:p w14:paraId="210190BE"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Saskaņā ar ĢIL 8. panta pirmo daļu AM un VARAM, savstarpēji sadarbojoties, nodrošina Latvijas Republikas pārstāvēšanu ES institūcijās jautājumos par Eiropas Kopienas ģeotelpiskās informācijas infrastruktūras izveidi un tās darbību reglamentējošo noteikumu projektu saskaņošanu un pieņemšanu ES institūcijās. Savukārt, atbilstoši 8. panta otrajai un trešajai daļai, AM ik pēc trim gadiem, sākot ar 2010.  gada 15. maiju, sagatavoja ziņojumus Eiropas Komisijai par ģeotelpiskās informācijas infrastruktūras ieviešanu Latvijas Republikā un pēc tās pieprasījuma sniedz tai ziņas, lai veiktu analīzi ar mērķi radīt Eiropas Kopienas ģeotelpiskās informācijas infrastruktūras izveidošanas nosacījumus, kas būtu praktiski iespējami un proporcionāli to prognozējamām izmaksām un ieguvumiem. Ziņojumu un informācijas sagatavošanā Eiropas Komisijai AM sniedz konsultatīvu un metodisku atbalstu.</w:t>
            </w:r>
          </w:p>
          <w:p w14:paraId="541A81D2"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Ar MK rīkojuma Nr. 686 8. punktu VARAM uzdots koordinēt INSPIRE direktīvas ieviešanu.</w:t>
            </w:r>
          </w:p>
          <w:p w14:paraId="17F32E7E"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VARAM atbildībā ir visvairāk ģeotelpisko datu kopu, kuras ir saistītas ar ziņošanu Eiropas Komisijai par vides jomas direktīvu ieviešanas procesu. VARAM ir galvenā nozīme un atbildība sekmīgā INSPIRE direktīvas ieviešanā – tās rīcībā ir nepieciešamie rīki, lai īstenotu INSPIRE direktīvu. </w:t>
            </w:r>
          </w:p>
          <w:p w14:paraId="674B67CB" w14:textId="77777777" w:rsidR="000D518D" w:rsidRDefault="000D46C8">
            <w:pPr>
              <w:widowControl w:val="0"/>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Latvijas Republikas pārstāvība Eiropas Savienības institūcijās jautājumos par Eiropas Kopienas ģeotelpiskās informācijas infrastruktūras (INSPIRE) darbību ir sekojoša:</w:t>
            </w:r>
          </w:p>
          <w:p w14:paraId="52D9D6A6" w14:textId="77777777" w:rsidR="000D518D" w:rsidRDefault="000D46C8">
            <w:pPr>
              <w:widowControl w:val="0"/>
              <w:numPr>
                <w:ilvl w:val="0"/>
                <w:numId w:val="2"/>
              </w:numPr>
              <w:tabs>
                <w:tab w:val="clear" w:pos="720"/>
                <w:tab w:val="left" w:pos="422"/>
              </w:tabs>
              <w:spacing w:after="0" w:line="240" w:lineRule="auto"/>
              <w:ind w:left="-3" w:firstLine="363"/>
              <w:jc w:val="both"/>
              <w:rPr>
                <w:rFonts w:ascii="Times New Roman" w:hAnsi="Times New Roman" w:cs="Times New Roman"/>
                <w:sz w:val="24"/>
                <w:szCs w:val="24"/>
              </w:rPr>
            </w:pPr>
            <w:r>
              <w:rPr>
                <w:rFonts w:ascii="Times New Roman" w:hAnsi="Times New Roman" w:cs="Times New Roman"/>
                <w:sz w:val="24"/>
                <w:szCs w:val="24"/>
              </w:rPr>
              <w:lastRenderedPageBreak/>
              <w:t>INSPIRE direktīvas politikas veidošanas darba grupā (MIG-P): tiek deleģēts VARAM pārstāvis. Nepieciešamības gadījumā var tikt pieaicināts AM vai citas institūcijas pārstāvis(-</w:t>
            </w:r>
            <w:proofErr w:type="spellStart"/>
            <w:r>
              <w:rPr>
                <w:rFonts w:ascii="Times New Roman" w:hAnsi="Times New Roman" w:cs="Times New Roman"/>
                <w:sz w:val="24"/>
                <w:szCs w:val="24"/>
              </w:rPr>
              <w:t>ji</w:t>
            </w:r>
            <w:proofErr w:type="spellEnd"/>
            <w:r>
              <w:rPr>
                <w:rFonts w:ascii="Times New Roman" w:hAnsi="Times New Roman" w:cs="Times New Roman"/>
                <w:sz w:val="24"/>
                <w:szCs w:val="24"/>
              </w:rPr>
              <w:t>);</w:t>
            </w:r>
          </w:p>
          <w:p w14:paraId="0A0C7A78" w14:textId="77777777" w:rsidR="000D518D" w:rsidRPr="00FE34C0" w:rsidRDefault="000D46C8">
            <w:pPr>
              <w:widowControl w:val="0"/>
              <w:numPr>
                <w:ilvl w:val="0"/>
                <w:numId w:val="2"/>
              </w:numPr>
              <w:tabs>
                <w:tab w:val="clear" w:pos="720"/>
                <w:tab w:val="left" w:pos="422"/>
              </w:tabs>
              <w:spacing w:after="0" w:line="240" w:lineRule="auto"/>
              <w:ind w:left="-3" w:firstLine="363"/>
              <w:jc w:val="both"/>
              <w:rPr>
                <w:rFonts w:ascii="Times New Roman" w:hAnsi="Times New Roman" w:cs="Times New Roman"/>
                <w:sz w:val="24"/>
                <w:szCs w:val="24"/>
              </w:rPr>
            </w:pPr>
            <w:r w:rsidRPr="00FE34C0">
              <w:rPr>
                <w:rFonts w:ascii="Times New Roman" w:hAnsi="Times New Roman" w:cs="Times New Roman"/>
                <w:sz w:val="24"/>
                <w:szCs w:val="24"/>
              </w:rPr>
              <w:t xml:space="preserve">INSPIRE direktīvas tehniskajā darba grupā (MIG-T): tiek deleģēts VARAM pārstāvis un AM pārstāvis. </w:t>
            </w:r>
          </w:p>
          <w:p w14:paraId="1BC3111B" w14:textId="77777777" w:rsidR="000D518D" w:rsidRDefault="000D46C8">
            <w:pPr>
              <w:widowControl w:val="0"/>
              <w:spacing w:after="0" w:line="240" w:lineRule="auto"/>
              <w:ind w:firstLine="422"/>
              <w:jc w:val="both"/>
              <w:rPr>
                <w:rFonts w:ascii="Times New Roman" w:hAnsi="Times New Roman" w:cs="Times New Roman"/>
                <w:sz w:val="24"/>
                <w:szCs w:val="24"/>
              </w:rPr>
            </w:pPr>
            <w:r>
              <w:rPr>
                <w:rFonts w:ascii="Times New Roman" w:hAnsi="Times New Roman" w:cs="Times New Roman"/>
                <w:sz w:val="24"/>
                <w:szCs w:val="24"/>
              </w:rPr>
              <w:t>Vienas valsts dalībnieku skaits abu darba grupu sanāksmēs no dalībvalstīm netiek limitēts, līdz ar to, atkarībā no izskatāmo jautājumu loka VARAM dalībai tajās var piesaistīt dažādu institūciju ekspertus.</w:t>
            </w:r>
          </w:p>
          <w:p w14:paraId="2574058A" w14:textId="39774C55" w:rsidR="00360227" w:rsidRPr="00CB0418" w:rsidRDefault="000D46C8">
            <w:pPr>
              <w:widowControl w:val="0"/>
              <w:spacing w:after="0" w:line="240" w:lineRule="auto"/>
              <w:ind w:firstLine="422"/>
              <w:jc w:val="both"/>
              <w:rPr>
                <w:rFonts w:ascii="Times New Roman" w:hAnsi="Times New Roman" w:cs="Times New Roman"/>
                <w:sz w:val="24"/>
                <w:szCs w:val="24"/>
              </w:rPr>
            </w:pPr>
            <w:r w:rsidRPr="00FE34C0">
              <w:rPr>
                <w:rFonts w:ascii="Times New Roman" w:hAnsi="Times New Roman" w:cs="Times New Roman"/>
                <w:sz w:val="24"/>
                <w:szCs w:val="24"/>
              </w:rPr>
              <w:t>Tāpat norādāms, ka A</w:t>
            </w:r>
            <w:r w:rsidR="00F50F41" w:rsidRPr="00FE34C0">
              <w:rPr>
                <w:rFonts w:ascii="Times New Roman" w:hAnsi="Times New Roman" w:cs="Times New Roman"/>
                <w:sz w:val="24"/>
                <w:szCs w:val="24"/>
              </w:rPr>
              <w:t>M</w:t>
            </w:r>
            <w:r w:rsidRPr="00FE34C0">
              <w:rPr>
                <w:rFonts w:ascii="Times New Roman" w:hAnsi="Times New Roman" w:cs="Times New Roman"/>
                <w:sz w:val="24"/>
                <w:szCs w:val="24"/>
              </w:rPr>
              <w:t xml:space="preserve"> turpinās sniegt konsultatīvu un metodisku atbalstu ziņojumu un informācijas sagatavošanā Eiropas Komisijai. Tāpat A</w:t>
            </w:r>
            <w:r w:rsidR="00F50F41" w:rsidRPr="00FE34C0">
              <w:rPr>
                <w:rFonts w:ascii="Times New Roman" w:hAnsi="Times New Roman" w:cs="Times New Roman"/>
                <w:sz w:val="24"/>
                <w:szCs w:val="24"/>
              </w:rPr>
              <w:t>M</w:t>
            </w:r>
            <w:r w:rsidRPr="00FE34C0">
              <w:rPr>
                <w:rFonts w:ascii="Times New Roman" w:hAnsi="Times New Roman" w:cs="Times New Roman"/>
                <w:sz w:val="24"/>
                <w:szCs w:val="24"/>
              </w:rPr>
              <w:t xml:space="preserve"> (</w:t>
            </w:r>
            <w:r w:rsidR="001C1D56" w:rsidRPr="00FE34C0">
              <w:rPr>
                <w:rFonts w:ascii="Times New Roman" w:hAnsi="Times New Roman" w:cs="Times New Roman"/>
                <w:sz w:val="24"/>
                <w:szCs w:val="24"/>
              </w:rPr>
              <w:t>A</w:t>
            </w:r>
            <w:r w:rsidRPr="00FE34C0">
              <w:rPr>
                <w:rFonts w:ascii="Times New Roman" w:hAnsi="Times New Roman" w:cs="Times New Roman"/>
                <w:sz w:val="24"/>
                <w:szCs w:val="24"/>
              </w:rPr>
              <w:t xml:space="preserve">ģentūra) </w:t>
            </w:r>
            <w:r w:rsidR="00360227" w:rsidRPr="00FE34C0">
              <w:rPr>
                <w:rFonts w:ascii="Times New Roman" w:hAnsi="Times New Roman" w:cs="Times New Roman"/>
                <w:sz w:val="24"/>
                <w:szCs w:val="24"/>
              </w:rPr>
              <w:t xml:space="preserve">savas kompetences ietvaros </w:t>
            </w:r>
            <w:r w:rsidRPr="00FE34C0">
              <w:rPr>
                <w:rFonts w:ascii="Times New Roman" w:hAnsi="Times New Roman" w:cs="Times New Roman"/>
                <w:sz w:val="24"/>
                <w:szCs w:val="24"/>
              </w:rPr>
              <w:t>turpinās nodrošināt metodisku vadību un atbalstu</w:t>
            </w:r>
            <w:r w:rsidR="00360227" w:rsidRPr="00FE34C0">
              <w:rPr>
                <w:rFonts w:ascii="Times New Roman" w:hAnsi="Times New Roman" w:cs="Times New Roman"/>
                <w:sz w:val="24"/>
                <w:szCs w:val="24"/>
              </w:rPr>
              <w:t xml:space="preserve"> iesaistītajām institūcijām IN</w:t>
            </w:r>
            <w:r w:rsidR="001C1D56" w:rsidRPr="00FE34C0">
              <w:rPr>
                <w:rFonts w:ascii="Times New Roman" w:hAnsi="Times New Roman" w:cs="Times New Roman"/>
                <w:sz w:val="24"/>
                <w:szCs w:val="24"/>
              </w:rPr>
              <w:t>S</w:t>
            </w:r>
            <w:r w:rsidR="00360227" w:rsidRPr="00FE34C0">
              <w:rPr>
                <w:rFonts w:ascii="Times New Roman" w:hAnsi="Times New Roman" w:cs="Times New Roman"/>
                <w:sz w:val="24"/>
                <w:szCs w:val="24"/>
              </w:rPr>
              <w:t>PIRE direktīvā minēto ģeotelpisko datu kopu un metadatu sagatavošanā</w:t>
            </w:r>
            <w:r w:rsidR="00F50F41" w:rsidRPr="00FE34C0">
              <w:rPr>
                <w:rFonts w:ascii="Times New Roman" w:hAnsi="Times New Roman" w:cs="Times New Roman"/>
                <w:sz w:val="24"/>
                <w:szCs w:val="24"/>
              </w:rPr>
              <w:t xml:space="preserve">. Atbalsts būtu </w:t>
            </w:r>
            <w:r w:rsidRPr="00FE34C0">
              <w:rPr>
                <w:rFonts w:ascii="Times New Roman" w:hAnsi="Times New Roman" w:cs="Times New Roman"/>
                <w:sz w:val="24"/>
                <w:szCs w:val="24"/>
              </w:rPr>
              <w:t>saistīt</w:t>
            </w:r>
            <w:r w:rsidR="00360227" w:rsidRPr="00FE34C0">
              <w:rPr>
                <w:rFonts w:ascii="Times New Roman" w:hAnsi="Times New Roman" w:cs="Times New Roman"/>
                <w:sz w:val="24"/>
                <w:szCs w:val="24"/>
              </w:rPr>
              <w:t>s</w:t>
            </w:r>
            <w:r w:rsidRPr="00FE34C0">
              <w:rPr>
                <w:rFonts w:ascii="Times New Roman" w:hAnsi="Times New Roman" w:cs="Times New Roman"/>
                <w:sz w:val="24"/>
                <w:szCs w:val="24"/>
              </w:rPr>
              <w:t xml:space="preserve"> ar tehniskiem jautājumiem </w:t>
            </w:r>
            <w:r w:rsidR="00360227" w:rsidRPr="00FE34C0">
              <w:rPr>
                <w:rFonts w:ascii="Times New Roman" w:hAnsi="Times New Roman" w:cs="Times New Roman"/>
                <w:sz w:val="24"/>
                <w:szCs w:val="24"/>
              </w:rPr>
              <w:t xml:space="preserve">- </w:t>
            </w:r>
            <w:r w:rsidRPr="00FE34C0">
              <w:rPr>
                <w:rFonts w:ascii="Times New Roman" w:hAnsi="Times New Roman" w:cs="Times New Roman"/>
                <w:sz w:val="24"/>
                <w:szCs w:val="24"/>
              </w:rPr>
              <w:t>metod</w:t>
            </w:r>
            <w:r w:rsidR="00F50F41" w:rsidRPr="00FE34C0">
              <w:rPr>
                <w:rFonts w:ascii="Times New Roman" w:hAnsi="Times New Roman" w:cs="Times New Roman"/>
                <w:sz w:val="24"/>
                <w:szCs w:val="24"/>
              </w:rPr>
              <w:t>is</w:t>
            </w:r>
            <w:r w:rsidRPr="00FE34C0">
              <w:rPr>
                <w:rFonts w:ascii="Times New Roman" w:hAnsi="Times New Roman" w:cs="Times New Roman"/>
                <w:sz w:val="24"/>
                <w:szCs w:val="24"/>
              </w:rPr>
              <w:t>kajiem norādījumiem darbam ar INSPIRE specifikācijām, INSPIRE datu kopu izvedi un sagatavošanu publicēšanai, dat</w:t>
            </w:r>
            <w:r w:rsidR="00360227" w:rsidRPr="00FE34C0">
              <w:rPr>
                <w:rFonts w:ascii="Times New Roman" w:hAnsi="Times New Roman" w:cs="Times New Roman"/>
                <w:sz w:val="24"/>
                <w:szCs w:val="24"/>
              </w:rPr>
              <w:t>u</w:t>
            </w:r>
            <w:r w:rsidRPr="00FE34C0">
              <w:rPr>
                <w:rFonts w:ascii="Times New Roman" w:hAnsi="Times New Roman" w:cs="Times New Roman"/>
                <w:sz w:val="24"/>
                <w:szCs w:val="24"/>
              </w:rPr>
              <w:t xml:space="preserve"> vizuālā noformējuma sagatavošanu atbilstoši INSPIRE </w:t>
            </w:r>
            <w:proofErr w:type="spellStart"/>
            <w:r w:rsidRPr="00FE34C0">
              <w:rPr>
                <w:rFonts w:ascii="Times New Roman" w:hAnsi="Times New Roman" w:cs="Times New Roman"/>
                <w:sz w:val="24"/>
                <w:szCs w:val="24"/>
              </w:rPr>
              <w:t>ģeoportāla</w:t>
            </w:r>
            <w:proofErr w:type="spellEnd"/>
            <w:r w:rsidRPr="00FE34C0">
              <w:rPr>
                <w:rFonts w:ascii="Times New Roman" w:hAnsi="Times New Roman" w:cs="Times New Roman"/>
                <w:sz w:val="24"/>
                <w:szCs w:val="24"/>
              </w:rPr>
              <w:t xml:space="preserve"> vajadzībām</w:t>
            </w:r>
            <w:r w:rsidR="00360227" w:rsidRPr="00FE34C0">
              <w:rPr>
                <w:rFonts w:ascii="Times New Roman" w:hAnsi="Times New Roman" w:cs="Times New Roman"/>
                <w:sz w:val="24"/>
                <w:szCs w:val="24"/>
              </w:rPr>
              <w:t xml:space="preserve"> un</w:t>
            </w:r>
            <w:r w:rsidRPr="00FE34C0">
              <w:rPr>
                <w:rFonts w:ascii="Times New Roman" w:hAnsi="Times New Roman" w:cs="Times New Roman"/>
                <w:sz w:val="24"/>
                <w:szCs w:val="24"/>
              </w:rPr>
              <w:t xml:space="preserve"> datu validēšanu INSPIRE </w:t>
            </w:r>
            <w:proofErr w:type="spellStart"/>
            <w:r w:rsidRPr="00FE34C0">
              <w:rPr>
                <w:rFonts w:ascii="Times New Roman" w:hAnsi="Times New Roman" w:cs="Times New Roman"/>
                <w:sz w:val="24"/>
                <w:szCs w:val="24"/>
              </w:rPr>
              <w:t>ģeoportālā</w:t>
            </w:r>
            <w:proofErr w:type="spellEnd"/>
            <w:r w:rsidRPr="00FE34C0">
              <w:rPr>
                <w:rFonts w:ascii="Times New Roman" w:hAnsi="Times New Roman" w:cs="Times New Roman"/>
                <w:sz w:val="24"/>
                <w:szCs w:val="24"/>
              </w:rPr>
              <w:t>, vienlaikus saglabājot nostāju, ka par katru no INSPIRE direktīvas II un III pielikumā minētajām tēmām (ģeotelpisko datu kopu un metadatu sagatavošanu) primāri ir atbildīga MK rīkojumā Nr. 686 norādītā institūcija (ministrija).</w:t>
            </w:r>
          </w:p>
          <w:p w14:paraId="6F05329B" w14:textId="1C648CE7" w:rsidR="000D518D" w:rsidRPr="00360227" w:rsidRDefault="00A84433">
            <w:pPr>
              <w:widowControl w:val="0"/>
              <w:spacing w:after="0" w:line="240" w:lineRule="auto"/>
              <w:ind w:firstLine="422"/>
              <w:jc w:val="both"/>
              <w:rPr>
                <w:rFonts w:ascii="Times New Roman" w:hAnsi="Times New Roman" w:cs="Times New Roman"/>
                <w:sz w:val="24"/>
                <w:szCs w:val="24"/>
              </w:rPr>
            </w:pPr>
            <w:r>
              <w:rPr>
                <w:rFonts w:ascii="Times New Roman" w:hAnsi="Times New Roman" w:cs="Times New Roman"/>
                <w:sz w:val="24"/>
                <w:szCs w:val="24"/>
              </w:rPr>
              <w:t>Valsts r</w:t>
            </w:r>
            <w:r w:rsidR="000D46C8" w:rsidRPr="00CB0418">
              <w:rPr>
                <w:rFonts w:ascii="Times New Roman" w:hAnsi="Times New Roman" w:cs="Times New Roman"/>
                <w:sz w:val="24"/>
                <w:szCs w:val="24"/>
              </w:rPr>
              <w:t xml:space="preserve">eģionālās attīstības aģentūra (turpmāk VRAA) </w:t>
            </w:r>
            <w:r w:rsidR="00360227" w:rsidRPr="00CB0418">
              <w:rPr>
                <w:rFonts w:ascii="Times New Roman" w:hAnsi="Times New Roman" w:cs="Times New Roman"/>
                <w:sz w:val="24"/>
                <w:szCs w:val="24"/>
              </w:rPr>
              <w:t xml:space="preserve">turpinās </w:t>
            </w:r>
            <w:r w:rsidR="000D46C8" w:rsidRPr="00CB0418">
              <w:rPr>
                <w:rFonts w:ascii="Times New Roman" w:hAnsi="Times New Roman" w:cs="Times New Roman"/>
                <w:sz w:val="24"/>
                <w:szCs w:val="24"/>
              </w:rPr>
              <w:t>metodiski vad</w:t>
            </w:r>
            <w:r w:rsidR="00360227" w:rsidRPr="00CB0418">
              <w:rPr>
                <w:rFonts w:ascii="Times New Roman" w:hAnsi="Times New Roman" w:cs="Times New Roman"/>
                <w:sz w:val="24"/>
                <w:szCs w:val="24"/>
              </w:rPr>
              <w:t>īt</w:t>
            </w:r>
            <w:r w:rsidR="000D46C8" w:rsidRPr="00CB0418">
              <w:rPr>
                <w:rFonts w:ascii="Times New Roman" w:hAnsi="Times New Roman" w:cs="Times New Roman"/>
                <w:sz w:val="24"/>
                <w:szCs w:val="24"/>
              </w:rPr>
              <w:t xml:space="preserve"> INSPIRE metadatu sagatavošanu un publicēšanu Ģeotelpisko datu savietotājā, izveidoto servisu publicēšanu Valsts </w:t>
            </w:r>
            <w:r w:rsidR="002448C9">
              <w:rPr>
                <w:rFonts w:ascii="Times New Roman" w:hAnsi="Times New Roman" w:cs="Times New Roman"/>
                <w:sz w:val="24"/>
                <w:szCs w:val="24"/>
              </w:rPr>
              <w:t>v</w:t>
            </w:r>
            <w:r w:rsidR="000D46C8" w:rsidRPr="00CB0418">
              <w:rPr>
                <w:rFonts w:ascii="Times New Roman" w:hAnsi="Times New Roman" w:cs="Times New Roman"/>
                <w:sz w:val="24"/>
                <w:szCs w:val="24"/>
              </w:rPr>
              <w:t>ienot</w:t>
            </w:r>
            <w:r w:rsidR="002448C9">
              <w:rPr>
                <w:rFonts w:ascii="Times New Roman" w:hAnsi="Times New Roman" w:cs="Times New Roman"/>
                <w:sz w:val="24"/>
                <w:szCs w:val="24"/>
              </w:rPr>
              <w:t>a</w:t>
            </w:r>
            <w:r w:rsidR="000D46C8" w:rsidRPr="00CB0418">
              <w:rPr>
                <w:rFonts w:ascii="Times New Roman" w:hAnsi="Times New Roman" w:cs="Times New Roman"/>
                <w:sz w:val="24"/>
                <w:szCs w:val="24"/>
              </w:rPr>
              <w:t xml:space="preserve">jā </w:t>
            </w:r>
            <w:r w:rsidR="002448C9">
              <w:rPr>
                <w:rFonts w:ascii="Times New Roman" w:hAnsi="Times New Roman" w:cs="Times New Roman"/>
                <w:sz w:val="24"/>
                <w:szCs w:val="24"/>
              </w:rPr>
              <w:t>ģ</w:t>
            </w:r>
            <w:r w:rsidR="000D46C8" w:rsidRPr="00CB0418">
              <w:rPr>
                <w:rFonts w:ascii="Times New Roman" w:hAnsi="Times New Roman" w:cs="Times New Roman"/>
                <w:sz w:val="24"/>
                <w:szCs w:val="24"/>
              </w:rPr>
              <w:t>eotelpisk</w:t>
            </w:r>
            <w:r w:rsidR="002448C9">
              <w:rPr>
                <w:rFonts w:ascii="Times New Roman" w:hAnsi="Times New Roman" w:cs="Times New Roman"/>
                <w:sz w:val="24"/>
                <w:szCs w:val="24"/>
              </w:rPr>
              <w:t xml:space="preserve">ās informācijas </w:t>
            </w:r>
            <w:r w:rsidR="000D46C8" w:rsidRPr="00CB0418">
              <w:rPr>
                <w:rFonts w:ascii="Times New Roman" w:hAnsi="Times New Roman" w:cs="Times New Roman"/>
                <w:sz w:val="24"/>
                <w:szCs w:val="24"/>
              </w:rPr>
              <w:t xml:space="preserve">portālā (turpmāk </w:t>
            </w:r>
            <w:r w:rsidR="00360227" w:rsidRPr="00CB0418">
              <w:rPr>
                <w:rFonts w:ascii="Times New Roman" w:hAnsi="Times New Roman" w:cs="Times New Roman"/>
                <w:sz w:val="24"/>
                <w:szCs w:val="24"/>
              </w:rPr>
              <w:t xml:space="preserve">- </w:t>
            </w:r>
            <w:r w:rsidR="000D46C8" w:rsidRPr="00CB0418">
              <w:rPr>
                <w:rFonts w:ascii="Times New Roman" w:hAnsi="Times New Roman" w:cs="Times New Roman"/>
                <w:sz w:val="24"/>
                <w:szCs w:val="24"/>
              </w:rPr>
              <w:t>Ģeoportāl</w:t>
            </w:r>
            <w:r w:rsidR="00360227" w:rsidRPr="00CB0418">
              <w:rPr>
                <w:rFonts w:ascii="Times New Roman" w:hAnsi="Times New Roman" w:cs="Times New Roman"/>
                <w:sz w:val="24"/>
                <w:szCs w:val="24"/>
              </w:rPr>
              <w:t>s</w:t>
            </w:r>
            <w:r w:rsidR="000D46C8" w:rsidRPr="00CB0418">
              <w:rPr>
                <w:rFonts w:ascii="Times New Roman" w:hAnsi="Times New Roman" w:cs="Times New Roman"/>
                <w:sz w:val="24"/>
                <w:szCs w:val="24"/>
              </w:rPr>
              <w:t>), vei</w:t>
            </w:r>
            <w:r w:rsidR="00360227" w:rsidRPr="00CB0418">
              <w:rPr>
                <w:rFonts w:ascii="Times New Roman" w:hAnsi="Times New Roman" w:cs="Times New Roman"/>
                <w:sz w:val="24"/>
                <w:szCs w:val="24"/>
              </w:rPr>
              <w:t>ks</w:t>
            </w:r>
            <w:r w:rsidR="000D46C8" w:rsidRPr="00CB0418">
              <w:rPr>
                <w:rFonts w:ascii="Times New Roman" w:hAnsi="Times New Roman" w:cs="Times New Roman"/>
                <w:sz w:val="24"/>
                <w:szCs w:val="24"/>
              </w:rPr>
              <w:t xml:space="preserve"> </w:t>
            </w:r>
            <w:r w:rsidR="00360227" w:rsidRPr="00CB0418">
              <w:rPr>
                <w:rFonts w:ascii="Times New Roman" w:hAnsi="Times New Roman" w:cs="Times New Roman"/>
                <w:sz w:val="24"/>
                <w:szCs w:val="24"/>
              </w:rPr>
              <w:t>I</w:t>
            </w:r>
            <w:r w:rsidR="000D46C8" w:rsidRPr="00CB0418">
              <w:rPr>
                <w:rFonts w:ascii="Times New Roman" w:hAnsi="Times New Roman" w:cs="Times New Roman"/>
                <w:sz w:val="24"/>
                <w:szCs w:val="24"/>
              </w:rPr>
              <w:t xml:space="preserve">NSPIRE datu izvietošanu un INSPIRE </w:t>
            </w:r>
            <w:proofErr w:type="spellStart"/>
            <w:r w:rsidR="000D46C8" w:rsidRPr="00CB0418">
              <w:rPr>
                <w:rFonts w:ascii="Times New Roman" w:hAnsi="Times New Roman" w:cs="Times New Roman"/>
                <w:sz w:val="24"/>
                <w:szCs w:val="24"/>
              </w:rPr>
              <w:t>pakalpju</w:t>
            </w:r>
            <w:proofErr w:type="spellEnd"/>
            <w:r w:rsidR="000D46C8" w:rsidRPr="00CB0418">
              <w:rPr>
                <w:rFonts w:ascii="Times New Roman" w:hAnsi="Times New Roman" w:cs="Times New Roman"/>
                <w:sz w:val="24"/>
                <w:szCs w:val="24"/>
              </w:rPr>
              <w:t xml:space="preserve"> izveidi tiem ģeo</w:t>
            </w:r>
            <w:r w:rsidR="00360227" w:rsidRPr="00CB0418">
              <w:rPr>
                <w:rFonts w:ascii="Times New Roman" w:hAnsi="Times New Roman" w:cs="Times New Roman"/>
                <w:sz w:val="24"/>
                <w:szCs w:val="24"/>
              </w:rPr>
              <w:t xml:space="preserve">telpisko </w:t>
            </w:r>
            <w:r w:rsidR="000D46C8" w:rsidRPr="00CB0418">
              <w:rPr>
                <w:rFonts w:ascii="Times New Roman" w:hAnsi="Times New Roman" w:cs="Times New Roman"/>
                <w:sz w:val="24"/>
                <w:szCs w:val="24"/>
              </w:rPr>
              <w:t xml:space="preserve">datu turētājiem, kuriem nav savas ģeotelpisko datu izplatīšanas sistēmas, kas </w:t>
            </w:r>
            <w:r w:rsidR="00887B08">
              <w:rPr>
                <w:rFonts w:ascii="Times New Roman" w:hAnsi="Times New Roman" w:cs="Times New Roman"/>
                <w:sz w:val="24"/>
                <w:szCs w:val="24"/>
              </w:rPr>
              <w:t>nodrošina</w:t>
            </w:r>
            <w:r w:rsidR="000D46C8" w:rsidRPr="00CB0418">
              <w:rPr>
                <w:rFonts w:ascii="Times New Roman" w:hAnsi="Times New Roman" w:cs="Times New Roman"/>
                <w:sz w:val="24"/>
                <w:szCs w:val="24"/>
              </w:rPr>
              <w:t xml:space="preserve"> INSPIRE direktīvā noteikto ģeotelpisko datu sadarbspēju. Kā arī VRAA nodrošin</w:t>
            </w:r>
            <w:r w:rsidR="00360227" w:rsidRPr="00CB0418">
              <w:rPr>
                <w:rFonts w:ascii="Times New Roman" w:hAnsi="Times New Roman" w:cs="Times New Roman"/>
                <w:sz w:val="24"/>
                <w:szCs w:val="24"/>
              </w:rPr>
              <w:t>ās</w:t>
            </w:r>
            <w:r w:rsidR="000D46C8" w:rsidRPr="00CB0418">
              <w:rPr>
                <w:rFonts w:ascii="Times New Roman" w:hAnsi="Times New Roman" w:cs="Times New Roman"/>
                <w:sz w:val="24"/>
                <w:szCs w:val="24"/>
              </w:rPr>
              <w:t xml:space="preserve"> </w:t>
            </w:r>
            <w:proofErr w:type="spellStart"/>
            <w:r w:rsidR="000D46C8" w:rsidRPr="00CB0418">
              <w:rPr>
                <w:rFonts w:ascii="Times New Roman" w:hAnsi="Times New Roman" w:cs="Times New Roman"/>
                <w:sz w:val="24"/>
                <w:szCs w:val="24"/>
              </w:rPr>
              <w:t>Ģeoportāla</w:t>
            </w:r>
            <w:proofErr w:type="spellEnd"/>
            <w:r w:rsidR="000D46C8" w:rsidRPr="00CB0418">
              <w:rPr>
                <w:rFonts w:ascii="Times New Roman" w:hAnsi="Times New Roman" w:cs="Times New Roman"/>
                <w:sz w:val="24"/>
                <w:szCs w:val="24"/>
              </w:rPr>
              <w:t xml:space="preserve"> sadarbspēju un datu apmaiņu ar INSPIRE </w:t>
            </w:r>
            <w:proofErr w:type="spellStart"/>
            <w:r w:rsidR="000D46C8" w:rsidRPr="00CB0418">
              <w:rPr>
                <w:rFonts w:ascii="Times New Roman" w:hAnsi="Times New Roman" w:cs="Times New Roman"/>
                <w:sz w:val="24"/>
                <w:szCs w:val="24"/>
              </w:rPr>
              <w:t>ģeoportālu</w:t>
            </w:r>
            <w:proofErr w:type="spellEnd"/>
            <w:r w:rsidR="00360227" w:rsidRPr="00CB0418">
              <w:rPr>
                <w:rFonts w:ascii="Times New Roman" w:hAnsi="Times New Roman" w:cs="Times New Roman"/>
                <w:sz w:val="24"/>
                <w:szCs w:val="24"/>
              </w:rPr>
              <w:t xml:space="preserve">, savukārt </w:t>
            </w:r>
            <w:r w:rsidR="000D46C8" w:rsidRPr="00CB0418">
              <w:rPr>
                <w:rFonts w:ascii="Times New Roman" w:hAnsi="Times New Roman" w:cs="Times New Roman"/>
                <w:sz w:val="24"/>
                <w:szCs w:val="24"/>
              </w:rPr>
              <w:t xml:space="preserve">VARAM </w:t>
            </w:r>
            <w:r w:rsidR="00360227" w:rsidRPr="00CB0418">
              <w:rPr>
                <w:rFonts w:ascii="Times New Roman" w:hAnsi="Times New Roman" w:cs="Times New Roman"/>
                <w:sz w:val="24"/>
                <w:szCs w:val="24"/>
              </w:rPr>
              <w:t xml:space="preserve">turpinās </w:t>
            </w:r>
            <w:r w:rsidR="000610C8">
              <w:rPr>
                <w:rFonts w:ascii="Times New Roman" w:hAnsi="Times New Roman" w:cs="Times New Roman"/>
                <w:sz w:val="24"/>
                <w:szCs w:val="24"/>
              </w:rPr>
              <w:t xml:space="preserve">nacionālajā līmenī </w:t>
            </w:r>
            <w:r w:rsidR="000D46C8" w:rsidRPr="00CB0418">
              <w:rPr>
                <w:rFonts w:ascii="Times New Roman" w:hAnsi="Times New Roman" w:cs="Times New Roman"/>
                <w:sz w:val="24"/>
                <w:szCs w:val="24"/>
              </w:rPr>
              <w:t>nodrošin</w:t>
            </w:r>
            <w:r w:rsidR="00360227" w:rsidRPr="00CB0418">
              <w:rPr>
                <w:rFonts w:ascii="Times New Roman" w:hAnsi="Times New Roman" w:cs="Times New Roman"/>
                <w:sz w:val="24"/>
                <w:szCs w:val="24"/>
              </w:rPr>
              <w:t>āt</w:t>
            </w:r>
            <w:r w:rsidR="000D46C8" w:rsidRPr="00CB0418">
              <w:rPr>
                <w:rFonts w:ascii="Times New Roman" w:hAnsi="Times New Roman" w:cs="Times New Roman"/>
                <w:sz w:val="24"/>
                <w:szCs w:val="24"/>
              </w:rPr>
              <w:t xml:space="preserve"> </w:t>
            </w:r>
            <w:r w:rsidR="000610C8">
              <w:rPr>
                <w:rFonts w:ascii="Times New Roman" w:hAnsi="Times New Roman" w:cs="Times New Roman"/>
                <w:sz w:val="24"/>
                <w:szCs w:val="24"/>
              </w:rPr>
              <w:t xml:space="preserve">to </w:t>
            </w:r>
            <w:r w:rsidR="000D46C8" w:rsidRPr="00CB0418">
              <w:rPr>
                <w:rFonts w:ascii="Times New Roman" w:hAnsi="Times New Roman" w:cs="Times New Roman"/>
                <w:sz w:val="24"/>
                <w:szCs w:val="24"/>
              </w:rPr>
              <w:t>procesu</w:t>
            </w:r>
            <w:r w:rsidR="000610C8">
              <w:rPr>
                <w:rFonts w:ascii="Times New Roman" w:hAnsi="Times New Roman" w:cs="Times New Roman"/>
                <w:sz w:val="24"/>
                <w:szCs w:val="24"/>
              </w:rPr>
              <w:t xml:space="preserve"> </w:t>
            </w:r>
            <w:r w:rsidR="000D46C8" w:rsidRPr="00CB0418">
              <w:rPr>
                <w:rFonts w:ascii="Times New Roman" w:hAnsi="Times New Roman" w:cs="Times New Roman"/>
                <w:sz w:val="24"/>
                <w:szCs w:val="24"/>
              </w:rPr>
              <w:t>uzraudzību</w:t>
            </w:r>
            <w:r w:rsidR="000610C8">
              <w:rPr>
                <w:rFonts w:ascii="Times New Roman" w:hAnsi="Times New Roman" w:cs="Times New Roman"/>
                <w:sz w:val="24"/>
                <w:szCs w:val="24"/>
              </w:rPr>
              <w:t xml:space="preserve">, kas saistīti ar </w:t>
            </w:r>
            <w:r w:rsidR="000610C8" w:rsidRPr="000610C8">
              <w:rPr>
                <w:rFonts w:ascii="Times New Roman" w:hAnsi="Times New Roman" w:cs="Times New Roman"/>
                <w:sz w:val="24"/>
                <w:szCs w:val="24"/>
              </w:rPr>
              <w:t>INSPIRE direktīvas</w:t>
            </w:r>
            <w:r w:rsidR="000610C8">
              <w:rPr>
                <w:rFonts w:ascii="Times New Roman" w:hAnsi="Times New Roman" w:cs="Times New Roman"/>
                <w:sz w:val="24"/>
                <w:szCs w:val="24"/>
              </w:rPr>
              <w:t xml:space="preserve"> darbību</w:t>
            </w:r>
            <w:r w:rsidR="00360227" w:rsidRPr="00CB0418">
              <w:rPr>
                <w:rFonts w:ascii="Times New Roman" w:hAnsi="Times New Roman" w:cs="Times New Roman"/>
                <w:sz w:val="24"/>
                <w:szCs w:val="24"/>
              </w:rPr>
              <w:t>.</w:t>
            </w:r>
          </w:p>
          <w:p w14:paraId="35735C58" w14:textId="77777777" w:rsidR="000D518D" w:rsidRDefault="000D46C8">
            <w:pPr>
              <w:widowControl w:val="0"/>
              <w:spacing w:after="12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un ievērojot, ka ar MK rīkojumu Nr. 686 VARAM jau noteikta par atbildīgo institūciju INSPIRE direktīvas turpmākās darbības koordinēšanā Latvijā, projekts paredz grozīt ĢIL 8. pantu, nosakot, ka VARAM un Aizsardzības ministrija </w:t>
            </w:r>
            <w:r>
              <w:rPr>
                <w:rFonts w:ascii="Times New Roman" w:eastAsia="Times New Roman" w:hAnsi="Times New Roman" w:cs="Times New Roman"/>
                <w:iCs/>
                <w:sz w:val="24"/>
                <w:szCs w:val="24"/>
                <w:lang w:eastAsia="lv-LV"/>
              </w:rPr>
              <w:t xml:space="preserve">savas kompetences ietvaros nodrošina Latvijas Republikas pārstāvību Eiropas Savienības institūcijās jautājumos par Eiropas Kopienas ģeotelpiskās informācijas infrastruktūras darbību, kā arī tikai VARAM sniedz informāciju Eiropas Komisijai par </w:t>
            </w:r>
            <w:r>
              <w:rPr>
                <w:rFonts w:ascii="Times New Roman" w:eastAsia="Times New Roman" w:hAnsi="Times New Roman" w:cs="Times New Roman"/>
                <w:iCs/>
                <w:sz w:val="24"/>
                <w:szCs w:val="24"/>
                <w:lang w:eastAsia="lv-LV"/>
              </w:rPr>
              <w:lastRenderedPageBreak/>
              <w:t>ģeotelpiskās infrastruktūras darbību Latvijas Republikā un ziņas par Eiropas Kopienas ģeotelpiskās informācijas infrastruktūras turpmāko attīstību.</w:t>
            </w:r>
          </w:p>
          <w:p w14:paraId="25AA7583" w14:textId="77777777" w:rsidR="000D518D" w:rsidRDefault="000D46C8">
            <w:pPr>
              <w:widowControl w:val="0"/>
              <w:spacing w:after="0" w:line="240" w:lineRule="auto"/>
              <w:ind w:firstLine="411"/>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iCs/>
                <w:sz w:val="24"/>
                <w:szCs w:val="24"/>
                <w:lang w:eastAsia="lv-LV"/>
              </w:rPr>
              <w:t xml:space="preserve">3. </w:t>
            </w:r>
            <w:r>
              <w:rPr>
                <w:rFonts w:ascii="Times New Roman" w:eastAsia="Times New Roman" w:hAnsi="Times New Roman" w:cs="Times New Roman"/>
                <w:sz w:val="24"/>
                <w:szCs w:val="24"/>
                <w:lang w:eastAsia="lv-LV"/>
              </w:rPr>
              <w:t xml:space="preserve">2016. gada 23. novembra likums "Grozījumi likumā "Par nodokļiem un nodevām"", 2016. gada 23. novembra likums "Grozījumi Nekustamā īpašuma valsts kadastra likumā" (likumprojekts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673/Lp12) un 2016. gada 23. novembra likums "Grozījumi Zemes ierīcības likumā" (likumprojekts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671/Lp12) paredz no 2017. gada 1. janvāra atteikties no valsts nodevas iekasēšanas par zemes ierīcības darbu un zemes kadastrālās uzmērīšanas darbu sertifikāta izsniegšanu vai sertifikāta darbības termiņa pagarināšanu, t</w:t>
            </w:r>
            <w:r>
              <w:rPr>
                <w:rFonts w:ascii="Times New Roman" w:eastAsia="Times New Roman" w:hAnsi="Times New Roman" w:cs="Times New Roman"/>
                <w:color w:val="000000"/>
                <w:sz w:val="24"/>
                <w:szCs w:val="24"/>
                <w:shd w:val="clear" w:color="auto" w:fill="FFFFFF"/>
                <w:lang w:eastAsia="lv-LV"/>
              </w:rPr>
              <w:t>o aizstājot ar sertificēšanas institūcijas maksas pakalpojumu, kura apmēru noteiks Ministru kabineta noteikumi atbilstoši Valsts pārvaldes iekārtas likuma 43.</w:t>
            </w:r>
            <w:r>
              <w:rPr>
                <w:rFonts w:ascii="Times New Roman" w:eastAsia="Times New Roman" w:hAnsi="Times New Roman" w:cs="Times New Roman"/>
                <w:color w:val="000000"/>
                <w:sz w:val="24"/>
                <w:szCs w:val="24"/>
                <w:vertAlign w:val="superscript"/>
                <w:lang w:eastAsia="lv-LV"/>
              </w:rPr>
              <w:t>1</w:t>
            </w:r>
            <w:r>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shd w:val="clear" w:color="auto" w:fill="FFFFFF"/>
                <w:lang w:eastAsia="lv-LV"/>
              </w:rPr>
              <w:t>panta otrajai daļai.</w:t>
            </w:r>
          </w:p>
          <w:p w14:paraId="176AD864"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minētie grozījumi Nekustamā īpašuma valsts kadastra likumā un Zemes ierīcības likumā paredz deleģējumu Ministru kabinetam līdz 2017. gada 30. aprīlim apstiprināt maksas pakalpojumu cenrādi par zemes kadastrālās uzmērīšanas un zemes ierīcības darbu veicēju sertifikāciju, sertifikāta darbības termiņa pagarināšanu un sertificēto personu darbības uzraudzību.</w:t>
            </w:r>
          </w:p>
          <w:p w14:paraId="78FC37D6" w14:textId="367EAA59"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kā 2016. gada 23. novembra grozījumi Nekustamā īpašuma valsts kadastra likumā un Zemes ierīcības likumā, arī 2016. gada 23. novembra likums "Grozījumi Ģeotelpiskās informā</w:t>
            </w:r>
            <w:r w:rsidR="00A84433">
              <w:rPr>
                <w:rFonts w:ascii="Times New Roman" w:eastAsia="Times New Roman" w:hAnsi="Times New Roman" w:cs="Times New Roman"/>
                <w:sz w:val="24"/>
                <w:szCs w:val="24"/>
                <w:lang w:eastAsia="lv-LV"/>
              </w:rPr>
              <w:t>cijas likumā" (likumprojekts Nr.</w:t>
            </w:r>
            <w:r>
              <w:rPr>
                <w:rFonts w:ascii="Times New Roman" w:eastAsia="Times New Roman" w:hAnsi="Times New Roman" w:cs="Times New Roman"/>
                <w:sz w:val="24"/>
                <w:szCs w:val="24"/>
                <w:lang w:eastAsia="lv-LV"/>
              </w:rPr>
              <w:t> 672/Lp12), kā sastāvdaļa tika iekļauts likumprojekta "Par valsts budžetu 2017. gadam" paketē, tādēļ tika pieņemts steidzamības kārtībā. Likumprojektu mērķis bija atteikties no valsts nodevas iekasēšanas par kadastrālās uzmērīšanas, zemes ierīcības un ģeodēzisko darbu sertifikāta izsniegšanu vai sertifikāta darbības termiņa pagarināšanu, t</w:t>
            </w:r>
            <w:r>
              <w:rPr>
                <w:rFonts w:ascii="Times New Roman" w:eastAsia="Times New Roman" w:hAnsi="Times New Roman" w:cs="Times New Roman"/>
                <w:sz w:val="24"/>
                <w:szCs w:val="24"/>
                <w:shd w:val="clear" w:color="auto" w:fill="FFFFFF"/>
                <w:lang w:eastAsia="lv-LV"/>
              </w:rPr>
              <w:t>o aizstājot ar sertificēšanas institūcijas maksas pakalpojumu, kura apmēru noteiks Ministru kabineta noteikumi atbilstoši Valsts pārvaldes iekārtas likuma 43.</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shd w:val="clear" w:color="auto" w:fill="FFFFFF"/>
                <w:lang w:eastAsia="lv-LV"/>
              </w:rPr>
              <w:t>panta otrajai daļai, kas paredz, ka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shd w:val="clear" w:color="auto" w:fill="FFFFFF"/>
                <w:lang w:eastAsia="lv-LV"/>
              </w:rPr>
              <w:t>Latvijas Republikas valsts pārvaldes uzdevuma ietvaros privātpersonu sniegto pakalpojumu maksas apmēru vai tā noteikšanas un apstiprināšanas kārtību, kā arī atbrīvojumus nosaka Ministru kabinets.</w:t>
            </w:r>
          </w:p>
          <w:p w14:paraId="7EF6FFD4"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 gada 23. novembra grozījumi Nekustamā īpašuma valsts kadastra likumā un Zemes ierīcības likumā, pamatojoties uz Saeimas Juridiskā biroja atzinumu, paredz speciālo deleģējumu, kura mērķis, atbilstoši Saeimas Juridiskā biroja skaidrojumam, bija ierobežot cenu konkurenci par sertifikāta izsniegšanu sertificēšanas institūciju starpā, palielinoties sertificēšanas institūciju skaitam. Speciālais deleģējums </w:t>
            </w:r>
            <w:r>
              <w:rPr>
                <w:rFonts w:ascii="Times New Roman" w:eastAsia="Times New Roman" w:hAnsi="Times New Roman" w:cs="Times New Roman"/>
                <w:sz w:val="24"/>
                <w:szCs w:val="24"/>
                <w:lang w:eastAsia="lv-LV"/>
              </w:rPr>
              <w:lastRenderedPageBreak/>
              <w:t>pamatots ar to, ka Nekustamā īpašuma valsts kadastra likuma 29. panta otrā daļa paredz, ka sertifikātu zemes kadastrālajam uzmērītājam izsniedz vai atsaka izsniegt, sertifikāta darbību aptur vai atjauno, sertifikāta darbības termiņu pagarina vai atsaka to pagarināt un sertifikātu anulē Ministru kabineta pilnvarota sertificēšanas institūcija, kas būtu par pamatu uzskatīt sertifikāta izsniegšanu par valsts deleģēto funkciju. Analoģiska norma attiecībā uz pilnvarojuma nepieciešamību ir paredzēta arī Zemes ierīcības likuma 4. panta otrajā daļā. Savukārt, 2016. gada 23. novembra likumā "Grozījumi Ģeotelpiskās informācijas likumā" speciālais deleģējums Ministru kabinetam apstiprināt sertificēšanas maksas pakalpojuma cenrādi iekļauts netika, jo ĢIL tolaik (un arī šobrīd) neparedzēja deleģējumu Ministru kabinetam pilnvarot sertificēšanas institūciju ģeodēzijas jomā.</w:t>
            </w:r>
          </w:p>
          <w:p w14:paraId="64C16837"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norādāms, ka pamatojoties uz Valsts kontroles revīzijas ziņojumā "Vai valstī tiek īstenota efektīva uzraudzība pār zemes kadastrālās uzmērīšanas pakalpojumu sniegšanu?" (apstiprināts ar Valsts kontroles 02.02.2018. lēmumu Nr. 2.4.1.</w:t>
            </w:r>
            <w:r>
              <w:rPr>
                <w:rFonts w:ascii="Times New Roman" w:eastAsia="Times New Roman" w:hAnsi="Times New Roman" w:cs="Times New Roman"/>
                <w:sz w:val="24"/>
                <w:szCs w:val="24"/>
                <w:lang w:eastAsia="lv-LV"/>
              </w:rPr>
              <w:noBreakHyphen/>
              <w:t>7/2017.) akcentēto, ka mērnieku sertificēšana uzticēta privāto tiesību subjektiem, kuru primārais mērķis ir peļņas gūšana un kuru pieeja uzraudzības procesa īstenošanā un normatīvo aktu prasību piemērošanā ir atšķirīga, Tieslietu ministrija izstrādāja informatīvo ziņojumu "Par atbildības izvērtējumu zemes kadastrālās uzmērīšanas, zemes ierīcības un ģeodēzisko darbu jomā" (turpmāk – Informatīvais ziņojums), kas tika apstiprināts Ministru kabineta 2019. gada 10. decembra sēdē. Ar Informatīvo ziņojumu risinātas Valsts kontroles akcentētās problēmas, paredzot uzdevumu Tieslietu ministrijai sadarbībā ar AIM izstrādāt grozījumus normatīvajos aktos, nosakot, ka turpmāk personu sertificēšanu zemes kadastrālās uzmērīšanas, zemes ierīcības un ģeodēziskās darbības jomā veiks mērniecības jomā esošas profesionālās organizācijas izveidots sertifikācijas centrs.</w:t>
            </w:r>
          </w:p>
          <w:p w14:paraId="6AC7FE17"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sertifikāti mērniecības jomā atbilstoši Ministru kabineta 2010. gada 1. novembra noteikumiem Nr. 1011 "Personu sertificēšanas un sertificēto personu uzraudzības kārtība ģeodēzijā, zemes ierīcībā un zemes kadastrālajā uzmērīšanā" tiek izsniegti ne tikai zemes kadastrālās uzmērīšanas darbu un zemes ierīcības darbu jomā, bet arī ģeodēzijā. Minētais liecina par mērniecības jomas vienotību un nedalāmību, proti, mērniecības nozare (kadastrālā uzmērīšana, zemes ierīcība un ģeodēzija) ir vienota un nav skatāma šauri un sadrumstaloti.</w:t>
            </w:r>
          </w:p>
          <w:p w14:paraId="156B98B7"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izpildītu minēto uzdevumu, Tieslietu ministrija izstrādā grozījumus Ministru kabineta 2010. gada </w:t>
            </w:r>
            <w:r>
              <w:rPr>
                <w:rFonts w:ascii="Times New Roman" w:eastAsia="Times New Roman" w:hAnsi="Times New Roman" w:cs="Times New Roman"/>
                <w:sz w:val="24"/>
                <w:szCs w:val="24"/>
                <w:lang w:eastAsia="lv-LV"/>
              </w:rPr>
              <w:lastRenderedPageBreak/>
              <w:t>10. augusta noteikumos Nr. 764 "Noteikumi par sertificēšanas institūcijām, kuras izsniedz sertifikātu zemes kadastrālajam uzmērītājam un zemes ierīcības darbu veicējam" (turpmāk – noteikumi Nr. 764), kas, ievērojot Nekustamā īpašuma valsts kadastra likumā un Zemes ierīcības likumā noteikto deleģējumu, nosaka institūcijas, kuras Ministru kabinets pilnvaro zemes kadastrālās uzmērīšanas un zemes ierīcības jomā veikt zemes kadastrālo uzmērītāju un zemes ierīcības darbu veicēju sertifikāciju. Minētie grozījumi paredzēs, ka turpmāk personu sertificēšanu zemes kadastrālās uzmērīšanas un zemes ierīcības jomā veiks mērniecības jomā esošas profesionālās organizācijas izveidots sertifikācijas centrs, kas, saskaņā ar šobrīd spēkā esošo pilnvarojumu noteikumos Nr. 764 ir Latvijas Mērnieku biedrības Sertifikācijas centrs.</w:t>
            </w:r>
          </w:p>
          <w:p w14:paraId="5BCE6EBC"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jāņem vērā, ka ar pilnvarojumu (deleģējumu) jāsaprot ne tikai viena konkrēta, lakoniska tiesību norma, bet paša likuma būtība un mērķi. Turklāt, noskaidrojot pilnvarojuma (deleģējuma) apjomu, jāņem vērā arī konkrētās nozares specifika, kuru likumdevējs uzdevis reglamentēt Ministru kabinetam. </w:t>
            </w:r>
          </w:p>
          <w:p w14:paraId="197AFC5D" w14:textId="2EA10C24"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Vērtējot 2016. gada 23. novembra grozījumus Nekustamā īpašuma valsts kadastra likumā un Zemes ierīcības likumā, var secināt, ka likumdevēja mērķis bija paredzēt speciālo deleģējumu cenu konkurences par sertifikāta izsniegšanu sertificēšanas institūciju starpā, palielinoties sertificēšanas institūciju skaitam, ierobežošanai. Ņemot vērā Informatīvo ziņojumu un no tā izrietošos uzdevumus mērniecības jomas harmonizēšanā, analoģisks regulējums ar deleģējumu Ministru kabinetam pilnvarot attiecīgu sertificēšanas institūciju un apstiprināt tās maksas pakalpojumu cenrādi, nepieciešams arī ĢIL. Šobrīd saskaņā ar ĢIL 22. panta otro daļu sertifikātu ģeodēzisko darbu veicējam izsniedz Latvijas Nacionālajā akreditācijas birojā akreditēta sertificēšanas institūcija, neparedzot īpašu Ministru kabineta pilnvarojumu. Regulējumu par savstarpēji saistītajiem jautājumiem jāapvieno vienos Ministru kabineta noteikumos, tādējādi atvieglojot orientēšanos tiesiskajā regulējumā un nodrošinot tiesiskā regulējuma vienotību. Vēsturiski izveidojusies situācija, ka speciālistu sertifikācijai un darbības uzraudzībai zemes kadastrālās uzmērīšanas, zemes ierīcības un ģeodēzijas jomā nav vienota regulējuma, jo vienā no mērniecības jomas a</w:t>
            </w:r>
            <w:r w:rsidR="00A84433">
              <w:rPr>
                <w:rFonts w:ascii="Times New Roman" w:eastAsia="Times New Roman" w:hAnsi="Times New Roman" w:cs="Times New Roman"/>
                <w:sz w:val="24"/>
                <w:szCs w:val="24"/>
                <w:lang w:eastAsia="lv-LV"/>
              </w:rPr>
              <w:t xml:space="preserve">pakšnozarēm, proti, ģeodēzijā, </w:t>
            </w:r>
            <w:r>
              <w:rPr>
                <w:rFonts w:ascii="Times New Roman" w:eastAsia="Times New Roman" w:hAnsi="Times New Roman" w:cs="Times New Roman"/>
                <w:sz w:val="24"/>
                <w:szCs w:val="24"/>
                <w:lang w:eastAsia="lv-LV"/>
              </w:rPr>
              <w:t xml:space="preserve">iztrūkst deleģējums Ministru kabinetam pilnvarot ģeodēzistu sertificēšanas institūciju, tādējādi arī iztrūkstot deleģējumam Ministru kabinetam apstiprināt ģeodēzistu sertificēšanas un uzraudzības maksas pakalpojumu cenrādi. Iespējams izveidojušās nekonsekvences iemesls ir meklējams apstāklī, ka </w:t>
            </w:r>
            <w:r>
              <w:rPr>
                <w:rFonts w:ascii="Times New Roman" w:eastAsia="Times New Roman" w:hAnsi="Times New Roman" w:cs="Times New Roman"/>
                <w:sz w:val="24"/>
                <w:szCs w:val="24"/>
                <w:lang w:eastAsia="lv-LV"/>
              </w:rPr>
              <w:lastRenderedPageBreak/>
              <w:t xml:space="preserve">mērniecības jomas jautājumi atrodas divu dažādu ministriju kompetencē, proti, pār zemes kadastrālās uzmērīšanas un zemes ierīcības jomu atbildīgā ir Tieslietu ministrija, savukārt par ģeodēzijas jomu – AM. </w:t>
            </w:r>
          </w:p>
          <w:p w14:paraId="1E303C00" w14:textId="77777777" w:rsidR="000D518D" w:rsidRDefault="000D46C8">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mērniecības nozari ir nepieciešams harmonizēt, vienotus noteikumus par sertificēšanas institūcijām, kuras izsniedz sertifikātu mērnieka specialitātes pārstāvjiem, kā arī sertificēšanas maksas pakalpojumu apmēra regulēšanas nosacījumus attiecinot ne tikai uz zemes kadastrālās uzmērīšanas un zemes ierīcības darbu, bet arī ģeodēzisko darbu jomu.</w:t>
            </w:r>
          </w:p>
          <w:p w14:paraId="3B7A9907" w14:textId="0F81DC9D" w:rsidR="000D518D" w:rsidRDefault="000D46C8" w:rsidP="00045824">
            <w:pPr>
              <w:widowControl w:val="0"/>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AM ir izstrādājusi projektu, paredzot deleģējumu Ministru kabinetam pilnvarot sertificēšanas institūciju, kas ģeodēzisko darbu veicējam izsniedz vai atsaka izsniegt, aptur vai atjauno sertifikāta darbību, pagarina sertifikāta darbības termiņu vai atsaka to pagarināt un anulē sertifikātu, </w:t>
            </w:r>
            <w:r w:rsidR="00045824">
              <w:rPr>
                <w:rFonts w:ascii="Times New Roman" w:eastAsia="Times New Roman" w:hAnsi="Times New Roman" w:cs="Times New Roman"/>
                <w:sz w:val="24"/>
                <w:szCs w:val="24"/>
                <w:lang w:eastAsia="lv-LV"/>
              </w:rPr>
              <w:t xml:space="preserve">veic </w:t>
            </w:r>
            <w:r>
              <w:rPr>
                <w:rFonts w:ascii="Times New Roman" w:eastAsia="Times New Roman" w:hAnsi="Times New Roman" w:cs="Times New Roman"/>
                <w:sz w:val="24"/>
                <w:szCs w:val="24"/>
                <w:lang w:eastAsia="lv-LV"/>
              </w:rPr>
              <w:t>sertificēto p</w:t>
            </w:r>
            <w:r w:rsidR="00045824">
              <w:rPr>
                <w:rFonts w:ascii="Times New Roman" w:eastAsia="Times New Roman" w:hAnsi="Times New Roman" w:cs="Times New Roman"/>
                <w:sz w:val="24"/>
                <w:szCs w:val="24"/>
                <w:lang w:eastAsia="lv-LV"/>
              </w:rPr>
              <w:t xml:space="preserve">ersonu darbības uzraudzību </w:t>
            </w:r>
            <w:r>
              <w:rPr>
                <w:rFonts w:ascii="Times New Roman" w:eastAsia="Times New Roman" w:hAnsi="Times New Roman" w:cs="Times New Roman"/>
                <w:sz w:val="24"/>
                <w:szCs w:val="24"/>
                <w:lang w:eastAsia="lv-LV"/>
              </w:rPr>
              <w:t xml:space="preserve">un </w:t>
            </w:r>
            <w:r w:rsidR="00045824">
              <w:rPr>
                <w:rFonts w:ascii="Times New Roman" w:eastAsia="Times New Roman" w:hAnsi="Times New Roman" w:cs="Times New Roman"/>
                <w:sz w:val="24"/>
                <w:szCs w:val="24"/>
                <w:lang w:eastAsia="lv-LV"/>
              </w:rPr>
              <w:t xml:space="preserve">nodrošina </w:t>
            </w:r>
            <w:r>
              <w:rPr>
                <w:rFonts w:ascii="Times New Roman" w:eastAsia="Times New Roman" w:hAnsi="Times New Roman" w:cs="Times New Roman"/>
                <w:sz w:val="24"/>
                <w:szCs w:val="24"/>
                <w:lang w:eastAsia="lv-LV"/>
              </w:rPr>
              <w:t xml:space="preserve">sertificēto personu kvalifikācijas celšanu, kā arī apstiprināt sertifikācijas un uzraudzības maksas pakalpojumu cenrādi, </w:t>
            </w:r>
            <w:r>
              <w:rPr>
                <w:rFonts w:ascii="Times New Roman" w:hAnsi="Times New Roman" w:cs="Times New Roman"/>
                <w:sz w:val="24"/>
                <w:szCs w:val="24"/>
              </w:rPr>
              <w:t>līdzīgi kā tas noteikts Nekustamā īpašuma valsts kadastra likuma 29. panta otrajā un 4.</w:t>
            </w:r>
            <w:r>
              <w:rPr>
                <w:rFonts w:ascii="Times New Roman" w:hAnsi="Times New Roman" w:cs="Times New Roman"/>
                <w:sz w:val="24"/>
                <w:szCs w:val="24"/>
                <w:vertAlign w:val="superscript"/>
              </w:rPr>
              <w:t>1</w:t>
            </w:r>
            <w:r>
              <w:rPr>
                <w:rFonts w:ascii="Times New Roman" w:hAnsi="Times New Roman" w:cs="Times New Roman"/>
                <w:sz w:val="24"/>
                <w:szCs w:val="24"/>
              </w:rPr>
              <w:t> daļā un Zemes ierīcības likuma 4. panta otrajā un 4.</w:t>
            </w:r>
            <w:r>
              <w:rPr>
                <w:rFonts w:ascii="Times New Roman" w:hAnsi="Times New Roman" w:cs="Times New Roman"/>
                <w:sz w:val="24"/>
                <w:szCs w:val="24"/>
                <w:vertAlign w:val="superscript"/>
              </w:rPr>
              <w:t>1</w:t>
            </w:r>
            <w:r>
              <w:rPr>
                <w:rFonts w:ascii="Times New Roman" w:hAnsi="Times New Roman" w:cs="Times New Roman"/>
                <w:sz w:val="24"/>
                <w:szCs w:val="24"/>
              </w:rPr>
              <w:t> daļā.</w:t>
            </w:r>
          </w:p>
        </w:tc>
      </w:tr>
      <w:tr w:rsidR="000D518D" w14:paraId="7284B00B" w14:textId="77777777">
        <w:tc>
          <w:tcPr>
            <w:tcW w:w="582" w:type="dxa"/>
            <w:tcBorders>
              <w:top w:val="outset" w:sz="6" w:space="0" w:color="000000"/>
              <w:left w:val="outset" w:sz="6" w:space="0" w:color="000000"/>
              <w:bottom w:val="outset" w:sz="6" w:space="0" w:color="000000"/>
              <w:right w:val="outset" w:sz="6" w:space="0" w:color="000000"/>
            </w:tcBorders>
          </w:tcPr>
          <w:p w14:paraId="5AF0C261"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3" w:type="dxa"/>
            <w:tcBorders>
              <w:top w:val="outset" w:sz="6" w:space="0" w:color="000000"/>
              <w:left w:val="outset" w:sz="6" w:space="0" w:color="000000"/>
              <w:bottom w:val="outset" w:sz="6" w:space="0" w:color="000000"/>
              <w:right w:val="outset" w:sz="6" w:space="0" w:color="000000"/>
            </w:tcBorders>
          </w:tcPr>
          <w:p w14:paraId="615DDE20"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16" w:type="dxa"/>
            <w:tcBorders>
              <w:top w:val="outset" w:sz="6" w:space="0" w:color="000000"/>
              <w:left w:val="outset" w:sz="6" w:space="0" w:color="000000"/>
              <w:bottom w:val="outset" w:sz="6" w:space="0" w:color="000000"/>
              <w:right w:val="outset" w:sz="6" w:space="0" w:color="000000"/>
            </w:tcBorders>
          </w:tcPr>
          <w:p w14:paraId="691F5820" w14:textId="58253A26" w:rsidR="000D518D" w:rsidRDefault="000D46C8">
            <w:pPr>
              <w:widowControl w:val="0"/>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Aizsardzības ministrija, Latvijas Ģeo</w:t>
            </w:r>
            <w:r w:rsidR="00FE34C0">
              <w:rPr>
                <w:rFonts w:ascii="Times New Roman" w:eastAsia="Times New Roman" w:hAnsi="Times New Roman" w:cs="Times New Roman"/>
                <w:iCs/>
                <w:sz w:val="24"/>
                <w:szCs w:val="24"/>
                <w:lang w:eastAsia="lv-LV"/>
              </w:rPr>
              <w:t xml:space="preserve">telpiskās informācijas aģentūra, Tieslietu ministrija, </w:t>
            </w:r>
            <w:r w:rsidR="00FE34C0" w:rsidRPr="00FE34C0">
              <w:rPr>
                <w:rFonts w:ascii="Times New Roman" w:eastAsia="Times New Roman" w:hAnsi="Times New Roman" w:cs="Times New Roman"/>
                <w:iCs/>
                <w:sz w:val="24"/>
                <w:szCs w:val="24"/>
                <w:lang w:eastAsia="lv-LV"/>
              </w:rPr>
              <w:t>Vides aizsardzības un reģionālās attīstības ministrija</w:t>
            </w:r>
            <w:r w:rsidR="00FE34C0">
              <w:rPr>
                <w:rFonts w:ascii="Times New Roman" w:eastAsia="Times New Roman" w:hAnsi="Times New Roman" w:cs="Times New Roman"/>
                <w:iCs/>
                <w:sz w:val="24"/>
                <w:szCs w:val="24"/>
                <w:lang w:eastAsia="lv-LV"/>
              </w:rPr>
              <w:t>.</w:t>
            </w:r>
          </w:p>
        </w:tc>
      </w:tr>
      <w:tr w:rsidR="000D518D" w14:paraId="54B13524" w14:textId="77777777">
        <w:tc>
          <w:tcPr>
            <w:tcW w:w="582" w:type="dxa"/>
            <w:tcBorders>
              <w:top w:val="outset" w:sz="6" w:space="0" w:color="000000"/>
              <w:left w:val="outset" w:sz="6" w:space="0" w:color="000000"/>
              <w:bottom w:val="outset" w:sz="6" w:space="0" w:color="000000"/>
              <w:right w:val="outset" w:sz="6" w:space="0" w:color="000000"/>
            </w:tcBorders>
          </w:tcPr>
          <w:p w14:paraId="67628FD4"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0"/>
              <w:left w:val="outset" w:sz="6" w:space="0" w:color="000000"/>
              <w:bottom w:val="outset" w:sz="6" w:space="0" w:color="000000"/>
              <w:right w:val="outset" w:sz="6" w:space="0" w:color="000000"/>
            </w:tcBorders>
          </w:tcPr>
          <w:p w14:paraId="4B349F5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6" w:type="dxa"/>
            <w:tcBorders>
              <w:top w:val="outset" w:sz="6" w:space="0" w:color="000000"/>
              <w:left w:val="outset" w:sz="6" w:space="0" w:color="000000"/>
              <w:bottom w:val="outset" w:sz="6" w:space="0" w:color="000000"/>
              <w:right w:val="outset" w:sz="6" w:space="0" w:color="000000"/>
            </w:tcBorders>
          </w:tcPr>
          <w:p w14:paraId="3CD1B8F4"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D509160" w14:textId="77777777" w:rsidR="000D518D" w:rsidRDefault="000D518D">
      <w:pPr>
        <w:spacing w:after="0" w:line="240" w:lineRule="auto"/>
        <w:rPr>
          <w:rFonts w:ascii="Times New Roman" w:eastAsia="Times New Roman" w:hAnsi="Times New Roman" w:cs="Times New Roman"/>
          <w:iCs/>
          <w:color w:val="414142"/>
          <w:sz w:val="24"/>
          <w:szCs w:val="24"/>
          <w:lang w:eastAsia="lv-LV"/>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8D" w14:paraId="3DE4DBE9"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06E5EDEA"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518D" w14:paraId="3F985A2F" w14:textId="77777777">
        <w:tc>
          <w:tcPr>
            <w:tcW w:w="582" w:type="dxa"/>
            <w:tcBorders>
              <w:top w:val="outset" w:sz="6" w:space="0" w:color="000000"/>
              <w:left w:val="outset" w:sz="6" w:space="0" w:color="000000"/>
              <w:bottom w:val="outset" w:sz="6" w:space="0" w:color="000000"/>
              <w:right w:val="outset" w:sz="6" w:space="0" w:color="000000"/>
            </w:tcBorders>
          </w:tcPr>
          <w:p w14:paraId="0FD55270"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tcPr>
          <w:p w14:paraId="05C84F88"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16" w:type="dxa"/>
            <w:tcBorders>
              <w:top w:val="outset" w:sz="6" w:space="0" w:color="000000"/>
              <w:left w:val="outset" w:sz="6" w:space="0" w:color="000000"/>
              <w:bottom w:val="outset" w:sz="6" w:space="0" w:color="000000"/>
              <w:right w:val="outset" w:sz="6" w:space="0" w:color="000000"/>
            </w:tcBorders>
          </w:tcPr>
          <w:p w14:paraId="709FDAC3" w14:textId="77777777" w:rsidR="000D518D" w:rsidRDefault="000D46C8">
            <w:pPr>
              <w:widowControl w:val="0"/>
              <w:spacing w:after="0" w:line="240" w:lineRule="auto"/>
              <w:ind w:firstLine="55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Projektā paredzētie grozījumi attiecas uz Vides aizsardzības un reģionālās attīstības ministriju, Aizsardzības ministriju, Latvijas Ģeotelpiskās informācijas aģentūru</w:t>
            </w:r>
            <w:r>
              <w:rPr>
                <w:rFonts w:ascii="Times New Roman" w:hAnsi="Times New Roman" w:cs="Times New Roman"/>
              </w:rPr>
              <w:t xml:space="preserve"> un </w:t>
            </w:r>
            <w:r>
              <w:rPr>
                <w:rFonts w:ascii="Times New Roman" w:eastAsia="Times New Roman" w:hAnsi="Times New Roman" w:cs="Times New Roman"/>
                <w:iCs/>
                <w:sz w:val="24"/>
                <w:szCs w:val="24"/>
                <w:lang w:eastAsia="lv-LV"/>
              </w:rPr>
              <w:t>citām ministrijām un to padotībā esošām institūcijām (Eiropas Parlamenta un Padomes 2007. gada 14. marta direktīvas 2007/2/EK, ar ko izveido Telpiskās informācijas infrastruktūru Eiropas Kopienā (INSPIRE direktīva), datu kopu turētāji), kas ir atbildīgas par INSPIRE direktīvas nosacījumu izpildi.</w:t>
            </w:r>
          </w:p>
        </w:tc>
      </w:tr>
      <w:tr w:rsidR="000D518D" w14:paraId="23F0E2DA" w14:textId="77777777">
        <w:tc>
          <w:tcPr>
            <w:tcW w:w="582" w:type="dxa"/>
            <w:tcBorders>
              <w:top w:val="outset" w:sz="6" w:space="0" w:color="000000"/>
              <w:left w:val="outset" w:sz="6" w:space="0" w:color="000000"/>
              <w:bottom w:val="outset" w:sz="6" w:space="0" w:color="000000"/>
              <w:right w:val="outset" w:sz="6" w:space="0" w:color="000000"/>
            </w:tcBorders>
          </w:tcPr>
          <w:p w14:paraId="52C893EA"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tcPr>
          <w:p w14:paraId="73DF65DA"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16" w:type="dxa"/>
            <w:tcBorders>
              <w:top w:val="outset" w:sz="6" w:space="0" w:color="000000"/>
              <w:left w:val="outset" w:sz="6" w:space="0" w:color="000000"/>
              <w:bottom w:val="outset" w:sz="6" w:space="0" w:color="000000"/>
              <w:right w:val="outset" w:sz="6" w:space="0" w:color="000000"/>
            </w:tcBorders>
          </w:tcPr>
          <w:p w14:paraId="5C5340F9" w14:textId="77777777" w:rsidR="000D518D" w:rsidRDefault="000D46C8">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 atbilstoši MK 2018. gada 9. janvāra rīkojumam Nr.12 (prot. Nr.1, 1.§) “Grozījums Ministru kabineta 2013. gada 28. decembra rīkojumā Nr. 686 “Par Latvijas ģeotelpiskās informācijas attīstības koncepciju”” ir noteikta par koordinējošo institūciju INSPIRE direktīva ieviešanā.</w:t>
            </w:r>
          </w:p>
          <w:p w14:paraId="00F07624" w14:textId="77777777" w:rsidR="000D518D" w:rsidRDefault="000D46C8">
            <w:pPr>
              <w:widowControl w:val="0"/>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Faktiski projekta pieņemšanas rezultātā administratīvais slogs VARAM nepieaugs, jo no 2018. gada VARAM jau pārstāv </w:t>
            </w:r>
            <w:r>
              <w:rPr>
                <w:rFonts w:ascii="Times New Roman" w:hAnsi="Times New Roman" w:cs="Times New Roman"/>
                <w:sz w:val="24"/>
                <w:szCs w:val="24"/>
              </w:rPr>
              <w:t xml:space="preserve">Latvijas Republiku Eiropas Savienības institūcijās un </w:t>
            </w:r>
            <w:r>
              <w:rPr>
                <w:rFonts w:ascii="Times New Roman" w:eastAsia="Times New Roman" w:hAnsi="Times New Roman" w:cs="Times New Roman"/>
                <w:iCs/>
                <w:sz w:val="24"/>
                <w:szCs w:val="24"/>
                <w:lang w:eastAsia="lv-LV"/>
              </w:rPr>
              <w:t xml:space="preserve">sniedz informāciju Eiropas Komisijai par ģeotelpiskās infrastruktūras ieviešanu Latvijas Republikā un ziņas par Eiropas Kopienas ģeotelpiskās </w:t>
            </w:r>
            <w:r>
              <w:rPr>
                <w:rFonts w:ascii="Times New Roman" w:eastAsia="Times New Roman" w:hAnsi="Times New Roman" w:cs="Times New Roman"/>
                <w:iCs/>
                <w:sz w:val="24"/>
                <w:szCs w:val="24"/>
                <w:lang w:eastAsia="lv-LV"/>
              </w:rPr>
              <w:lastRenderedPageBreak/>
              <w:t>informācijas infrastruktūras turpmāko attīstību.</w:t>
            </w:r>
          </w:p>
        </w:tc>
      </w:tr>
      <w:tr w:rsidR="000D518D" w14:paraId="23FD66BC" w14:textId="77777777">
        <w:tc>
          <w:tcPr>
            <w:tcW w:w="582" w:type="dxa"/>
            <w:tcBorders>
              <w:top w:val="outset" w:sz="6" w:space="0" w:color="000000"/>
              <w:left w:val="outset" w:sz="6" w:space="0" w:color="000000"/>
              <w:bottom w:val="outset" w:sz="6" w:space="0" w:color="000000"/>
              <w:right w:val="outset" w:sz="6" w:space="0" w:color="000000"/>
            </w:tcBorders>
          </w:tcPr>
          <w:p w14:paraId="6B3B7945"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3" w:type="dxa"/>
            <w:tcBorders>
              <w:top w:val="outset" w:sz="6" w:space="0" w:color="000000"/>
              <w:left w:val="outset" w:sz="6" w:space="0" w:color="000000"/>
              <w:bottom w:val="outset" w:sz="6" w:space="0" w:color="000000"/>
              <w:right w:val="outset" w:sz="6" w:space="0" w:color="000000"/>
            </w:tcBorders>
          </w:tcPr>
          <w:p w14:paraId="63A83A9F"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16" w:type="dxa"/>
            <w:tcBorders>
              <w:top w:val="outset" w:sz="6" w:space="0" w:color="000000"/>
              <w:left w:val="outset" w:sz="6" w:space="0" w:color="000000"/>
              <w:bottom w:val="outset" w:sz="6" w:space="0" w:color="000000"/>
              <w:right w:val="outset" w:sz="6" w:space="0" w:color="000000"/>
            </w:tcBorders>
          </w:tcPr>
          <w:p w14:paraId="47DDD33B" w14:textId="77777777" w:rsidR="000D518D" w:rsidRDefault="000D46C8">
            <w:pPr>
              <w:widowControl w:val="0"/>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0D518D" w14:paraId="2BAFE824" w14:textId="77777777">
        <w:tc>
          <w:tcPr>
            <w:tcW w:w="582" w:type="dxa"/>
            <w:tcBorders>
              <w:top w:val="outset" w:sz="6" w:space="0" w:color="000000"/>
              <w:left w:val="outset" w:sz="6" w:space="0" w:color="000000"/>
              <w:bottom w:val="outset" w:sz="6" w:space="0" w:color="000000"/>
              <w:right w:val="outset" w:sz="6" w:space="0" w:color="000000"/>
            </w:tcBorders>
          </w:tcPr>
          <w:p w14:paraId="4B5B0E24"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0"/>
              <w:left w:val="outset" w:sz="6" w:space="0" w:color="000000"/>
              <w:bottom w:val="outset" w:sz="6" w:space="0" w:color="000000"/>
              <w:right w:val="outset" w:sz="6" w:space="0" w:color="000000"/>
            </w:tcBorders>
          </w:tcPr>
          <w:p w14:paraId="7F3A5EBB"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16" w:type="dxa"/>
            <w:tcBorders>
              <w:top w:val="outset" w:sz="6" w:space="0" w:color="000000"/>
              <w:left w:val="outset" w:sz="6" w:space="0" w:color="000000"/>
              <w:bottom w:val="outset" w:sz="6" w:space="0" w:color="000000"/>
              <w:right w:val="outset" w:sz="6" w:space="0" w:color="000000"/>
            </w:tcBorders>
          </w:tcPr>
          <w:p w14:paraId="7D511C19" w14:textId="77777777" w:rsidR="000D518D" w:rsidRDefault="000D46C8">
            <w:pPr>
              <w:widowControl w:val="0"/>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0D518D" w14:paraId="6526BF00" w14:textId="77777777">
        <w:tc>
          <w:tcPr>
            <w:tcW w:w="582" w:type="dxa"/>
            <w:tcBorders>
              <w:top w:val="outset" w:sz="6" w:space="0" w:color="000000"/>
              <w:left w:val="outset" w:sz="6" w:space="0" w:color="000000"/>
              <w:bottom w:val="outset" w:sz="6" w:space="0" w:color="000000"/>
              <w:right w:val="outset" w:sz="6" w:space="0" w:color="000000"/>
            </w:tcBorders>
          </w:tcPr>
          <w:p w14:paraId="166966B3"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73" w:type="dxa"/>
            <w:tcBorders>
              <w:top w:val="outset" w:sz="6" w:space="0" w:color="000000"/>
              <w:left w:val="outset" w:sz="6" w:space="0" w:color="000000"/>
              <w:bottom w:val="outset" w:sz="6" w:space="0" w:color="000000"/>
              <w:right w:val="outset" w:sz="6" w:space="0" w:color="000000"/>
            </w:tcBorders>
          </w:tcPr>
          <w:p w14:paraId="6495AEA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6" w:type="dxa"/>
            <w:tcBorders>
              <w:top w:val="outset" w:sz="6" w:space="0" w:color="000000"/>
              <w:left w:val="outset" w:sz="6" w:space="0" w:color="000000"/>
              <w:bottom w:val="outset" w:sz="6" w:space="0" w:color="000000"/>
              <w:right w:val="outset" w:sz="6" w:space="0" w:color="000000"/>
            </w:tcBorders>
          </w:tcPr>
          <w:p w14:paraId="5D5A1D66"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A7A40E3" w14:textId="77777777" w:rsidR="000D518D" w:rsidRDefault="000D46C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9055"/>
      </w:tblGrid>
      <w:tr w:rsidR="000D518D" w14:paraId="38FC62C7"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5F180ECB"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D518D" w14:paraId="00E7E928"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45664EC0" w14:textId="77777777" w:rsidR="000D518D" w:rsidRDefault="000D46C8">
            <w:pPr>
              <w:widowControl w:val="0"/>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5BE848FE" w14:textId="77777777" w:rsidR="000D518D" w:rsidRDefault="000D46C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8D" w14:paraId="6E8C095A"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79453195"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0D518D" w14:paraId="6470C234" w14:textId="77777777">
        <w:tc>
          <w:tcPr>
            <w:tcW w:w="582" w:type="dxa"/>
            <w:tcBorders>
              <w:top w:val="outset" w:sz="6" w:space="0" w:color="000000"/>
              <w:left w:val="outset" w:sz="6" w:space="0" w:color="000000"/>
              <w:bottom w:val="outset" w:sz="6" w:space="0" w:color="000000"/>
              <w:right w:val="outset" w:sz="6" w:space="0" w:color="000000"/>
            </w:tcBorders>
          </w:tcPr>
          <w:p w14:paraId="0D4FB503"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tcPr>
          <w:p w14:paraId="45DFFC8C"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5416" w:type="dxa"/>
            <w:tcBorders>
              <w:top w:val="outset" w:sz="6" w:space="0" w:color="000000"/>
              <w:left w:val="outset" w:sz="6" w:space="0" w:color="000000"/>
              <w:bottom w:val="outset" w:sz="6" w:space="0" w:color="000000"/>
              <w:right w:val="outset" w:sz="6" w:space="0" w:color="000000"/>
            </w:tcBorders>
          </w:tcPr>
          <w:p w14:paraId="3CE85323"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projekts paredz noteikt, ka Aģentūra turpmāk piedalās valsts politikas izstrādē ģeodēzijas, kartogrāfijas un ģeotelpiskās informācijas jomās, tiks izstrādāti grozījumi MK noteikumos Nr. 384 paplašinot Aģentūras funkciju tvērumu.</w:t>
            </w:r>
          </w:p>
          <w:p w14:paraId="37CA3C1C"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ņemot vērā, ka projekts papildina ĢIL 23. panta pirmo un trešo daļu ar deleģējošo normu, tiks izdarīti grozījumi Ministru kabineta 2021. gada 24. marta noteikumos Nr. 183 “Zemes kadastrālās uzmērīšanas un zemes ierīcības darbu veicēju sertifikācijas, sertifikāta darbības termiņa pagarināšanas un darbības uzraudzības cenrādis”, iekļaujot pakalpojumu aprēķinus arī ģeodēzijas specialitātē.</w:t>
            </w:r>
          </w:p>
        </w:tc>
      </w:tr>
      <w:tr w:rsidR="000D518D" w14:paraId="48690DC5" w14:textId="77777777">
        <w:tc>
          <w:tcPr>
            <w:tcW w:w="582" w:type="dxa"/>
            <w:tcBorders>
              <w:top w:val="outset" w:sz="6" w:space="0" w:color="000000"/>
              <w:left w:val="outset" w:sz="6" w:space="0" w:color="000000"/>
              <w:bottom w:val="outset" w:sz="6" w:space="0" w:color="000000"/>
              <w:right w:val="outset" w:sz="6" w:space="0" w:color="000000"/>
            </w:tcBorders>
          </w:tcPr>
          <w:p w14:paraId="54D74265"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tcPr>
          <w:p w14:paraId="611B000B"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5416" w:type="dxa"/>
            <w:tcBorders>
              <w:top w:val="outset" w:sz="6" w:space="0" w:color="000000"/>
              <w:left w:val="outset" w:sz="6" w:space="0" w:color="000000"/>
              <w:bottom w:val="outset" w:sz="6" w:space="0" w:color="000000"/>
              <w:right w:val="outset" w:sz="6" w:space="0" w:color="000000"/>
            </w:tcBorders>
          </w:tcPr>
          <w:p w14:paraId="63DDA0A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p>
        </w:tc>
      </w:tr>
      <w:tr w:rsidR="000D518D" w14:paraId="13B6FA9C" w14:textId="77777777">
        <w:tc>
          <w:tcPr>
            <w:tcW w:w="582" w:type="dxa"/>
            <w:tcBorders>
              <w:top w:val="outset" w:sz="6" w:space="0" w:color="000000"/>
              <w:left w:val="outset" w:sz="6" w:space="0" w:color="000000"/>
              <w:bottom w:val="outset" w:sz="6" w:space="0" w:color="000000"/>
              <w:right w:val="outset" w:sz="6" w:space="0" w:color="000000"/>
            </w:tcBorders>
          </w:tcPr>
          <w:p w14:paraId="01421603"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0"/>
              <w:left w:val="outset" w:sz="6" w:space="0" w:color="000000"/>
              <w:bottom w:val="outset" w:sz="6" w:space="0" w:color="000000"/>
              <w:right w:val="outset" w:sz="6" w:space="0" w:color="000000"/>
            </w:tcBorders>
          </w:tcPr>
          <w:p w14:paraId="5F53239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6" w:type="dxa"/>
            <w:tcBorders>
              <w:top w:val="outset" w:sz="6" w:space="0" w:color="000000"/>
              <w:left w:val="outset" w:sz="6" w:space="0" w:color="000000"/>
              <w:bottom w:val="outset" w:sz="6" w:space="0" w:color="000000"/>
              <w:right w:val="outset" w:sz="6" w:space="0" w:color="000000"/>
            </w:tcBorders>
          </w:tcPr>
          <w:p w14:paraId="13894208"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B8F402" w14:textId="77777777" w:rsidR="000D518D" w:rsidRDefault="000D46C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9055"/>
      </w:tblGrid>
      <w:tr w:rsidR="000D518D" w14:paraId="2327D48F"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6B75D98D"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518D" w14:paraId="39266ABF"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4A123FCD" w14:textId="77777777" w:rsidR="000D518D" w:rsidRDefault="000D46C8">
            <w:pPr>
              <w:widowControl w:val="0"/>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11DA01F9" w14:textId="77777777" w:rsidR="000D518D" w:rsidRDefault="000D518D">
      <w:pPr>
        <w:spacing w:after="0" w:line="240" w:lineRule="auto"/>
        <w:rPr>
          <w:rFonts w:ascii="Times New Roman" w:eastAsia="Times New Roman" w:hAnsi="Times New Roman" w:cs="Times New Roman"/>
          <w:iCs/>
          <w:color w:val="414142"/>
          <w:sz w:val="24"/>
          <w:szCs w:val="24"/>
          <w:lang w:eastAsia="lv-LV"/>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8D" w14:paraId="1F7BD993"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738A661A"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0D518D" w14:paraId="0BFB4EC2" w14:textId="77777777">
        <w:tc>
          <w:tcPr>
            <w:tcW w:w="582" w:type="dxa"/>
            <w:tcBorders>
              <w:top w:val="outset" w:sz="6" w:space="0" w:color="000000"/>
              <w:left w:val="outset" w:sz="6" w:space="0" w:color="000000"/>
              <w:bottom w:val="outset" w:sz="6" w:space="0" w:color="000000"/>
              <w:right w:val="outset" w:sz="6" w:space="0" w:color="000000"/>
            </w:tcBorders>
          </w:tcPr>
          <w:p w14:paraId="6D56A60E"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tcPr>
          <w:p w14:paraId="302D5622"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16" w:type="dxa"/>
            <w:tcBorders>
              <w:top w:val="outset" w:sz="6" w:space="0" w:color="000000"/>
              <w:left w:val="outset" w:sz="6" w:space="0" w:color="000000"/>
              <w:bottom w:val="outset" w:sz="6" w:space="0" w:color="000000"/>
              <w:right w:val="outset" w:sz="6" w:space="0" w:color="000000"/>
            </w:tcBorders>
          </w:tcPr>
          <w:p w14:paraId="564E1152" w14:textId="77B47554" w:rsidR="000D518D" w:rsidRDefault="000D46C8" w:rsidP="007C2779">
            <w:pPr>
              <w:widowControl w:val="0"/>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Ņemot vērā Ministru kabineta 2009. gada 25. augusta noteikumu Nr. 970 “Sabiedrības līdzdalības kārtība attīstības plānošanas procesā” 13. un 14. punktu, projekts un tā sākotnējās ietekmes novērtējuma zi</w:t>
            </w:r>
            <w:r w:rsidR="00FE34C0">
              <w:rPr>
                <w:rFonts w:ascii="Times New Roman" w:hAnsi="Times New Roman" w:cs="Times New Roman"/>
                <w:sz w:val="24"/>
                <w:szCs w:val="24"/>
              </w:rPr>
              <w:t>ņojums (anotācija) 2021. gada 29</w:t>
            </w:r>
            <w:r>
              <w:rPr>
                <w:rFonts w:ascii="Times New Roman" w:hAnsi="Times New Roman" w:cs="Times New Roman"/>
                <w:sz w:val="24"/>
                <w:szCs w:val="24"/>
              </w:rPr>
              <w:t>. </w:t>
            </w:r>
            <w:r w:rsidR="00FE34C0">
              <w:rPr>
                <w:rFonts w:ascii="Times New Roman" w:hAnsi="Times New Roman" w:cs="Times New Roman"/>
                <w:sz w:val="24"/>
                <w:szCs w:val="24"/>
              </w:rPr>
              <w:t>jūnijā</w:t>
            </w:r>
            <w:r w:rsidR="007C2779">
              <w:rPr>
                <w:rFonts w:ascii="Times New Roman" w:hAnsi="Times New Roman" w:cs="Times New Roman"/>
                <w:sz w:val="24"/>
                <w:szCs w:val="24"/>
              </w:rPr>
              <w:t xml:space="preserve"> tika publicēts Aizsardzības ministrijas t</w:t>
            </w:r>
            <w:r>
              <w:rPr>
                <w:rFonts w:ascii="Times New Roman" w:hAnsi="Times New Roman" w:cs="Times New Roman"/>
                <w:sz w:val="24"/>
                <w:szCs w:val="24"/>
              </w:rPr>
              <w:t xml:space="preserve">īmekļa vietnē </w:t>
            </w:r>
            <w:hyperlink r:id="rId8">
              <w:r>
                <w:rPr>
                  <w:rStyle w:val="Hyperlink"/>
                  <w:rFonts w:ascii="Times New Roman" w:hAnsi="Times New Roman" w:cs="Times New Roman"/>
                  <w:sz w:val="24"/>
                  <w:szCs w:val="24"/>
                </w:rPr>
                <w:t>www.mod.gov.lv</w:t>
              </w:r>
            </w:hyperlink>
            <w:r w:rsidR="007C2779">
              <w:rPr>
                <w:rFonts w:ascii="Times New Roman" w:hAnsi="Times New Roman" w:cs="Times New Roman"/>
                <w:sz w:val="24"/>
                <w:szCs w:val="24"/>
              </w:rPr>
              <w:t xml:space="preserve"> sadaļā „Dokumenti”. </w:t>
            </w:r>
            <w:r>
              <w:rPr>
                <w:rFonts w:ascii="Times New Roman" w:hAnsi="Times New Roman" w:cs="Times New Roman"/>
                <w:sz w:val="24"/>
                <w:szCs w:val="24"/>
              </w:rPr>
              <w:t>Elektroniski sagatavots paziņojums par līdzdalība</w:t>
            </w:r>
            <w:r w:rsidR="006F51DF">
              <w:rPr>
                <w:rFonts w:ascii="Times New Roman" w:hAnsi="Times New Roman" w:cs="Times New Roman"/>
                <w:sz w:val="24"/>
                <w:szCs w:val="24"/>
              </w:rPr>
              <w:t>s procesu 2021. gada 30</w:t>
            </w:r>
            <w:r w:rsidR="00FE34C0">
              <w:rPr>
                <w:rFonts w:ascii="Times New Roman" w:hAnsi="Times New Roman" w:cs="Times New Roman"/>
                <w:sz w:val="24"/>
                <w:szCs w:val="24"/>
              </w:rPr>
              <w:t>. jūnijā</w:t>
            </w:r>
            <w:r>
              <w:rPr>
                <w:rFonts w:ascii="Times New Roman" w:hAnsi="Times New Roman" w:cs="Times New Roman"/>
                <w:sz w:val="24"/>
                <w:szCs w:val="24"/>
              </w:rPr>
              <w:t xml:space="preserve"> tika iesniegts Valsts kancelejā publicēšanai tās mājaslapā</w:t>
            </w:r>
            <w:r w:rsidR="007C2779">
              <w:rPr>
                <w:rFonts w:ascii="Times New Roman" w:hAnsi="Times New Roman" w:cs="Times New Roman"/>
                <w:sz w:val="24"/>
                <w:szCs w:val="24"/>
              </w:rPr>
              <w:t xml:space="preserve"> -  </w:t>
            </w:r>
            <w:hyperlink r:id="rId9" w:history="1">
              <w:r w:rsidR="007C2779" w:rsidRPr="005C2108">
                <w:rPr>
                  <w:rStyle w:val="Hyperlink"/>
                  <w:rFonts w:ascii="Times New Roman" w:hAnsi="Times New Roman" w:cs="Times New Roman"/>
                  <w:sz w:val="24"/>
                  <w:szCs w:val="24"/>
                </w:rPr>
                <w:t>https://www.mk.gov.lv/lv/ministru-kabineta-diskusiju-dokumenti</w:t>
              </w:r>
            </w:hyperlink>
            <w:r w:rsidR="007C2779">
              <w:rPr>
                <w:rFonts w:ascii="Times New Roman" w:hAnsi="Times New Roman" w:cs="Times New Roman"/>
                <w:sz w:val="24"/>
                <w:szCs w:val="24"/>
              </w:rPr>
              <w:t>.</w:t>
            </w:r>
          </w:p>
        </w:tc>
      </w:tr>
      <w:tr w:rsidR="000D518D" w14:paraId="5CDCE0EA" w14:textId="77777777">
        <w:tc>
          <w:tcPr>
            <w:tcW w:w="582" w:type="dxa"/>
            <w:tcBorders>
              <w:top w:val="outset" w:sz="6" w:space="0" w:color="000000"/>
              <w:left w:val="outset" w:sz="6" w:space="0" w:color="000000"/>
              <w:bottom w:val="outset" w:sz="6" w:space="0" w:color="000000"/>
              <w:right w:val="outset" w:sz="6" w:space="0" w:color="000000"/>
            </w:tcBorders>
          </w:tcPr>
          <w:p w14:paraId="43092565"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tcPr>
          <w:p w14:paraId="50EC6104"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16" w:type="dxa"/>
            <w:tcBorders>
              <w:top w:val="outset" w:sz="6" w:space="0" w:color="000000"/>
              <w:left w:val="outset" w:sz="6" w:space="0" w:color="000000"/>
              <w:bottom w:val="outset" w:sz="6" w:space="0" w:color="000000"/>
              <w:right w:val="outset" w:sz="6" w:space="0" w:color="000000"/>
            </w:tcBorders>
          </w:tcPr>
          <w:p w14:paraId="1752C1AE" w14:textId="36D56B4F" w:rsidR="000D518D" w:rsidRDefault="000D46C8" w:rsidP="007C2779">
            <w:pPr>
              <w:widowControl w:val="0"/>
              <w:spacing w:after="0" w:line="240" w:lineRule="auto"/>
              <w:ind w:firstLine="556"/>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Sabiedrības līdzdalība projekta izstrādē tika nodrošināta, ievietojot projektu un tā anotāciju tīmekļa vietnē </w:t>
            </w:r>
            <w:hyperlink r:id="rId10">
              <w:r>
                <w:rPr>
                  <w:rStyle w:val="Hyperlink"/>
                  <w:rFonts w:ascii="Times New Roman" w:hAnsi="Times New Roman" w:cs="Times New Roman"/>
                  <w:sz w:val="24"/>
                  <w:szCs w:val="24"/>
                </w:rPr>
                <w:t>www.mod.gov.lv</w:t>
              </w:r>
            </w:hyperlink>
            <w:r w:rsidR="007C2779">
              <w:rPr>
                <w:rFonts w:ascii="Times New Roman" w:hAnsi="Times New Roman" w:cs="Times New Roman"/>
                <w:sz w:val="24"/>
                <w:szCs w:val="24"/>
              </w:rPr>
              <w:t xml:space="preserve"> un </w:t>
            </w:r>
            <w:hyperlink r:id="rId11" w:history="1">
              <w:r w:rsidR="007C2779" w:rsidRPr="005C2108">
                <w:rPr>
                  <w:rStyle w:val="Hyperlink"/>
                  <w:rFonts w:ascii="Times New Roman" w:hAnsi="Times New Roman" w:cs="Times New Roman"/>
                  <w:sz w:val="24"/>
                  <w:szCs w:val="24"/>
                </w:rPr>
                <w:t>https://www.mk.gov.lv/lv/ministru-kabineta-diskusiju-dokumenti</w:t>
              </w:r>
            </w:hyperlink>
            <w:r>
              <w:rPr>
                <w:rFonts w:ascii="Times New Roman" w:hAnsi="Times New Roman" w:cs="Times New Roman"/>
                <w:sz w:val="24"/>
                <w:szCs w:val="24"/>
              </w:rPr>
              <w:t>, aicinot sabiedrīb</w:t>
            </w:r>
            <w:r w:rsidR="00FE34C0">
              <w:rPr>
                <w:rFonts w:ascii="Times New Roman" w:hAnsi="Times New Roman" w:cs="Times New Roman"/>
                <w:sz w:val="24"/>
                <w:szCs w:val="24"/>
              </w:rPr>
              <w:t xml:space="preserve">as pārstāvjus līdz </w:t>
            </w:r>
            <w:r w:rsidR="00FE34C0">
              <w:rPr>
                <w:rFonts w:ascii="Times New Roman" w:hAnsi="Times New Roman" w:cs="Times New Roman"/>
                <w:sz w:val="24"/>
                <w:szCs w:val="24"/>
              </w:rPr>
              <w:lastRenderedPageBreak/>
              <w:t>2021. gada 16</w:t>
            </w:r>
            <w:r>
              <w:rPr>
                <w:rFonts w:ascii="Times New Roman" w:hAnsi="Times New Roman" w:cs="Times New Roman"/>
                <w:sz w:val="24"/>
                <w:szCs w:val="24"/>
              </w:rPr>
              <w:t>. </w:t>
            </w:r>
            <w:r w:rsidR="00FE34C0">
              <w:rPr>
                <w:rFonts w:ascii="Times New Roman" w:hAnsi="Times New Roman" w:cs="Times New Roman"/>
                <w:sz w:val="24"/>
                <w:szCs w:val="24"/>
              </w:rPr>
              <w:t>jūlijam</w:t>
            </w:r>
            <w:r>
              <w:rPr>
                <w:rFonts w:ascii="Times New Roman" w:hAnsi="Times New Roman" w:cs="Times New Roman"/>
                <w:sz w:val="24"/>
                <w:szCs w:val="24"/>
              </w:rPr>
              <w:t xml:space="preserve"> rakstiski sniegt viedokli par projektu tā izstrādes stadijā – nosūtot elektroniski uz e-pastu: </w:t>
            </w:r>
            <w:hyperlink r:id="rId12">
              <w:r>
                <w:rPr>
                  <w:rStyle w:val="Hyperlink"/>
                  <w:rFonts w:ascii="Times New Roman" w:hAnsi="Times New Roman" w:cs="Times New Roman"/>
                  <w:sz w:val="24"/>
                  <w:szCs w:val="24"/>
                </w:rPr>
                <w:t>kanceleja@mod.gov.lv</w:t>
              </w:r>
            </w:hyperlink>
            <w:r w:rsidR="007C2779">
              <w:rPr>
                <w:rFonts w:ascii="Times New Roman" w:hAnsi="Times New Roman" w:cs="Times New Roman"/>
                <w:sz w:val="24"/>
                <w:szCs w:val="24"/>
              </w:rPr>
              <w:t>.</w:t>
            </w:r>
          </w:p>
        </w:tc>
      </w:tr>
      <w:tr w:rsidR="000D518D" w14:paraId="2906E0BC" w14:textId="77777777">
        <w:tc>
          <w:tcPr>
            <w:tcW w:w="582" w:type="dxa"/>
            <w:tcBorders>
              <w:top w:val="outset" w:sz="6" w:space="0" w:color="000000"/>
              <w:left w:val="outset" w:sz="6" w:space="0" w:color="000000"/>
              <w:bottom w:val="outset" w:sz="6" w:space="0" w:color="000000"/>
              <w:right w:val="outset" w:sz="6" w:space="0" w:color="000000"/>
            </w:tcBorders>
          </w:tcPr>
          <w:p w14:paraId="20AD4D66"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3" w:type="dxa"/>
            <w:tcBorders>
              <w:top w:val="outset" w:sz="6" w:space="0" w:color="000000"/>
              <w:left w:val="outset" w:sz="6" w:space="0" w:color="000000"/>
              <w:bottom w:val="outset" w:sz="6" w:space="0" w:color="000000"/>
              <w:right w:val="outset" w:sz="6" w:space="0" w:color="000000"/>
            </w:tcBorders>
          </w:tcPr>
          <w:p w14:paraId="337EF41C"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5416" w:type="dxa"/>
            <w:tcBorders>
              <w:top w:val="outset" w:sz="6" w:space="0" w:color="000000"/>
              <w:left w:val="outset" w:sz="6" w:space="0" w:color="000000"/>
              <w:bottom w:val="outset" w:sz="6" w:space="0" w:color="000000"/>
              <w:right w:val="outset" w:sz="6" w:space="0" w:color="000000"/>
            </w:tcBorders>
          </w:tcPr>
          <w:p w14:paraId="28679689" w14:textId="14405103" w:rsidR="000D518D" w:rsidRPr="006F51DF" w:rsidRDefault="006F51DF">
            <w:pPr>
              <w:widowControl w:val="0"/>
              <w:spacing w:after="0" w:line="240" w:lineRule="auto"/>
              <w:rPr>
                <w:rFonts w:ascii="Times New Roman" w:eastAsia="Times New Roman" w:hAnsi="Times New Roman" w:cs="Times New Roman"/>
                <w:iCs/>
                <w:sz w:val="24"/>
                <w:szCs w:val="24"/>
                <w:lang w:eastAsia="lv-LV"/>
              </w:rPr>
            </w:pPr>
            <w:r w:rsidRPr="006F51DF">
              <w:rPr>
                <w:rFonts w:ascii="Times New Roman" w:eastAsia="Times New Roman" w:hAnsi="Times New Roman" w:cs="Times New Roman"/>
                <w:iCs/>
                <w:sz w:val="24"/>
                <w:szCs w:val="24"/>
                <w:lang w:eastAsia="lv-LV"/>
              </w:rPr>
              <w:t>Priekšlikumi netika sniegti.</w:t>
            </w:r>
          </w:p>
        </w:tc>
      </w:tr>
      <w:tr w:rsidR="000D518D" w14:paraId="27D53FAB" w14:textId="77777777">
        <w:tc>
          <w:tcPr>
            <w:tcW w:w="582" w:type="dxa"/>
            <w:tcBorders>
              <w:top w:val="outset" w:sz="6" w:space="0" w:color="000000"/>
              <w:left w:val="outset" w:sz="6" w:space="0" w:color="000000"/>
              <w:bottom w:val="outset" w:sz="6" w:space="0" w:color="000000"/>
              <w:right w:val="outset" w:sz="6" w:space="0" w:color="000000"/>
            </w:tcBorders>
          </w:tcPr>
          <w:p w14:paraId="07E85368"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0"/>
              <w:left w:val="outset" w:sz="6" w:space="0" w:color="000000"/>
              <w:bottom w:val="outset" w:sz="6" w:space="0" w:color="000000"/>
              <w:right w:val="outset" w:sz="6" w:space="0" w:color="000000"/>
            </w:tcBorders>
          </w:tcPr>
          <w:p w14:paraId="76D47EB7"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6" w:type="dxa"/>
            <w:tcBorders>
              <w:top w:val="outset" w:sz="6" w:space="0" w:color="000000"/>
              <w:left w:val="outset" w:sz="6" w:space="0" w:color="000000"/>
              <w:bottom w:val="outset" w:sz="6" w:space="0" w:color="000000"/>
              <w:right w:val="outset" w:sz="6" w:space="0" w:color="000000"/>
            </w:tcBorders>
          </w:tcPr>
          <w:p w14:paraId="510E2CB0" w14:textId="77777777" w:rsidR="000D518D" w:rsidRDefault="000D46C8">
            <w:pPr>
              <w:widowControl w:val="0"/>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w:t>
            </w:r>
          </w:p>
        </w:tc>
      </w:tr>
    </w:tbl>
    <w:p w14:paraId="3AF853E5" w14:textId="77777777" w:rsidR="000D518D" w:rsidRDefault="000D46C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8D" w14:paraId="09B91B41"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63B74AB0" w14:textId="77777777" w:rsidR="000D518D" w:rsidRDefault="000D46C8">
            <w:pPr>
              <w:widowControl w:val="0"/>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D518D" w14:paraId="609B2994" w14:textId="77777777">
        <w:tc>
          <w:tcPr>
            <w:tcW w:w="582" w:type="dxa"/>
            <w:tcBorders>
              <w:top w:val="outset" w:sz="6" w:space="0" w:color="000000"/>
              <w:left w:val="outset" w:sz="6" w:space="0" w:color="000000"/>
              <w:bottom w:val="outset" w:sz="6" w:space="0" w:color="000000"/>
              <w:right w:val="outset" w:sz="6" w:space="0" w:color="000000"/>
            </w:tcBorders>
          </w:tcPr>
          <w:p w14:paraId="1D5753DF"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tcPr>
          <w:p w14:paraId="3A3961E3"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416" w:type="dxa"/>
            <w:tcBorders>
              <w:top w:val="outset" w:sz="6" w:space="0" w:color="000000"/>
              <w:left w:val="outset" w:sz="6" w:space="0" w:color="000000"/>
              <w:bottom w:val="outset" w:sz="6" w:space="0" w:color="000000"/>
              <w:right w:val="outset" w:sz="6" w:space="0" w:color="000000"/>
            </w:tcBorders>
          </w:tcPr>
          <w:p w14:paraId="466D0D11" w14:textId="77777777" w:rsidR="000D518D" w:rsidRDefault="000D46C8">
            <w:pPr>
              <w:widowControl w:val="0"/>
              <w:spacing w:after="0" w:line="240" w:lineRule="auto"/>
              <w:ind w:firstLine="55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Projektā paredzētie grozījumi attiecas uz Aizsardzības ministriju, Vides aizsardzības un reģionālās attīstības ministriju un Latvijas Ģeotelpiskās informācijas aģentūru.</w:t>
            </w:r>
          </w:p>
        </w:tc>
      </w:tr>
      <w:tr w:rsidR="000D518D" w14:paraId="3BAE256A" w14:textId="77777777">
        <w:tc>
          <w:tcPr>
            <w:tcW w:w="582" w:type="dxa"/>
            <w:tcBorders>
              <w:top w:val="outset" w:sz="6" w:space="0" w:color="000000"/>
              <w:left w:val="outset" w:sz="6" w:space="0" w:color="000000"/>
              <w:bottom w:val="outset" w:sz="6" w:space="0" w:color="000000"/>
              <w:right w:val="outset" w:sz="6" w:space="0" w:color="000000"/>
            </w:tcBorders>
          </w:tcPr>
          <w:p w14:paraId="3B96FBE4"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tcPr>
          <w:p w14:paraId="2A4A2D99"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16" w:type="dxa"/>
            <w:tcBorders>
              <w:top w:val="outset" w:sz="6" w:space="0" w:color="000000"/>
              <w:left w:val="outset" w:sz="6" w:space="0" w:color="000000"/>
              <w:bottom w:val="outset" w:sz="6" w:space="0" w:color="000000"/>
              <w:right w:val="outset" w:sz="6" w:space="0" w:color="000000"/>
            </w:tcBorders>
          </w:tcPr>
          <w:p w14:paraId="7AC42344"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izpildē jaunu institūciju izveide, esošo institūciju likvidācija vai reorganizācija nav paredzēta, taču projektā paredzētais tiesiskais regulējums ietekmēs Aģentūras funkcijas ievērojot, ka Aģentūra turpmāk piedalīsies valsts politikas izstrādē ģeodēzijas, kartogrāfijas un ģeotelpiskās informācijas jomās. </w:t>
            </w:r>
          </w:p>
          <w:p w14:paraId="5189DBFE"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pieņemšanas rezultātā VARAM veicamie uzdevumi netiks paplašināti, ievērojot, ka VARAM no 2018. gada pārstāv Latvijas Republiku Eiropas Savienības institūcijās un sniedz informāciju Eiropas Komisijai par ģeotelpiskās infrastruktūras ieviešanu Latvijas Republikā un ziņas par Eiropas Kopienas ģeotelpiskās informācijas infrastruktūras turpmāko attīstību.</w:t>
            </w:r>
          </w:p>
          <w:p w14:paraId="30C97584" w14:textId="77777777" w:rsidR="000D518D" w:rsidRDefault="000D46C8">
            <w:pPr>
              <w:widowControl w:val="0"/>
              <w:spacing w:after="0" w:line="240" w:lineRule="auto"/>
              <w:ind w:firstLine="55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Projekts tiks realizēts esošo cilvēkresursu ietvaros.</w:t>
            </w:r>
          </w:p>
        </w:tc>
      </w:tr>
      <w:tr w:rsidR="000D518D" w14:paraId="185BD559" w14:textId="77777777">
        <w:tc>
          <w:tcPr>
            <w:tcW w:w="582" w:type="dxa"/>
            <w:tcBorders>
              <w:top w:val="outset" w:sz="6" w:space="0" w:color="000000"/>
              <w:left w:val="outset" w:sz="6" w:space="0" w:color="000000"/>
              <w:bottom w:val="outset" w:sz="6" w:space="0" w:color="000000"/>
              <w:right w:val="outset" w:sz="6" w:space="0" w:color="000000"/>
            </w:tcBorders>
          </w:tcPr>
          <w:p w14:paraId="22DE32E5"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0"/>
              <w:left w:val="outset" w:sz="6" w:space="0" w:color="000000"/>
              <w:bottom w:val="outset" w:sz="6" w:space="0" w:color="000000"/>
              <w:right w:val="outset" w:sz="6" w:space="0" w:color="000000"/>
            </w:tcBorders>
          </w:tcPr>
          <w:p w14:paraId="4153376F"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6" w:type="dxa"/>
            <w:tcBorders>
              <w:top w:val="outset" w:sz="6" w:space="0" w:color="000000"/>
              <w:left w:val="outset" w:sz="6" w:space="0" w:color="000000"/>
              <w:bottom w:val="outset" w:sz="6" w:space="0" w:color="000000"/>
              <w:right w:val="outset" w:sz="6" w:space="0" w:color="000000"/>
            </w:tcBorders>
          </w:tcPr>
          <w:p w14:paraId="308278AA" w14:textId="77777777" w:rsidR="000D518D" w:rsidRDefault="000D46C8">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61464AB" w14:textId="77777777" w:rsidR="000D518D" w:rsidRDefault="000D518D">
      <w:pPr>
        <w:spacing w:before="120" w:after="0" w:line="240" w:lineRule="auto"/>
        <w:jc w:val="both"/>
        <w:rPr>
          <w:rFonts w:ascii="Times New Roman" w:eastAsia="Arial Unicode MS" w:hAnsi="Times New Roman" w:cs="Times New Roman"/>
          <w:sz w:val="24"/>
          <w:szCs w:val="24"/>
        </w:rPr>
      </w:pPr>
    </w:p>
    <w:p w14:paraId="2766A37A" w14:textId="77777777" w:rsidR="000D518D" w:rsidRDefault="000D46C8">
      <w:pPr>
        <w:tabs>
          <w:tab w:val="left" w:pos="6804"/>
        </w:tabs>
        <w:spacing w:after="0"/>
        <w:rPr>
          <w:rFonts w:ascii="Times New Roman" w:eastAsia="Calibri" w:hAnsi="Times New Roman" w:cs="Times New Roman"/>
          <w:sz w:val="24"/>
          <w:szCs w:val="24"/>
        </w:rPr>
      </w:pPr>
      <w:r>
        <w:rPr>
          <w:rFonts w:ascii="Times New Roman" w:eastAsia="Calibri" w:hAnsi="Times New Roman" w:cs="Times New Roman"/>
          <w:sz w:val="24"/>
          <w:szCs w:val="24"/>
        </w:rPr>
        <w:t>Iesniedzējs:</w:t>
      </w:r>
    </w:p>
    <w:p w14:paraId="279A515E" w14:textId="77777777" w:rsidR="000D518D" w:rsidRDefault="000D46C8">
      <w:pPr>
        <w:tabs>
          <w:tab w:val="left" w:pos="6804"/>
        </w:tabs>
        <w:spacing w:after="0"/>
        <w:rPr>
          <w:rFonts w:ascii="Times New Roman" w:eastAsia="Calibri" w:hAnsi="Times New Roman" w:cs="Times New Roman"/>
          <w:sz w:val="24"/>
          <w:szCs w:val="24"/>
        </w:rPr>
      </w:pPr>
      <w:r>
        <w:rPr>
          <w:rFonts w:ascii="Times New Roman" w:eastAsia="Calibri" w:hAnsi="Times New Roman" w:cs="Times New Roman"/>
          <w:sz w:val="24"/>
          <w:szCs w:val="24"/>
        </w:rPr>
        <w:t>Aizsardzības ministrijas</w:t>
      </w:r>
    </w:p>
    <w:p w14:paraId="66305904" w14:textId="77777777" w:rsidR="000D518D" w:rsidRDefault="000D46C8">
      <w:pPr>
        <w:tabs>
          <w:tab w:val="left" w:pos="6804"/>
        </w:tabs>
        <w:spacing w:after="0"/>
        <w:rPr>
          <w:rFonts w:ascii="Times New Roman" w:eastAsia="Calibri" w:hAnsi="Times New Roman" w:cs="Times New Roman"/>
          <w:sz w:val="24"/>
          <w:szCs w:val="24"/>
        </w:rPr>
      </w:pPr>
      <w:r>
        <w:rPr>
          <w:rFonts w:ascii="Times New Roman" w:eastAsia="Calibri" w:hAnsi="Times New Roman" w:cs="Times New Roman"/>
          <w:sz w:val="24"/>
          <w:szCs w:val="24"/>
        </w:rPr>
        <w:t>valsts sekretārs</w:t>
      </w:r>
      <w:r>
        <w:rPr>
          <w:rFonts w:ascii="Times New Roman" w:eastAsia="Calibri" w:hAnsi="Times New Roman" w:cs="Times New Roman"/>
          <w:sz w:val="24"/>
          <w:szCs w:val="24"/>
        </w:rPr>
        <w:tab/>
        <w:t>Jānis Garisons</w:t>
      </w:r>
    </w:p>
    <w:p w14:paraId="67D3CE6F" w14:textId="77777777" w:rsidR="000D518D" w:rsidRDefault="000D518D">
      <w:pPr>
        <w:tabs>
          <w:tab w:val="left" w:pos="6237"/>
        </w:tabs>
        <w:spacing w:after="0" w:line="240" w:lineRule="auto"/>
        <w:rPr>
          <w:rFonts w:ascii="Times New Roman" w:eastAsia="Arial Unicode MS" w:hAnsi="Times New Roman" w:cs="Times New Roman"/>
          <w:sz w:val="24"/>
          <w:szCs w:val="24"/>
        </w:rPr>
      </w:pPr>
    </w:p>
    <w:p w14:paraId="43A36C50" w14:textId="77777777" w:rsidR="000D518D" w:rsidRDefault="000D518D">
      <w:pPr>
        <w:tabs>
          <w:tab w:val="left" w:pos="6237"/>
        </w:tabs>
        <w:spacing w:after="0" w:line="240" w:lineRule="auto"/>
        <w:rPr>
          <w:rFonts w:ascii="Times New Roman" w:hAnsi="Times New Roman" w:cs="Times New Roman"/>
          <w:sz w:val="20"/>
          <w:szCs w:val="20"/>
        </w:rPr>
      </w:pPr>
    </w:p>
    <w:p w14:paraId="6F7F19CB" w14:textId="77777777" w:rsidR="000D518D" w:rsidRDefault="000D46C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Drake 29339356</w:t>
      </w:r>
    </w:p>
    <w:p w14:paraId="7A0D6DB0" w14:textId="77777777" w:rsidR="000D518D" w:rsidRDefault="000D46C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Martins.Drake@lgia.gov.lv </w:t>
      </w:r>
    </w:p>
    <w:p w14:paraId="7035FD55" w14:textId="77777777" w:rsidR="000D518D" w:rsidRDefault="000D518D">
      <w:pPr>
        <w:tabs>
          <w:tab w:val="left" w:pos="6237"/>
        </w:tabs>
        <w:spacing w:after="0" w:line="240" w:lineRule="auto"/>
        <w:rPr>
          <w:rFonts w:ascii="Times New Roman" w:hAnsi="Times New Roman" w:cs="Times New Roman"/>
          <w:sz w:val="20"/>
          <w:szCs w:val="20"/>
        </w:rPr>
      </w:pPr>
    </w:p>
    <w:p w14:paraId="6244A495" w14:textId="77777777" w:rsidR="000D518D" w:rsidRDefault="000D46C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Solovjova 67335095</w:t>
      </w:r>
    </w:p>
    <w:p w14:paraId="7E6AC7F5" w14:textId="1053E6C8" w:rsidR="000D518D" w:rsidRDefault="0070191A">
      <w:pPr>
        <w:widowControl w:val="0"/>
        <w:tabs>
          <w:tab w:val="left" w:pos="6804"/>
        </w:tabs>
        <w:spacing w:after="0" w:line="240" w:lineRule="auto"/>
        <w:rPr>
          <w:rFonts w:ascii="Times New Roman" w:eastAsia="Calibri" w:hAnsi="Times New Roman" w:cs="Times New Roman"/>
          <w:sz w:val="20"/>
          <w:szCs w:val="20"/>
          <w:lang w:eastAsia="lv-LV"/>
        </w:rPr>
      </w:pPr>
      <w:hyperlink r:id="rId13">
        <w:r w:rsidR="000D46C8">
          <w:rPr>
            <w:rStyle w:val="Hyperlink"/>
            <w:rFonts w:ascii="Times New Roman" w:eastAsia="Calibri" w:hAnsi="Times New Roman" w:cs="Times New Roman"/>
            <w:color w:val="auto"/>
            <w:sz w:val="20"/>
            <w:szCs w:val="20"/>
            <w:u w:val="none"/>
            <w:lang w:eastAsia="lv-LV"/>
          </w:rPr>
          <w:t>Vera.Solovjova@mod.gov.lv</w:t>
        </w:r>
      </w:hyperlink>
    </w:p>
    <w:sectPr w:rsidR="000D518D">
      <w:headerReference w:type="default" r:id="rId14"/>
      <w:footerReference w:type="default" r:id="rId15"/>
      <w:footerReference w:type="first" r:id="rId16"/>
      <w:pgSz w:w="11906" w:h="16838"/>
      <w:pgMar w:top="1134" w:right="1134"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FBC5" w14:textId="77777777" w:rsidR="00E51BE3" w:rsidRDefault="00E51BE3">
      <w:pPr>
        <w:spacing w:after="0" w:line="240" w:lineRule="auto"/>
      </w:pPr>
      <w:r>
        <w:separator/>
      </w:r>
    </w:p>
  </w:endnote>
  <w:endnote w:type="continuationSeparator" w:id="0">
    <w:p w14:paraId="6A53F242" w14:textId="77777777" w:rsidR="00E51BE3" w:rsidRDefault="00E5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1"/>
    <w:family w:val="auto"/>
    <w:pitch w:val="variable"/>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24B2" w14:textId="362BEEDA" w:rsidR="000D518D" w:rsidRDefault="00FE34C0">
    <w:pPr>
      <w:pStyle w:val="Footer"/>
    </w:pPr>
    <w:r>
      <w:rPr>
        <w:rFonts w:ascii="Times New Roman" w:hAnsi="Times New Roman" w:cs="Times New Roman"/>
        <w:sz w:val="20"/>
        <w:szCs w:val="20"/>
      </w:rPr>
      <w:t>Ai</w:t>
    </w:r>
    <w:r w:rsidR="000D46C8">
      <w:rPr>
        <w:rFonts w:ascii="Times New Roman" w:hAnsi="Times New Roman" w:cs="Times New Roman"/>
        <w:sz w:val="20"/>
        <w:szCs w:val="20"/>
      </w:rPr>
      <w:t>MAnot_</w:t>
    </w:r>
    <w:r w:rsidR="006F51DF">
      <w:rPr>
        <w:rFonts w:ascii="Times New Roman" w:hAnsi="Times New Roman" w:cs="Times New Roman"/>
        <w:sz w:val="20"/>
        <w:szCs w:val="20"/>
      </w:rPr>
      <w:t>1108</w:t>
    </w:r>
    <w:r w:rsidR="000D46C8">
      <w:rPr>
        <w:rFonts w:ascii="Times New Roman" w:hAnsi="Times New Roman" w:cs="Times New Roman"/>
        <w:sz w:val="20"/>
        <w:szCs w:val="20"/>
      </w:rPr>
      <w:t>21_grozijumiGIL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EC1F" w14:textId="038E63BA" w:rsidR="000D518D" w:rsidRDefault="006F51DF">
    <w:pPr>
      <w:pStyle w:val="Footer"/>
    </w:pPr>
    <w:r>
      <w:rPr>
        <w:rFonts w:ascii="Times New Roman" w:hAnsi="Times New Roman" w:cs="Times New Roman"/>
        <w:sz w:val="20"/>
        <w:szCs w:val="20"/>
      </w:rPr>
      <w:t>AIMAnot_1108</w:t>
    </w:r>
    <w:r w:rsidR="000D46C8">
      <w:rPr>
        <w:rFonts w:ascii="Times New Roman" w:hAnsi="Times New Roman" w:cs="Times New Roman"/>
        <w:sz w:val="20"/>
        <w:szCs w:val="20"/>
      </w:rPr>
      <w:t>21_grozijumiGIL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2FA7" w14:textId="77777777" w:rsidR="00E51BE3" w:rsidRDefault="00E51BE3">
      <w:pPr>
        <w:spacing w:after="0" w:line="240" w:lineRule="auto"/>
      </w:pPr>
      <w:r>
        <w:separator/>
      </w:r>
    </w:p>
  </w:footnote>
  <w:footnote w:type="continuationSeparator" w:id="0">
    <w:p w14:paraId="1473C7A2" w14:textId="77777777" w:rsidR="00E51BE3" w:rsidRDefault="00E5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16345"/>
      <w:docPartObj>
        <w:docPartGallery w:val="Page Numbers (Top of Page)"/>
        <w:docPartUnique/>
      </w:docPartObj>
    </w:sdtPr>
    <w:sdtEndPr/>
    <w:sdtContent>
      <w:p w14:paraId="04F98A44" w14:textId="7A362C44" w:rsidR="000D518D" w:rsidRDefault="000D46C8">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7C2779">
          <w:rPr>
            <w:rFonts w:ascii="Times New Roman" w:hAnsi="Times New Roman" w:cs="Times New Roman"/>
            <w:noProof/>
            <w:sz w:val="24"/>
            <w:szCs w:val="20"/>
          </w:rPr>
          <w:t>2</w:t>
        </w:r>
        <w:r>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4E0"/>
    <w:multiLevelType w:val="multilevel"/>
    <w:tmpl w:val="509612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D913E52"/>
    <w:multiLevelType w:val="multilevel"/>
    <w:tmpl w:val="126648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1D25071"/>
    <w:multiLevelType w:val="multilevel"/>
    <w:tmpl w:val="9AAA07C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8D"/>
    <w:rsid w:val="00045824"/>
    <w:rsid w:val="000564DF"/>
    <w:rsid w:val="000610C8"/>
    <w:rsid w:val="000D46C8"/>
    <w:rsid w:val="000D518D"/>
    <w:rsid w:val="001C1D56"/>
    <w:rsid w:val="002448C9"/>
    <w:rsid w:val="00360227"/>
    <w:rsid w:val="00476247"/>
    <w:rsid w:val="004D579A"/>
    <w:rsid w:val="006F51DF"/>
    <w:rsid w:val="0070191A"/>
    <w:rsid w:val="007C2779"/>
    <w:rsid w:val="00884EA5"/>
    <w:rsid w:val="00887B08"/>
    <w:rsid w:val="009F02B2"/>
    <w:rsid w:val="00A84433"/>
    <w:rsid w:val="00C4245D"/>
    <w:rsid w:val="00CB0418"/>
    <w:rsid w:val="00D516C4"/>
    <w:rsid w:val="00D8795C"/>
    <w:rsid w:val="00DB1DA2"/>
    <w:rsid w:val="00E51BE3"/>
    <w:rsid w:val="00EB51A6"/>
    <w:rsid w:val="00F50F41"/>
    <w:rsid w:val="00FE34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EC9D1"/>
  <w15:docId w15:val="{D7E9CAF1-8FBF-406D-A4AC-203A2741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styleId="Hyperlink">
    <w:name w:val="Hyper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qFormat/>
    <w:rsid w:val="00586376"/>
    <w:rPr>
      <w:color w:val="605E5C"/>
      <w:shd w:val="clear" w:color="auto" w:fill="E1DFDD"/>
    </w:rPr>
  </w:style>
  <w:style w:type="character" w:styleId="CommentReference">
    <w:name w:val="annotation reference"/>
    <w:basedOn w:val="DefaultParagraphFont"/>
    <w:uiPriority w:val="99"/>
    <w:semiHidden/>
    <w:unhideWhenUsed/>
    <w:qFormat/>
    <w:rsid w:val="003760F1"/>
    <w:rPr>
      <w:sz w:val="16"/>
      <w:szCs w:val="16"/>
    </w:rPr>
  </w:style>
  <w:style w:type="character" w:customStyle="1" w:styleId="CommentTextChar">
    <w:name w:val="Comment Text Char"/>
    <w:basedOn w:val="DefaultParagraphFont"/>
    <w:link w:val="CommentText"/>
    <w:uiPriority w:val="99"/>
    <w:semiHidden/>
    <w:qFormat/>
    <w:rsid w:val="003760F1"/>
    <w:rPr>
      <w:sz w:val="20"/>
      <w:szCs w:val="20"/>
    </w:rPr>
  </w:style>
  <w:style w:type="character" w:customStyle="1" w:styleId="CommentSubjectChar">
    <w:name w:val="Comment Subject Char"/>
    <w:basedOn w:val="CommentTextChar"/>
    <w:link w:val="CommentSubject"/>
    <w:uiPriority w:val="99"/>
    <w:semiHidden/>
    <w:qFormat/>
    <w:rsid w:val="003760F1"/>
    <w:rPr>
      <w:b/>
      <w:bCs/>
      <w:sz w:val="20"/>
      <w:szCs w:val="20"/>
    </w:rPr>
  </w:style>
  <w:style w:type="character" w:customStyle="1" w:styleId="UnresolvedMention2">
    <w:name w:val="Unresolved Mention2"/>
    <w:basedOn w:val="DefaultParagraphFont"/>
    <w:uiPriority w:val="99"/>
    <w:semiHidden/>
    <w:unhideWhenUsed/>
    <w:qFormat/>
    <w:rsid w:val="00567A32"/>
    <w:rPr>
      <w:color w:val="605E5C"/>
      <w:shd w:val="clear" w:color="auto" w:fill="E1DFDD"/>
    </w:rPr>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ListParagraph">
    <w:name w:val="List Paragraph"/>
    <w:basedOn w:val="Normal"/>
    <w:uiPriority w:val="34"/>
    <w:qFormat/>
    <w:rsid w:val="000569A4"/>
    <w:pPr>
      <w:ind w:left="720"/>
      <w:contextualSpacing/>
    </w:pPr>
  </w:style>
  <w:style w:type="paragraph" w:styleId="CommentText">
    <w:name w:val="annotation text"/>
    <w:basedOn w:val="Normal"/>
    <w:link w:val="CommentTextChar"/>
    <w:uiPriority w:val="99"/>
    <w:semiHidden/>
    <w:unhideWhenUsed/>
    <w:qFormat/>
    <w:rsid w:val="003760F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760F1"/>
    <w:rPr>
      <w:b/>
      <w:bCs/>
    </w:rPr>
  </w:style>
  <w:style w:type="paragraph" w:styleId="Revision">
    <w:name w:val="Revision"/>
    <w:hidden/>
    <w:uiPriority w:val="99"/>
    <w:semiHidden/>
    <w:rsid w:val="00EB51A6"/>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Vera.Solovjova@mo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d.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06BC-AC8E-4605-9AF3-ABD3FCA5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17668</Words>
  <Characters>10071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Likumprojekta "Grozījumi Ģeotelpiskas informācijas likumā" sākotnējās ietekmes novērtējuma ziņojums (anotācija)</vt:lpstr>
    </vt:vector>
  </TitlesOfParts>
  <Manager>Latvijas Ģeotelpiskās informācijas aģentūra</Manager>
  <Company>Aizsardzības ministrija</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Ģeotelpiskas informācijas likumā" sākotnējās ietekmes novērtējuma ziņojums (anotācija)</dc:title>
  <dc:subject>Anotācija</dc:subject>
  <dc:creator>Mārtiņs Drāke, Vera Solovjova</dc:creator>
  <cp:keywords>GIL</cp:keywords>
  <dc:description>29339356, Martins.Drake@lgia.gov.lv_x005f_x000d_
67335095, vera.solovjova@mod.gov.lv</dc:description>
  <cp:lastModifiedBy>Rasa Lubarte</cp:lastModifiedBy>
  <cp:revision>2</cp:revision>
  <dcterms:created xsi:type="dcterms:W3CDTF">2021-08-17T08:40:00Z</dcterms:created>
  <dcterms:modified xsi:type="dcterms:W3CDTF">2021-08-17T08:40:00Z</dcterms:modified>
  <dc:language>en-US</dc:language>
</cp:coreProperties>
</file>