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7BE1" w14:textId="77777777" w:rsidR="006E56B8" w:rsidRDefault="00114C0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Ministru kabineta rīkojuma projekta </w:t>
      </w:r>
    </w:p>
    <w:p w14:paraId="4D464778" w14:textId="77777777" w:rsidR="006E56B8" w:rsidRDefault="00114C0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“Par valstij dividendēs izmaksājamo valsts sabiedrības ar ierobežotu atbildību „Latvijas proves birojs” peļņas daļu par 2020.gadu”</w:t>
      </w:r>
    </w:p>
    <w:p w14:paraId="1C30B38B" w14:textId="77777777" w:rsidR="006E56B8" w:rsidRDefault="00114C0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sākotnējās ietekmes novērtējuma ziņojums (anotācija)</w:t>
      </w:r>
    </w:p>
    <w:p w14:paraId="13649305" w14:textId="77777777" w:rsidR="006E56B8" w:rsidRDefault="006E56B8">
      <w:pPr>
        <w:spacing w:after="0" w:line="240" w:lineRule="auto"/>
        <w:jc w:val="center"/>
        <w:rPr>
          <w:rFonts w:ascii="Times New Roman" w:eastAsia="Times New Roman" w:hAnsi="Times New Roman" w:cs="Times New Roman"/>
          <w:b/>
          <w:sz w:val="24"/>
          <w:szCs w:val="24"/>
        </w:rPr>
      </w:pPr>
    </w:p>
    <w:tbl>
      <w:tblPr>
        <w:tblStyle w:val="a"/>
        <w:tblW w:w="9863" w:type="dxa"/>
        <w:tblInd w:w="-43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874"/>
        <w:gridCol w:w="6989"/>
      </w:tblGrid>
      <w:tr w:rsidR="006E56B8" w14:paraId="18F7F97A" w14:textId="77777777">
        <w:tc>
          <w:tcPr>
            <w:tcW w:w="9863" w:type="dxa"/>
            <w:gridSpan w:val="2"/>
            <w:tcBorders>
              <w:top w:val="single" w:sz="6" w:space="0" w:color="414142"/>
              <w:left w:val="single" w:sz="6" w:space="0" w:color="414142"/>
              <w:bottom w:val="single" w:sz="6" w:space="0" w:color="414142"/>
              <w:right w:val="single" w:sz="6" w:space="0" w:color="414142"/>
            </w:tcBorders>
            <w:vAlign w:val="center"/>
          </w:tcPr>
          <w:p w14:paraId="1468F126" w14:textId="77777777" w:rsidR="006E56B8" w:rsidRDefault="00114C00">
            <w:pPr>
              <w:spacing w:after="0"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Tiesību akta projekta anotācijas kopsavilkums</w:t>
            </w:r>
          </w:p>
        </w:tc>
      </w:tr>
      <w:tr w:rsidR="006E56B8" w14:paraId="1A63A293" w14:textId="77777777">
        <w:tc>
          <w:tcPr>
            <w:tcW w:w="2874" w:type="dxa"/>
            <w:tcBorders>
              <w:top w:val="single" w:sz="6" w:space="0" w:color="414142"/>
              <w:left w:val="single" w:sz="6" w:space="0" w:color="414142"/>
              <w:bottom w:val="single" w:sz="6" w:space="0" w:color="414142"/>
              <w:right w:val="single" w:sz="6" w:space="0" w:color="414142"/>
            </w:tcBorders>
          </w:tcPr>
          <w:p w14:paraId="7C2A7969" w14:textId="77777777" w:rsidR="006E56B8" w:rsidRDefault="00114C00">
            <w:pPr>
              <w:spacing w:after="0" w:line="240" w:lineRule="auto"/>
              <w:ind w:right="1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risinājums un projekta spēkā stāšanās laiks (500 zīmes bez atstarpēm)</w:t>
            </w:r>
          </w:p>
        </w:tc>
        <w:tc>
          <w:tcPr>
            <w:tcW w:w="6989" w:type="dxa"/>
            <w:tcBorders>
              <w:top w:val="single" w:sz="6" w:space="0" w:color="414142"/>
              <w:left w:val="single" w:sz="6" w:space="0" w:color="414142"/>
              <w:bottom w:val="single" w:sz="6" w:space="0" w:color="414142"/>
              <w:right w:val="single" w:sz="6" w:space="0" w:color="414142"/>
            </w:tcBorders>
          </w:tcPr>
          <w:p w14:paraId="0480A4EA" w14:textId="77777777" w:rsidR="006E56B8" w:rsidRDefault="00114C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rīkojuma projekta “Par valstij dividendēs izmaksājamo valsts sabiedrības ar ierobežotu atbildību „Latvijas proves birojs” (turpmāk – birojs) peļņas daļu par 2020.gadu” (turpmāk – projekts) mērķis ir noteikt kapitālsabiedrībai atšķirīgu dividendēs izmaksājamo peļņas daļu par 2020.gadu.</w:t>
            </w:r>
          </w:p>
          <w:p w14:paraId="56434A8C" w14:textId="77777777" w:rsidR="006E56B8" w:rsidRDefault="00114C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Kapitālsabiedrībai dividendēs izmaksājamā peļņas daļa par 2020. gadu tiek noteikta 0 procentu apmērā, un tā tiek novirzīta </w:t>
            </w:r>
            <w:r>
              <w:rPr>
                <w:rFonts w:ascii="Times New Roman" w:eastAsia="Times New Roman" w:hAnsi="Times New Roman" w:cs="Times New Roman"/>
                <w:sz w:val="24"/>
                <w:szCs w:val="24"/>
                <w:highlight w:val="white"/>
              </w:rPr>
              <w:t xml:space="preserve">kapitālsabiedrības attīstībai, realizējot kapitālsabiedrības vidēja termiņa darbības stratēģijā 2021. – 2025. gadam paredzēto testēšanas procesa </w:t>
            </w:r>
            <w:proofErr w:type="spellStart"/>
            <w:r>
              <w:rPr>
                <w:rFonts w:ascii="Times New Roman" w:eastAsia="Times New Roman" w:hAnsi="Times New Roman" w:cs="Times New Roman"/>
                <w:sz w:val="24"/>
                <w:szCs w:val="24"/>
                <w:highlight w:val="white"/>
              </w:rPr>
              <w:t>instrumentalizācijas</w:t>
            </w:r>
            <w:proofErr w:type="spellEnd"/>
            <w:r>
              <w:rPr>
                <w:rFonts w:ascii="Times New Roman" w:eastAsia="Times New Roman" w:hAnsi="Times New Roman" w:cs="Times New Roman"/>
                <w:sz w:val="24"/>
                <w:szCs w:val="24"/>
                <w:highlight w:val="white"/>
              </w:rPr>
              <w:t xml:space="preserve"> plānu.</w:t>
            </w:r>
          </w:p>
          <w:p w14:paraId="6E8FB6C5" w14:textId="77777777" w:rsidR="006E56B8" w:rsidRDefault="00114C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stāsies spēkā vispārējā kārtībā pēc pieņemšanas Ministru kabinetā.</w:t>
            </w:r>
          </w:p>
        </w:tc>
      </w:tr>
    </w:tbl>
    <w:p w14:paraId="7B609061" w14:textId="77777777" w:rsidR="006E56B8" w:rsidRDefault="006E56B8">
      <w:pPr>
        <w:spacing w:after="0" w:line="240" w:lineRule="auto"/>
        <w:ind w:right="-143"/>
        <w:rPr>
          <w:rFonts w:ascii="Times New Roman" w:eastAsia="Times New Roman" w:hAnsi="Times New Roman" w:cs="Times New Roman"/>
          <w:b/>
          <w:sz w:val="24"/>
          <w:szCs w:val="24"/>
        </w:rPr>
      </w:pPr>
    </w:p>
    <w:tbl>
      <w:tblPr>
        <w:tblStyle w:val="a0"/>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190"/>
        <w:gridCol w:w="7053"/>
      </w:tblGrid>
      <w:tr w:rsidR="006E56B8" w14:paraId="22F1BD3F" w14:textId="77777777" w:rsidTr="006A72F2">
        <w:tc>
          <w:tcPr>
            <w:tcW w:w="9924" w:type="dxa"/>
            <w:gridSpan w:val="3"/>
            <w:vAlign w:val="center"/>
          </w:tcPr>
          <w:p w14:paraId="428FD52B" w14:textId="77777777" w:rsidR="006E56B8" w:rsidRDefault="00114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Tiesību akta projekta izstrādes nepieciešamība</w:t>
            </w:r>
          </w:p>
        </w:tc>
      </w:tr>
      <w:tr w:rsidR="006E56B8" w14:paraId="0A8207B1" w14:textId="77777777" w:rsidTr="006A72F2">
        <w:trPr>
          <w:trHeight w:val="630"/>
        </w:trPr>
        <w:tc>
          <w:tcPr>
            <w:tcW w:w="681" w:type="dxa"/>
          </w:tcPr>
          <w:p w14:paraId="2EF5DF92"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0" w:type="dxa"/>
          </w:tcPr>
          <w:p w14:paraId="298EBB08" w14:textId="77777777" w:rsidR="006E56B8" w:rsidRDefault="00114C00">
            <w:pPr>
              <w:spacing w:after="0" w:line="240"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7053" w:type="dxa"/>
          </w:tcPr>
          <w:p w14:paraId="63A9F753" w14:textId="77777777" w:rsidR="006E56B8" w:rsidRDefault="00114C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Publiskas personas kapitāla daļu un kapitālsabiedrību pārvaldības likuma 28.panta trešā daļa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10.punkts un 11.2.4.apakšpunkts.</w:t>
            </w:r>
          </w:p>
        </w:tc>
      </w:tr>
      <w:tr w:rsidR="006E56B8" w14:paraId="296488E4" w14:textId="77777777" w:rsidTr="006A72F2">
        <w:trPr>
          <w:trHeight w:val="472"/>
        </w:trPr>
        <w:tc>
          <w:tcPr>
            <w:tcW w:w="681" w:type="dxa"/>
          </w:tcPr>
          <w:p w14:paraId="396DD14A"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90" w:type="dxa"/>
          </w:tcPr>
          <w:p w14:paraId="4502E25E" w14:textId="77777777" w:rsidR="006E56B8" w:rsidRDefault="00114C00">
            <w:pPr>
              <w:tabs>
                <w:tab w:val="left" w:pos="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7053" w:type="dxa"/>
          </w:tcPr>
          <w:p w14:paraId="6F413AE6" w14:textId="1D230E1E" w:rsidR="00DC5FD3" w:rsidRDefault="00114C00">
            <w:pPr>
              <w:spacing w:after="0" w:line="240" w:lineRule="auto"/>
              <w:jc w:val="both"/>
              <w:rPr>
                <w:rFonts w:ascii="Times New Roman" w:eastAsia="Times New Roman" w:hAnsi="Times New Roman" w:cs="Times New Roman"/>
                <w:color w:val="000000"/>
                <w:sz w:val="24"/>
                <w:szCs w:val="24"/>
              </w:rPr>
            </w:pPr>
            <w:r w:rsidRPr="00DC5FD3">
              <w:rPr>
                <w:rFonts w:ascii="Times New Roman" w:eastAsia="Times New Roman" w:hAnsi="Times New Roman" w:cs="Times New Roman"/>
                <w:color w:val="000000"/>
                <w:sz w:val="24"/>
                <w:szCs w:val="24"/>
              </w:rPr>
              <w:t xml:space="preserve">Saskaņā ar VSIA “Latvijas proves birojs” vidēja termiņa darbības stratēģijā 2021.-2025.gadam noteikto stratēģijas pārskata periodā ir plānots īstenot testēšanas procesa </w:t>
            </w:r>
            <w:proofErr w:type="spellStart"/>
            <w:r w:rsidRPr="00DC5FD3">
              <w:rPr>
                <w:rFonts w:ascii="Times New Roman" w:eastAsia="Times New Roman" w:hAnsi="Times New Roman" w:cs="Times New Roman"/>
                <w:color w:val="000000"/>
                <w:sz w:val="24"/>
                <w:szCs w:val="24"/>
              </w:rPr>
              <w:t>instrumentalizācijas</w:t>
            </w:r>
            <w:proofErr w:type="spellEnd"/>
            <w:r w:rsidRPr="00DC5FD3">
              <w:rPr>
                <w:rFonts w:ascii="Times New Roman" w:eastAsia="Times New Roman" w:hAnsi="Times New Roman" w:cs="Times New Roman"/>
                <w:color w:val="000000"/>
                <w:sz w:val="24"/>
                <w:szCs w:val="24"/>
              </w:rPr>
              <w:t xml:space="preserve"> plānu, lai uzlabotu sniegto pakalpojumu kvalitāti. </w:t>
            </w:r>
          </w:p>
          <w:p w14:paraId="39ED1A09" w14:textId="77777777" w:rsidR="00CD6560" w:rsidRDefault="00DC5FD3">
            <w:pPr>
              <w:spacing w:after="0" w:line="240" w:lineRule="auto"/>
              <w:jc w:val="both"/>
              <w:rPr>
                <w:rFonts w:ascii="Times New Roman" w:eastAsia="Times New Roman" w:hAnsi="Times New Roman" w:cs="Times New Roman"/>
                <w:color w:val="000000"/>
                <w:sz w:val="24"/>
                <w:szCs w:val="24"/>
              </w:rPr>
            </w:pPr>
            <w:r w:rsidRPr="00DC5FD3">
              <w:rPr>
                <w:rFonts w:ascii="Times New Roman" w:eastAsia="Times New Roman" w:hAnsi="Times New Roman" w:cs="Times New Roman"/>
                <w:color w:val="000000"/>
                <w:sz w:val="24"/>
                <w:szCs w:val="24"/>
              </w:rPr>
              <w:t xml:space="preserve">Nepieciešamība pilnveidot esošo testēšanas procesu un pakāpeniska pāreja uz </w:t>
            </w:r>
            <w:proofErr w:type="spellStart"/>
            <w:r w:rsidRPr="00DC5FD3">
              <w:rPr>
                <w:rFonts w:ascii="Times New Roman" w:eastAsia="Times New Roman" w:hAnsi="Times New Roman" w:cs="Times New Roman"/>
                <w:color w:val="000000"/>
                <w:sz w:val="24"/>
                <w:szCs w:val="24"/>
              </w:rPr>
              <w:t>rentgenfluorescences</w:t>
            </w:r>
            <w:proofErr w:type="spellEnd"/>
            <w:r w:rsidRPr="00DC5FD3">
              <w:rPr>
                <w:rFonts w:ascii="Times New Roman" w:eastAsia="Times New Roman" w:hAnsi="Times New Roman" w:cs="Times New Roman"/>
                <w:color w:val="000000"/>
                <w:sz w:val="24"/>
                <w:szCs w:val="24"/>
              </w:rPr>
              <w:t xml:space="preserve"> spektrometriju kā vienīgo testēšanas metodi ir jauna ISO standarta izstrāde, kas atzīst </w:t>
            </w:r>
            <w:proofErr w:type="spellStart"/>
            <w:r w:rsidRPr="00DC5FD3">
              <w:rPr>
                <w:rFonts w:ascii="Times New Roman" w:eastAsia="Times New Roman" w:hAnsi="Times New Roman" w:cs="Times New Roman"/>
                <w:color w:val="000000"/>
                <w:sz w:val="24"/>
                <w:szCs w:val="24"/>
              </w:rPr>
              <w:t>rentgenfluorescences</w:t>
            </w:r>
            <w:proofErr w:type="spellEnd"/>
            <w:r w:rsidRPr="00DC5FD3">
              <w:rPr>
                <w:rFonts w:ascii="Times New Roman" w:eastAsia="Times New Roman" w:hAnsi="Times New Roman" w:cs="Times New Roman"/>
                <w:color w:val="000000"/>
                <w:sz w:val="24"/>
                <w:szCs w:val="24"/>
              </w:rPr>
              <w:t xml:space="preserve"> analīzes rezultātus par ticamiem un piemērojamiem proves noteikšanā, pretstatā ķīmisko reaģentu metodei, kas ir pamatā atzīta par piemērotu </w:t>
            </w:r>
            <w:proofErr w:type="spellStart"/>
            <w:r w:rsidRPr="00DC5FD3">
              <w:rPr>
                <w:rFonts w:ascii="Times New Roman" w:eastAsia="Times New Roman" w:hAnsi="Times New Roman" w:cs="Times New Roman"/>
                <w:color w:val="000000"/>
                <w:sz w:val="24"/>
                <w:szCs w:val="24"/>
              </w:rPr>
              <w:t>skrīninga</w:t>
            </w:r>
            <w:proofErr w:type="spellEnd"/>
            <w:r w:rsidRPr="00DC5FD3">
              <w:rPr>
                <w:rFonts w:ascii="Times New Roman" w:eastAsia="Times New Roman" w:hAnsi="Times New Roman" w:cs="Times New Roman"/>
                <w:color w:val="000000"/>
                <w:sz w:val="24"/>
                <w:szCs w:val="24"/>
              </w:rPr>
              <w:t xml:space="preserve"> jeb paraugu caurskates metodi. Standarts ISO/FDIS (</w:t>
            </w:r>
            <w:proofErr w:type="spellStart"/>
            <w:r w:rsidRPr="00DC5FD3">
              <w:rPr>
                <w:rFonts w:ascii="Times New Roman" w:eastAsia="Times New Roman" w:hAnsi="Times New Roman" w:cs="Times New Roman"/>
                <w:color w:val="000000"/>
                <w:sz w:val="24"/>
                <w:szCs w:val="24"/>
              </w:rPr>
              <w:t>Final</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Draft</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International</w:t>
            </w:r>
            <w:proofErr w:type="spellEnd"/>
            <w:r w:rsidRPr="00DC5FD3">
              <w:rPr>
                <w:rFonts w:ascii="Times New Roman" w:eastAsia="Times New Roman" w:hAnsi="Times New Roman" w:cs="Times New Roman"/>
                <w:color w:val="000000"/>
                <w:sz w:val="24"/>
                <w:szCs w:val="24"/>
              </w:rPr>
              <w:t xml:space="preserve"> Standard) 23345 “</w:t>
            </w:r>
            <w:proofErr w:type="spellStart"/>
            <w:r w:rsidRPr="00DC5FD3">
              <w:rPr>
                <w:rFonts w:ascii="Times New Roman" w:eastAsia="Times New Roman" w:hAnsi="Times New Roman" w:cs="Times New Roman"/>
                <w:color w:val="000000"/>
                <w:sz w:val="24"/>
                <w:szCs w:val="24"/>
              </w:rPr>
              <w:t>Jewellery</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and</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precious</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metals</w:t>
            </w:r>
            <w:proofErr w:type="spellEnd"/>
            <w:r w:rsidRPr="00DC5FD3">
              <w:rPr>
                <w:rFonts w:ascii="Times New Roman" w:eastAsia="Times New Roman" w:hAnsi="Times New Roman" w:cs="Times New Roman"/>
                <w:color w:val="000000"/>
                <w:sz w:val="24"/>
                <w:szCs w:val="24"/>
              </w:rPr>
              <w:t xml:space="preserve"> — Non </w:t>
            </w:r>
            <w:proofErr w:type="spellStart"/>
            <w:r w:rsidRPr="00DC5FD3">
              <w:rPr>
                <w:rFonts w:ascii="Times New Roman" w:eastAsia="Times New Roman" w:hAnsi="Times New Roman" w:cs="Times New Roman"/>
                <w:color w:val="000000"/>
                <w:sz w:val="24"/>
                <w:szCs w:val="24"/>
              </w:rPr>
              <w:t>destructive</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precious</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metal</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fineness</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confirmation</w:t>
            </w:r>
            <w:proofErr w:type="spellEnd"/>
            <w:r w:rsidRPr="00DC5FD3">
              <w:rPr>
                <w:rFonts w:ascii="Times New Roman" w:eastAsia="Times New Roman" w:hAnsi="Times New Roman" w:cs="Times New Roman"/>
                <w:color w:val="000000"/>
                <w:sz w:val="24"/>
                <w:szCs w:val="24"/>
              </w:rPr>
              <w:t xml:space="preserve"> </w:t>
            </w:r>
            <w:proofErr w:type="spellStart"/>
            <w:r w:rsidRPr="00DC5FD3">
              <w:rPr>
                <w:rFonts w:ascii="Times New Roman" w:eastAsia="Times New Roman" w:hAnsi="Times New Roman" w:cs="Times New Roman"/>
                <w:color w:val="000000"/>
                <w:sz w:val="24"/>
                <w:szCs w:val="24"/>
              </w:rPr>
              <w:t>by</w:t>
            </w:r>
            <w:proofErr w:type="spellEnd"/>
            <w:r w:rsidRPr="00DC5FD3">
              <w:rPr>
                <w:rFonts w:ascii="Times New Roman" w:eastAsia="Times New Roman" w:hAnsi="Times New Roman" w:cs="Times New Roman"/>
                <w:color w:val="000000"/>
                <w:sz w:val="24"/>
                <w:szCs w:val="24"/>
              </w:rPr>
              <w:t xml:space="preserve"> ED-XRF” pašlaik atrodas izstrādes stadijas nobeiguma posmā (ir izstrādāta standarta galīgā redakcija un tā nodota balsošanai) un sagaidāms, ka standarta pieņemšana un publicēšana notiks vēl 2021. gadā. Testēšanas metožu pilnveidošana ļaus būtiski uzlabot gan testēšanas kvalitāti, gan rezultātu ticamību, kā arī novērst nepieciešamību veikt izstrādājumu destruktīvo testēšanu. </w:t>
            </w:r>
            <w:proofErr w:type="spellStart"/>
            <w:r w:rsidRPr="00DC5FD3">
              <w:rPr>
                <w:rFonts w:ascii="Times New Roman" w:eastAsia="Times New Roman" w:hAnsi="Times New Roman" w:cs="Times New Roman"/>
                <w:color w:val="000000"/>
                <w:sz w:val="24"/>
                <w:szCs w:val="24"/>
              </w:rPr>
              <w:t>Instrumentalizācijas</w:t>
            </w:r>
            <w:proofErr w:type="spellEnd"/>
            <w:r w:rsidRPr="00DC5FD3">
              <w:rPr>
                <w:rFonts w:ascii="Times New Roman" w:eastAsia="Times New Roman" w:hAnsi="Times New Roman" w:cs="Times New Roman"/>
                <w:color w:val="000000"/>
                <w:sz w:val="24"/>
                <w:szCs w:val="24"/>
              </w:rPr>
              <w:t xml:space="preserve"> plāns paredz iegādāties (4 gab.) dažādās konfigurācijas spektrometrus, lai nodrošinātu visu veidu dārgmetālu izstrādājumu testēšanu. </w:t>
            </w:r>
          </w:p>
          <w:p w14:paraId="4E1AD4CF" w14:textId="67636237" w:rsidR="00DC5FD3" w:rsidRPr="00DC5FD3" w:rsidRDefault="00CD65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Biroja </w:t>
            </w:r>
            <w:proofErr w:type="spellStart"/>
            <w:r>
              <w:rPr>
                <w:rFonts w:ascii="Times New Roman" w:eastAsia="Times New Roman" w:hAnsi="Times New Roman" w:cs="Times New Roman"/>
                <w:color w:val="000000"/>
                <w:sz w:val="24"/>
                <w:szCs w:val="24"/>
              </w:rPr>
              <w:t>instrumentalizācijas</w:t>
            </w:r>
            <w:proofErr w:type="spellEnd"/>
            <w:r>
              <w:rPr>
                <w:rFonts w:ascii="Times New Roman" w:eastAsia="Times New Roman" w:hAnsi="Times New Roman" w:cs="Times New Roman"/>
                <w:color w:val="000000"/>
                <w:sz w:val="24"/>
                <w:szCs w:val="24"/>
              </w:rPr>
              <w:t xml:space="preserve"> plāna </w:t>
            </w:r>
            <w:r w:rsidR="00DC5FD3" w:rsidRPr="00DC5FD3">
              <w:rPr>
                <w:rFonts w:ascii="Times New Roman" w:eastAsia="Times New Roman" w:hAnsi="Times New Roman" w:cs="Times New Roman"/>
                <w:color w:val="000000"/>
                <w:sz w:val="24"/>
                <w:szCs w:val="24"/>
              </w:rPr>
              <w:t>realizācija ir uzsākta 2020.gadā</w:t>
            </w:r>
            <w:r>
              <w:rPr>
                <w:rFonts w:ascii="Times New Roman" w:eastAsia="Times New Roman" w:hAnsi="Times New Roman" w:cs="Times New Roman"/>
                <w:color w:val="000000"/>
                <w:sz w:val="24"/>
                <w:szCs w:val="24"/>
              </w:rPr>
              <w:t xml:space="preserve">, taču tā </w:t>
            </w:r>
            <w:r w:rsidR="00DC5FD3" w:rsidRPr="00DC5FD3">
              <w:rPr>
                <w:rFonts w:ascii="Times New Roman" w:eastAsia="Times New Roman" w:hAnsi="Times New Roman" w:cs="Times New Roman"/>
                <w:color w:val="000000"/>
                <w:sz w:val="24"/>
                <w:szCs w:val="24"/>
              </w:rPr>
              <w:t xml:space="preserve">ieviešanu un stratēģijas realizāciju apdraud 2021.gada pirmajā pusgadā identificētās pazīmes, kuras saistītas ar Covid-19 izraisītajiem ārkārtas apstākļiem. Proti, 2021.gadā, turpinoties krīzei, ko izraisīja Covid-19 </w:t>
            </w:r>
            <w:r w:rsidR="00DC5FD3" w:rsidRPr="00DC5FD3">
              <w:rPr>
                <w:rFonts w:ascii="Times New Roman" w:eastAsia="Times New Roman" w:hAnsi="Times New Roman" w:cs="Times New Roman"/>
                <w:color w:val="000000"/>
                <w:sz w:val="24"/>
                <w:szCs w:val="24"/>
              </w:rPr>
              <w:lastRenderedPageBreak/>
              <w:t xml:space="preserve">pandēmija, biroja darbība ir ierobežota. Tirdzniecības vietas lielveikalos, kur galvenokārt notiek dārgmetālu un dārgakmeņu izstrādājumu tirdzniecība, apmeklētājiem 2021.gada 1.pusgadā bija slēgtas, arī iedzīvotāju interese iegādāties juvelierizstrādājumus ir samazinājusies. Ārvalstu klientu interese saņemt biroja pakalpojumus ir samazinājusies šo pašu iemeslu dēļ. 2021.gada pirmajos piecos mēnešos apgrozījuma kritums par sniegtajiem pakalpojumiem salīdzinoši ar 2019.gadu ir -30% (-53415 </w:t>
            </w:r>
            <w:proofErr w:type="spellStart"/>
            <w:r w:rsidR="00DC5FD3" w:rsidRPr="00DC5FD3">
              <w:rPr>
                <w:rFonts w:ascii="Times New Roman" w:eastAsia="Times New Roman" w:hAnsi="Times New Roman" w:cs="Times New Roman"/>
                <w:color w:val="000000"/>
                <w:sz w:val="24"/>
                <w:szCs w:val="24"/>
              </w:rPr>
              <w:t>euro</w:t>
            </w:r>
            <w:proofErr w:type="spellEnd"/>
            <w:r w:rsidR="00DC5FD3" w:rsidRPr="00DC5FD3">
              <w:rPr>
                <w:rFonts w:ascii="Times New Roman" w:eastAsia="Times New Roman" w:hAnsi="Times New Roman" w:cs="Times New Roman"/>
                <w:color w:val="000000"/>
                <w:sz w:val="24"/>
                <w:szCs w:val="24"/>
              </w:rPr>
              <w:t xml:space="preserve">), bet pret 2020.gadu: -1% (-1665 </w:t>
            </w:r>
            <w:proofErr w:type="spellStart"/>
            <w:r w:rsidR="00DC5FD3" w:rsidRPr="00DC5FD3">
              <w:rPr>
                <w:rFonts w:ascii="Times New Roman" w:eastAsia="Times New Roman" w:hAnsi="Times New Roman" w:cs="Times New Roman"/>
                <w:color w:val="000000"/>
                <w:sz w:val="24"/>
                <w:szCs w:val="24"/>
              </w:rPr>
              <w:t>euro</w:t>
            </w:r>
            <w:proofErr w:type="spellEnd"/>
            <w:r w:rsidR="00DC5FD3" w:rsidRPr="00DC5FD3">
              <w:rPr>
                <w:rFonts w:ascii="Times New Roman" w:eastAsia="Times New Roman" w:hAnsi="Times New Roman" w:cs="Times New Roman"/>
                <w:color w:val="000000"/>
                <w:sz w:val="24"/>
                <w:szCs w:val="24"/>
              </w:rPr>
              <w:t xml:space="preserve">) (2020.gada salīdzināmajā periodā iekļaujas Covid-19 ārkārtējā situācija, kas bija izsludināta no 2020.gada 12.marta līdz 2020.gada 9.jūnijam saskaņā ar Ministru kabineta 2020.gada 12.marta rīkojumu Nr.103 “Par ārkārtējās situācijas izsludināšanu”), kā arī ir krities </w:t>
            </w:r>
            <w:proofErr w:type="spellStart"/>
            <w:r w:rsidR="00DC5FD3" w:rsidRPr="00DC5FD3">
              <w:rPr>
                <w:rFonts w:ascii="Times New Roman" w:eastAsia="Times New Roman" w:hAnsi="Times New Roman" w:cs="Times New Roman"/>
                <w:color w:val="000000"/>
                <w:sz w:val="24"/>
                <w:szCs w:val="24"/>
              </w:rPr>
              <w:t>provēto</w:t>
            </w:r>
            <w:proofErr w:type="spellEnd"/>
            <w:r w:rsidR="00DC5FD3" w:rsidRPr="00DC5FD3">
              <w:rPr>
                <w:rFonts w:ascii="Times New Roman" w:eastAsia="Times New Roman" w:hAnsi="Times New Roman" w:cs="Times New Roman"/>
                <w:color w:val="000000"/>
                <w:sz w:val="24"/>
                <w:szCs w:val="24"/>
              </w:rPr>
              <w:t xml:space="preserve"> izstrādājumu skaits salīdzinoši ar 2019.gadu par 58% (-195428 gab.), bet salīdzinoši ar 2020.gadu -32% (-64282 gab.).</w:t>
            </w:r>
          </w:p>
          <w:p w14:paraId="4A2B6E20" w14:textId="5E97FB31" w:rsidR="00DC5FD3" w:rsidRPr="00DC5FD3" w:rsidRDefault="00DC5FD3">
            <w:pPr>
              <w:spacing w:after="0" w:line="240" w:lineRule="auto"/>
              <w:jc w:val="both"/>
              <w:rPr>
                <w:rFonts w:ascii="Times New Roman" w:eastAsia="Times New Roman" w:hAnsi="Times New Roman" w:cs="Times New Roman"/>
                <w:color w:val="000000"/>
                <w:sz w:val="24"/>
                <w:szCs w:val="24"/>
              </w:rPr>
            </w:pPr>
            <w:r w:rsidRPr="00DC5FD3">
              <w:rPr>
                <w:rFonts w:ascii="Times New Roman" w:eastAsia="Times New Roman" w:hAnsi="Times New Roman" w:cs="Times New Roman"/>
                <w:color w:val="000000"/>
                <w:sz w:val="24"/>
                <w:szCs w:val="24"/>
              </w:rPr>
              <w:t xml:space="preserve">2021.gada 1.ceturksni birojs ir pabeidzis ar zaudējumiem 24545 </w:t>
            </w:r>
            <w:proofErr w:type="spellStart"/>
            <w:r w:rsidRPr="00DC5FD3">
              <w:rPr>
                <w:rFonts w:ascii="Times New Roman" w:eastAsia="Times New Roman" w:hAnsi="Times New Roman" w:cs="Times New Roman"/>
                <w:i/>
                <w:iCs/>
                <w:color w:val="000000"/>
                <w:sz w:val="24"/>
                <w:szCs w:val="24"/>
              </w:rPr>
              <w:t>euro</w:t>
            </w:r>
            <w:proofErr w:type="spellEnd"/>
            <w:r w:rsidRPr="00DC5FD3">
              <w:rPr>
                <w:rFonts w:ascii="Times New Roman" w:eastAsia="Times New Roman" w:hAnsi="Times New Roman" w:cs="Times New Roman"/>
                <w:color w:val="000000"/>
                <w:sz w:val="24"/>
                <w:szCs w:val="24"/>
              </w:rPr>
              <w:t xml:space="preserve"> apmērā (neauditēts). Pēc pašreizējām prognozēm birojs 2021. 1 pusgadu plāno beigt ar 15000 </w:t>
            </w:r>
            <w:proofErr w:type="spellStart"/>
            <w:r w:rsidRPr="00DC5FD3">
              <w:rPr>
                <w:rFonts w:ascii="Times New Roman" w:eastAsia="Times New Roman" w:hAnsi="Times New Roman" w:cs="Times New Roman"/>
                <w:i/>
                <w:iCs/>
                <w:color w:val="000000"/>
                <w:sz w:val="24"/>
                <w:szCs w:val="24"/>
              </w:rPr>
              <w:t>euro</w:t>
            </w:r>
            <w:proofErr w:type="spellEnd"/>
            <w:r w:rsidRPr="00DC5FD3">
              <w:rPr>
                <w:rFonts w:ascii="Times New Roman" w:eastAsia="Times New Roman" w:hAnsi="Times New Roman" w:cs="Times New Roman"/>
                <w:color w:val="000000"/>
                <w:sz w:val="24"/>
                <w:szCs w:val="24"/>
              </w:rPr>
              <w:t xml:space="preserve"> lieliem zaudējumiem. Prognozēto zaudējumu cēlonis ir ienākumu samazinājums valsts deleģēto uzdevumu, kuri noteikti likuma “Par valsts proves uzraudzību” 15. panta otrās daļas 1., 2. un 3.punktā, izpildei, kuru izmaksas sedz saimnieciskas darbības veicēji saskaņā ar Ministru kabineta 2013.gada 24.septembra noteikumos Nr.936 “Noteikumi par obligāti </w:t>
            </w:r>
            <w:proofErr w:type="spellStart"/>
            <w:r w:rsidRPr="00DC5FD3">
              <w:rPr>
                <w:rFonts w:ascii="Times New Roman" w:eastAsia="Times New Roman" w:hAnsi="Times New Roman" w:cs="Times New Roman"/>
                <w:color w:val="000000"/>
                <w:sz w:val="24"/>
                <w:szCs w:val="24"/>
              </w:rPr>
              <w:t>provējamo</w:t>
            </w:r>
            <w:proofErr w:type="spellEnd"/>
            <w:r w:rsidRPr="00DC5FD3">
              <w:rPr>
                <w:rFonts w:ascii="Times New Roman" w:eastAsia="Times New Roman" w:hAnsi="Times New Roman" w:cs="Times New Roman"/>
                <w:color w:val="000000"/>
                <w:sz w:val="24"/>
                <w:szCs w:val="24"/>
              </w:rPr>
              <w:t xml:space="preserve"> dārgmetālu izstrādājumu </w:t>
            </w:r>
            <w:proofErr w:type="spellStart"/>
            <w:r w:rsidRPr="00DC5FD3">
              <w:rPr>
                <w:rFonts w:ascii="Times New Roman" w:eastAsia="Times New Roman" w:hAnsi="Times New Roman" w:cs="Times New Roman"/>
                <w:color w:val="000000"/>
                <w:sz w:val="24"/>
                <w:szCs w:val="24"/>
              </w:rPr>
              <w:t>provēšanas</w:t>
            </w:r>
            <w:proofErr w:type="spellEnd"/>
            <w:r w:rsidRPr="00DC5FD3">
              <w:rPr>
                <w:rFonts w:ascii="Times New Roman" w:eastAsia="Times New Roman" w:hAnsi="Times New Roman" w:cs="Times New Roman"/>
                <w:color w:val="000000"/>
                <w:sz w:val="24"/>
                <w:szCs w:val="24"/>
              </w:rPr>
              <w:t xml:space="preserve"> un zīmogošanas maksu, obligāti </w:t>
            </w:r>
            <w:proofErr w:type="spellStart"/>
            <w:r w:rsidRPr="00DC5FD3">
              <w:rPr>
                <w:rFonts w:ascii="Times New Roman" w:eastAsia="Times New Roman" w:hAnsi="Times New Roman" w:cs="Times New Roman"/>
                <w:color w:val="000000"/>
                <w:sz w:val="24"/>
                <w:szCs w:val="24"/>
              </w:rPr>
              <w:t>provējamo</w:t>
            </w:r>
            <w:proofErr w:type="spellEnd"/>
            <w:r w:rsidRPr="00DC5FD3">
              <w:rPr>
                <w:rFonts w:ascii="Times New Roman" w:eastAsia="Times New Roman" w:hAnsi="Times New Roman" w:cs="Times New Roman"/>
                <w:color w:val="000000"/>
                <w:sz w:val="24"/>
                <w:szCs w:val="24"/>
              </w:rPr>
              <w:t xml:space="preserve"> dārgakmeņu izstrādājumu </w:t>
            </w:r>
            <w:proofErr w:type="spellStart"/>
            <w:r w:rsidRPr="00DC5FD3">
              <w:rPr>
                <w:rFonts w:ascii="Times New Roman" w:eastAsia="Times New Roman" w:hAnsi="Times New Roman" w:cs="Times New Roman"/>
                <w:color w:val="000000"/>
                <w:sz w:val="24"/>
                <w:szCs w:val="24"/>
              </w:rPr>
              <w:t>provēšanas</w:t>
            </w:r>
            <w:proofErr w:type="spellEnd"/>
            <w:r w:rsidRPr="00DC5FD3">
              <w:rPr>
                <w:rFonts w:ascii="Times New Roman" w:eastAsia="Times New Roman" w:hAnsi="Times New Roman" w:cs="Times New Roman"/>
                <w:color w:val="000000"/>
                <w:sz w:val="24"/>
                <w:szCs w:val="24"/>
              </w:rPr>
              <w:t xml:space="preserve"> un kvalitātes apliecību izsniegšanas maksu, kā arī personiskā zīmoga reģistrācijas maksu”. Šo valsts pārvaldes uzdevumu segšanai nav paredzētas valsts dotācijas vai subsīdijas saskaņā ar Ministru kabineta 2009.gada 9.novembra rīkojumu Nr.762 “Par valsts sabiedrības ar ierobežotu atbildību “Latvijas proves birojs” dibināšanu”.</w:t>
            </w:r>
          </w:p>
          <w:p w14:paraId="31752D75" w14:textId="7D55497C" w:rsidR="00DC5FD3" w:rsidRPr="00DC5FD3" w:rsidRDefault="00DC5FD3" w:rsidP="00DC5FD3">
            <w:pPr>
              <w:spacing w:after="0" w:line="240" w:lineRule="auto"/>
              <w:jc w:val="both"/>
              <w:rPr>
                <w:rFonts w:ascii="Times New Roman" w:eastAsia="Times New Roman" w:hAnsi="Times New Roman" w:cs="Times New Roman"/>
                <w:color w:val="000000"/>
                <w:sz w:val="24"/>
                <w:szCs w:val="24"/>
              </w:rPr>
            </w:pPr>
            <w:r w:rsidRPr="00DC5FD3">
              <w:rPr>
                <w:rFonts w:ascii="Times New Roman" w:eastAsia="Times New Roman" w:hAnsi="Times New Roman" w:cs="Times New Roman"/>
                <w:color w:val="000000"/>
                <w:sz w:val="24"/>
                <w:szCs w:val="24"/>
              </w:rPr>
              <w:t xml:space="preserve">Vienlaikus birojā saņemta informācija no VAS “Valsts nekustamie īpašumi” (turpmāk – VNĪ), ka tā 2022. gadā plāno uzsākt plašus renovācijas darbus biroja nomātajās telpās Teātra ielā 9, Rīgā,  līdz ar to birojam ir jāpārvācas uz citām telpām, kas jāpielāgo biroja vajadzībām. Telpu pielāgošanas un pārvākšanas izmaksas ir plānojamas 2021.-2022.gados. Jauno telpu pielāgošana ir jāveic atbilstoši “VSIA ”Latvijas proves birojs” vidēja termiņa darbības stratēģija 2021.-2025.gadam” paredzētajam </w:t>
            </w:r>
            <w:proofErr w:type="spellStart"/>
            <w:r w:rsidRPr="00DC5FD3">
              <w:rPr>
                <w:rFonts w:ascii="Times New Roman" w:eastAsia="Times New Roman" w:hAnsi="Times New Roman" w:cs="Times New Roman"/>
                <w:color w:val="000000"/>
                <w:sz w:val="24"/>
                <w:szCs w:val="24"/>
              </w:rPr>
              <w:t>instrumentalizācijas</w:t>
            </w:r>
            <w:proofErr w:type="spellEnd"/>
            <w:r w:rsidRPr="00DC5FD3">
              <w:rPr>
                <w:rFonts w:ascii="Times New Roman" w:eastAsia="Times New Roman" w:hAnsi="Times New Roman" w:cs="Times New Roman"/>
                <w:color w:val="000000"/>
                <w:sz w:val="24"/>
                <w:szCs w:val="24"/>
              </w:rPr>
              <w:t xml:space="preserve"> plānam, paātrinot ieviešanas termiņu uz 2022.gada sākumu, lai novērstu papildus izmaksas par nākotnē nevajadzīgas infrastruktūras izbūvi un turpinot testēšanu, izmantojot ķīmisko reaģentu metodi.</w:t>
            </w:r>
          </w:p>
          <w:p w14:paraId="707FBD1B" w14:textId="77777777" w:rsidR="00DC5FD3" w:rsidRDefault="00DC5FD3">
            <w:pPr>
              <w:spacing w:after="0" w:line="240" w:lineRule="auto"/>
              <w:jc w:val="both"/>
              <w:rPr>
                <w:rFonts w:ascii="Times New Roman" w:eastAsia="Times New Roman" w:hAnsi="Times New Roman" w:cs="Times New Roman"/>
                <w:color w:val="000000"/>
                <w:sz w:val="24"/>
                <w:szCs w:val="24"/>
              </w:rPr>
            </w:pPr>
            <w:r w:rsidRPr="00DC5FD3">
              <w:rPr>
                <w:rFonts w:ascii="Times New Roman" w:eastAsia="Times New Roman" w:hAnsi="Times New Roman" w:cs="Times New Roman"/>
                <w:color w:val="000000"/>
                <w:sz w:val="24"/>
                <w:szCs w:val="24"/>
              </w:rPr>
              <w:t xml:space="preserve">Ņemot vērā Covid-19 krīzes negatīvo ietekmi uz biroja darbību, kā arī papildus risināmo jautājumu par biroja pārcelšanos uz citām telpām, ir apdraudēta </w:t>
            </w:r>
            <w:proofErr w:type="spellStart"/>
            <w:r w:rsidRPr="00DC5FD3">
              <w:rPr>
                <w:rFonts w:ascii="Times New Roman" w:eastAsia="Times New Roman" w:hAnsi="Times New Roman" w:cs="Times New Roman"/>
                <w:color w:val="000000"/>
                <w:sz w:val="24"/>
                <w:szCs w:val="24"/>
              </w:rPr>
              <w:t>instrumentalizācijas</w:t>
            </w:r>
            <w:proofErr w:type="spellEnd"/>
            <w:r w:rsidRPr="00DC5FD3">
              <w:rPr>
                <w:rFonts w:ascii="Times New Roman" w:eastAsia="Times New Roman" w:hAnsi="Times New Roman" w:cs="Times New Roman"/>
                <w:color w:val="000000"/>
                <w:sz w:val="24"/>
                <w:szCs w:val="24"/>
              </w:rPr>
              <w:t xml:space="preserve"> plāna ieviešana un “VSIA “Latvijas proves birojs” stratēģijas 2021.-2025.gadam” stratēģijas īstenošana. Lai nodrošinātu </w:t>
            </w:r>
            <w:proofErr w:type="spellStart"/>
            <w:r w:rsidRPr="00DC5FD3">
              <w:rPr>
                <w:rFonts w:ascii="Times New Roman" w:eastAsia="Times New Roman" w:hAnsi="Times New Roman" w:cs="Times New Roman"/>
                <w:color w:val="000000"/>
                <w:sz w:val="24"/>
                <w:szCs w:val="24"/>
              </w:rPr>
              <w:t>instrumentalizācijas</w:t>
            </w:r>
            <w:proofErr w:type="spellEnd"/>
            <w:r w:rsidRPr="00DC5FD3">
              <w:rPr>
                <w:rFonts w:ascii="Times New Roman" w:eastAsia="Times New Roman" w:hAnsi="Times New Roman" w:cs="Times New Roman"/>
                <w:color w:val="000000"/>
                <w:sz w:val="24"/>
                <w:szCs w:val="24"/>
              </w:rPr>
              <w:t xml:space="preserve"> plāna ieviešanu, risinājums būtu 2020.gada peļņas (43100 </w:t>
            </w:r>
            <w:proofErr w:type="spellStart"/>
            <w:r w:rsidRPr="00DC5FD3">
              <w:rPr>
                <w:rFonts w:ascii="Times New Roman" w:eastAsia="Times New Roman" w:hAnsi="Times New Roman" w:cs="Times New Roman"/>
                <w:i/>
                <w:iCs/>
                <w:color w:val="000000"/>
                <w:sz w:val="24"/>
                <w:szCs w:val="24"/>
              </w:rPr>
              <w:t>euro</w:t>
            </w:r>
            <w:proofErr w:type="spellEnd"/>
            <w:r w:rsidRPr="00DC5FD3">
              <w:rPr>
                <w:rFonts w:ascii="Times New Roman" w:eastAsia="Times New Roman" w:hAnsi="Times New Roman" w:cs="Times New Roman"/>
                <w:color w:val="000000"/>
                <w:sz w:val="24"/>
                <w:szCs w:val="24"/>
              </w:rPr>
              <w:t xml:space="preserve">) daļu 34480 </w:t>
            </w:r>
            <w:proofErr w:type="spellStart"/>
            <w:r w:rsidRPr="00DC5FD3">
              <w:rPr>
                <w:rFonts w:ascii="Times New Roman" w:eastAsia="Times New Roman" w:hAnsi="Times New Roman" w:cs="Times New Roman"/>
                <w:i/>
                <w:iCs/>
                <w:color w:val="000000"/>
                <w:sz w:val="24"/>
                <w:szCs w:val="24"/>
              </w:rPr>
              <w:t>euro</w:t>
            </w:r>
            <w:proofErr w:type="spellEnd"/>
            <w:r w:rsidRPr="00DC5FD3">
              <w:rPr>
                <w:rFonts w:ascii="Times New Roman" w:eastAsia="Times New Roman" w:hAnsi="Times New Roman" w:cs="Times New Roman"/>
                <w:color w:val="000000"/>
                <w:sz w:val="24"/>
                <w:szCs w:val="24"/>
              </w:rPr>
              <w:t xml:space="preserve"> apmērā novirzīt biroja attīstībai, realizējot tā vidēja termiņa darbības stratēģijā 2021.–2025. gadam paredzēto testēšanas procesa </w:t>
            </w:r>
            <w:proofErr w:type="spellStart"/>
            <w:r w:rsidRPr="00DC5FD3">
              <w:rPr>
                <w:rFonts w:ascii="Times New Roman" w:eastAsia="Times New Roman" w:hAnsi="Times New Roman" w:cs="Times New Roman"/>
                <w:color w:val="000000"/>
                <w:sz w:val="24"/>
                <w:szCs w:val="24"/>
              </w:rPr>
              <w:t>instrumentalizācijas</w:t>
            </w:r>
            <w:proofErr w:type="spellEnd"/>
            <w:r w:rsidRPr="00DC5FD3">
              <w:rPr>
                <w:rFonts w:ascii="Times New Roman" w:eastAsia="Times New Roman" w:hAnsi="Times New Roman" w:cs="Times New Roman"/>
                <w:color w:val="000000"/>
                <w:sz w:val="24"/>
                <w:szCs w:val="24"/>
              </w:rPr>
              <w:t xml:space="preserve"> plānu, </w:t>
            </w:r>
            <w:proofErr w:type="spellStart"/>
            <w:r w:rsidRPr="00DC5FD3">
              <w:rPr>
                <w:rFonts w:ascii="Times New Roman" w:eastAsia="Times New Roman" w:hAnsi="Times New Roman" w:cs="Times New Roman"/>
                <w:color w:val="000000"/>
                <w:sz w:val="24"/>
                <w:szCs w:val="24"/>
              </w:rPr>
              <w:t>iegādajoties</w:t>
            </w:r>
            <w:proofErr w:type="spellEnd"/>
            <w:r w:rsidRPr="00DC5FD3">
              <w:rPr>
                <w:rFonts w:ascii="Times New Roman" w:eastAsia="Times New Roman" w:hAnsi="Times New Roman" w:cs="Times New Roman"/>
                <w:color w:val="000000"/>
                <w:sz w:val="24"/>
                <w:szCs w:val="24"/>
              </w:rPr>
              <w:t xml:space="preserve"> jaunu spektrometru. </w:t>
            </w:r>
          </w:p>
          <w:p w14:paraId="1AB30BDD" w14:textId="1337A3CA" w:rsidR="006E56B8" w:rsidRPr="00DC5FD3" w:rsidRDefault="00114C00">
            <w:pPr>
              <w:spacing w:after="0" w:line="240" w:lineRule="auto"/>
              <w:jc w:val="both"/>
              <w:rPr>
                <w:rFonts w:ascii="Times New Roman" w:eastAsia="Times New Roman" w:hAnsi="Times New Roman" w:cs="Times New Roman"/>
                <w:sz w:val="24"/>
                <w:szCs w:val="24"/>
              </w:rPr>
            </w:pPr>
            <w:r w:rsidRPr="00DC5FD3">
              <w:rPr>
                <w:rFonts w:ascii="Times New Roman" w:eastAsia="Times New Roman" w:hAnsi="Times New Roman" w:cs="Times New Roman"/>
                <w:color w:val="000000"/>
                <w:sz w:val="24"/>
                <w:szCs w:val="24"/>
              </w:rPr>
              <w:t xml:space="preserve">Plānotie izdevumi jauna spektrometra iegādei (kapitālieguldījumi) ir 40 tūkst. </w:t>
            </w:r>
            <w:proofErr w:type="spellStart"/>
            <w:r w:rsidRPr="00DC5FD3">
              <w:rPr>
                <w:rFonts w:ascii="Times New Roman" w:eastAsia="Times New Roman" w:hAnsi="Times New Roman" w:cs="Times New Roman"/>
                <w:i/>
                <w:color w:val="000000"/>
                <w:sz w:val="24"/>
                <w:szCs w:val="24"/>
              </w:rPr>
              <w:t>euro</w:t>
            </w:r>
            <w:proofErr w:type="spellEnd"/>
            <w:r w:rsidRPr="00DC5FD3">
              <w:rPr>
                <w:rFonts w:ascii="Times New Roman" w:eastAsia="Times New Roman" w:hAnsi="Times New Roman" w:cs="Times New Roman"/>
                <w:color w:val="000000"/>
                <w:sz w:val="24"/>
                <w:szCs w:val="24"/>
              </w:rPr>
              <w:t xml:space="preserve">, kurus daļēji ir iespējams segt, novirzot dividendēs izmaksājamo peļņas daļu par 2020. gadu – 34,48 tūkst. </w:t>
            </w:r>
            <w:proofErr w:type="spellStart"/>
            <w:r w:rsidRPr="00DC5FD3">
              <w:rPr>
                <w:rFonts w:ascii="Times New Roman" w:eastAsia="Times New Roman" w:hAnsi="Times New Roman" w:cs="Times New Roman"/>
                <w:i/>
                <w:color w:val="000000"/>
                <w:sz w:val="24"/>
                <w:szCs w:val="24"/>
              </w:rPr>
              <w:t>euro</w:t>
            </w:r>
            <w:proofErr w:type="spellEnd"/>
            <w:r w:rsidRPr="00DC5FD3">
              <w:rPr>
                <w:rFonts w:ascii="Times New Roman" w:eastAsia="Times New Roman" w:hAnsi="Times New Roman" w:cs="Times New Roman"/>
                <w:color w:val="000000"/>
                <w:sz w:val="24"/>
                <w:szCs w:val="24"/>
              </w:rPr>
              <w:t>.</w:t>
            </w:r>
            <w:r w:rsidR="00DC5FD3" w:rsidRPr="00DC5FD3">
              <w:rPr>
                <w:rFonts w:ascii="Times New Roman" w:eastAsia="Times New Roman" w:hAnsi="Times New Roman" w:cs="Times New Roman"/>
                <w:color w:val="000000"/>
                <w:sz w:val="24"/>
                <w:szCs w:val="24"/>
              </w:rPr>
              <w:t xml:space="preserve"> Atlikušo summu paredzēts segt no finanšu rezervēm.</w:t>
            </w:r>
            <w:r w:rsidRPr="00DC5FD3">
              <w:rPr>
                <w:rFonts w:ascii="Times New Roman" w:eastAsia="Times New Roman" w:hAnsi="Times New Roman" w:cs="Times New Roman"/>
                <w:color w:val="000000"/>
                <w:sz w:val="24"/>
                <w:szCs w:val="24"/>
              </w:rPr>
              <w:t xml:space="preserve"> </w:t>
            </w:r>
          </w:p>
          <w:p w14:paraId="42B981AE" w14:textId="77777777" w:rsidR="006E56B8" w:rsidRDefault="00114C00">
            <w:pPr>
              <w:spacing w:after="0" w:line="240" w:lineRule="auto"/>
              <w:jc w:val="both"/>
              <w:rPr>
                <w:rFonts w:ascii="Times New Roman" w:eastAsia="Times New Roman" w:hAnsi="Times New Roman" w:cs="Times New Roman"/>
                <w:sz w:val="24"/>
                <w:szCs w:val="24"/>
              </w:rPr>
            </w:pPr>
            <w:r w:rsidRPr="00DC5FD3">
              <w:rPr>
                <w:rFonts w:ascii="Times New Roman" w:eastAsia="Times New Roman" w:hAnsi="Times New Roman" w:cs="Times New Roman"/>
                <w:sz w:val="24"/>
                <w:szCs w:val="24"/>
              </w:rPr>
              <w:lastRenderedPageBreak/>
              <w:t xml:space="preserve">Projekts ir izvērtēts no Komercdarbības atbalsta kontroles likuma 5.panta viedokļa, un ir secināms, ka kapitālsabiedrībai nosakāmā atšķirīgā dividendēs izmaksājamā peļņas daļa nav uzskatāma par valsts atbalstu kapitālsabiedrībai komercdarbības veikšanai, jo peļņas daļa ir novirzāma valsts deleģēto uzdevumu, kuri noteikti likuma “Par valsts proves uzraudzību” 15. panta </w:t>
            </w:r>
            <w:r w:rsidR="0039338D" w:rsidRPr="00DC5FD3">
              <w:rPr>
                <w:rFonts w:ascii="Times New Roman" w:eastAsia="Times New Roman" w:hAnsi="Times New Roman" w:cs="Times New Roman"/>
                <w:sz w:val="24"/>
                <w:szCs w:val="24"/>
              </w:rPr>
              <w:t>otrā</w:t>
            </w:r>
            <w:r w:rsidRPr="00DC5FD3">
              <w:rPr>
                <w:rFonts w:ascii="Times New Roman" w:eastAsia="Times New Roman" w:hAnsi="Times New Roman" w:cs="Times New Roman"/>
                <w:sz w:val="24"/>
                <w:szCs w:val="24"/>
              </w:rPr>
              <w:t>s daļas 1., 2. un 3.punktā kvalitātes uzlabošanas finansēšanai.</w:t>
            </w:r>
          </w:p>
          <w:p w14:paraId="1159497A" w14:textId="61B0CC39" w:rsidR="00D8213E" w:rsidRPr="00DC5FD3" w:rsidRDefault="00D8213E">
            <w:pPr>
              <w:spacing w:after="0" w:line="240" w:lineRule="auto"/>
              <w:jc w:val="both"/>
              <w:rPr>
                <w:rFonts w:ascii="Times New Roman" w:eastAsia="Times New Roman" w:hAnsi="Times New Roman" w:cs="Times New Roman"/>
                <w:sz w:val="24"/>
                <w:szCs w:val="24"/>
              </w:rPr>
            </w:pPr>
            <w:r w:rsidRPr="000B28FF">
              <w:rPr>
                <w:rFonts w:ascii="Times New Roman" w:hAnsi="Times New Roman" w:cs="Times New Roman"/>
                <w:sz w:val="24"/>
                <w:szCs w:val="24"/>
                <w:lang w:eastAsia="en-US"/>
              </w:rPr>
              <w:t xml:space="preserve">Ņemot vērā, ka proves noteikšana tiek finansēta no saimnieciskās darbības ieņēmumiem un procesa </w:t>
            </w:r>
            <w:proofErr w:type="spellStart"/>
            <w:r w:rsidRPr="000B28FF">
              <w:rPr>
                <w:rFonts w:ascii="Times New Roman" w:hAnsi="Times New Roman" w:cs="Times New Roman"/>
                <w:sz w:val="24"/>
                <w:szCs w:val="24"/>
                <w:lang w:eastAsia="en-US"/>
              </w:rPr>
              <w:t>instrumentalizācija</w:t>
            </w:r>
            <w:proofErr w:type="spellEnd"/>
            <w:r w:rsidRPr="000B28FF">
              <w:rPr>
                <w:rFonts w:ascii="Times New Roman" w:hAnsi="Times New Roman" w:cs="Times New Roman"/>
                <w:sz w:val="24"/>
                <w:szCs w:val="24"/>
                <w:lang w:eastAsia="en-US"/>
              </w:rPr>
              <w:t xml:space="preserve"> ir saskaņā ar </w:t>
            </w:r>
            <w:r w:rsidRPr="000B28FF">
              <w:rPr>
                <w:rFonts w:ascii="Times New Roman" w:eastAsia="Times New Roman" w:hAnsi="Times New Roman" w:cs="Times New Roman"/>
                <w:color w:val="000000"/>
                <w:sz w:val="24"/>
                <w:szCs w:val="24"/>
              </w:rPr>
              <w:t>“VSIA “Latvijas proves birojs” stratēģijā 2021.-2025.gadam”</w:t>
            </w:r>
            <w:r w:rsidRPr="000B28FF">
              <w:rPr>
                <w:rFonts w:ascii="Times New Roman" w:hAnsi="Times New Roman" w:cs="Times New Roman"/>
                <w:sz w:val="24"/>
                <w:szCs w:val="24"/>
                <w:lang w:eastAsia="en-US"/>
              </w:rPr>
              <w:t xml:space="preserve"> minēto, </w:t>
            </w:r>
            <w:r w:rsidRPr="000B28FF">
              <w:rPr>
                <w:rFonts w:ascii="Times New Roman" w:hAnsi="Times New Roman" w:cs="Times New Roman"/>
                <w:color w:val="000000"/>
                <w:sz w:val="24"/>
                <w:szCs w:val="24"/>
              </w:rPr>
              <w:t xml:space="preserve">kapitālsabiedrības peļņas daļa pēc ekonomiskās būtības tiks novirzīta kapitālsabiedrības attīstībā (investīciju veikšanai atbilstoši kapitālsabiedrības vidēja termiņa darbības stratēģijai un saimnieciskiem mērķiem) nevis iegrāmatojama kā “Nākamo periodu ieņēmumi”. </w:t>
            </w:r>
            <w:r w:rsidRPr="000B28FF">
              <w:rPr>
                <w:rFonts w:ascii="Times New Roman" w:hAnsi="Times New Roman" w:cs="Times New Roman"/>
                <w:sz w:val="24"/>
                <w:szCs w:val="24"/>
                <w:lang w:eastAsia="en-US"/>
              </w:rPr>
              <w:t>Šis vērtējums saskan arī ar Ministru kabineta 2021.gada 6.jūlija sēdē atbalstītā informatīvā ziņojuma “Par valsts kapitālsabiedrību rīcībā atstātās peļņas atspoguļošanas kapitālsabiedrības bilances posteņos problemātiku un risinājumiem” norādītajiem piemēriem un ir saskaņā ar secinājumiem.</w:t>
            </w:r>
          </w:p>
        </w:tc>
      </w:tr>
      <w:tr w:rsidR="006E56B8" w14:paraId="468E6519" w14:textId="77777777" w:rsidTr="006A72F2">
        <w:trPr>
          <w:trHeight w:val="476"/>
        </w:trPr>
        <w:tc>
          <w:tcPr>
            <w:tcW w:w="681" w:type="dxa"/>
            <w:tcBorders>
              <w:bottom w:val="single" w:sz="4" w:space="0" w:color="000000"/>
            </w:tcBorders>
          </w:tcPr>
          <w:p w14:paraId="10E455D1"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190" w:type="dxa"/>
            <w:tcBorders>
              <w:bottom w:val="single" w:sz="4" w:space="0" w:color="000000"/>
            </w:tcBorders>
          </w:tcPr>
          <w:p w14:paraId="22BCF53D"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izstrādē iesaistītās institūcijas </w:t>
            </w:r>
            <w:r>
              <w:rPr>
                <w:rFonts w:ascii="Times New Roman" w:eastAsia="Times New Roman" w:hAnsi="Times New Roman" w:cs="Times New Roman"/>
                <w:sz w:val="24"/>
                <w:szCs w:val="24"/>
                <w:highlight w:val="white"/>
              </w:rPr>
              <w:t>un publiskas personas kapitālsabiedrības</w:t>
            </w:r>
          </w:p>
        </w:tc>
        <w:tc>
          <w:tcPr>
            <w:tcW w:w="7053" w:type="dxa"/>
            <w:tcBorders>
              <w:bottom w:val="single" w:sz="4" w:space="0" w:color="000000"/>
            </w:tcBorders>
          </w:tcPr>
          <w:p w14:paraId="4618F57C" w14:textId="77777777" w:rsidR="006E56B8" w:rsidRDefault="00114C00">
            <w:pPr>
              <w:tabs>
                <w:tab w:val="left" w:pos="2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ministrija, VISA “Latvijas proves birojs”.</w:t>
            </w:r>
          </w:p>
        </w:tc>
      </w:tr>
      <w:tr w:rsidR="006E56B8" w14:paraId="0508D6E4" w14:textId="77777777" w:rsidTr="006A72F2">
        <w:tc>
          <w:tcPr>
            <w:tcW w:w="681" w:type="dxa"/>
          </w:tcPr>
          <w:p w14:paraId="5FC93BC2"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90" w:type="dxa"/>
          </w:tcPr>
          <w:p w14:paraId="46066CD9"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7053" w:type="dxa"/>
          </w:tcPr>
          <w:p w14:paraId="7F8AA5D5" w14:textId="77777777" w:rsidR="006E56B8" w:rsidRDefault="00114C00">
            <w:pPr>
              <w:spacing w:after="0" w:line="240" w:lineRule="auto"/>
              <w:jc w:val="both"/>
              <w:rPr>
                <w:rFonts w:ascii="Times New Roman" w:eastAsia="Times New Roman" w:hAnsi="Times New Roman" w:cs="Times New Roman"/>
                <w:sz w:val="24"/>
                <w:szCs w:val="24"/>
              </w:rPr>
            </w:pPr>
            <w:r>
              <w:rPr>
                <w:sz w:val="24"/>
                <w:szCs w:val="24"/>
              </w:rPr>
              <w:t>Nav</w:t>
            </w:r>
          </w:p>
        </w:tc>
      </w:tr>
    </w:tbl>
    <w:p w14:paraId="3F289BB4" w14:textId="77777777" w:rsidR="006E56B8" w:rsidRDefault="006E56B8">
      <w:pPr>
        <w:tabs>
          <w:tab w:val="left" w:pos="5760"/>
        </w:tabs>
        <w:spacing w:after="0" w:line="240" w:lineRule="auto"/>
        <w:jc w:val="both"/>
        <w:rPr>
          <w:rFonts w:ascii="Times New Roman" w:eastAsia="Times New Roman" w:hAnsi="Times New Roman" w:cs="Times New Roman"/>
          <w:i/>
          <w:sz w:val="24"/>
          <w:szCs w:val="24"/>
        </w:rPr>
      </w:pPr>
    </w:p>
    <w:tbl>
      <w:tblPr>
        <w:tblStyle w:val="a1"/>
        <w:tblW w:w="9924" w:type="dxa"/>
        <w:tblInd w:w="-431" w:type="dxa"/>
        <w:tblLayout w:type="fixed"/>
        <w:tblLook w:val="0400" w:firstRow="0" w:lastRow="0" w:firstColumn="0" w:lastColumn="0" w:noHBand="0" w:noVBand="1"/>
      </w:tblPr>
      <w:tblGrid>
        <w:gridCol w:w="9924"/>
      </w:tblGrid>
      <w:tr w:rsidR="006E56B8" w14:paraId="1A1B8CFE" w14:textId="77777777">
        <w:tc>
          <w:tcPr>
            <w:tcW w:w="9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2F0C" w14:textId="77777777" w:rsidR="006E56B8" w:rsidRDefault="00114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Tiesību akta projekta ietekme uz sabiedrību tautsaimniecības attīstību un administratīvo slogu</w:t>
            </w:r>
          </w:p>
        </w:tc>
      </w:tr>
      <w:tr w:rsidR="006E56B8" w14:paraId="5318916D" w14:textId="77777777">
        <w:tc>
          <w:tcPr>
            <w:tcW w:w="9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CB781"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14:paraId="708FD9F6" w14:textId="77777777" w:rsidR="006E56B8" w:rsidRDefault="006E56B8">
      <w:pPr>
        <w:tabs>
          <w:tab w:val="left" w:pos="5760"/>
        </w:tabs>
        <w:spacing w:after="0" w:line="240" w:lineRule="auto"/>
        <w:jc w:val="both"/>
        <w:rPr>
          <w:rFonts w:ascii="Times New Roman" w:eastAsia="Times New Roman" w:hAnsi="Times New Roman" w:cs="Times New Roman"/>
          <w:i/>
          <w:sz w:val="24"/>
          <w:szCs w:val="24"/>
        </w:rPr>
      </w:pPr>
    </w:p>
    <w:tbl>
      <w:tblPr>
        <w:tblStyle w:val="a2"/>
        <w:tblW w:w="9969" w:type="dxa"/>
        <w:tblInd w:w="-396"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216"/>
        <w:gridCol w:w="1204"/>
        <w:gridCol w:w="1158"/>
        <w:gridCol w:w="1140"/>
        <w:gridCol w:w="1095"/>
        <w:gridCol w:w="1140"/>
        <w:gridCol w:w="1009"/>
        <w:gridCol w:w="1007"/>
      </w:tblGrid>
      <w:tr w:rsidR="006E56B8" w14:paraId="5D03AA7E" w14:textId="77777777">
        <w:tc>
          <w:tcPr>
            <w:tcW w:w="9969" w:type="dxa"/>
            <w:gridSpan w:val="8"/>
            <w:tcBorders>
              <w:top w:val="single" w:sz="6" w:space="0" w:color="414142"/>
              <w:left w:val="single" w:sz="6" w:space="0" w:color="414142"/>
              <w:bottom w:val="single" w:sz="6" w:space="0" w:color="414142"/>
              <w:right w:val="single" w:sz="6" w:space="0" w:color="414142"/>
            </w:tcBorders>
            <w:vAlign w:val="center"/>
          </w:tcPr>
          <w:p w14:paraId="59A9AAA0" w14:textId="77777777" w:rsidR="006E56B8" w:rsidRDefault="00114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Tiesību akta projekta ietekme uz valsts budžetu un pašvaldību budžetiem</w:t>
            </w:r>
          </w:p>
        </w:tc>
      </w:tr>
      <w:tr w:rsidR="006E56B8" w14:paraId="7C218153" w14:textId="77777777">
        <w:tc>
          <w:tcPr>
            <w:tcW w:w="2216" w:type="dxa"/>
            <w:vMerge w:val="restart"/>
            <w:tcBorders>
              <w:top w:val="single" w:sz="6" w:space="0" w:color="414142"/>
              <w:left w:val="single" w:sz="6" w:space="0" w:color="414142"/>
              <w:bottom w:val="single" w:sz="6" w:space="0" w:color="414142"/>
              <w:right w:val="single" w:sz="6" w:space="0" w:color="414142"/>
            </w:tcBorders>
            <w:vAlign w:val="center"/>
          </w:tcPr>
          <w:p w14:paraId="70B092F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Rādītāji</w:t>
            </w:r>
          </w:p>
        </w:tc>
        <w:tc>
          <w:tcPr>
            <w:tcW w:w="2362" w:type="dxa"/>
            <w:gridSpan w:val="2"/>
            <w:vMerge w:val="restart"/>
            <w:tcBorders>
              <w:top w:val="single" w:sz="6" w:space="0" w:color="414142"/>
              <w:left w:val="single" w:sz="6" w:space="0" w:color="414142"/>
              <w:bottom w:val="single" w:sz="6" w:space="0" w:color="414142"/>
              <w:right w:val="single" w:sz="6" w:space="0" w:color="414142"/>
            </w:tcBorders>
            <w:vAlign w:val="center"/>
          </w:tcPr>
          <w:p w14:paraId="4102FCD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2021.gads</w:t>
            </w:r>
          </w:p>
        </w:tc>
        <w:tc>
          <w:tcPr>
            <w:tcW w:w="5391" w:type="dxa"/>
            <w:gridSpan w:val="5"/>
            <w:tcBorders>
              <w:top w:val="single" w:sz="6" w:space="0" w:color="414142"/>
              <w:left w:val="single" w:sz="6" w:space="0" w:color="414142"/>
              <w:bottom w:val="single" w:sz="6" w:space="0" w:color="414142"/>
              <w:right w:val="single" w:sz="6" w:space="0" w:color="414142"/>
            </w:tcBorders>
            <w:vAlign w:val="center"/>
          </w:tcPr>
          <w:p w14:paraId="2AAAF90F"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Turpmākie trīs gadi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tc>
      </w:tr>
      <w:tr w:rsidR="006E56B8" w14:paraId="4CC5E9FE" w14:textId="77777777">
        <w:tc>
          <w:tcPr>
            <w:tcW w:w="2216" w:type="dxa"/>
            <w:vMerge/>
            <w:tcBorders>
              <w:top w:val="single" w:sz="6" w:space="0" w:color="414142"/>
              <w:left w:val="single" w:sz="6" w:space="0" w:color="414142"/>
              <w:bottom w:val="single" w:sz="6" w:space="0" w:color="414142"/>
              <w:right w:val="single" w:sz="6" w:space="0" w:color="414142"/>
            </w:tcBorders>
            <w:vAlign w:val="center"/>
          </w:tcPr>
          <w:p w14:paraId="2C6B34EE"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62" w:type="dxa"/>
            <w:gridSpan w:val="2"/>
            <w:vMerge/>
            <w:tcBorders>
              <w:top w:val="single" w:sz="6" w:space="0" w:color="414142"/>
              <w:left w:val="single" w:sz="6" w:space="0" w:color="414142"/>
              <w:bottom w:val="single" w:sz="6" w:space="0" w:color="414142"/>
              <w:right w:val="single" w:sz="6" w:space="0" w:color="414142"/>
            </w:tcBorders>
            <w:vAlign w:val="center"/>
          </w:tcPr>
          <w:p w14:paraId="27DA57F8"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35" w:type="dxa"/>
            <w:gridSpan w:val="2"/>
            <w:tcBorders>
              <w:top w:val="single" w:sz="6" w:space="0" w:color="414142"/>
              <w:left w:val="single" w:sz="6" w:space="0" w:color="414142"/>
              <w:bottom w:val="single" w:sz="6" w:space="0" w:color="414142"/>
              <w:right w:val="single" w:sz="6" w:space="0" w:color="414142"/>
            </w:tcBorders>
            <w:vAlign w:val="center"/>
          </w:tcPr>
          <w:p w14:paraId="7E6D7FD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2149" w:type="dxa"/>
            <w:gridSpan w:val="2"/>
            <w:tcBorders>
              <w:top w:val="single" w:sz="6" w:space="0" w:color="414142"/>
              <w:left w:val="single" w:sz="6" w:space="0" w:color="414142"/>
              <w:bottom w:val="single" w:sz="6" w:space="0" w:color="414142"/>
              <w:right w:val="single" w:sz="6" w:space="0" w:color="414142"/>
            </w:tcBorders>
            <w:vAlign w:val="center"/>
          </w:tcPr>
          <w:p w14:paraId="49CE1E2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007" w:type="dxa"/>
            <w:tcBorders>
              <w:top w:val="single" w:sz="6" w:space="0" w:color="414142"/>
              <w:left w:val="single" w:sz="6" w:space="0" w:color="414142"/>
              <w:bottom w:val="single" w:sz="6" w:space="0" w:color="414142"/>
              <w:right w:val="single" w:sz="6" w:space="0" w:color="414142"/>
            </w:tcBorders>
            <w:vAlign w:val="center"/>
          </w:tcPr>
          <w:p w14:paraId="036820F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r>
      <w:tr w:rsidR="006E56B8" w14:paraId="314218E3" w14:textId="77777777">
        <w:tc>
          <w:tcPr>
            <w:tcW w:w="2216" w:type="dxa"/>
            <w:vMerge/>
            <w:tcBorders>
              <w:top w:val="single" w:sz="6" w:space="0" w:color="414142"/>
              <w:left w:val="single" w:sz="6" w:space="0" w:color="414142"/>
              <w:bottom w:val="single" w:sz="6" w:space="0" w:color="414142"/>
              <w:right w:val="single" w:sz="6" w:space="0" w:color="414142"/>
            </w:tcBorders>
            <w:vAlign w:val="center"/>
          </w:tcPr>
          <w:p w14:paraId="5FAE8093"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04" w:type="dxa"/>
            <w:tcBorders>
              <w:top w:val="single" w:sz="6" w:space="0" w:color="414142"/>
              <w:left w:val="single" w:sz="6" w:space="0" w:color="414142"/>
              <w:bottom w:val="single" w:sz="6" w:space="0" w:color="414142"/>
              <w:right w:val="single" w:sz="6" w:space="0" w:color="414142"/>
            </w:tcBorders>
            <w:vAlign w:val="center"/>
          </w:tcPr>
          <w:p w14:paraId="4487764C"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valsts budžetu kārtējam gadam</w:t>
            </w:r>
          </w:p>
        </w:tc>
        <w:tc>
          <w:tcPr>
            <w:tcW w:w="1158" w:type="dxa"/>
            <w:tcBorders>
              <w:top w:val="single" w:sz="6" w:space="0" w:color="414142"/>
              <w:left w:val="single" w:sz="6" w:space="0" w:color="414142"/>
              <w:bottom w:val="single" w:sz="6" w:space="0" w:color="414142"/>
              <w:right w:val="single" w:sz="6" w:space="0" w:color="414142"/>
            </w:tcBorders>
            <w:vAlign w:val="center"/>
          </w:tcPr>
          <w:p w14:paraId="1BD214D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kārtējā gadā, salīdzinot ar valsts budžetu kārtējam gadam</w:t>
            </w:r>
          </w:p>
        </w:tc>
        <w:tc>
          <w:tcPr>
            <w:tcW w:w="1140" w:type="dxa"/>
            <w:tcBorders>
              <w:top w:val="single" w:sz="6" w:space="0" w:color="414142"/>
              <w:left w:val="single" w:sz="6" w:space="0" w:color="414142"/>
              <w:bottom w:val="single" w:sz="6" w:space="0" w:color="414142"/>
              <w:right w:val="single" w:sz="6" w:space="0" w:color="414142"/>
            </w:tcBorders>
            <w:vAlign w:val="center"/>
          </w:tcPr>
          <w:p w14:paraId="6576E7D4"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95" w:type="dxa"/>
            <w:tcBorders>
              <w:top w:val="single" w:sz="6" w:space="0" w:color="414142"/>
              <w:left w:val="single" w:sz="6" w:space="0" w:color="414142"/>
              <w:bottom w:val="single" w:sz="6" w:space="0" w:color="414142"/>
              <w:right w:val="single" w:sz="6" w:space="0" w:color="414142"/>
            </w:tcBorders>
            <w:vAlign w:val="center"/>
          </w:tcPr>
          <w:p w14:paraId="1DA89ACA"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2021. gadam</w:t>
            </w:r>
          </w:p>
        </w:tc>
        <w:tc>
          <w:tcPr>
            <w:tcW w:w="1140" w:type="dxa"/>
            <w:tcBorders>
              <w:top w:val="single" w:sz="6" w:space="0" w:color="414142"/>
              <w:left w:val="single" w:sz="6" w:space="0" w:color="414142"/>
              <w:bottom w:val="single" w:sz="6" w:space="0" w:color="414142"/>
              <w:right w:val="single" w:sz="6" w:space="0" w:color="414142"/>
            </w:tcBorders>
            <w:vAlign w:val="center"/>
          </w:tcPr>
          <w:p w14:paraId="68470B00"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09" w:type="dxa"/>
            <w:tcBorders>
              <w:top w:val="single" w:sz="6" w:space="0" w:color="414142"/>
              <w:left w:val="single" w:sz="6" w:space="0" w:color="414142"/>
              <w:bottom w:val="single" w:sz="6" w:space="0" w:color="414142"/>
              <w:right w:val="single" w:sz="6" w:space="0" w:color="414142"/>
            </w:tcBorders>
            <w:vAlign w:val="center"/>
          </w:tcPr>
          <w:p w14:paraId="087DF41E"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2022. gadam</w:t>
            </w:r>
          </w:p>
        </w:tc>
        <w:tc>
          <w:tcPr>
            <w:tcW w:w="1007" w:type="dxa"/>
            <w:tcBorders>
              <w:top w:val="single" w:sz="6" w:space="0" w:color="414142"/>
              <w:left w:val="single" w:sz="6" w:space="0" w:color="414142"/>
              <w:bottom w:val="single" w:sz="6" w:space="0" w:color="414142"/>
              <w:right w:val="single" w:sz="6" w:space="0" w:color="414142"/>
            </w:tcBorders>
            <w:vAlign w:val="center"/>
          </w:tcPr>
          <w:p w14:paraId="630AD2B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2022. gadam</w:t>
            </w:r>
          </w:p>
        </w:tc>
      </w:tr>
      <w:tr w:rsidR="006E56B8" w14:paraId="1C04B8CE" w14:textId="77777777">
        <w:tc>
          <w:tcPr>
            <w:tcW w:w="2216" w:type="dxa"/>
            <w:tcBorders>
              <w:top w:val="single" w:sz="6" w:space="0" w:color="414142"/>
              <w:left w:val="single" w:sz="6" w:space="0" w:color="414142"/>
              <w:bottom w:val="single" w:sz="6" w:space="0" w:color="414142"/>
              <w:right w:val="single" w:sz="6" w:space="0" w:color="414142"/>
            </w:tcBorders>
            <w:vAlign w:val="center"/>
          </w:tcPr>
          <w:p w14:paraId="4FC1799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04" w:type="dxa"/>
            <w:tcBorders>
              <w:top w:val="single" w:sz="6" w:space="0" w:color="414142"/>
              <w:left w:val="single" w:sz="6" w:space="0" w:color="414142"/>
              <w:bottom w:val="single" w:sz="6" w:space="0" w:color="414142"/>
              <w:right w:val="single" w:sz="6" w:space="0" w:color="414142"/>
            </w:tcBorders>
            <w:vAlign w:val="center"/>
          </w:tcPr>
          <w:p w14:paraId="4C63118A"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8" w:type="dxa"/>
            <w:tcBorders>
              <w:top w:val="single" w:sz="6" w:space="0" w:color="414142"/>
              <w:left w:val="single" w:sz="6" w:space="0" w:color="414142"/>
              <w:bottom w:val="single" w:sz="6" w:space="0" w:color="414142"/>
              <w:right w:val="single" w:sz="6" w:space="0" w:color="414142"/>
            </w:tcBorders>
            <w:vAlign w:val="center"/>
          </w:tcPr>
          <w:p w14:paraId="0FA4B9FF"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0" w:type="dxa"/>
            <w:tcBorders>
              <w:top w:val="single" w:sz="6" w:space="0" w:color="414142"/>
              <w:left w:val="single" w:sz="6" w:space="0" w:color="414142"/>
              <w:bottom w:val="single" w:sz="6" w:space="0" w:color="414142"/>
              <w:right w:val="single" w:sz="6" w:space="0" w:color="414142"/>
            </w:tcBorders>
            <w:vAlign w:val="center"/>
          </w:tcPr>
          <w:p w14:paraId="3D801D7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5" w:type="dxa"/>
            <w:tcBorders>
              <w:top w:val="single" w:sz="6" w:space="0" w:color="414142"/>
              <w:left w:val="single" w:sz="6" w:space="0" w:color="414142"/>
              <w:bottom w:val="single" w:sz="6" w:space="0" w:color="414142"/>
              <w:right w:val="single" w:sz="6" w:space="0" w:color="414142"/>
            </w:tcBorders>
            <w:vAlign w:val="center"/>
          </w:tcPr>
          <w:p w14:paraId="76F7300D"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40" w:type="dxa"/>
            <w:tcBorders>
              <w:top w:val="single" w:sz="6" w:space="0" w:color="414142"/>
              <w:left w:val="single" w:sz="6" w:space="0" w:color="414142"/>
              <w:bottom w:val="single" w:sz="6" w:space="0" w:color="414142"/>
              <w:right w:val="single" w:sz="6" w:space="0" w:color="414142"/>
            </w:tcBorders>
            <w:vAlign w:val="center"/>
          </w:tcPr>
          <w:p w14:paraId="03FB4A0E"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09" w:type="dxa"/>
            <w:tcBorders>
              <w:top w:val="single" w:sz="6" w:space="0" w:color="414142"/>
              <w:left w:val="single" w:sz="6" w:space="0" w:color="414142"/>
              <w:bottom w:val="single" w:sz="6" w:space="0" w:color="414142"/>
              <w:right w:val="single" w:sz="6" w:space="0" w:color="414142"/>
            </w:tcBorders>
            <w:vAlign w:val="center"/>
          </w:tcPr>
          <w:p w14:paraId="5A549AC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07" w:type="dxa"/>
            <w:tcBorders>
              <w:top w:val="single" w:sz="6" w:space="0" w:color="414142"/>
              <w:left w:val="single" w:sz="6" w:space="0" w:color="414142"/>
              <w:bottom w:val="single" w:sz="6" w:space="0" w:color="414142"/>
              <w:right w:val="single" w:sz="6" w:space="0" w:color="414142"/>
            </w:tcBorders>
            <w:vAlign w:val="center"/>
          </w:tcPr>
          <w:p w14:paraId="7AC2BE20"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E56B8" w14:paraId="1FC5A813" w14:textId="77777777">
        <w:tc>
          <w:tcPr>
            <w:tcW w:w="2216" w:type="dxa"/>
            <w:tcBorders>
              <w:top w:val="single" w:sz="6" w:space="0" w:color="414142"/>
              <w:left w:val="single" w:sz="6" w:space="0" w:color="414142"/>
              <w:bottom w:val="single" w:sz="6" w:space="0" w:color="414142"/>
              <w:right w:val="single" w:sz="6" w:space="0" w:color="414142"/>
            </w:tcBorders>
          </w:tcPr>
          <w:p w14:paraId="7C326EF4"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Budžeta ieņēmumi</w:t>
            </w:r>
          </w:p>
        </w:tc>
        <w:tc>
          <w:tcPr>
            <w:tcW w:w="1204" w:type="dxa"/>
            <w:tcBorders>
              <w:top w:val="single" w:sz="6" w:space="0" w:color="414142"/>
              <w:left w:val="single" w:sz="6" w:space="0" w:color="414142"/>
              <w:bottom w:val="single" w:sz="6" w:space="0" w:color="414142"/>
              <w:right w:val="single" w:sz="6" w:space="0" w:color="414142"/>
            </w:tcBorders>
            <w:vAlign w:val="center"/>
          </w:tcPr>
          <w:p w14:paraId="35D788B8"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193717254</w:t>
            </w:r>
          </w:p>
        </w:tc>
        <w:tc>
          <w:tcPr>
            <w:tcW w:w="1158" w:type="dxa"/>
            <w:tcBorders>
              <w:top w:val="single" w:sz="6" w:space="0" w:color="414142"/>
              <w:left w:val="single" w:sz="6" w:space="0" w:color="414142"/>
              <w:bottom w:val="single" w:sz="6" w:space="0" w:color="414142"/>
              <w:right w:val="single" w:sz="6" w:space="0" w:color="414142"/>
            </w:tcBorders>
            <w:vAlign w:val="center"/>
          </w:tcPr>
          <w:p w14:paraId="28A4BAE9"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-34480</w:t>
            </w:r>
          </w:p>
        </w:tc>
        <w:tc>
          <w:tcPr>
            <w:tcW w:w="1140" w:type="dxa"/>
            <w:tcBorders>
              <w:top w:val="single" w:sz="6" w:space="0" w:color="414142"/>
              <w:left w:val="single" w:sz="6" w:space="0" w:color="414142"/>
              <w:bottom w:val="single" w:sz="6" w:space="0" w:color="414142"/>
              <w:right w:val="single" w:sz="6" w:space="0" w:color="414142"/>
            </w:tcBorders>
            <w:vAlign w:val="center"/>
          </w:tcPr>
          <w:p w14:paraId="52A33BBC"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157115109</w:t>
            </w:r>
          </w:p>
        </w:tc>
        <w:tc>
          <w:tcPr>
            <w:tcW w:w="1095" w:type="dxa"/>
            <w:tcBorders>
              <w:top w:val="single" w:sz="6" w:space="0" w:color="414142"/>
              <w:left w:val="single" w:sz="6" w:space="0" w:color="414142"/>
              <w:bottom w:val="single" w:sz="6" w:space="0" w:color="414142"/>
              <w:right w:val="single" w:sz="6" w:space="0" w:color="414142"/>
            </w:tcBorders>
            <w:vAlign w:val="center"/>
          </w:tcPr>
          <w:p w14:paraId="5B3772E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793F554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143105655</w:t>
            </w:r>
          </w:p>
        </w:tc>
        <w:tc>
          <w:tcPr>
            <w:tcW w:w="1009" w:type="dxa"/>
            <w:tcBorders>
              <w:top w:val="single" w:sz="6" w:space="0" w:color="414142"/>
              <w:left w:val="single" w:sz="6" w:space="0" w:color="414142"/>
              <w:bottom w:val="single" w:sz="6" w:space="0" w:color="414142"/>
              <w:right w:val="single" w:sz="6" w:space="0" w:color="414142"/>
            </w:tcBorders>
            <w:vAlign w:val="center"/>
          </w:tcPr>
          <w:p w14:paraId="0DB6F3A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3EAD774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6BFF0A19" w14:textId="77777777">
        <w:tc>
          <w:tcPr>
            <w:tcW w:w="2216" w:type="dxa"/>
            <w:tcBorders>
              <w:top w:val="single" w:sz="6" w:space="0" w:color="414142"/>
              <w:left w:val="single" w:sz="6" w:space="0" w:color="414142"/>
              <w:bottom w:val="single" w:sz="6" w:space="0" w:color="414142"/>
              <w:right w:val="single" w:sz="6" w:space="0" w:color="414142"/>
            </w:tcBorders>
          </w:tcPr>
          <w:p w14:paraId="7CCDAD1A"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valsts pamatbudžets, tai skaitā ieņēmumi no maksas pakalpojumiem un citi pašu ieņēmumi</w:t>
            </w:r>
          </w:p>
        </w:tc>
        <w:tc>
          <w:tcPr>
            <w:tcW w:w="1204" w:type="dxa"/>
            <w:tcBorders>
              <w:top w:val="single" w:sz="6" w:space="0" w:color="414142"/>
              <w:left w:val="single" w:sz="6" w:space="0" w:color="414142"/>
              <w:bottom w:val="single" w:sz="6" w:space="0" w:color="414142"/>
              <w:right w:val="single" w:sz="6" w:space="0" w:color="414142"/>
            </w:tcBorders>
            <w:vAlign w:val="center"/>
          </w:tcPr>
          <w:p w14:paraId="7976B43B"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193717254</w:t>
            </w:r>
          </w:p>
        </w:tc>
        <w:tc>
          <w:tcPr>
            <w:tcW w:w="1158" w:type="dxa"/>
            <w:tcBorders>
              <w:top w:val="single" w:sz="6" w:space="0" w:color="414142"/>
              <w:left w:val="single" w:sz="6" w:space="0" w:color="414142"/>
              <w:bottom w:val="single" w:sz="6" w:space="0" w:color="414142"/>
              <w:right w:val="single" w:sz="6" w:space="0" w:color="414142"/>
            </w:tcBorders>
            <w:vAlign w:val="center"/>
          </w:tcPr>
          <w:p w14:paraId="59ED29F4"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-34480</w:t>
            </w:r>
          </w:p>
        </w:tc>
        <w:tc>
          <w:tcPr>
            <w:tcW w:w="1140" w:type="dxa"/>
            <w:tcBorders>
              <w:top w:val="single" w:sz="6" w:space="0" w:color="414142"/>
              <w:left w:val="single" w:sz="6" w:space="0" w:color="414142"/>
              <w:bottom w:val="single" w:sz="6" w:space="0" w:color="414142"/>
              <w:right w:val="single" w:sz="6" w:space="0" w:color="414142"/>
            </w:tcBorders>
            <w:vAlign w:val="center"/>
          </w:tcPr>
          <w:p w14:paraId="7A6F4C7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157115109</w:t>
            </w:r>
          </w:p>
        </w:tc>
        <w:tc>
          <w:tcPr>
            <w:tcW w:w="1095" w:type="dxa"/>
            <w:tcBorders>
              <w:top w:val="single" w:sz="6" w:space="0" w:color="414142"/>
              <w:left w:val="single" w:sz="6" w:space="0" w:color="414142"/>
              <w:bottom w:val="single" w:sz="6" w:space="0" w:color="414142"/>
              <w:right w:val="single" w:sz="6" w:space="0" w:color="414142"/>
            </w:tcBorders>
            <w:vAlign w:val="center"/>
          </w:tcPr>
          <w:p w14:paraId="1AD5F88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1DAC37F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143105655</w:t>
            </w:r>
          </w:p>
        </w:tc>
        <w:tc>
          <w:tcPr>
            <w:tcW w:w="1009" w:type="dxa"/>
            <w:tcBorders>
              <w:top w:val="single" w:sz="6" w:space="0" w:color="414142"/>
              <w:left w:val="single" w:sz="6" w:space="0" w:color="414142"/>
              <w:bottom w:val="single" w:sz="6" w:space="0" w:color="414142"/>
              <w:right w:val="single" w:sz="6" w:space="0" w:color="414142"/>
            </w:tcBorders>
            <w:vAlign w:val="center"/>
          </w:tcPr>
          <w:p w14:paraId="72EC18A1"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6679DC2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03E01F6A" w14:textId="77777777">
        <w:tc>
          <w:tcPr>
            <w:tcW w:w="2216" w:type="dxa"/>
            <w:tcBorders>
              <w:top w:val="single" w:sz="6" w:space="0" w:color="414142"/>
              <w:left w:val="single" w:sz="6" w:space="0" w:color="414142"/>
              <w:bottom w:val="single" w:sz="6" w:space="0" w:color="414142"/>
              <w:right w:val="single" w:sz="6" w:space="0" w:color="414142"/>
            </w:tcBorders>
          </w:tcPr>
          <w:p w14:paraId="323343B0"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valsts speciālais budžets</w:t>
            </w:r>
          </w:p>
        </w:tc>
        <w:tc>
          <w:tcPr>
            <w:tcW w:w="1204" w:type="dxa"/>
            <w:tcBorders>
              <w:top w:val="single" w:sz="6" w:space="0" w:color="414142"/>
              <w:left w:val="single" w:sz="6" w:space="0" w:color="414142"/>
              <w:bottom w:val="single" w:sz="6" w:space="0" w:color="414142"/>
              <w:right w:val="single" w:sz="6" w:space="0" w:color="414142"/>
            </w:tcBorders>
            <w:vAlign w:val="center"/>
          </w:tcPr>
          <w:p w14:paraId="73B8924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8" w:type="dxa"/>
            <w:tcBorders>
              <w:top w:val="single" w:sz="6" w:space="0" w:color="414142"/>
              <w:left w:val="single" w:sz="6" w:space="0" w:color="414142"/>
              <w:bottom w:val="single" w:sz="6" w:space="0" w:color="414142"/>
              <w:right w:val="single" w:sz="6" w:space="0" w:color="414142"/>
            </w:tcBorders>
            <w:vAlign w:val="center"/>
          </w:tcPr>
          <w:p w14:paraId="0AD07162"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799A6A14"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Borders>
              <w:top w:val="single" w:sz="6" w:space="0" w:color="414142"/>
              <w:left w:val="single" w:sz="6" w:space="0" w:color="414142"/>
              <w:bottom w:val="single" w:sz="6" w:space="0" w:color="414142"/>
              <w:right w:val="single" w:sz="6" w:space="0" w:color="414142"/>
            </w:tcBorders>
            <w:vAlign w:val="center"/>
          </w:tcPr>
          <w:p w14:paraId="33E48B4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61C0397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9" w:type="dxa"/>
            <w:tcBorders>
              <w:top w:val="single" w:sz="6" w:space="0" w:color="414142"/>
              <w:left w:val="single" w:sz="6" w:space="0" w:color="414142"/>
              <w:bottom w:val="single" w:sz="6" w:space="0" w:color="414142"/>
              <w:right w:val="single" w:sz="6" w:space="0" w:color="414142"/>
            </w:tcBorders>
            <w:vAlign w:val="center"/>
          </w:tcPr>
          <w:p w14:paraId="2669BB8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414B614A"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62BC4168" w14:textId="77777777">
        <w:tc>
          <w:tcPr>
            <w:tcW w:w="2216" w:type="dxa"/>
            <w:tcBorders>
              <w:top w:val="single" w:sz="6" w:space="0" w:color="414142"/>
              <w:left w:val="single" w:sz="6" w:space="0" w:color="414142"/>
              <w:bottom w:val="single" w:sz="6" w:space="0" w:color="414142"/>
              <w:right w:val="single" w:sz="6" w:space="0" w:color="414142"/>
            </w:tcBorders>
          </w:tcPr>
          <w:p w14:paraId="4821DC94"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pašvaldību budžets</w:t>
            </w:r>
          </w:p>
        </w:tc>
        <w:tc>
          <w:tcPr>
            <w:tcW w:w="1204" w:type="dxa"/>
            <w:tcBorders>
              <w:top w:val="single" w:sz="6" w:space="0" w:color="414142"/>
              <w:left w:val="single" w:sz="6" w:space="0" w:color="414142"/>
              <w:bottom w:val="single" w:sz="6" w:space="0" w:color="414142"/>
              <w:right w:val="single" w:sz="6" w:space="0" w:color="414142"/>
            </w:tcBorders>
            <w:vAlign w:val="center"/>
          </w:tcPr>
          <w:p w14:paraId="5618070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8" w:type="dxa"/>
            <w:tcBorders>
              <w:top w:val="single" w:sz="6" w:space="0" w:color="414142"/>
              <w:left w:val="single" w:sz="6" w:space="0" w:color="414142"/>
              <w:bottom w:val="single" w:sz="6" w:space="0" w:color="414142"/>
              <w:right w:val="single" w:sz="6" w:space="0" w:color="414142"/>
            </w:tcBorders>
            <w:vAlign w:val="center"/>
          </w:tcPr>
          <w:p w14:paraId="72D1D17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765E6240"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Borders>
              <w:top w:val="single" w:sz="6" w:space="0" w:color="414142"/>
              <w:left w:val="single" w:sz="6" w:space="0" w:color="414142"/>
              <w:bottom w:val="single" w:sz="6" w:space="0" w:color="414142"/>
              <w:right w:val="single" w:sz="6" w:space="0" w:color="414142"/>
            </w:tcBorders>
            <w:vAlign w:val="center"/>
          </w:tcPr>
          <w:p w14:paraId="1DEC3A25"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0A7F71E4"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9" w:type="dxa"/>
            <w:tcBorders>
              <w:top w:val="single" w:sz="6" w:space="0" w:color="414142"/>
              <w:left w:val="single" w:sz="6" w:space="0" w:color="414142"/>
              <w:bottom w:val="single" w:sz="6" w:space="0" w:color="414142"/>
              <w:right w:val="single" w:sz="6" w:space="0" w:color="414142"/>
            </w:tcBorders>
            <w:vAlign w:val="center"/>
          </w:tcPr>
          <w:p w14:paraId="5640E02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11E3944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60505A65" w14:textId="77777777">
        <w:tc>
          <w:tcPr>
            <w:tcW w:w="2216" w:type="dxa"/>
            <w:tcBorders>
              <w:top w:val="single" w:sz="6" w:space="0" w:color="414142"/>
              <w:left w:val="single" w:sz="6" w:space="0" w:color="414142"/>
              <w:bottom w:val="single" w:sz="6" w:space="0" w:color="414142"/>
              <w:right w:val="single" w:sz="6" w:space="0" w:color="414142"/>
            </w:tcBorders>
          </w:tcPr>
          <w:p w14:paraId="6B2615E9"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Budžeta izdevumi</w:t>
            </w:r>
          </w:p>
        </w:tc>
        <w:tc>
          <w:tcPr>
            <w:tcW w:w="1204" w:type="dxa"/>
            <w:tcBorders>
              <w:top w:val="single" w:sz="6" w:space="0" w:color="414142"/>
              <w:left w:val="single" w:sz="6" w:space="0" w:color="414142"/>
              <w:bottom w:val="single" w:sz="6" w:space="0" w:color="414142"/>
              <w:right w:val="single" w:sz="6" w:space="0" w:color="414142"/>
            </w:tcBorders>
            <w:vAlign w:val="center"/>
          </w:tcPr>
          <w:p w14:paraId="2F23716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8" w:type="dxa"/>
            <w:tcBorders>
              <w:top w:val="single" w:sz="6" w:space="0" w:color="414142"/>
              <w:left w:val="single" w:sz="6" w:space="0" w:color="414142"/>
              <w:bottom w:val="single" w:sz="6" w:space="0" w:color="414142"/>
              <w:right w:val="single" w:sz="6" w:space="0" w:color="414142"/>
            </w:tcBorders>
            <w:vAlign w:val="center"/>
          </w:tcPr>
          <w:p w14:paraId="7DC2234D"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1BD14B9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Borders>
              <w:top w:val="single" w:sz="6" w:space="0" w:color="414142"/>
              <w:left w:val="single" w:sz="6" w:space="0" w:color="414142"/>
              <w:bottom w:val="single" w:sz="6" w:space="0" w:color="414142"/>
              <w:right w:val="single" w:sz="6" w:space="0" w:color="414142"/>
            </w:tcBorders>
            <w:vAlign w:val="center"/>
          </w:tcPr>
          <w:p w14:paraId="474DBB31"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0C1330C1"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9" w:type="dxa"/>
            <w:tcBorders>
              <w:top w:val="single" w:sz="6" w:space="0" w:color="414142"/>
              <w:left w:val="single" w:sz="6" w:space="0" w:color="414142"/>
              <w:bottom w:val="single" w:sz="6" w:space="0" w:color="414142"/>
              <w:right w:val="single" w:sz="6" w:space="0" w:color="414142"/>
            </w:tcBorders>
            <w:vAlign w:val="center"/>
          </w:tcPr>
          <w:p w14:paraId="57420972"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1B713022"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243B4D2A" w14:textId="77777777">
        <w:tc>
          <w:tcPr>
            <w:tcW w:w="2216" w:type="dxa"/>
            <w:tcBorders>
              <w:top w:val="single" w:sz="6" w:space="0" w:color="414142"/>
              <w:left w:val="single" w:sz="6" w:space="0" w:color="414142"/>
              <w:bottom w:val="single" w:sz="6" w:space="0" w:color="414142"/>
              <w:right w:val="single" w:sz="6" w:space="0" w:color="414142"/>
            </w:tcBorders>
          </w:tcPr>
          <w:p w14:paraId="05A8D0ED"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valsts pamatbudžets</w:t>
            </w:r>
          </w:p>
        </w:tc>
        <w:tc>
          <w:tcPr>
            <w:tcW w:w="1204" w:type="dxa"/>
            <w:tcBorders>
              <w:top w:val="single" w:sz="6" w:space="0" w:color="414142"/>
              <w:left w:val="single" w:sz="6" w:space="0" w:color="414142"/>
              <w:bottom w:val="single" w:sz="6" w:space="0" w:color="414142"/>
              <w:right w:val="single" w:sz="6" w:space="0" w:color="414142"/>
            </w:tcBorders>
            <w:vAlign w:val="center"/>
          </w:tcPr>
          <w:p w14:paraId="3863CDB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8" w:type="dxa"/>
            <w:tcBorders>
              <w:top w:val="single" w:sz="6" w:space="0" w:color="414142"/>
              <w:left w:val="single" w:sz="6" w:space="0" w:color="414142"/>
              <w:bottom w:val="single" w:sz="6" w:space="0" w:color="414142"/>
              <w:right w:val="single" w:sz="6" w:space="0" w:color="414142"/>
            </w:tcBorders>
            <w:vAlign w:val="center"/>
          </w:tcPr>
          <w:p w14:paraId="67D7D97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5EBEB15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Borders>
              <w:top w:val="single" w:sz="6" w:space="0" w:color="414142"/>
              <w:left w:val="single" w:sz="6" w:space="0" w:color="414142"/>
              <w:bottom w:val="single" w:sz="6" w:space="0" w:color="414142"/>
              <w:right w:val="single" w:sz="6" w:space="0" w:color="414142"/>
            </w:tcBorders>
            <w:vAlign w:val="center"/>
          </w:tcPr>
          <w:p w14:paraId="54A5AA1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727B5EF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9" w:type="dxa"/>
            <w:tcBorders>
              <w:top w:val="single" w:sz="6" w:space="0" w:color="414142"/>
              <w:left w:val="single" w:sz="6" w:space="0" w:color="414142"/>
              <w:bottom w:val="single" w:sz="6" w:space="0" w:color="414142"/>
              <w:right w:val="single" w:sz="6" w:space="0" w:color="414142"/>
            </w:tcBorders>
            <w:vAlign w:val="center"/>
          </w:tcPr>
          <w:p w14:paraId="01F71A6D"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7FBD824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10E1EBEF" w14:textId="77777777">
        <w:tc>
          <w:tcPr>
            <w:tcW w:w="2216" w:type="dxa"/>
            <w:tcBorders>
              <w:top w:val="single" w:sz="6" w:space="0" w:color="414142"/>
              <w:left w:val="single" w:sz="6" w:space="0" w:color="414142"/>
              <w:bottom w:val="single" w:sz="6" w:space="0" w:color="414142"/>
              <w:right w:val="single" w:sz="6" w:space="0" w:color="414142"/>
            </w:tcBorders>
          </w:tcPr>
          <w:p w14:paraId="120C0260"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valsts speciālais budžets</w:t>
            </w:r>
          </w:p>
        </w:tc>
        <w:tc>
          <w:tcPr>
            <w:tcW w:w="1204" w:type="dxa"/>
            <w:tcBorders>
              <w:top w:val="single" w:sz="6" w:space="0" w:color="414142"/>
              <w:left w:val="single" w:sz="6" w:space="0" w:color="414142"/>
              <w:bottom w:val="single" w:sz="6" w:space="0" w:color="414142"/>
              <w:right w:val="single" w:sz="6" w:space="0" w:color="414142"/>
            </w:tcBorders>
            <w:vAlign w:val="center"/>
          </w:tcPr>
          <w:p w14:paraId="71C3E69A"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8" w:type="dxa"/>
            <w:tcBorders>
              <w:top w:val="single" w:sz="6" w:space="0" w:color="414142"/>
              <w:left w:val="single" w:sz="6" w:space="0" w:color="414142"/>
              <w:bottom w:val="single" w:sz="6" w:space="0" w:color="414142"/>
              <w:right w:val="single" w:sz="6" w:space="0" w:color="414142"/>
            </w:tcBorders>
            <w:vAlign w:val="center"/>
          </w:tcPr>
          <w:p w14:paraId="037297F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5E3C6F2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Borders>
              <w:top w:val="single" w:sz="6" w:space="0" w:color="414142"/>
              <w:left w:val="single" w:sz="6" w:space="0" w:color="414142"/>
              <w:bottom w:val="single" w:sz="6" w:space="0" w:color="414142"/>
              <w:right w:val="single" w:sz="6" w:space="0" w:color="414142"/>
            </w:tcBorders>
            <w:vAlign w:val="center"/>
          </w:tcPr>
          <w:p w14:paraId="4F80897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1125E4A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9" w:type="dxa"/>
            <w:tcBorders>
              <w:top w:val="single" w:sz="6" w:space="0" w:color="414142"/>
              <w:left w:val="single" w:sz="6" w:space="0" w:color="414142"/>
              <w:bottom w:val="single" w:sz="6" w:space="0" w:color="414142"/>
              <w:right w:val="single" w:sz="6" w:space="0" w:color="414142"/>
            </w:tcBorders>
            <w:vAlign w:val="center"/>
          </w:tcPr>
          <w:p w14:paraId="75C1DFBD"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29B1464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0B3BC4AF" w14:textId="77777777">
        <w:tc>
          <w:tcPr>
            <w:tcW w:w="2216" w:type="dxa"/>
            <w:tcBorders>
              <w:top w:val="single" w:sz="6" w:space="0" w:color="414142"/>
              <w:left w:val="single" w:sz="6" w:space="0" w:color="414142"/>
              <w:bottom w:val="single" w:sz="6" w:space="0" w:color="414142"/>
              <w:right w:val="single" w:sz="6" w:space="0" w:color="414142"/>
            </w:tcBorders>
          </w:tcPr>
          <w:p w14:paraId="4624F702"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pašvaldību budžets</w:t>
            </w:r>
          </w:p>
        </w:tc>
        <w:tc>
          <w:tcPr>
            <w:tcW w:w="1204" w:type="dxa"/>
            <w:tcBorders>
              <w:top w:val="single" w:sz="6" w:space="0" w:color="414142"/>
              <w:left w:val="single" w:sz="6" w:space="0" w:color="414142"/>
              <w:bottom w:val="single" w:sz="6" w:space="0" w:color="414142"/>
              <w:right w:val="single" w:sz="6" w:space="0" w:color="414142"/>
            </w:tcBorders>
            <w:vAlign w:val="center"/>
          </w:tcPr>
          <w:p w14:paraId="1324D0A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8" w:type="dxa"/>
            <w:tcBorders>
              <w:top w:val="single" w:sz="6" w:space="0" w:color="414142"/>
              <w:left w:val="single" w:sz="6" w:space="0" w:color="414142"/>
              <w:bottom w:val="single" w:sz="6" w:space="0" w:color="414142"/>
              <w:right w:val="single" w:sz="6" w:space="0" w:color="414142"/>
            </w:tcBorders>
            <w:vAlign w:val="center"/>
          </w:tcPr>
          <w:p w14:paraId="0664A694"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5E57396E"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Borders>
              <w:top w:val="single" w:sz="6" w:space="0" w:color="414142"/>
              <w:left w:val="single" w:sz="6" w:space="0" w:color="414142"/>
              <w:bottom w:val="single" w:sz="6" w:space="0" w:color="414142"/>
              <w:right w:val="single" w:sz="6" w:space="0" w:color="414142"/>
            </w:tcBorders>
            <w:vAlign w:val="center"/>
          </w:tcPr>
          <w:p w14:paraId="53431D9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50D3ABAF"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9" w:type="dxa"/>
            <w:tcBorders>
              <w:top w:val="single" w:sz="6" w:space="0" w:color="414142"/>
              <w:left w:val="single" w:sz="6" w:space="0" w:color="414142"/>
              <w:bottom w:val="single" w:sz="6" w:space="0" w:color="414142"/>
              <w:right w:val="single" w:sz="6" w:space="0" w:color="414142"/>
            </w:tcBorders>
            <w:vAlign w:val="center"/>
          </w:tcPr>
          <w:p w14:paraId="636E336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15B63C80"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75CF56DE" w14:textId="77777777">
        <w:tc>
          <w:tcPr>
            <w:tcW w:w="2216" w:type="dxa"/>
            <w:tcBorders>
              <w:top w:val="single" w:sz="6" w:space="0" w:color="414142"/>
              <w:left w:val="single" w:sz="6" w:space="0" w:color="414142"/>
              <w:bottom w:val="single" w:sz="6" w:space="0" w:color="414142"/>
              <w:right w:val="single" w:sz="6" w:space="0" w:color="414142"/>
            </w:tcBorders>
          </w:tcPr>
          <w:p w14:paraId="0EF51A4F"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Finansiālā ietekme</w:t>
            </w:r>
          </w:p>
        </w:tc>
        <w:tc>
          <w:tcPr>
            <w:tcW w:w="1204" w:type="dxa"/>
            <w:tcBorders>
              <w:top w:val="single" w:sz="6" w:space="0" w:color="414142"/>
              <w:left w:val="single" w:sz="6" w:space="0" w:color="414142"/>
              <w:bottom w:val="single" w:sz="6" w:space="0" w:color="414142"/>
              <w:right w:val="single" w:sz="6" w:space="0" w:color="414142"/>
            </w:tcBorders>
            <w:vAlign w:val="center"/>
          </w:tcPr>
          <w:p w14:paraId="6BFF0D0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193717254</w:t>
            </w:r>
          </w:p>
        </w:tc>
        <w:tc>
          <w:tcPr>
            <w:tcW w:w="1158" w:type="dxa"/>
            <w:tcBorders>
              <w:top w:val="single" w:sz="6" w:space="0" w:color="414142"/>
              <w:left w:val="single" w:sz="6" w:space="0" w:color="414142"/>
              <w:bottom w:val="single" w:sz="6" w:space="0" w:color="414142"/>
              <w:right w:val="single" w:sz="6" w:space="0" w:color="414142"/>
            </w:tcBorders>
            <w:vAlign w:val="center"/>
          </w:tcPr>
          <w:p w14:paraId="32A3DEEC"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-34480</w:t>
            </w:r>
          </w:p>
        </w:tc>
        <w:tc>
          <w:tcPr>
            <w:tcW w:w="1140" w:type="dxa"/>
            <w:tcBorders>
              <w:top w:val="single" w:sz="6" w:space="0" w:color="414142"/>
              <w:left w:val="single" w:sz="6" w:space="0" w:color="414142"/>
              <w:bottom w:val="single" w:sz="6" w:space="0" w:color="414142"/>
              <w:right w:val="single" w:sz="6" w:space="0" w:color="414142"/>
            </w:tcBorders>
            <w:vAlign w:val="center"/>
          </w:tcPr>
          <w:p w14:paraId="53ABD6AE"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157115109</w:t>
            </w:r>
          </w:p>
        </w:tc>
        <w:tc>
          <w:tcPr>
            <w:tcW w:w="1095" w:type="dxa"/>
            <w:tcBorders>
              <w:top w:val="single" w:sz="6" w:space="0" w:color="414142"/>
              <w:left w:val="single" w:sz="6" w:space="0" w:color="414142"/>
              <w:bottom w:val="single" w:sz="6" w:space="0" w:color="414142"/>
              <w:right w:val="single" w:sz="6" w:space="0" w:color="414142"/>
            </w:tcBorders>
            <w:vAlign w:val="center"/>
          </w:tcPr>
          <w:p w14:paraId="0257ADFA"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78B9FE5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143105655</w:t>
            </w:r>
          </w:p>
        </w:tc>
        <w:tc>
          <w:tcPr>
            <w:tcW w:w="1009" w:type="dxa"/>
            <w:tcBorders>
              <w:top w:val="single" w:sz="6" w:space="0" w:color="414142"/>
              <w:left w:val="single" w:sz="6" w:space="0" w:color="414142"/>
              <w:bottom w:val="single" w:sz="6" w:space="0" w:color="414142"/>
              <w:right w:val="single" w:sz="6" w:space="0" w:color="414142"/>
            </w:tcBorders>
            <w:vAlign w:val="center"/>
          </w:tcPr>
          <w:p w14:paraId="125F94D2"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77DD09D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026FFC42" w14:textId="77777777">
        <w:tc>
          <w:tcPr>
            <w:tcW w:w="2216" w:type="dxa"/>
            <w:tcBorders>
              <w:top w:val="single" w:sz="6" w:space="0" w:color="414142"/>
              <w:left w:val="single" w:sz="6" w:space="0" w:color="414142"/>
              <w:bottom w:val="single" w:sz="6" w:space="0" w:color="414142"/>
              <w:right w:val="single" w:sz="6" w:space="0" w:color="414142"/>
            </w:tcBorders>
          </w:tcPr>
          <w:p w14:paraId="2E4473DE"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valsts pamatbudžets</w:t>
            </w:r>
          </w:p>
        </w:tc>
        <w:tc>
          <w:tcPr>
            <w:tcW w:w="1204" w:type="dxa"/>
            <w:tcBorders>
              <w:top w:val="single" w:sz="6" w:space="0" w:color="414142"/>
              <w:left w:val="single" w:sz="6" w:space="0" w:color="414142"/>
              <w:bottom w:val="single" w:sz="6" w:space="0" w:color="414142"/>
              <w:right w:val="single" w:sz="6" w:space="0" w:color="414142"/>
            </w:tcBorders>
            <w:vAlign w:val="center"/>
          </w:tcPr>
          <w:p w14:paraId="131DD0CF"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193717254</w:t>
            </w:r>
          </w:p>
        </w:tc>
        <w:tc>
          <w:tcPr>
            <w:tcW w:w="1158" w:type="dxa"/>
            <w:tcBorders>
              <w:top w:val="single" w:sz="6" w:space="0" w:color="414142"/>
              <w:left w:val="single" w:sz="6" w:space="0" w:color="414142"/>
              <w:bottom w:val="single" w:sz="6" w:space="0" w:color="414142"/>
              <w:right w:val="single" w:sz="6" w:space="0" w:color="414142"/>
            </w:tcBorders>
            <w:vAlign w:val="center"/>
          </w:tcPr>
          <w:p w14:paraId="79E061C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-34480</w:t>
            </w:r>
          </w:p>
        </w:tc>
        <w:tc>
          <w:tcPr>
            <w:tcW w:w="1140" w:type="dxa"/>
            <w:tcBorders>
              <w:top w:val="single" w:sz="6" w:space="0" w:color="414142"/>
              <w:left w:val="single" w:sz="6" w:space="0" w:color="414142"/>
              <w:bottom w:val="single" w:sz="6" w:space="0" w:color="414142"/>
              <w:right w:val="single" w:sz="6" w:space="0" w:color="414142"/>
            </w:tcBorders>
            <w:vAlign w:val="center"/>
          </w:tcPr>
          <w:p w14:paraId="3013DB32"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157115109</w:t>
            </w:r>
          </w:p>
        </w:tc>
        <w:tc>
          <w:tcPr>
            <w:tcW w:w="1095" w:type="dxa"/>
            <w:tcBorders>
              <w:top w:val="single" w:sz="6" w:space="0" w:color="414142"/>
              <w:left w:val="single" w:sz="6" w:space="0" w:color="414142"/>
              <w:bottom w:val="single" w:sz="6" w:space="0" w:color="414142"/>
              <w:right w:val="single" w:sz="6" w:space="0" w:color="414142"/>
            </w:tcBorders>
            <w:vAlign w:val="center"/>
          </w:tcPr>
          <w:p w14:paraId="04CCE72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43CCA2C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143105655</w:t>
            </w:r>
          </w:p>
        </w:tc>
        <w:tc>
          <w:tcPr>
            <w:tcW w:w="1009" w:type="dxa"/>
            <w:tcBorders>
              <w:top w:val="single" w:sz="6" w:space="0" w:color="414142"/>
              <w:left w:val="single" w:sz="6" w:space="0" w:color="414142"/>
              <w:bottom w:val="single" w:sz="6" w:space="0" w:color="414142"/>
              <w:right w:val="single" w:sz="6" w:space="0" w:color="414142"/>
            </w:tcBorders>
            <w:vAlign w:val="center"/>
          </w:tcPr>
          <w:p w14:paraId="1C8D7D71"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7B12270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35FF18AE" w14:textId="77777777">
        <w:tc>
          <w:tcPr>
            <w:tcW w:w="2216" w:type="dxa"/>
            <w:tcBorders>
              <w:top w:val="single" w:sz="6" w:space="0" w:color="414142"/>
              <w:left w:val="single" w:sz="6" w:space="0" w:color="414142"/>
              <w:bottom w:val="single" w:sz="6" w:space="0" w:color="414142"/>
              <w:right w:val="single" w:sz="6" w:space="0" w:color="414142"/>
            </w:tcBorders>
          </w:tcPr>
          <w:p w14:paraId="1D2D12D2"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speciālais budžets</w:t>
            </w:r>
          </w:p>
        </w:tc>
        <w:tc>
          <w:tcPr>
            <w:tcW w:w="1204" w:type="dxa"/>
            <w:tcBorders>
              <w:top w:val="single" w:sz="6" w:space="0" w:color="414142"/>
              <w:left w:val="single" w:sz="6" w:space="0" w:color="414142"/>
              <w:bottom w:val="single" w:sz="6" w:space="0" w:color="414142"/>
              <w:right w:val="single" w:sz="6" w:space="0" w:color="414142"/>
            </w:tcBorders>
            <w:vAlign w:val="center"/>
          </w:tcPr>
          <w:p w14:paraId="6537C78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8" w:type="dxa"/>
            <w:tcBorders>
              <w:top w:val="single" w:sz="6" w:space="0" w:color="414142"/>
              <w:left w:val="single" w:sz="6" w:space="0" w:color="414142"/>
              <w:bottom w:val="single" w:sz="6" w:space="0" w:color="414142"/>
              <w:right w:val="single" w:sz="6" w:space="0" w:color="414142"/>
            </w:tcBorders>
            <w:vAlign w:val="center"/>
          </w:tcPr>
          <w:p w14:paraId="27EE4A3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7BA27825"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Borders>
              <w:top w:val="single" w:sz="6" w:space="0" w:color="414142"/>
              <w:left w:val="single" w:sz="6" w:space="0" w:color="414142"/>
              <w:bottom w:val="single" w:sz="6" w:space="0" w:color="414142"/>
              <w:right w:val="single" w:sz="6" w:space="0" w:color="414142"/>
            </w:tcBorders>
            <w:vAlign w:val="center"/>
          </w:tcPr>
          <w:p w14:paraId="22E824E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3EDD206A"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9" w:type="dxa"/>
            <w:tcBorders>
              <w:top w:val="single" w:sz="6" w:space="0" w:color="414142"/>
              <w:left w:val="single" w:sz="6" w:space="0" w:color="414142"/>
              <w:bottom w:val="single" w:sz="6" w:space="0" w:color="414142"/>
              <w:right w:val="single" w:sz="6" w:space="0" w:color="414142"/>
            </w:tcBorders>
            <w:vAlign w:val="center"/>
          </w:tcPr>
          <w:p w14:paraId="44316291"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359F2945"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12F7287B" w14:textId="77777777">
        <w:tc>
          <w:tcPr>
            <w:tcW w:w="2216" w:type="dxa"/>
            <w:tcBorders>
              <w:top w:val="single" w:sz="6" w:space="0" w:color="414142"/>
              <w:left w:val="single" w:sz="6" w:space="0" w:color="414142"/>
              <w:bottom w:val="single" w:sz="6" w:space="0" w:color="414142"/>
              <w:right w:val="single" w:sz="6" w:space="0" w:color="414142"/>
            </w:tcBorders>
          </w:tcPr>
          <w:p w14:paraId="1662922C"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pašvaldību budžets</w:t>
            </w:r>
          </w:p>
        </w:tc>
        <w:tc>
          <w:tcPr>
            <w:tcW w:w="1204" w:type="dxa"/>
            <w:tcBorders>
              <w:top w:val="single" w:sz="6" w:space="0" w:color="414142"/>
              <w:left w:val="single" w:sz="6" w:space="0" w:color="414142"/>
              <w:bottom w:val="single" w:sz="6" w:space="0" w:color="414142"/>
              <w:right w:val="single" w:sz="6" w:space="0" w:color="414142"/>
            </w:tcBorders>
            <w:vAlign w:val="center"/>
          </w:tcPr>
          <w:p w14:paraId="5E8E55FC"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8" w:type="dxa"/>
            <w:tcBorders>
              <w:top w:val="single" w:sz="6" w:space="0" w:color="414142"/>
              <w:left w:val="single" w:sz="6" w:space="0" w:color="414142"/>
              <w:bottom w:val="single" w:sz="6" w:space="0" w:color="414142"/>
              <w:right w:val="single" w:sz="6" w:space="0" w:color="414142"/>
            </w:tcBorders>
            <w:vAlign w:val="center"/>
          </w:tcPr>
          <w:p w14:paraId="158580A3"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3DA4A9C2"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Borders>
              <w:top w:val="single" w:sz="6" w:space="0" w:color="414142"/>
              <w:left w:val="single" w:sz="6" w:space="0" w:color="414142"/>
              <w:bottom w:val="single" w:sz="6" w:space="0" w:color="414142"/>
              <w:right w:val="single" w:sz="6" w:space="0" w:color="414142"/>
            </w:tcBorders>
            <w:vAlign w:val="center"/>
          </w:tcPr>
          <w:p w14:paraId="71114852"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3F10719E"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9" w:type="dxa"/>
            <w:tcBorders>
              <w:top w:val="single" w:sz="6" w:space="0" w:color="414142"/>
              <w:left w:val="single" w:sz="6" w:space="0" w:color="414142"/>
              <w:bottom w:val="single" w:sz="6" w:space="0" w:color="414142"/>
              <w:right w:val="single" w:sz="6" w:space="0" w:color="414142"/>
            </w:tcBorders>
            <w:vAlign w:val="center"/>
          </w:tcPr>
          <w:p w14:paraId="74E38FBD"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590E419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67D3AF54" w14:textId="77777777">
        <w:tc>
          <w:tcPr>
            <w:tcW w:w="2216" w:type="dxa"/>
            <w:tcBorders>
              <w:top w:val="single" w:sz="6" w:space="0" w:color="414142"/>
              <w:left w:val="single" w:sz="6" w:space="0" w:color="414142"/>
              <w:bottom w:val="single" w:sz="6" w:space="0" w:color="414142"/>
              <w:right w:val="single" w:sz="6" w:space="0" w:color="414142"/>
            </w:tcBorders>
          </w:tcPr>
          <w:p w14:paraId="2ED8BC5E"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1204" w:type="dxa"/>
            <w:tcBorders>
              <w:top w:val="single" w:sz="6" w:space="0" w:color="414142"/>
              <w:left w:val="single" w:sz="6" w:space="0" w:color="414142"/>
              <w:bottom w:val="single" w:sz="6" w:space="0" w:color="414142"/>
              <w:right w:val="single" w:sz="6" w:space="0" w:color="414142"/>
            </w:tcBorders>
            <w:vAlign w:val="center"/>
          </w:tcPr>
          <w:p w14:paraId="4BBF3924"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58" w:type="dxa"/>
            <w:tcBorders>
              <w:top w:val="single" w:sz="6" w:space="0" w:color="414142"/>
              <w:left w:val="single" w:sz="6" w:space="0" w:color="414142"/>
              <w:bottom w:val="single" w:sz="6" w:space="0" w:color="414142"/>
              <w:right w:val="single" w:sz="6" w:space="0" w:color="414142"/>
            </w:tcBorders>
            <w:vAlign w:val="center"/>
          </w:tcPr>
          <w:p w14:paraId="01FFEF80"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5293B7AC"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95" w:type="dxa"/>
            <w:tcBorders>
              <w:top w:val="single" w:sz="6" w:space="0" w:color="414142"/>
              <w:left w:val="single" w:sz="6" w:space="0" w:color="414142"/>
              <w:bottom w:val="single" w:sz="6" w:space="0" w:color="414142"/>
              <w:right w:val="single" w:sz="6" w:space="0" w:color="414142"/>
            </w:tcBorders>
            <w:vAlign w:val="center"/>
          </w:tcPr>
          <w:p w14:paraId="07FA27D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6" w:space="0" w:color="414142"/>
              <w:left w:val="single" w:sz="6" w:space="0" w:color="414142"/>
              <w:bottom w:val="single" w:sz="6" w:space="0" w:color="414142"/>
              <w:right w:val="single" w:sz="6" w:space="0" w:color="414142"/>
            </w:tcBorders>
            <w:vAlign w:val="center"/>
          </w:tcPr>
          <w:p w14:paraId="22D7323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09" w:type="dxa"/>
            <w:tcBorders>
              <w:top w:val="single" w:sz="6" w:space="0" w:color="414142"/>
              <w:left w:val="single" w:sz="6" w:space="0" w:color="414142"/>
              <w:bottom w:val="single" w:sz="6" w:space="0" w:color="414142"/>
              <w:right w:val="single" w:sz="6" w:space="0" w:color="414142"/>
            </w:tcBorders>
            <w:vAlign w:val="center"/>
          </w:tcPr>
          <w:p w14:paraId="34AED415"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320AEA85"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30E7D803" w14:textId="77777777">
        <w:tc>
          <w:tcPr>
            <w:tcW w:w="2216" w:type="dxa"/>
            <w:tcBorders>
              <w:top w:val="single" w:sz="6" w:space="0" w:color="414142"/>
              <w:left w:val="single" w:sz="6" w:space="0" w:color="414142"/>
              <w:bottom w:val="single" w:sz="6" w:space="0" w:color="414142"/>
              <w:right w:val="single" w:sz="6" w:space="0" w:color="414142"/>
            </w:tcBorders>
          </w:tcPr>
          <w:p w14:paraId="3EFA2081"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Precizēta finansiālā ietekme</w:t>
            </w:r>
          </w:p>
        </w:tc>
        <w:tc>
          <w:tcPr>
            <w:tcW w:w="1204" w:type="dxa"/>
            <w:vMerge w:val="restart"/>
            <w:tcBorders>
              <w:top w:val="single" w:sz="6" w:space="0" w:color="414142"/>
              <w:left w:val="single" w:sz="6" w:space="0" w:color="414142"/>
              <w:bottom w:val="single" w:sz="6" w:space="0" w:color="414142"/>
              <w:right w:val="single" w:sz="6" w:space="0" w:color="414142"/>
            </w:tcBorders>
            <w:vAlign w:val="center"/>
          </w:tcPr>
          <w:p w14:paraId="1CBDB96D"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58" w:type="dxa"/>
            <w:tcBorders>
              <w:top w:val="single" w:sz="6" w:space="0" w:color="414142"/>
              <w:left w:val="single" w:sz="6" w:space="0" w:color="414142"/>
              <w:bottom w:val="single" w:sz="6" w:space="0" w:color="414142"/>
              <w:right w:val="single" w:sz="6" w:space="0" w:color="414142"/>
            </w:tcBorders>
            <w:vAlign w:val="center"/>
          </w:tcPr>
          <w:p w14:paraId="357F45CB"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-34480</w:t>
            </w:r>
          </w:p>
        </w:tc>
        <w:tc>
          <w:tcPr>
            <w:tcW w:w="1140" w:type="dxa"/>
            <w:vMerge w:val="restart"/>
            <w:tcBorders>
              <w:top w:val="single" w:sz="6" w:space="0" w:color="414142"/>
              <w:left w:val="single" w:sz="6" w:space="0" w:color="414142"/>
              <w:bottom w:val="single" w:sz="6" w:space="0" w:color="414142"/>
              <w:right w:val="single" w:sz="6" w:space="0" w:color="414142"/>
            </w:tcBorders>
            <w:vAlign w:val="center"/>
          </w:tcPr>
          <w:p w14:paraId="6EA54340"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95" w:type="dxa"/>
            <w:tcBorders>
              <w:top w:val="single" w:sz="6" w:space="0" w:color="414142"/>
              <w:left w:val="single" w:sz="6" w:space="0" w:color="414142"/>
              <w:bottom w:val="single" w:sz="6" w:space="0" w:color="414142"/>
              <w:right w:val="single" w:sz="6" w:space="0" w:color="414142"/>
            </w:tcBorders>
            <w:vAlign w:val="center"/>
          </w:tcPr>
          <w:p w14:paraId="5511EB8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vMerge w:val="restart"/>
            <w:tcBorders>
              <w:top w:val="single" w:sz="6" w:space="0" w:color="414142"/>
              <w:left w:val="single" w:sz="6" w:space="0" w:color="414142"/>
              <w:bottom w:val="single" w:sz="6" w:space="0" w:color="414142"/>
              <w:right w:val="single" w:sz="6" w:space="0" w:color="414142"/>
            </w:tcBorders>
            <w:vAlign w:val="center"/>
          </w:tcPr>
          <w:p w14:paraId="2B858EDC"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09" w:type="dxa"/>
            <w:tcBorders>
              <w:top w:val="single" w:sz="6" w:space="0" w:color="414142"/>
              <w:left w:val="single" w:sz="6" w:space="0" w:color="414142"/>
              <w:bottom w:val="single" w:sz="6" w:space="0" w:color="414142"/>
              <w:right w:val="single" w:sz="6" w:space="0" w:color="414142"/>
            </w:tcBorders>
            <w:vAlign w:val="center"/>
          </w:tcPr>
          <w:p w14:paraId="3DC64837"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7ACD4BF4"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5F9520F6" w14:textId="77777777">
        <w:tc>
          <w:tcPr>
            <w:tcW w:w="2216" w:type="dxa"/>
            <w:tcBorders>
              <w:top w:val="single" w:sz="6" w:space="0" w:color="414142"/>
              <w:left w:val="single" w:sz="6" w:space="0" w:color="414142"/>
              <w:bottom w:val="single" w:sz="6" w:space="0" w:color="414142"/>
              <w:right w:val="single" w:sz="6" w:space="0" w:color="414142"/>
            </w:tcBorders>
          </w:tcPr>
          <w:p w14:paraId="4956B50B"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valsts pamatbudžets</w:t>
            </w:r>
          </w:p>
        </w:tc>
        <w:tc>
          <w:tcPr>
            <w:tcW w:w="1204" w:type="dxa"/>
            <w:vMerge/>
            <w:tcBorders>
              <w:top w:val="single" w:sz="6" w:space="0" w:color="414142"/>
              <w:left w:val="single" w:sz="6" w:space="0" w:color="414142"/>
              <w:bottom w:val="single" w:sz="6" w:space="0" w:color="414142"/>
              <w:right w:val="single" w:sz="6" w:space="0" w:color="414142"/>
            </w:tcBorders>
            <w:vAlign w:val="center"/>
          </w:tcPr>
          <w:p w14:paraId="1E6C4B8D"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58" w:type="dxa"/>
            <w:tcBorders>
              <w:top w:val="single" w:sz="6" w:space="0" w:color="414142"/>
              <w:left w:val="single" w:sz="6" w:space="0" w:color="414142"/>
              <w:bottom w:val="single" w:sz="6" w:space="0" w:color="414142"/>
              <w:right w:val="single" w:sz="6" w:space="0" w:color="414142"/>
            </w:tcBorders>
            <w:vAlign w:val="center"/>
          </w:tcPr>
          <w:p w14:paraId="3B9B30EC"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-34480</w:t>
            </w:r>
          </w:p>
        </w:tc>
        <w:tc>
          <w:tcPr>
            <w:tcW w:w="1140" w:type="dxa"/>
            <w:vMerge/>
            <w:tcBorders>
              <w:top w:val="single" w:sz="6" w:space="0" w:color="414142"/>
              <w:left w:val="single" w:sz="6" w:space="0" w:color="414142"/>
              <w:bottom w:val="single" w:sz="6" w:space="0" w:color="414142"/>
              <w:right w:val="single" w:sz="6" w:space="0" w:color="414142"/>
            </w:tcBorders>
            <w:vAlign w:val="center"/>
          </w:tcPr>
          <w:p w14:paraId="4BB09943"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95" w:type="dxa"/>
            <w:tcBorders>
              <w:top w:val="single" w:sz="6" w:space="0" w:color="414142"/>
              <w:left w:val="single" w:sz="6" w:space="0" w:color="414142"/>
              <w:bottom w:val="single" w:sz="6" w:space="0" w:color="414142"/>
              <w:right w:val="single" w:sz="6" w:space="0" w:color="414142"/>
            </w:tcBorders>
            <w:vAlign w:val="center"/>
          </w:tcPr>
          <w:p w14:paraId="50F47CC6"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vMerge/>
            <w:tcBorders>
              <w:top w:val="single" w:sz="6" w:space="0" w:color="414142"/>
              <w:left w:val="single" w:sz="6" w:space="0" w:color="414142"/>
              <w:bottom w:val="single" w:sz="6" w:space="0" w:color="414142"/>
              <w:right w:val="single" w:sz="6" w:space="0" w:color="414142"/>
            </w:tcBorders>
            <w:vAlign w:val="center"/>
          </w:tcPr>
          <w:p w14:paraId="4E63A52D"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9" w:type="dxa"/>
            <w:tcBorders>
              <w:top w:val="single" w:sz="6" w:space="0" w:color="414142"/>
              <w:left w:val="single" w:sz="6" w:space="0" w:color="414142"/>
              <w:bottom w:val="single" w:sz="6" w:space="0" w:color="414142"/>
              <w:right w:val="single" w:sz="6" w:space="0" w:color="414142"/>
            </w:tcBorders>
            <w:vAlign w:val="center"/>
          </w:tcPr>
          <w:p w14:paraId="5FC482BE"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10D8933C"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70842628" w14:textId="77777777">
        <w:tc>
          <w:tcPr>
            <w:tcW w:w="2216" w:type="dxa"/>
            <w:tcBorders>
              <w:top w:val="single" w:sz="6" w:space="0" w:color="414142"/>
              <w:left w:val="single" w:sz="6" w:space="0" w:color="414142"/>
              <w:bottom w:val="single" w:sz="6" w:space="0" w:color="414142"/>
              <w:right w:val="single" w:sz="6" w:space="0" w:color="414142"/>
            </w:tcBorders>
          </w:tcPr>
          <w:p w14:paraId="771E7819"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speciālais budžets</w:t>
            </w:r>
          </w:p>
        </w:tc>
        <w:tc>
          <w:tcPr>
            <w:tcW w:w="1204" w:type="dxa"/>
            <w:vMerge/>
            <w:tcBorders>
              <w:top w:val="single" w:sz="6" w:space="0" w:color="414142"/>
              <w:left w:val="single" w:sz="6" w:space="0" w:color="414142"/>
              <w:bottom w:val="single" w:sz="6" w:space="0" w:color="414142"/>
              <w:right w:val="single" w:sz="6" w:space="0" w:color="414142"/>
            </w:tcBorders>
            <w:vAlign w:val="center"/>
          </w:tcPr>
          <w:p w14:paraId="66F24526"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58" w:type="dxa"/>
            <w:tcBorders>
              <w:top w:val="single" w:sz="6" w:space="0" w:color="414142"/>
              <w:left w:val="single" w:sz="6" w:space="0" w:color="414142"/>
              <w:bottom w:val="single" w:sz="6" w:space="0" w:color="414142"/>
              <w:right w:val="single" w:sz="6" w:space="0" w:color="414142"/>
            </w:tcBorders>
            <w:vAlign w:val="center"/>
          </w:tcPr>
          <w:p w14:paraId="7753BC8F"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vMerge/>
            <w:tcBorders>
              <w:top w:val="single" w:sz="6" w:space="0" w:color="414142"/>
              <w:left w:val="single" w:sz="6" w:space="0" w:color="414142"/>
              <w:bottom w:val="single" w:sz="6" w:space="0" w:color="414142"/>
              <w:right w:val="single" w:sz="6" w:space="0" w:color="414142"/>
            </w:tcBorders>
            <w:vAlign w:val="center"/>
          </w:tcPr>
          <w:p w14:paraId="6275C085"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95" w:type="dxa"/>
            <w:tcBorders>
              <w:top w:val="single" w:sz="6" w:space="0" w:color="414142"/>
              <w:left w:val="single" w:sz="6" w:space="0" w:color="414142"/>
              <w:bottom w:val="single" w:sz="6" w:space="0" w:color="414142"/>
              <w:right w:val="single" w:sz="6" w:space="0" w:color="414142"/>
            </w:tcBorders>
            <w:vAlign w:val="center"/>
          </w:tcPr>
          <w:p w14:paraId="5A6790D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vMerge/>
            <w:tcBorders>
              <w:top w:val="single" w:sz="6" w:space="0" w:color="414142"/>
              <w:left w:val="single" w:sz="6" w:space="0" w:color="414142"/>
              <w:bottom w:val="single" w:sz="6" w:space="0" w:color="414142"/>
              <w:right w:val="single" w:sz="6" w:space="0" w:color="414142"/>
            </w:tcBorders>
            <w:vAlign w:val="center"/>
          </w:tcPr>
          <w:p w14:paraId="522CA933"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9" w:type="dxa"/>
            <w:tcBorders>
              <w:top w:val="single" w:sz="6" w:space="0" w:color="414142"/>
              <w:left w:val="single" w:sz="6" w:space="0" w:color="414142"/>
              <w:bottom w:val="single" w:sz="6" w:space="0" w:color="414142"/>
              <w:right w:val="single" w:sz="6" w:space="0" w:color="414142"/>
            </w:tcBorders>
            <w:vAlign w:val="center"/>
          </w:tcPr>
          <w:p w14:paraId="1663F79A"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141E7BE8"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70E2FED8" w14:textId="77777777">
        <w:tc>
          <w:tcPr>
            <w:tcW w:w="2216" w:type="dxa"/>
            <w:tcBorders>
              <w:top w:val="single" w:sz="6" w:space="0" w:color="414142"/>
              <w:left w:val="single" w:sz="6" w:space="0" w:color="414142"/>
              <w:bottom w:val="single" w:sz="6" w:space="0" w:color="414142"/>
              <w:right w:val="single" w:sz="6" w:space="0" w:color="414142"/>
            </w:tcBorders>
          </w:tcPr>
          <w:p w14:paraId="18B8B330"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pašvaldību budžets</w:t>
            </w:r>
          </w:p>
        </w:tc>
        <w:tc>
          <w:tcPr>
            <w:tcW w:w="1204" w:type="dxa"/>
            <w:vMerge/>
            <w:tcBorders>
              <w:top w:val="single" w:sz="6" w:space="0" w:color="414142"/>
              <w:left w:val="single" w:sz="6" w:space="0" w:color="414142"/>
              <w:bottom w:val="single" w:sz="6" w:space="0" w:color="414142"/>
              <w:right w:val="single" w:sz="6" w:space="0" w:color="414142"/>
            </w:tcBorders>
            <w:vAlign w:val="center"/>
          </w:tcPr>
          <w:p w14:paraId="00BEE639"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58" w:type="dxa"/>
            <w:tcBorders>
              <w:top w:val="single" w:sz="6" w:space="0" w:color="414142"/>
              <w:left w:val="single" w:sz="6" w:space="0" w:color="414142"/>
              <w:bottom w:val="single" w:sz="6" w:space="0" w:color="414142"/>
              <w:right w:val="single" w:sz="6" w:space="0" w:color="414142"/>
            </w:tcBorders>
            <w:vAlign w:val="center"/>
          </w:tcPr>
          <w:p w14:paraId="3692CB82"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vMerge/>
            <w:tcBorders>
              <w:top w:val="single" w:sz="6" w:space="0" w:color="414142"/>
              <w:left w:val="single" w:sz="6" w:space="0" w:color="414142"/>
              <w:bottom w:val="single" w:sz="6" w:space="0" w:color="414142"/>
              <w:right w:val="single" w:sz="6" w:space="0" w:color="414142"/>
            </w:tcBorders>
            <w:vAlign w:val="center"/>
          </w:tcPr>
          <w:p w14:paraId="389619E9"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95" w:type="dxa"/>
            <w:tcBorders>
              <w:top w:val="single" w:sz="6" w:space="0" w:color="414142"/>
              <w:left w:val="single" w:sz="6" w:space="0" w:color="414142"/>
              <w:bottom w:val="single" w:sz="6" w:space="0" w:color="414142"/>
              <w:right w:val="single" w:sz="6" w:space="0" w:color="414142"/>
            </w:tcBorders>
            <w:vAlign w:val="center"/>
          </w:tcPr>
          <w:p w14:paraId="716CE339"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vMerge/>
            <w:tcBorders>
              <w:top w:val="single" w:sz="6" w:space="0" w:color="414142"/>
              <w:left w:val="single" w:sz="6" w:space="0" w:color="414142"/>
              <w:bottom w:val="single" w:sz="6" w:space="0" w:color="414142"/>
              <w:right w:val="single" w:sz="6" w:space="0" w:color="414142"/>
            </w:tcBorders>
            <w:vAlign w:val="center"/>
          </w:tcPr>
          <w:p w14:paraId="7955EAE7"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9" w:type="dxa"/>
            <w:tcBorders>
              <w:top w:val="single" w:sz="6" w:space="0" w:color="414142"/>
              <w:left w:val="single" w:sz="6" w:space="0" w:color="414142"/>
              <w:bottom w:val="single" w:sz="6" w:space="0" w:color="414142"/>
              <w:right w:val="single" w:sz="6" w:space="0" w:color="414142"/>
            </w:tcBorders>
            <w:vAlign w:val="center"/>
          </w:tcPr>
          <w:p w14:paraId="7021A104"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Borders>
              <w:top w:val="single" w:sz="6" w:space="0" w:color="414142"/>
              <w:left w:val="single" w:sz="6" w:space="0" w:color="414142"/>
              <w:bottom w:val="single" w:sz="6" w:space="0" w:color="414142"/>
              <w:right w:val="single" w:sz="6" w:space="0" w:color="414142"/>
            </w:tcBorders>
            <w:vAlign w:val="center"/>
          </w:tcPr>
          <w:p w14:paraId="552B1575" w14:textId="77777777" w:rsidR="006E56B8" w:rsidRDefault="00114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56B8" w14:paraId="00E3FFE6" w14:textId="77777777">
        <w:tc>
          <w:tcPr>
            <w:tcW w:w="2216" w:type="dxa"/>
            <w:tcBorders>
              <w:top w:val="single" w:sz="6" w:space="0" w:color="414142"/>
              <w:left w:val="single" w:sz="6" w:space="0" w:color="414142"/>
              <w:bottom w:val="single" w:sz="6" w:space="0" w:color="414142"/>
              <w:right w:val="single" w:sz="6" w:space="0" w:color="414142"/>
            </w:tcBorders>
          </w:tcPr>
          <w:p w14:paraId="4F57A066"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753" w:type="dxa"/>
            <w:gridSpan w:val="7"/>
            <w:vMerge w:val="restart"/>
            <w:tcBorders>
              <w:top w:val="single" w:sz="6" w:space="0" w:color="414142"/>
              <w:left w:val="single" w:sz="6" w:space="0" w:color="414142"/>
              <w:bottom w:val="single" w:sz="6" w:space="0" w:color="414142"/>
              <w:right w:val="single" w:sz="6" w:space="0" w:color="414142"/>
            </w:tcBorders>
            <w:vAlign w:val="center"/>
          </w:tcPr>
          <w:p w14:paraId="6FB153AD"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Nav attiecināms.</w:t>
            </w:r>
          </w:p>
        </w:tc>
      </w:tr>
      <w:tr w:rsidR="006E56B8" w14:paraId="125F608F" w14:textId="77777777">
        <w:tc>
          <w:tcPr>
            <w:tcW w:w="2216" w:type="dxa"/>
            <w:tcBorders>
              <w:top w:val="single" w:sz="6" w:space="0" w:color="414142"/>
              <w:left w:val="single" w:sz="6" w:space="0" w:color="414142"/>
              <w:bottom w:val="single" w:sz="6" w:space="0" w:color="414142"/>
              <w:right w:val="single" w:sz="6" w:space="0" w:color="414142"/>
            </w:tcBorders>
          </w:tcPr>
          <w:p w14:paraId="45DCCB55"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detalizēts ieņēmumu aprēķins</w:t>
            </w:r>
          </w:p>
        </w:tc>
        <w:tc>
          <w:tcPr>
            <w:tcW w:w="7753" w:type="dxa"/>
            <w:gridSpan w:val="7"/>
            <w:vMerge/>
            <w:tcBorders>
              <w:top w:val="single" w:sz="6" w:space="0" w:color="414142"/>
              <w:left w:val="single" w:sz="6" w:space="0" w:color="414142"/>
              <w:bottom w:val="single" w:sz="6" w:space="0" w:color="414142"/>
              <w:right w:val="single" w:sz="6" w:space="0" w:color="414142"/>
            </w:tcBorders>
            <w:vAlign w:val="center"/>
          </w:tcPr>
          <w:p w14:paraId="42715F3C"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E56B8" w14:paraId="0DBF18CE" w14:textId="77777777">
        <w:tc>
          <w:tcPr>
            <w:tcW w:w="2216" w:type="dxa"/>
            <w:tcBorders>
              <w:top w:val="single" w:sz="6" w:space="0" w:color="414142"/>
              <w:left w:val="single" w:sz="6" w:space="0" w:color="414142"/>
              <w:bottom w:val="single" w:sz="6" w:space="0" w:color="414142"/>
              <w:right w:val="single" w:sz="6" w:space="0" w:color="414142"/>
            </w:tcBorders>
          </w:tcPr>
          <w:p w14:paraId="700806AB"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detalizēts izdevumu aprēķins</w:t>
            </w:r>
          </w:p>
        </w:tc>
        <w:tc>
          <w:tcPr>
            <w:tcW w:w="7753" w:type="dxa"/>
            <w:gridSpan w:val="7"/>
            <w:vMerge/>
            <w:tcBorders>
              <w:top w:val="single" w:sz="6" w:space="0" w:color="414142"/>
              <w:left w:val="single" w:sz="6" w:space="0" w:color="414142"/>
              <w:bottom w:val="single" w:sz="6" w:space="0" w:color="414142"/>
              <w:right w:val="single" w:sz="6" w:space="0" w:color="414142"/>
            </w:tcBorders>
            <w:vAlign w:val="center"/>
          </w:tcPr>
          <w:p w14:paraId="7EF4BB37" w14:textId="77777777" w:rsidR="006E56B8" w:rsidRDefault="006E56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E56B8" w14:paraId="55240868" w14:textId="77777777">
        <w:tc>
          <w:tcPr>
            <w:tcW w:w="2216" w:type="dxa"/>
            <w:tcBorders>
              <w:top w:val="single" w:sz="6" w:space="0" w:color="414142"/>
              <w:left w:val="single" w:sz="6" w:space="0" w:color="414142"/>
              <w:bottom w:val="single" w:sz="6" w:space="0" w:color="414142"/>
              <w:right w:val="single" w:sz="6" w:space="0" w:color="414142"/>
            </w:tcBorders>
          </w:tcPr>
          <w:p w14:paraId="772758FF"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Amata vietu skaita izmaiņas</w:t>
            </w:r>
          </w:p>
        </w:tc>
        <w:tc>
          <w:tcPr>
            <w:tcW w:w="7753" w:type="dxa"/>
            <w:gridSpan w:val="7"/>
            <w:tcBorders>
              <w:top w:val="single" w:sz="6" w:space="0" w:color="414142"/>
              <w:left w:val="single" w:sz="6" w:space="0" w:color="414142"/>
              <w:bottom w:val="single" w:sz="6" w:space="0" w:color="414142"/>
              <w:right w:val="single" w:sz="6" w:space="0" w:color="414142"/>
            </w:tcBorders>
          </w:tcPr>
          <w:p w14:paraId="3B8E1763"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6E56B8" w14:paraId="5FBF1711" w14:textId="77777777">
        <w:tc>
          <w:tcPr>
            <w:tcW w:w="2216" w:type="dxa"/>
            <w:tcBorders>
              <w:top w:val="single" w:sz="6" w:space="0" w:color="414142"/>
              <w:left w:val="single" w:sz="6" w:space="0" w:color="414142"/>
              <w:bottom w:val="single" w:sz="6" w:space="0" w:color="414142"/>
              <w:right w:val="single" w:sz="6" w:space="0" w:color="414142"/>
            </w:tcBorders>
          </w:tcPr>
          <w:p w14:paraId="626356A5"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Cita informācija</w:t>
            </w:r>
          </w:p>
        </w:tc>
        <w:tc>
          <w:tcPr>
            <w:tcW w:w="7753" w:type="dxa"/>
            <w:gridSpan w:val="7"/>
            <w:tcBorders>
              <w:top w:val="single" w:sz="6" w:space="0" w:color="414142"/>
              <w:left w:val="single" w:sz="6" w:space="0" w:color="414142"/>
              <w:bottom w:val="single" w:sz="6" w:space="0" w:color="414142"/>
              <w:right w:val="single" w:sz="6" w:space="0" w:color="414142"/>
            </w:tcBorders>
          </w:tcPr>
          <w:p w14:paraId="17FFE21E" w14:textId="77777777" w:rsidR="006E56B8" w:rsidRDefault="00114C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Likumā “Par valsts budžetu 2021.gadam” un likumā “Par vidēja termiņa ietvaru 2021., 2022. un 2023.gadam” ir ieplānoti ieņēmumi no dividendēm (ieņēmumi no valsts (pašvaldību) kapitāla izmantošanas) 2021.gadā 193717254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2022.gadā 157115109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2023.gadā 143105655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w:t>
            </w:r>
          </w:p>
          <w:p w14:paraId="4E925B22" w14:textId="77777777" w:rsidR="006E56B8" w:rsidRDefault="00114C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Rīkojuma projekta īstenošanas gadījumā 2021.gadā valsts budžets negūs ieņēmumus 34 480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w:t>
            </w:r>
          </w:p>
        </w:tc>
      </w:tr>
    </w:tbl>
    <w:p w14:paraId="40E4E0B6"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Style w:val="a3"/>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4"/>
      </w:tblGrid>
      <w:tr w:rsidR="006E56B8" w14:paraId="784504C3" w14:textId="77777777">
        <w:trPr>
          <w:trHeight w:val="273"/>
        </w:trPr>
        <w:tc>
          <w:tcPr>
            <w:tcW w:w="9924" w:type="dxa"/>
            <w:shd w:val="clear" w:color="auto" w:fill="auto"/>
          </w:tcPr>
          <w:p w14:paraId="278D716C" w14:textId="77777777" w:rsidR="006E56B8" w:rsidRDefault="00114C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Tiesību akta projekta ietekme uz spēkā esošo tiesību normu sistēmu</w:t>
            </w:r>
          </w:p>
        </w:tc>
      </w:tr>
      <w:tr w:rsidR="006E56B8" w14:paraId="1B025C20" w14:textId="77777777">
        <w:trPr>
          <w:trHeight w:val="273"/>
        </w:trPr>
        <w:tc>
          <w:tcPr>
            <w:tcW w:w="9924" w:type="dxa"/>
            <w:shd w:val="clear" w:color="auto" w:fill="auto"/>
          </w:tcPr>
          <w:p w14:paraId="0AD4A674" w14:textId="77777777" w:rsidR="006E56B8" w:rsidRDefault="00114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14:paraId="44950301" w14:textId="77777777" w:rsidR="006E56B8" w:rsidRDefault="006E56B8">
      <w:pPr>
        <w:spacing w:after="0" w:line="240" w:lineRule="auto"/>
        <w:rPr>
          <w:rFonts w:ascii="Times New Roman" w:eastAsia="Times New Roman" w:hAnsi="Times New Roman" w:cs="Times New Roman"/>
          <w:sz w:val="24"/>
          <w:szCs w:val="24"/>
        </w:rPr>
      </w:pPr>
    </w:p>
    <w:tbl>
      <w:tblPr>
        <w:tblStyle w:val="a4"/>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4"/>
      </w:tblGrid>
      <w:tr w:rsidR="006E56B8" w14:paraId="74774968" w14:textId="77777777">
        <w:trPr>
          <w:trHeight w:val="273"/>
        </w:trPr>
        <w:tc>
          <w:tcPr>
            <w:tcW w:w="9924" w:type="dxa"/>
            <w:shd w:val="clear" w:color="auto" w:fill="auto"/>
          </w:tcPr>
          <w:p w14:paraId="23A10CDD" w14:textId="77777777" w:rsidR="006E56B8" w:rsidRDefault="00114C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Tiesību akta projekta atbilstība Latvijas Republikas starptautiskajām saistībām</w:t>
            </w:r>
          </w:p>
        </w:tc>
      </w:tr>
      <w:tr w:rsidR="006E56B8" w14:paraId="2B2C13B6" w14:textId="77777777">
        <w:trPr>
          <w:trHeight w:val="273"/>
        </w:trPr>
        <w:tc>
          <w:tcPr>
            <w:tcW w:w="9924" w:type="dxa"/>
            <w:shd w:val="clear" w:color="auto" w:fill="auto"/>
          </w:tcPr>
          <w:p w14:paraId="1F4813CB" w14:textId="77777777" w:rsidR="006E56B8" w:rsidRDefault="00114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14:paraId="54FCF319" w14:textId="77777777" w:rsidR="006E56B8" w:rsidRDefault="006E56B8">
      <w:pPr>
        <w:spacing w:after="0" w:line="240" w:lineRule="auto"/>
        <w:rPr>
          <w:rFonts w:ascii="Times New Roman" w:eastAsia="Times New Roman" w:hAnsi="Times New Roman" w:cs="Times New Roman"/>
          <w:sz w:val="24"/>
          <w:szCs w:val="24"/>
        </w:rPr>
      </w:pPr>
    </w:p>
    <w:tbl>
      <w:tblPr>
        <w:tblStyle w:val="a5"/>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4"/>
      </w:tblGrid>
      <w:tr w:rsidR="006E56B8" w14:paraId="31894736" w14:textId="77777777">
        <w:trPr>
          <w:trHeight w:val="273"/>
        </w:trPr>
        <w:tc>
          <w:tcPr>
            <w:tcW w:w="9924" w:type="dxa"/>
            <w:shd w:val="clear" w:color="auto" w:fill="auto"/>
          </w:tcPr>
          <w:p w14:paraId="0706F8F3" w14:textId="77777777" w:rsidR="006E56B8" w:rsidRDefault="00114C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Sabiedrības līdzdalība un komunikācijas aktivitātes</w:t>
            </w:r>
          </w:p>
        </w:tc>
      </w:tr>
      <w:tr w:rsidR="006E56B8" w14:paraId="45549EEF" w14:textId="77777777">
        <w:trPr>
          <w:trHeight w:val="273"/>
        </w:trPr>
        <w:tc>
          <w:tcPr>
            <w:tcW w:w="9924" w:type="dxa"/>
            <w:shd w:val="clear" w:color="auto" w:fill="auto"/>
          </w:tcPr>
          <w:p w14:paraId="7A7DC0A6" w14:textId="77777777" w:rsidR="006E56B8" w:rsidRDefault="00114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14:paraId="5A620FC3" w14:textId="77777777" w:rsidR="006E56B8" w:rsidRDefault="006E56B8">
      <w:pPr>
        <w:spacing w:after="0" w:line="240" w:lineRule="auto"/>
        <w:rPr>
          <w:rFonts w:ascii="Times New Roman" w:eastAsia="Times New Roman" w:hAnsi="Times New Roman" w:cs="Times New Roman"/>
          <w:sz w:val="24"/>
          <w:szCs w:val="24"/>
        </w:rPr>
      </w:pPr>
    </w:p>
    <w:tbl>
      <w:tblPr>
        <w:tblStyle w:val="a6"/>
        <w:tblW w:w="9891"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998"/>
        <w:gridCol w:w="5325"/>
      </w:tblGrid>
      <w:tr w:rsidR="006E56B8" w14:paraId="48AA2DAA" w14:textId="77777777">
        <w:tc>
          <w:tcPr>
            <w:tcW w:w="9891" w:type="dxa"/>
            <w:gridSpan w:val="3"/>
          </w:tcPr>
          <w:p w14:paraId="7F039CFA" w14:textId="77777777" w:rsidR="006E56B8" w:rsidRDefault="00114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Tiesību akta projekta izpildes nodrošināšana un tās ietekme uz institūcijām</w:t>
            </w:r>
          </w:p>
        </w:tc>
      </w:tr>
      <w:tr w:rsidR="006E56B8" w14:paraId="0B961733" w14:textId="77777777">
        <w:tc>
          <w:tcPr>
            <w:tcW w:w="568" w:type="dxa"/>
          </w:tcPr>
          <w:p w14:paraId="43A69C90"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98" w:type="dxa"/>
          </w:tcPr>
          <w:p w14:paraId="69D116ED"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izpildē iesaistītās institūcijas</w:t>
            </w:r>
          </w:p>
        </w:tc>
        <w:tc>
          <w:tcPr>
            <w:tcW w:w="5325" w:type="dxa"/>
          </w:tcPr>
          <w:p w14:paraId="15698167" w14:textId="77777777" w:rsidR="006E56B8" w:rsidRDefault="00114C00">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ministrija un VSIA “Latvijas proves birojs”.</w:t>
            </w:r>
          </w:p>
        </w:tc>
      </w:tr>
      <w:tr w:rsidR="006E56B8" w14:paraId="46074FE9" w14:textId="77777777">
        <w:tc>
          <w:tcPr>
            <w:tcW w:w="568" w:type="dxa"/>
          </w:tcPr>
          <w:p w14:paraId="1804BDA5"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98" w:type="dxa"/>
          </w:tcPr>
          <w:p w14:paraId="08EC2CAD"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izpildes ietekme uz pārvaldes funkcijām un institucionālo struktūru. </w:t>
            </w:r>
          </w:p>
          <w:p w14:paraId="677A9222"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25" w:type="dxa"/>
          </w:tcPr>
          <w:p w14:paraId="6444FF69"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6E56B8" w14:paraId="5DE8A758" w14:textId="77777777">
        <w:tc>
          <w:tcPr>
            <w:tcW w:w="568" w:type="dxa"/>
          </w:tcPr>
          <w:p w14:paraId="219185A6"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98" w:type="dxa"/>
          </w:tcPr>
          <w:p w14:paraId="66C0E946"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325" w:type="dxa"/>
          </w:tcPr>
          <w:p w14:paraId="11C21692" w14:textId="77777777" w:rsidR="006E56B8" w:rsidRDefault="0011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4168BFAC" w14:textId="77777777" w:rsidR="006E56B8" w:rsidRDefault="006E56B8">
      <w:pPr>
        <w:tabs>
          <w:tab w:val="left" w:pos="5760"/>
        </w:tabs>
        <w:spacing w:after="0" w:line="240" w:lineRule="auto"/>
        <w:jc w:val="both"/>
        <w:rPr>
          <w:rFonts w:ascii="Times New Roman" w:eastAsia="Times New Roman" w:hAnsi="Times New Roman" w:cs="Times New Roman"/>
          <w:i/>
          <w:sz w:val="24"/>
          <w:szCs w:val="24"/>
        </w:rPr>
      </w:pPr>
    </w:p>
    <w:p w14:paraId="6A8E081E" w14:textId="77777777" w:rsidR="006E56B8" w:rsidRDefault="006E56B8">
      <w:pPr>
        <w:tabs>
          <w:tab w:val="left" w:pos="5760"/>
        </w:tabs>
        <w:spacing w:after="0" w:line="240" w:lineRule="auto"/>
        <w:jc w:val="both"/>
        <w:rPr>
          <w:rFonts w:ascii="Times New Roman" w:eastAsia="Times New Roman" w:hAnsi="Times New Roman" w:cs="Times New Roman"/>
          <w:i/>
          <w:sz w:val="24"/>
          <w:szCs w:val="24"/>
        </w:rPr>
      </w:pPr>
    </w:p>
    <w:p w14:paraId="6C11BFF3" w14:textId="452E4B89" w:rsidR="0059108F" w:rsidRDefault="00114C00">
      <w:pPr>
        <w:tabs>
          <w:tab w:val="left" w:pos="6804"/>
        </w:tabs>
        <w:spacing w:before="75" w:after="7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ministr</w:t>
      </w:r>
      <w:r w:rsidR="0059108F">
        <w:rPr>
          <w:rFonts w:ascii="Times New Roman" w:eastAsia="Times New Roman" w:hAnsi="Times New Roman" w:cs="Times New Roman"/>
          <w:sz w:val="24"/>
          <w:szCs w:val="24"/>
        </w:rPr>
        <w:t xml:space="preserve">a </w:t>
      </w:r>
      <w:proofErr w:type="spellStart"/>
      <w:r w:rsidR="0059108F">
        <w:rPr>
          <w:rFonts w:ascii="Times New Roman" w:eastAsia="Times New Roman" w:hAnsi="Times New Roman" w:cs="Times New Roman"/>
          <w:sz w:val="24"/>
          <w:szCs w:val="24"/>
        </w:rPr>
        <w:t>p.i</w:t>
      </w:r>
      <w:proofErr w:type="spellEnd"/>
      <w:r w:rsidR="0059108F">
        <w:rPr>
          <w:rFonts w:ascii="Times New Roman" w:eastAsia="Times New Roman" w:hAnsi="Times New Roman" w:cs="Times New Roman"/>
          <w:sz w:val="24"/>
          <w:szCs w:val="24"/>
        </w:rPr>
        <w:t xml:space="preserve">. – </w:t>
      </w:r>
    </w:p>
    <w:p w14:paraId="65DA508C" w14:textId="03CDE2DF" w:rsidR="006E56B8" w:rsidRDefault="0059108F">
      <w:pPr>
        <w:tabs>
          <w:tab w:val="left" w:pos="6804"/>
        </w:tabs>
        <w:spacing w:before="75" w:after="7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ārlietu ministrs</w:t>
      </w:r>
      <w:r w:rsidR="00114C00">
        <w:rPr>
          <w:rFonts w:ascii="Times New Roman" w:eastAsia="Times New Roman" w:hAnsi="Times New Roman" w:cs="Times New Roman"/>
          <w:sz w:val="24"/>
          <w:szCs w:val="24"/>
        </w:rPr>
        <w:tab/>
      </w:r>
      <w:r w:rsidR="00114C00">
        <w:rPr>
          <w:rFonts w:ascii="Times New Roman" w:eastAsia="Times New Roman" w:hAnsi="Times New Roman" w:cs="Times New Roman"/>
          <w:sz w:val="24"/>
          <w:szCs w:val="24"/>
        </w:rPr>
        <w:tab/>
      </w:r>
      <w:r>
        <w:rPr>
          <w:rFonts w:ascii="Times New Roman" w:eastAsia="Times New Roman" w:hAnsi="Times New Roman" w:cs="Times New Roman"/>
          <w:sz w:val="24"/>
          <w:szCs w:val="24"/>
        </w:rPr>
        <w:t>E. Rinkēvičs</w:t>
      </w:r>
    </w:p>
    <w:p w14:paraId="0350E90C" w14:textId="77777777" w:rsidR="006E56B8" w:rsidRDefault="006E56B8">
      <w:pPr>
        <w:jc w:val="both"/>
        <w:rPr>
          <w:rFonts w:ascii="Times New Roman" w:eastAsia="Times New Roman" w:hAnsi="Times New Roman" w:cs="Times New Roman"/>
          <w:sz w:val="24"/>
          <w:szCs w:val="24"/>
        </w:rPr>
      </w:pPr>
    </w:p>
    <w:p w14:paraId="52093133" w14:textId="77777777" w:rsidR="006E56B8" w:rsidRDefault="006E56B8">
      <w:pPr>
        <w:jc w:val="both"/>
        <w:rPr>
          <w:rFonts w:ascii="Times New Roman" w:eastAsia="Times New Roman" w:hAnsi="Times New Roman" w:cs="Times New Roman"/>
          <w:sz w:val="24"/>
          <w:szCs w:val="24"/>
        </w:rPr>
      </w:pPr>
    </w:p>
    <w:p w14:paraId="45B14214" w14:textId="77777777" w:rsidR="006E56B8" w:rsidRDefault="006E56B8">
      <w:pPr>
        <w:jc w:val="both"/>
        <w:rPr>
          <w:rFonts w:ascii="Times New Roman" w:eastAsia="Times New Roman" w:hAnsi="Times New Roman" w:cs="Times New Roman"/>
          <w:sz w:val="24"/>
          <w:szCs w:val="24"/>
        </w:rPr>
      </w:pPr>
    </w:p>
    <w:p w14:paraId="3C40CDDC" w14:textId="77777777" w:rsidR="006E56B8" w:rsidRDefault="006E56B8">
      <w:pPr>
        <w:jc w:val="both"/>
        <w:rPr>
          <w:rFonts w:ascii="Times New Roman" w:eastAsia="Times New Roman" w:hAnsi="Times New Roman" w:cs="Times New Roman"/>
          <w:sz w:val="24"/>
          <w:szCs w:val="24"/>
        </w:rPr>
      </w:pPr>
    </w:p>
    <w:p w14:paraId="1D264D89" w14:textId="77777777" w:rsidR="006E56B8" w:rsidRDefault="00114C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Brangulis 67210009</w:t>
      </w:r>
    </w:p>
    <w:p w14:paraId="617947BA" w14:textId="77777777" w:rsidR="006E56B8" w:rsidRDefault="00114C00">
      <w:pPr>
        <w:spacing w:after="0"/>
        <w:rPr>
          <w:rFonts w:ascii="Times New Roman" w:eastAsia="Times New Roman" w:hAnsi="Times New Roman" w:cs="Times New Roman"/>
          <w:color w:val="000000"/>
          <w:sz w:val="20"/>
          <w:szCs w:val="20"/>
          <w:u w:val="single"/>
        </w:rPr>
      </w:pPr>
      <w:r>
        <w:rPr>
          <w:rFonts w:ascii="Times New Roman" w:eastAsia="Times New Roman" w:hAnsi="Times New Roman" w:cs="Times New Roman"/>
          <w:sz w:val="20"/>
          <w:szCs w:val="20"/>
        </w:rPr>
        <w:t>peters.brangulis@prove.lv</w:t>
      </w:r>
    </w:p>
    <w:sectPr w:rsidR="006E56B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D71F4" w14:textId="77777777" w:rsidR="00DF10D3" w:rsidRDefault="00DF10D3">
      <w:pPr>
        <w:spacing w:after="0" w:line="240" w:lineRule="auto"/>
      </w:pPr>
      <w:r>
        <w:separator/>
      </w:r>
    </w:p>
  </w:endnote>
  <w:endnote w:type="continuationSeparator" w:id="0">
    <w:p w14:paraId="5AD7DF1C" w14:textId="77777777" w:rsidR="00DF10D3" w:rsidRDefault="00DF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BA47" w14:textId="77777777" w:rsidR="00034CF0" w:rsidRDefault="0003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2ABF" w14:textId="6A1812D1" w:rsidR="006E56B8" w:rsidRDefault="00114C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FMAnot_</w:t>
    </w:r>
    <w:r w:rsidR="00034CF0">
      <w:rPr>
        <w:rFonts w:ascii="Times New Roman" w:eastAsia="Times New Roman" w:hAnsi="Times New Roman" w:cs="Times New Roman"/>
        <w:sz w:val="20"/>
        <w:szCs w:val="20"/>
      </w:rPr>
      <w:t>080721</w:t>
    </w:r>
    <w:r>
      <w:rPr>
        <w:rFonts w:ascii="Times New Roman" w:eastAsia="Times New Roman" w:hAnsi="Times New Roman" w:cs="Times New Roman"/>
        <w:sz w:val="20"/>
        <w:szCs w:val="20"/>
      </w:rPr>
      <w:t>_LPB</w:t>
    </w:r>
    <w:r w:rsidR="00034CF0">
      <w:rPr>
        <w:rFonts w:ascii="Times New Roman" w:eastAsia="Times New Roman" w:hAnsi="Times New Roman" w:cs="Times New Roman"/>
        <w:sz w:val="20"/>
        <w:szCs w:val="20"/>
      </w:rPr>
      <w:t>divid</w:t>
    </w:r>
  </w:p>
  <w:p w14:paraId="5EA1C770" w14:textId="77777777" w:rsidR="006E56B8" w:rsidRDefault="00114C00">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477A4">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CB98" w14:textId="77777777" w:rsidR="006E56B8" w:rsidRDefault="00114C00">
    <w:pPr>
      <w:pBdr>
        <w:top w:val="nil"/>
        <w:left w:val="nil"/>
        <w:bottom w:val="nil"/>
        <w:right w:val="nil"/>
        <w:between w:val="nil"/>
      </w:pBdr>
      <w:tabs>
        <w:tab w:val="center" w:pos="4153"/>
        <w:tab w:val="right" w:pos="8306"/>
      </w:tabs>
      <w:spacing w:after="0" w:line="240" w:lineRule="auto"/>
      <w:rPr>
        <w:color w:val="000000"/>
      </w:rPr>
    </w:pPr>
    <w:r>
      <w:rPr>
        <w:color w:val="000000"/>
      </w:rPr>
      <w:t>FMAnot_150420_LPB</w:t>
    </w:r>
  </w:p>
  <w:p w14:paraId="2C0044C9" w14:textId="77777777" w:rsidR="006E56B8" w:rsidRDefault="00114C00">
    <w:pPr>
      <w:pBdr>
        <w:top w:val="nil"/>
        <w:left w:val="nil"/>
        <w:bottom w:val="nil"/>
        <w:right w:val="nil"/>
        <w:between w:val="nil"/>
      </w:pBdr>
      <w:tabs>
        <w:tab w:val="center" w:pos="4153"/>
        <w:tab w:val="right" w:pos="8306"/>
      </w:tabs>
      <w:spacing w:after="0" w:line="240" w:lineRule="auto"/>
      <w:jc w:val="right"/>
      <w:rPr>
        <w:color w:val="000000"/>
      </w:rPr>
    </w:pPr>
    <w:r>
      <w:rPr>
        <w:color w:val="00000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668F4" w14:textId="77777777" w:rsidR="00DF10D3" w:rsidRDefault="00DF10D3">
      <w:pPr>
        <w:spacing w:after="0" w:line="240" w:lineRule="auto"/>
      </w:pPr>
      <w:r>
        <w:separator/>
      </w:r>
    </w:p>
  </w:footnote>
  <w:footnote w:type="continuationSeparator" w:id="0">
    <w:p w14:paraId="7BA27ACB" w14:textId="77777777" w:rsidR="00DF10D3" w:rsidRDefault="00DF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EB0C" w14:textId="77777777" w:rsidR="006E56B8" w:rsidRDefault="00114C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427FEB46" w14:textId="77777777" w:rsidR="006E56B8" w:rsidRDefault="006E56B8">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8B1B" w14:textId="77777777" w:rsidR="00034CF0" w:rsidRDefault="00034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B302" w14:textId="77777777" w:rsidR="00034CF0" w:rsidRDefault="00034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B8"/>
    <w:rsid w:val="00034CF0"/>
    <w:rsid w:val="00114C00"/>
    <w:rsid w:val="0014291B"/>
    <w:rsid w:val="00365425"/>
    <w:rsid w:val="0039338D"/>
    <w:rsid w:val="00395C94"/>
    <w:rsid w:val="003C6085"/>
    <w:rsid w:val="0059108F"/>
    <w:rsid w:val="0059186C"/>
    <w:rsid w:val="00652411"/>
    <w:rsid w:val="006A72F2"/>
    <w:rsid w:val="006E56B8"/>
    <w:rsid w:val="0089702A"/>
    <w:rsid w:val="009477A4"/>
    <w:rsid w:val="009C443E"/>
    <w:rsid w:val="00BD6C01"/>
    <w:rsid w:val="00C72291"/>
    <w:rsid w:val="00CD6560"/>
    <w:rsid w:val="00D8213E"/>
    <w:rsid w:val="00DC5FD3"/>
    <w:rsid w:val="00DF10D3"/>
    <w:rsid w:val="00E26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89A1"/>
  <w15:docId w15:val="{EB87761C-3036-417F-AC34-5A2A69BF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5" w:type="dxa"/>
        <w:right w:w="5"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034C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4CF0"/>
  </w:style>
  <w:style w:type="paragraph" w:styleId="Footer">
    <w:name w:val="footer"/>
    <w:basedOn w:val="Normal"/>
    <w:link w:val="FooterChar"/>
    <w:uiPriority w:val="99"/>
    <w:unhideWhenUsed/>
    <w:rsid w:val="00034C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7153</Words>
  <Characters>4078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valstij dividendēs izmaksājamo valsts sabiedrības ar ierobežotu atbildību “Latvijas proves birojs” peļņas daļu par 2020. gadu" sākotnējās ietekmes novērtējuma ziņojums (anotācija)</vt:lpstr>
    </vt:vector>
  </TitlesOfParts>
  <Company>VSIA "Latvijas proves birojs"</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proves birojs” peļņas daļu par 2020. gadu" sākotnējās ietekmes novērtējuma ziņojums (anotācija)</dc:title>
  <dc:subject>Sākotnējās ietekmes novērtējuma ziņojums (anotācija)</dc:subject>
  <dc:creator>Pēters Brangulis</dc:creator>
  <dc:description>Brangulis, tālr.67210009_x000d_
Peters.Brangulis@prove.lv</dc:description>
  <cp:lastModifiedBy>Sabīne Ālmane</cp:lastModifiedBy>
  <cp:revision>11</cp:revision>
  <dcterms:created xsi:type="dcterms:W3CDTF">2021-07-07T13:47:00Z</dcterms:created>
  <dcterms:modified xsi:type="dcterms:W3CDTF">2021-07-26T09:46:00Z</dcterms:modified>
  <cp:contentStatus/>
</cp:coreProperties>
</file>