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F8099" w14:textId="77777777" w:rsidR="003D0A5A" w:rsidRPr="00483402" w:rsidRDefault="003D0A5A" w:rsidP="009C2572">
      <w:pPr>
        <w:pStyle w:val="naisf"/>
        <w:spacing w:before="0" w:after="0"/>
        <w:ind w:firstLine="0"/>
        <w:jc w:val="center"/>
        <w:rPr>
          <w:b/>
          <w:color w:val="000000" w:themeColor="text1"/>
        </w:rPr>
      </w:pPr>
      <w:r w:rsidRPr="00483402">
        <w:rPr>
          <w:b/>
          <w:color w:val="000000" w:themeColor="text1"/>
        </w:rPr>
        <w:t>Izziņa par atzinumos sniegtajiem iebildumiem</w:t>
      </w:r>
    </w:p>
    <w:p w14:paraId="51F55DE6" w14:textId="77777777" w:rsidR="003D0A5A" w:rsidRPr="00483402" w:rsidRDefault="003D0A5A" w:rsidP="009C2572">
      <w:pPr>
        <w:pStyle w:val="naisf"/>
        <w:spacing w:before="0" w:after="0"/>
        <w:ind w:firstLine="0"/>
        <w:jc w:val="center"/>
        <w:rPr>
          <w:color w:val="000000" w:themeColor="text1"/>
        </w:rPr>
      </w:pPr>
      <w:r w:rsidRPr="00483402">
        <w:rPr>
          <w:color w:val="000000" w:themeColor="text1"/>
        </w:rPr>
        <w:t xml:space="preserve">Likumprojektam </w:t>
      </w:r>
      <w:r w:rsidR="006D6354" w:rsidRPr="00483402">
        <w:rPr>
          <w:noProof/>
          <w:color w:val="000000" w:themeColor="text1"/>
        </w:rPr>
        <w:t>“</w:t>
      </w:r>
      <w:r w:rsidR="00087520" w:rsidRPr="00483402">
        <w:rPr>
          <w:noProof/>
          <w:color w:val="000000" w:themeColor="text1"/>
        </w:rPr>
        <w:t>Akciju atpirkšanas likums</w:t>
      </w:r>
      <w:r w:rsidR="006D6354" w:rsidRPr="00483402">
        <w:rPr>
          <w:noProof/>
          <w:color w:val="000000" w:themeColor="text1"/>
        </w:rPr>
        <w:t>”</w:t>
      </w:r>
    </w:p>
    <w:p w14:paraId="4D20251C" w14:textId="77777777" w:rsidR="003D0A5A" w:rsidRPr="00CB3505" w:rsidRDefault="003D0A5A" w:rsidP="00D46861">
      <w:pPr>
        <w:pStyle w:val="naisf"/>
        <w:spacing w:before="0" w:after="0"/>
        <w:ind w:firstLine="0"/>
        <w:jc w:val="center"/>
        <w:rPr>
          <w:b/>
          <w:color w:val="000000" w:themeColor="text1"/>
        </w:rPr>
      </w:pPr>
    </w:p>
    <w:p w14:paraId="653C73DE" w14:textId="77777777" w:rsidR="009079F3" w:rsidRPr="00CB3505" w:rsidRDefault="009079F3" w:rsidP="009079F3">
      <w:pPr>
        <w:pStyle w:val="naisf"/>
        <w:spacing w:before="0" w:after="0"/>
        <w:ind w:firstLine="0"/>
        <w:jc w:val="center"/>
        <w:rPr>
          <w:b/>
          <w:color w:val="000000" w:themeColor="text1"/>
        </w:rPr>
      </w:pPr>
      <w:r w:rsidRPr="00CB3505">
        <w:rPr>
          <w:b/>
          <w:color w:val="000000" w:themeColor="text1"/>
        </w:rPr>
        <w:t>I. Jautājumi, par kuriem saskaņošanā vienošanās nav panākta</w:t>
      </w:r>
    </w:p>
    <w:p w14:paraId="5B35FD8A" w14:textId="77777777" w:rsidR="009079F3" w:rsidRPr="00CB3505" w:rsidRDefault="009079F3" w:rsidP="00307764">
      <w:pPr>
        <w:rPr>
          <w:b/>
          <w:color w:val="000000" w:themeColor="text1"/>
          <w:sz w:val="28"/>
          <w:szCs w:val="28"/>
        </w:rPr>
      </w:pPr>
    </w:p>
    <w:p w14:paraId="414C7492" w14:textId="77777777" w:rsidR="00307764" w:rsidRPr="00CB3505" w:rsidRDefault="00307764" w:rsidP="00307764">
      <w:pPr>
        <w:rPr>
          <w:i/>
          <w:color w:val="000000" w:themeColor="text1"/>
        </w:rPr>
      </w:pPr>
      <w:r w:rsidRPr="00CB3505">
        <w:rPr>
          <w:i/>
          <w:color w:val="000000" w:themeColor="text1"/>
        </w:rPr>
        <w:t>Nav.</w:t>
      </w:r>
    </w:p>
    <w:p w14:paraId="2D20CBEC" w14:textId="77777777" w:rsidR="007F7195" w:rsidRPr="00CB3505" w:rsidRDefault="007F7195" w:rsidP="007F7195">
      <w:pPr>
        <w:pStyle w:val="naisf"/>
        <w:spacing w:before="0" w:after="0"/>
        <w:ind w:firstLine="0"/>
        <w:rPr>
          <w:color w:val="000000" w:themeColor="text1"/>
        </w:rPr>
      </w:pPr>
    </w:p>
    <w:p w14:paraId="5E3BF021" w14:textId="77777777" w:rsidR="007F7195" w:rsidRPr="00CB3505" w:rsidRDefault="007F7195" w:rsidP="007F7195">
      <w:pPr>
        <w:pStyle w:val="naisf"/>
        <w:spacing w:before="0" w:after="0"/>
        <w:ind w:firstLine="0"/>
        <w:rPr>
          <w:b/>
          <w:color w:val="000000" w:themeColor="text1"/>
        </w:rPr>
      </w:pPr>
      <w:r w:rsidRPr="00CB3505">
        <w:rPr>
          <w:b/>
          <w:color w:val="000000" w:themeColor="text1"/>
        </w:rPr>
        <w:t xml:space="preserve">Informācija par </w:t>
      </w:r>
      <w:proofErr w:type="spellStart"/>
      <w:r w:rsidRPr="00CB3505">
        <w:rPr>
          <w:b/>
          <w:color w:val="000000" w:themeColor="text1"/>
        </w:rPr>
        <w:t>starpministriju</w:t>
      </w:r>
      <w:proofErr w:type="spellEnd"/>
      <w:r w:rsidRPr="00CB3505">
        <w:rPr>
          <w:b/>
          <w:color w:val="000000" w:themeColor="text1"/>
        </w:rPr>
        <w:t xml:space="preserve"> (starpinstitūciju) sanāksmi vai elektronisko saskaņošanu</w:t>
      </w:r>
    </w:p>
    <w:p w14:paraId="3C780232" w14:textId="77777777" w:rsidR="007F7195" w:rsidRPr="00CB3505" w:rsidRDefault="007F7195" w:rsidP="007F7195">
      <w:pPr>
        <w:pStyle w:val="naisf"/>
        <w:spacing w:before="0" w:after="0"/>
        <w:ind w:firstLine="0"/>
        <w:rPr>
          <w:b/>
          <w:color w:val="000000" w:themeColor="text1"/>
        </w:rPr>
      </w:pPr>
    </w:p>
    <w:tbl>
      <w:tblPr>
        <w:tblW w:w="14425" w:type="dxa"/>
        <w:tblLook w:val="00A0" w:firstRow="1" w:lastRow="0" w:firstColumn="1" w:lastColumn="0" w:noHBand="0" w:noVBand="0"/>
      </w:tblPr>
      <w:tblGrid>
        <w:gridCol w:w="5920"/>
        <w:gridCol w:w="1203"/>
        <w:gridCol w:w="7302"/>
      </w:tblGrid>
      <w:tr w:rsidR="00CB3505" w:rsidRPr="00CB3505" w14:paraId="595567FA" w14:textId="77777777" w:rsidTr="00F66042">
        <w:tc>
          <w:tcPr>
            <w:tcW w:w="5920" w:type="dxa"/>
          </w:tcPr>
          <w:p w14:paraId="62F91AB1" w14:textId="77777777" w:rsidR="007F7195" w:rsidRPr="00CB3505" w:rsidRDefault="007F7195" w:rsidP="00F66042">
            <w:pPr>
              <w:pStyle w:val="naisf"/>
              <w:spacing w:before="0" w:after="0"/>
              <w:ind w:firstLine="0"/>
              <w:rPr>
                <w:color w:val="000000" w:themeColor="text1"/>
              </w:rPr>
            </w:pPr>
            <w:r w:rsidRPr="00CB3505">
              <w:rPr>
                <w:color w:val="000000" w:themeColor="text1"/>
              </w:rPr>
              <w:t>Datums</w:t>
            </w:r>
          </w:p>
        </w:tc>
        <w:tc>
          <w:tcPr>
            <w:tcW w:w="8505" w:type="dxa"/>
            <w:gridSpan w:val="2"/>
            <w:tcBorders>
              <w:bottom w:val="single" w:sz="4" w:space="0" w:color="auto"/>
            </w:tcBorders>
          </w:tcPr>
          <w:p w14:paraId="0981F309" w14:textId="51A7390D" w:rsidR="007F7195" w:rsidRPr="00CB3505" w:rsidRDefault="005E5365" w:rsidP="00DA1B9E">
            <w:pPr>
              <w:pStyle w:val="NormalWeb"/>
              <w:spacing w:before="0" w:beforeAutospacing="0" w:after="0" w:afterAutospacing="0"/>
              <w:ind w:firstLine="720"/>
              <w:rPr>
                <w:color w:val="000000" w:themeColor="text1"/>
              </w:rPr>
            </w:pPr>
            <w:r w:rsidRPr="00CB3505">
              <w:rPr>
                <w:color w:val="000000" w:themeColor="text1"/>
              </w:rPr>
              <w:t>20</w:t>
            </w:r>
            <w:r w:rsidR="00DA1B9E" w:rsidRPr="00CB3505">
              <w:rPr>
                <w:color w:val="000000" w:themeColor="text1"/>
              </w:rPr>
              <w:t>21</w:t>
            </w:r>
            <w:r w:rsidR="006D6354" w:rsidRPr="00CB3505">
              <w:rPr>
                <w:color w:val="000000" w:themeColor="text1"/>
              </w:rPr>
              <w:t>.</w:t>
            </w:r>
            <w:r w:rsidR="008446BB" w:rsidRPr="00CB3505">
              <w:rPr>
                <w:color w:val="000000" w:themeColor="text1"/>
              </w:rPr>
              <w:t> </w:t>
            </w:r>
            <w:r w:rsidR="006D6354" w:rsidRPr="00CB3505">
              <w:rPr>
                <w:color w:val="000000" w:themeColor="text1"/>
              </w:rPr>
              <w:t xml:space="preserve">gada </w:t>
            </w:r>
            <w:r w:rsidR="00C95396">
              <w:rPr>
                <w:color w:val="000000" w:themeColor="text1"/>
              </w:rPr>
              <w:t>1</w:t>
            </w:r>
            <w:r w:rsidR="00DA1B9E" w:rsidRPr="00CB3505">
              <w:rPr>
                <w:color w:val="000000" w:themeColor="text1"/>
              </w:rPr>
              <w:t xml:space="preserve">3. </w:t>
            </w:r>
            <w:r w:rsidR="00C95396">
              <w:rPr>
                <w:color w:val="000000" w:themeColor="text1"/>
              </w:rPr>
              <w:t>ap</w:t>
            </w:r>
            <w:r w:rsidR="007F7FE6">
              <w:rPr>
                <w:color w:val="000000" w:themeColor="text1"/>
              </w:rPr>
              <w:t>r</w:t>
            </w:r>
            <w:r w:rsidR="00C95396">
              <w:rPr>
                <w:color w:val="000000" w:themeColor="text1"/>
              </w:rPr>
              <w:t>īlis</w:t>
            </w:r>
          </w:p>
        </w:tc>
      </w:tr>
      <w:tr w:rsidR="00CB3505" w:rsidRPr="00CB3505" w14:paraId="332EAD14" w14:textId="77777777" w:rsidTr="00F66042">
        <w:tc>
          <w:tcPr>
            <w:tcW w:w="5920" w:type="dxa"/>
          </w:tcPr>
          <w:p w14:paraId="3C82B524" w14:textId="77777777" w:rsidR="007F7195" w:rsidRPr="00CB3505" w:rsidRDefault="007F7195" w:rsidP="00F66042">
            <w:pPr>
              <w:pStyle w:val="naisf"/>
              <w:spacing w:before="0" w:after="0"/>
              <w:ind w:firstLine="0"/>
              <w:rPr>
                <w:color w:val="000000" w:themeColor="text1"/>
              </w:rPr>
            </w:pPr>
          </w:p>
        </w:tc>
        <w:tc>
          <w:tcPr>
            <w:tcW w:w="8505" w:type="dxa"/>
            <w:gridSpan w:val="2"/>
            <w:tcBorders>
              <w:top w:val="single" w:sz="4" w:space="0" w:color="auto"/>
            </w:tcBorders>
          </w:tcPr>
          <w:p w14:paraId="7D6BFF50" w14:textId="77777777" w:rsidR="007F7195" w:rsidRPr="00CB3505" w:rsidRDefault="007F7195" w:rsidP="00F66042">
            <w:pPr>
              <w:pStyle w:val="NormalWeb"/>
              <w:spacing w:before="0" w:beforeAutospacing="0" w:after="0" w:afterAutospacing="0"/>
              <w:ind w:firstLine="720"/>
              <w:rPr>
                <w:color w:val="000000" w:themeColor="text1"/>
              </w:rPr>
            </w:pPr>
          </w:p>
        </w:tc>
      </w:tr>
      <w:tr w:rsidR="00CB3505" w:rsidRPr="00CB3505" w14:paraId="2A68FEB8" w14:textId="77777777" w:rsidTr="00F66042">
        <w:tc>
          <w:tcPr>
            <w:tcW w:w="5920" w:type="dxa"/>
          </w:tcPr>
          <w:p w14:paraId="20B2AC6A" w14:textId="77777777" w:rsidR="007F7195" w:rsidRPr="00CB3505" w:rsidRDefault="007F7195" w:rsidP="00F66042">
            <w:pPr>
              <w:pStyle w:val="naiskr"/>
              <w:spacing w:before="0" w:after="0"/>
              <w:rPr>
                <w:color w:val="000000" w:themeColor="text1"/>
              </w:rPr>
            </w:pPr>
            <w:r w:rsidRPr="00CB3505">
              <w:rPr>
                <w:color w:val="000000" w:themeColor="text1"/>
              </w:rPr>
              <w:t>Saskaņošanas dalībnieki</w:t>
            </w:r>
          </w:p>
        </w:tc>
        <w:tc>
          <w:tcPr>
            <w:tcW w:w="8505" w:type="dxa"/>
            <w:gridSpan w:val="2"/>
          </w:tcPr>
          <w:p w14:paraId="018D1150" w14:textId="1D4FD53C" w:rsidR="007F7195" w:rsidRPr="00CB3505" w:rsidRDefault="006D6354" w:rsidP="005257A8">
            <w:pPr>
              <w:pStyle w:val="NormalWeb"/>
              <w:spacing w:before="0" w:beforeAutospacing="0" w:after="0" w:afterAutospacing="0"/>
              <w:rPr>
                <w:color w:val="000000" w:themeColor="text1"/>
                <w:shd w:val="clear" w:color="auto" w:fill="FFFFFF"/>
              </w:rPr>
            </w:pPr>
            <w:r w:rsidRPr="00CB3505">
              <w:rPr>
                <w:color w:val="000000" w:themeColor="text1"/>
                <w:shd w:val="clear" w:color="auto" w:fill="FFFFFF"/>
              </w:rPr>
              <w:t>Tieslietu ministrija</w:t>
            </w:r>
            <w:r w:rsidR="00DA1B9E" w:rsidRPr="00CB3505">
              <w:rPr>
                <w:color w:val="000000" w:themeColor="text1"/>
                <w:shd w:val="clear" w:color="auto" w:fill="FFFFFF"/>
              </w:rPr>
              <w:t>, Vides aizsardzības un reģionālās attīstības ministrija</w:t>
            </w:r>
            <w:r w:rsidR="00C95396">
              <w:rPr>
                <w:color w:val="000000" w:themeColor="text1"/>
                <w:shd w:val="clear" w:color="auto" w:fill="FFFFFF"/>
              </w:rPr>
              <w:t xml:space="preserve">, Finanšu un kapitāla tirgus komisija, </w:t>
            </w:r>
            <w:proofErr w:type="spellStart"/>
            <w:r w:rsidR="00C95396">
              <w:rPr>
                <w:color w:val="000000" w:themeColor="text1"/>
                <w:shd w:val="clear" w:color="auto" w:fill="FFFFFF"/>
              </w:rPr>
              <w:t>Pārresoru</w:t>
            </w:r>
            <w:proofErr w:type="spellEnd"/>
            <w:r w:rsidR="00C95396">
              <w:rPr>
                <w:color w:val="000000" w:themeColor="text1"/>
                <w:shd w:val="clear" w:color="auto" w:fill="FFFFFF"/>
              </w:rPr>
              <w:t xml:space="preserve"> koordinācijas centrs, Latvijas </w:t>
            </w:r>
            <w:r w:rsidR="00221098">
              <w:rPr>
                <w:color w:val="000000" w:themeColor="text1"/>
                <w:shd w:val="clear" w:color="auto" w:fill="FFFFFF"/>
              </w:rPr>
              <w:t>D</w:t>
            </w:r>
            <w:r w:rsidR="00C95396">
              <w:rPr>
                <w:color w:val="000000" w:themeColor="text1"/>
                <w:shd w:val="clear" w:color="auto" w:fill="FFFFFF"/>
              </w:rPr>
              <w:t>arba devēju konfederācija, Latvijas Tirdzniecības un rūpniecības kamera</w:t>
            </w:r>
          </w:p>
          <w:p w14:paraId="1BDDE363" w14:textId="77777777" w:rsidR="005257A8" w:rsidRPr="00CB3505" w:rsidRDefault="005257A8" w:rsidP="005257A8">
            <w:pPr>
              <w:pStyle w:val="NormalWeb"/>
              <w:spacing w:before="0" w:beforeAutospacing="0" w:after="0" w:afterAutospacing="0"/>
              <w:rPr>
                <w:color w:val="000000" w:themeColor="text1"/>
              </w:rPr>
            </w:pPr>
          </w:p>
        </w:tc>
      </w:tr>
      <w:tr w:rsidR="00CB3505" w:rsidRPr="00CB3505" w14:paraId="2F12CF5D" w14:textId="77777777" w:rsidTr="00F66042">
        <w:tc>
          <w:tcPr>
            <w:tcW w:w="5920" w:type="dxa"/>
          </w:tcPr>
          <w:p w14:paraId="1900AF34" w14:textId="77777777" w:rsidR="007F7195" w:rsidRPr="00CB3505" w:rsidRDefault="007F7195" w:rsidP="00F66042">
            <w:pPr>
              <w:pStyle w:val="naiskr"/>
              <w:spacing w:before="0" w:after="0"/>
              <w:ind w:firstLine="720"/>
              <w:rPr>
                <w:color w:val="000000" w:themeColor="text1"/>
              </w:rPr>
            </w:pPr>
            <w:r w:rsidRPr="00CB3505">
              <w:rPr>
                <w:color w:val="000000" w:themeColor="text1"/>
              </w:rPr>
              <w:t>  </w:t>
            </w:r>
          </w:p>
        </w:tc>
        <w:tc>
          <w:tcPr>
            <w:tcW w:w="8505" w:type="dxa"/>
            <w:gridSpan w:val="2"/>
            <w:tcBorders>
              <w:top w:val="single" w:sz="6" w:space="0" w:color="000000"/>
              <w:bottom w:val="single" w:sz="6" w:space="0" w:color="000000"/>
            </w:tcBorders>
          </w:tcPr>
          <w:p w14:paraId="4A4E0B42" w14:textId="77777777" w:rsidR="007F7195" w:rsidRPr="00CB3505" w:rsidRDefault="007F7195" w:rsidP="00F66042">
            <w:pPr>
              <w:pStyle w:val="naiskr"/>
              <w:spacing w:before="0" w:after="0"/>
              <w:rPr>
                <w:color w:val="000000" w:themeColor="text1"/>
              </w:rPr>
            </w:pPr>
          </w:p>
        </w:tc>
      </w:tr>
      <w:tr w:rsidR="007F7195" w:rsidRPr="00CB3505" w14:paraId="5D61CC20" w14:textId="77777777" w:rsidTr="00F66042">
        <w:trPr>
          <w:trHeight w:val="285"/>
        </w:trPr>
        <w:tc>
          <w:tcPr>
            <w:tcW w:w="5920" w:type="dxa"/>
          </w:tcPr>
          <w:p w14:paraId="7FA9DFA0" w14:textId="77777777" w:rsidR="007F7195" w:rsidRPr="00CB3505" w:rsidRDefault="007F7195" w:rsidP="00F66042">
            <w:pPr>
              <w:pStyle w:val="naiskr"/>
              <w:spacing w:before="0" w:after="0"/>
              <w:rPr>
                <w:color w:val="000000" w:themeColor="text1"/>
              </w:rPr>
            </w:pPr>
          </w:p>
        </w:tc>
        <w:tc>
          <w:tcPr>
            <w:tcW w:w="1203" w:type="dxa"/>
          </w:tcPr>
          <w:p w14:paraId="32F4E9D9" w14:textId="77777777" w:rsidR="007F7195" w:rsidRPr="00CB3505" w:rsidRDefault="007F7195" w:rsidP="00F66042">
            <w:pPr>
              <w:pStyle w:val="naiskr"/>
              <w:spacing w:before="0" w:after="0"/>
              <w:ind w:firstLine="720"/>
              <w:rPr>
                <w:color w:val="000000" w:themeColor="text1"/>
              </w:rPr>
            </w:pPr>
          </w:p>
        </w:tc>
        <w:tc>
          <w:tcPr>
            <w:tcW w:w="7302" w:type="dxa"/>
          </w:tcPr>
          <w:p w14:paraId="78BBF2E2" w14:textId="77777777" w:rsidR="007F7195" w:rsidRPr="00CB3505" w:rsidRDefault="007F7195" w:rsidP="00F66042">
            <w:pPr>
              <w:pStyle w:val="naiskr"/>
              <w:spacing w:before="0" w:after="0"/>
              <w:ind w:firstLine="12"/>
              <w:rPr>
                <w:color w:val="000000" w:themeColor="text1"/>
              </w:rPr>
            </w:pPr>
          </w:p>
        </w:tc>
      </w:tr>
    </w:tbl>
    <w:p w14:paraId="0BE0C391" w14:textId="77777777" w:rsidR="007F7195" w:rsidRPr="00CB3505" w:rsidRDefault="007F7195" w:rsidP="007F7195">
      <w:pPr>
        <w:rPr>
          <w:color w:val="000000" w:themeColor="text1"/>
        </w:rPr>
      </w:pPr>
    </w:p>
    <w:tbl>
      <w:tblPr>
        <w:tblW w:w="14425" w:type="dxa"/>
        <w:tblLook w:val="00A0" w:firstRow="1" w:lastRow="0" w:firstColumn="1" w:lastColumn="0" w:noHBand="0" w:noVBand="0"/>
      </w:tblPr>
      <w:tblGrid>
        <w:gridCol w:w="5920"/>
        <w:gridCol w:w="8505"/>
      </w:tblGrid>
      <w:tr w:rsidR="007F7195" w:rsidRPr="00CB3505" w14:paraId="0E23C09B" w14:textId="77777777" w:rsidTr="00F66042">
        <w:trPr>
          <w:trHeight w:val="285"/>
        </w:trPr>
        <w:tc>
          <w:tcPr>
            <w:tcW w:w="5920" w:type="dxa"/>
          </w:tcPr>
          <w:p w14:paraId="48BB4048" w14:textId="77777777" w:rsidR="007F7195" w:rsidRPr="00CB3505" w:rsidRDefault="007F7195" w:rsidP="00F66042">
            <w:pPr>
              <w:pStyle w:val="naiskr"/>
              <w:spacing w:before="0" w:after="0"/>
              <w:rPr>
                <w:color w:val="000000" w:themeColor="text1"/>
              </w:rPr>
            </w:pPr>
            <w:r w:rsidRPr="00CB3505">
              <w:rPr>
                <w:color w:val="000000" w:themeColor="text1"/>
              </w:rPr>
              <w:t>Saskaņošanas dalībnieki izskatīja šādu ministriju (citu institūciju) iebildumus</w:t>
            </w:r>
          </w:p>
        </w:tc>
        <w:tc>
          <w:tcPr>
            <w:tcW w:w="8505" w:type="dxa"/>
          </w:tcPr>
          <w:p w14:paraId="529DE33F" w14:textId="77777777" w:rsidR="007F7195" w:rsidRPr="00CB3505" w:rsidRDefault="007F7195" w:rsidP="00F66042">
            <w:pPr>
              <w:pStyle w:val="naiskr"/>
              <w:spacing w:before="0" w:after="0"/>
              <w:ind w:firstLine="12"/>
              <w:rPr>
                <w:color w:val="000000" w:themeColor="text1"/>
              </w:rPr>
            </w:pPr>
            <w:r w:rsidRPr="00CB3505">
              <w:rPr>
                <w:color w:val="000000" w:themeColor="text1"/>
              </w:rPr>
              <w:t>Tieslietu m</w:t>
            </w:r>
            <w:r w:rsidR="006D6354" w:rsidRPr="00CB3505">
              <w:rPr>
                <w:color w:val="000000" w:themeColor="text1"/>
              </w:rPr>
              <w:t>inistrijas</w:t>
            </w:r>
            <w:r w:rsidR="00087520" w:rsidRPr="00CB3505">
              <w:rPr>
                <w:color w:val="000000" w:themeColor="text1"/>
                <w:shd w:val="clear" w:color="auto" w:fill="FFFFFF"/>
              </w:rPr>
              <w:t xml:space="preserve"> </w:t>
            </w:r>
            <w:r w:rsidR="00087520">
              <w:rPr>
                <w:color w:val="000000" w:themeColor="text1"/>
                <w:shd w:val="clear" w:color="auto" w:fill="FFFFFF"/>
              </w:rPr>
              <w:t xml:space="preserve">un </w:t>
            </w:r>
            <w:r w:rsidR="00087520" w:rsidRPr="00CB3505">
              <w:rPr>
                <w:color w:val="000000" w:themeColor="text1"/>
                <w:shd w:val="clear" w:color="auto" w:fill="FFFFFF"/>
              </w:rPr>
              <w:t>Vides aizsardzības un reģionālās attīstības ministrija</w:t>
            </w:r>
            <w:r w:rsidR="00087520">
              <w:rPr>
                <w:color w:val="000000" w:themeColor="text1"/>
                <w:shd w:val="clear" w:color="auto" w:fill="FFFFFF"/>
              </w:rPr>
              <w:t>s</w:t>
            </w:r>
          </w:p>
        </w:tc>
      </w:tr>
    </w:tbl>
    <w:p w14:paraId="0CA0B02F" w14:textId="77777777" w:rsidR="007F7195" w:rsidRPr="00CB3505" w:rsidRDefault="007F7195" w:rsidP="007F7195">
      <w:pPr>
        <w:pStyle w:val="naisf"/>
        <w:spacing w:before="0" w:after="0"/>
        <w:ind w:firstLine="0"/>
        <w:rPr>
          <w:color w:val="000000" w:themeColor="text1"/>
        </w:rPr>
      </w:pPr>
    </w:p>
    <w:p w14:paraId="0B93C58E" w14:textId="77777777" w:rsidR="009079F3" w:rsidRPr="00CB3505" w:rsidRDefault="009079F3" w:rsidP="009079F3">
      <w:pPr>
        <w:jc w:val="center"/>
        <w:outlineLvl w:val="0"/>
        <w:rPr>
          <w:b/>
          <w:color w:val="000000" w:themeColor="text1"/>
        </w:rPr>
      </w:pPr>
      <w:r w:rsidRPr="00CB3505">
        <w:rPr>
          <w:b/>
          <w:color w:val="000000" w:themeColor="text1"/>
        </w:rPr>
        <w:t>II. Jautājumi, par kuriem saskaņošanā vienošanās ir panākta</w:t>
      </w:r>
    </w:p>
    <w:p w14:paraId="3F0EA131" w14:textId="77777777" w:rsidR="003D0A5A" w:rsidRPr="00CB3505" w:rsidRDefault="003D0A5A" w:rsidP="009F2677">
      <w:pPr>
        <w:pStyle w:val="naisf"/>
        <w:spacing w:before="0" w:after="0"/>
        <w:ind w:firstLine="720"/>
        <w:rPr>
          <w:b/>
          <w:color w:val="000000" w:themeColor="text1"/>
        </w:rPr>
      </w:pPr>
    </w:p>
    <w:p w14:paraId="2F4AAF04" w14:textId="77777777" w:rsidR="00872B64" w:rsidRPr="00CB3505" w:rsidRDefault="00872B64" w:rsidP="009F2677">
      <w:pPr>
        <w:pStyle w:val="naisf"/>
        <w:spacing w:before="0" w:after="0"/>
        <w:ind w:firstLine="720"/>
        <w:rPr>
          <w:color w:val="000000" w:themeColor="text1"/>
        </w:rPr>
      </w:pPr>
    </w:p>
    <w:tbl>
      <w:tblPr>
        <w:tblW w:w="1446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261"/>
        <w:gridCol w:w="3569"/>
        <w:gridCol w:w="1155"/>
        <w:gridCol w:w="2389"/>
        <w:gridCol w:w="14"/>
        <w:gridCol w:w="1094"/>
        <w:gridCol w:w="2308"/>
      </w:tblGrid>
      <w:tr w:rsidR="00CB3505" w:rsidRPr="00CB3505" w14:paraId="4A9F171C" w14:textId="77777777" w:rsidTr="00483402">
        <w:tc>
          <w:tcPr>
            <w:tcW w:w="675" w:type="dxa"/>
            <w:tcBorders>
              <w:top w:val="single" w:sz="6" w:space="0" w:color="000000"/>
              <w:left w:val="single" w:sz="6" w:space="0" w:color="000000"/>
              <w:bottom w:val="single" w:sz="6" w:space="0" w:color="000000"/>
              <w:right w:val="single" w:sz="6" w:space="0" w:color="000000"/>
            </w:tcBorders>
            <w:vAlign w:val="center"/>
          </w:tcPr>
          <w:p w14:paraId="5F28FA9A" w14:textId="77777777" w:rsidR="00A4640B" w:rsidRPr="00CB3505" w:rsidRDefault="00A4640B" w:rsidP="00A4640B">
            <w:pPr>
              <w:pStyle w:val="naisc"/>
              <w:spacing w:before="0" w:after="0"/>
              <w:rPr>
                <w:color w:val="000000" w:themeColor="text1"/>
              </w:rPr>
            </w:pPr>
            <w:r w:rsidRPr="00CB3505">
              <w:rPr>
                <w:color w:val="000000" w:themeColor="text1"/>
              </w:rPr>
              <w:t>Nr. p. k.</w:t>
            </w:r>
          </w:p>
        </w:tc>
        <w:tc>
          <w:tcPr>
            <w:tcW w:w="3261" w:type="dxa"/>
            <w:tcBorders>
              <w:top w:val="single" w:sz="6" w:space="0" w:color="000000"/>
              <w:left w:val="single" w:sz="6" w:space="0" w:color="000000"/>
              <w:bottom w:val="single" w:sz="6" w:space="0" w:color="000000"/>
              <w:right w:val="single" w:sz="6" w:space="0" w:color="000000"/>
            </w:tcBorders>
            <w:vAlign w:val="center"/>
          </w:tcPr>
          <w:p w14:paraId="4222D118" w14:textId="77777777" w:rsidR="00A4640B" w:rsidRPr="00CB3505" w:rsidRDefault="00A4640B" w:rsidP="00A4640B">
            <w:pPr>
              <w:pStyle w:val="naisc"/>
              <w:spacing w:before="0" w:after="0"/>
              <w:ind w:firstLine="12"/>
              <w:rPr>
                <w:color w:val="000000" w:themeColor="text1"/>
              </w:rPr>
            </w:pPr>
            <w:r w:rsidRPr="00CB3505">
              <w:rPr>
                <w:color w:val="000000" w:themeColor="text1"/>
              </w:rPr>
              <w:t>Saskaņošanai nosūtītā projekta redakcija (konkrēta punkta (panta) redakcija)</w:t>
            </w:r>
          </w:p>
        </w:tc>
        <w:tc>
          <w:tcPr>
            <w:tcW w:w="3569" w:type="dxa"/>
            <w:tcBorders>
              <w:top w:val="single" w:sz="6" w:space="0" w:color="000000"/>
              <w:left w:val="single" w:sz="6" w:space="0" w:color="000000"/>
              <w:bottom w:val="single" w:sz="6" w:space="0" w:color="000000"/>
              <w:right w:val="single" w:sz="6" w:space="0" w:color="000000"/>
            </w:tcBorders>
            <w:vAlign w:val="center"/>
          </w:tcPr>
          <w:p w14:paraId="4CBC55D1" w14:textId="77777777" w:rsidR="00A4640B" w:rsidRPr="00CB3505" w:rsidRDefault="00A4640B" w:rsidP="00A4640B">
            <w:pPr>
              <w:pStyle w:val="naisc"/>
              <w:spacing w:before="0" w:after="0"/>
              <w:ind w:right="3"/>
              <w:rPr>
                <w:color w:val="000000" w:themeColor="text1"/>
              </w:rPr>
            </w:pPr>
            <w:r w:rsidRPr="00CB3505">
              <w:rPr>
                <w:color w:val="000000" w:themeColor="text1"/>
              </w:rPr>
              <w:t>Atzinumā norādītais ministrijas (citas institūcijas) iebildums, kā arī saskaņošanā papildus izteiktais iebildums par projekta konkrēto punktu (pantu)</w:t>
            </w:r>
          </w:p>
        </w:tc>
        <w:tc>
          <w:tcPr>
            <w:tcW w:w="3558" w:type="dxa"/>
            <w:gridSpan w:val="3"/>
            <w:tcBorders>
              <w:top w:val="single" w:sz="6" w:space="0" w:color="000000"/>
              <w:left w:val="single" w:sz="6" w:space="0" w:color="000000"/>
              <w:bottom w:val="single" w:sz="6" w:space="0" w:color="000000"/>
              <w:right w:val="single" w:sz="6" w:space="0" w:color="000000"/>
            </w:tcBorders>
            <w:vAlign w:val="center"/>
          </w:tcPr>
          <w:p w14:paraId="7035136E" w14:textId="77777777" w:rsidR="00A4640B" w:rsidRPr="00CB3505" w:rsidRDefault="00A4640B" w:rsidP="00A4640B">
            <w:pPr>
              <w:pStyle w:val="naisc"/>
              <w:spacing w:before="0" w:after="0"/>
              <w:ind w:firstLine="21"/>
              <w:rPr>
                <w:color w:val="000000" w:themeColor="text1"/>
              </w:rPr>
            </w:pPr>
            <w:r w:rsidRPr="00CB3505">
              <w:rPr>
                <w:color w:val="000000" w:themeColor="text1"/>
              </w:rPr>
              <w:t>Atbildīgās ministrijas norāde par to, ka iebildums ir ņemts vērā, vai informācija par saskaņošanā panākto alternatīvo risinājumu</w:t>
            </w:r>
          </w:p>
        </w:tc>
        <w:tc>
          <w:tcPr>
            <w:tcW w:w="3402" w:type="dxa"/>
            <w:gridSpan w:val="2"/>
            <w:tcBorders>
              <w:top w:val="single" w:sz="4" w:space="0" w:color="auto"/>
              <w:left w:val="single" w:sz="4" w:space="0" w:color="auto"/>
              <w:bottom w:val="single" w:sz="4" w:space="0" w:color="auto"/>
            </w:tcBorders>
            <w:vAlign w:val="center"/>
          </w:tcPr>
          <w:p w14:paraId="3F37615E" w14:textId="77777777" w:rsidR="00A4640B" w:rsidRPr="00CB3505" w:rsidRDefault="00A4640B" w:rsidP="00A4640B">
            <w:pPr>
              <w:jc w:val="center"/>
              <w:rPr>
                <w:color w:val="000000" w:themeColor="text1"/>
              </w:rPr>
            </w:pPr>
            <w:r w:rsidRPr="00CB3505">
              <w:rPr>
                <w:color w:val="000000" w:themeColor="text1"/>
              </w:rPr>
              <w:t>Projekta attiecīgā punkta (panta) galīgā redakcija</w:t>
            </w:r>
          </w:p>
        </w:tc>
      </w:tr>
      <w:tr w:rsidR="00CB3505" w:rsidRPr="00CB3505" w14:paraId="61B1CFD9" w14:textId="77777777" w:rsidTr="00483402">
        <w:tc>
          <w:tcPr>
            <w:tcW w:w="675" w:type="dxa"/>
            <w:tcBorders>
              <w:top w:val="single" w:sz="6" w:space="0" w:color="000000"/>
              <w:left w:val="single" w:sz="6" w:space="0" w:color="000000"/>
              <w:bottom w:val="single" w:sz="6" w:space="0" w:color="000000"/>
              <w:right w:val="single" w:sz="6" w:space="0" w:color="000000"/>
            </w:tcBorders>
            <w:vAlign w:val="center"/>
          </w:tcPr>
          <w:p w14:paraId="54465D58" w14:textId="77777777" w:rsidR="00A4640B" w:rsidRPr="00CB3505" w:rsidRDefault="00A4640B" w:rsidP="00A4640B">
            <w:pPr>
              <w:pStyle w:val="naisc"/>
              <w:spacing w:before="0" w:after="0"/>
              <w:rPr>
                <w:color w:val="000000" w:themeColor="text1"/>
              </w:rPr>
            </w:pPr>
            <w:r w:rsidRPr="00CB3505">
              <w:rPr>
                <w:color w:val="000000" w:themeColor="text1"/>
              </w:rPr>
              <w:t>1</w:t>
            </w:r>
          </w:p>
        </w:tc>
        <w:tc>
          <w:tcPr>
            <w:tcW w:w="3261" w:type="dxa"/>
            <w:tcBorders>
              <w:top w:val="single" w:sz="6" w:space="0" w:color="000000"/>
              <w:left w:val="single" w:sz="6" w:space="0" w:color="000000"/>
              <w:bottom w:val="single" w:sz="6" w:space="0" w:color="000000"/>
              <w:right w:val="single" w:sz="6" w:space="0" w:color="000000"/>
            </w:tcBorders>
            <w:vAlign w:val="center"/>
          </w:tcPr>
          <w:p w14:paraId="2A77E072" w14:textId="77777777" w:rsidR="00A4640B" w:rsidRPr="00CB3505" w:rsidRDefault="00A4640B" w:rsidP="00A4640B">
            <w:pPr>
              <w:pStyle w:val="naisc"/>
              <w:spacing w:before="0" w:after="0"/>
              <w:ind w:firstLine="12"/>
              <w:rPr>
                <w:color w:val="000000" w:themeColor="text1"/>
              </w:rPr>
            </w:pPr>
            <w:r w:rsidRPr="00CB3505">
              <w:rPr>
                <w:color w:val="000000" w:themeColor="text1"/>
              </w:rPr>
              <w:t>2</w:t>
            </w:r>
          </w:p>
        </w:tc>
        <w:tc>
          <w:tcPr>
            <w:tcW w:w="3569" w:type="dxa"/>
            <w:tcBorders>
              <w:top w:val="single" w:sz="6" w:space="0" w:color="000000"/>
              <w:left w:val="single" w:sz="6" w:space="0" w:color="000000"/>
              <w:bottom w:val="single" w:sz="6" w:space="0" w:color="000000"/>
              <w:right w:val="single" w:sz="6" w:space="0" w:color="000000"/>
            </w:tcBorders>
            <w:vAlign w:val="center"/>
          </w:tcPr>
          <w:p w14:paraId="53EA4955" w14:textId="77777777" w:rsidR="00A4640B" w:rsidRPr="00CB3505" w:rsidRDefault="00A4640B" w:rsidP="00087520">
            <w:pPr>
              <w:pStyle w:val="naisc"/>
              <w:spacing w:before="100" w:beforeAutospacing="1" w:after="100" w:afterAutospacing="1"/>
              <w:ind w:right="6"/>
              <w:rPr>
                <w:color w:val="000000" w:themeColor="text1"/>
              </w:rPr>
            </w:pPr>
            <w:r w:rsidRPr="00CB3505">
              <w:rPr>
                <w:color w:val="000000" w:themeColor="text1"/>
              </w:rPr>
              <w:t>3</w:t>
            </w:r>
          </w:p>
        </w:tc>
        <w:tc>
          <w:tcPr>
            <w:tcW w:w="3558" w:type="dxa"/>
            <w:gridSpan w:val="3"/>
            <w:tcBorders>
              <w:top w:val="single" w:sz="6" w:space="0" w:color="000000"/>
              <w:left w:val="single" w:sz="6" w:space="0" w:color="000000"/>
              <w:bottom w:val="single" w:sz="6" w:space="0" w:color="000000"/>
              <w:right w:val="single" w:sz="6" w:space="0" w:color="000000"/>
            </w:tcBorders>
            <w:vAlign w:val="center"/>
          </w:tcPr>
          <w:p w14:paraId="5E0C2C80" w14:textId="77777777" w:rsidR="00A4640B" w:rsidRPr="00CB3505" w:rsidRDefault="00A4640B" w:rsidP="00A4640B">
            <w:pPr>
              <w:pStyle w:val="naisc"/>
              <w:spacing w:before="0" w:after="0"/>
              <w:ind w:firstLine="21"/>
              <w:rPr>
                <w:color w:val="000000" w:themeColor="text1"/>
              </w:rPr>
            </w:pPr>
            <w:r w:rsidRPr="00CB3505">
              <w:rPr>
                <w:color w:val="000000" w:themeColor="text1"/>
              </w:rPr>
              <w:t>4</w:t>
            </w:r>
          </w:p>
        </w:tc>
        <w:tc>
          <w:tcPr>
            <w:tcW w:w="3402" w:type="dxa"/>
            <w:gridSpan w:val="2"/>
            <w:tcBorders>
              <w:top w:val="single" w:sz="4" w:space="0" w:color="auto"/>
              <w:left w:val="single" w:sz="4" w:space="0" w:color="auto"/>
              <w:bottom w:val="single" w:sz="4" w:space="0" w:color="auto"/>
            </w:tcBorders>
            <w:vAlign w:val="center"/>
          </w:tcPr>
          <w:p w14:paraId="1414168D" w14:textId="77777777" w:rsidR="00A4640B" w:rsidRPr="00CB3505" w:rsidRDefault="00A4640B" w:rsidP="00A4640B">
            <w:pPr>
              <w:jc w:val="center"/>
              <w:rPr>
                <w:color w:val="000000" w:themeColor="text1"/>
              </w:rPr>
            </w:pPr>
            <w:r w:rsidRPr="00CB3505">
              <w:rPr>
                <w:color w:val="000000" w:themeColor="text1"/>
              </w:rPr>
              <w:t>5</w:t>
            </w:r>
          </w:p>
        </w:tc>
      </w:tr>
      <w:tr w:rsidR="00417DCA" w:rsidRPr="00CB3505" w14:paraId="23DF1404" w14:textId="77777777" w:rsidTr="00483402">
        <w:tc>
          <w:tcPr>
            <w:tcW w:w="14465" w:type="dxa"/>
            <w:gridSpan w:val="8"/>
            <w:tcBorders>
              <w:top w:val="single" w:sz="6" w:space="0" w:color="000000"/>
              <w:left w:val="single" w:sz="6" w:space="0" w:color="000000"/>
              <w:bottom w:val="single" w:sz="6" w:space="0" w:color="000000"/>
            </w:tcBorders>
          </w:tcPr>
          <w:p w14:paraId="10E7B388" w14:textId="3B70BE19" w:rsidR="00417DCA" w:rsidRPr="00087520" w:rsidRDefault="00417DCA" w:rsidP="00417DCA">
            <w:pPr>
              <w:pStyle w:val="Heading1"/>
              <w:spacing w:before="0" w:after="0" w:line="240" w:lineRule="auto"/>
              <w:ind w:firstLine="720"/>
              <w:jc w:val="center"/>
              <w:rPr>
                <w:rFonts w:ascii="Times New Roman" w:hAnsi="Times New Roman"/>
                <w:color w:val="000000"/>
                <w:sz w:val="24"/>
                <w:szCs w:val="24"/>
                <w:lang w:val="lv-LV"/>
              </w:rPr>
            </w:pPr>
            <w:r>
              <w:rPr>
                <w:rFonts w:ascii="Times New Roman" w:hAnsi="Times New Roman"/>
                <w:color w:val="000000"/>
                <w:sz w:val="24"/>
                <w:szCs w:val="24"/>
                <w:lang w:val="lv-LV"/>
              </w:rPr>
              <w:t>Tieslietu ministrijas 19.03.2020. atzinums</w:t>
            </w:r>
          </w:p>
        </w:tc>
      </w:tr>
      <w:tr w:rsidR="00CB3505" w:rsidRPr="00CB3505" w14:paraId="661D1BB7" w14:textId="77777777" w:rsidTr="00483402">
        <w:tc>
          <w:tcPr>
            <w:tcW w:w="675" w:type="dxa"/>
            <w:tcBorders>
              <w:top w:val="single" w:sz="6" w:space="0" w:color="000000"/>
              <w:left w:val="single" w:sz="6" w:space="0" w:color="000000"/>
              <w:bottom w:val="single" w:sz="6" w:space="0" w:color="000000"/>
              <w:right w:val="single" w:sz="6" w:space="0" w:color="000000"/>
            </w:tcBorders>
          </w:tcPr>
          <w:p w14:paraId="7D7FB39C" w14:textId="77777777" w:rsidR="00E44C7B" w:rsidRPr="00CB3505" w:rsidRDefault="00E44C7B" w:rsidP="00E44C7B">
            <w:pPr>
              <w:pStyle w:val="naisc"/>
              <w:spacing w:before="0" w:after="0"/>
              <w:rPr>
                <w:color w:val="000000" w:themeColor="text1"/>
              </w:rPr>
            </w:pPr>
            <w:r w:rsidRPr="00CB3505">
              <w:rPr>
                <w:color w:val="000000" w:themeColor="text1"/>
              </w:rPr>
              <w:t>1.</w:t>
            </w:r>
          </w:p>
        </w:tc>
        <w:tc>
          <w:tcPr>
            <w:tcW w:w="3261" w:type="dxa"/>
            <w:tcBorders>
              <w:top w:val="single" w:sz="6" w:space="0" w:color="000000"/>
              <w:left w:val="single" w:sz="6" w:space="0" w:color="000000"/>
              <w:bottom w:val="single" w:sz="4" w:space="0" w:color="auto"/>
              <w:right w:val="single" w:sz="6" w:space="0" w:color="000000"/>
            </w:tcBorders>
          </w:tcPr>
          <w:p w14:paraId="271A6A93" w14:textId="77777777" w:rsidR="00087520" w:rsidRPr="00087520" w:rsidRDefault="00087520" w:rsidP="009F2914">
            <w:pPr>
              <w:pStyle w:val="Heading1"/>
              <w:spacing w:before="0" w:after="0" w:line="240" w:lineRule="auto"/>
              <w:rPr>
                <w:rFonts w:ascii="Times New Roman" w:hAnsi="Times New Roman"/>
                <w:color w:val="000000"/>
                <w:sz w:val="24"/>
                <w:szCs w:val="24"/>
                <w:lang w:val="lv-LV"/>
              </w:rPr>
            </w:pPr>
            <w:bookmarkStart w:id="0" w:name="_Toc26970361"/>
            <w:r w:rsidRPr="00087520">
              <w:rPr>
                <w:rFonts w:ascii="Times New Roman" w:hAnsi="Times New Roman"/>
                <w:color w:val="000000"/>
                <w:sz w:val="24"/>
                <w:szCs w:val="24"/>
                <w:lang w:val="lv-LV"/>
              </w:rPr>
              <w:t>1. pants. Likuma mērķis</w:t>
            </w:r>
            <w:bookmarkEnd w:id="0"/>
          </w:p>
          <w:p w14:paraId="3B774977" w14:textId="77777777" w:rsidR="00087520" w:rsidRPr="00087520" w:rsidRDefault="00087520" w:rsidP="009F2914">
            <w:pPr>
              <w:pStyle w:val="tv213"/>
              <w:shd w:val="clear" w:color="auto" w:fill="FFFFFF"/>
              <w:spacing w:before="0" w:beforeAutospacing="0" w:after="0" w:afterAutospacing="0"/>
              <w:jc w:val="both"/>
              <w:rPr>
                <w:bCs/>
                <w:color w:val="000000"/>
                <w:szCs w:val="28"/>
                <w:lang w:val="lv-LV"/>
              </w:rPr>
            </w:pPr>
            <w:r w:rsidRPr="00087520">
              <w:rPr>
                <w:bCs/>
                <w:color w:val="000000"/>
                <w:szCs w:val="28"/>
                <w:lang w:val="lv-LV"/>
              </w:rPr>
              <w:t>Šā likuma mērķis ir nodrošināt ie</w:t>
            </w:r>
            <w:bookmarkStart w:id="1" w:name="_GoBack"/>
            <w:bookmarkEnd w:id="1"/>
            <w:r w:rsidRPr="00087520">
              <w:rPr>
                <w:bCs/>
                <w:color w:val="000000"/>
                <w:szCs w:val="28"/>
                <w:lang w:val="lv-LV"/>
              </w:rPr>
              <w:t xml:space="preserve">guldītāju interešu aizsardzību, </w:t>
            </w:r>
            <w:r w:rsidRPr="00087520">
              <w:rPr>
                <w:bCs/>
                <w:color w:val="000000"/>
                <w:szCs w:val="28"/>
                <w:lang w:val="lv-LV"/>
              </w:rPr>
              <w:lastRenderedPageBreak/>
              <w:t>ja akciju sabiedrībā, kuras akcijas iekļautas regulētajā tirgū (turpmāk – sabiedrība), persona iegūst kontroli, akcionāru sapulce lemj par akciju izslēgšanu no regulētā tirgus vai kontrolējošā persona iegūst vismaz 90 procentus no sabiedrības balsstiesībām.</w:t>
            </w:r>
          </w:p>
          <w:p w14:paraId="6A4A3FAE" w14:textId="77777777" w:rsidR="00E44C7B" w:rsidRPr="00CB3505" w:rsidRDefault="00E44C7B" w:rsidP="00E44C7B">
            <w:pPr>
              <w:pStyle w:val="naisc"/>
              <w:spacing w:before="0" w:after="0"/>
              <w:jc w:val="left"/>
              <w:rPr>
                <w:color w:val="000000" w:themeColor="text1"/>
                <w:sz w:val="20"/>
                <w:szCs w:val="20"/>
              </w:rPr>
            </w:pPr>
          </w:p>
        </w:tc>
        <w:tc>
          <w:tcPr>
            <w:tcW w:w="3569" w:type="dxa"/>
            <w:tcBorders>
              <w:top w:val="single" w:sz="6" w:space="0" w:color="000000"/>
              <w:left w:val="single" w:sz="6" w:space="0" w:color="000000"/>
              <w:bottom w:val="single" w:sz="4" w:space="0" w:color="auto"/>
              <w:right w:val="single" w:sz="6" w:space="0" w:color="000000"/>
            </w:tcBorders>
          </w:tcPr>
          <w:p w14:paraId="3D79F42A" w14:textId="705E8B05" w:rsidR="00474064" w:rsidRPr="00CB3505" w:rsidRDefault="00474064" w:rsidP="006D2E29">
            <w:pPr>
              <w:pStyle w:val="NoSpacing"/>
              <w:jc w:val="both"/>
              <w:rPr>
                <w:rFonts w:ascii="Times New Roman" w:hAnsi="Times New Roman"/>
                <w:color w:val="000000" w:themeColor="text1"/>
                <w:sz w:val="24"/>
                <w:szCs w:val="24"/>
              </w:rPr>
            </w:pPr>
            <w:r w:rsidRPr="00CB3505">
              <w:rPr>
                <w:rFonts w:ascii="Times New Roman" w:hAnsi="Times New Roman"/>
                <w:color w:val="000000" w:themeColor="text1"/>
                <w:sz w:val="24"/>
                <w:szCs w:val="24"/>
              </w:rPr>
              <w:lastRenderedPageBreak/>
              <w:t xml:space="preserve">Saskaņā ar Projekta 1. pantu šī likuma mērķis ir nodrošināt ieguldītāju interešu aizsardzību, ja </w:t>
            </w:r>
            <w:r w:rsidRPr="00CB3505">
              <w:rPr>
                <w:rFonts w:ascii="Times New Roman" w:hAnsi="Times New Roman"/>
                <w:color w:val="000000" w:themeColor="text1"/>
                <w:sz w:val="24"/>
                <w:szCs w:val="24"/>
              </w:rPr>
              <w:lastRenderedPageBreak/>
              <w:t xml:space="preserve">akciju sabiedrībā, kuras akcijas iekļautas regulētajā tirgū, persona iegūst kontroli, akcionāru sapulce lemj par akciju izslēgšanu no regulētā tirgus vai kontrolējošā persona iegūst vismaz 90 procentus no sabiedrības balsstiesībām. Tieslietu ministrijas ieskatā ieguldītāju aizsardzība ir jānodrošina vēl vienā gadījumā, kad akcijas tiek izslēgtas no regulētā tirgus, proti, situācijā, kad regulētā tirgus organizators lemj par akciju izslēgšanu no regulēta tirgus. Pretējā gadījumā veidojas situācija, ka gadījumos, kad akciju sabiedrība pieļauj pārkāpumus, kuru rezultātā tās akcijas var tikt izslēgtas no regulēta tirgus, netiek nodrošināta ieguldītāju interešu aizsardzība (kāda tā būtu gadījumā, ja akciju sabiedrība brīvprātīgi lemtu izslēgt akcijas no regulēta tirgus). Ņemot vēra minēto, lūdzam papildināt Projektu ar regulējumu par ieguldītāju aizsardzību gadījumā, kad akcijas tiek izslēgtas no regulēta tirgus, pamatojoties uz regulētā tirgus organizatora lēmumu. </w:t>
            </w:r>
          </w:p>
          <w:p w14:paraId="0A98D610" w14:textId="77777777" w:rsidR="00E44C7B" w:rsidRPr="00CB3505" w:rsidRDefault="00E44C7B" w:rsidP="00E44C7B">
            <w:pPr>
              <w:jc w:val="both"/>
              <w:rPr>
                <w:color w:val="000000" w:themeColor="text1"/>
                <w:lang w:bidi="lo-LA"/>
              </w:rPr>
            </w:pPr>
          </w:p>
        </w:tc>
        <w:tc>
          <w:tcPr>
            <w:tcW w:w="3558" w:type="dxa"/>
            <w:gridSpan w:val="3"/>
            <w:tcBorders>
              <w:top w:val="single" w:sz="6" w:space="0" w:color="000000"/>
              <w:left w:val="single" w:sz="6" w:space="0" w:color="000000"/>
              <w:bottom w:val="single" w:sz="4" w:space="0" w:color="auto"/>
              <w:right w:val="single" w:sz="6" w:space="0" w:color="000000"/>
            </w:tcBorders>
          </w:tcPr>
          <w:p w14:paraId="2458DF62" w14:textId="77777777" w:rsidR="000B73D7" w:rsidRPr="00CB3505" w:rsidRDefault="006D2E29" w:rsidP="006D2E29">
            <w:pPr>
              <w:pStyle w:val="naisc"/>
              <w:spacing w:before="0" w:after="0"/>
              <w:ind w:firstLine="33"/>
              <w:jc w:val="left"/>
              <w:rPr>
                <w:b/>
                <w:color w:val="000000" w:themeColor="text1"/>
              </w:rPr>
            </w:pPr>
            <w:r w:rsidRPr="00CB3505">
              <w:rPr>
                <w:b/>
                <w:color w:val="000000" w:themeColor="text1"/>
              </w:rPr>
              <w:lastRenderedPageBreak/>
              <w:t xml:space="preserve">Iebildums ņemts vērā. </w:t>
            </w:r>
          </w:p>
          <w:p w14:paraId="007E7597" w14:textId="3A49CCDA" w:rsidR="006D2E29" w:rsidRPr="00CB3505" w:rsidRDefault="00087520" w:rsidP="006D2E29">
            <w:pPr>
              <w:jc w:val="both"/>
              <w:rPr>
                <w:rFonts w:eastAsia="Calibri"/>
                <w:color w:val="000000" w:themeColor="text1"/>
                <w:lang w:eastAsia="en-US"/>
              </w:rPr>
            </w:pPr>
            <w:r>
              <w:rPr>
                <w:rFonts w:eastAsia="Calibri"/>
                <w:color w:val="000000" w:themeColor="text1"/>
                <w:lang w:eastAsia="en-US"/>
              </w:rPr>
              <w:t xml:space="preserve">Precizēts likumprojekta 1. pants un likumprojekts papildināts ar jaunu </w:t>
            </w:r>
            <w:r>
              <w:rPr>
                <w:rFonts w:eastAsia="Calibri"/>
                <w:color w:val="000000" w:themeColor="text1"/>
                <w:lang w:eastAsia="en-US"/>
              </w:rPr>
              <w:lastRenderedPageBreak/>
              <w:t>42. pantu</w:t>
            </w:r>
            <w:r w:rsidR="006D2E29" w:rsidRPr="00CB3505">
              <w:rPr>
                <w:rFonts w:eastAsia="Calibri"/>
                <w:color w:val="000000" w:themeColor="text1"/>
                <w:lang w:eastAsia="en-US"/>
              </w:rPr>
              <w:t xml:space="preserve">, kas paredz akcionāram tiesības prasīt akciju atpirkšanu, ja akcijas izslēdz no regulētā tirgus piespiedu kārtā, regulētā tirgus organizētājam vai Finanšu un kapitāla tirgus komisijai pieņemot attiecīgo lēmumu. </w:t>
            </w:r>
          </w:p>
          <w:p w14:paraId="0E71E42C" w14:textId="77777777" w:rsidR="006D2E29" w:rsidRPr="00CB3505" w:rsidRDefault="006D2E29" w:rsidP="006D2E29">
            <w:pPr>
              <w:pStyle w:val="naisc"/>
              <w:spacing w:before="0" w:after="0"/>
              <w:ind w:firstLine="33"/>
              <w:jc w:val="left"/>
              <w:rPr>
                <w:b/>
                <w:color w:val="000000" w:themeColor="text1"/>
              </w:rPr>
            </w:pPr>
          </w:p>
        </w:tc>
        <w:tc>
          <w:tcPr>
            <w:tcW w:w="3402" w:type="dxa"/>
            <w:gridSpan w:val="2"/>
            <w:tcBorders>
              <w:top w:val="single" w:sz="4" w:space="0" w:color="auto"/>
              <w:left w:val="single" w:sz="4" w:space="0" w:color="auto"/>
              <w:bottom w:val="single" w:sz="4" w:space="0" w:color="auto"/>
            </w:tcBorders>
          </w:tcPr>
          <w:p w14:paraId="424B15F2" w14:textId="77777777" w:rsidR="00087520" w:rsidRPr="00087520" w:rsidRDefault="00087520" w:rsidP="009F2914">
            <w:pPr>
              <w:pStyle w:val="Heading1"/>
              <w:spacing w:before="0" w:after="0" w:line="240" w:lineRule="auto"/>
              <w:rPr>
                <w:rFonts w:ascii="Times New Roman" w:hAnsi="Times New Roman"/>
                <w:color w:val="000000"/>
                <w:sz w:val="24"/>
                <w:szCs w:val="24"/>
                <w:lang w:val="lv-LV"/>
              </w:rPr>
            </w:pPr>
            <w:r w:rsidRPr="00087520">
              <w:rPr>
                <w:rFonts w:ascii="Times New Roman" w:hAnsi="Times New Roman"/>
                <w:color w:val="000000"/>
                <w:sz w:val="24"/>
                <w:szCs w:val="24"/>
                <w:lang w:val="lv-LV"/>
              </w:rPr>
              <w:lastRenderedPageBreak/>
              <w:t>1. pants. Likuma mērķis</w:t>
            </w:r>
          </w:p>
          <w:p w14:paraId="5595BF77" w14:textId="77777777" w:rsidR="00087520" w:rsidRPr="00087520" w:rsidRDefault="00087520" w:rsidP="009F2914">
            <w:pPr>
              <w:pStyle w:val="tv213"/>
              <w:shd w:val="clear" w:color="auto" w:fill="FFFFFF"/>
              <w:spacing w:before="0" w:beforeAutospacing="0" w:after="0" w:afterAutospacing="0"/>
              <w:jc w:val="both"/>
              <w:rPr>
                <w:bCs/>
                <w:color w:val="000000"/>
                <w:szCs w:val="28"/>
                <w:lang w:val="lv-LV"/>
              </w:rPr>
            </w:pPr>
            <w:r w:rsidRPr="00087520">
              <w:rPr>
                <w:bCs/>
                <w:color w:val="000000"/>
                <w:szCs w:val="28"/>
                <w:lang w:val="lv-LV"/>
              </w:rPr>
              <w:t xml:space="preserve">Šā likuma mērķis ir nodrošināt ieguldītāju interešu aizsardzību, </w:t>
            </w:r>
            <w:r w:rsidRPr="00087520">
              <w:rPr>
                <w:bCs/>
                <w:color w:val="000000"/>
                <w:szCs w:val="28"/>
                <w:lang w:val="lv-LV"/>
              </w:rPr>
              <w:lastRenderedPageBreak/>
              <w:t>ja akciju sabiedrībā, kuras akcijas iekļautas regulētajā tirgū (turpmāk – sabiedrība), persona iegūst kontroli, akcijas izslēdz no regulētā tirgus vai kontrolējošā persona iegūst vismaz 90 procentus no sabiedrības balsstiesībām.</w:t>
            </w:r>
          </w:p>
          <w:p w14:paraId="6CDF1297" w14:textId="77777777" w:rsidR="00087520" w:rsidRPr="00087520" w:rsidRDefault="00087520" w:rsidP="006D2E29">
            <w:pPr>
              <w:jc w:val="both"/>
              <w:rPr>
                <w:rFonts w:eastAsia="Arial"/>
                <w:color w:val="000000" w:themeColor="text1"/>
              </w:rPr>
            </w:pPr>
          </w:p>
          <w:p w14:paraId="44D92D4E" w14:textId="77777777" w:rsidR="00087520" w:rsidRDefault="00087520" w:rsidP="006D2E29">
            <w:pPr>
              <w:jc w:val="both"/>
              <w:rPr>
                <w:rFonts w:eastAsia="Arial"/>
                <w:b/>
                <w:color w:val="000000" w:themeColor="text1"/>
              </w:rPr>
            </w:pPr>
          </w:p>
          <w:p w14:paraId="5AABEC51" w14:textId="77777777" w:rsidR="006D2E29" w:rsidRPr="00CB3505" w:rsidRDefault="006D2E29" w:rsidP="006D2E29">
            <w:pPr>
              <w:jc w:val="both"/>
              <w:rPr>
                <w:rFonts w:eastAsia="Arial"/>
                <w:b/>
                <w:color w:val="000000" w:themeColor="text1"/>
              </w:rPr>
            </w:pPr>
            <w:r w:rsidRPr="00CB3505">
              <w:rPr>
                <w:rFonts w:eastAsia="Arial"/>
                <w:b/>
                <w:color w:val="000000" w:themeColor="text1"/>
              </w:rPr>
              <w:t>42. Akcionāra pieprasījums sabiedrībai atpirkt akcijas, ja akcijas izslēdz no regulētā tirgus piespiedu kārtā</w:t>
            </w:r>
          </w:p>
          <w:p w14:paraId="1095B73F" w14:textId="77777777" w:rsidR="006D2E29" w:rsidRPr="00CB3505" w:rsidRDefault="006D2E29" w:rsidP="009F2914">
            <w:pPr>
              <w:jc w:val="both"/>
              <w:rPr>
                <w:rFonts w:eastAsia="Arial"/>
                <w:color w:val="000000" w:themeColor="text1"/>
              </w:rPr>
            </w:pPr>
            <w:r w:rsidRPr="00CB3505">
              <w:rPr>
                <w:rFonts w:eastAsia="Arial"/>
                <w:color w:val="000000" w:themeColor="text1"/>
              </w:rPr>
              <w:t xml:space="preserve">(1) Ja Komisija kā sankciju par normatīvo aktu pārkāpumiem piemēro akciju izslēgšanu no regulētā tirgus vai arī regulētā tirgus organizētājs pieņem lēmumu par akciju izslēgšanu no regulētā tirgus atbilstoši regulētā tirgus organizētāja noteikumiem, akcionārs var prasīt, lai sabiedrība atpērk viņam piederošās akcijas, kuras izslēgtas no regulētā tirgus. </w:t>
            </w:r>
          </w:p>
          <w:p w14:paraId="5AA39ADE" w14:textId="77777777" w:rsidR="006D2E29" w:rsidRPr="00CB3505" w:rsidRDefault="006D2E29" w:rsidP="009F2914">
            <w:pPr>
              <w:jc w:val="both"/>
              <w:rPr>
                <w:rFonts w:eastAsia="Arial"/>
                <w:color w:val="000000" w:themeColor="text1"/>
              </w:rPr>
            </w:pPr>
            <w:r w:rsidRPr="00CB3505">
              <w:rPr>
                <w:rFonts w:eastAsia="Arial"/>
                <w:color w:val="000000" w:themeColor="text1"/>
              </w:rPr>
              <w:t xml:space="preserve">(2) Akcionārs var prasīt akciju atpirkšanu tādā skaitā, kas nepārsniedz akciju skaitu, kāds viņam piederēja šā panta pirmajā daļā minētā lēmuma pieņemšanas dienā. Akcijas cena nedrīkst būt zemāka par akcijas vidējo svērto cenu (10. pants) un </w:t>
            </w:r>
            <w:r w:rsidRPr="00CB3505">
              <w:rPr>
                <w:rFonts w:eastAsia="Arial"/>
                <w:color w:val="000000" w:themeColor="text1"/>
              </w:rPr>
              <w:lastRenderedPageBreak/>
              <w:t>akcijas bilances vērtību (11.pants). Akcijas cenu nosaka atbilstoši šā likuma 8. panta pirmajai daļai, 9. panta ceturtajai daļai, 10. un 11.  pantam. Cenas noteikšanas periodu rēķina no šā panta pirmajā daļā minētā lēmuma pieņemšanas.</w:t>
            </w:r>
          </w:p>
          <w:p w14:paraId="51790C37" w14:textId="77777777" w:rsidR="006D2E29" w:rsidRPr="00CB3505" w:rsidRDefault="006D2E29" w:rsidP="009F2914">
            <w:pPr>
              <w:jc w:val="both"/>
              <w:rPr>
                <w:rFonts w:eastAsia="Arial"/>
                <w:color w:val="000000" w:themeColor="text1"/>
              </w:rPr>
            </w:pPr>
            <w:r w:rsidRPr="00CB3505">
              <w:rPr>
                <w:rFonts w:eastAsia="Arial"/>
                <w:color w:val="000000" w:themeColor="text1"/>
              </w:rPr>
              <w:t xml:space="preserve">(3) Akcionārs var pieteikt tiesības prasīt akciju atpirkšanu trīs mēnešu laikā no šā panta pirmajā daļā minētā lēmuma pieņemšanas dienas. Tiesības prasīt akciju atpirkšanu nav šā likuma 4. panta pirmajā daļā minētajam akcionāram. </w:t>
            </w:r>
          </w:p>
          <w:p w14:paraId="2BD68475" w14:textId="00027344" w:rsidR="006D2E29" w:rsidRPr="00CB3505" w:rsidRDefault="006D2E29" w:rsidP="009F2914">
            <w:pPr>
              <w:jc w:val="both"/>
              <w:rPr>
                <w:rFonts w:eastAsia="Arial"/>
                <w:color w:val="000000" w:themeColor="text1"/>
              </w:rPr>
            </w:pPr>
            <w:r w:rsidRPr="00CB3505">
              <w:rPr>
                <w:rFonts w:eastAsia="Arial"/>
                <w:color w:val="000000" w:themeColor="text1"/>
              </w:rPr>
              <w:t xml:space="preserve">(4) Sabiedrība pēc šā panta trešajā daļā minētā termiņa notecējuma veic norēķinus vienlaikus ar visiem akcionāriem, kuri pieteikuši tiesības prasīt akciju atpirkšanu. Sabiedrība veic norēķinus ne vēlāk kā </w:t>
            </w:r>
            <w:r w:rsidR="009F2914">
              <w:rPr>
                <w:rFonts w:eastAsia="Arial"/>
                <w:color w:val="000000" w:themeColor="text1"/>
              </w:rPr>
              <w:t>piecu</w:t>
            </w:r>
            <w:r w:rsidRPr="00CB3505">
              <w:rPr>
                <w:rFonts w:eastAsia="Arial"/>
                <w:color w:val="000000" w:themeColor="text1"/>
              </w:rPr>
              <w:t xml:space="preserve"> darbdienu laikā no šā panta trešajā daļā minētā termiņa notecējuma.</w:t>
            </w:r>
          </w:p>
          <w:p w14:paraId="5FA43440" w14:textId="77777777" w:rsidR="006D2E29" w:rsidRPr="00CB3505" w:rsidRDefault="006D2E29" w:rsidP="009F2914">
            <w:pPr>
              <w:jc w:val="both"/>
              <w:rPr>
                <w:rFonts w:eastAsia="Arial"/>
                <w:color w:val="000000" w:themeColor="text1"/>
              </w:rPr>
            </w:pPr>
            <w:r w:rsidRPr="00CB3505">
              <w:rPr>
                <w:rFonts w:eastAsia="Arial"/>
                <w:color w:val="000000" w:themeColor="text1"/>
              </w:rPr>
              <w:t xml:space="preserve">(5) Šajā pantā paredzētās tiesības prasīt akciju atpirkšanu neierobežo akcionāru tiesības prasīt zaudējumu atlīdzību. </w:t>
            </w:r>
          </w:p>
          <w:p w14:paraId="39755A7C" w14:textId="77777777" w:rsidR="006D2E29" w:rsidRPr="00CB3505" w:rsidRDefault="006D2E29" w:rsidP="00B46A7A">
            <w:pPr>
              <w:jc w:val="both"/>
              <w:rPr>
                <w:color w:val="000000" w:themeColor="text1"/>
                <w:sz w:val="20"/>
                <w:szCs w:val="20"/>
              </w:rPr>
            </w:pPr>
          </w:p>
        </w:tc>
      </w:tr>
      <w:tr w:rsidR="00CB3505" w:rsidRPr="00CB3505" w14:paraId="575A9293" w14:textId="77777777" w:rsidTr="00483402">
        <w:trPr>
          <w:trHeight w:val="54"/>
        </w:trPr>
        <w:tc>
          <w:tcPr>
            <w:tcW w:w="675" w:type="dxa"/>
            <w:tcBorders>
              <w:top w:val="single" w:sz="4" w:space="0" w:color="auto"/>
              <w:left w:val="single" w:sz="6" w:space="0" w:color="000000"/>
              <w:bottom w:val="single" w:sz="6" w:space="0" w:color="000000"/>
              <w:right w:val="single" w:sz="4" w:space="0" w:color="auto"/>
            </w:tcBorders>
          </w:tcPr>
          <w:p w14:paraId="05BD1F10" w14:textId="77777777" w:rsidR="00E44C7B" w:rsidRPr="00CB3505" w:rsidRDefault="00E44C7B" w:rsidP="00E44C7B">
            <w:pPr>
              <w:pStyle w:val="naisc"/>
              <w:spacing w:before="0" w:after="0"/>
              <w:rPr>
                <w:color w:val="000000" w:themeColor="text1"/>
              </w:rPr>
            </w:pPr>
            <w:r w:rsidRPr="00CB3505">
              <w:rPr>
                <w:color w:val="000000" w:themeColor="text1"/>
              </w:rPr>
              <w:lastRenderedPageBreak/>
              <w:t>2.</w:t>
            </w:r>
          </w:p>
        </w:tc>
        <w:tc>
          <w:tcPr>
            <w:tcW w:w="3261" w:type="dxa"/>
            <w:tcBorders>
              <w:top w:val="single" w:sz="4" w:space="0" w:color="auto"/>
              <w:left w:val="single" w:sz="6" w:space="0" w:color="000000"/>
              <w:bottom w:val="single" w:sz="6" w:space="0" w:color="000000"/>
              <w:right w:val="single" w:sz="4" w:space="0" w:color="auto"/>
            </w:tcBorders>
          </w:tcPr>
          <w:p w14:paraId="435D6BA6" w14:textId="77777777" w:rsidR="00E44C7B" w:rsidRPr="00CB3505" w:rsidRDefault="00E44C7B" w:rsidP="00E44C7B">
            <w:pPr>
              <w:pStyle w:val="naisc"/>
              <w:spacing w:before="0" w:after="0"/>
              <w:jc w:val="left"/>
              <w:rPr>
                <w:color w:val="000000" w:themeColor="text1"/>
              </w:rPr>
            </w:pPr>
          </w:p>
        </w:tc>
        <w:tc>
          <w:tcPr>
            <w:tcW w:w="3569" w:type="dxa"/>
            <w:tcBorders>
              <w:top w:val="single" w:sz="4" w:space="0" w:color="auto"/>
              <w:left w:val="single" w:sz="6" w:space="0" w:color="000000"/>
              <w:bottom w:val="single" w:sz="6" w:space="0" w:color="000000"/>
              <w:right w:val="single" w:sz="4" w:space="0" w:color="auto"/>
            </w:tcBorders>
          </w:tcPr>
          <w:p w14:paraId="71F79A0A" w14:textId="77777777" w:rsidR="004B7B6A" w:rsidRPr="00CB3505" w:rsidRDefault="004B7B6A" w:rsidP="00087520">
            <w:pPr>
              <w:pStyle w:val="NoSpacing"/>
              <w:jc w:val="both"/>
              <w:rPr>
                <w:rFonts w:ascii="Times New Roman" w:hAnsi="Times New Roman"/>
                <w:color w:val="000000" w:themeColor="text1"/>
                <w:sz w:val="24"/>
                <w:szCs w:val="24"/>
              </w:rPr>
            </w:pPr>
            <w:r w:rsidRPr="00CB3505">
              <w:rPr>
                <w:rFonts w:ascii="Times New Roman" w:hAnsi="Times New Roman"/>
                <w:color w:val="000000" w:themeColor="text1"/>
                <w:sz w:val="24"/>
                <w:szCs w:val="24"/>
              </w:rPr>
              <w:t xml:space="preserve">Projekta 7. panta pirmajā daļā paredzēts, ka, ja personai vai personām, kuras rīkojas saskaņoti, </w:t>
            </w:r>
            <w:r w:rsidRPr="00CB3505">
              <w:rPr>
                <w:rFonts w:ascii="Times New Roman" w:hAnsi="Times New Roman"/>
                <w:color w:val="000000" w:themeColor="text1"/>
                <w:sz w:val="24"/>
                <w:szCs w:val="24"/>
              </w:rPr>
              <w:lastRenderedPageBreak/>
              <w:t xml:space="preserve">atbilstoši likuma 4. pantam iestājies pienākums izteikt obligāto piedāvājumu, tās nevar izmantot tieši vai netieši iegūtās balsstiesības, ja likuma II nodaļā noteiktajā kārtībā tās neizsaka obligāto piedāvājumu. Projekta 7. panta piektajā daļā paredzēts, ka šā panta pirmajā daļā minēto balsstiesību izmantošanu persona var atsākt pēc piedāvājuma noslēgšanās vai balsstiesību daudzuma samazināšanas zem šī likuma 4. panta pirmajā daļā noteiktā. </w:t>
            </w:r>
          </w:p>
          <w:p w14:paraId="42DD7090" w14:textId="76083114" w:rsidR="004B7B6A" w:rsidRPr="00CB3505" w:rsidRDefault="004B7B6A" w:rsidP="004B7B6A">
            <w:pPr>
              <w:pStyle w:val="NoSpacing"/>
              <w:jc w:val="both"/>
              <w:rPr>
                <w:rFonts w:ascii="Times New Roman" w:hAnsi="Times New Roman"/>
                <w:color w:val="000000" w:themeColor="text1"/>
                <w:sz w:val="24"/>
                <w:szCs w:val="24"/>
              </w:rPr>
            </w:pPr>
            <w:r w:rsidRPr="00CB3505">
              <w:rPr>
                <w:rFonts w:ascii="Times New Roman" w:hAnsi="Times New Roman"/>
                <w:color w:val="000000" w:themeColor="text1"/>
                <w:sz w:val="24"/>
                <w:szCs w:val="24"/>
              </w:rPr>
              <w:t>Vēršam uzmanību, ka, lai gan Projektā ir noteikts, ar kuru brīdi sākas (kad iestājies pienākums izteikt obligāto piedāvājumu) un ar kuru brīdi beidzas (pēc piedāvājuma noslēgšanās) balsstiesību ierobežojums, tomēr šāds formulējums neļauj nepārprotami skaidri secināt balsstiesību ierobežojumu sākuma un beigu brīdi. Ņemot vēra, ka balsstiesības kā no akcijām izrietošas tiesības ir uzskatāmas par īpašuma tiesību sastāvdaļu</w:t>
            </w:r>
            <w:r w:rsidRPr="00CB3505">
              <w:rPr>
                <w:rStyle w:val="FootnoteReference"/>
                <w:rFonts w:ascii="Times New Roman" w:hAnsi="Times New Roman"/>
                <w:color w:val="000000" w:themeColor="text1"/>
                <w:sz w:val="24"/>
                <w:szCs w:val="24"/>
              </w:rPr>
              <w:footnoteReference w:id="1"/>
            </w:r>
            <w:r w:rsidRPr="00CB3505">
              <w:rPr>
                <w:rFonts w:ascii="Times New Roman" w:hAnsi="Times New Roman"/>
                <w:color w:val="000000" w:themeColor="text1"/>
                <w:sz w:val="24"/>
                <w:szCs w:val="24"/>
              </w:rPr>
              <w:t xml:space="preserve">, balsstiesību ierobežojumiem ir </w:t>
            </w:r>
            <w:r w:rsidRPr="00CB3505">
              <w:rPr>
                <w:rFonts w:ascii="Times New Roman" w:hAnsi="Times New Roman"/>
                <w:color w:val="000000" w:themeColor="text1"/>
                <w:sz w:val="24"/>
                <w:szCs w:val="24"/>
              </w:rPr>
              <w:lastRenderedPageBreak/>
              <w:t xml:space="preserve">jābūt nepārprotami skaidriem, tajā skaitā, tas attiecināms uz ierobežojumu sākuma un beigu brīdi. Līdz ar to ir būtiski paskaidrot tiesību ierobežojuma brīža uzsākšanos un izbeigšanos. </w:t>
            </w:r>
          </w:p>
          <w:p w14:paraId="443412C3" w14:textId="77777777" w:rsidR="00E44C7B" w:rsidRPr="00CB3505" w:rsidRDefault="004B7B6A" w:rsidP="004B7B6A">
            <w:pPr>
              <w:pStyle w:val="naisc"/>
              <w:spacing w:before="0" w:after="0"/>
              <w:ind w:left="34"/>
              <w:jc w:val="both"/>
              <w:rPr>
                <w:color w:val="000000" w:themeColor="text1"/>
              </w:rPr>
            </w:pPr>
            <w:r w:rsidRPr="00CB3505">
              <w:rPr>
                <w:color w:val="000000" w:themeColor="text1"/>
              </w:rPr>
              <w:t>Ievērojot minēto, lūdzam iekļaut atbilstošu skaidrojumu par personas balsstiesību ierobežošanas termiņiem Anotācijā.</w:t>
            </w:r>
          </w:p>
        </w:tc>
        <w:tc>
          <w:tcPr>
            <w:tcW w:w="3544" w:type="dxa"/>
            <w:gridSpan w:val="2"/>
            <w:tcBorders>
              <w:top w:val="single" w:sz="4" w:space="0" w:color="auto"/>
              <w:left w:val="single" w:sz="6" w:space="0" w:color="000000"/>
              <w:bottom w:val="single" w:sz="6" w:space="0" w:color="000000"/>
              <w:right w:val="single" w:sz="4" w:space="0" w:color="auto"/>
            </w:tcBorders>
          </w:tcPr>
          <w:p w14:paraId="1CC0A380" w14:textId="77777777" w:rsidR="000E1D1B" w:rsidRPr="00CB3505" w:rsidRDefault="000E1D1B" w:rsidP="000E1D1B">
            <w:pPr>
              <w:pStyle w:val="naisc"/>
              <w:spacing w:before="0" w:after="0"/>
              <w:ind w:firstLine="33"/>
              <w:jc w:val="left"/>
              <w:rPr>
                <w:b/>
                <w:color w:val="000000" w:themeColor="text1"/>
              </w:rPr>
            </w:pPr>
            <w:r w:rsidRPr="00CB3505">
              <w:rPr>
                <w:b/>
                <w:color w:val="000000" w:themeColor="text1"/>
              </w:rPr>
              <w:lastRenderedPageBreak/>
              <w:t xml:space="preserve">Iebildums ņemts vērā. </w:t>
            </w:r>
          </w:p>
          <w:p w14:paraId="254D251E" w14:textId="77777777" w:rsidR="00327599" w:rsidRPr="00CB3505" w:rsidRDefault="000E1D1B" w:rsidP="00327599">
            <w:pPr>
              <w:pStyle w:val="naisc"/>
              <w:spacing w:before="0" w:after="0"/>
              <w:jc w:val="both"/>
              <w:rPr>
                <w:color w:val="000000" w:themeColor="text1"/>
              </w:rPr>
            </w:pPr>
            <w:r w:rsidRPr="00CB3505">
              <w:rPr>
                <w:color w:val="000000" w:themeColor="text1"/>
              </w:rPr>
              <w:t xml:space="preserve">Anotācija papildināta ar skaidrojumu. </w:t>
            </w:r>
          </w:p>
        </w:tc>
        <w:tc>
          <w:tcPr>
            <w:tcW w:w="3416" w:type="dxa"/>
            <w:gridSpan w:val="3"/>
            <w:tcBorders>
              <w:top w:val="single" w:sz="4" w:space="0" w:color="auto"/>
              <w:left w:val="single" w:sz="6" w:space="0" w:color="000000"/>
              <w:bottom w:val="single" w:sz="6" w:space="0" w:color="000000"/>
            </w:tcBorders>
          </w:tcPr>
          <w:p w14:paraId="1B95AB8B" w14:textId="203935EB" w:rsidR="00834CE3" w:rsidRPr="00CB3505" w:rsidRDefault="00BE1607" w:rsidP="00C75B5F">
            <w:pPr>
              <w:spacing w:before="120" w:after="120"/>
              <w:jc w:val="both"/>
              <w:rPr>
                <w:rFonts w:eastAsia="Arial"/>
                <w:color w:val="000000" w:themeColor="text1"/>
              </w:rPr>
            </w:pPr>
            <w:r>
              <w:rPr>
                <w:rFonts w:eastAsia="Arial"/>
                <w:color w:val="000000" w:themeColor="text1"/>
              </w:rPr>
              <w:t>Sk. precizēto a</w:t>
            </w:r>
            <w:r w:rsidR="00834CE3" w:rsidRPr="00CB3505">
              <w:rPr>
                <w:rFonts w:eastAsia="Arial"/>
                <w:color w:val="000000" w:themeColor="text1"/>
              </w:rPr>
              <w:t>notācij</w:t>
            </w:r>
            <w:r>
              <w:rPr>
                <w:rFonts w:eastAsia="Arial"/>
                <w:color w:val="000000" w:themeColor="text1"/>
              </w:rPr>
              <w:t>u</w:t>
            </w:r>
            <w:r w:rsidR="00834CE3" w:rsidRPr="00CB3505">
              <w:rPr>
                <w:rFonts w:eastAsia="Arial"/>
                <w:color w:val="000000" w:themeColor="text1"/>
              </w:rPr>
              <w:t xml:space="preserve">: </w:t>
            </w:r>
          </w:p>
          <w:p w14:paraId="57E2BD73" w14:textId="265B7F97" w:rsidR="00C75B5F" w:rsidRPr="00CB3505" w:rsidRDefault="00834CE3" w:rsidP="00C75B5F">
            <w:pPr>
              <w:spacing w:before="120" w:after="120"/>
              <w:jc w:val="both"/>
              <w:rPr>
                <w:rFonts w:eastAsia="Arial"/>
                <w:color w:val="000000" w:themeColor="text1"/>
              </w:rPr>
            </w:pPr>
            <w:r w:rsidRPr="00CB3505">
              <w:rPr>
                <w:rFonts w:eastAsia="Arial"/>
                <w:color w:val="000000" w:themeColor="text1"/>
              </w:rPr>
              <w:lastRenderedPageBreak/>
              <w:t>"</w:t>
            </w:r>
            <w:r w:rsidR="004B6D5D">
              <w:rPr>
                <w:rFonts w:eastAsia="Arial"/>
                <w:color w:val="000000" w:themeColor="text1"/>
              </w:rPr>
              <w:t>Likump</w:t>
            </w:r>
            <w:r w:rsidR="00C75B5F" w:rsidRPr="00CB3505">
              <w:rPr>
                <w:rFonts w:eastAsia="Arial"/>
                <w:color w:val="000000" w:themeColor="text1"/>
              </w:rPr>
              <w:t xml:space="preserve">rojekts paredz, ka pēc tam, kad akcionāra balsstiesības ir bijušas ierobežotas laikā neizteikta obligātā piedāvājuma dēļ, balsstiesību izmantošanu persona var atsākt pēc piedāvājuma noslēgšanās vai balsstiesību daudzuma samazināšanas zem </w:t>
            </w:r>
            <w:r w:rsidR="004B6D5D">
              <w:rPr>
                <w:rFonts w:eastAsia="Arial"/>
                <w:color w:val="000000" w:themeColor="text1"/>
              </w:rPr>
              <w:t>Likum</w:t>
            </w:r>
            <w:r w:rsidR="00C75B5F" w:rsidRPr="00CB3505">
              <w:rPr>
                <w:rFonts w:eastAsia="Arial"/>
                <w:color w:val="000000" w:themeColor="text1"/>
              </w:rPr>
              <w:t>projektā paredzētā kontroles sliekšņa. Tas nozīmē, ka balsstiesības izmantot kontrolējošais akcionārs var pēc tam, kad izteicis obligāto piedāvājumu un veicis norēķinus ar akcionāriem, kuri atsaucās uz šo piedāvājumu vai arī atsavinājis akcijas, kuras nodrošina kontroli sabiedrībā.</w:t>
            </w:r>
            <w:r w:rsidRPr="00CB3505">
              <w:rPr>
                <w:rFonts w:eastAsia="Arial"/>
                <w:color w:val="000000" w:themeColor="text1"/>
              </w:rPr>
              <w:t>"</w:t>
            </w:r>
            <w:r w:rsidR="00C75B5F" w:rsidRPr="00CB3505">
              <w:rPr>
                <w:rFonts w:eastAsia="Arial"/>
                <w:color w:val="000000" w:themeColor="text1"/>
              </w:rPr>
              <w:t xml:space="preserve"> </w:t>
            </w:r>
          </w:p>
          <w:p w14:paraId="308AC955" w14:textId="77777777" w:rsidR="00E44C7B" w:rsidRPr="00CB3505" w:rsidRDefault="00E44C7B" w:rsidP="00DE492B">
            <w:pPr>
              <w:jc w:val="both"/>
              <w:rPr>
                <w:color w:val="000000" w:themeColor="text1"/>
              </w:rPr>
            </w:pPr>
          </w:p>
        </w:tc>
      </w:tr>
      <w:tr w:rsidR="00CB3505" w:rsidRPr="00CB3505" w14:paraId="201C6FCF" w14:textId="77777777" w:rsidTr="00483402">
        <w:trPr>
          <w:trHeight w:val="54"/>
        </w:trPr>
        <w:tc>
          <w:tcPr>
            <w:tcW w:w="675" w:type="dxa"/>
            <w:tcBorders>
              <w:top w:val="single" w:sz="4" w:space="0" w:color="auto"/>
              <w:left w:val="single" w:sz="6" w:space="0" w:color="000000"/>
              <w:bottom w:val="single" w:sz="6" w:space="0" w:color="000000"/>
              <w:right w:val="single" w:sz="4" w:space="0" w:color="auto"/>
            </w:tcBorders>
          </w:tcPr>
          <w:p w14:paraId="48B6034B" w14:textId="77777777" w:rsidR="00E44C7B" w:rsidRPr="00CB3505" w:rsidRDefault="00E44C7B" w:rsidP="00E44C7B">
            <w:pPr>
              <w:pStyle w:val="naisc"/>
              <w:spacing w:before="0" w:after="0"/>
              <w:rPr>
                <w:color w:val="000000" w:themeColor="text1"/>
              </w:rPr>
            </w:pPr>
            <w:r w:rsidRPr="00CB3505">
              <w:rPr>
                <w:color w:val="000000" w:themeColor="text1"/>
              </w:rPr>
              <w:lastRenderedPageBreak/>
              <w:t>3.</w:t>
            </w:r>
          </w:p>
        </w:tc>
        <w:tc>
          <w:tcPr>
            <w:tcW w:w="3261" w:type="dxa"/>
            <w:tcBorders>
              <w:top w:val="single" w:sz="4" w:space="0" w:color="auto"/>
              <w:left w:val="single" w:sz="6" w:space="0" w:color="000000"/>
              <w:bottom w:val="single" w:sz="6" w:space="0" w:color="000000"/>
              <w:right w:val="single" w:sz="4" w:space="0" w:color="auto"/>
            </w:tcBorders>
          </w:tcPr>
          <w:p w14:paraId="09A931AF" w14:textId="77777777" w:rsidR="00E44C7B" w:rsidRPr="00CB3505" w:rsidRDefault="00E44C7B" w:rsidP="00E44C7B">
            <w:pPr>
              <w:pStyle w:val="naisc"/>
              <w:spacing w:before="0" w:after="0"/>
              <w:jc w:val="both"/>
              <w:rPr>
                <w:color w:val="000000" w:themeColor="text1"/>
              </w:rPr>
            </w:pPr>
          </w:p>
        </w:tc>
        <w:tc>
          <w:tcPr>
            <w:tcW w:w="3569" w:type="dxa"/>
            <w:tcBorders>
              <w:top w:val="single" w:sz="4" w:space="0" w:color="auto"/>
              <w:left w:val="single" w:sz="6" w:space="0" w:color="000000"/>
              <w:bottom w:val="single" w:sz="6" w:space="0" w:color="000000"/>
              <w:right w:val="single" w:sz="4" w:space="0" w:color="auto"/>
            </w:tcBorders>
          </w:tcPr>
          <w:p w14:paraId="3AE3CD75" w14:textId="77777777" w:rsidR="00E44C7B" w:rsidRPr="00CB3505" w:rsidRDefault="004B7B6A" w:rsidP="00E44C7B">
            <w:pPr>
              <w:pStyle w:val="naisc"/>
              <w:spacing w:before="0" w:after="0"/>
              <w:ind w:left="34"/>
              <w:jc w:val="both"/>
              <w:rPr>
                <w:color w:val="000000" w:themeColor="text1"/>
              </w:rPr>
            </w:pPr>
            <w:r w:rsidRPr="00CB3505">
              <w:rPr>
                <w:color w:val="000000" w:themeColor="text1"/>
              </w:rPr>
              <w:t xml:space="preserve">Projekta 13. panta devītā daļa noteic, ka sabiedrības akcijas izslēdz no regulētā tirgus </w:t>
            </w:r>
            <w:r w:rsidRPr="00CB3505">
              <w:rPr>
                <w:color w:val="000000" w:themeColor="text1"/>
                <w:u w:val="single"/>
              </w:rPr>
              <w:t>pēc piedāvājuma noslēgšanās</w:t>
            </w:r>
            <w:r w:rsidRPr="00CB3505">
              <w:rPr>
                <w:color w:val="000000" w:themeColor="text1"/>
              </w:rPr>
              <w:t>. Norādām, ka nav saprotams, ko ietver normā lietotais jēdziens “piedāvājuma noslēgšanās” (kurā brīdī piedāvājums noslēdzas). Ņemot vērā minēto, lūdzam iekļaut atbilstošu skaidrojumu par jēdzienu “piedāvājuma noslēgšanās” Anotācijā vai precizēt attiecīgo Projekta pantu.</w:t>
            </w:r>
          </w:p>
        </w:tc>
        <w:tc>
          <w:tcPr>
            <w:tcW w:w="3544" w:type="dxa"/>
            <w:gridSpan w:val="2"/>
            <w:tcBorders>
              <w:top w:val="single" w:sz="4" w:space="0" w:color="auto"/>
              <w:left w:val="single" w:sz="6" w:space="0" w:color="000000"/>
              <w:bottom w:val="single" w:sz="6" w:space="0" w:color="000000"/>
              <w:right w:val="single" w:sz="4" w:space="0" w:color="auto"/>
            </w:tcBorders>
          </w:tcPr>
          <w:p w14:paraId="504DD4E6" w14:textId="77777777" w:rsidR="00E44C7B" w:rsidRPr="00CB3505" w:rsidRDefault="00834CE3" w:rsidP="00B604ED">
            <w:pPr>
              <w:pStyle w:val="naisc"/>
              <w:spacing w:before="0" w:after="0"/>
              <w:jc w:val="both"/>
              <w:rPr>
                <w:b/>
                <w:color w:val="000000" w:themeColor="text1"/>
              </w:rPr>
            </w:pPr>
            <w:r w:rsidRPr="00CB3505">
              <w:rPr>
                <w:b/>
                <w:color w:val="000000" w:themeColor="text1"/>
              </w:rPr>
              <w:t xml:space="preserve">Iebildums ņemts vērā. </w:t>
            </w:r>
          </w:p>
          <w:p w14:paraId="54ED5BC3" w14:textId="77777777" w:rsidR="00834CE3" w:rsidRPr="00CB3505" w:rsidRDefault="00834CE3" w:rsidP="00B604ED">
            <w:pPr>
              <w:pStyle w:val="naisc"/>
              <w:spacing w:before="0" w:after="0"/>
              <w:jc w:val="both"/>
              <w:rPr>
                <w:color w:val="000000" w:themeColor="text1"/>
              </w:rPr>
            </w:pPr>
            <w:r w:rsidRPr="00CB3505">
              <w:rPr>
                <w:color w:val="000000" w:themeColor="text1"/>
              </w:rPr>
              <w:t xml:space="preserve">Anotācija papildināta ar skaidrojumu. </w:t>
            </w:r>
          </w:p>
        </w:tc>
        <w:tc>
          <w:tcPr>
            <w:tcW w:w="3416" w:type="dxa"/>
            <w:gridSpan w:val="3"/>
            <w:tcBorders>
              <w:top w:val="single" w:sz="4" w:space="0" w:color="auto"/>
              <w:left w:val="single" w:sz="6" w:space="0" w:color="000000"/>
              <w:bottom w:val="single" w:sz="6" w:space="0" w:color="000000"/>
            </w:tcBorders>
          </w:tcPr>
          <w:p w14:paraId="30E62A5F" w14:textId="3CCFD5E4" w:rsidR="00834CE3" w:rsidRPr="00CB3505" w:rsidRDefault="00BE1607" w:rsidP="00B604ED">
            <w:pPr>
              <w:jc w:val="both"/>
              <w:rPr>
                <w:rFonts w:eastAsia="Arial"/>
                <w:color w:val="000000" w:themeColor="text1"/>
              </w:rPr>
            </w:pPr>
            <w:r>
              <w:rPr>
                <w:rFonts w:eastAsia="Arial"/>
                <w:color w:val="000000" w:themeColor="text1"/>
              </w:rPr>
              <w:t>Sk. precizēto anotāciju</w:t>
            </w:r>
            <w:r w:rsidR="00834CE3" w:rsidRPr="00CB3505">
              <w:rPr>
                <w:rFonts w:eastAsia="Arial"/>
                <w:color w:val="000000" w:themeColor="text1"/>
              </w:rPr>
              <w:t>:</w:t>
            </w:r>
          </w:p>
          <w:p w14:paraId="08F452E2" w14:textId="5ADD3C4B" w:rsidR="00E44C7B" w:rsidRPr="00CB3505" w:rsidRDefault="00834CE3" w:rsidP="00834CE3">
            <w:pPr>
              <w:jc w:val="both"/>
              <w:rPr>
                <w:color w:val="000000" w:themeColor="text1"/>
              </w:rPr>
            </w:pPr>
            <w:r w:rsidRPr="00CB3505">
              <w:rPr>
                <w:rFonts w:eastAsia="Arial"/>
                <w:color w:val="000000" w:themeColor="text1"/>
              </w:rPr>
              <w:t xml:space="preserve">"Projektā vienkāršota kārtība akciju faktiskai izslēgšanai no regulētā tirgus, paredzot, ka priekšnoteikums sabiedrības akciju izslēgšanai ir piedāvājuma </w:t>
            </w:r>
            <w:r w:rsidR="003B50BB">
              <w:rPr>
                <w:rFonts w:eastAsia="Arial"/>
                <w:color w:val="000000" w:themeColor="text1"/>
              </w:rPr>
              <w:t>noslēgšanās, proti, ir</w:t>
            </w:r>
            <w:r w:rsidRPr="00CB3505">
              <w:rPr>
                <w:rFonts w:eastAsia="Arial"/>
                <w:color w:val="000000" w:themeColor="text1"/>
              </w:rPr>
              <w:t xml:space="preserve"> veikti norēķini ar akcionāriem, kas atsaukušies uz piedāvājumu."</w:t>
            </w:r>
          </w:p>
        </w:tc>
      </w:tr>
      <w:tr w:rsidR="00CB3505" w:rsidRPr="00CB3505" w14:paraId="2505FBAA" w14:textId="77777777" w:rsidTr="00483402">
        <w:trPr>
          <w:trHeight w:val="54"/>
        </w:trPr>
        <w:tc>
          <w:tcPr>
            <w:tcW w:w="675" w:type="dxa"/>
            <w:tcBorders>
              <w:top w:val="single" w:sz="4" w:space="0" w:color="auto"/>
              <w:left w:val="single" w:sz="6" w:space="0" w:color="000000"/>
              <w:bottom w:val="single" w:sz="6" w:space="0" w:color="000000"/>
              <w:right w:val="single" w:sz="4" w:space="0" w:color="auto"/>
            </w:tcBorders>
          </w:tcPr>
          <w:p w14:paraId="7DFA2B84" w14:textId="77777777" w:rsidR="00E44C7B" w:rsidRPr="00CB3505" w:rsidRDefault="00E44C7B" w:rsidP="00E44C7B">
            <w:pPr>
              <w:jc w:val="center"/>
              <w:rPr>
                <w:color w:val="000000" w:themeColor="text1"/>
              </w:rPr>
            </w:pPr>
            <w:r w:rsidRPr="00CB3505">
              <w:rPr>
                <w:color w:val="000000" w:themeColor="text1"/>
              </w:rPr>
              <w:t>4.</w:t>
            </w:r>
          </w:p>
        </w:tc>
        <w:tc>
          <w:tcPr>
            <w:tcW w:w="3261" w:type="dxa"/>
            <w:tcBorders>
              <w:top w:val="single" w:sz="4" w:space="0" w:color="auto"/>
              <w:left w:val="single" w:sz="6" w:space="0" w:color="000000"/>
              <w:bottom w:val="single" w:sz="6" w:space="0" w:color="000000"/>
              <w:right w:val="single" w:sz="4" w:space="0" w:color="auto"/>
            </w:tcBorders>
          </w:tcPr>
          <w:p w14:paraId="0164668F" w14:textId="77777777" w:rsidR="00A423BE" w:rsidRPr="00CB3505" w:rsidRDefault="00A423BE" w:rsidP="00DA2A3B">
            <w:pPr>
              <w:pStyle w:val="Heading1"/>
              <w:spacing w:before="0" w:after="0" w:line="240" w:lineRule="auto"/>
              <w:rPr>
                <w:rFonts w:ascii="Times New Roman" w:eastAsia="Arial" w:hAnsi="Times New Roman"/>
                <w:color w:val="000000" w:themeColor="text1"/>
                <w:sz w:val="24"/>
                <w:szCs w:val="28"/>
                <w:lang w:val="lv-LV"/>
              </w:rPr>
            </w:pPr>
            <w:r w:rsidRPr="00CB3505">
              <w:rPr>
                <w:rFonts w:ascii="Times New Roman" w:eastAsia="Arial" w:hAnsi="Times New Roman"/>
                <w:color w:val="000000" w:themeColor="text1"/>
                <w:sz w:val="24"/>
                <w:szCs w:val="28"/>
                <w:lang w:val="lv-LV"/>
              </w:rPr>
              <w:t>18. pants. Akciju atsavināšanas un balsstiesību ierobežojumu neattiecināšana uz piedāvājumu</w:t>
            </w:r>
          </w:p>
          <w:p w14:paraId="5A79A406" w14:textId="040F04D2" w:rsidR="00A423BE" w:rsidRPr="00CB3505" w:rsidRDefault="00A423BE" w:rsidP="00DA2A3B">
            <w:pPr>
              <w:jc w:val="both"/>
              <w:rPr>
                <w:color w:val="000000" w:themeColor="text1"/>
                <w:szCs w:val="28"/>
              </w:rPr>
            </w:pPr>
            <w:r w:rsidRPr="00CB3505">
              <w:rPr>
                <w:color w:val="000000" w:themeColor="text1"/>
                <w:szCs w:val="28"/>
              </w:rPr>
              <w:t>(1) Sabiedrība, kuras juridiskā adrese ir Latvijā, statūtos var paredzēt, ka:</w:t>
            </w:r>
            <w:r w:rsidR="00DA2A3B">
              <w:rPr>
                <w:color w:val="000000" w:themeColor="text1"/>
                <w:szCs w:val="28"/>
              </w:rPr>
              <w:t xml:space="preserve"> </w:t>
            </w:r>
            <w:r w:rsidR="007F7C2F" w:rsidRPr="00CB3505">
              <w:rPr>
                <w:color w:val="000000" w:themeColor="text1"/>
                <w:szCs w:val="28"/>
              </w:rPr>
              <w:t>(...)</w:t>
            </w:r>
          </w:p>
          <w:p w14:paraId="31CC41C9" w14:textId="4CE27684" w:rsidR="007F7C2F" w:rsidRPr="00CB3505" w:rsidRDefault="00A423BE" w:rsidP="00DA2A3B">
            <w:pPr>
              <w:jc w:val="both"/>
              <w:rPr>
                <w:color w:val="000000" w:themeColor="text1"/>
                <w:szCs w:val="28"/>
              </w:rPr>
            </w:pPr>
            <w:r w:rsidRPr="00CB3505">
              <w:rPr>
                <w:color w:val="000000" w:themeColor="text1"/>
                <w:szCs w:val="28"/>
              </w:rPr>
              <w:t xml:space="preserve">2) akcionāru sapulcē, kas lemj par šā likuma 17. panta otrajā </w:t>
            </w:r>
            <w:r w:rsidRPr="00CB3505">
              <w:rPr>
                <w:color w:val="000000" w:themeColor="text1"/>
                <w:szCs w:val="28"/>
              </w:rPr>
              <w:lastRenderedPageBreak/>
              <w:t>un trešajā daļā minētajiem jautājumiem, nepiemēro sabiedrības statūtos, sabiedrības un tās akcionāru līgumos noteiktos balsstiesību ierobežojumus;</w:t>
            </w:r>
            <w:r w:rsidR="00DA2A3B">
              <w:rPr>
                <w:color w:val="000000" w:themeColor="text1"/>
                <w:szCs w:val="28"/>
              </w:rPr>
              <w:t xml:space="preserve"> </w:t>
            </w:r>
            <w:r w:rsidR="007F7C2F" w:rsidRPr="00CB3505">
              <w:rPr>
                <w:color w:val="000000" w:themeColor="text1"/>
                <w:szCs w:val="28"/>
              </w:rPr>
              <w:t>(...)</w:t>
            </w:r>
          </w:p>
          <w:p w14:paraId="040492B7" w14:textId="77777777" w:rsidR="00E44C7B" w:rsidRPr="00CB3505" w:rsidRDefault="00E44C7B" w:rsidP="00E44C7B">
            <w:pPr>
              <w:pStyle w:val="naisc"/>
              <w:spacing w:before="0" w:after="0"/>
              <w:jc w:val="both"/>
              <w:rPr>
                <w:color w:val="000000" w:themeColor="text1"/>
              </w:rPr>
            </w:pPr>
          </w:p>
        </w:tc>
        <w:tc>
          <w:tcPr>
            <w:tcW w:w="3569" w:type="dxa"/>
            <w:tcBorders>
              <w:top w:val="single" w:sz="4" w:space="0" w:color="auto"/>
              <w:left w:val="single" w:sz="6" w:space="0" w:color="000000"/>
              <w:bottom w:val="single" w:sz="6" w:space="0" w:color="000000"/>
              <w:right w:val="single" w:sz="4" w:space="0" w:color="auto"/>
            </w:tcBorders>
          </w:tcPr>
          <w:p w14:paraId="3E7D3007" w14:textId="77777777" w:rsidR="004B7B6A" w:rsidRPr="00CB3505" w:rsidRDefault="004B7B6A" w:rsidP="00A423BE">
            <w:pPr>
              <w:pStyle w:val="NormalWeb"/>
              <w:spacing w:before="120" w:beforeAutospacing="0" w:after="120" w:afterAutospacing="0"/>
              <w:ind w:right="11"/>
              <w:jc w:val="both"/>
              <w:rPr>
                <w:color w:val="000000" w:themeColor="text1"/>
              </w:rPr>
            </w:pPr>
            <w:r w:rsidRPr="00CB3505">
              <w:rPr>
                <w:color w:val="000000" w:themeColor="text1"/>
              </w:rPr>
              <w:lastRenderedPageBreak/>
              <w:t xml:space="preserve">Projekta 18. panta pirmās daļas 2. punktā noteikts, ka piedāvājuma termiņā attiecībā uz piedāvājumu nepiemēro </w:t>
            </w:r>
            <w:r w:rsidRPr="00CB3505">
              <w:rPr>
                <w:color w:val="000000" w:themeColor="text1"/>
                <w:u w:val="single"/>
              </w:rPr>
              <w:t>sabiedrības statūtos, sabiedrības un tās akcionāru līgumos, kā arī akcionāru savstarpējos līgumos noteiktos akciju atsavināšanas ierobežojumus.</w:t>
            </w:r>
            <w:r w:rsidRPr="00CB3505">
              <w:rPr>
                <w:color w:val="000000" w:themeColor="text1"/>
              </w:rPr>
              <w:t xml:space="preserve"> </w:t>
            </w:r>
          </w:p>
          <w:p w14:paraId="63A84333" w14:textId="77777777" w:rsidR="004B7B6A" w:rsidRPr="00CB3505" w:rsidRDefault="004B7B6A" w:rsidP="00A423BE">
            <w:pPr>
              <w:pStyle w:val="NormalWeb"/>
              <w:spacing w:before="120" w:beforeAutospacing="0" w:after="120" w:afterAutospacing="0"/>
              <w:ind w:right="11"/>
              <w:jc w:val="both"/>
              <w:rPr>
                <w:color w:val="000000" w:themeColor="text1"/>
              </w:rPr>
            </w:pPr>
            <w:r w:rsidRPr="00CB3505">
              <w:rPr>
                <w:color w:val="000000" w:themeColor="text1"/>
              </w:rPr>
              <w:lastRenderedPageBreak/>
              <w:t xml:space="preserve">Vēršam uzmanību uz to, ka nav skaidrs, kāpēc minētajā normā nav iekļauta atruna par balsstiesību ierobežojumu nepiemērošanu, ņemot vērā akcionāru savstarpējos līgumus. </w:t>
            </w:r>
          </w:p>
          <w:p w14:paraId="4926E061" w14:textId="77777777" w:rsidR="004B7B6A" w:rsidRPr="00CB3505" w:rsidRDefault="004B7B6A" w:rsidP="00A423BE">
            <w:pPr>
              <w:pStyle w:val="NormalWeb"/>
              <w:spacing w:before="120" w:beforeAutospacing="0" w:after="120" w:afterAutospacing="0"/>
              <w:ind w:right="11"/>
              <w:jc w:val="both"/>
              <w:rPr>
                <w:color w:val="000000" w:themeColor="text1"/>
              </w:rPr>
            </w:pPr>
            <w:r w:rsidRPr="00CB3505">
              <w:rPr>
                <w:color w:val="000000" w:themeColor="text1"/>
              </w:rPr>
              <w:t xml:space="preserve">Norādām, ka Eiropas Parlamenta un Padomes 21.04.2004. direktīvas 2004/25/EK par pārņemšanas piedāvājumiem (turpmāk – Pārņemšanas direktīva) 11. panta trešajā punktā ir noteikts, ka balsstiesību ierobežojumus, ko paredz mērķa sabiedrības un tās vērtspapīru turētāju vai mērķa sabiedrības </w:t>
            </w:r>
            <w:r w:rsidRPr="00CB3505">
              <w:rPr>
                <w:color w:val="000000" w:themeColor="text1"/>
                <w:u w:val="single"/>
              </w:rPr>
              <w:t>vērtspapīru turētāju savstarpējas līgumiskas vienošanās</w:t>
            </w:r>
            <w:r w:rsidRPr="00CB3505">
              <w:rPr>
                <w:color w:val="000000" w:themeColor="text1"/>
              </w:rPr>
              <w:t xml:space="preserve">, kuras noslēgtas pēc šīs direktīvas pieņemšanas, nepiemēro akcionāru kopsapulcē, kurā lemj par aizstāvības pasākumiem saskaņā ar 9. pantu.  </w:t>
            </w:r>
          </w:p>
          <w:p w14:paraId="737AD5CE" w14:textId="77777777" w:rsidR="00E44C7B" w:rsidRPr="00CB3505" w:rsidRDefault="004B7B6A" w:rsidP="00A423BE">
            <w:pPr>
              <w:pStyle w:val="NormalWeb"/>
              <w:spacing w:before="120" w:beforeAutospacing="0" w:after="120" w:afterAutospacing="0"/>
              <w:ind w:right="11"/>
              <w:jc w:val="both"/>
              <w:rPr>
                <w:color w:val="000000" w:themeColor="text1"/>
              </w:rPr>
            </w:pPr>
            <w:r w:rsidRPr="00CB3505">
              <w:rPr>
                <w:color w:val="000000" w:themeColor="text1"/>
              </w:rPr>
              <w:t xml:space="preserve">Ievērojot minēto, lūdzam papildināt Projekta 18. panta pirmās daļas 2. punkta regulējumu. </w:t>
            </w:r>
          </w:p>
        </w:tc>
        <w:tc>
          <w:tcPr>
            <w:tcW w:w="3544" w:type="dxa"/>
            <w:gridSpan w:val="2"/>
            <w:tcBorders>
              <w:top w:val="single" w:sz="4" w:space="0" w:color="auto"/>
              <w:left w:val="single" w:sz="6" w:space="0" w:color="000000"/>
              <w:bottom w:val="single" w:sz="6" w:space="0" w:color="000000"/>
              <w:right w:val="single" w:sz="4" w:space="0" w:color="auto"/>
            </w:tcBorders>
          </w:tcPr>
          <w:p w14:paraId="4A69479B" w14:textId="77777777" w:rsidR="00E44C7B" w:rsidRPr="00CB3505" w:rsidRDefault="007F7C2F" w:rsidP="00B604ED">
            <w:pPr>
              <w:pStyle w:val="naisc"/>
              <w:spacing w:before="0" w:after="0"/>
              <w:jc w:val="both"/>
              <w:rPr>
                <w:b/>
                <w:color w:val="000000" w:themeColor="text1"/>
              </w:rPr>
            </w:pPr>
            <w:r w:rsidRPr="00CB3505">
              <w:rPr>
                <w:b/>
                <w:color w:val="000000" w:themeColor="text1"/>
              </w:rPr>
              <w:lastRenderedPageBreak/>
              <w:t xml:space="preserve">Iebildums ņemts vērā. </w:t>
            </w:r>
          </w:p>
          <w:p w14:paraId="43ECE43E" w14:textId="77777777" w:rsidR="007F7C2F" w:rsidRPr="00CB3505" w:rsidRDefault="007F7C2F" w:rsidP="00B604ED">
            <w:pPr>
              <w:pStyle w:val="naisc"/>
              <w:spacing w:before="0" w:after="0"/>
              <w:jc w:val="both"/>
              <w:rPr>
                <w:color w:val="000000" w:themeColor="text1"/>
              </w:rPr>
            </w:pPr>
            <w:r w:rsidRPr="00CB3505">
              <w:rPr>
                <w:color w:val="000000" w:themeColor="text1"/>
              </w:rPr>
              <w:t>Precizēts likumprojekta 18. panta pirmās daļas 2. punkts.</w:t>
            </w:r>
          </w:p>
        </w:tc>
        <w:tc>
          <w:tcPr>
            <w:tcW w:w="3416" w:type="dxa"/>
            <w:gridSpan w:val="3"/>
            <w:tcBorders>
              <w:top w:val="single" w:sz="4" w:space="0" w:color="auto"/>
              <w:left w:val="single" w:sz="6" w:space="0" w:color="000000"/>
              <w:bottom w:val="single" w:sz="6" w:space="0" w:color="000000"/>
            </w:tcBorders>
          </w:tcPr>
          <w:p w14:paraId="71FCFDAE" w14:textId="77777777" w:rsidR="00A423BE" w:rsidRPr="00CB3505" w:rsidRDefault="00A423BE" w:rsidP="00DA2A3B">
            <w:pPr>
              <w:pStyle w:val="Heading1"/>
              <w:spacing w:before="0" w:after="0" w:line="240" w:lineRule="auto"/>
              <w:rPr>
                <w:rFonts w:ascii="Times New Roman" w:eastAsia="Arial" w:hAnsi="Times New Roman"/>
                <w:color w:val="000000" w:themeColor="text1"/>
                <w:sz w:val="24"/>
                <w:szCs w:val="28"/>
                <w:lang w:val="lv-LV"/>
              </w:rPr>
            </w:pPr>
            <w:bookmarkStart w:id="2" w:name="_Toc26970381"/>
            <w:r w:rsidRPr="00CB3505">
              <w:rPr>
                <w:rFonts w:ascii="Times New Roman" w:eastAsia="Arial" w:hAnsi="Times New Roman"/>
                <w:color w:val="000000" w:themeColor="text1"/>
                <w:sz w:val="24"/>
                <w:szCs w:val="28"/>
                <w:lang w:val="lv-LV"/>
              </w:rPr>
              <w:t>1</w:t>
            </w:r>
            <w:r w:rsidR="00B75C6E" w:rsidRPr="00CB3505">
              <w:rPr>
                <w:rFonts w:ascii="Times New Roman" w:eastAsia="Arial" w:hAnsi="Times New Roman"/>
                <w:color w:val="000000" w:themeColor="text1"/>
                <w:sz w:val="24"/>
                <w:szCs w:val="28"/>
                <w:lang w:val="lv-LV"/>
              </w:rPr>
              <w:t>9</w:t>
            </w:r>
            <w:r w:rsidRPr="00CB3505">
              <w:rPr>
                <w:rFonts w:ascii="Times New Roman" w:eastAsia="Arial" w:hAnsi="Times New Roman"/>
                <w:color w:val="000000" w:themeColor="text1"/>
                <w:sz w:val="24"/>
                <w:szCs w:val="28"/>
                <w:lang w:val="lv-LV"/>
              </w:rPr>
              <w:t>. pants. Akciju atsavināšanas un balsstiesību ierobežojumu neattiecināšana uz piedāvājumu</w:t>
            </w:r>
            <w:bookmarkEnd w:id="2"/>
          </w:p>
          <w:p w14:paraId="4CBA9534" w14:textId="6A509874" w:rsidR="00A423BE" w:rsidRPr="00CB3505" w:rsidRDefault="00A423BE" w:rsidP="00DA2A3B">
            <w:pPr>
              <w:jc w:val="both"/>
              <w:rPr>
                <w:color w:val="000000" w:themeColor="text1"/>
                <w:szCs w:val="28"/>
              </w:rPr>
            </w:pPr>
            <w:r w:rsidRPr="00CB3505">
              <w:rPr>
                <w:color w:val="000000" w:themeColor="text1"/>
                <w:szCs w:val="28"/>
              </w:rPr>
              <w:t>(1) Sabiedrība, kuras juridiskā adrese ir Latvijā, statūtos var paredzēt, ka:</w:t>
            </w:r>
            <w:r w:rsidR="00DA2A3B">
              <w:rPr>
                <w:color w:val="000000" w:themeColor="text1"/>
                <w:szCs w:val="28"/>
              </w:rPr>
              <w:t xml:space="preserve"> </w:t>
            </w:r>
            <w:r w:rsidRPr="00CB3505">
              <w:rPr>
                <w:color w:val="000000" w:themeColor="text1"/>
                <w:szCs w:val="28"/>
              </w:rPr>
              <w:t>(...)</w:t>
            </w:r>
          </w:p>
          <w:p w14:paraId="2ECAA2B7" w14:textId="27C91A08" w:rsidR="00A423BE" w:rsidRPr="00CB3505" w:rsidRDefault="00A423BE" w:rsidP="00DA2A3B">
            <w:pPr>
              <w:jc w:val="both"/>
              <w:rPr>
                <w:color w:val="000000" w:themeColor="text1"/>
                <w:szCs w:val="28"/>
              </w:rPr>
            </w:pPr>
            <w:r w:rsidRPr="00CB3505">
              <w:rPr>
                <w:color w:val="000000" w:themeColor="text1"/>
                <w:szCs w:val="28"/>
              </w:rPr>
              <w:t>2) akcionāru sapulcē, kas lemj par šā likuma 1</w:t>
            </w:r>
            <w:r w:rsidR="00DA2A3B">
              <w:rPr>
                <w:color w:val="000000" w:themeColor="text1"/>
                <w:szCs w:val="28"/>
              </w:rPr>
              <w:t>8</w:t>
            </w:r>
            <w:r w:rsidRPr="00CB3505">
              <w:rPr>
                <w:color w:val="000000" w:themeColor="text1"/>
                <w:szCs w:val="28"/>
              </w:rPr>
              <w:t xml:space="preserve">. panta otrajā un trešajā daļā minētajiem </w:t>
            </w:r>
            <w:r w:rsidRPr="00CB3505">
              <w:rPr>
                <w:color w:val="000000" w:themeColor="text1"/>
                <w:szCs w:val="28"/>
              </w:rPr>
              <w:lastRenderedPageBreak/>
              <w:t>jautājumiem, nepiemēro sabiedrības statūtos, sabiedrības un tās akcionāru līgumos, kā arī akcionāru savstarpējos līgumos noteiktos balsstiesību ierobežojumus;</w:t>
            </w:r>
            <w:r w:rsidR="00DA2A3B">
              <w:rPr>
                <w:color w:val="000000" w:themeColor="text1"/>
                <w:szCs w:val="28"/>
              </w:rPr>
              <w:t xml:space="preserve"> </w:t>
            </w:r>
            <w:r w:rsidRPr="00CB3505">
              <w:rPr>
                <w:color w:val="000000" w:themeColor="text1"/>
                <w:szCs w:val="28"/>
              </w:rPr>
              <w:t>(...)</w:t>
            </w:r>
          </w:p>
          <w:p w14:paraId="2ED10DAA" w14:textId="77777777" w:rsidR="00E44C7B" w:rsidRPr="00CB3505" w:rsidRDefault="00E44C7B" w:rsidP="00367F5B">
            <w:pPr>
              <w:jc w:val="both"/>
              <w:rPr>
                <w:color w:val="000000" w:themeColor="text1"/>
              </w:rPr>
            </w:pPr>
          </w:p>
        </w:tc>
      </w:tr>
      <w:tr w:rsidR="00CB3505" w:rsidRPr="00CB3505" w14:paraId="0D2CBB24" w14:textId="77777777" w:rsidTr="00483402">
        <w:trPr>
          <w:trHeight w:val="54"/>
        </w:trPr>
        <w:tc>
          <w:tcPr>
            <w:tcW w:w="675" w:type="dxa"/>
            <w:tcBorders>
              <w:top w:val="single" w:sz="4" w:space="0" w:color="auto"/>
              <w:left w:val="single" w:sz="6" w:space="0" w:color="000000"/>
              <w:bottom w:val="single" w:sz="6" w:space="0" w:color="000000"/>
              <w:right w:val="single" w:sz="4" w:space="0" w:color="auto"/>
            </w:tcBorders>
          </w:tcPr>
          <w:p w14:paraId="7194787B" w14:textId="77777777" w:rsidR="00E44C7B" w:rsidRPr="00CB3505" w:rsidRDefault="00E44C7B" w:rsidP="00E44C7B">
            <w:pPr>
              <w:jc w:val="center"/>
              <w:rPr>
                <w:color w:val="000000" w:themeColor="text1"/>
              </w:rPr>
            </w:pPr>
            <w:r w:rsidRPr="00CB3505">
              <w:rPr>
                <w:color w:val="000000" w:themeColor="text1"/>
              </w:rPr>
              <w:lastRenderedPageBreak/>
              <w:t>5.</w:t>
            </w:r>
          </w:p>
        </w:tc>
        <w:tc>
          <w:tcPr>
            <w:tcW w:w="3261" w:type="dxa"/>
            <w:tcBorders>
              <w:top w:val="single" w:sz="4" w:space="0" w:color="auto"/>
              <w:left w:val="single" w:sz="6" w:space="0" w:color="000000"/>
              <w:bottom w:val="single" w:sz="6" w:space="0" w:color="000000"/>
              <w:right w:val="single" w:sz="4" w:space="0" w:color="auto"/>
            </w:tcBorders>
          </w:tcPr>
          <w:p w14:paraId="67DEEAB6" w14:textId="77777777" w:rsidR="00E22BEB" w:rsidRPr="00CB3505" w:rsidRDefault="00E22BEB" w:rsidP="00E22BEB">
            <w:pPr>
              <w:pStyle w:val="Heading1"/>
              <w:spacing w:before="0" w:after="0" w:line="240" w:lineRule="auto"/>
              <w:jc w:val="both"/>
              <w:rPr>
                <w:rFonts w:ascii="Times New Roman" w:eastAsia="Arial" w:hAnsi="Times New Roman"/>
                <w:color w:val="000000" w:themeColor="text1"/>
                <w:sz w:val="24"/>
                <w:szCs w:val="28"/>
                <w:lang w:val="lv-LV"/>
              </w:rPr>
            </w:pPr>
            <w:bookmarkStart w:id="3" w:name="_Toc26970383"/>
            <w:r w:rsidRPr="00CB3505">
              <w:rPr>
                <w:rFonts w:ascii="Times New Roman" w:eastAsia="Arial" w:hAnsi="Times New Roman"/>
                <w:color w:val="000000" w:themeColor="text1"/>
                <w:sz w:val="24"/>
                <w:szCs w:val="28"/>
                <w:lang w:val="lv-LV"/>
              </w:rPr>
              <w:t>20. pants. Dokumenti atļaujas saņemšanai izteikt piedāvājumu</w:t>
            </w:r>
            <w:bookmarkEnd w:id="3"/>
          </w:p>
          <w:p w14:paraId="6DDF34D6" w14:textId="77777777" w:rsidR="002A3840" w:rsidRPr="00CB3505" w:rsidRDefault="002A3840" w:rsidP="00B60278">
            <w:pPr>
              <w:jc w:val="both"/>
              <w:rPr>
                <w:color w:val="000000" w:themeColor="text1"/>
                <w:szCs w:val="28"/>
              </w:rPr>
            </w:pPr>
            <w:r w:rsidRPr="00CB3505">
              <w:rPr>
                <w:color w:val="000000" w:themeColor="text1"/>
                <w:szCs w:val="28"/>
              </w:rPr>
              <w:t>(...)</w:t>
            </w:r>
          </w:p>
          <w:p w14:paraId="26FAE516" w14:textId="77777777" w:rsidR="00E22BEB" w:rsidRPr="00CB3505" w:rsidRDefault="00E22BEB" w:rsidP="00B60278">
            <w:pPr>
              <w:jc w:val="both"/>
              <w:rPr>
                <w:color w:val="000000" w:themeColor="text1"/>
                <w:szCs w:val="28"/>
              </w:rPr>
            </w:pPr>
            <w:r w:rsidRPr="00CB3505">
              <w:rPr>
                <w:color w:val="000000" w:themeColor="text1"/>
                <w:szCs w:val="28"/>
              </w:rPr>
              <w:t>(4) Dokumenti, kas apliecina līdzekļu pietiekamību, ir:</w:t>
            </w:r>
          </w:p>
          <w:p w14:paraId="023353D7" w14:textId="77777777" w:rsidR="00E22BEB" w:rsidRPr="00CB3505" w:rsidRDefault="00E22BEB" w:rsidP="00B60278">
            <w:pPr>
              <w:jc w:val="both"/>
              <w:rPr>
                <w:color w:val="000000" w:themeColor="text1"/>
                <w:szCs w:val="28"/>
              </w:rPr>
            </w:pPr>
            <w:r w:rsidRPr="00CB3505">
              <w:rPr>
                <w:color w:val="000000" w:themeColor="text1"/>
                <w:szCs w:val="28"/>
              </w:rPr>
              <w:t xml:space="preserve">1) Komisijai adresēts rakstveida apliecinājums vai </w:t>
            </w:r>
            <w:r w:rsidRPr="00CB3505">
              <w:rPr>
                <w:color w:val="000000" w:themeColor="text1"/>
                <w:szCs w:val="28"/>
              </w:rPr>
              <w:lastRenderedPageBreak/>
              <w:t>saistību raksts par līdzekļu piešķiršanu piedāvātājam piedāvājumā paredzēto saistību izpildei, kuru izsniegusi kredītiestāde, ieguldījumu brokeru sabiedrība vai apdrošināšanas sabiedrība, kas reģistrēta:</w:t>
            </w:r>
          </w:p>
          <w:p w14:paraId="0624003A" w14:textId="77777777" w:rsidR="00E22BEB" w:rsidRPr="00CB3505" w:rsidRDefault="00E22BEB" w:rsidP="00B60278">
            <w:pPr>
              <w:jc w:val="both"/>
              <w:rPr>
                <w:color w:val="000000" w:themeColor="text1"/>
                <w:szCs w:val="28"/>
              </w:rPr>
            </w:pPr>
            <w:r w:rsidRPr="00CB3505">
              <w:rPr>
                <w:color w:val="000000" w:themeColor="text1"/>
                <w:szCs w:val="28"/>
              </w:rPr>
              <w:t>a) Latvijā vai citā dalībvalstī;</w:t>
            </w:r>
          </w:p>
          <w:p w14:paraId="2E296F7D" w14:textId="77777777" w:rsidR="00E22BEB" w:rsidRPr="00CB3505" w:rsidRDefault="00E22BEB" w:rsidP="00B60278">
            <w:pPr>
              <w:jc w:val="both"/>
              <w:rPr>
                <w:color w:val="000000" w:themeColor="text1"/>
                <w:szCs w:val="28"/>
              </w:rPr>
            </w:pPr>
            <w:r w:rsidRPr="00CB3505">
              <w:rPr>
                <w:color w:val="000000" w:themeColor="text1"/>
                <w:szCs w:val="28"/>
              </w:rPr>
              <w:t>b) ārvalstī, ja Komisija noslēgusi sadarbības līgumu par informācijas apmaiņu ar attiecīgo ārvalsts uzraudzības iestādi;</w:t>
            </w:r>
          </w:p>
          <w:p w14:paraId="06A6E4A6" w14:textId="77777777" w:rsidR="00E22BEB" w:rsidRPr="00CB3505" w:rsidRDefault="00E22BEB" w:rsidP="00B60278">
            <w:pPr>
              <w:jc w:val="both"/>
              <w:rPr>
                <w:color w:val="000000" w:themeColor="text1"/>
                <w:szCs w:val="28"/>
              </w:rPr>
            </w:pPr>
            <w:r w:rsidRPr="00CB3505">
              <w:rPr>
                <w:color w:val="000000" w:themeColor="text1"/>
                <w:szCs w:val="28"/>
              </w:rPr>
              <w:t>2) izziņa par piedāvātāja mērķa noguldījumu, kuru tas var izmantot tikai norēķiniem par akciju atpirkšanu, ja to izsniegusi:</w:t>
            </w:r>
          </w:p>
          <w:p w14:paraId="4B9E5B28" w14:textId="77777777" w:rsidR="00E22BEB" w:rsidRPr="00CB3505" w:rsidRDefault="00E22BEB" w:rsidP="00B60278">
            <w:pPr>
              <w:jc w:val="both"/>
              <w:rPr>
                <w:color w:val="000000" w:themeColor="text1"/>
                <w:szCs w:val="28"/>
              </w:rPr>
            </w:pPr>
            <w:r w:rsidRPr="00CB3505">
              <w:rPr>
                <w:color w:val="000000" w:themeColor="text1"/>
                <w:szCs w:val="28"/>
              </w:rPr>
              <w:t>a) Latvijā reģistrēta kredītiestāde;</w:t>
            </w:r>
          </w:p>
          <w:p w14:paraId="151BDB1F" w14:textId="77777777" w:rsidR="00E22BEB" w:rsidRPr="00CB3505" w:rsidRDefault="00E22BEB" w:rsidP="00B60278">
            <w:pPr>
              <w:jc w:val="both"/>
              <w:rPr>
                <w:color w:val="000000" w:themeColor="text1"/>
                <w:szCs w:val="28"/>
              </w:rPr>
            </w:pPr>
            <w:r w:rsidRPr="00CB3505">
              <w:rPr>
                <w:color w:val="000000" w:themeColor="text1"/>
                <w:szCs w:val="28"/>
              </w:rPr>
              <w:t>b) citā dalībvalstī reģistrēta kredītiestāde vai ieguldījumu brokeru sabiedrība, kas var pieņemt noguldījumus;</w:t>
            </w:r>
          </w:p>
          <w:p w14:paraId="68B1FE4A" w14:textId="77777777" w:rsidR="00E22BEB" w:rsidRPr="00CB3505" w:rsidRDefault="00E22BEB" w:rsidP="00B60278">
            <w:pPr>
              <w:jc w:val="both"/>
              <w:rPr>
                <w:color w:val="000000" w:themeColor="text1"/>
                <w:szCs w:val="28"/>
              </w:rPr>
            </w:pPr>
            <w:r w:rsidRPr="00CB3505">
              <w:rPr>
                <w:color w:val="000000" w:themeColor="text1"/>
                <w:szCs w:val="28"/>
              </w:rPr>
              <w:t>c) ārvalstī reģistrēta kredītiestāde vai ieguldījumu brokeru sabiedrība, kas var pieņemt noguldījumus, ja Komisija noslēgusi sadarbības līgumu par informācijas apmaiņu ar attiecīgo ārvalsts uzraudzības iestādi.</w:t>
            </w:r>
          </w:p>
          <w:p w14:paraId="0F754868" w14:textId="77777777" w:rsidR="00E44C7B" w:rsidRPr="00CB3505" w:rsidRDefault="00E44C7B" w:rsidP="005F60E0">
            <w:pPr>
              <w:pStyle w:val="naisc"/>
              <w:spacing w:before="0" w:after="0"/>
              <w:jc w:val="left"/>
              <w:rPr>
                <w:color w:val="000000" w:themeColor="text1"/>
              </w:rPr>
            </w:pPr>
          </w:p>
        </w:tc>
        <w:tc>
          <w:tcPr>
            <w:tcW w:w="3569" w:type="dxa"/>
            <w:tcBorders>
              <w:top w:val="single" w:sz="4" w:space="0" w:color="auto"/>
              <w:left w:val="single" w:sz="6" w:space="0" w:color="000000"/>
              <w:bottom w:val="single" w:sz="6" w:space="0" w:color="000000"/>
              <w:right w:val="single" w:sz="4" w:space="0" w:color="auto"/>
            </w:tcBorders>
          </w:tcPr>
          <w:p w14:paraId="21678A5C" w14:textId="77777777" w:rsidR="004B7B6A" w:rsidRPr="00CB3505" w:rsidRDefault="004B7B6A" w:rsidP="00CF3CB9">
            <w:pPr>
              <w:pStyle w:val="NormalWeb"/>
              <w:spacing w:before="120" w:beforeAutospacing="0" w:after="120" w:afterAutospacing="0"/>
              <w:ind w:right="13"/>
              <w:jc w:val="both"/>
              <w:rPr>
                <w:color w:val="000000" w:themeColor="text1"/>
              </w:rPr>
            </w:pPr>
            <w:r w:rsidRPr="00CB3505">
              <w:rPr>
                <w:color w:val="000000" w:themeColor="text1"/>
              </w:rPr>
              <w:lastRenderedPageBreak/>
              <w:t xml:space="preserve">Projekta 20. panta ceturtās daļas 2. punktā noteiktas iestādes, kuras ir tiesīgas izsniegt izziņu par piedāvātāja mērķa noguldījumu, kuru tas var izmantot tikai norēķiniem par akciju atpirkšanu. </w:t>
            </w:r>
          </w:p>
          <w:p w14:paraId="1C33B754" w14:textId="77777777" w:rsidR="004B7B6A" w:rsidRPr="00CB3505" w:rsidRDefault="004B7B6A" w:rsidP="00CF3CB9">
            <w:pPr>
              <w:pStyle w:val="NormalWeb"/>
              <w:spacing w:before="120" w:beforeAutospacing="0" w:after="120" w:afterAutospacing="0"/>
              <w:ind w:right="13"/>
              <w:jc w:val="both"/>
              <w:rPr>
                <w:color w:val="000000" w:themeColor="text1"/>
              </w:rPr>
            </w:pPr>
            <w:r w:rsidRPr="00CB3505">
              <w:rPr>
                <w:color w:val="000000" w:themeColor="text1"/>
              </w:rPr>
              <w:lastRenderedPageBreak/>
              <w:t xml:space="preserve">Norādām, ka nav skaidrs, kāpēc Projekta 20. panta ceturtās daļas 2. punkta a) apakšpunktā nav iekļauts subjekts – ieguldījumu brokeru sabiedrība, taču minētā panta 2. punkta b) un c) apakšpunktos tā ir iekļauta kā iestāde, kura ir tiesīga izsniegt izziņu par piedāvātāja mērķa noguldījumu. Līdz ar to rodas situācija, kad ārpus Latvijas reģistrētas brokeru sabiedrības ir tiesīgas izsniegt izziņu, taču Latvijā reģistrētas nav. </w:t>
            </w:r>
          </w:p>
          <w:p w14:paraId="070CC512" w14:textId="77777777" w:rsidR="00E44C7B" w:rsidRPr="00CB3505" w:rsidRDefault="004B7B6A" w:rsidP="00E22BEB">
            <w:pPr>
              <w:spacing w:before="120" w:after="120"/>
              <w:jc w:val="both"/>
              <w:rPr>
                <w:color w:val="000000" w:themeColor="text1"/>
              </w:rPr>
            </w:pPr>
            <w:r w:rsidRPr="00CB3505">
              <w:rPr>
                <w:color w:val="000000" w:themeColor="text1"/>
              </w:rPr>
              <w:t xml:space="preserve">Ņemot vērā minēto, lūdzam iekļaut atbilstošu skaidrojumu par Anotācijā vai precizēt attiecīgo Projekta pantu. </w:t>
            </w:r>
          </w:p>
        </w:tc>
        <w:tc>
          <w:tcPr>
            <w:tcW w:w="3544" w:type="dxa"/>
            <w:gridSpan w:val="2"/>
            <w:tcBorders>
              <w:top w:val="single" w:sz="4" w:space="0" w:color="auto"/>
              <w:left w:val="single" w:sz="6" w:space="0" w:color="000000"/>
              <w:bottom w:val="single" w:sz="6" w:space="0" w:color="000000"/>
              <w:right w:val="single" w:sz="4" w:space="0" w:color="auto"/>
            </w:tcBorders>
          </w:tcPr>
          <w:p w14:paraId="0FF0F5D2" w14:textId="77777777" w:rsidR="00E22BEB" w:rsidRPr="00CB3505" w:rsidRDefault="00E22BEB" w:rsidP="00E22BEB">
            <w:pPr>
              <w:pStyle w:val="naisc"/>
              <w:spacing w:before="0" w:after="0"/>
              <w:jc w:val="left"/>
              <w:rPr>
                <w:b/>
                <w:color w:val="000000" w:themeColor="text1"/>
              </w:rPr>
            </w:pPr>
            <w:r w:rsidRPr="00CB3505">
              <w:rPr>
                <w:b/>
                <w:color w:val="000000" w:themeColor="text1"/>
              </w:rPr>
              <w:lastRenderedPageBreak/>
              <w:t xml:space="preserve">Iebildums ņemts vērā. </w:t>
            </w:r>
          </w:p>
          <w:p w14:paraId="2A132832" w14:textId="77777777" w:rsidR="00A423BE" w:rsidRPr="00CB3505" w:rsidRDefault="00B75C6E" w:rsidP="00A423BE">
            <w:pPr>
              <w:pStyle w:val="naisc"/>
              <w:spacing w:before="120" w:after="120"/>
              <w:jc w:val="both"/>
              <w:rPr>
                <w:color w:val="000000" w:themeColor="text1"/>
              </w:rPr>
            </w:pPr>
            <w:r w:rsidRPr="00CB3505">
              <w:rPr>
                <w:color w:val="000000" w:themeColor="text1"/>
              </w:rPr>
              <w:t xml:space="preserve">Veiktas izmaiņas likumprojekta 21. pantā. </w:t>
            </w:r>
          </w:p>
        </w:tc>
        <w:tc>
          <w:tcPr>
            <w:tcW w:w="3416" w:type="dxa"/>
            <w:gridSpan w:val="3"/>
            <w:tcBorders>
              <w:top w:val="single" w:sz="4" w:space="0" w:color="auto"/>
              <w:left w:val="single" w:sz="6" w:space="0" w:color="000000"/>
              <w:bottom w:val="single" w:sz="6" w:space="0" w:color="000000"/>
            </w:tcBorders>
          </w:tcPr>
          <w:p w14:paraId="3BF9D4C4" w14:textId="77777777" w:rsidR="002A3840" w:rsidRPr="00CB3505" w:rsidRDefault="002A3840" w:rsidP="002A3840">
            <w:pPr>
              <w:pStyle w:val="Heading1"/>
              <w:spacing w:before="0" w:after="0" w:line="240" w:lineRule="auto"/>
              <w:jc w:val="both"/>
              <w:rPr>
                <w:rFonts w:ascii="Times New Roman" w:eastAsia="Arial" w:hAnsi="Times New Roman"/>
                <w:color w:val="000000" w:themeColor="text1"/>
                <w:sz w:val="24"/>
                <w:szCs w:val="28"/>
                <w:lang w:val="lv-LV"/>
              </w:rPr>
            </w:pPr>
            <w:r w:rsidRPr="00CB3505">
              <w:rPr>
                <w:rFonts w:ascii="Times New Roman" w:eastAsia="Arial" w:hAnsi="Times New Roman"/>
                <w:color w:val="000000" w:themeColor="text1"/>
                <w:sz w:val="24"/>
                <w:szCs w:val="28"/>
                <w:lang w:val="lv-LV"/>
              </w:rPr>
              <w:t>2</w:t>
            </w:r>
            <w:r w:rsidR="00B75C6E" w:rsidRPr="00CB3505">
              <w:rPr>
                <w:rFonts w:ascii="Times New Roman" w:eastAsia="Arial" w:hAnsi="Times New Roman"/>
                <w:color w:val="000000" w:themeColor="text1"/>
                <w:sz w:val="24"/>
                <w:szCs w:val="28"/>
                <w:lang w:val="lv-LV"/>
              </w:rPr>
              <w:t>1</w:t>
            </w:r>
            <w:r w:rsidRPr="00CB3505">
              <w:rPr>
                <w:rFonts w:ascii="Times New Roman" w:eastAsia="Arial" w:hAnsi="Times New Roman"/>
                <w:color w:val="000000" w:themeColor="text1"/>
                <w:sz w:val="24"/>
                <w:szCs w:val="28"/>
                <w:lang w:val="lv-LV"/>
              </w:rPr>
              <w:t>. pants. Dokumenti atļaujas saņemšanai izteikt piedāvājumu</w:t>
            </w:r>
          </w:p>
          <w:p w14:paraId="7A642B6E" w14:textId="77777777" w:rsidR="002A3840" w:rsidRPr="00CB3505" w:rsidRDefault="002A3840" w:rsidP="00B60278">
            <w:pPr>
              <w:jc w:val="both"/>
              <w:rPr>
                <w:color w:val="000000" w:themeColor="text1"/>
                <w:szCs w:val="28"/>
              </w:rPr>
            </w:pPr>
            <w:r w:rsidRPr="00CB3505">
              <w:rPr>
                <w:color w:val="000000" w:themeColor="text1"/>
                <w:szCs w:val="28"/>
              </w:rPr>
              <w:t>(...)</w:t>
            </w:r>
          </w:p>
          <w:p w14:paraId="6FE31F0F" w14:textId="77777777" w:rsidR="002A3840" w:rsidRPr="00CB3505" w:rsidRDefault="002A3840" w:rsidP="00B60278">
            <w:pPr>
              <w:jc w:val="both"/>
              <w:rPr>
                <w:color w:val="000000" w:themeColor="text1"/>
                <w:szCs w:val="28"/>
              </w:rPr>
            </w:pPr>
            <w:r w:rsidRPr="00CB3505">
              <w:rPr>
                <w:color w:val="000000" w:themeColor="text1"/>
                <w:szCs w:val="28"/>
              </w:rPr>
              <w:t xml:space="preserve">(4) Dokuments, kas apliecina līdzekļu pietiekamību, ir Komisijai adresēts rakstveida apliecinājums par līdzekļu </w:t>
            </w:r>
            <w:r w:rsidRPr="00CB3505">
              <w:rPr>
                <w:color w:val="000000" w:themeColor="text1"/>
                <w:szCs w:val="28"/>
              </w:rPr>
              <w:lastRenderedPageBreak/>
              <w:t>esamību vai to piešķiršanu piedāvātājam piedāvājumā paredzēto saistību izpildei, kuru izsniegusi kredītiestāde, ieguldījumu brokeru sabiedrība vai apdrošināšanas sabiedrība, kas reģistrēta:</w:t>
            </w:r>
          </w:p>
          <w:p w14:paraId="772B6547" w14:textId="77777777" w:rsidR="002A3840" w:rsidRPr="00CB3505" w:rsidRDefault="002A3840" w:rsidP="00B60278">
            <w:pPr>
              <w:jc w:val="both"/>
              <w:rPr>
                <w:color w:val="000000" w:themeColor="text1"/>
                <w:szCs w:val="28"/>
              </w:rPr>
            </w:pPr>
            <w:r w:rsidRPr="00CB3505">
              <w:rPr>
                <w:color w:val="000000" w:themeColor="text1"/>
                <w:szCs w:val="28"/>
              </w:rPr>
              <w:t>a) Latvijā vai citā dalībvalstī;</w:t>
            </w:r>
          </w:p>
          <w:p w14:paraId="56D9451C" w14:textId="77777777" w:rsidR="002A3840" w:rsidRPr="00CB3505" w:rsidRDefault="002A3840" w:rsidP="00B60278">
            <w:pPr>
              <w:jc w:val="both"/>
              <w:rPr>
                <w:color w:val="000000" w:themeColor="text1"/>
                <w:sz w:val="28"/>
                <w:szCs w:val="28"/>
              </w:rPr>
            </w:pPr>
            <w:r w:rsidRPr="00CB3505">
              <w:rPr>
                <w:color w:val="000000" w:themeColor="text1"/>
                <w:szCs w:val="28"/>
              </w:rPr>
              <w:t>b) ārvalstī, ja Komisija noslēgusi sadarbības līgumu par informācijas apmaiņu ar attiecīgo ārvalsts uzraudzības iestādi.</w:t>
            </w:r>
          </w:p>
          <w:p w14:paraId="683D27CC" w14:textId="77777777" w:rsidR="00E44C7B" w:rsidRPr="00CB3505" w:rsidRDefault="00E44C7B" w:rsidP="00504BCE">
            <w:pPr>
              <w:jc w:val="both"/>
              <w:rPr>
                <w:color w:val="000000" w:themeColor="text1"/>
              </w:rPr>
            </w:pPr>
          </w:p>
        </w:tc>
      </w:tr>
      <w:tr w:rsidR="00CB3505" w:rsidRPr="00CB3505" w14:paraId="2B387EC7" w14:textId="77777777" w:rsidTr="00483402">
        <w:trPr>
          <w:trHeight w:val="54"/>
        </w:trPr>
        <w:tc>
          <w:tcPr>
            <w:tcW w:w="675" w:type="dxa"/>
            <w:tcBorders>
              <w:top w:val="single" w:sz="4" w:space="0" w:color="auto"/>
              <w:left w:val="single" w:sz="6" w:space="0" w:color="000000"/>
              <w:bottom w:val="single" w:sz="6" w:space="0" w:color="000000"/>
              <w:right w:val="single" w:sz="4" w:space="0" w:color="auto"/>
            </w:tcBorders>
          </w:tcPr>
          <w:p w14:paraId="08141B7D" w14:textId="77777777" w:rsidR="00E44C7B" w:rsidRPr="00CB3505" w:rsidRDefault="00E44C7B" w:rsidP="00E44C7B">
            <w:pPr>
              <w:pStyle w:val="naisc"/>
              <w:spacing w:before="0" w:after="0"/>
              <w:rPr>
                <w:color w:val="000000" w:themeColor="text1"/>
              </w:rPr>
            </w:pPr>
            <w:r w:rsidRPr="00CB3505">
              <w:rPr>
                <w:color w:val="000000" w:themeColor="text1"/>
              </w:rPr>
              <w:lastRenderedPageBreak/>
              <w:t>6.</w:t>
            </w:r>
          </w:p>
        </w:tc>
        <w:tc>
          <w:tcPr>
            <w:tcW w:w="3261" w:type="dxa"/>
            <w:tcBorders>
              <w:top w:val="single" w:sz="4" w:space="0" w:color="auto"/>
              <w:left w:val="single" w:sz="6" w:space="0" w:color="000000"/>
              <w:bottom w:val="single" w:sz="6" w:space="0" w:color="000000"/>
              <w:right w:val="single" w:sz="4" w:space="0" w:color="auto"/>
            </w:tcBorders>
          </w:tcPr>
          <w:p w14:paraId="066F41DC" w14:textId="77777777" w:rsidR="007F7C2F" w:rsidRPr="00CB3505" w:rsidRDefault="007F7C2F" w:rsidP="00B60278">
            <w:pPr>
              <w:pStyle w:val="Heading1"/>
              <w:spacing w:before="0" w:after="0" w:line="240" w:lineRule="auto"/>
              <w:rPr>
                <w:rFonts w:ascii="Times New Roman" w:eastAsia="Arial" w:hAnsi="Times New Roman"/>
                <w:color w:val="000000" w:themeColor="text1"/>
                <w:sz w:val="24"/>
                <w:szCs w:val="28"/>
                <w:lang w:val="lv-LV"/>
              </w:rPr>
            </w:pPr>
            <w:bookmarkStart w:id="4" w:name="_Toc26970384"/>
            <w:r w:rsidRPr="00CB3505">
              <w:rPr>
                <w:rFonts w:ascii="Times New Roman" w:eastAsia="Arial" w:hAnsi="Times New Roman"/>
                <w:color w:val="000000" w:themeColor="text1"/>
                <w:sz w:val="24"/>
                <w:szCs w:val="28"/>
                <w:lang w:val="lv-LV"/>
              </w:rPr>
              <w:t>21. pants. Piedāvājuma prospekts</w:t>
            </w:r>
            <w:bookmarkEnd w:id="4"/>
          </w:p>
          <w:p w14:paraId="753E5848" w14:textId="77777777" w:rsidR="007F7C2F" w:rsidRPr="00CB3505" w:rsidRDefault="007F7C2F" w:rsidP="00B60278">
            <w:pPr>
              <w:jc w:val="both"/>
              <w:rPr>
                <w:color w:val="000000" w:themeColor="text1"/>
              </w:rPr>
            </w:pPr>
            <w:r w:rsidRPr="00CB3505">
              <w:rPr>
                <w:color w:val="000000" w:themeColor="text1"/>
                <w:szCs w:val="28"/>
              </w:rPr>
              <w:t xml:space="preserve">Lai nodrošinātu sabiedrības akcionārus ar informāciju par piedāvājumu, </w:t>
            </w:r>
            <w:r w:rsidRPr="00CB3505">
              <w:rPr>
                <w:color w:val="000000" w:themeColor="text1"/>
              </w:rPr>
              <w:t>piedāvātājs sagatavo prospektu, kurā norāda:</w:t>
            </w:r>
          </w:p>
          <w:p w14:paraId="73CDA74E" w14:textId="77777777" w:rsidR="002B3D9F" w:rsidRPr="00CB3505" w:rsidRDefault="002B3D9F" w:rsidP="00B60278">
            <w:pPr>
              <w:pStyle w:val="tv213"/>
              <w:shd w:val="clear" w:color="auto" w:fill="FFFFFF"/>
              <w:spacing w:before="0" w:beforeAutospacing="0" w:after="0" w:afterAutospacing="0"/>
              <w:jc w:val="both"/>
              <w:rPr>
                <w:color w:val="000000" w:themeColor="text1"/>
                <w:lang w:val="lv-LV"/>
              </w:rPr>
            </w:pPr>
            <w:r w:rsidRPr="00CB3505">
              <w:rPr>
                <w:color w:val="000000" w:themeColor="text1"/>
                <w:lang w:val="lv-LV"/>
              </w:rPr>
              <w:t>(...)</w:t>
            </w:r>
          </w:p>
          <w:p w14:paraId="339863EE" w14:textId="77777777" w:rsidR="002B3D9F" w:rsidRPr="00CB3505" w:rsidRDefault="002B3D9F" w:rsidP="00B60278">
            <w:pPr>
              <w:pStyle w:val="tv213"/>
              <w:shd w:val="clear" w:color="auto" w:fill="FFFFFF"/>
              <w:spacing w:before="0" w:beforeAutospacing="0" w:after="0" w:afterAutospacing="0"/>
              <w:jc w:val="both"/>
              <w:rPr>
                <w:color w:val="000000" w:themeColor="text1"/>
                <w:lang w:val="lv-LV"/>
              </w:rPr>
            </w:pPr>
            <w:r w:rsidRPr="00CB3505">
              <w:rPr>
                <w:color w:val="000000" w:themeColor="text1"/>
                <w:lang w:val="lv-LV"/>
              </w:rPr>
              <w:t>2) informāciju par piedāvātāju:</w:t>
            </w:r>
          </w:p>
          <w:p w14:paraId="783E8064" w14:textId="77777777" w:rsidR="007F7C2F" w:rsidRPr="00CB3505" w:rsidRDefault="007F7C2F" w:rsidP="00B60278">
            <w:pPr>
              <w:pStyle w:val="tv213"/>
              <w:shd w:val="clear" w:color="auto" w:fill="FFFFFF"/>
              <w:spacing w:before="0" w:beforeAutospacing="0" w:after="0" w:afterAutospacing="0"/>
              <w:jc w:val="both"/>
              <w:rPr>
                <w:color w:val="000000" w:themeColor="text1"/>
                <w:shd w:val="clear" w:color="auto" w:fill="FFFFFF"/>
                <w:lang w:val="lv-LV"/>
              </w:rPr>
            </w:pPr>
            <w:r w:rsidRPr="00CB3505">
              <w:rPr>
                <w:color w:val="000000" w:themeColor="text1"/>
                <w:shd w:val="clear" w:color="auto" w:fill="FFFFFF"/>
                <w:lang w:val="lv-LV"/>
              </w:rPr>
              <w:t>(...)</w:t>
            </w:r>
          </w:p>
          <w:p w14:paraId="2A12560C" w14:textId="63B6459C" w:rsidR="002B3D9F" w:rsidRPr="00CB3505" w:rsidRDefault="007F7C2F" w:rsidP="00B60278">
            <w:pPr>
              <w:pStyle w:val="tv213"/>
              <w:shd w:val="clear" w:color="auto" w:fill="FFFFFF"/>
              <w:spacing w:before="0" w:beforeAutospacing="0" w:after="0" w:afterAutospacing="0"/>
              <w:jc w:val="both"/>
              <w:rPr>
                <w:color w:val="000000" w:themeColor="text1"/>
                <w:lang w:val="lv-LV"/>
              </w:rPr>
            </w:pPr>
            <w:r w:rsidRPr="00CB3505">
              <w:rPr>
                <w:color w:val="000000" w:themeColor="text1"/>
                <w:shd w:val="clear" w:color="auto" w:fill="FFFFFF"/>
                <w:lang w:val="lv-LV"/>
              </w:rPr>
              <w:t>b) </w:t>
            </w:r>
            <w:r w:rsidRPr="00CB3505">
              <w:rPr>
                <w:color w:val="000000" w:themeColor="text1"/>
                <w:lang w:val="lv-LV"/>
              </w:rPr>
              <w:t>juridiskai personai — firmu, reģistrācijas numuru, datumu, vietu un juridisko adresi;</w:t>
            </w:r>
            <w:r w:rsidR="00B60278">
              <w:rPr>
                <w:color w:val="000000" w:themeColor="text1"/>
                <w:lang w:val="lv-LV"/>
              </w:rPr>
              <w:t xml:space="preserve"> </w:t>
            </w:r>
            <w:r w:rsidR="002B3D9F" w:rsidRPr="00CB3505">
              <w:rPr>
                <w:color w:val="000000" w:themeColor="text1"/>
                <w:lang w:val="lv-LV"/>
              </w:rPr>
              <w:t>(...)</w:t>
            </w:r>
          </w:p>
          <w:p w14:paraId="1C7BD9A3" w14:textId="77777777" w:rsidR="00E44C7B" w:rsidRPr="00CB3505" w:rsidRDefault="00E44C7B" w:rsidP="005F60E0">
            <w:pPr>
              <w:pStyle w:val="naisc"/>
              <w:spacing w:before="0" w:after="0"/>
              <w:jc w:val="left"/>
              <w:rPr>
                <w:color w:val="000000" w:themeColor="text1"/>
              </w:rPr>
            </w:pPr>
          </w:p>
        </w:tc>
        <w:tc>
          <w:tcPr>
            <w:tcW w:w="3569" w:type="dxa"/>
            <w:tcBorders>
              <w:top w:val="single" w:sz="4" w:space="0" w:color="auto"/>
              <w:left w:val="single" w:sz="6" w:space="0" w:color="000000"/>
              <w:bottom w:val="single" w:sz="6" w:space="0" w:color="000000"/>
              <w:right w:val="single" w:sz="4" w:space="0" w:color="auto"/>
            </w:tcBorders>
          </w:tcPr>
          <w:p w14:paraId="5658FC6F" w14:textId="77777777" w:rsidR="004B7B6A" w:rsidRPr="00CB3505" w:rsidRDefault="004B7B6A" w:rsidP="007F7C2F">
            <w:pPr>
              <w:pStyle w:val="NormalWeb"/>
              <w:spacing w:before="120" w:beforeAutospacing="0" w:after="120" w:afterAutospacing="0"/>
              <w:ind w:right="11"/>
              <w:jc w:val="both"/>
              <w:rPr>
                <w:color w:val="000000" w:themeColor="text1"/>
              </w:rPr>
            </w:pPr>
            <w:r w:rsidRPr="00CB3505">
              <w:rPr>
                <w:color w:val="000000" w:themeColor="text1"/>
              </w:rPr>
              <w:t xml:space="preserve">Projekta 21. panta 2. punkta b) apakšpunktā noteikts, ka, lai nodrošinātu sabiedrības akcionārus ar informāciju par piedāvājumu, piedāvātājs sagatavo prospektu, kurā norāda informāciju par piedāvātāju. Par piedāvātāju - juridisko personu ir jānorāda firmu, reģistrācijas numuru, </w:t>
            </w:r>
            <w:r w:rsidRPr="00CB3505">
              <w:rPr>
                <w:color w:val="000000" w:themeColor="text1"/>
                <w:u w:val="single"/>
              </w:rPr>
              <w:t xml:space="preserve">datumu, vietu </w:t>
            </w:r>
            <w:r w:rsidRPr="00CB3505">
              <w:rPr>
                <w:color w:val="000000" w:themeColor="text1"/>
              </w:rPr>
              <w:t xml:space="preserve">un juridisko adresi. </w:t>
            </w:r>
          </w:p>
          <w:p w14:paraId="2ED90D56" w14:textId="77777777" w:rsidR="004B7B6A" w:rsidRPr="00CB3505" w:rsidRDefault="004B7B6A" w:rsidP="007F7C2F">
            <w:pPr>
              <w:pStyle w:val="NormalWeb"/>
              <w:spacing w:before="120" w:beforeAutospacing="0" w:after="120" w:afterAutospacing="0"/>
              <w:ind w:right="11"/>
              <w:jc w:val="both"/>
              <w:rPr>
                <w:color w:val="000000" w:themeColor="text1"/>
              </w:rPr>
            </w:pPr>
            <w:r w:rsidRPr="00CB3505">
              <w:rPr>
                <w:color w:val="000000" w:themeColor="text1"/>
              </w:rPr>
              <w:t>Norādām, ka nav skaidrs, kāpēc piedāvātājam sagatavotajā prospektā jāiekļauj pozīcijas - reģistrācijas datums un vieta, tādējādi paredzot papildus prasības Pārņemšanas direktīvā paredzētājām. Pārņemšanas direktīvas 6. panta trešā punkta b) apakšpunktā ir noteikts, ka šā panta 2. punktā minētajā piedāvājuma dokumentā obligāti norāda šādu informāciju - piedāvātāja identitāte un, ja piedāvātājs ir uzņēmums, šāda uzņēmuma veids, nosaukums un juridiskā adrese.</w:t>
            </w:r>
          </w:p>
          <w:p w14:paraId="57E15C01" w14:textId="77777777" w:rsidR="00E44C7B" w:rsidRPr="00CB3505" w:rsidRDefault="004B7B6A" w:rsidP="008C3B26">
            <w:pPr>
              <w:pStyle w:val="NormalWeb"/>
              <w:spacing w:before="120" w:beforeAutospacing="0" w:after="120" w:afterAutospacing="0"/>
              <w:ind w:right="11"/>
              <w:jc w:val="both"/>
              <w:rPr>
                <w:color w:val="000000" w:themeColor="text1"/>
              </w:rPr>
            </w:pPr>
            <w:r w:rsidRPr="00CB3505">
              <w:rPr>
                <w:color w:val="000000" w:themeColor="text1"/>
              </w:rPr>
              <w:t xml:space="preserve">Līdz ar to lūdzam dzēst Projekta 21. panta 2. punkta b) apakšpunktā noteikto prasību (reģistrācijas datums un vieta) iekļaušanu prospektā. Vienlaikus aicinām papildināt ar pozīciju – juridiskās personas veids. </w:t>
            </w:r>
          </w:p>
        </w:tc>
        <w:tc>
          <w:tcPr>
            <w:tcW w:w="3544" w:type="dxa"/>
            <w:gridSpan w:val="2"/>
            <w:tcBorders>
              <w:top w:val="single" w:sz="4" w:space="0" w:color="auto"/>
              <w:left w:val="single" w:sz="6" w:space="0" w:color="000000"/>
              <w:bottom w:val="single" w:sz="6" w:space="0" w:color="000000"/>
              <w:right w:val="single" w:sz="4" w:space="0" w:color="auto"/>
            </w:tcBorders>
          </w:tcPr>
          <w:p w14:paraId="7B93824E" w14:textId="77777777" w:rsidR="00253381" w:rsidRPr="00CB3505" w:rsidRDefault="002B3D9F" w:rsidP="0022168B">
            <w:pPr>
              <w:pStyle w:val="naisc"/>
              <w:spacing w:before="0" w:after="0"/>
              <w:jc w:val="both"/>
              <w:rPr>
                <w:b/>
                <w:color w:val="000000" w:themeColor="text1"/>
              </w:rPr>
            </w:pPr>
            <w:r w:rsidRPr="00CB3505">
              <w:rPr>
                <w:b/>
                <w:color w:val="000000" w:themeColor="text1"/>
              </w:rPr>
              <w:t xml:space="preserve">Iebildums ņemts vērā. </w:t>
            </w:r>
          </w:p>
          <w:p w14:paraId="64FAD269" w14:textId="77777777" w:rsidR="002B3D9F" w:rsidRPr="00CB3505" w:rsidRDefault="002B3D9F" w:rsidP="00087520">
            <w:pPr>
              <w:pStyle w:val="naisc"/>
              <w:spacing w:before="0" w:after="0"/>
              <w:jc w:val="both"/>
              <w:rPr>
                <w:color w:val="000000" w:themeColor="text1"/>
              </w:rPr>
            </w:pPr>
            <w:r w:rsidRPr="00CB3505">
              <w:rPr>
                <w:color w:val="000000" w:themeColor="text1"/>
              </w:rPr>
              <w:t xml:space="preserve">Precizēts likumprojekta 21. panta </w:t>
            </w:r>
            <w:r w:rsidR="00C46CFE" w:rsidRPr="00CB3505">
              <w:rPr>
                <w:color w:val="000000" w:themeColor="text1"/>
              </w:rPr>
              <w:t xml:space="preserve">2. </w:t>
            </w:r>
            <w:r w:rsidR="00087520">
              <w:rPr>
                <w:color w:val="000000" w:themeColor="text1"/>
              </w:rPr>
              <w:t>p</w:t>
            </w:r>
            <w:r w:rsidR="00C46CFE" w:rsidRPr="00CB3505">
              <w:rPr>
                <w:color w:val="000000" w:themeColor="text1"/>
              </w:rPr>
              <w:t xml:space="preserve">unkta b) apakšpunkts </w:t>
            </w:r>
            <w:r w:rsidR="00951ABC" w:rsidRPr="00CB3505">
              <w:rPr>
                <w:color w:val="000000" w:themeColor="text1"/>
              </w:rPr>
              <w:t xml:space="preserve">atbilstoši Pārņemšanas direktīvas prasībām. </w:t>
            </w:r>
            <w:r w:rsidRPr="00CB3505">
              <w:rPr>
                <w:color w:val="000000" w:themeColor="text1"/>
              </w:rPr>
              <w:t xml:space="preserve"> </w:t>
            </w:r>
          </w:p>
        </w:tc>
        <w:tc>
          <w:tcPr>
            <w:tcW w:w="3416" w:type="dxa"/>
            <w:gridSpan w:val="3"/>
            <w:tcBorders>
              <w:top w:val="single" w:sz="4" w:space="0" w:color="auto"/>
              <w:left w:val="single" w:sz="6" w:space="0" w:color="000000"/>
              <w:bottom w:val="single" w:sz="6" w:space="0" w:color="000000"/>
            </w:tcBorders>
          </w:tcPr>
          <w:p w14:paraId="0566EB87" w14:textId="77777777" w:rsidR="007F7C2F" w:rsidRPr="00CB3505" w:rsidRDefault="007F7C2F" w:rsidP="00B60278">
            <w:pPr>
              <w:pStyle w:val="Heading1"/>
              <w:spacing w:before="0" w:after="0" w:line="240" w:lineRule="auto"/>
              <w:rPr>
                <w:rFonts w:ascii="Times New Roman" w:eastAsia="Arial" w:hAnsi="Times New Roman"/>
                <w:color w:val="000000" w:themeColor="text1"/>
                <w:sz w:val="24"/>
                <w:szCs w:val="28"/>
                <w:lang w:val="lv-LV"/>
              </w:rPr>
            </w:pPr>
            <w:r w:rsidRPr="00CB3505">
              <w:rPr>
                <w:rFonts w:ascii="Times New Roman" w:eastAsia="Arial" w:hAnsi="Times New Roman"/>
                <w:color w:val="000000" w:themeColor="text1"/>
                <w:sz w:val="24"/>
                <w:szCs w:val="28"/>
                <w:lang w:val="lv-LV"/>
              </w:rPr>
              <w:t>2</w:t>
            </w:r>
            <w:r w:rsidR="00B75C6E" w:rsidRPr="00CB3505">
              <w:rPr>
                <w:rFonts w:ascii="Times New Roman" w:eastAsia="Arial" w:hAnsi="Times New Roman"/>
                <w:color w:val="000000" w:themeColor="text1"/>
                <w:sz w:val="24"/>
                <w:szCs w:val="28"/>
                <w:lang w:val="lv-LV"/>
              </w:rPr>
              <w:t>2</w:t>
            </w:r>
            <w:r w:rsidRPr="00CB3505">
              <w:rPr>
                <w:rFonts w:ascii="Times New Roman" w:eastAsia="Arial" w:hAnsi="Times New Roman"/>
                <w:color w:val="000000" w:themeColor="text1"/>
                <w:sz w:val="24"/>
                <w:szCs w:val="28"/>
                <w:lang w:val="lv-LV"/>
              </w:rPr>
              <w:t>. pants. Piedāvājuma prospekts</w:t>
            </w:r>
          </w:p>
          <w:p w14:paraId="5866444D" w14:textId="77777777" w:rsidR="007F7C2F" w:rsidRPr="00CB3505" w:rsidRDefault="007F7C2F" w:rsidP="00B60278">
            <w:pPr>
              <w:jc w:val="both"/>
              <w:rPr>
                <w:color w:val="000000" w:themeColor="text1"/>
                <w:szCs w:val="28"/>
              </w:rPr>
            </w:pPr>
            <w:r w:rsidRPr="00CB3505">
              <w:rPr>
                <w:color w:val="000000" w:themeColor="text1"/>
                <w:szCs w:val="28"/>
              </w:rPr>
              <w:t>Lai nodrošinātu sabiedrības akcionārus ar informāciju par piedāvājumu, piedāvātājs sagatavo prospektu, kurā norāda:</w:t>
            </w:r>
          </w:p>
          <w:p w14:paraId="665728E5" w14:textId="77777777" w:rsidR="002B3D9F" w:rsidRPr="00CB3505" w:rsidRDefault="002B3D9F" w:rsidP="00B60278">
            <w:pPr>
              <w:pStyle w:val="tv213"/>
              <w:shd w:val="clear" w:color="auto" w:fill="FFFFFF"/>
              <w:spacing w:before="0" w:beforeAutospacing="0" w:after="0" w:afterAutospacing="0"/>
              <w:jc w:val="both"/>
              <w:rPr>
                <w:color w:val="000000" w:themeColor="text1"/>
                <w:lang w:val="lv-LV"/>
              </w:rPr>
            </w:pPr>
            <w:r w:rsidRPr="00CB3505">
              <w:rPr>
                <w:color w:val="000000" w:themeColor="text1"/>
                <w:lang w:val="lv-LV"/>
              </w:rPr>
              <w:t>(...)</w:t>
            </w:r>
          </w:p>
          <w:p w14:paraId="38C8BAC0" w14:textId="77777777" w:rsidR="002B3D9F" w:rsidRPr="00CB3505" w:rsidRDefault="002B3D9F" w:rsidP="00B60278">
            <w:pPr>
              <w:pStyle w:val="tv213"/>
              <w:shd w:val="clear" w:color="auto" w:fill="FFFFFF"/>
              <w:spacing w:before="0" w:beforeAutospacing="0" w:after="0" w:afterAutospacing="0"/>
              <w:jc w:val="both"/>
              <w:rPr>
                <w:color w:val="000000" w:themeColor="text1"/>
                <w:lang w:val="lv-LV"/>
              </w:rPr>
            </w:pPr>
            <w:r w:rsidRPr="00CB3505">
              <w:rPr>
                <w:color w:val="000000" w:themeColor="text1"/>
                <w:lang w:val="lv-LV"/>
              </w:rPr>
              <w:t>2) informāciju par piedāvātāju:</w:t>
            </w:r>
          </w:p>
          <w:p w14:paraId="07B11E43" w14:textId="77777777" w:rsidR="002B3D9F" w:rsidRPr="00CB3505" w:rsidRDefault="002B3D9F" w:rsidP="00B60278">
            <w:pPr>
              <w:pStyle w:val="tv213"/>
              <w:shd w:val="clear" w:color="auto" w:fill="FFFFFF"/>
              <w:spacing w:before="0" w:beforeAutospacing="0" w:after="0" w:afterAutospacing="0"/>
              <w:jc w:val="both"/>
              <w:rPr>
                <w:color w:val="000000" w:themeColor="text1"/>
                <w:shd w:val="clear" w:color="auto" w:fill="FFFFFF"/>
                <w:lang w:val="lv-LV"/>
              </w:rPr>
            </w:pPr>
            <w:r w:rsidRPr="00CB3505">
              <w:rPr>
                <w:color w:val="000000" w:themeColor="text1"/>
                <w:shd w:val="clear" w:color="auto" w:fill="FFFFFF"/>
                <w:lang w:val="lv-LV"/>
              </w:rPr>
              <w:t>(...)</w:t>
            </w:r>
          </w:p>
          <w:p w14:paraId="30E2A0E5" w14:textId="77777777" w:rsidR="007F7C2F" w:rsidRPr="00CB3505" w:rsidRDefault="007F7C2F" w:rsidP="00B60278">
            <w:pPr>
              <w:pStyle w:val="tv213"/>
              <w:shd w:val="clear" w:color="auto" w:fill="FFFFFF"/>
              <w:spacing w:before="0" w:beforeAutospacing="0" w:after="0" w:afterAutospacing="0"/>
              <w:jc w:val="both"/>
              <w:rPr>
                <w:color w:val="000000" w:themeColor="text1"/>
                <w:szCs w:val="28"/>
                <w:lang w:val="lv-LV"/>
              </w:rPr>
            </w:pPr>
            <w:r w:rsidRPr="00CB3505">
              <w:rPr>
                <w:color w:val="000000" w:themeColor="text1"/>
                <w:szCs w:val="28"/>
                <w:shd w:val="clear" w:color="auto" w:fill="FFFFFF"/>
                <w:lang w:val="lv-LV"/>
              </w:rPr>
              <w:t>b) </w:t>
            </w:r>
            <w:r w:rsidRPr="00CB3505">
              <w:rPr>
                <w:color w:val="000000" w:themeColor="text1"/>
                <w:szCs w:val="28"/>
                <w:lang w:val="lv-LV"/>
              </w:rPr>
              <w:t>juridiskai personai — firmu, reģistrācijas numuru, juridisko formu un juridisko adresi;</w:t>
            </w:r>
          </w:p>
          <w:p w14:paraId="01433FA5" w14:textId="77777777" w:rsidR="007F7C2F" w:rsidRPr="00CB3505" w:rsidRDefault="007F7C2F" w:rsidP="00B60278">
            <w:pPr>
              <w:pStyle w:val="tv213"/>
              <w:shd w:val="clear" w:color="auto" w:fill="FFFFFF"/>
              <w:spacing w:before="0" w:beforeAutospacing="0" w:after="0" w:afterAutospacing="0"/>
              <w:jc w:val="both"/>
              <w:rPr>
                <w:color w:val="000000" w:themeColor="text1"/>
                <w:szCs w:val="28"/>
                <w:lang w:val="lv-LV"/>
              </w:rPr>
            </w:pPr>
            <w:r w:rsidRPr="00CB3505">
              <w:rPr>
                <w:color w:val="000000" w:themeColor="text1"/>
                <w:szCs w:val="28"/>
                <w:lang w:val="lv-LV"/>
              </w:rPr>
              <w:t>(...)</w:t>
            </w:r>
          </w:p>
          <w:p w14:paraId="0BED573D" w14:textId="77777777" w:rsidR="00E44C7B" w:rsidRPr="00CB3505" w:rsidRDefault="00E44C7B" w:rsidP="00E44C7B">
            <w:pPr>
              <w:rPr>
                <w:color w:val="000000" w:themeColor="text1"/>
              </w:rPr>
            </w:pPr>
          </w:p>
        </w:tc>
      </w:tr>
      <w:tr w:rsidR="00CB3505" w:rsidRPr="00CB3505" w14:paraId="110326F2" w14:textId="77777777" w:rsidTr="00483402">
        <w:trPr>
          <w:trHeight w:val="4134"/>
        </w:trPr>
        <w:tc>
          <w:tcPr>
            <w:tcW w:w="675" w:type="dxa"/>
            <w:tcBorders>
              <w:top w:val="single" w:sz="4" w:space="0" w:color="auto"/>
              <w:left w:val="single" w:sz="6" w:space="0" w:color="000000"/>
              <w:bottom w:val="single" w:sz="6" w:space="0" w:color="000000"/>
              <w:right w:val="single" w:sz="4" w:space="0" w:color="auto"/>
            </w:tcBorders>
          </w:tcPr>
          <w:p w14:paraId="31645F70" w14:textId="77777777" w:rsidR="00E44C7B" w:rsidRPr="00CB3505" w:rsidRDefault="00E44C7B" w:rsidP="00E44C7B">
            <w:pPr>
              <w:jc w:val="center"/>
              <w:rPr>
                <w:color w:val="000000" w:themeColor="text1"/>
              </w:rPr>
            </w:pPr>
            <w:r w:rsidRPr="00CB3505">
              <w:rPr>
                <w:color w:val="000000" w:themeColor="text1"/>
              </w:rPr>
              <w:lastRenderedPageBreak/>
              <w:t>7.</w:t>
            </w:r>
          </w:p>
        </w:tc>
        <w:tc>
          <w:tcPr>
            <w:tcW w:w="3261" w:type="dxa"/>
            <w:tcBorders>
              <w:top w:val="single" w:sz="4" w:space="0" w:color="auto"/>
              <w:left w:val="single" w:sz="6" w:space="0" w:color="000000"/>
              <w:bottom w:val="single" w:sz="6" w:space="0" w:color="000000"/>
              <w:right w:val="single" w:sz="4" w:space="0" w:color="auto"/>
            </w:tcBorders>
          </w:tcPr>
          <w:p w14:paraId="2B12B5DB" w14:textId="77777777" w:rsidR="00FC6879" w:rsidRPr="00FC6879" w:rsidRDefault="00FC6879" w:rsidP="00FC6879">
            <w:pPr>
              <w:pStyle w:val="Heading1"/>
              <w:spacing w:before="0" w:after="0" w:line="240" w:lineRule="auto"/>
              <w:rPr>
                <w:rFonts w:ascii="Times New Roman" w:eastAsia="Arial" w:hAnsi="Times New Roman"/>
                <w:color w:val="000000"/>
                <w:sz w:val="24"/>
                <w:szCs w:val="24"/>
                <w:lang w:val="lv-LV"/>
              </w:rPr>
            </w:pPr>
            <w:bookmarkStart w:id="5" w:name="_Toc26970388"/>
            <w:r w:rsidRPr="00FC6879">
              <w:rPr>
                <w:rFonts w:ascii="Times New Roman" w:eastAsia="Arial" w:hAnsi="Times New Roman"/>
                <w:color w:val="000000"/>
                <w:sz w:val="24"/>
                <w:szCs w:val="24"/>
                <w:lang w:val="lv-LV"/>
              </w:rPr>
              <w:t>25. pants. Informācijas atklāšana par atļauju izteikt piedāvājumu</w:t>
            </w:r>
            <w:bookmarkEnd w:id="5"/>
          </w:p>
          <w:p w14:paraId="07D75673" w14:textId="65E2566B" w:rsidR="00FC6879" w:rsidRPr="00FC6879" w:rsidRDefault="00FC6879" w:rsidP="00FC6879">
            <w:pPr>
              <w:jc w:val="both"/>
              <w:rPr>
                <w:color w:val="000000"/>
              </w:rPr>
            </w:pPr>
            <w:r w:rsidRPr="00FC6879">
              <w:rPr>
                <w:color w:val="000000"/>
              </w:rPr>
              <w:t xml:space="preserve">(1) Ja Komisija pieņem lēmumu par atļauju izteikt piedāvājumu, tā nekavējoties ievieto savā tīmekļvietnē un </w:t>
            </w:r>
            <w:proofErr w:type="spellStart"/>
            <w:r w:rsidRPr="00FC6879">
              <w:rPr>
                <w:color w:val="000000"/>
              </w:rPr>
              <w:t>nosūta</w:t>
            </w:r>
            <w:proofErr w:type="spellEnd"/>
            <w:r w:rsidRPr="00FC6879">
              <w:rPr>
                <w:color w:val="000000"/>
              </w:rPr>
              <w:t xml:space="preserve"> regulētā tirgus organizētājam, centrālajam vērtspapīru depozitārijam, kurā iegrāmatotas sabiedrības akcijas (turpmāk – centrālais vērtspapīru depozitārijs),</w:t>
            </w:r>
            <w:r w:rsidRPr="00FC6879" w:rsidDel="00D34553">
              <w:rPr>
                <w:color w:val="000000"/>
              </w:rPr>
              <w:t xml:space="preserve"> </w:t>
            </w:r>
            <w:r w:rsidRPr="00FC6879">
              <w:rPr>
                <w:color w:val="000000"/>
              </w:rPr>
              <w:t>kā arī sabiedrībai prospektu un paziņojumu, kurā norāda:</w:t>
            </w:r>
            <w:r>
              <w:rPr>
                <w:color w:val="000000"/>
              </w:rPr>
              <w:t xml:space="preserve"> (..)</w:t>
            </w:r>
          </w:p>
          <w:p w14:paraId="72AE244A" w14:textId="1921812D" w:rsidR="00E44C7B" w:rsidRPr="00FC6879" w:rsidRDefault="00FC6879" w:rsidP="00FC6879">
            <w:pPr>
              <w:jc w:val="both"/>
              <w:rPr>
                <w:color w:val="000000"/>
                <w:sz w:val="28"/>
                <w:szCs w:val="28"/>
              </w:rPr>
            </w:pPr>
            <w:r w:rsidRPr="00FC6879">
              <w:rPr>
                <w:color w:val="000000"/>
              </w:rPr>
              <w:t>(5) Piedāvātājs iesniedz informāciju par piedāvājumu centrālajam vērtspapīru depozitārijam centrālā vērtspapīru depozitārija noteiktajā apjomā un kārtībā.</w:t>
            </w:r>
          </w:p>
        </w:tc>
        <w:tc>
          <w:tcPr>
            <w:tcW w:w="3569" w:type="dxa"/>
            <w:tcBorders>
              <w:top w:val="single" w:sz="4" w:space="0" w:color="auto"/>
              <w:left w:val="single" w:sz="6" w:space="0" w:color="000000"/>
              <w:bottom w:val="single" w:sz="6" w:space="0" w:color="000000"/>
              <w:right w:val="single" w:sz="4" w:space="0" w:color="auto"/>
            </w:tcBorders>
          </w:tcPr>
          <w:p w14:paraId="1DB30FDA" w14:textId="77777777" w:rsidR="004B7B6A" w:rsidRPr="00CB3505" w:rsidRDefault="004B7B6A" w:rsidP="00671418">
            <w:pPr>
              <w:pStyle w:val="NormalWeb"/>
              <w:spacing w:before="0" w:after="0"/>
              <w:ind w:right="13"/>
              <w:jc w:val="both"/>
              <w:rPr>
                <w:color w:val="000000" w:themeColor="text1"/>
              </w:rPr>
            </w:pPr>
            <w:r w:rsidRPr="00CB3505">
              <w:rPr>
                <w:color w:val="000000" w:themeColor="text1"/>
              </w:rPr>
              <w:t xml:space="preserve">Projekta 25. panta pirmajā daļā ir iekļauta kārtība, kādā Finanšu un kapitāla tirgus komisijas (turpmāk – Komisija) rīkojas pēc lēmuma pieņemšanas par atļauju izteikt piedāvājumu, proti, Komisija centrālajam vērtspapīru depozitārijam un sabiedrībai </w:t>
            </w:r>
            <w:proofErr w:type="spellStart"/>
            <w:r w:rsidRPr="00CB3505">
              <w:rPr>
                <w:color w:val="000000" w:themeColor="text1"/>
              </w:rPr>
              <w:t>nosūta</w:t>
            </w:r>
            <w:proofErr w:type="spellEnd"/>
            <w:r w:rsidRPr="00CB3505">
              <w:rPr>
                <w:color w:val="000000" w:themeColor="text1"/>
              </w:rPr>
              <w:t xml:space="preserve"> prospektu un paziņojumu. Savukārt šī panta piektajā daļā ir noteikts, ka piedāvātājs iesniedz informāciju par piedāvājumu centrālajam vērtspapīru depozitārijam centrālā vērtspapīru depozitārija noteiktajā apjomā un kārtībā. </w:t>
            </w:r>
          </w:p>
          <w:p w14:paraId="7973DBB5" w14:textId="77777777" w:rsidR="004B7B6A" w:rsidRPr="00CB3505" w:rsidRDefault="004B7B6A" w:rsidP="00671418">
            <w:pPr>
              <w:pStyle w:val="NormalWeb"/>
              <w:shd w:val="clear" w:color="auto" w:fill="FFFFFF" w:themeFill="background1"/>
              <w:spacing w:before="0" w:after="0"/>
              <w:ind w:right="13"/>
              <w:jc w:val="both"/>
              <w:rPr>
                <w:color w:val="000000" w:themeColor="text1"/>
              </w:rPr>
            </w:pPr>
            <w:r w:rsidRPr="00CB3505">
              <w:rPr>
                <w:color w:val="000000" w:themeColor="text1"/>
              </w:rPr>
              <w:t xml:space="preserve">Norādām, ka nav skaidrs Projekta 25. panta piektajā daļā iekļautā regulējuma mērķis, ņemot vērā, ka šī panta pirmajā daļā jau ir noteikti dokumenti, kurus saņem centrālais vērtspapīru depozitārijs (paziņojums, prospekts). Vēršam uzmanību, ka ir jānovērš prasība personai vienas un tās pašas ziņas iesniegt vairākām institūcijām.  </w:t>
            </w:r>
          </w:p>
          <w:p w14:paraId="6CC0B3D3" w14:textId="77777777" w:rsidR="00E44C7B" w:rsidRPr="00CB3505" w:rsidRDefault="004B7B6A" w:rsidP="004B7B6A">
            <w:pPr>
              <w:pStyle w:val="naisc"/>
              <w:spacing w:before="0" w:after="0"/>
              <w:ind w:left="34"/>
              <w:jc w:val="both"/>
              <w:rPr>
                <w:color w:val="000000" w:themeColor="text1"/>
              </w:rPr>
            </w:pPr>
            <w:r w:rsidRPr="00CB3505">
              <w:rPr>
                <w:color w:val="000000" w:themeColor="text1"/>
              </w:rPr>
              <w:t xml:space="preserve">Ņemot vērā minēto, lūdzam dzēst vai precizēt Projekta 25. panta piekto daļu (novēršot vienu un to pašu ziņu atkārtotu iesniegšanu vairākām institūcijām), vai arī Anotācijā skaidrot Projekta </w:t>
            </w:r>
            <w:r w:rsidRPr="00CB3505">
              <w:rPr>
                <w:color w:val="000000" w:themeColor="text1"/>
              </w:rPr>
              <w:lastRenderedPageBreak/>
              <w:t>25. panta piektajā daļā iekļautā regulējuma mērķi, proti, kāda vēl informācija papildus paziņojumam un prospektam iesniedzama centrālajam vērtspapīru depozitārijam.</w:t>
            </w:r>
          </w:p>
        </w:tc>
        <w:tc>
          <w:tcPr>
            <w:tcW w:w="3544" w:type="dxa"/>
            <w:gridSpan w:val="2"/>
            <w:tcBorders>
              <w:top w:val="single" w:sz="4" w:space="0" w:color="auto"/>
              <w:left w:val="single" w:sz="6" w:space="0" w:color="000000"/>
              <w:bottom w:val="single" w:sz="6" w:space="0" w:color="000000"/>
              <w:right w:val="single" w:sz="4" w:space="0" w:color="auto"/>
            </w:tcBorders>
          </w:tcPr>
          <w:p w14:paraId="37BF9645" w14:textId="27B9DF02" w:rsidR="00A263C7" w:rsidRPr="00CB3505" w:rsidRDefault="00AB3954" w:rsidP="00A263C7">
            <w:pPr>
              <w:pStyle w:val="naisc"/>
              <w:spacing w:before="0" w:after="0"/>
              <w:jc w:val="left"/>
              <w:rPr>
                <w:b/>
                <w:color w:val="000000" w:themeColor="text1"/>
              </w:rPr>
            </w:pPr>
            <w:r>
              <w:rPr>
                <w:b/>
                <w:color w:val="000000" w:themeColor="text1"/>
              </w:rPr>
              <w:lastRenderedPageBreak/>
              <w:t>Iebildums ņemts vērā. Sniedzam šādu</w:t>
            </w:r>
            <w:r w:rsidR="00A263C7" w:rsidRPr="00CB3505">
              <w:rPr>
                <w:b/>
                <w:color w:val="000000" w:themeColor="text1"/>
              </w:rPr>
              <w:t xml:space="preserve"> skaidrojumu.</w:t>
            </w:r>
          </w:p>
          <w:p w14:paraId="4BF4AF34" w14:textId="3CAB74FD" w:rsidR="00A263C7" w:rsidRPr="00CB3505" w:rsidRDefault="00AB3954" w:rsidP="00A263C7">
            <w:pPr>
              <w:pStyle w:val="naisc"/>
              <w:spacing w:before="0" w:after="0"/>
              <w:jc w:val="both"/>
              <w:rPr>
                <w:color w:val="000000" w:themeColor="text1"/>
              </w:rPr>
            </w:pPr>
            <w:r>
              <w:rPr>
                <w:color w:val="000000" w:themeColor="text1"/>
              </w:rPr>
              <w:t>Likump</w:t>
            </w:r>
            <w:r w:rsidR="00A263C7" w:rsidRPr="00CB3505">
              <w:rPr>
                <w:color w:val="000000" w:themeColor="text1"/>
              </w:rPr>
              <w:t>rojekta 26. pant</w:t>
            </w:r>
            <w:r>
              <w:rPr>
                <w:color w:val="000000" w:themeColor="text1"/>
              </w:rPr>
              <w:t>a piektās daļas</w:t>
            </w:r>
            <w:r w:rsidR="00A263C7" w:rsidRPr="00CB3505">
              <w:rPr>
                <w:color w:val="000000" w:themeColor="text1"/>
              </w:rPr>
              <w:t xml:space="preserve">, kas paredz, ka piedāvātājs iesniedz informāciju par piedāvājumu centrālajam vērtspapīru depozitārijam centrālā vērtspapīru depozitārija noteiktajā apjomā un kārtībā, </w:t>
            </w:r>
            <w:r>
              <w:rPr>
                <w:color w:val="000000" w:themeColor="text1"/>
              </w:rPr>
              <w:t xml:space="preserve">mērķis ir </w:t>
            </w:r>
            <w:r w:rsidR="006F7F23">
              <w:rPr>
                <w:color w:val="000000" w:themeColor="text1"/>
              </w:rPr>
              <w:t xml:space="preserve">regulēt </w:t>
            </w:r>
            <w:r w:rsidR="00A263C7" w:rsidRPr="00CB3505">
              <w:rPr>
                <w:color w:val="000000" w:themeColor="text1"/>
              </w:rPr>
              <w:t xml:space="preserve">tādas informācijas iesniegšanu, kas nav iekļauta </w:t>
            </w:r>
            <w:r w:rsidR="00B45BE4" w:rsidRPr="00CB3505">
              <w:rPr>
                <w:color w:val="000000" w:themeColor="text1"/>
              </w:rPr>
              <w:t xml:space="preserve">prospektā vai </w:t>
            </w:r>
            <w:r w:rsidR="00D9421E" w:rsidRPr="00CB3505">
              <w:rPr>
                <w:color w:val="000000" w:themeColor="text1"/>
              </w:rPr>
              <w:t>FKTK paziņojumā, kas tiek sūtīts centrālajam vērtspapīru depozitārijam</w:t>
            </w:r>
            <w:r w:rsidR="00087520">
              <w:rPr>
                <w:color w:val="000000" w:themeColor="text1"/>
              </w:rPr>
              <w:t xml:space="preserve"> (piemēram, informācija par norēķinu aģentu)</w:t>
            </w:r>
            <w:r w:rsidR="00D9421E" w:rsidRPr="00CB3505">
              <w:rPr>
                <w:color w:val="000000" w:themeColor="text1"/>
              </w:rPr>
              <w:t>.</w:t>
            </w:r>
          </w:p>
          <w:p w14:paraId="04F24B71" w14:textId="77777777" w:rsidR="00A263C7" w:rsidRPr="00CB3505" w:rsidRDefault="00A263C7" w:rsidP="003F27B8">
            <w:pPr>
              <w:pStyle w:val="naisc"/>
              <w:spacing w:before="0" w:after="0"/>
              <w:jc w:val="both"/>
              <w:rPr>
                <w:color w:val="000000" w:themeColor="text1"/>
              </w:rPr>
            </w:pPr>
          </w:p>
        </w:tc>
        <w:tc>
          <w:tcPr>
            <w:tcW w:w="3416" w:type="dxa"/>
            <w:gridSpan w:val="3"/>
            <w:tcBorders>
              <w:top w:val="single" w:sz="4" w:space="0" w:color="auto"/>
              <w:left w:val="single" w:sz="6" w:space="0" w:color="000000"/>
              <w:bottom w:val="single" w:sz="6" w:space="0" w:color="000000"/>
            </w:tcBorders>
          </w:tcPr>
          <w:p w14:paraId="5E44D097" w14:textId="77777777" w:rsidR="00E44C7B" w:rsidRPr="002C6CC3" w:rsidRDefault="00E44C7B" w:rsidP="001B02BB">
            <w:pPr>
              <w:rPr>
                <w:color w:val="000000" w:themeColor="text1"/>
              </w:rPr>
            </w:pPr>
          </w:p>
        </w:tc>
      </w:tr>
      <w:tr w:rsidR="00CB3505" w:rsidRPr="00CB3505" w14:paraId="3F4DE213" w14:textId="77777777" w:rsidTr="00483402">
        <w:trPr>
          <w:trHeight w:val="54"/>
        </w:trPr>
        <w:tc>
          <w:tcPr>
            <w:tcW w:w="675" w:type="dxa"/>
            <w:tcBorders>
              <w:top w:val="single" w:sz="4" w:space="0" w:color="auto"/>
              <w:left w:val="single" w:sz="6" w:space="0" w:color="000000"/>
              <w:bottom w:val="single" w:sz="6" w:space="0" w:color="000000"/>
              <w:right w:val="single" w:sz="4" w:space="0" w:color="auto"/>
            </w:tcBorders>
          </w:tcPr>
          <w:p w14:paraId="40F9CF95" w14:textId="77777777" w:rsidR="00E44C7B" w:rsidRPr="00CB3505" w:rsidRDefault="00E44C7B" w:rsidP="00E44C7B">
            <w:pPr>
              <w:jc w:val="center"/>
              <w:rPr>
                <w:color w:val="000000" w:themeColor="text1"/>
              </w:rPr>
            </w:pPr>
            <w:r w:rsidRPr="00CB3505">
              <w:rPr>
                <w:color w:val="000000" w:themeColor="text1"/>
              </w:rPr>
              <w:t>8.</w:t>
            </w:r>
          </w:p>
        </w:tc>
        <w:tc>
          <w:tcPr>
            <w:tcW w:w="3261" w:type="dxa"/>
            <w:tcBorders>
              <w:top w:val="single" w:sz="4" w:space="0" w:color="auto"/>
              <w:left w:val="single" w:sz="6" w:space="0" w:color="000000"/>
              <w:bottom w:val="single" w:sz="6" w:space="0" w:color="000000"/>
              <w:right w:val="single" w:sz="4" w:space="0" w:color="auto"/>
            </w:tcBorders>
          </w:tcPr>
          <w:p w14:paraId="4A9D4D69" w14:textId="77777777" w:rsidR="00E42D2A" w:rsidRPr="00CB3505" w:rsidRDefault="00E42D2A" w:rsidP="00FC6879">
            <w:pPr>
              <w:pStyle w:val="Heading1"/>
              <w:spacing w:before="0" w:after="0" w:line="240" w:lineRule="auto"/>
              <w:rPr>
                <w:rFonts w:ascii="Times New Roman" w:eastAsia="Arial" w:hAnsi="Times New Roman"/>
                <w:color w:val="000000" w:themeColor="text1"/>
                <w:sz w:val="24"/>
                <w:szCs w:val="28"/>
                <w:lang w:val="lv-LV"/>
              </w:rPr>
            </w:pPr>
            <w:bookmarkStart w:id="6" w:name="_Toc26970389"/>
            <w:r w:rsidRPr="00CB3505">
              <w:rPr>
                <w:rFonts w:ascii="Times New Roman" w:eastAsia="Arial" w:hAnsi="Times New Roman"/>
                <w:color w:val="000000" w:themeColor="text1"/>
                <w:sz w:val="24"/>
                <w:szCs w:val="28"/>
                <w:lang w:val="lv-LV"/>
              </w:rPr>
              <w:t>26. pants. Informācijas atklāšana, ja Komisija nepieņem lēmumu par atļauju izteikt piedāvājumu</w:t>
            </w:r>
            <w:bookmarkEnd w:id="6"/>
          </w:p>
          <w:p w14:paraId="0FAF9D86" w14:textId="77777777" w:rsidR="00E42D2A" w:rsidRPr="00CB3505" w:rsidRDefault="00E42D2A" w:rsidP="00FC6879">
            <w:pPr>
              <w:jc w:val="both"/>
              <w:rPr>
                <w:color w:val="000000" w:themeColor="text1"/>
              </w:rPr>
            </w:pPr>
            <w:r w:rsidRPr="00CB3505">
              <w:rPr>
                <w:color w:val="000000" w:themeColor="text1"/>
              </w:rPr>
              <w:t>(1) Ja Komisija pieņem lēmumu par atteikumu izteikt piedāvājumu vai, ja Komisija atbilstoši 24. panta otrajai daļai ir konstatējusi novēršamus trūkumus un Komisija nepieņem lēmumu šā 24. panta pirmajā daļā minētajā termiņā, tā šo informāciju ievieto savā tīmekļvietnē, paziņo regulētā tirgus organizētājam un sabiedrībai.</w:t>
            </w:r>
          </w:p>
          <w:p w14:paraId="5F3AD221" w14:textId="77777777" w:rsidR="00E44C7B" w:rsidRPr="00CB3505" w:rsidRDefault="00E44C7B" w:rsidP="005F60E0">
            <w:pPr>
              <w:pStyle w:val="naisc"/>
              <w:spacing w:before="0" w:after="0"/>
              <w:jc w:val="both"/>
              <w:rPr>
                <w:color w:val="000000" w:themeColor="text1"/>
              </w:rPr>
            </w:pPr>
          </w:p>
        </w:tc>
        <w:tc>
          <w:tcPr>
            <w:tcW w:w="3569" w:type="dxa"/>
            <w:tcBorders>
              <w:top w:val="single" w:sz="4" w:space="0" w:color="auto"/>
              <w:left w:val="single" w:sz="6" w:space="0" w:color="000000"/>
              <w:bottom w:val="single" w:sz="6" w:space="0" w:color="000000"/>
              <w:right w:val="single" w:sz="4" w:space="0" w:color="auto"/>
            </w:tcBorders>
          </w:tcPr>
          <w:p w14:paraId="6E9C1B85" w14:textId="77777777" w:rsidR="004B7B6A" w:rsidRPr="00CB3505" w:rsidRDefault="004B7B6A" w:rsidP="008C3B26">
            <w:pPr>
              <w:pStyle w:val="NormalWeb"/>
              <w:spacing w:before="0" w:after="0"/>
              <w:ind w:right="13"/>
              <w:jc w:val="both"/>
              <w:rPr>
                <w:color w:val="000000" w:themeColor="text1"/>
              </w:rPr>
            </w:pPr>
            <w:r w:rsidRPr="00CB3505">
              <w:rPr>
                <w:color w:val="000000" w:themeColor="text1"/>
              </w:rPr>
              <w:t>Projekta 26. panta pirmā daļā noteic, ja Komisija pieņem lēmumu par atteikumu izteikt piedāvājumu vai ja Komisija atbilstoši 24. panta otrajai daļai ir konstatējusi novēršamus trūkumus un Komisija nepieņem lēmumu šā 24. panta pirmajā daļā minētajā termiņā, tā šo informāciju ievieto savā tīmekļvietnē, paziņo regulētā tirgus organizētājam un sabiedrībai.</w:t>
            </w:r>
          </w:p>
          <w:p w14:paraId="75D8ADDB" w14:textId="77777777" w:rsidR="004B7B6A" w:rsidRPr="00CB3505" w:rsidRDefault="004B7B6A" w:rsidP="008C3B26">
            <w:pPr>
              <w:pStyle w:val="NormalWeb"/>
              <w:spacing w:before="0" w:after="0"/>
              <w:ind w:right="13"/>
              <w:jc w:val="both"/>
              <w:rPr>
                <w:color w:val="000000" w:themeColor="text1"/>
              </w:rPr>
            </w:pPr>
            <w:r w:rsidRPr="00CB3505">
              <w:rPr>
                <w:color w:val="000000" w:themeColor="text1"/>
              </w:rPr>
              <w:t xml:space="preserve">Informējam, ka no minētās normas nav saprotams, uz kādiem gadījumiem attiecas normā noteiktā paziņošana par to, ka Komisija nepieņem lēmumu Projekta 24. panta pirmajā daļā </w:t>
            </w:r>
            <w:r w:rsidRPr="00CB3505">
              <w:rPr>
                <w:color w:val="000000" w:themeColor="text1"/>
              </w:rPr>
              <w:lastRenderedPageBreak/>
              <w:t xml:space="preserve">minētajā termiņā. Norādām, ka Projekta 24. panta otrajā daļā tiek minēta gan Komisijas rīcība, ja tai iesniegti dokumenti ar trūkumiem, gan arī sekas, ja iesniegtajiem dokumentiem trūkumi netiek novērsti. Līdz ar to nav skaidrs, uz kuru no minētajiem gadījumiem Projekta 26. panta pirmajā daļā minētais paziņošanas pienākumus attiecas. </w:t>
            </w:r>
          </w:p>
          <w:p w14:paraId="1492A42C" w14:textId="77777777" w:rsidR="004B7B6A" w:rsidRPr="00CB3505" w:rsidRDefault="004B7B6A" w:rsidP="008C3B26">
            <w:pPr>
              <w:pStyle w:val="NormalWeb"/>
              <w:spacing w:before="0" w:after="0"/>
              <w:ind w:right="13"/>
              <w:jc w:val="both"/>
              <w:rPr>
                <w:color w:val="000000" w:themeColor="text1"/>
              </w:rPr>
            </w:pPr>
            <w:r w:rsidRPr="00CB3505">
              <w:rPr>
                <w:color w:val="000000" w:themeColor="text1"/>
                <w:shd w:val="clear" w:color="auto" w:fill="FFFFFF"/>
              </w:rPr>
              <w:t>Ievērojot minēto, l</w:t>
            </w:r>
            <w:r w:rsidRPr="00CB3505">
              <w:rPr>
                <w:color w:val="000000" w:themeColor="text1"/>
              </w:rPr>
              <w:t>ūdzam izvērtēt projekta 26. panta pirmajā daļā paredzēto regulējumu un to precizēt.</w:t>
            </w:r>
          </w:p>
          <w:p w14:paraId="58B0D7F7" w14:textId="77777777" w:rsidR="00E44C7B" w:rsidRPr="00CB3505" w:rsidRDefault="00E44C7B" w:rsidP="005F60E0">
            <w:pPr>
              <w:jc w:val="both"/>
              <w:rPr>
                <w:color w:val="000000" w:themeColor="text1"/>
              </w:rPr>
            </w:pPr>
          </w:p>
        </w:tc>
        <w:tc>
          <w:tcPr>
            <w:tcW w:w="3544" w:type="dxa"/>
            <w:gridSpan w:val="2"/>
            <w:tcBorders>
              <w:top w:val="single" w:sz="4" w:space="0" w:color="auto"/>
              <w:left w:val="single" w:sz="6" w:space="0" w:color="000000"/>
              <w:bottom w:val="single" w:sz="6" w:space="0" w:color="000000"/>
              <w:right w:val="single" w:sz="4" w:space="0" w:color="auto"/>
            </w:tcBorders>
          </w:tcPr>
          <w:p w14:paraId="135A107A" w14:textId="77777777" w:rsidR="00671418" w:rsidRPr="00CB3505" w:rsidRDefault="00671418" w:rsidP="00671418">
            <w:pPr>
              <w:pStyle w:val="naisc"/>
              <w:spacing w:before="0" w:after="0"/>
              <w:jc w:val="left"/>
              <w:rPr>
                <w:b/>
                <w:color w:val="000000" w:themeColor="text1"/>
              </w:rPr>
            </w:pPr>
            <w:r w:rsidRPr="00CB3505">
              <w:rPr>
                <w:b/>
                <w:color w:val="000000" w:themeColor="text1"/>
              </w:rPr>
              <w:lastRenderedPageBreak/>
              <w:t xml:space="preserve">Iebildums ņemts vērā. </w:t>
            </w:r>
          </w:p>
          <w:p w14:paraId="0136C176" w14:textId="77777777" w:rsidR="00671418" w:rsidRPr="00CB3505" w:rsidRDefault="00671418" w:rsidP="006F2D89">
            <w:pPr>
              <w:pStyle w:val="naisc"/>
              <w:spacing w:before="0" w:after="0"/>
              <w:jc w:val="left"/>
              <w:rPr>
                <w:color w:val="000000" w:themeColor="text1"/>
              </w:rPr>
            </w:pPr>
            <w:r w:rsidRPr="00CB3505">
              <w:rPr>
                <w:color w:val="000000" w:themeColor="text1"/>
              </w:rPr>
              <w:t xml:space="preserve">Projekta 27. panta pirmā daļa redakcionāli precizēta. </w:t>
            </w:r>
          </w:p>
          <w:p w14:paraId="2CA874A1" w14:textId="77777777" w:rsidR="00671418" w:rsidRPr="00CB3505" w:rsidRDefault="00671418" w:rsidP="006F2D89">
            <w:pPr>
              <w:pStyle w:val="naisc"/>
              <w:spacing w:before="0" w:after="0"/>
              <w:jc w:val="left"/>
              <w:rPr>
                <w:color w:val="000000" w:themeColor="text1"/>
              </w:rPr>
            </w:pPr>
          </w:p>
        </w:tc>
        <w:tc>
          <w:tcPr>
            <w:tcW w:w="3416" w:type="dxa"/>
            <w:gridSpan w:val="3"/>
            <w:tcBorders>
              <w:top w:val="single" w:sz="4" w:space="0" w:color="auto"/>
              <w:left w:val="single" w:sz="6" w:space="0" w:color="000000"/>
              <w:bottom w:val="single" w:sz="6" w:space="0" w:color="000000"/>
            </w:tcBorders>
          </w:tcPr>
          <w:p w14:paraId="558F1722" w14:textId="77777777" w:rsidR="00671418" w:rsidRPr="002C6CC3" w:rsidRDefault="00671418" w:rsidP="0068318E">
            <w:pPr>
              <w:pStyle w:val="Heading1"/>
              <w:spacing w:before="0" w:after="0" w:line="240" w:lineRule="auto"/>
              <w:rPr>
                <w:rFonts w:ascii="Times New Roman" w:eastAsia="Arial" w:hAnsi="Times New Roman"/>
                <w:color w:val="000000" w:themeColor="text1"/>
                <w:sz w:val="24"/>
                <w:szCs w:val="24"/>
                <w:lang w:val="lv-LV"/>
              </w:rPr>
            </w:pPr>
            <w:r w:rsidRPr="002C6CC3">
              <w:rPr>
                <w:rFonts w:ascii="Times New Roman" w:eastAsia="Arial" w:hAnsi="Times New Roman"/>
                <w:color w:val="000000" w:themeColor="text1"/>
                <w:sz w:val="24"/>
                <w:szCs w:val="24"/>
                <w:lang w:val="lv-LV"/>
              </w:rPr>
              <w:t>27. pants. Informācijas atklāšana, ja Komisija nepieņem lēmumu par atļauju izteikt piedāvājumu</w:t>
            </w:r>
          </w:p>
          <w:p w14:paraId="6D77661A" w14:textId="77777777" w:rsidR="00671418" w:rsidRPr="002C6CC3" w:rsidRDefault="00671418" w:rsidP="0068318E">
            <w:pPr>
              <w:jc w:val="both"/>
              <w:rPr>
                <w:color w:val="000000" w:themeColor="text1"/>
              </w:rPr>
            </w:pPr>
            <w:r w:rsidRPr="002C6CC3">
              <w:rPr>
                <w:color w:val="000000" w:themeColor="text1"/>
              </w:rPr>
              <w:t xml:space="preserve">(1) Komisija ievieto savā tīmekļvietnē un paziņo regulētā tirgus organizētājam un sabiedrībai informāciju par to, ka: </w:t>
            </w:r>
          </w:p>
          <w:p w14:paraId="1894E770" w14:textId="77777777" w:rsidR="00671418" w:rsidRPr="002C6CC3" w:rsidRDefault="00671418" w:rsidP="0068318E">
            <w:pPr>
              <w:jc w:val="both"/>
              <w:rPr>
                <w:color w:val="000000" w:themeColor="text1"/>
              </w:rPr>
            </w:pPr>
            <w:r w:rsidRPr="002C6CC3">
              <w:rPr>
                <w:color w:val="000000" w:themeColor="text1"/>
              </w:rPr>
              <w:t>1) Komisija ir pieņēmusi lēmumu par atteikumu izteikt piedāvājumu;</w:t>
            </w:r>
          </w:p>
          <w:p w14:paraId="237F6E0F" w14:textId="77777777" w:rsidR="00671418" w:rsidRPr="002C6CC3" w:rsidRDefault="00671418" w:rsidP="0068318E">
            <w:pPr>
              <w:jc w:val="both"/>
              <w:rPr>
                <w:color w:val="000000" w:themeColor="text1"/>
              </w:rPr>
            </w:pPr>
            <w:r w:rsidRPr="002C6CC3">
              <w:rPr>
                <w:color w:val="000000" w:themeColor="text1"/>
              </w:rPr>
              <w:t>2) Komisija atbilstoši šā likuma 25. panta otrajai daļai ir konstatējusi novēršamus trūkumus, un Komisija nav pieņēmusi lēmumu šā likuma 25. panta pirmajā daļā minētajā termiņā;</w:t>
            </w:r>
          </w:p>
          <w:p w14:paraId="2FAA9CCB" w14:textId="41837F31" w:rsidR="00E44C7B" w:rsidRPr="002C6CC3" w:rsidRDefault="00671418" w:rsidP="0068318E">
            <w:pPr>
              <w:jc w:val="both"/>
              <w:rPr>
                <w:color w:val="000000" w:themeColor="text1"/>
              </w:rPr>
            </w:pPr>
            <w:r w:rsidRPr="002C6CC3">
              <w:rPr>
                <w:color w:val="000000" w:themeColor="text1"/>
              </w:rPr>
              <w:lastRenderedPageBreak/>
              <w:t>3) piedāvātājs Komisijas noteiktajā termiņā nav novērsis trūkumus un Komisija piedāvātāja dokumentus uzskata par neiesniegtiem.(…)</w:t>
            </w:r>
          </w:p>
        </w:tc>
      </w:tr>
      <w:tr w:rsidR="00CB3505" w:rsidRPr="00CB3505" w14:paraId="0E5C34C2" w14:textId="77777777" w:rsidTr="00483402">
        <w:trPr>
          <w:trHeight w:val="54"/>
        </w:trPr>
        <w:tc>
          <w:tcPr>
            <w:tcW w:w="675" w:type="dxa"/>
            <w:tcBorders>
              <w:top w:val="single" w:sz="4" w:space="0" w:color="auto"/>
              <w:left w:val="single" w:sz="6" w:space="0" w:color="000000"/>
              <w:bottom w:val="single" w:sz="6" w:space="0" w:color="000000"/>
              <w:right w:val="single" w:sz="4" w:space="0" w:color="auto"/>
            </w:tcBorders>
          </w:tcPr>
          <w:p w14:paraId="29E6D3F0" w14:textId="77777777" w:rsidR="00E44C7B" w:rsidRPr="00CB3505" w:rsidRDefault="00E44C7B" w:rsidP="00E44C7B">
            <w:pPr>
              <w:pStyle w:val="naisc"/>
              <w:spacing w:before="0" w:after="0"/>
              <w:rPr>
                <w:color w:val="000000" w:themeColor="text1"/>
              </w:rPr>
            </w:pPr>
            <w:r w:rsidRPr="00CB3505">
              <w:rPr>
                <w:color w:val="000000" w:themeColor="text1"/>
              </w:rPr>
              <w:lastRenderedPageBreak/>
              <w:t>9.</w:t>
            </w:r>
          </w:p>
        </w:tc>
        <w:tc>
          <w:tcPr>
            <w:tcW w:w="3261" w:type="dxa"/>
            <w:tcBorders>
              <w:top w:val="single" w:sz="4" w:space="0" w:color="auto"/>
              <w:left w:val="single" w:sz="6" w:space="0" w:color="000000"/>
              <w:bottom w:val="single" w:sz="6" w:space="0" w:color="000000"/>
              <w:right w:val="single" w:sz="4" w:space="0" w:color="auto"/>
            </w:tcBorders>
          </w:tcPr>
          <w:p w14:paraId="175D5A48" w14:textId="77777777" w:rsidR="008C3B26" w:rsidRPr="00CB3505" w:rsidRDefault="008C3B26" w:rsidP="0068318E">
            <w:pPr>
              <w:pStyle w:val="Heading1"/>
              <w:spacing w:before="0" w:after="0" w:line="240" w:lineRule="auto"/>
              <w:rPr>
                <w:rFonts w:ascii="Times New Roman" w:eastAsia="Arial" w:hAnsi="Times New Roman"/>
                <w:color w:val="000000" w:themeColor="text1"/>
                <w:sz w:val="24"/>
                <w:szCs w:val="28"/>
                <w:lang w:val="lv-LV"/>
              </w:rPr>
            </w:pPr>
            <w:bookmarkStart w:id="7" w:name="_Toc26970403"/>
            <w:r w:rsidRPr="00CB3505">
              <w:rPr>
                <w:rFonts w:ascii="Times New Roman" w:eastAsia="Arial" w:hAnsi="Times New Roman"/>
                <w:color w:val="000000" w:themeColor="text1"/>
                <w:sz w:val="24"/>
                <w:szCs w:val="28"/>
                <w:lang w:val="lv-LV"/>
              </w:rPr>
              <w:t>39. pants. Mazākuma akcionāra pieprasījums atpirkt akcijas</w:t>
            </w:r>
            <w:bookmarkEnd w:id="7"/>
          </w:p>
          <w:p w14:paraId="735D498E" w14:textId="77777777" w:rsidR="008C3B26" w:rsidRPr="00CB3505" w:rsidRDefault="00A7124D" w:rsidP="0068318E">
            <w:pPr>
              <w:jc w:val="both"/>
              <w:rPr>
                <w:rFonts w:eastAsia="Arial"/>
                <w:color w:val="000000" w:themeColor="text1"/>
                <w:szCs w:val="28"/>
              </w:rPr>
            </w:pPr>
            <w:r w:rsidRPr="00CB3505">
              <w:rPr>
                <w:rFonts w:eastAsia="Arial"/>
                <w:color w:val="000000" w:themeColor="text1"/>
                <w:szCs w:val="28"/>
              </w:rPr>
              <w:t>(...)</w:t>
            </w:r>
          </w:p>
          <w:p w14:paraId="5CDBBEC6" w14:textId="77777777" w:rsidR="008C3B26" w:rsidRPr="00CB3505" w:rsidRDefault="008C3B26" w:rsidP="0068318E">
            <w:pPr>
              <w:jc w:val="both"/>
              <w:rPr>
                <w:rFonts w:eastAsia="Arial"/>
                <w:color w:val="000000" w:themeColor="text1"/>
                <w:szCs w:val="28"/>
              </w:rPr>
            </w:pPr>
            <w:r w:rsidRPr="00CB3505">
              <w:rPr>
                <w:rFonts w:eastAsia="Arial"/>
                <w:color w:val="000000" w:themeColor="text1"/>
                <w:szCs w:val="28"/>
              </w:rPr>
              <w:t xml:space="preserve">(2) Akcijas atpirkšanas cenu nosaka atbilstoši šā likuma 8. panta pirmajai daļai un 9. pantam, cenas noteikšanas periodu rēķinot no pieprasījuma izteikšanas dienas. Ja persona nav likumos noteiktajā kārtībā paziņojusi par 90 procentu balsstiesību iegūšanu, sabiedrības akcionāri var prasīt akciju atpirkšanu par cenu, kas ir augstākā periodā, kad kavēts </w:t>
            </w:r>
            <w:r w:rsidRPr="00CB3505">
              <w:rPr>
                <w:rFonts w:eastAsia="Arial"/>
                <w:color w:val="000000" w:themeColor="text1"/>
                <w:szCs w:val="28"/>
              </w:rPr>
              <w:lastRenderedPageBreak/>
              <w:t>paziņojums par 90 procentu balsstiesību iegūšanu.</w:t>
            </w:r>
          </w:p>
          <w:p w14:paraId="7532AB3C" w14:textId="77777777" w:rsidR="00E44C7B" w:rsidRPr="00CB3505" w:rsidRDefault="008C3B26" w:rsidP="0068318E">
            <w:pPr>
              <w:jc w:val="both"/>
              <w:rPr>
                <w:color w:val="000000" w:themeColor="text1"/>
              </w:rPr>
            </w:pPr>
            <w:r w:rsidRPr="00CB3505">
              <w:rPr>
                <w:color w:val="000000" w:themeColor="text1"/>
              </w:rPr>
              <w:t>(...)</w:t>
            </w:r>
          </w:p>
        </w:tc>
        <w:tc>
          <w:tcPr>
            <w:tcW w:w="3569" w:type="dxa"/>
            <w:tcBorders>
              <w:top w:val="single" w:sz="4" w:space="0" w:color="auto"/>
              <w:left w:val="single" w:sz="6" w:space="0" w:color="000000"/>
              <w:bottom w:val="single" w:sz="6" w:space="0" w:color="000000"/>
              <w:right w:val="single" w:sz="4" w:space="0" w:color="auto"/>
            </w:tcBorders>
          </w:tcPr>
          <w:p w14:paraId="33E01FEC" w14:textId="77777777" w:rsidR="004B7B6A" w:rsidRPr="00CB3505" w:rsidRDefault="004B7B6A" w:rsidP="00A7124D">
            <w:pPr>
              <w:pStyle w:val="NormalWeb"/>
              <w:spacing w:before="120" w:beforeAutospacing="0" w:after="120" w:afterAutospacing="0"/>
              <w:ind w:right="13"/>
              <w:jc w:val="both"/>
              <w:rPr>
                <w:color w:val="000000" w:themeColor="text1"/>
              </w:rPr>
            </w:pPr>
            <w:r w:rsidRPr="00CB3505">
              <w:rPr>
                <w:color w:val="000000" w:themeColor="text1"/>
              </w:rPr>
              <w:lastRenderedPageBreak/>
              <w:t>Projekta 39. panta otrajā daļā noteikts, ka akcijas atpirkšanas cenu nosaka atbilstoši šā likuma 8. panta pirmajai daļai un 9. pantam, cenas noteikšanas periodu rēķinot no pieprasījuma izteikšanas dienas. Ja persona nav likumos noteiktajā kārtībā paziņojusi par 90 procentu balsstiesību iegūšanu, sabiedrības akcionāri var prasīt akciju atpirkšanu par cenu, kas ir augstākā periodā, kad kavēts paziņojums par 90 procentu balsstiesību iegūšanu.</w:t>
            </w:r>
          </w:p>
          <w:p w14:paraId="383575C7" w14:textId="77777777" w:rsidR="00E44C7B" w:rsidRPr="00CB3505" w:rsidRDefault="004B7B6A" w:rsidP="00A7124D">
            <w:pPr>
              <w:pStyle w:val="NormalWeb"/>
              <w:spacing w:before="120" w:beforeAutospacing="0" w:after="120" w:afterAutospacing="0"/>
              <w:ind w:right="13"/>
              <w:jc w:val="both"/>
              <w:rPr>
                <w:color w:val="000000" w:themeColor="text1"/>
              </w:rPr>
            </w:pPr>
            <w:r w:rsidRPr="00CB3505">
              <w:rPr>
                <w:color w:val="000000" w:themeColor="text1"/>
              </w:rPr>
              <w:lastRenderedPageBreak/>
              <w:t>Ievērojot, ka Projekta 39. panta otrajā daļā ir pieminēts paziņojums, kura sastādīšanas kārtība iekļauta Finanšu instrumentu tirgus likuma 61.</w:t>
            </w:r>
            <w:r w:rsidRPr="00CB3505">
              <w:rPr>
                <w:color w:val="000000" w:themeColor="text1"/>
                <w:vertAlign w:val="superscript"/>
              </w:rPr>
              <w:t>2</w:t>
            </w:r>
            <w:r w:rsidRPr="00CB3505">
              <w:rPr>
                <w:color w:val="000000" w:themeColor="text1"/>
              </w:rPr>
              <w:t> pantā, lūdzam izvērtēt iespēju regulējumā iekļaut atsauci uz Finanšu instrumentu tirgus likumu, tādā veidā nodrošinot pārskatāmāku regulējuma sistēmu.</w:t>
            </w:r>
          </w:p>
        </w:tc>
        <w:tc>
          <w:tcPr>
            <w:tcW w:w="3544" w:type="dxa"/>
            <w:gridSpan w:val="2"/>
            <w:tcBorders>
              <w:top w:val="single" w:sz="4" w:space="0" w:color="auto"/>
              <w:left w:val="single" w:sz="6" w:space="0" w:color="000000"/>
              <w:bottom w:val="single" w:sz="6" w:space="0" w:color="000000"/>
              <w:right w:val="single" w:sz="4" w:space="0" w:color="auto"/>
            </w:tcBorders>
          </w:tcPr>
          <w:p w14:paraId="75F43359" w14:textId="77777777" w:rsidR="008B731B" w:rsidRPr="00CB3505" w:rsidRDefault="008A7380" w:rsidP="000E7F38">
            <w:pPr>
              <w:pStyle w:val="naisc"/>
              <w:spacing w:before="0" w:after="0"/>
              <w:jc w:val="both"/>
              <w:rPr>
                <w:b/>
                <w:color w:val="000000" w:themeColor="text1"/>
              </w:rPr>
            </w:pPr>
            <w:r w:rsidRPr="00CB3505">
              <w:rPr>
                <w:b/>
                <w:color w:val="000000" w:themeColor="text1"/>
              </w:rPr>
              <w:lastRenderedPageBreak/>
              <w:t xml:space="preserve">Iebildums ņemts vērā. </w:t>
            </w:r>
          </w:p>
          <w:p w14:paraId="3462D84A" w14:textId="77777777" w:rsidR="008A7380" w:rsidRPr="00CB3505" w:rsidRDefault="008A7380" w:rsidP="002C6CC3">
            <w:pPr>
              <w:pStyle w:val="naisc"/>
              <w:spacing w:before="0" w:after="0"/>
              <w:jc w:val="both"/>
              <w:rPr>
                <w:b/>
                <w:color w:val="000000" w:themeColor="text1"/>
              </w:rPr>
            </w:pPr>
            <w:r w:rsidRPr="00CB3505">
              <w:rPr>
                <w:color w:val="000000" w:themeColor="text1"/>
              </w:rPr>
              <w:t xml:space="preserve">Precizēta likumprojekta </w:t>
            </w:r>
            <w:r w:rsidR="002C6CC3">
              <w:rPr>
                <w:color w:val="000000" w:themeColor="text1"/>
              </w:rPr>
              <w:t>40</w:t>
            </w:r>
            <w:r w:rsidRPr="00CB3505">
              <w:rPr>
                <w:color w:val="000000" w:themeColor="text1"/>
              </w:rPr>
              <w:t xml:space="preserve">. panta </w:t>
            </w:r>
            <w:r w:rsidR="002C6CC3">
              <w:rPr>
                <w:color w:val="000000" w:themeColor="text1"/>
              </w:rPr>
              <w:t>trešā</w:t>
            </w:r>
            <w:r w:rsidRPr="00CB3505">
              <w:rPr>
                <w:color w:val="000000" w:themeColor="text1"/>
              </w:rPr>
              <w:t xml:space="preserve"> daļa. </w:t>
            </w:r>
          </w:p>
        </w:tc>
        <w:tc>
          <w:tcPr>
            <w:tcW w:w="3416" w:type="dxa"/>
            <w:gridSpan w:val="3"/>
            <w:tcBorders>
              <w:top w:val="single" w:sz="4" w:space="0" w:color="auto"/>
              <w:left w:val="single" w:sz="6" w:space="0" w:color="000000"/>
              <w:bottom w:val="single" w:sz="6" w:space="0" w:color="000000"/>
            </w:tcBorders>
          </w:tcPr>
          <w:p w14:paraId="4F106B92" w14:textId="77777777" w:rsidR="001765CE" w:rsidRPr="00CB3505" w:rsidRDefault="001765CE" w:rsidP="00DC0317">
            <w:pPr>
              <w:pStyle w:val="Heading1"/>
              <w:spacing w:before="0" w:after="0" w:line="240" w:lineRule="auto"/>
              <w:rPr>
                <w:rFonts w:ascii="Times New Roman" w:hAnsi="Times New Roman"/>
                <w:bCs w:val="0"/>
                <w:color w:val="000000" w:themeColor="text1"/>
                <w:kern w:val="0"/>
                <w:sz w:val="24"/>
                <w:szCs w:val="24"/>
                <w:lang w:val="lv-LV" w:eastAsia="lv-LV"/>
              </w:rPr>
            </w:pPr>
            <w:r w:rsidRPr="00CB3505">
              <w:rPr>
                <w:rFonts w:ascii="Times New Roman" w:hAnsi="Times New Roman"/>
                <w:bCs w:val="0"/>
                <w:color w:val="000000" w:themeColor="text1"/>
                <w:kern w:val="0"/>
                <w:sz w:val="24"/>
                <w:szCs w:val="24"/>
                <w:lang w:val="lv-LV" w:eastAsia="lv-LV"/>
              </w:rPr>
              <w:t>40</w:t>
            </w:r>
            <w:r w:rsidR="008A7380" w:rsidRPr="00CB3505">
              <w:rPr>
                <w:rFonts w:ascii="Times New Roman" w:hAnsi="Times New Roman"/>
                <w:bCs w:val="0"/>
                <w:color w:val="000000" w:themeColor="text1"/>
                <w:kern w:val="0"/>
                <w:sz w:val="24"/>
                <w:szCs w:val="24"/>
                <w:lang w:val="lv-LV" w:eastAsia="lv-LV"/>
              </w:rPr>
              <w:t xml:space="preserve">. pants. </w:t>
            </w:r>
            <w:r w:rsidRPr="00CB3505">
              <w:rPr>
                <w:rFonts w:ascii="Times New Roman" w:hAnsi="Times New Roman"/>
                <w:bCs w:val="0"/>
                <w:color w:val="000000" w:themeColor="text1"/>
                <w:kern w:val="0"/>
                <w:sz w:val="24"/>
                <w:szCs w:val="24"/>
                <w:lang w:val="lv-LV" w:eastAsia="lv-LV"/>
              </w:rPr>
              <w:t>Akcionāra pieprasījums kontrolējošajai personai atpirkt akcijas</w:t>
            </w:r>
          </w:p>
          <w:p w14:paraId="43FB8DF7" w14:textId="77777777" w:rsidR="008A7380" w:rsidRPr="00CB3505" w:rsidRDefault="008A7380" w:rsidP="00DC0317">
            <w:pPr>
              <w:jc w:val="both"/>
              <w:rPr>
                <w:rFonts w:eastAsia="Arial"/>
                <w:color w:val="000000" w:themeColor="text1"/>
              </w:rPr>
            </w:pPr>
            <w:r w:rsidRPr="00CB3505">
              <w:rPr>
                <w:rFonts w:eastAsia="Arial"/>
                <w:color w:val="000000" w:themeColor="text1"/>
              </w:rPr>
              <w:t>(...)</w:t>
            </w:r>
          </w:p>
          <w:p w14:paraId="248212FA" w14:textId="77777777" w:rsidR="001765CE" w:rsidRPr="00CB3505" w:rsidRDefault="001765CE" w:rsidP="00DC0317">
            <w:pPr>
              <w:jc w:val="both"/>
              <w:rPr>
                <w:rFonts w:eastAsia="Arial"/>
                <w:color w:val="000000" w:themeColor="text1"/>
              </w:rPr>
            </w:pPr>
            <w:r w:rsidRPr="00CB3505">
              <w:rPr>
                <w:rFonts w:eastAsia="Arial"/>
                <w:color w:val="000000" w:themeColor="text1"/>
              </w:rPr>
              <w:t>(3) Ja persona nav Finanšu instrumentu tirgus likumā noteiktajā kārtībā paziņojusi par 90 procentu balsstiesību iegūšanu, sabiedrības akcionāri var prasīt akciju atpirkšanu par cenu, kas ir augstākā periodā, kad kavēts paziņojums par 90 procentu balsstiesību iegūšanu.</w:t>
            </w:r>
          </w:p>
          <w:p w14:paraId="2D1EB6EC" w14:textId="31475529" w:rsidR="00E44C7B" w:rsidRPr="00CB3505" w:rsidRDefault="001765CE" w:rsidP="00E047D9">
            <w:pPr>
              <w:jc w:val="both"/>
              <w:rPr>
                <w:color w:val="000000" w:themeColor="text1"/>
              </w:rPr>
            </w:pPr>
            <w:r w:rsidRPr="00CB3505">
              <w:rPr>
                <w:color w:val="000000" w:themeColor="text1"/>
              </w:rPr>
              <w:t>()</w:t>
            </w:r>
          </w:p>
        </w:tc>
      </w:tr>
      <w:tr w:rsidR="00CB3505" w:rsidRPr="00CB3505" w14:paraId="34C04AA1" w14:textId="77777777" w:rsidTr="00483402">
        <w:trPr>
          <w:trHeight w:val="54"/>
        </w:trPr>
        <w:tc>
          <w:tcPr>
            <w:tcW w:w="675" w:type="dxa"/>
            <w:tcBorders>
              <w:top w:val="single" w:sz="4" w:space="0" w:color="auto"/>
              <w:left w:val="single" w:sz="6" w:space="0" w:color="000000"/>
              <w:bottom w:val="single" w:sz="6" w:space="0" w:color="000000"/>
              <w:right w:val="single" w:sz="4" w:space="0" w:color="auto"/>
            </w:tcBorders>
          </w:tcPr>
          <w:p w14:paraId="0260B2B9" w14:textId="77777777" w:rsidR="00E44C7B" w:rsidRPr="00CB3505" w:rsidRDefault="00E44C7B" w:rsidP="00E44C7B">
            <w:pPr>
              <w:pStyle w:val="naisc"/>
              <w:spacing w:before="0" w:after="0"/>
              <w:rPr>
                <w:color w:val="000000" w:themeColor="text1"/>
              </w:rPr>
            </w:pPr>
            <w:r w:rsidRPr="00CB3505">
              <w:rPr>
                <w:color w:val="000000" w:themeColor="text1"/>
              </w:rPr>
              <w:t>10.</w:t>
            </w:r>
          </w:p>
        </w:tc>
        <w:tc>
          <w:tcPr>
            <w:tcW w:w="3261" w:type="dxa"/>
            <w:tcBorders>
              <w:top w:val="single" w:sz="4" w:space="0" w:color="auto"/>
              <w:left w:val="single" w:sz="6" w:space="0" w:color="000000"/>
              <w:bottom w:val="single" w:sz="6" w:space="0" w:color="000000"/>
              <w:right w:val="single" w:sz="4" w:space="0" w:color="auto"/>
            </w:tcBorders>
          </w:tcPr>
          <w:p w14:paraId="52B5182E" w14:textId="77777777" w:rsidR="00E44C7B" w:rsidRPr="00CB3505" w:rsidRDefault="00E44C7B" w:rsidP="00504CD0">
            <w:pPr>
              <w:pStyle w:val="tv213"/>
              <w:shd w:val="clear" w:color="auto" w:fill="FFFFFF"/>
              <w:spacing w:before="0" w:beforeAutospacing="0" w:after="0" w:afterAutospacing="0" w:line="293" w:lineRule="atLeast"/>
              <w:ind w:firstLine="720"/>
              <w:jc w:val="both"/>
              <w:rPr>
                <w:color w:val="000000" w:themeColor="text1"/>
              </w:rPr>
            </w:pPr>
          </w:p>
        </w:tc>
        <w:tc>
          <w:tcPr>
            <w:tcW w:w="3569" w:type="dxa"/>
            <w:tcBorders>
              <w:top w:val="single" w:sz="4" w:space="0" w:color="auto"/>
              <w:left w:val="single" w:sz="6" w:space="0" w:color="000000"/>
              <w:bottom w:val="single" w:sz="6" w:space="0" w:color="000000"/>
              <w:right w:val="single" w:sz="4" w:space="0" w:color="auto"/>
            </w:tcBorders>
          </w:tcPr>
          <w:p w14:paraId="086D86AA" w14:textId="77777777" w:rsidR="004B7B6A" w:rsidRPr="00CB3505" w:rsidRDefault="004B7B6A" w:rsidP="00A7124D">
            <w:pPr>
              <w:pStyle w:val="NormalWeb"/>
              <w:spacing w:before="120" w:beforeAutospacing="0" w:after="120" w:afterAutospacing="0"/>
              <w:ind w:right="13"/>
              <w:jc w:val="both"/>
              <w:rPr>
                <w:color w:val="000000" w:themeColor="text1"/>
              </w:rPr>
            </w:pPr>
            <w:r w:rsidRPr="00CB3505">
              <w:rPr>
                <w:color w:val="000000" w:themeColor="text1"/>
              </w:rPr>
              <w:t>Projekta 43. panta trešā daļa noteic, ka Komisija tīmekļvietnē ievietotā informācija par pārkāpumu ir pieejama piecus gadus no tās ievietošanas dienas.</w:t>
            </w:r>
          </w:p>
          <w:p w14:paraId="6CD3EC17" w14:textId="77777777" w:rsidR="004B7B6A" w:rsidRPr="00CB3505" w:rsidRDefault="004B7B6A" w:rsidP="00A7124D">
            <w:pPr>
              <w:pStyle w:val="NormalWeb"/>
              <w:spacing w:before="120" w:beforeAutospacing="0" w:after="120" w:afterAutospacing="0"/>
              <w:ind w:right="13"/>
              <w:jc w:val="both"/>
              <w:rPr>
                <w:color w:val="000000" w:themeColor="text1"/>
              </w:rPr>
            </w:pPr>
            <w:r w:rsidRPr="00CB3505">
              <w:rPr>
                <w:color w:val="000000" w:themeColor="text1"/>
              </w:rPr>
              <w:t>Vēršam uzmanību uz to, ka nav skaidrs, kādēļ nepieciešams tik ilgu laiku glabāt informāciju par pārkāpumu, un kādas sekas būs gadījumā, ja tiks izdarīts kāds no Projekta 42. panta pirmajā un otrajā daļā paredzētajiem pārkāpumiem piecu gadu laikā no informācijas par pārkāpumu ievietošanas Komisijas tīmekļvietnē.</w:t>
            </w:r>
          </w:p>
          <w:p w14:paraId="19152160" w14:textId="77777777" w:rsidR="004B7B6A" w:rsidRPr="00CB3505" w:rsidRDefault="004B7B6A" w:rsidP="00A7124D">
            <w:pPr>
              <w:pStyle w:val="NormalWeb"/>
              <w:spacing w:before="120" w:beforeAutospacing="0" w:after="120" w:afterAutospacing="0"/>
              <w:ind w:right="13"/>
              <w:jc w:val="both"/>
              <w:rPr>
                <w:color w:val="000000" w:themeColor="text1"/>
              </w:rPr>
            </w:pPr>
            <w:r w:rsidRPr="00CB3505">
              <w:rPr>
                <w:color w:val="000000" w:themeColor="text1"/>
              </w:rPr>
              <w:t xml:space="preserve">Turklāt norādām, ka, piemēram, Latvijas Administratīvo pārkāpumu kodekss, kurā ir paredzēti administratīvie sodi par attiecīgajiem pārkāpumiem, neparedz tik ilgu laiku atzīt </w:t>
            </w:r>
            <w:r w:rsidRPr="00CB3505">
              <w:rPr>
                <w:color w:val="000000" w:themeColor="text1"/>
              </w:rPr>
              <w:lastRenderedPageBreak/>
              <w:t>personu par administratīvi sodītu, proti, Latvijas Administratīvo pārkāpumu kodeksa 38. pants paredz, ka, ja administratīvi sodītā persona gada laikā no dienas, kad beigusies soda izpildīšana, nav izdarījusi jaunu administratīvo pārkāpumu, tā atzīstama par administratīvi nesodītu. Līdzīgs regulējums ir paredzēts arī Administratīvās atbildības likuma, kas stāsies spēkā 2020. gada 1. jūlijā, 24. panta trešajā daļā.</w:t>
            </w:r>
          </w:p>
          <w:p w14:paraId="5AAE0C75" w14:textId="77777777" w:rsidR="00E44C7B" w:rsidRPr="00CB3505" w:rsidRDefault="004B7B6A" w:rsidP="00223B66">
            <w:pPr>
              <w:pStyle w:val="NormalWeb"/>
              <w:spacing w:before="120" w:beforeAutospacing="0" w:after="120" w:afterAutospacing="0"/>
              <w:ind w:right="13"/>
              <w:jc w:val="both"/>
              <w:rPr>
                <w:color w:val="000000" w:themeColor="text1"/>
              </w:rPr>
            </w:pPr>
            <w:r w:rsidRPr="00CB3505">
              <w:rPr>
                <w:color w:val="000000" w:themeColor="text1"/>
              </w:rPr>
              <w:t>Ievērojot minēto, lūdzam izvērtēt Projekta 43. panta trešajā daļā paredzēto regulējumu un precizēt to, kā arī papildināt Anotāciju ar atbilstošu skaidrojumu.</w:t>
            </w:r>
          </w:p>
        </w:tc>
        <w:tc>
          <w:tcPr>
            <w:tcW w:w="3544" w:type="dxa"/>
            <w:gridSpan w:val="2"/>
            <w:tcBorders>
              <w:top w:val="single" w:sz="4" w:space="0" w:color="auto"/>
              <w:left w:val="single" w:sz="6" w:space="0" w:color="000000"/>
              <w:bottom w:val="single" w:sz="6" w:space="0" w:color="000000"/>
              <w:right w:val="single" w:sz="4" w:space="0" w:color="auto"/>
            </w:tcBorders>
          </w:tcPr>
          <w:p w14:paraId="6220C143" w14:textId="77777777" w:rsidR="00F84244" w:rsidRDefault="00504CD0" w:rsidP="00F84244">
            <w:pPr>
              <w:pStyle w:val="naisc"/>
              <w:spacing w:before="0" w:after="0"/>
              <w:jc w:val="left"/>
              <w:rPr>
                <w:b/>
                <w:color w:val="000000" w:themeColor="text1"/>
              </w:rPr>
            </w:pPr>
            <w:r>
              <w:rPr>
                <w:b/>
                <w:color w:val="000000" w:themeColor="text1"/>
              </w:rPr>
              <w:lastRenderedPageBreak/>
              <w:t xml:space="preserve">Iebildums ņemts vērā. </w:t>
            </w:r>
          </w:p>
          <w:p w14:paraId="1DA32299" w14:textId="77777777" w:rsidR="00504CD0" w:rsidRPr="00504CD0" w:rsidRDefault="00504CD0" w:rsidP="00F84244">
            <w:pPr>
              <w:pStyle w:val="naisc"/>
              <w:spacing w:before="0" w:after="0"/>
              <w:jc w:val="left"/>
              <w:rPr>
                <w:color w:val="000000" w:themeColor="text1"/>
              </w:rPr>
            </w:pPr>
            <w:r>
              <w:rPr>
                <w:color w:val="000000" w:themeColor="text1"/>
              </w:rPr>
              <w:t xml:space="preserve">Anotācija papildināta ar skaidrojumu. </w:t>
            </w:r>
          </w:p>
          <w:p w14:paraId="167319B5" w14:textId="77777777" w:rsidR="00312969" w:rsidRPr="00CB3505" w:rsidRDefault="00312969" w:rsidP="000E7F38">
            <w:pPr>
              <w:pStyle w:val="naisc"/>
              <w:spacing w:before="120" w:after="120"/>
              <w:jc w:val="both"/>
              <w:rPr>
                <w:bCs/>
                <w:color w:val="000000" w:themeColor="text1"/>
              </w:rPr>
            </w:pPr>
          </w:p>
        </w:tc>
        <w:tc>
          <w:tcPr>
            <w:tcW w:w="3416" w:type="dxa"/>
            <w:gridSpan w:val="3"/>
            <w:tcBorders>
              <w:top w:val="single" w:sz="4" w:space="0" w:color="auto"/>
              <w:left w:val="single" w:sz="6" w:space="0" w:color="000000"/>
              <w:bottom w:val="single" w:sz="6" w:space="0" w:color="000000"/>
            </w:tcBorders>
          </w:tcPr>
          <w:p w14:paraId="58ADEB3A" w14:textId="632C42A4" w:rsidR="00E44C7B" w:rsidRPr="00417DCA" w:rsidRDefault="00BE1607" w:rsidP="00DC0317">
            <w:pPr>
              <w:pStyle w:val="tv213"/>
              <w:shd w:val="clear" w:color="auto" w:fill="FFFFFF"/>
              <w:spacing w:before="0" w:beforeAutospacing="0" w:after="0" w:afterAutospacing="0" w:line="293" w:lineRule="atLeast"/>
              <w:jc w:val="both"/>
              <w:rPr>
                <w:color w:val="000000" w:themeColor="text1"/>
                <w:lang w:val="lv-LV"/>
              </w:rPr>
            </w:pPr>
            <w:r>
              <w:rPr>
                <w:color w:val="000000" w:themeColor="text1"/>
                <w:lang w:val="lv-LV"/>
              </w:rPr>
              <w:t>Sk. precizēto anotāciju</w:t>
            </w:r>
            <w:r w:rsidR="00504CD0" w:rsidRPr="00417DCA">
              <w:rPr>
                <w:color w:val="000000" w:themeColor="text1"/>
                <w:lang w:val="lv-LV"/>
              </w:rPr>
              <w:t>:</w:t>
            </w:r>
          </w:p>
          <w:p w14:paraId="2325EBEF" w14:textId="77777777" w:rsidR="00504CD0" w:rsidRPr="00EE2F18" w:rsidRDefault="00504CD0" w:rsidP="00504CD0">
            <w:pPr>
              <w:spacing w:before="120" w:after="120"/>
              <w:jc w:val="both"/>
              <w:rPr>
                <w:rFonts w:eastAsia="Arial"/>
                <w:i/>
                <w:color w:val="000000"/>
              </w:rPr>
            </w:pPr>
            <w:r>
              <w:rPr>
                <w:rFonts w:eastAsia="Arial"/>
                <w:i/>
                <w:color w:val="000000"/>
              </w:rPr>
              <w:t>Informācijas glabāšana FKTK tīmekļa vietnē par piemērotajām sankcijām</w:t>
            </w:r>
          </w:p>
          <w:p w14:paraId="00D8FDD4" w14:textId="6FE8D8D1" w:rsidR="00504CD0" w:rsidRPr="00504CD0" w:rsidRDefault="00504CD0" w:rsidP="00504CD0">
            <w:pPr>
              <w:pStyle w:val="naisc"/>
              <w:spacing w:before="120" w:after="120"/>
              <w:jc w:val="both"/>
              <w:rPr>
                <w:bCs/>
                <w:color w:val="000000"/>
              </w:rPr>
            </w:pPr>
            <w:r>
              <w:rPr>
                <w:color w:val="000000" w:themeColor="text1"/>
                <w:lang w:bidi="lo-LA"/>
              </w:rPr>
              <w:t>FITL 150. panta ceturtā daļa paredz, ka informācija par sankciju piemērošanu attiecībā uz noteiktiem šī likuma pārkāpumiem ir pieejama FKTK  tīmekļa vietnē piecus gadus no tās ievietošanas dienas. Šāds termiņš izriet no Eiropas Savienības normatīvajiem aktiem. Piemēram, Eiropas Parlamenta un Padomes 2014.</w:t>
            </w:r>
            <w:r w:rsidR="00DC0317">
              <w:rPr>
                <w:color w:val="000000" w:themeColor="text1"/>
                <w:lang w:bidi="lo-LA"/>
              </w:rPr>
              <w:t>gada 15.maija</w:t>
            </w:r>
            <w:r>
              <w:rPr>
                <w:color w:val="000000" w:themeColor="text1"/>
                <w:lang w:bidi="lo-LA"/>
              </w:rPr>
              <w:t xml:space="preserve"> direktīvas Nr. 2014/65/ES </w:t>
            </w:r>
            <w:r w:rsidRPr="009E1CE0">
              <w:rPr>
                <w:bCs/>
                <w:color w:val="000000"/>
              </w:rPr>
              <w:t>par finanšu instrumentu tirgiem un ar ko groza Direktīvu 2002/92/ES un Direktīvu 2011/61/ES, 71. pants paredz, ka</w:t>
            </w:r>
            <w:r>
              <w:rPr>
                <w:b/>
                <w:bCs/>
                <w:color w:val="000000"/>
              </w:rPr>
              <w:t xml:space="preserve"> </w:t>
            </w:r>
            <w:r>
              <w:rPr>
                <w:bCs/>
                <w:color w:val="000000"/>
              </w:rPr>
              <w:t xml:space="preserve">informāciju par piemērotajām sankcijām tiek </w:t>
            </w:r>
            <w:r>
              <w:rPr>
                <w:bCs/>
                <w:color w:val="000000"/>
              </w:rPr>
              <w:lastRenderedPageBreak/>
              <w:t xml:space="preserve">uzglabāta kompetentās iestādes tīmekļa vietnē vismaz piecus gadus. </w:t>
            </w:r>
            <w:r w:rsidRPr="00287A94">
              <w:rPr>
                <w:bCs/>
                <w:color w:val="000000"/>
              </w:rPr>
              <w:t>Līdzīgi arī Eiropas Parlamenta un Padomes 2014.</w:t>
            </w:r>
            <w:r w:rsidR="00DC0317">
              <w:rPr>
                <w:bCs/>
                <w:color w:val="000000"/>
              </w:rPr>
              <w:t>gada 23.jūlija</w:t>
            </w:r>
            <w:r w:rsidRPr="00287A94">
              <w:rPr>
                <w:bCs/>
                <w:color w:val="000000"/>
              </w:rPr>
              <w:t xml:space="preserve"> regul</w:t>
            </w:r>
            <w:r>
              <w:rPr>
                <w:bCs/>
                <w:color w:val="000000"/>
              </w:rPr>
              <w:t>as</w:t>
            </w:r>
            <w:r w:rsidRPr="00287A94">
              <w:rPr>
                <w:bCs/>
                <w:color w:val="000000"/>
              </w:rPr>
              <w:t xml:space="preserve"> Nr. 909/2014 par vērtspapīru norēķinu uzlabošanu Eiropas Savienībā, centrālajiem vērtspapīru depozitārijiem un grozījumiem Direktīvās 98/26/EK un 2014/65/ES un Regulā (ES) Nr. 236/2012, </w:t>
            </w:r>
            <w:r>
              <w:rPr>
                <w:bCs/>
                <w:color w:val="000000"/>
              </w:rPr>
              <w:t xml:space="preserve">66. pantā noteikts, ka informācija par centrālajiem </w:t>
            </w:r>
            <w:r w:rsidRPr="00504CD0">
              <w:rPr>
                <w:bCs/>
                <w:color w:val="000000"/>
              </w:rPr>
              <w:t xml:space="preserve">vērtspapīru depozitāriju piemērotājām sankcijām glabājama kompetentās iestādes tīmekļa vietnē vismaz 5 gadus. </w:t>
            </w:r>
          </w:p>
          <w:p w14:paraId="1F8E64DE" w14:textId="539A56D6" w:rsidR="00504CD0" w:rsidRPr="00417DCA" w:rsidRDefault="00504CD0" w:rsidP="00DC0317">
            <w:pPr>
              <w:pStyle w:val="tv213"/>
              <w:shd w:val="clear" w:color="auto" w:fill="FFFFFF"/>
              <w:spacing w:before="0" w:beforeAutospacing="0" w:after="0" w:afterAutospacing="0" w:line="293" w:lineRule="atLeast"/>
              <w:jc w:val="both"/>
              <w:rPr>
                <w:color w:val="000000" w:themeColor="text1"/>
                <w:lang w:val="lv-LV"/>
              </w:rPr>
            </w:pPr>
            <w:r w:rsidRPr="00504CD0">
              <w:rPr>
                <w:bCs/>
                <w:color w:val="000000"/>
                <w:lang w:val="lv-LV"/>
              </w:rPr>
              <w:t xml:space="preserve">Tajā pašā laikā atbilstoši spēkā esošajai FITL redakcijai, ja FKTK ir piemērojusi sankciju par obligātā akciju atpirkšanas piedāvājuma noteikumu pārkāpumiem, šī informācija atbilstoši FITL 150. pantam ir publicējama FKTK tīmekļa vietnē, neparedzot termiņu, cik ilgi šāda informācija ir glabājama. Ņemot vērā minēto, </w:t>
            </w:r>
            <w:r w:rsidR="00DC0317">
              <w:rPr>
                <w:bCs/>
                <w:color w:val="000000"/>
                <w:lang w:val="lv-LV"/>
              </w:rPr>
              <w:t>Likum</w:t>
            </w:r>
            <w:r w:rsidRPr="00504CD0">
              <w:rPr>
                <w:bCs/>
                <w:color w:val="000000"/>
                <w:lang w:val="lv-LV"/>
              </w:rPr>
              <w:t xml:space="preserve">projekts ierobežo termiņu, cik ilgi informācija par piemēroto sankciju attiecībā uz </w:t>
            </w:r>
            <w:r w:rsidR="00DC0317">
              <w:rPr>
                <w:bCs/>
                <w:color w:val="000000"/>
                <w:lang w:val="lv-LV"/>
              </w:rPr>
              <w:t>L</w:t>
            </w:r>
            <w:r w:rsidRPr="00504CD0">
              <w:rPr>
                <w:bCs/>
                <w:color w:val="000000"/>
                <w:lang w:val="lv-LV"/>
              </w:rPr>
              <w:t xml:space="preserve">ikumprojekta noteikumu </w:t>
            </w:r>
            <w:r w:rsidRPr="00504CD0">
              <w:rPr>
                <w:bCs/>
                <w:color w:val="000000"/>
                <w:lang w:val="lv-LV"/>
              </w:rPr>
              <w:lastRenderedPageBreak/>
              <w:t>pārkāpumiem, ir glabājama FKTK tīmekļa vietnē. Termiņš noteikts pēc līdzības ar citām finanšu instrumentu jomu regulējošajos normatīvajos aktos noteiktajām prasībām.</w:t>
            </w:r>
          </w:p>
        </w:tc>
      </w:tr>
      <w:tr w:rsidR="00CB3505" w:rsidRPr="00CB3505" w14:paraId="5A932AF8" w14:textId="77777777" w:rsidTr="00483402">
        <w:trPr>
          <w:trHeight w:val="54"/>
        </w:trPr>
        <w:tc>
          <w:tcPr>
            <w:tcW w:w="675" w:type="dxa"/>
            <w:tcBorders>
              <w:top w:val="single" w:sz="4" w:space="0" w:color="auto"/>
              <w:left w:val="single" w:sz="6" w:space="0" w:color="000000"/>
              <w:bottom w:val="single" w:sz="6" w:space="0" w:color="000000"/>
              <w:right w:val="single" w:sz="4" w:space="0" w:color="auto"/>
            </w:tcBorders>
          </w:tcPr>
          <w:p w14:paraId="4FFBC762" w14:textId="77777777" w:rsidR="00E44C7B" w:rsidRPr="00CB3505" w:rsidRDefault="00E44C7B" w:rsidP="00E44C7B">
            <w:pPr>
              <w:pStyle w:val="naisc"/>
              <w:spacing w:before="0" w:after="0"/>
              <w:rPr>
                <w:color w:val="000000" w:themeColor="text1"/>
              </w:rPr>
            </w:pPr>
            <w:r w:rsidRPr="00CB3505">
              <w:rPr>
                <w:color w:val="000000" w:themeColor="text1"/>
              </w:rPr>
              <w:lastRenderedPageBreak/>
              <w:t>11.</w:t>
            </w:r>
          </w:p>
        </w:tc>
        <w:tc>
          <w:tcPr>
            <w:tcW w:w="3261" w:type="dxa"/>
            <w:tcBorders>
              <w:top w:val="single" w:sz="4" w:space="0" w:color="auto"/>
              <w:left w:val="single" w:sz="6" w:space="0" w:color="000000"/>
              <w:bottom w:val="single" w:sz="6" w:space="0" w:color="000000"/>
              <w:right w:val="single" w:sz="4" w:space="0" w:color="auto"/>
            </w:tcBorders>
          </w:tcPr>
          <w:p w14:paraId="091CE856" w14:textId="77777777" w:rsidR="00E44C7B" w:rsidRPr="00CB3505" w:rsidRDefault="00E44C7B" w:rsidP="005F60E0">
            <w:pPr>
              <w:pStyle w:val="naisc"/>
              <w:spacing w:before="0" w:after="0"/>
              <w:jc w:val="both"/>
              <w:rPr>
                <w:color w:val="000000" w:themeColor="text1"/>
              </w:rPr>
            </w:pPr>
          </w:p>
        </w:tc>
        <w:tc>
          <w:tcPr>
            <w:tcW w:w="3569" w:type="dxa"/>
            <w:tcBorders>
              <w:top w:val="single" w:sz="4" w:space="0" w:color="auto"/>
              <w:left w:val="single" w:sz="6" w:space="0" w:color="000000"/>
              <w:bottom w:val="single" w:sz="6" w:space="0" w:color="000000"/>
              <w:right w:val="single" w:sz="4" w:space="0" w:color="auto"/>
            </w:tcBorders>
            <w:shd w:val="clear" w:color="auto" w:fill="FFFFFF" w:themeFill="background1"/>
          </w:tcPr>
          <w:p w14:paraId="3509F26D" w14:textId="77777777" w:rsidR="004B7B6A" w:rsidRPr="00CB3505" w:rsidRDefault="004B7B6A" w:rsidP="00FA7F13">
            <w:pPr>
              <w:pStyle w:val="NormalWeb"/>
              <w:spacing w:before="120" w:beforeAutospacing="0" w:after="120" w:afterAutospacing="0"/>
              <w:ind w:right="13"/>
              <w:jc w:val="both"/>
              <w:rPr>
                <w:color w:val="000000" w:themeColor="text1"/>
              </w:rPr>
            </w:pPr>
            <w:r w:rsidRPr="00CB3505">
              <w:rPr>
                <w:color w:val="000000" w:themeColor="text1"/>
              </w:rPr>
              <w:t>Projekta 44. panta pirmā daļa paredz, ka Komisijas lēmumu, kas izdots saskaņā ar šo likumu, var apstrīdēt Komisijā vai pārsūdzēt Administratīvajā apgabaltiesā. Tiesa lietu izskata kā pirmās instances tiesa. Lieta tiek izskatīta triju tiesnešu sastāvā. Administratīvās apgabaltiesas spriedumu var pārsūdzēt, iesniedzot kasācijas sūdzību.</w:t>
            </w:r>
          </w:p>
          <w:p w14:paraId="59A60880" w14:textId="77777777" w:rsidR="004B7B6A" w:rsidRPr="00CB3505" w:rsidRDefault="004B7B6A" w:rsidP="00504CD0">
            <w:pPr>
              <w:pStyle w:val="NormalWeb"/>
              <w:spacing w:before="120" w:beforeAutospacing="0" w:after="120" w:afterAutospacing="0"/>
              <w:ind w:right="13"/>
              <w:jc w:val="both"/>
              <w:rPr>
                <w:color w:val="000000" w:themeColor="text1"/>
              </w:rPr>
            </w:pPr>
            <w:r w:rsidRPr="00CB3505">
              <w:rPr>
                <w:color w:val="000000" w:themeColor="text1"/>
              </w:rPr>
              <w:t>Vēršam uzmanību uz to, ka Administratīvā procesa likumā ir paredzēta lēmumu apstrīdēšanas un pārsūdzēšanas kārtība, t.sk., noteikts regulējums par to, kurā tiesā pārsūdz lēmumus, cik tiesnešu sastāvā izskata administratīvās lietas u.tml. Līdz ar to nav skaidrs, kādēļ Projekta 44. panta pirmajā daļā ir noteikta cita lēmumu pārsūdzēšanas kārtība.</w:t>
            </w:r>
          </w:p>
          <w:p w14:paraId="51A10C96" w14:textId="77777777" w:rsidR="00E44C7B" w:rsidRPr="00CB3505" w:rsidRDefault="004B7B6A" w:rsidP="00504CD0">
            <w:pPr>
              <w:spacing w:before="120" w:after="120"/>
              <w:jc w:val="both"/>
              <w:rPr>
                <w:color w:val="000000" w:themeColor="text1"/>
              </w:rPr>
            </w:pPr>
            <w:r w:rsidRPr="00CB3505">
              <w:rPr>
                <w:color w:val="000000" w:themeColor="text1"/>
              </w:rPr>
              <w:t xml:space="preserve">Ievērojot minēto, lūdzam izvērtēt Projekta 44. panta pirmajā daļā paredzēto regulējumu un precizēt </w:t>
            </w:r>
            <w:r w:rsidRPr="00CB3505">
              <w:rPr>
                <w:color w:val="000000" w:themeColor="text1"/>
              </w:rPr>
              <w:lastRenderedPageBreak/>
              <w:t>to, kā arī papildināt Anotāciju ar atbilstošu skaidrojumu.</w:t>
            </w:r>
          </w:p>
        </w:tc>
        <w:tc>
          <w:tcPr>
            <w:tcW w:w="3544" w:type="dxa"/>
            <w:gridSpan w:val="2"/>
            <w:tcBorders>
              <w:top w:val="single" w:sz="4" w:space="0" w:color="auto"/>
              <w:left w:val="single" w:sz="6" w:space="0" w:color="000000"/>
              <w:bottom w:val="single" w:sz="6" w:space="0" w:color="000000"/>
              <w:right w:val="single" w:sz="4" w:space="0" w:color="auto"/>
            </w:tcBorders>
          </w:tcPr>
          <w:p w14:paraId="2A6CBA86" w14:textId="14578059" w:rsidR="00E216A5" w:rsidRDefault="00DC0317" w:rsidP="00E216A5">
            <w:pPr>
              <w:pStyle w:val="naisc"/>
              <w:spacing w:before="120" w:after="120"/>
              <w:jc w:val="left"/>
              <w:rPr>
                <w:b/>
                <w:color w:val="000000" w:themeColor="text1"/>
              </w:rPr>
            </w:pPr>
            <w:r>
              <w:rPr>
                <w:b/>
                <w:color w:val="000000" w:themeColor="text1"/>
              </w:rPr>
              <w:lastRenderedPageBreak/>
              <w:t>Iebildums ņemts vērā.</w:t>
            </w:r>
          </w:p>
          <w:p w14:paraId="7BE398F1" w14:textId="2D5A6ABE" w:rsidR="00DC0317" w:rsidRPr="00CB3505" w:rsidRDefault="00DC0317" w:rsidP="00E216A5">
            <w:pPr>
              <w:pStyle w:val="naisc"/>
              <w:spacing w:before="120" w:after="120"/>
              <w:jc w:val="left"/>
              <w:rPr>
                <w:b/>
                <w:color w:val="000000" w:themeColor="text1"/>
              </w:rPr>
            </w:pPr>
            <w:r>
              <w:rPr>
                <w:b/>
                <w:color w:val="000000" w:themeColor="text1"/>
              </w:rPr>
              <w:t>Sniedzam šādu skaidrojumu.</w:t>
            </w:r>
          </w:p>
          <w:p w14:paraId="283C6CF7" w14:textId="77777777" w:rsidR="00E42D2A" w:rsidRPr="00CB3505" w:rsidRDefault="00E216A5" w:rsidP="009E60BE">
            <w:pPr>
              <w:pStyle w:val="naisc"/>
              <w:spacing w:before="120" w:after="120"/>
              <w:jc w:val="both"/>
              <w:rPr>
                <w:bCs/>
                <w:color w:val="000000" w:themeColor="text1"/>
              </w:rPr>
            </w:pPr>
            <w:r w:rsidRPr="00CB3505">
              <w:rPr>
                <w:color w:val="000000" w:themeColor="text1"/>
              </w:rPr>
              <w:t xml:space="preserve">Saskaņā ar FITL 4. panta otro daļu FKTK administratīvo aktu, kas izdots saskaņā ar </w:t>
            </w:r>
            <w:r w:rsidR="009E60BE" w:rsidRPr="00CB3505">
              <w:rPr>
                <w:color w:val="000000" w:themeColor="text1"/>
              </w:rPr>
              <w:t>FITL</w:t>
            </w:r>
            <w:r w:rsidRPr="00CB3505">
              <w:rPr>
                <w:color w:val="000000" w:themeColor="text1"/>
              </w:rPr>
              <w:t xml:space="preserve">, var pārsūdzēt Administratīvajā apgabaltiesā. Tiesa lietu izskata kā pirmās instances tiesa. Lieta tiek izskatīta triju tiesnešu sastāvā. Administratīvās apgabaltiesas spriedumu var pārsūdzēt, iesniedzot kasācijas sūdzību. Šāda kārtība </w:t>
            </w:r>
            <w:r w:rsidR="009E60BE" w:rsidRPr="00CB3505">
              <w:rPr>
                <w:color w:val="000000" w:themeColor="text1"/>
              </w:rPr>
              <w:t>tika ieviesta ar 23.10.2008. grozījumiem. Grozījumu likumprojekta anotācijā (</w:t>
            </w:r>
            <w:hyperlink r:id="rId8" w:history="1">
              <w:r w:rsidR="009E60BE" w:rsidRPr="00CB3505">
                <w:rPr>
                  <w:rStyle w:val="Hyperlink"/>
                  <w:color w:val="000000" w:themeColor="text1"/>
                </w:rPr>
                <w:t>http://titania.saeima.lv/LIVS/SaeimaLIVS.nsf/0/0B4882C477C8F3ECC22574A30032B5C5?OpenDocument</w:t>
              </w:r>
            </w:hyperlink>
            <w:r w:rsidR="009E60BE" w:rsidRPr="00CB3505">
              <w:rPr>
                <w:color w:val="000000" w:themeColor="text1"/>
              </w:rPr>
              <w:t xml:space="preserve">) skaidrots, ka </w:t>
            </w:r>
            <w:r w:rsidR="009E60BE" w:rsidRPr="00CB3505">
              <w:rPr>
                <w:bCs/>
                <w:color w:val="000000" w:themeColor="text1"/>
              </w:rPr>
              <w:t>s</w:t>
            </w:r>
            <w:r w:rsidRPr="00CB3505">
              <w:rPr>
                <w:bCs/>
                <w:color w:val="000000" w:themeColor="text1"/>
              </w:rPr>
              <w:t xml:space="preserve">askaņā ar Tieslietu ministrijas izstrādāto Administratīvā procesa </w:t>
            </w:r>
            <w:proofErr w:type="spellStart"/>
            <w:r w:rsidRPr="00CB3505">
              <w:rPr>
                <w:bCs/>
                <w:color w:val="000000" w:themeColor="text1"/>
              </w:rPr>
              <w:t>efektivizēšanas</w:t>
            </w:r>
            <w:proofErr w:type="spellEnd"/>
            <w:r w:rsidRPr="00CB3505">
              <w:rPr>
                <w:bCs/>
                <w:color w:val="000000" w:themeColor="text1"/>
              </w:rPr>
              <w:t xml:space="preserve"> koncepciju</w:t>
            </w:r>
            <w:r w:rsidR="00E42D2A" w:rsidRPr="00CB3505">
              <w:rPr>
                <w:bCs/>
                <w:color w:val="000000" w:themeColor="text1"/>
              </w:rPr>
              <w:t xml:space="preserve"> paredzēts, ka saskaņā ar FITL izdotos FKTK administratīvos aktus var pārsūdzēt Administratīvajā apgabaltiesā.</w:t>
            </w:r>
          </w:p>
          <w:p w14:paraId="312D01BE" w14:textId="77777777" w:rsidR="00E42D2A" w:rsidRPr="00CB3505" w:rsidRDefault="00E42D2A" w:rsidP="009E60BE">
            <w:pPr>
              <w:pStyle w:val="naisc"/>
              <w:spacing w:before="120" w:after="120"/>
              <w:jc w:val="both"/>
              <w:rPr>
                <w:bCs/>
                <w:color w:val="000000" w:themeColor="text1"/>
              </w:rPr>
            </w:pPr>
            <w:r w:rsidRPr="00CB3505">
              <w:rPr>
                <w:bCs/>
                <w:color w:val="000000" w:themeColor="text1"/>
              </w:rPr>
              <w:lastRenderedPageBreak/>
              <w:t>Ar likumprojektu nav plānots mainīt esoš</w:t>
            </w:r>
            <w:r w:rsidR="00881C12" w:rsidRPr="00CB3505">
              <w:rPr>
                <w:bCs/>
                <w:color w:val="000000" w:themeColor="text1"/>
              </w:rPr>
              <w:t>o</w:t>
            </w:r>
            <w:r w:rsidR="00504CD0">
              <w:rPr>
                <w:bCs/>
                <w:color w:val="000000" w:themeColor="text1"/>
              </w:rPr>
              <w:t xml:space="preserve"> </w:t>
            </w:r>
            <w:r w:rsidRPr="00CB3505">
              <w:rPr>
                <w:bCs/>
                <w:color w:val="000000" w:themeColor="text1"/>
              </w:rPr>
              <w:t xml:space="preserve">kārtību FKTK lēmumu apstrīdēšanā.  </w:t>
            </w:r>
          </w:p>
          <w:p w14:paraId="26A8B0D7" w14:textId="77777777" w:rsidR="00E216A5" w:rsidRPr="00CB3505" w:rsidRDefault="00E216A5" w:rsidP="00E047D9">
            <w:pPr>
              <w:pStyle w:val="naisc"/>
              <w:spacing w:before="0" w:after="0"/>
              <w:jc w:val="both"/>
              <w:rPr>
                <w:color w:val="000000" w:themeColor="text1"/>
              </w:rPr>
            </w:pPr>
          </w:p>
        </w:tc>
        <w:tc>
          <w:tcPr>
            <w:tcW w:w="3416" w:type="dxa"/>
            <w:gridSpan w:val="3"/>
            <w:tcBorders>
              <w:top w:val="single" w:sz="4" w:space="0" w:color="auto"/>
              <w:left w:val="single" w:sz="6" w:space="0" w:color="000000"/>
              <w:bottom w:val="single" w:sz="6" w:space="0" w:color="000000"/>
            </w:tcBorders>
          </w:tcPr>
          <w:p w14:paraId="3094E147" w14:textId="77777777" w:rsidR="00E44C7B" w:rsidRPr="00CB3505" w:rsidRDefault="00E44C7B" w:rsidP="00677D18">
            <w:pPr>
              <w:jc w:val="both"/>
              <w:rPr>
                <w:color w:val="000000" w:themeColor="text1"/>
              </w:rPr>
            </w:pPr>
          </w:p>
        </w:tc>
      </w:tr>
      <w:tr w:rsidR="00417DCA" w:rsidRPr="00CB3505" w14:paraId="433EEBD6" w14:textId="77777777" w:rsidTr="00483402">
        <w:trPr>
          <w:trHeight w:val="54"/>
        </w:trPr>
        <w:tc>
          <w:tcPr>
            <w:tcW w:w="14465" w:type="dxa"/>
            <w:gridSpan w:val="8"/>
            <w:tcBorders>
              <w:top w:val="single" w:sz="4" w:space="0" w:color="auto"/>
              <w:left w:val="single" w:sz="6" w:space="0" w:color="000000"/>
              <w:bottom w:val="single" w:sz="6" w:space="0" w:color="000000"/>
            </w:tcBorders>
          </w:tcPr>
          <w:p w14:paraId="74462D25" w14:textId="10095AA9" w:rsidR="00417DCA" w:rsidRPr="00CB3505" w:rsidRDefault="00417DCA" w:rsidP="00417DCA">
            <w:pPr>
              <w:jc w:val="center"/>
              <w:rPr>
                <w:color w:val="000000" w:themeColor="text1"/>
              </w:rPr>
            </w:pPr>
            <w:r w:rsidRPr="00CB3505">
              <w:rPr>
                <w:b/>
                <w:color w:val="000000" w:themeColor="text1"/>
              </w:rPr>
              <w:t>Vides aizsardzības un reģionālās attīstības ministrija</w:t>
            </w:r>
            <w:r>
              <w:rPr>
                <w:b/>
                <w:color w:val="000000" w:themeColor="text1"/>
              </w:rPr>
              <w:t>s 06.04.2020. atzinums Nr. 1-22/3258</w:t>
            </w:r>
          </w:p>
        </w:tc>
      </w:tr>
      <w:tr w:rsidR="00CB3505" w:rsidRPr="00CB3505" w14:paraId="1CD6366B" w14:textId="77777777" w:rsidTr="00483402">
        <w:trPr>
          <w:trHeight w:val="54"/>
        </w:trPr>
        <w:tc>
          <w:tcPr>
            <w:tcW w:w="675" w:type="dxa"/>
            <w:tcBorders>
              <w:top w:val="single" w:sz="4" w:space="0" w:color="auto"/>
              <w:left w:val="single" w:sz="6" w:space="0" w:color="000000"/>
              <w:bottom w:val="single" w:sz="6" w:space="0" w:color="000000"/>
              <w:right w:val="single" w:sz="4" w:space="0" w:color="auto"/>
            </w:tcBorders>
          </w:tcPr>
          <w:p w14:paraId="5AE4658D" w14:textId="77777777" w:rsidR="00E44C7B" w:rsidRPr="00CB3505" w:rsidRDefault="00E44C7B" w:rsidP="00E44C7B">
            <w:pPr>
              <w:pStyle w:val="naisc"/>
              <w:spacing w:before="0" w:after="0"/>
              <w:rPr>
                <w:color w:val="000000" w:themeColor="text1"/>
              </w:rPr>
            </w:pPr>
            <w:r w:rsidRPr="00CB3505">
              <w:rPr>
                <w:color w:val="000000" w:themeColor="text1"/>
              </w:rPr>
              <w:t>12.</w:t>
            </w:r>
          </w:p>
        </w:tc>
        <w:tc>
          <w:tcPr>
            <w:tcW w:w="3261" w:type="dxa"/>
            <w:tcBorders>
              <w:top w:val="single" w:sz="4" w:space="0" w:color="auto"/>
              <w:left w:val="single" w:sz="6" w:space="0" w:color="000000"/>
              <w:bottom w:val="single" w:sz="6" w:space="0" w:color="000000"/>
              <w:right w:val="single" w:sz="4" w:space="0" w:color="auto"/>
            </w:tcBorders>
          </w:tcPr>
          <w:p w14:paraId="77CD258B" w14:textId="77777777" w:rsidR="00417DCA" w:rsidRPr="00417DCA" w:rsidRDefault="00417DCA" w:rsidP="00417DCA">
            <w:pPr>
              <w:pStyle w:val="Heading1"/>
              <w:spacing w:before="0" w:after="0" w:line="240" w:lineRule="auto"/>
              <w:rPr>
                <w:rFonts w:ascii="Times New Roman" w:eastAsia="Arial" w:hAnsi="Times New Roman"/>
                <w:color w:val="000000"/>
                <w:sz w:val="24"/>
                <w:szCs w:val="24"/>
                <w:lang w:val="lv-LV"/>
              </w:rPr>
            </w:pPr>
            <w:r w:rsidRPr="00417DCA">
              <w:rPr>
                <w:rFonts w:ascii="Times New Roman" w:eastAsia="Arial" w:hAnsi="Times New Roman"/>
                <w:color w:val="000000"/>
                <w:sz w:val="24"/>
                <w:szCs w:val="24"/>
                <w:lang w:val="lv-LV"/>
              </w:rPr>
              <w:t>20. pants. Dokumenti atļaujas saņemšanai izteikt piedāvājumu</w:t>
            </w:r>
          </w:p>
          <w:p w14:paraId="1AFFFBA1" w14:textId="3D56A739" w:rsidR="00417DCA" w:rsidRPr="00417DCA" w:rsidRDefault="00DC0317" w:rsidP="00417DCA">
            <w:pPr>
              <w:jc w:val="both"/>
              <w:rPr>
                <w:color w:val="000000"/>
              </w:rPr>
            </w:pPr>
            <w:r>
              <w:rPr>
                <w:color w:val="000000"/>
              </w:rPr>
              <w:t>(..)</w:t>
            </w:r>
          </w:p>
          <w:p w14:paraId="69650762" w14:textId="77777777" w:rsidR="00417DCA" w:rsidRPr="00417DCA" w:rsidRDefault="00417DCA" w:rsidP="00417DCA">
            <w:pPr>
              <w:ind w:firstLine="720"/>
              <w:jc w:val="both"/>
              <w:rPr>
                <w:color w:val="000000"/>
              </w:rPr>
            </w:pPr>
          </w:p>
          <w:p w14:paraId="63D927C5" w14:textId="77777777" w:rsidR="00417DCA" w:rsidRPr="00417DCA" w:rsidRDefault="00417DCA" w:rsidP="00417DCA">
            <w:pPr>
              <w:pStyle w:val="Heading1"/>
              <w:spacing w:before="0" w:after="0" w:line="240" w:lineRule="auto"/>
              <w:rPr>
                <w:rFonts w:ascii="Times New Roman" w:eastAsia="Arial" w:hAnsi="Times New Roman"/>
                <w:color w:val="000000"/>
                <w:sz w:val="24"/>
                <w:szCs w:val="24"/>
                <w:lang w:val="lv-LV"/>
              </w:rPr>
            </w:pPr>
            <w:r w:rsidRPr="00417DCA">
              <w:rPr>
                <w:rFonts w:ascii="Times New Roman" w:eastAsia="Arial" w:hAnsi="Times New Roman"/>
                <w:color w:val="000000"/>
                <w:sz w:val="24"/>
                <w:szCs w:val="24"/>
                <w:lang w:val="lv-LV"/>
              </w:rPr>
              <w:t>21. pants. Piedāvājuma prospekts</w:t>
            </w:r>
          </w:p>
          <w:p w14:paraId="688E462B" w14:textId="1614BFD7" w:rsidR="00417DCA" w:rsidRPr="00417DCA" w:rsidRDefault="00DC0317" w:rsidP="00417DCA">
            <w:pPr>
              <w:pStyle w:val="tv213"/>
              <w:shd w:val="clear" w:color="auto" w:fill="FFFFFF"/>
              <w:spacing w:before="0" w:beforeAutospacing="0" w:after="0" w:afterAutospacing="0"/>
              <w:jc w:val="both"/>
              <w:rPr>
                <w:color w:val="000000"/>
                <w:lang w:val="lv-LV"/>
              </w:rPr>
            </w:pPr>
            <w:r>
              <w:rPr>
                <w:rFonts w:eastAsia="Arial"/>
                <w:color w:val="000000"/>
                <w:lang w:val="lv-LV"/>
              </w:rPr>
              <w:t>(..)</w:t>
            </w:r>
          </w:p>
          <w:p w14:paraId="0718BCED" w14:textId="77777777" w:rsidR="00E44C7B" w:rsidRPr="00417DCA" w:rsidRDefault="00E44C7B" w:rsidP="005F60E0">
            <w:pPr>
              <w:pStyle w:val="naisc"/>
              <w:spacing w:before="0" w:after="0"/>
              <w:jc w:val="both"/>
              <w:rPr>
                <w:color w:val="000000" w:themeColor="text1"/>
              </w:rPr>
            </w:pPr>
          </w:p>
        </w:tc>
        <w:tc>
          <w:tcPr>
            <w:tcW w:w="3569" w:type="dxa"/>
            <w:tcBorders>
              <w:top w:val="single" w:sz="4" w:space="0" w:color="auto"/>
              <w:left w:val="single" w:sz="6" w:space="0" w:color="000000"/>
              <w:bottom w:val="single" w:sz="6" w:space="0" w:color="000000"/>
              <w:right w:val="single" w:sz="4" w:space="0" w:color="auto"/>
            </w:tcBorders>
          </w:tcPr>
          <w:p w14:paraId="3B0E86D6" w14:textId="77777777" w:rsidR="004B7B6A" w:rsidRPr="00CB3505" w:rsidRDefault="004B7B6A" w:rsidP="004B7B6A">
            <w:pPr>
              <w:jc w:val="both"/>
              <w:rPr>
                <w:color w:val="000000" w:themeColor="text1"/>
              </w:rPr>
            </w:pPr>
            <w:r w:rsidRPr="00CB3505">
              <w:rPr>
                <w:color w:val="000000" w:themeColor="text1"/>
              </w:rPr>
              <w:t>Vēršam uzmanību, ka</w:t>
            </w:r>
            <w:r w:rsidR="00FA7F13" w:rsidRPr="00CB3505">
              <w:rPr>
                <w:color w:val="000000" w:themeColor="text1"/>
              </w:rPr>
              <w:t xml:space="preserve"> </w:t>
            </w:r>
            <w:r w:rsidRPr="00CB3505">
              <w:rPr>
                <w:color w:val="000000" w:themeColor="text1"/>
              </w:rPr>
              <w:t>Valsts pārvaldes iekārtas likuma (10. panta astotā daļa) un Administratīvā procesa likuma (59. panta otrā daļa) uzdod par pienākumu iestādēm pašām iegūt informāciju, kas nepieciešama lēmuma pieņemšanai, nevis pieprasa no administratīvā procesa dalībniekiem.  Ņemot vērā iepriekš minēto</w:t>
            </w:r>
            <w:r w:rsidR="00CF3CB9" w:rsidRPr="00CB3505">
              <w:rPr>
                <w:color w:val="000000" w:themeColor="text1"/>
              </w:rPr>
              <w:t>,</w:t>
            </w:r>
            <w:r w:rsidRPr="00CB3505">
              <w:rPr>
                <w:color w:val="000000" w:themeColor="text1"/>
              </w:rPr>
              <w:t xml:space="preserve"> lūdzam izvērtēt iespēju likumpro</w:t>
            </w:r>
            <w:r w:rsidR="00CF3CB9" w:rsidRPr="00CB3505">
              <w:rPr>
                <w:color w:val="000000" w:themeColor="text1"/>
              </w:rPr>
              <w:t>jekta 20. </w:t>
            </w:r>
            <w:r w:rsidRPr="00CB3505">
              <w:rPr>
                <w:color w:val="000000" w:themeColor="text1"/>
              </w:rPr>
              <w:t>un 21.</w:t>
            </w:r>
            <w:r w:rsidR="00CF3CB9" w:rsidRPr="00CB3505">
              <w:rPr>
                <w:color w:val="000000" w:themeColor="text1"/>
              </w:rPr>
              <w:t> </w:t>
            </w:r>
            <w:r w:rsidRPr="00CB3505">
              <w:rPr>
                <w:color w:val="000000" w:themeColor="text1"/>
              </w:rPr>
              <w:t>pantā minēto informāciju iegūt pastarpināti no valsts pārvaldes iestādēm, izmantojot elektroniskos datu pārraides risinājumus.</w:t>
            </w:r>
          </w:p>
          <w:p w14:paraId="37579589" w14:textId="77777777" w:rsidR="00E44C7B" w:rsidRPr="00CB3505" w:rsidRDefault="00E44C7B" w:rsidP="00741D63">
            <w:pPr>
              <w:widowControl w:val="0"/>
              <w:ind w:left="34"/>
              <w:jc w:val="both"/>
              <w:rPr>
                <w:iCs/>
                <w:color w:val="000000" w:themeColor="text1"/>
              </w:rPr>
            </w:pPr>
          </w:p>
        </w:tc>
        <w:tc>
          <w:tcPr>
            <w:tcW w:w="3544" w:type="dxa"/>
            <w:gridSpan w:val="2"/>
            <w:tcBorders>
              <w:top w:val="single" w:sz="4" w:space="0" w:color="auto"/>
              <w:left w:val="single" w:sz="6" w:space="0" w:color="000000"/>
              <w:bottom w:val="single" w:sz="6" w:space="0" w:color="000000"/>
              <w:right w:val="single" w:sz="4" w:space="0" w:color="auto"/>
            </w:tcBorders>
          </w:tcPr>
          <w:p w14:paraId="361081C9" w14:textId="77777777" w:rsidR="00FA7F13" w:rsidRPr="00CB3505" w:rsidRDefault="00FA7F13" w:rsidP="00FA7F13">
            <w:pPr>
              <w:jc w:val="both"/>
              <w:rPr>
                <w:b/>
                <w:color w:val="000000" w:themeColor="text1"/>
              </w:rPr>
            </w:pPr>
            <w:r w:rsidRPr="00CB3505">
              <w:rPr>
                <w:b/>
                <w:color w:val="000000" w:themeColor="text1"/>
              </w:rPr>
              <w:t xml:space="preserve">Iebildums ņemts vērā likumprojekta izstrādes procesā.  </w:t>
            </w:r>
          </w:p>
          <w:p w14:paraId="324FCDC4" w14:textId="77777777" w:rsidR="00E44C7B" w:rsidRPr="00CB3505" w:rsidRDefault="00CF3CB9" w:rsidP="00CF3CB9">
            <w:pPr>
              <w:pStyle w:val="naisc"/>
              <w:spacing w:before="0" w:after="0"/>
              <w:jc w:val="both"/>
              <w:rPr>
                <w:color w:val="000000" w:themeColor="text1"/>
              </w:rPr>
            </w:pPr>
            <w:r w:rsidRPr="00CB3505">
              <w:rPr>
                <w:color w:val="000000" w:themeColor="text1"/>
              </w:rPr>
              <w:t xml:space="preserve">Jau likumprojekta izstrādes procesā ir vērtēts, vai no privātpersonas pieprasītā informācija nav iegūstama no citas valsts pārvaldes iestādes. Neviena no ziņām, kas minēta </w:t>
            </w:r>
            <w:r w:rsidR="00AB6B59" w:rsidRPr="00CB3505">
              <w:rPr>
                <w:color w:val="000000" w:themeColor="text1"/>
              </w:rPr>
              <w:t xml:space="preserve">likumprojekta </w:t>
            </w:r>
            <w:r w:rsidRPr="00CB3505">
              <w:rPr>
                <w:color w:val="000000" w:themeColor="text1"/>
              </w:rPr>
              <w:t xml:space="preserve">20. un 21. pantā, nav iegūstama </w:t>
            </w:r>
            <w:r w:rsidR="00AB6B59" w:rsidRPr="00CB3505">
              <w:rPr>
                <w:color w:val="000000" w:themeColor="text1"/>
              </w:rPr>
              <w:t xml:space="preserve">no </w:t>
            </w:r>
            <w:r w:rsidRPr="00CB3505">
              <w:rPr>
                <w:color w:val="000000" w:themeColor="text1"/>
              </w:rPr>
              <w:t xml:space="preserve">citas valsts pārvaldes iestādes. </w:t>
            </w:r>
          </w:p>
        </w:tc>
        <w:tc>
          <w:tcPr>
            <w:tcW w:w="3416" w:type="dxa"/>
            <w:gridSpan w:val="3"/>
            <w:tcBorders>
              <w:top w:val="single" w:sz="4" w:space="0" w:color="auto"/>
              <w:left w:val="single" w:sz="6" w:space="0" w:color="000000"/>
              <w:bottom w:val="single" w:sz="6" w:space="0" w:color="000000"/>
            </w:tcBorders>
          </w:tcPr>
          <w:p w14:paraId="3A95B890" w14:textId="77777777" w:rsidR="00E44C7B" w:rsidRPr="00CB3505" w:rsidRDefault="00E44C7B" w:rsidP="00E37CBF">
            <w:pPr>
              <w:rPr>
                <w:color w:val="000000" w:themeColor="text1"/>
              </w:rPr>
            </w:pPr>
          </w:p>
        </w:tc>
      </w:tr>
      <w:tr w:rsidR="00483402" w:rsidRPr="00136A24" w14:paraId="2384F4D6" w14:textId="77777777" w:rsidTr="00483402">
        <w:trPr>
          <w:gridAfter w:val="4"/>
          <w:wAfter w:w="5805" w:type="dxa"/>
          <w:trHeight w:val="140"/>
        </w:trPr>
        <w:tc>
          <w:tcPr>
            <w:tcW w:w="8660" w:type="dxa"/>
            <w:gridSpan w:val="4"/>
            <w:tcBorders>
              <w:top w:val="nil"/>
              <w:left w:val="nil"/>
              <w:bottom w:val="nil"/>
              <w:right w:val="nil"/>
            </w:tcBorders>
          </w:tcPr>
          <w:p w14:paraId="00984609" w14:textId="77777777" w:rsidR="00483402" w:rsidRDefault="00483402" w:rsidP="0092219A">
            <w:pPr>
              <w:jc w:val="center"/>
              <w:rPr>
                <w:sz w:val="20"/>
              </w:rPr>
            </w:pPr>
          </w:p>
          <w:p w14:paraId="6CC382FC" w14:textId="77777777" w:rsidR="00483402" w:rsidRPr="00136A24" w:rsidRDefault="00483402" w:rsidP="0092219A">
            <w:pPr>
              <w:jc w:val="center"/>
              <w:rPr>
                <w:sz w:val="20"/>
              </w:rPr>
            </w:pPr>
            <w:r w:rsidRPr="00136A24">
              <w:rPr>
                <w:sz w:val="20"/>
              </w:rPr>
              <w:t>Atbildīgā amatpersona</w:t>
            </w:r>
          </w:p>
        </w:tc>
      </w:tr>
      <w:tr w:rsidR="00483402" w:rsidRPr="00136A24" w14:paraId="61269B62" w14:textId="77777777" w:rsidTr="00483402">
        <w:trPr>
          <w:gridAfter w:val="1"/>
          <w:wAfter w:w="2308" w:type="dxa"/>
          <w:trHeight w:val="140"/>
        </w:trPr>
        <w:tc>
          <w:tcPr>
            <w:tcW w:w="8660" w:type="dxa"/>
            <w:gridSpan w:val="4"/>
            <w:tcBorders>
              <w:top w:val="nil"/>
              <w:left w:val="nil"/>
              <w:bottom w:val="nil"/>
              <w:right w:val="nil"/>
            </w:tcBorders>
          </w:tcPr>
          <w:p w14:paraId="3EB17B5A" w14:textId="77777777" w:rsidR="00483402" w:rsidRPr="00136A24" w:rsidRDefault="00483402" w:rsidP="0092219A">
            <w:pPr>
              <w:jc w:val="center"/>
              <w:rPr>
                <w:sz w:val="20"/>
              </w:rPr>
            </w:pPr>
          </w:p>
        </w:tc>
        <w:tc>
          <w:tcPr>
            <w:tcW w:w="3497" w:type="dxa"/>
            <w:gridSpan w:val="3"/>
            <w:tcBorders>
              <w:top w:val="single" w:sz="6" w:space="0" w:color="000000"/>
              <w:left w:val="nil"/>
              <w:bottom w:val="single" w:sz="6" w:space="0" w:color="000000"/>
              <w:right w:val="nil"/>
            </w:tcBorders>
            <w:hideMark/>
          </w:tcPr>
          <w:p w14:paraId="39D5FBB8" w14:textId="77777777" w:rsidR="00483402" w:rsidRPr="00136A24" w:rsidRDefault="00483402" w:rsidP="0092219A">
            <w:pPr>
              <w:jc w:val="center"/>
              <w:rPr>
                <w:sz w:val="20"/>
              </w:rPr>
            </w:pPr>
            <w:r w:rsidRPr="00136A24">
              <w:rPr>
                <w:sz w:val="20"/>
              </w:rPr>
              <w:t>(paraksts)*</w:t>
            </w:r>
          </w:p>
        </w:tc>
      </w:tr>
    </w:tbl>
    <w:p w14:paraId="2123DAC4" w14:textId="77777777" w:rsidR="00483402" w:rsidRPr="00136A24" w:rsidRDefault="00483402" w:rsidP="00483402">
      <w:pPr>
        <w:jc w:val="both"/>
        <w:rPr>
          <w:sz w:val="20"/>
        </w:rPr>
      </w:pPr>
      <w:r w:rsidRPr="00136A24">
        <w:rPr>
          <w:sz w:val="20"/>
        </w:rPr>
        <w:t>Piezīme. * Dokumenta rekvizītu „paraksts” neaizpilda, ja elektroniskais dokuments ir sagatavots atbilstoši normatīvajiem aktiem par elektronisko dokumentu noformēšanu.</w:t>
      </w:r>
    </w:p>
    <w:p w14:paraId="778C54B6" w14:textId="77777777" w:rsidR="00483402" w:rsidRPr="00136A24" w:rsidRDefault="00483402" w:rsidP="00483402">
      <w:pPr>
        <w:tabs>
          <w:tab w:val="left" w:pos="1125"/>
        </w:tabs>
        <w:jc w:val="both"/>
        <w:rPr>
          <w:sz w:val="20"/>
        </w:rPr>
      </w:pPr>
      <w:r w:rsidRPr="00136A24">
        <w:rPr>
          <w:sz w:val="20"/>
        </w:rPr>
        <w:tab/>
      </w:r>
    </w:p>
    <w:p w14:paraId="5D9ABD35" w14:textId="77777777" w:rsidR="00483402" w:rsidRPr="00136A24" w:rsidRDefault="00483402" w:rsidP="00483402">
      <w:pPr>
        <w:tabs>
          <w:tab w:val="left" w:pos="6330"/>
        </w:tabs>
        <w:jc w:val="both"/>
        <w:rPr>
          <w:sz w:val="20"/>
        </w:rPr>
      </w:pPr>
      <w:r>
        <w:rPr>
          <w:sz w:val="20"/>
        </w:rPr>
        <w:t>Gunvaldis Davidovičs</w:t>
      </w:r>
      <w:r w:rsidRPr="00136A24">
        <w:rPr>
          <w:sz w:val="20"/>
        </w:rPr>
        <w:tab/>
      </w:r>
    </w:p>
    <w:tbl>
      <w:tblPr>
        <w:tblpPr w:leftFromText="180" w:rightFromText="180" w:vertAnchor="text" w:tblpY="1"/>
        <w:tblOverlap w:val="never"/>
        <w:tblW w:w="0" w:type="auto"/>
        <w:tblLook w:val="00A0" w:firstRow="1" w:lastRow="0" w:firstColumn="1" w:lastColumn="0" w:noHBand="0" w:noVBand="0"/>
      </w:tblPr>
      <w:tblGrid>
        <w:gridCol w:w="9214"/>
      </w:tblGrid>
      <w:tr w:rsidR="00483402" w:rsidRPr="00136A24" w14:paraId="70AE6BB7" w14:textId="77777777" w:rsidTr="0092219A">
        <w:trPr>
          <w:trHeight w:val="731"/>
        </w:trPr>
        <w:tc>
          <w:tcPr>
            <w:tcW w:w="9214" w:type="dxa"/>
            <w:tcBorders>
              <w:top w:val="nil"/>
              <w:left w:val="nil"/>
              <w:bottom w:val="single" w:sz="4" w:space="0" w:color="000000"/>
              <w:right w:val="nil"/>
            </w:tcBorders>
            <w:hideMark/>
          </w:tcPr>
          <w:p w14:paraId="14597419" w14:textId="77777777" w:rsidR="00483402" w:rsidRPr="00136A24" w:rsidRDefault="00483402" w:rsidP="0092219A">
            <w:pPr>
              <w:rPr>
                <w:sz w:val="20"/>
              </w:rPr>
            </w:pPr>
            <w:r w:rsidRPr="00136A24">
              <w:rPr>
                <w:sz w:val="20"/>
              </w:rPr>
              <w:t>Finanšu ministrijas</w:t>
            </w:r>
          </w:p>
          <w:p w14:paraId="46C78E64" w14:textId="77777777" w:rsidR="00483402" w:rsidRPr="00136A24" w:rsidRDefault="00483402" w:rsidP="0092219A">
            <w:pPr>
              <w:rPr>
                <w:sz w:val="20"/>
              </w:rPr>
            </w:pPr>
            <w:r w:rsidRPr="00136A24">
              <w:rPr>
                <w:sz w:val="20"/>
              </w:rPr>
              <w:t xml:space="preserve">Finanšu tirgus politikas departamenta </w:t>
            </w:r>
            <w:r>
              <w:rPr>
                <w:sz w:val="20"/>
              </w:rPr>
              <w:t>jurists</w:t>
            </w:r>
          </w:p>
        </w:tc>
      </w:tr>
      <w:tr w:rsidR="00483402" w:rsidRPr="00136A24" w14:paraId="0A11BE4C" w14:textId="77777777" w:rsidTr="0092219A">
        <w:trPr>
          <w:trHeight w:val="229"/>
        </w:trPr>
        <w:tc>
          <w:tcPr>
            <w:tcW w:w="9214" w:type="dxa"/>
            <w:tcBorders>
              <w:top w:val="single" w:sz="4" w:space="0" w:color="000000"/>
              <w:left w:val="nil"/>
              <w:bottom w:val="nil"/>
              <w:right w:val="nil"/>
            </w:tcBorders>
            <w:hideMark/>
          </w:tcPr>
          <w:p w14:paraId="6E674011" w14:textId="77777777" w:rsidR="00483402" w:rsidRPr="00136A24" w:rsidRDefault="00483402" w:rsidP="0092219A">
            <w:pPr>
              <w:jc w:val="center"/>
              <w:rPr>
                <w:sz w:val="20"/>
              </w:rPr>
            </w:pPr>
            <w:r w:rsidRPr="00136A24">
              <w:rPr>
                <w:sz w:val="20"/>
              </w:rPr>
              <w:t>(amats)</w:t>
            </w:r>
          </w:p>
        </w:tc>
      </w:tr>
      <w:tr w:rsidR="00483402" w:rsidRPr="00136A24" w14:paraId="475DBE76" w14:textId="77777777" w:rsidTr="0092219A">
        <w:trPr>
          <w:trHeight w:val="243"/>
        </w:trPr>
        <w:tc>
          <w:tcPr>
            <w:tcW w:w="9214" w:type="dxa"/>
            <w:tcBorders>
              <w:top w:val="nil"/>
              <w:left w:val="nil"/>
              <w:bottom w:val="single" w:sz="4" w:space="0" w:color="000000"/>
              <w:right w:val="nil"/>
            </w:tcBorders>
            <w:hideMark/>
          </w:tcPr>
          <w:p w14:paraId="65BE0F4C" w14:textId="77777777" w:rsidR="00483402" w:rsidRPr="00136A24" w:rsidRDefault="00483402" w:rsidP="0092219A">
            <w:pPr>
              <w:rPr>
                <w:sz w:val="20"/>
              </w:rPr>
            </w:pPr>
            <w:r w:rsidRPr="00136A24">
              <w:rPr>
                <w:sz w:val="20"/>
              </w:rPr>
              <w:t>tālr. 670</w:t>
            </w:r>
            <w:r>
              <w:rPr>
                <w:sz w:val="20"/>
              </w:rPr>
              <w:t>83931</w:t>
            </w:r>
          </w:p>
        </w:tc>
      </w:tr>
      <w:tr w:rsidR="00483402" w:rsidRPr="00136A24" w14:paraId="7BE557B8" w14:textId="77777777" w:rsidTr="0092219A">
        <w:trPr>
          <w:trHeight w:val="243"/>
        </w:trPr>
        <w:tc>
          <w:tcPr>
            <w:tcW w:w="9214" w:type="dxa"/>
            <w:tcBorders>
              <w:top w:val="single" w:sz="4" w:space="0" w:color="000000"/>
              <w:left w:val="nil"/>
              <w:bottom w:val="nil"/>
              <w:right w:val="nil"/>
            </w:tcBorders>
            <w:hideMark/>
          </w:tcPr>
          <w:p w14:paraId="72608543" w14:textId="77777777" w:rsidR="00483402" w:rsidRPr="00136A24" w:rsidRDefault="00483402" w:rsidP="0092219A">
            <w:pPr>
              <w:jc w:val="center"/>
              <w:rPr>
                <w:sz w:val="20"/>
              </w:rPr>
            </w:pPr>
            <w:r w:rsidRPr="00136A24">
              <w:rPr>
                <w:sz w:val="20"/>
              </w:rPr>
              <w:t>(tālruņa un faksa numurs)</w:t>
            </w:r>
          </w:p>
        </w:tc>
      </w:tr>
      <w:tr w:rsidR="00483402" w:rsidRPr="00136A24" w14:paraId="7D2CF3A9" w14:textId="77777777" w:rsidTr="0092219A">
        <w:trPr>
          <w:trHeight w:val="229"/>
        </w:trPr>
        <w:tc>
          <w:tcPr>
            <w:tcW w:w="9214" w:type="dxa"/>
            <w:tcBorders>
              <w:top w:val="nil"/>
              <w:left w:val="nil"/>
              <w:bottom w:val="single" w:sz="4" w:space="0" w:color="000000"/>
              <w:right w:val="nil"/>
            </w:tcBorders>
            <w:hideMark/>
          </w:tcPr>
          <w:p w14:paraId="28631BC4" w14:textId="77777777" w:rsidR="00483402" w:rsidRPr="00136A24" w:rsidRDefault="0002518F" w:rsidP="0092219A">
            <w:pPr>
              <w:rPr>
                <w:sz w:val="20"/>
              </w:rPr>
            </w:pPr>
            <w:hyperlink r:id="rId9" w:history="1">
              <w:proofErr w:type="spellStart"/>
              <w:r w:rsidR="00483402">
                <w:rPr>
                  <w:rStyle w:val="Hyperlink"/>
                  <w:sz w:val="20"/>
                </w:rPr>
                <w:t>Gunvaldis.Davidovics</w:t>
              </w:r>
              <w:proofErr w:type="spellEnd"/>
              <w:r w:rsidR="00483402" w:rsidRPr="00136A24">
                <w:rPr>
                  <w:rStyle w:val="Hyperlink"/>
                  <w:sz w:val="20"/>
                </w:rPr>
                <w:t xml:space="preserve"> @fm.gov.lv</w:t>
              </w:r>
            </w:hyperlink>
            <w:r w:rsidR="00483402" w:rsidRPr="00136A24">
              <w:rPr>
                <w:sz w:val="20"/>
              </w:rPr>
              <w:t xml:space="preserve">  </w:t>
            </w:r>
          </w:p>
        </w:tc>
      </w:tr>
      <w:tr w:rsidR="00483402" w:rsidRPr="00136A24" w14:paraId="69847A66" w14:textId="77777777" w:rsidTr="0092219A">
        <w:trPr>
          <w:trHeight w:val="243"/>
        </w:trPr>
        <w:tc>
          <w:tcPr>
            <w:tcW w:w="9214" w:type="dxa"/>
            <w:tcBorders>
              <w:top w:val="single" w:sz="4" w:space="0" w:color="000000"/>
              <w:left w:val="nil"/>
              <w:bottom w:val="nil"/>
              <w:right w:val="nil"/>
            </w:tcBorders>
            <w:hideMark/>
          </w:tcPr>
          <w:p w14:paraId="408C82D8" w14:textId="77777777" w:rsidR="00483402" w:rsidRPr="00136A24" w:rsidRDefault="00483402" w:rsidP="0092219A">
            <w:pPr>
              <w:jc w:val="center"/>
              <w:rPr>
                <w:sz w:val="20"/>
              </w:rPr>
            </w:pPr>
            <w:r w:rsidRPr="00136A24">
              <w:rPr>
                <w:sz w:val="20"/>
              </w:rPr>
              <w:lastRenderedPageBreak/>
              <w:t>(e-pasta adrese)</w:t>
            </w:r>
          </w:p>
        </w:tc>
      </w:tr>
    </w:tbl>
    <w:p w14:paraId="1A588468" w14:textId="77777777" w:rsidR="00483402" w:rsidRPr="00136A24" w:rsidRDefault="00483402" w:rsidP="00483402">
      <w:pPr>
        <w:jc w:val="both"/>
        <w:rPr>
          <w:sz w:val="20"/>
          <w:szCs w:val="20"/>
        </w:rPr>
      </w:pPr>
      <w:r w:rsidRPr="00136A24">
        <w:rPr>
          <w:sz w:val="20"/>
        </w:rPr>
        <w:br w:type="textWrapping" w:clear="all"/>
      </w:r>
      <w:r>
        <w:rPr>
          <w:sz w:val="20"/>
          <w:szCs w:val="20"/>
        </w:rPr>
        <w:t>Gunvaldis Davidovičs</w:t>
      </w:r>
    </w:p>
    <w:p w14:paraId="50DC4C18" w14:textId="77777777" w:rsidR="00483402" w:rsidRPr="00136A24" w:rsidRDefault="00483402" w:rsidP="00483402">
      <w:pPr>
        <w:rPr>
          <w:sz w:val="20"/>
        </w:rPr>
      </w:pPr>
      <w:r w:rsidRPr="00136A24">
        <w:rPr>
          <w:sz w:val="20"/>
          <w:szCs w:val="20"/>
        </w:rPr>
        <w:t>670</w:t>
      </w:r>
      <w:r>
        <w:rPr>
          <w:sz w:val="20"/>
          <w:szCs w:val="20"/>
        </w:rPr>
        <w:t>83931</w:t>
      </w:r>
      <w:r w:rsidRPr="00136A24">
        <w:rPr>
          <w:sz w:val="20"/>
          <w:szCs w:val="20"/>
        </w:rPr>
        <w:t xml:space="preserve">, </w:t>
      </w:r>
      <w:hyperlink r:id="rId10" w:history="1">
        <w:r w:rsidRPr="00083387">
          <w:rPr>
            <w:rStyle w:val="Hyperlink"/>
            <w:sz w:val="20"/>
            <w:szCs w:val="20"/>
          </w:rPr>
          <w:t>Gunvaldis.Davidovics@fm.gov.lv</w:t>
        </w:r>
      </w:hyperlink>
      <w:r w:rsidRPr="00136A24">
        <w:rPr>
          <w:sz w:val="20"/>
          <w:szCs w:val="20"/>
        </w:rPr>
        <w:t xml:space="preserve"> </w:t>
      </w:r>
    </w:p>
    <w:p w14:paraId="0566A590" w14:textId="769D0366" w:rsidR="003D0A5A" w:rsidRPr="00CB3505" w:rsidRDefault="003D0A5A">
      <w:pPr>
        <w:rPr>
          <w:color w:val="000000" w:themeColor="text1"/>
          <w:sz w:val="20"/>
          <w:szCs w:val="20"/>
        </w:rPr>
      </w:pPr>
    </w:p>
    <w:sectPr w:rsidR="003D0A5A" w:rsidRPr="00CB3505" w:rsidSect="00483402">
      <w:headerReference w:type="default" r:id="rId11"/>
      <w:footerReference w:type="default" r:id="rId12"/>
      <w:footerReference w:type="first" r:id="rId13"/>
      <w:pgSz w:w="16838" w:h="11906" w:orient="landscape"/>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8490A" w14:textId="77777777" w:rsidR="0002518F" w:rsidRDefault="0002518F" w:rsidP="00541594">
      <w:r>
        <w:separator/>
      </w:r>
    </w:p>
  </w:endnote>
  <w:endnote w:type="continuationSeparator" w:id="0">
    <w:p w14:paraId="6539AE35" w14:textId="77777777" w:rsidR="0002518F" w:rsidRDefault="0002518F" w:rsidP="0054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BCB3" w14:textId="44C6E219" w:rsidR="00210EED" w:rsidRPr="008C40C6" w:rsidRDefault="00210EED" w:rsidP="00B73998">
    <w:pPr>
      <w:pStyle w:val="Foote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FMIzz_</w:t>
    </w:r>
    <w:r w:rsidR="007C658C">
      <w:rPr>
        <w:noProof/>
        <w:sz w:val="20"/>
        <w:szCs w:val="20"/>
      </w:rPr>
      <w:t>070621</w:t>
    </w:r>
    <w:r>
      <w:rPr>
        <w:noProof/>
        <w:sz w:val="20"/>
        <w:szCs w:val="20"/>
      </w:rPr>
      <w:t>_</w:t>
    </w:r>
    <w:r w:rsidR="00C95396">
      <w:rPr>
        <w:noProof/>
        <w:sz w:val="20"/>
        <w:szCs w:val="20"/>
      </w:rPr>
      <w:t>AAL</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B4DB8" w14:textId="7EF3216F" w:rsidR="00210EED" w:rsidRDefault="00210EED" w:rsidP="00C95396">
    <w:pPr>
      <w:pStyle w:val="Footer"/>
      <w:tabs>
        <w:tab w:val="clear" w:pos="4153"/>
        <w:tab w:val="clear" w:pos="8306"/>
        <w:tab w:val="left" w:pos="2145"/>
      </w:tabs>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FMIzz_</w:t>
    </w:r>
    <w:r w:rsidR="007C658C">
      <w:rPr>
        <w:noProof/>
        <w:sz w:val="20"/>
        <w:szCs w:val="20"/>
      </w:rPr>
      <w:t>070621</w:t>
    </w:r>
    <w:r>
      <w:rPr>
        <w:noProof/>
        <w:sz w:val="20"/>
        <w:szCs w:val="20"/>
      </w:rPr>
      <w:t>_</w:t>
    </w:r>
    <w:r>
      <w:rPr>
        <w:noProof/>
        <w:sz w:val="20"/>
        <w:szCs w:val="20"/>
      </w:rPr>
      <w:fldChar w:fldCharType="end"/>
    </w:r>
    <w:r w:rsidR="00C95396">
      <w:rPr>
        <w:noProof/>
        <w:sz w:val="20"/>
        <w:szCs w:val="20"/>
      </w:rPr>
      <w:t>AAL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FE7C8" w14:textId="77777777" w:rsidR="0002518F" w:rsidRDefault="0002518F" w:rsidP="00541594">
      <w:r>
        <w:separator/>
      </w:r>
    </w:p>
  </w:footnote>
  <w:footnote w:type="continuationSeparator" w:id="0">
    <w:p w14:paraId="5AC1EA62" w14:textId="77777777" w:rsidR="0002518F" w:rsidRDefault="0002518F" w:rsidP="00541594">
      <w:r>
        <w:continuationSeparator/>
      </w:r>
    </w:p>
  </w:footnote>
  <w:footnote w:id="1">
    <w:p w14:paraId="2CBA3540" w14:textId="77777777" w:rsidR="00210EED" w:rsidRPr="00C40B01" w:rsidRDefault="00210EED" w:rsidP="004B7B6A">
      <w:pPr>
        <w:pStyle w:val="NormalWeb"/>
        <w:rPr>
          <w:color w:val="000000"/>
          <w:sz w:val="18"/>
          <w:szCs w:val="18"/>
          <w:lang w:eastAsia="en-US"/>
        </w:rPr>
      </w:pPr>
      <w:r w:rsidRPr="00C40B01">
        <w:rPr>
          <w:rStyle w:val="FootnoteReference"/>
          <w:sz w:val="18"/>
          <w:szCs w:val="18"/>
        </w:rPr>
        <w:footnoteRef/>
      </w:r>
      <w:r w:rsidRPr="00C40B01">
        <w:rPr>
          <w:sz w:val="18"/>
          <w:szCs w:val="18"/>
        </w:rPr>
        <w:t xml:space="preserve"> Skat., piemēram, </w:t>
      </w:r>
      <w:r w:rsidRPr="00C40B01">
        <w:rPr>
          <w:color w:val="000000"/>
          <w:sz w:val="18"/>
          <w:szCs w:val="18"/>
          <w:lang w:eastAsia="en-US"/>
        </w:rPr>
        <w:t>Satversmes tiesas 2010.gada 6.oktobra spriedumu lietā Nr. 2009-113-0106 (secinājumu daļas 14.punktu).</w:t>
      </w:r>
    </w:p>
    <w:p w14:paraId="7E99A712" w14:textId="77777777" w:rsidR="00210EED" w:rsidRDefault="00210EED" w:rsidP="004B7B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4484" w14:textId="537AEC5A" w:rsidR="00210EED" w:rsidRDefault="00210EED">
    <w:pPr>
      <w:pStyle w:val="Header"/>
      <w:jc w:val="center"/>
    </w:pPr>
    <w:r>
      <w:fldChar w:fldCharType="begin"/>
    </w:r>
    <w:r>
      <w:instrText xml:space="preserve"> PAGE   \* MERGEFORMAT </w:instrText>
    </w:r>
    <w:r>
      <w:fldChar w:fldCharType="separate"/>
    </w:r>
    <w:r w:rsidR="007C658C">
      <w:rPr>
        <w:noProof/>
      </w:rPr>
      <w:t>2</w:t>
    </w:r>
    <w:r>
      <w:rPr>
        <w:noProof/>
      </w:rPr>
      <w:fldChar w:fldCharType="end"/>
    </w:r>
  </w:p>
  <w:p w14:paraId="063F3D38" w14:textId="77777777" w:rsidR="00210EED" w:rsidRDefault="00210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9E1"/>
    <w:multiLevelType w:val="hybridMultilevel"/>
    <w:tmpl w:val="EEFCF4D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34108F4"/>
    <w:multiLevelType w:val="hybridMultilevel"/>
    <w:tmpl w:val="BAC242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AE7480"/>
    <w:multiLevelType w:val="hybridMultilevel"/>
    <w:tmpl w:val="457AEA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735268"/>
    <w:multiLevelType w:val="hybridMultilevel"/>
    <w:tmpl w:val="192C1EB2"/>
    <w:lvl w:ilvl="0" w:tplc="D6AAE516">
      <w:start w:val="1"/>
      <w:numFmt w:val="decimal"/>
      <w:lvlText w:val="%1."/>
      <w:lvlJc w:val="left"/>
      <w:pPr>
        <w:ind w:left="1069" w:hanging="360"/>
      </w:pPr>
      <w:rPr>
        <w:rFonts w:eastAsia="Times New Roman"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 w15:restartNumberingAfterBreak="0">
    <w:nsid w:val="09982EAB"/>
    <w:multiLevelType w:val="hybridMultilevel"/>
    <w:tmpl w:val="45F2EBE2"/>
    <w:lvl w:ilvl="0" w:tplc="E190F20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2B3849"/>
    <w:multiLevelType w:val="hybridMultilevel"/>
    <w:tmpl w:val="F9FA7CC8"/>
    <w:lvl w:ilvl="0" w:tplc="B388D682">
      <w:start w:val="1"/>
      <w:numFmt w:val="decimal"/>
      <w:lvlText w:val="%1."/>
      <w:lvlJc w:val="left"/>
      <w:pPr>
        <w:ind w:left="381" w:hanging="360"/>
      </w:pPr>
      <w:rPr>
        <w:rFonts w:cs="Times New Roman" w:hint="default"/>
      </w:rPr>
    </w:lvl>
    <w:lvl w:ilvl="1" w:tplc="04260019" w:tentative="1">
      <w:start w:val="1"/>
      <w:numFmt w:val="lowerLetter"/>
      <w:lvlText w:val="%2."/>
      <w:lvlJc w:val="left"/>
      <w:pPr>
        <w:ind w:left="1101" w:hanging="360"/>
      </w:pPr>
      <w:rPr>
        <w:rFonts w:cs="Times New Roman"/>
      </w:rPr>
    </w:lvl>
    <w:lvl w:ilvl="2" w:tplc="0426001B" w:tentative="1">
      <w:start w:val="1"/>
      <w:numFmt w:val="lowerRoman"/>
      <w:lvlText w:val="%3."/>
      <w:lvlJc w:val="right"/>
      <w:pPr>
        <w:ind w:left="1821" w:hanging="180"/>
      </w:pPr>
      <w:rPr>
        <w:rFonts w:cs="Times New Roman"/>
      </w:rPr>
    </w:lvl>
    <w:lvl w:ilvl="3" w:tplc="0426000F">
      <w:start w:val="1"/>
      <w:numFmt w:val="decimal"/>
      <w:lvlText w:val="%4."/>
      <w:lvlJc w:val="left"/>
      <w:pPr>
        <w:ind w:left="2541" w:hanging="360"/>
      </w:pPr>
      <w:rPr>
        <w:rFonts w:cs="Times New Roman"/>
      </w:rPr>
    </w:lvl>
    <w:lvl w:ilvl="4" w:tplc="04260019" w:tentative="1">
      <w:start w:val="1"/>
      <w:numFmt w:val="lowerLetter"/>
      <w:lvlText w:val="%5."/>
      <w:lvlJc w:val="left"/>
      <w:pPr>
        <w:ind w:left="3261" w:hanging="360"/>
      </w:pPr>
      <w:rPr>
        <w:rFonts w:cs="Times New Roman"/>
      </w:rPr>
    </w:lvl>
    <w:lvl w:ilvl="5" w:tplc="0426001B" w:tentative="1">
      <w:start w:val="1"/>
      <w:numFmt w:val="lowerRoman"/>
      <w:lvlText w:val="%6."/>
      <w:lvlJc w:val="right"/>
      <w:pPr>
        <w:ind w:left="3981" w:hanging="180"/>
      </w:pPr>
      <w:rPr>
        <w:rFonts w:cs="Times New Roman"/>
      </w:rPr>
    </w:lvl>
    <w:lvl w:ilvl="6" w:tplc="0426000F" w:tentative="1">
      <w:start w:val="1"/>
      <w:numFmt w:val="decimal"/>
      <w:lvlText w:val="%7."/>
      <w:lvlJc w:val="left"/>
      <w:pPr>
        <w:ind w:left="4701" w:hanging="360"/>
      </w:pPr>
      <w:rPr>
        <w:rFonts w:cs="Times New Roman"/>
      </w:rPr>
    </w:lvl>
    <w:lvl w:ilvl="7" w:tplc="04260019" w:tentative="1">
      <w:start w:val="1"/>
      <w:numFmt w:val="lowerLetter"/>
      <w:lvlText w:val="%8."/>
      <w:lvlJc w:val="left"/>
      <w:pPr>
        <w:ind w:left="5421" w:hanging="360"/>
      </w:pPr>
      <w:rPr>
        <w:rFonts w:cs="Times New Roman"/>
      </w:rPr>
    </w:lvl>
    <w:lvl w:ilvl="8" w:tplc="0426001B" w:tentative="1">
      <w:start w:val="1"/>
      <w:numFmt w:val="lowerRoman"/>
      <w:lvlText w:val="%9."/>
      <w:lvlJc w:val="right"/>
      <w:pPr>
        <w:ind w:left="6141" w:hanging="180"/>
      </w:pPr>
      <w:rPr>
        <w:rFonts w:cs="Times New Roman"/>
      </w:rPr>
    </w:lvl>
  </w:abstractNum>
  <w:abstractNum w:abstractNumId="6" w15:restartNumberingAfterBreak="0">
    <w:nsid w:val="0C1002AA"/>
    <w:multiLevelType w:val="hybridMultilevel"/>
    <w:tmpl w:val="BEAA146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1441BFE"/>
    <w:multiLevelType w:val="hybridMultilevel"/>
    <w:tmpl w:val="B74682E0"/>
    <w:lvl w:ilvl="0" w:tplc="0426000F">
      <w:start w:val="1"/>
      <w:numFmt w:val="decimal"/>
      <w:lvlText w:val="%1."/>
      <w:lvlJc w:val="left"/>
      <w:pPr>
        <w:ind w:left="928" w:hanging="360"/>
      </w:pPr>
      <w:rPr>
        <w:rFonts w:cs="Times New Roman" w:hint="default"/>
      </w:rPr>
    </w:lvl>
    <w:lvl w:ilvl="1" w:tplc="04260019" w:tentative="1">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abstractNum w:abstractNumId="8" w15:restartNumberingAfterBreak="0">
    <w:nsid w:val="11EC4446"/>
    <w:multiLevelType w:val="hybridMultilevel"/>
    <w:tmpl w:val="CF52FF5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123071EB"/>
    <w:multiLevelType w:val="hybridMultilevel"/>
    <w:tmpl w:val="31D2CF44"/>
    <w:lvl w:ilvl="0" w:tplc="5358D5E4">
      <w:start w:val="1"/>
      <w:numFmt w:val="decimal"/>
      <w:lvlText w:val="%1."/>
      <w:lvlJc w:val="left"/>
      <w:pPr>
        <w:ind w:left="928" w:hanging="360"/>
      </w:pPr>
      <w:rPr>
        <w:rFonts w:cs="Times New Roman" w:hint="default"/>
      </w:rPr>
    </w:lvl>
    <w:lvl w:ilvl="1" w:tplc="04260019" w:tentative="1">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abstractNum w:abstractNumId="10" w15:restartNumberingAfterBreak="0">
    <w:nsid w:val="1380530D"/>
    <w:multiLevelType w:val="hybridMultilevel"/>
    <w:tmpl w:val="C14E41D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4523F90"/>
    <w:multiLevelType w:val="hybridMultilevel"/>
    <w:tmpl w:val="A0AA1226"/>
    <w:lvl w:ilvl="0" w:tplc="DC66C8EA">
      <w:start w:val="1"/>
      <w:numFmt w:val="decimal"/>
      <w:lvlText w:val="%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15A16855"/>
    <w:multiLevelType w:val="hybridMultilevel"/>
    <w:tmpl w:val="F5240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65566BD"/>
    <w:multiLevelType w:val="hybridMultilevel"/>
    <w:tmpl w:val="5CC0A16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1DDC34D4"/>
    <w:multiLevelType w:val="hybridMultilevel"/>
    <w:tmpl w:val="D10A0B9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C5903CF"/>
    <w:multiLevelType w:val="hybridMultilevel"/>
    <w:tmpl w:val="DFE4F10E"/>
    <w:lvl w:ilvl="0" w:tplc="B2501682">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tentative="1">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16" w15:restartNumberingAfterBreak="0">
    <w:nsid w:val="2CE8071A"/>
    <w:multiLevelType w:val="hybridMultilevel"/>
    <w:tmpl w:val="221A85B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2D891E0E"/>
    <w:multiLevelType w:val="hybridMultilevel"/>
    <w:tmpl w:val="469C5BA2"/>
    <w:lvl w:ilvl="0" w:tplc="21F07C90">
      <w:start w:val="1"/>
      <w:numFmt w:val="decimal"/>
      <w:lvlText w:val="%1)"/>
      <w:lvlJc w:val="left"/>
      <w:pPr>
        <w:ind w:left="720" w:hanging="360"/>
      </w:pPr>
      <w:rPr>
        <w:rFonts w:cs="Times New Roman"/>
        <w:color w:val="414142"/>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8" w15:restartNumberingAfterBreak="0">
    <w:nsid w:val="330B7A1A"/>
    <w:multiLevelType w:val="hybridMultilevel"/>
    <w:tmpl w:val="EDF6BFD0"/>
    <w:lvl w:ilvl="0" w:tplc="0426000F">
      <w:start w:val="1"/>
      <w:numFmt w:val="decimal"/>
      <w:lvlText w:val="%1."/>
      <w:lvlJc w:val="left"/>
      <w:pPr>
        <w:ind w:left="786"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C287A44"/>
    <w:multiLevelType w:val="hybridMultilevel"/>
    <w:tmpl w:val="AF1E8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FD6DFB"/>
    <w:multiLevelType w:val="hybridMultilevel"/>
    <w:tmpl w:val="62640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D626DA"/>
    <w:multiLevelType w:val="hybridMultilevel"/>
    <w:tmpl w:val="C14E41D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5313525D"/>
    <w:multiLevelType w:val="hybridMultilevel"/>
    <w:tmpl w:val="DFE4F10E"/>
    <w:lvl w:ilvl="0" w:tplc="B2501682">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tentative="1">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23" w15:restartNumberingAfterBreak="0">
    <w:nsid w:val="54032C89"/>
    <w:multiLevelType w:val="hybridMultilevel"/>
    <w:tmpl w:val="CCF8FA0A"/>
    <w:lvl w:ilvl="0" w:tplc="28386B1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C8E02E7"/>
    <w:multiLevelType w:val="hybridMultilevel"/>
    <w:tmpl w:val="C03A181A"/>
    <w:lvl w:ilvl="0" w:tplc="A24CDF64">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DC81CAA"/>
    <w:multiLevelType w:val="hybridMultilevel"/>
    <w:tmpl w:val="C03A181A"/>
    <w:lvl w:ilvl="0" w:tplc="A24CDF64">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942" w:hanging="360"/>
      </w:pPr>
      <w:rPr>
        <w:rFonts w:cs="Times New Roman"/>
      </w:rPr>
    </w:lvl>
    <w:lvl w:ilvl="2" w:tplc="0409001B" w:tentative="1">
      <w:start w:val="1"/>
      <w:numFmt w:val="lowerRoman"/>
      <w:lvlText w:val="%3."/>
      <w:lvlJc w:val="right"/>
      <w:pPr>
        <w:ind w:left="2662" w:hanging="180"/>
      </w:pPr>
      <w:rPr>
        <w:rFonts w:cs="Times New Roman"/>
      </w:rPr>
    </w:lvl>
    <w:lvl w:ilvl="3" w:tplc="0409000F" w:tentative="1">
      <w:start w:val="1"/>
      <w:numFmt w:val="decimal"/>
      <w:lvlText w:val="%4."/>
      <w:lvlJc w:val="left"/>
      <w:pPr>
        <w:ind w:left="3382" w:hanging="360"/>
      </w:pPr>
      <w:rPr>
        <w:rFonts w:cs="Times New Roman"/>
      </w:rPr>
    </w:lvl>
    <w:lvl w:ilvl="4" w:tplc="04090019" w:tentative="1">
      <w:start w:val="1"/>
      <w:numFmt w:val="lowerLetter"/>
      <w:lvlText w:val="%5."/>
      <w:lvlJc w:val="left"/>
      <w:pPr>
        <w:ind w:left="4102" w:hanging="360"/>
      </w:pPr>
      <w:rPr>
        <w:rFonts w:cs="Times New Roman"/>
      </w:rPr>
    </w:lvl>
    <w:lvl w:ilvl="5" w:tplc="0409001B" w:tentative="1">
      <w:start w:val="1"/>
      <w:numFmt w:val="lowerRoman"/>
      <w:lvlText w:val="%6."/>
      <w:lvlJc w:val="right"/>
      <w:pPr>
        <w:ind w:left="4822" w:hanging="180"/>
      </w:pPr>
      <w:rPr>
        <w:rFonts w:cs="Times New Roman"/>
      </w:rPr>
    </w:lvl>
    <w:lvl w:ilvl="6" w:tplc="0409000F" w:tentative="1">
      <w:start w:val="1"/>
      <w:numFmt w:val="decimal"/>
      <w:lvlText w:val="%7."/>
      <w:lvlJc w:val="left"/>
      <w:pPr>
        <w:ind w:left="5542" w:hanging="360"/>
      </w:pPr>
      <w:rPr>
        <w:rFonts w:cs="Times New Roman"/>
      </w:rPr>
    </w:lvl>
    <w:lvl w:ilvl="7" w:tplc="04090019" w:tentative="1">
      <w:start w:val="1"/>
      <w:numFmt w:val="lowerLetter"/>
      <w:lvlText w:val="%8."/>
      <w:lvlJc w:val="left"/>
      <w:pPr>
        <w:ind w:left="6262" w:hanging="360"/>
      </w:pPr>
      <w:rPr>
        <w:rFonts w:cs="Times New Roman"/>
      </w:rPr>
    </w:lvl>
    <w:lvl w:ilvl="8" w:tplc="0409001B" w:tentative="1">
      <w:start w:val="1"/>
      <w:numFmt w:val="lowerRoman"/>
      <w:lvlText w:val="%9."/>
      <w:lvlJc w:val="right"/>
      <w:pPr>
        <w:ind w:left="6982" w:hanging="180"/>
      </w:pPr>
      <w:rPr>
        <w:rFonts w:cs="Times New Roman"/>
      </w:rPr>
    </w:lvl>
  </w:abstractNum>
  <w:abstractNum w:abstractNumId="26" w15:restartNumberingAfterBreak="0">
    <w:nsid w:val="6FBF4C29"/>
    <w:multiLevelType w:val="hybridMultilevel"/>
    <w:tmpl w:val="94E81ED8"/>
    <w:lvl w:ilvl="0" w:tplc="0426000F">
      <w:start w:val="1"/>
      <w:numFmt w:val="decimal"/>
      <w:lvlText w:val="%1."/>
      <w:lvlJc w:val="left"/>
      <w:pPr>
        <w:ind w:left="928"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70693339"/>
    <w:multiLevelType w:val="hybridMultilevel"/>
    <w:tmpl w:val="F3B054A2"/>
    <w:lvl w:ilvl="0" w:tplc="F6D4DC4C">
      <w:start w:val="1"/>
      <w:numFmt w:val="decimal"/>
      <w:lvlText w:val="%1."/>
      <w:lvlJc w:val="left"/>
      <w:pPr>
        <w:ind w:left="644"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70C73FF1"/>
    <w:multiLevelType w:val="hybridMultilevel"/>
    <w:tmpl w:val="A2480F2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9" w15:restartNumberingAfterBreak="0">
    <w:nsid w:val="71CB3AB9"/>
    <w:multiLevelType w:val="hybridMultilevel"/>
    <w:tmpl w:val="88E63FAC"/>
    <w:lvl w:ilvl="0" w:tplc="8FAC4D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6"/>
  </w:num>
  <w:num w:numId="2">
    <w:abstractNumId w:val="3"/>
  </w:num>
  <w:num w:numId="3">
    <w:abstractNumId w:val="21"/>
  </w:num>
  <w:num w:numId="4">
    <w:abstractNumId w:val="10"/>
  </w:num>
  <w:num w:numId="5">
    <w:abstractNumId w:val="7"/>
  </w:num>
  <w:num w:numId="6">
    <w:abstractNumId w:val="9"/>
  </w:num>
  <w:num w:numId="7">
    <w:abstractNumId w:val="6"/>
  </w:num>
  <w:num w:numId="8">
    <w:abstractNumId w:val="18"/>
  </w:num>
  <w:num w:numId="9">
    <w:abstractNumId w:val="0"/>
  </w:num>
  <w:num w:numId="10">
    <w:abstractNumId w:val="16"/>
  </w:num>
  <w:num w:numId="11">
    <w:abstractNumId w:val="11"/>
  </w:num>
  <w:num w:numId="12">
    <w:abstractNumId w:val="27"/>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2"/>
  </w:num>
  <w:num w:numId="22">
    <w:abstractNumId w:val="4"/>
  </w:num>
  <w:num w:numId="23">
    <w:abstractNumId w:val="20"/>
  </w:num>
  <w:num w:numId="24">
    <w:abstractNumId w:val="29"/>
  </w:num>
  <w:num w:numId="25">
    <w:abstractNumId w:val="13"/>
  </w:num>
  <w:num w:numId="26">
    <w:abstractNumId w:val="23"/>
  </w:num>
  <w:num w:numId="27">
    <w:abstractNumId w:val="28"/>
  </w:num>
  <w:num w:numId="28">
    <w:abstractNumId w:val="19"/>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61"/>
    <w:rsid w:val="000036B8"/>
    <w:rsid w:val="00005853"/>
    <w:rsid w:val="000068C4"/>
    <w:rsid w:val="0000711A"/>
    <w:rsid w:val="000116FB"/>
    <w:rsid w:val="00015826"/>
    <w:rsid w:val="00017F31"/>
    <w:rsid w:val="00022B7F"/>
    <w:rsid w:val="0002518F"/>
    <w:rsid w:val="00032A0B"/>
    <w:rsid w:val="00034F82"/>
    <w:rsid w:val="00037733"/>
    <w:rsid w:val="00043FDF"/>
    <w:rsid w:val="00061804"/>
    <w:rsid w:val="000645F0"/>
    <w:rsid w:val="00077C7A"/>
    <w:rsid w:val="000810C9"/>
    <w:rsid w:val="00086168"/>
    <w:rsid w:val="00087520"/>
    <w:rsid w:val="000910A7"/>
    <w:rsid w:val="0009167F"/>
    <w:rsid w:val="00092FC4"/>
    <w:rsid w:val="00094308"/>
    <w:rsid w:val="00094563"/>
    <w:rsid w:val="000A4ECA"/>
    <w:rsid w:val="000B1F74"/>
    <w:rsid w:val="000B2DDB"/>
    <w:rsid w:val="000B73D7"/>
    <w:rsid w:val="000C19C8"/>
    <w:rsid w:val="000D1638"/>
    <w:rsid w:val="000D21C8"/>
    <w:rsid w:val="000D392F"/>
    <w:rsid w:val="000E1D1B"/>
    <w:rsid w:val="000E39F8"/>
    <w:rsid w:val="000E3CC2"/>
    <w:rsid w:val="000E7F38"/>
    <w:rsid w:val="000F3EC4"/>
    <w:rsid w:val="000F7046"/>
    <w:rsid w:val="000F7274"/>
    <w:rsid w:val="0010601C"/>
    <w:rsid w:val="00115A34"/>
    <w:rsid w:val="00116FF4"/>
    <w:rsid w:val="001214F7"/>
    <w:rsid w:val="001235CF"/>
    <w:rsid w:val="00134F9F"/>
    <w:rsid w:val="0014022C"/>
    <w:rsid w:val="0015136A"/>
    <w:rsid w:val="001524F0"/>
    <w:rsid w:val="00153E95"/>
    <w:rsid w:val="0015404A"/>
    <w:rsid w:val="00154BA8"/>
    <w:rsid w:val="00156EC7"/>
    <w:rsid w:val="0016002E"/>
    <w:rsid w:val="001631BE"/>
    <w:rsid w:val="00163CA4"/>
    <w:rsid w:val="0017526C"/>
    <w:rsid w:val="001765CE"/>
    <w:rsid w:val="001773FA"/>
    <w:rsid w:val="00182F85"/>
    <w:rsid w:val="001849D4"/>
    <w:rsid w:val="00191E70"/>
    <w:rsid w:val="00192FCC"/>
    <w:rsid w:val="0019539F"/>
    <w:rsid w:val="001956F2"/>
    <w:rsid w:val="00195C8F"/>
    <w:rsid w:val="001969C0"/>
    <w:rsid w:val="001A2BD6"/>
    <w:rsid w:val="001B02BB"/>
    <w:rsid w:val="001B1128"/>
    <w:rsid w:val="001B1911"/>
    <w:rsid w:val="001C3E63"/>
    <w:rsid w:val="001D2152"/>
    <w:rsid w:val="001D566D"/>
    <w:rsid w:val="001D5AC9"/>
    <w:rsid w:val="001E1AEF"/>
    <w:rsid w:val="001E3746"/>
    <w:rsid w:val="001E3F09"/>
    <w:rsid w:val="001E75BC"/>
    <w:rsid w:val="001F35E5"/>
    <w:rsid w:val="001F7A68"/>
    <w:rsid w:val="00202035"/>
    <w:rsid w:val="002030B7"/>
    <w:rsid w:val="002034E9"/>
    <w:rsid w:val="00205591"/>
    <w:rsid w:val="00206C10"/>
    <w:rsid w:val="00210EED"/>
    <w:rsid w:val="0021105C"/>
    <w:rsid w:val="00213D18"/>
    <w:rsid w:val="00221098"/>
    <w:rsid w:val="0022168B"/>
    <w:rsid w:val="00222013"/>
    <w:rsid w:val="00223B66"/>
    <w:rsid w:val="00223C93"/>
    <w:rsid w:val="00226509"/>
    <w:rsid w:val="00227D26"/>
    <w:rsid w:val="002357C9"/>
    <w:rsid w:val="0024191C"/>
    <w:rsid w:val="002426C6"/>
    <w:rsid w:val="002462FE"/>
    <w:rsid w:val="002510D3"/>
    <w:rsid w:val="00251303"/>
    <w:rsid w:val="00252958"/>
    <w:rsid w:val="00253381"/>
    <w:rsid w:val="002561AB"/>
    <w:rsid w:val="00262DBA"/>
    <w:rsid w:val="0026653B"/>
    <w:rsid w:val="0026704E"/>
    <w:rsid w:val="00271756"/>
    <w:rsid w:val="00276202"/>
    <w:rsid w:val="00276233"/>
    <w:rsid w:val="00276A01"/>
    <w:rsid w:val="0028061C"/>
    <w:rsid w:val="00280998"/>
    <w:rsid w:val="00280A50"/>
    <w:rsid w:val="00287A94"/>
    <w:rsid w:val="0029079C"/>
    <w:rsid w:val="002951CD"/>
    <w:rsid w:val="00295885"/>
    <w:rsid w:val="00296F6E"/>
    <w:rsid w:val="00297CBA"/>
    <w:rsid w:val="002A3840"/>
    <w:rsid w:val="002B0807"/>
    <w:rsid w:val="002B250A"/>
    <w:rsid w:val="002B3B4C"/>
    <w:rsid w:val="002B3D9F"/>
    <w:rsid w:val="002B60A5"/>
    <w:rsid w:val="002C39B0"/>
    <w:rsid w:val="002C4193"/>
    <w:rsid w:val="002C44AD"/>
    <w:rsid w:val="002C6CC3"/>
    <w:rsid w:val="002D54C4"/>
    <w:rsid w:val="002E32DE"/>
    <w:rsid w:val="002F5488"/>
    <w:rsid w:val="002F7E90"/>
    <w:rsid w:val="00301EBA"/>
    <w:rsid w:val="003070C1"/>
    <w:rsid w:val="00307764"/>
    <w:rsid w:val="00312969"/>
    <w:rsid w:val="0032141F"/>
    <w:rsid w:val="003249E5"/>
    <w:rsid w:val="00327599"/>
    <w:rsid w:val="0033097C"/>
    <w:rsid w:val="00331037"/>
    <w:rsid w:val="003324B9"/>
    <w:rsid w:val="00334F99"/>
    <w:rsid w:val="00341C69"/>
    <w:rsid w:val="00345B9A"/>
    <w:rsid w:val="003500E7"/>
    <w:rsid w:val="003533CB"/>
    <w:rsid w:val="003616F0"/>
    <w:rsid w:val="00367F5B"/>
    <w:rsid w:val="003814B8"/>
    <w:rsid w:val="00381B4D"/>
    <w:rsid w:val="00382C45"/>
    <w:rsid w:val="00393AE6"/>
    <w:rsid w:val="003958F7"/>
    <w:rsid w:val="00395A18"/>
    <w:rsid w:val="00397B25"/>
    <w:rsid w:val="003A266C"/>
    <w:rsid w:val="003A5C41"/>
    <w:rsid w:val="003B4C5B"/>
    <w:rsid w:val="003B50BB"/>
    <w:rsid w:val="003C0124"/>
    <w:rsid w:val="003C4526"/>
    <w:rsid w:val="003D0A5A"/>
    <w:rsid w:val="003D20D5"/>
    <w:rsid w:val="003D70B8"/>
    <w:rsid w:val="003E14D9"/>
    <w:rsid w:val="003E5C82"/>
    <w:rsid w:val="003F27B8"/>
    <w:rsid w:val="003F287D"/>
    <w:rsid w:val="00400BEF"/>
    <w:rsid w:val="004076FA"/>
    <w:rsid w:val="00414B3E"/>
    <w:rsid w:val="004154E4"/>
    <w:rsid w:val="00417DCA"/>
    <w:rsid w:val="00427B93"/>
    <w:rsid w:val="00427D86"/>
    <w:rsid w:val="00435E52"/>
    <w:rsid w:val="00436711"/>
    <w:rsid w:val="00443F8A"/>
    <w:rsid w:val="004445D0"/>
    <w:rsid w:val="00446B1C"/>
    <w:rsid w:val="00447522"/>
    <w:rsid w:val="00453A83"/>
    <w:rsid w:val="00457C52"/>
    <w:rsid w:val="00462AF2"/>
    <w:rsid w:val="0046471C"/>
    <w:rsid w:val="00470C20"/>
    <w:rsid w:val="00470E11"/>
    <w:rsid w:val="00474064"/>
    <w:rsid w:val="00477CF8"/>
    <w:rsid w:val="00481062"/>
    <w:rsid w:val="00482C77"/>
    <w:rsid w:val="00483402"/>
    <w:rsid w:val="00484907"/>
    <w:rsid w:val="004852F8"/>
    <w:rsid w:val="004860B3"/>
    <w:rsid w:val="0048787D"/>
    <w:rsid w:val="00490ED3"/>
    <w:rsid w:val="00492F35"/>
    <w:rsid w:val="004B0843"/>
    <w:rsid w:val="004B6D5D"/>
    <w:rsid w:val="004B73EC"/>
    <w:rsid w:val="004B7B6A"/>
    <w:rsid w:val="004D0727"/>
    <w:rsid w:val="004D2B76"/>
    <w:rsid w:val="004E3BE6"/>
    <w:rsid w:val="004E4863"/>
    <w:rsid w:val="004F05F1"/>
    <w:rsid w:val="004F322A"/>
    <w:rsid w:val="0050199B"/>
    <w:rsid w:val="00504BCE"/>
    <w:rsid w:val="00504CD0"/>
    <w:rsid w:val="005052AB"/>
    <w:rsid w:val="005072F7"/>
    <w:rsid w:val="005122E7"/>
    <w:rsid w:val="00521B49"/>
    <w:rsid w:val="005230D7"/>
    <w:rsid w:val="0052543A"/>
    <w:rsid w:val="005257A8"/>
    <w:rsid w:val="00531A89"/>
    <w:rsid w:val="0053224F"/>
    <w:rsid w:val="0053312B"/>
    <w:rsid w:val="00537313"/>
    <w:rsid w:val="00540B06"/>
    <w:rsid w:val="00541594"/>
    <w:rsid w:val="0054384D"/>
    <w:rsid w:val="00543C5E"/>
    <w:rsid w:val="00544331"/>
    <w:rsid w:val="0054525B"/>
    <w:rsid w:val="00556785"/>
    <w:rsid w:val="0056047D"/>
    <w:rsid w:val="00563A9F"/>
    <w:rsid w:val="00565959"/>
    <w:rsid w:val="00566DCC"/>
    <w:rsid w:val="005745F3"/>
    <w:rsid w:val="00574B7F"/>
    <w:rsid w:val="00575FD4"/>
    <w:rsid w:val="005823CF"/>
    <w:rsid w:val="00583549"/>
    <w:rsid w:val="005947AE"/>
    <w:rsid w:val="0059571B"/>
    <w:rsid w:val="005A188A"/>
    <w:rsid w:val="005A41F1"/>
    <w:rsid w:val="005A4889"/>
    <w:rsid w:val="005A60EB"/>
    <w:rsid w:val="005B24DB"/>
    <w:rsid w:val="005B3469"/>
    <w:rsid w:val="005C148D"/>
    <w:rsid w:val="005C3067"/>
    <w:rsid w:val="005C5D36"/>
    <w:rsid w:val="005C77B6"/>
    <w:rsid w:val="005C7D6B"/>
    <w:rsid w:val="005D68DF"/>
    <w:rsid w:val="005E34A0"/>
    <w:rsid w:val="005E5365"/>
    <w:rsid w:val="005F0394"/>
    <w:rsid w:val="005F5A76"/>
    <w:rsid w:val="005F60E0"/>
    <w:rsid w:val="0061091C"/>
    <w:rsid w:val="0061343F"/>
    <w:rsid w:val="00613FBB"/>
    <w:rsid w:val="00617C85"/>
    <w:rsid w:val="0062100B"/>
    <w:rsid w:val="006212FF"/>
    <w:rsid w:val="00624AE0"/>
    <w:rsid w:val="00625A1B"/>
    <w:rsid w:val="0062765B"/>
    <w:rsid w:val="0062794C"/>
    <w:rsid w:val="0063257F"/>
    <w:rsid w:val="00633C0E"/>
    <w:rsid w:val="00633E6F"/>
    <w:rsid w:val="00634CBC"/>
    <w:rsid w:val="006459AD"/>
    <w:rsid w:val="00652ED0"/>
    <w:rsid w:val="006531D5"/>
    <w:rsid w:val="00660282"/>
    <w:rsid w:val="006637E7"/>
    <w:rsid w:val="00665C3F"/>
    <w:rsid w:val="00665EDB"/>
    <w:rsid w:val="006677AB"/>
    <w:rsid w:val="00671418"/>
    <w:rsid w:val="00671B13"/>
    <w:rsid w:val="00677D18"/>
    <w:rsid w:val="00681E5E"/>
    <w:rsid w:val="0068318E"/>
    <w:rsid w:val="00686837"/>
    <w:rsid w:val="00691095"/>
    <w:rsid w:val="00693FC2"/>
    <w:rsid w:val="006945D4"/>
    <w:rsid w:val="00695034"/>
    <w:rsid w:val="006A1122"/>
    <w:rsid w:val="006A1EF0"/>
    <w:rsid w:val="006A7CFA"/>
    <w:rsid w:val="006B4B4C"/>
    <w:rsid w:val="006C144E"/>
    <w:rsid w:val="006C580A"/>
    <w:rsid w:val="006C71C1"/>
    <w:rsid w:val="006D0EDE"/>
    <w:rsid w:val="006D1CDA"/>
    <w:rsid w:val="006D2E29"/>
    <w:rsid w:val="006D3F9C"/>
    <w:rsid w:val="006D4A64"/>
    <w:rsid w:val="006D58D0"/>
    <w:rsid w:val="006D6354"/>
    <w:rsid w:val="006D7220"/>
    <w:rsid w:val="006E1F42"/>
    <w:rsid w:val="006E35AA"/>
    <w:rsid w:val="006E495F"/>
    <w:rsid w:val="006F2D89"/>
    <w:rsid w:val="006F5CD8"/>
    <w:rsid w:val="006F7F23"/>
    <w:rsid w:val="00701F93"/>
    <w:rsid w:val="0071369C"/>
    <w:rsid w:val="00714F29"/>
    <w:rsid w:val="00715E51"/>
    <w:rsid w:val="007172DE"/>
    <w:rsid w:val="007232A5"/>
    <w:rsid w:val="007270D3"/>
    <w:rsid w:val="007319F3"/>
    <w:rsid w:val="00731EAA"/>
    <w:rsid w:val="007408B3"/>
    <w:rsid w:val="007410A6"/>
    <w:rsid w:val="00741D63"/>
    <w:rsid w:val="00746331"/>
    <w:rsid w:val="0074701D"/>
    <w:rsid w:val="00747CAF"/>
    <w:rsid w:val="00750A37"/>
    <w:rsid w:val="007553DF"/>
    <w:rsid w:val="007630AD"/>
    <w:rsid w:val="00765EB7"/>
    <w:rsid w:val="00767446"/>
    <w:rsid w:val="00771AEC"/>
    <w:rsid w:val="00776C6F"/>
    <w:rsid w:val="00780CB0"/>
    <w:rsid w:val="00780FC9"/>
    <w:rsid w:val="00783D00"/>
    <w:rsid w:val="007858DF"/>
    <w:rsid w:val="0078641D"/>
    <w:rsid w:val="00790907"/>
    <w:rsid w:val="007A1DD7"/>
    <w:rsid w:val="007A3248"/>
    <w:rsid w:val="007A41B6"/>
    <w:rsid w:val="007C02D2"/>
    <w:rsid w:val="007C1D6E"/>
    <w:rsid w:val="007C2B82"/>
    <w:rsid w:val="007C658C"/>
    <w:rsid w:val="007D1223"/>
    <w:rsid w:val="007D274A"/>
    <w:rsid w:val="007E0FC7"/>
    <w:rsid w:val="007E1CB4"/>
    <w:rsid w:val="007E4314"/>
    <w:rsid w:val="007E45D2"/>
    <w:rsid w:val="007E7C21"/>
    <w:rsid w:val="007F1D17"/>
    <w:rsid w:val="007F6544"/>
    <w:rsid w:val="007F7195"/>
    <w:rsid w:val="007F7C2F"/>
    <w:rsid w:val="007F7FE6"/>
    <w:rsid w:val="008017FD"/>
    <w:rsid w:val="00805A6B"/>
    <w:rsid w:val="00811996"/>
    <w:rsid w:val="00813623"/>
    <w:rsid w:val="00814D68"/>
    <w:rsid w:val="008152B4"/>
    <w:rsid w:val="0081564B"/>
    <w:rsid w:val="00820B14"/>
    <w:rsid w:val="00820CB4"/>
    <w:rsid w:val="008211C7"/>
    <w:rsid w:val="00830C4F"/>
    <w:rsid w:val="0083217F"/>
    <w:rsid w:val="00834CE3"/>
    <w:rsid w:val="00836F85"/>
    <w:rsid w:val="00840AFD"/>
    <w:rsid w:val="00841356"/>
    <w:rsid w:val="008428CE"/>
    <w:rsid w:val="008446BB"/>
    <w:rsid w:val="00844A37"/>
    <w:rsid w:val="0084513E"/>
    <w:rsid w:val="0085067E"/>
    <w:rsid w:val="0085097B"/>
    <w:rsid w:val="0085194D"/>
    <w:rsid w:val="00856CF1"/>
    <w:rsid w:val="00861A6F"/>
    <w:rsid w:val="00861C0C"/>
    <w:rsid w:val="00862B7C"/>
    <w:rsid w:val="00865FC8"/>
    <w:rsid w:val="008708E9"/>
    <w:rsid w:val="008709F5"/>
    <w:rsid w:val="008717AA"/>
    <w:rsid w:val="00872281"/>
    <w:rsid w:val="00872B64"/>
    <w:rsid w:val="0087460B"/>
    <w:rsid w:val="00874B01"/>
    <w:rsid w:val="0087528A"/>
    <w:rsid w:val="00875BA4"/>
    <w:rsid w:val="00880B1C"/>
    <w:rsid w:val="00880CF6"/>
    <w:rsid w:val="00881C12"/>
    <w:rsid w:val="00883795"/>
    <w:rsid w:val="00884470"/>
    <w:rsid w:val="008846A3"/>
    <w:rsid w:val="00886E2E"/>
    <w:rsid w:val="00887AFC"/>
    <w:rsid w:val="00890E31"/>
    <w:rsid w:val="00892D0B"/>
    <w:rsid w:val="00893152"/>
    <w:rsid w:val="0089316C"/>
    <w:rsid w:val="008A7380"/>
    <w:rsid w:val="008B731B"/>
    <w:rsid w:val="008C3B26"/>
    <w:rsid w:val="008C4079"/>
    <w:rsid w:val="008C40C6"/>
    <w:rsid w:val="008D5F73"/>
    <w:rsid w:val="008E043B"/>
    <w:rsid w:val="008E287E"/>
    <w:rsid w:val="0090161F"/>
    <w:rsid w:val="0090769B"/>
    <w:rsid w:val="009079F3"/>
    <w:rsid w:val="00910685"/>
    <w:rsid w:val="00911D7E"/>
    <w:rsid w:val="00912DC0"/>
    <w:rsid w:val="00913633"/>
    <w:rsid w:val="009251A8"/>
    <w:rsid w:val="009259C4"/>
    <w:rsid w:val="00927561"/>
    <w:rsid w:val="00930D33"/>
    <w:rsid w:val="00936F93"/>
    <w:rsid w:val="009431C8"/>
    <w:rsid w:val="0094509E"/>
    <w:rsid w:val="0094605B"/>
    <w:rsid w:val="00946257"/>
    <w:rsid w:val="00951ABC"/>
    <w:rsid w:val="00960F8F"/>
    <w:rsid w:val="00963507"/>
    <w:rsid w:val="00964373"/>
    <w:rsid w:val="00970200"/>
    <w:rsid w:val="00973763"/>
    <w:rsid w:val="00986CE7"/>
    <w:rsid w:val="00993ED7"/>
    <w:rsid w:val="00994B6E"/>
    <w:rsid w:val="009A1600"/>
    <w:rsid w:val="009A1620"/>
    <w:rsid w:val="009A6D30"/>
    <w:rsid w:val="009B29C9"/>
    <w:rsid w:val="009B596B"/>
    <w:rsid w:val="009C0443"/>
    <w:rsid w:val="009C1A9A"/>
    <w:rsid w:val="009C2572"/>
    <w:rsid w:val="009D0F35"/>
    <w:rsid w:val="009D4185"/>
    <w:rsid w:val="009D55F0"/>
    <w:rsid w:val="009D70E0"/>
    <w:rsid w:val="009D78CD"/>
    <w:rsid w:val="009E1CE0"/>
    <w:rsid w:val="009E25C9"/>
    <w:rsid w:val="009E60BE"/>
    <w:rsid w:val="009E6A19"/>
    <w:rsid w:val="009F22AF"/>
    <w:rsid w:val="009F2677"/>
    <w:rsid w:val="009F2914"/>
    <w:rsid w:val="009F2B13"/>
    <w:rsid w:val="009F4DFB"/>
    <w:rsid w:val="00A0004A"/>
    <w:rsid w:val="00A11A81"/>
    <w:rsid w:val="00A14A0C"/>
    <w:rsid w:val="00A14DAB"/>
    <w:rsid w:val="00A263C7"/>
    <w:rsid w:val="00A271EE"/>
    <w:rsid w:val="00A36054"/>
    <w:rsid w:val="00A3768B"/>
    <w:rsid w:val="00A423BE"/>
    <w:rsid w:val="00A4640B"/>
    <w:rsid w:val="00A53CE9"/>
    <w:rsid w:val="00A55054"/>
    <w:rsid w:val="00A6290B"/>
    <w:rsid w:val="00A70A03"/>
    <w:rsid w:val="00A7124D"/>
    <w:rsid w:val="00A726AD"/>
    <w:rsid w:val="00A73DD8"/>
    <w:rsid w:val="00A751C4"/>
    <w:rsid w:val="00A75C4D"/>
    <w:rsid w:val="00A8730D"/>
    <w:rsid w:val="00A97004"/>
    <w:rsid w:val="00A970AE"/>
    <w:rsid w:val="00AB2369"/>
    <w:rsid w:val="00AB3954"/>
    <w:rsid w:val="00AB5A24"/>
    <w:rsid w:val="00AB6B59"/>
    <w:rsid w:val="00AC2411"/>
    <w:rsid w:val="00AC3B90"/>
    <w:rsid w:val="00AC7CA5"/>
    <w:rsid w:val="00AD0878"/>
    <w:rsid w:val="00AD0987"/>
    <w:rsid w:val="00AD1B09"/>
    <w:rsid w:val="00AD34E9"/>
    <w:rsid w:val="00AE3C2E"/>
    <w:rsid w:val="00AE5AB8"/>
    <w:rsid w:val="00AE5F4E"/>
    <w:rsid w:val="00AF000E"/>
    <w:rsid w:val="00B30E8A"/>
    <w:rsid w:val="00B331C1"/>
    <w:rsid w:val="00B4100E"/>
    <w:rsid w:val="00B42F32"/>
    <w:rsid w:val="00B44CC1"/>
    <w:rsid w:val="00B45BE4"/>
    <w:rsid w:val="00B46A7A"/>
    <w:rsid w:val="00B50D60"/>
    <w:rsid w:val="00B52BFC"/>
    <w:rsid w:val="00B54A73"/>
    <w:rsid w:val="00B57286"/>
    <w:rsid w:val="00B60055"/>
    <w:rsid w:val="00B60278"/>
    <w:rsid w:val="00B604ED"/>
    <w:rsid w:val="00B60533"/>
    <w:rsid w:val="00B62F09"/>
    <w:rsid w:val="00B6329C"/>
    <w:rsid w:val="00B63CD4"/>
    <w:rsid w:val="00B657B5"/>
    <w:rsid w:val="00B73998"/>
    <w:rsid w:val="00B73F3F"/>
    <w:rsid w:val="00B75C6E"/>
    <w:rsid w:val="00B82239"/>
    <w:rsid w:val="00B82D11"/>
    <w:rsid w:val="00B8688B"/>
    <w:rsid w:val="00B90354"/>
    <w:rsid w:val="00B92BEE"/>
    <w:rsid w:val="00B944CF"/>
    <w:rsid w:val="00BA0548"/>
    <w:rsid w:val="00BA060B"/>
    <w:rsid w:val="00BA1083"/>
    <w:rsid w:val="00BA374B"/>
    <w:rsid w:val="00BA4BD6"/>
    <w:rsid w:val="00BA60A4"/>
    <w:rsid w:val="00BB0932"/>
    <w:rsid w:val="00BB28C0"/>
    <w:rsid w:val="00BB2A88"/>
    <w:rsid w:val="00BC51C2"/>
    <w:rsid w:val="00BC5E22"/>
    <w:rsid w:val="00BD2C6B"/>
    <w:rsid w:val="00BD3D54"/>
    <w:rsid w:val="00BD5BA3"/>
    <w:rsid w:val="00BD76AB"/>
    <w:rsid w:val="00BD79C0"/>
    <w:rsid w:val="00BE1607"/>
    <w:rsid w:val="00BE3F1B"/>
    <w:rsid w:val="00BE7CF3"/>
    <w:rsid w:val="00BF0B1F"/>
    <w:rsid w:val="00BF4A59"/>
    <w:rsid w:val="00C00D1F"/>
    <w:rsid w:val="00C0119B"/>
    <w:rsid w:val="00C02341"/>
    <w:rsid w:val="00C03186"/>
    <w:rsid w:val="00C03622"/>
    <w:rsid w:val="00C1064C"/>
    <w:rsid w:val="00C13750"/>
    <w:rsid w:val="00C13CFD"/>
    <w:rsid w:val="00C15316"/>
    <w:rsid w:val="00C21EB9"/>
    <w:rsid w:val="00C224A5"/>
    <w:rsid w:val="00C2439F"/>
    <w:rsid w:val="00C25155"/>
    <w:rsid w:val="00C26191"/>
    <w:rsid w:val="00C309EA"/>
    <w:rsid w:val="00C31D6B"/>
    <w:rsid w:val="00C37119"/>
    <w:rsid w:val="00C37259"/>
    <w:rsid w:val="00C37664"/>
    <w:rsid w:val="00C4027B"/>
    <w:rsid w:val="00C4315B"/>
    <w:rsid w:val="00C45B98"/>
    <w:rsid w:val="00C462E8"/>
    <w:rsid w:val="00C46CFE"/>
    <w:rsid w:val="00C476DA"/>
    <w:rsid w:val="00C51421"/>
    <w:rsid w:val="00C53A9E"/>
    <w:rsid w:val="00C5620B"/>
    <w:rsid w:val="00C64CB8"/>
    <w:rsid w:val="00C72705"/>
    <w:rsid w:val="00C729F1"/>
    <w:rsid w:val="00C75A49"/>
    <w:rsid w:val="00C75B5F"/>
    <w:rsid w:val="00C75FBC"/>
    <w:rsid w:val="00C92F8D"/>
    <w:rsid w:val="00C94A12"/>
    <w:rsid w:val="00C95396"/>
    <w:rsid w:val="00CB1044"/>
    <w:rsid w:val="00CB233D"/>
    <w:rsid w:val="00CB2C7B"/>
    <w:rsid w:val="00CB3505"/>
    <w:rsid w:val="00CB3B4A"/>
    <w:rsid w:val="00CB71F8"/>
    <w:rsid w:val="00CC049A"/>
    <w:rsid w:val="00CC2383"/>
    <w:rsid w:val="00CC3E46"/>
    <w:rsid w:val="00CC577C"/>
    <w:rsid w:val="00CC6F3D"/>
    <w:rsid w:val="00CD085F"/>
    <w:rsid w:val="00CD7D06"/>
    <w:rsid w:val="00CF3CB9"/>
    <w:rsid w:val="00D109BF"/>
    <w:rsid w:val="00D119BD"/>
    <w:rsid w:val="00D1232E"/>
    <w:rsid w:val="00D23D47"/>
    <w:rsid w:val="00D41B4B"/>
    <w:rsid w:val="00D42BD0"/>
    <w:rsid w:val="00D42DD1"/>
    <w:rsid w:val="00D46861"/>
    <w:rsid w:val="00D54AC2"/>
    <w:rsid w:val="00D54E43"/>
    <w:rsid w:val="00D61032"/>
    <w:rsid w:val="00D61960"/>
    <w:rsid w:val="00D6358E"/>
    <w:rsid w:val="00D80E74"/>
    <w:rsid w:val="00D82B29"/>
    <w:rsid w:val="00D83680"/>
    <w:rsid w:val="00D83E1D"/>
    <w:rsid w:val="00D86612"/>
    <w:rsid w:val="00D87276"/>
    <w:rsid w:val="00D9421E"/>
    <w:rsid w:val="00D955A4"/>
    <w:rsid w:val="00DA1B9E"/>
    <w:rsid w:val="00DA2A3B"/>
    <w:rsid w:val="00DA3BB2"/>
    <w:rsid w:val="00DB0672"/>
    <w:rsid w:val="00DB20D0"/>
    <w:rsid w:val="00DB432E"/>
    <w:rsid w:val="00DC00B5"/>
    <w:rsid w:val="00DC0317"/>
    <w:rsid w:val="00DC256B"/>
    <w:rsid w:val="00DC5B5C"/>
    <w:rsid w:val="00DC6950"/>
    <w:rsid w:val="00DE2667"/>
    <w:rsid w:val="00DE4348"/>
    <w:rsid w:val="00DE492B"/>
    <w:rsid w:val="00DE65D5"/>
    <w:rsid w:val="00DF6C7C"/>
    <w:rsid w:val="00E047D9"/>
    <w:rsid w:val="00E0615A"/>
    <w:rsid w:val="00E06C9D"/>
    <w:rsid w:val="00E07CA7"/>
    <w:rsid w:val="00E216A5"/>
    <w:rsid w:val="00E22BEB"/>
    <w:rsid w:val="00E37CBF"/>
    <w:rsid w:val="00E42D2A"/>
    <w:rsid w:val="00E42D55"/>
    <w:rsid w:val="00E4337C"/>
    <w:rsid w:val="00E44C7B"/>
    <w:rsid w:val="00E46CC0"/>
    <w:rsid w:val="00E502A0"/>
    <w:rsid w:val="00E50872"/>
    <w:rsid w:val="00E51300"/>
    <w:rsid w:val="00E53ACA"/>
    <w:rsid w:val="00E54587"/>
    <w:rsid w:val="00E55C81"/>
    <w:rsid w:val="00E56576"/>
    <w:rsid w:val="00E63368"/>
    <w:rsid w:val="00E63A78"/>
    <w:rsid w:val="00E63CF6"/>
    <w:rsid w:val="00E663A4"/>
    <w:rsid w:val="00E72629"/>
    <w:rsid w:val="00E749E5"/>
    <w:rsid w:val="00E75D27"/>
    <w:rsid w:val="00E85444"/>
    <w:rsid w:val="00E871F1"/>
    <w:rsid w:val="00E90CE4"/>
    <w:rsid w:val="00E9191C"/>
    <w:rsid w:val="00EA22FC"/>
    <w:rsid w:val="00EA2CE0"/>
    <w:rsid w:val="00EA3C68"/>
    <w:rsid w:val="00EB27D0"/>
    <w:rsid w:val="00EB4D53"/>
    <w:rsid w:val="00EC00C2"/>
    <w:rsid w:val="00EC104A"/>
    <w:rsid w:val="00ED0661"/>
    <w:rsid w:val="00ED29C1"/>
    <w:rsid w:val="00EE439F"/>
    <w:rsid w:val="00EE4A80"/>
    <w:rsid w:val="00F023DD"/>
    <w:rsid w:val="00F05473"/>
    <w:rsid w:val="00F11244"/>
    <w:rsid w:val="00F17104"/>
    <w:rsid w:val="00F222A9"/>
    <w:rsid w:val="00F24800"/>
    <w:rsid w:val="00F27CE5"/>
    <w:rsid w:val="00F30C27"/>
    <w:rsid w:val="00F31090"/>
    <w:rsid w:val="00F327B2"/>
    <w:rsid w:val="00F35050"/>
    <w:rsid w:val="00F369CB"/>
    <w:rsid w:val="00F36DF4"/>
    <w:rsid w:val="00F439C2"/>
    <w:rsid w:val="00F4423D"/>
    <w:rsid w:val="00F4519A"/>
    <w:rsid w:val="00F51172"/>
    <w:rsid w:val="00F54C8F"/>
    <w:rsid w:val="00F57A4A"/>
    <w:rsid w:val="00F60F59"/>
    <w:rsid w:val="00F612E4"/>
    <w:rsid w:val="00F61799"/>
    <w:rsid w:val="00F65FC5"/>
    <w:rsid w:val="00F66042"/>
    <w:rsid w:val="00F67BD2"/>
    <w:rsid w:val="00F67D75"/>
    <w:rsid w:val="00F7094C"/>
    <w:rsid w:val="00F738F2"/>
    <w:rsid w:val="00F74DFC"/>
    <w:rsid w:val="00F80F3E"/>
    <w:rsid w:val="00F819DB"/>
    <w:rsid w:val="00F81FD2"/>
    <w:rsid w:val="00F8303D"/>
    <w:rsid w:val="00F84244"/>
    <w:rsid w:val="00F84549"/>
    <w:rsid w:val="00FA1F8B"/>
    <w:rsid w:val="00FA2124"/>
    <w:rsid w:val="00FA332C"/>
    <w:rsid w:val="00FA34F5"/>
    <w:rsid w:val="00FA655E"/>
    <w:rsid w:val="00FA6599"/>
    <w:rsid w:val="00FA7F13"/>
    <w:rsid w:val="00FB3647"/>
    <w:rsid w:val="00FB5CE0"/>
    <w:rsid w:val="00FB708A"/>
    <w:rsid w:val="00FC5A3E"/>
    <w:rsid w:val="00FC5F88"/>
    <w:rsid w:val="00FC6879"/>
    <w:rsid w:val="00FD4F08"/>
    <w:rsid w:val="00FD5A27"/>
    <w:rsid w:val="00FD728B"/>
    <w:rsid w:val="00FE08CA"/>
    <w:rsid w:val="00FE659E"/>
    <w:rsid w:val="00FF12D0"/>
    <w:rsid w:val="00FF2C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5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61"/>
    <w:rPr>
      <w:rFonts w:eastAsia="Times New Roman"/>
      <w:sz w:val="24"/>
      <w:szCs w:val="24"/>
    </w:rPr>
  </w:style>
  <w:style w:type="paragraph" w:styleId="Heading1">
    <w:name w:val="heading 1"/>
    <w:basedOn w:val="Normal"/>
    <w:next w:val="Normal"/>
    <w:link w:val="Heading1Char"/>
    <w:uiPriority w:val="9"/>
    <w:qFormat/>
    <w:locked/>
    <w:rsid w:val="00E22BEB"/>
    <w:pPr>
      <w:keepNext/>
      <w:spacing w:before="240" w:after="60" w:line="276" w:lineRule="auto"/>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6861"/>
    <w:pPr>
      <w:spacing w:before="100" w:beforeAutospacing="1" w:after="100" w:afterAutospacing="1"/>
    </w:pPr>
  </w:style>
  <w:style w:type="paragraph" w:styleId="NoSpacing">
    <w:name w:val="No Spacing"/>
    <w:uiPriority w:val="1"/>
    <w:qFormat/>
    <w:rsid w:val="00D46861"/>
    <w:rPr>
      <w:rFonts w:ascii="Calibri" w:hAnsi="Calibri"/>
      <w:lang w:eastAsia="en-US"/>
    </w:rPr>
  </w:style>
  <w:style w:type="paragraph" w:customStyle="1" w:styleId="naisf">
    <w:name w:val="naisf"/>
    <w:basedOn w:val="Normal"/>
    <w:rsid w:val="00D46861"/>
    <w:pPr>
      <w:spacing w:before="75" w:after="75"/>
      <w:ind w:firstLine="375"/>
      <w:jc w:val="both"/>
    </w:pPr>
  </w:style>
  <w:style w:type="paragraph" w:customStyle="1" w:styleId="naisnod">
    <w:name w:val="naisnod"/>
    <w:basedOn w:val="Normal"/>
    <w:uiPriority w:val="99"/>
    <w:rsid w:val="00D46861"/>
    <w:pPr>
      <w:spacing w:before="150" w:after="150"/>
      <w:jc w:val="center"/>
    </w:pPr>
    <w:rPr>
      <w:b/>
      <w:bCs/>
    </w:rPr>
  </w:style>
  <w:style w:type="paragraph" w:customStyle="1" w:styleId="naiskr">
    <w:name w:val="naiskr"/>
    <w:basedOn w:val="Normal"/>
    <w:rsid w:val="00D46861"/>
    <w:pPr>
      <w:spacing w:before="75" w:after="75"/>
    </w:pPr>
  </w:style>
  <w:style w:type="paragraph" w:customStyle="1" w:styleId="naisc">
    <w:name w:val="naisc"/>
    <w:basedOn w:val="Normal"/>
    <w:rsid w:val="00D46861"/>
    <w:pPr>
      <w:spacing w:before="75" w:after="75"/>
      <w:jc w:val="center"/>
    </w:pPr>
  </w:style>
  <w:style w:type="character" w:styleId="Hyperlink">
    <w:name w:val="Hyperlink"/>
    <w:basedOn w:val="DefaultParagraphFont"/>
    <w:uiPriority w:val="99"/>
    <w:rsid w:val="00D46861"/>
    <w:rPr>
      <w:rFonts w:cs="Times New Roman"/>
      <w:color w:val="0000FF"/>
      <w:u w:val="single"/>
    </w:rPr>
  </w:style>
  <w:style w:type="paragraph" w:styleId="Header">
    <w:name w:val="header"/>
    <w:basedOn w:val="Normal"/>
    <w:link w:val="HeaderChar"/>
    <w:uiPriority w:val="99"/>
    <w:rsid w:val="00D46861"/>
    <w:pPr>
      <w:tabs>
        <w:tab w:val="center" w:pos="4153"/>
        <w:tab w:val="right" w:pos="8306"/>
      </w:tabs>
    </w:pPr>
  </w:style>
  <w:style w:type="character" w:customStyle="1" w:styleId="HeaderChar">
    <w:name w:val="Header Char"/>
    <w:basedOn w:val="DefaultParagraphFont"/>
    <w:link w:val="Header"/>
    <w:uiPriority w:val="99"/>
    <w:locked/>
    <w:rsid w:val="00D46861"/>
    <w:rPr>
      <w:rFonts w:eastAsia="Times New Roman" w:cs="Times New Roman"/>
      <w:sz w:val="24"/>
      <w:szCs w:val="24"/>
      <w:lang w:eastAsia="lv-LV"/>
    </w:rPr>
  </w:style>
  <w:style w:type="paragraph" w:styleId="Footer">
    <w:name w:val="footer"/>
    <w:basedOn w:val="Normal"/>
    <w:link w:val="FooterChar"/>
    <w:uiPriority w:val="99"/>
    <w:rsid w:val="00D46861"/>
    <w:pPr>
      <w:tabs>
        <w:tab w:val="center" w:pos="4153"/>
        <w:tab w:val="right" w:pos="8306"/>
      </w:tabs>
    </w:pPr>
  </w:style>
  <w:style w:type="character" w:customStyle="1" w:styleId="FooterChar">
    <w:name w:val="Footer Char"/>
    <w:basedOn w:val="DefaultParagraphFont"/>
    <w:link w:val="Footer"/>
    <w:uiPriority w:val="99"/>
    <w:locked/>
    <w:rsid w:val="00D46861"/>
    <w:rPr>
      <w:rFonts w:eastAsia="Times New Roman" w:cs="Times New Roman"/>
      <w:sz w:val="24"/>
      <w:szCs w:val="24"/>
      <w:lang w:eastAsia="lv-LV"/>
    </w:rPr>
  </w:style>
  <w:style w:type="paragraph" w:styleId="ListParagraph">
    <w:name w:val="List Paragraph"/>
    <w:basedOn w:val="Normal"/>
    <w:uiPriority w:val="34"/>
    <w:qFormat/>
    <w:rsid w:val="00D46861"/>
    <w:pPr>
      <w:spacing w:after="200" w:line="276" w:lineRule="auto"/>
      <w:ind w:left="720"/>
      <w:contextualSpacing/>
    </w:pPr>
    <w:rPr>
      <w:rFonts w:ascii="Calibri" w:hAnsi="Calibri"/>
      <w:sz w:val="22"/>
      <w:szCs w:val="22"/>
    </w:rPr>
  </w:style>
  <w:style w:type="paragraph" w:styleId="BlockText">
    <w:name w:val="Block Text"/>
    <w:basedOn w:val="Normal"/>
    <w:uiPriority w:val="99"/>
    <w:rsid w:val="00D46861"/>
    <w:pPr>
      <w:spacing w:before="100" w:beforeAutospacing="1" w:after="100" w:afterAutospacing="1"/>
    </w:pPr>
    <w:rPr>
      <w:color w:val="000000"/>
    </w:rPr>
  </w:style>
  <w:style w:type="paragraph" w:styleId="BalloonText">
    <w:name w:val="Balloon Text"/>
    <w:basedOn w:val="Normal"/>
    <w:link w:val="BalloonTextChar"/>
    <w:uiPriority w:val="99"/>
    <w:semiHidden/>
    <w:rsid w:val="004860B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60B3"/>
    <w:rPr>
      <w:rFonts w:ascii="Segoe UI" w:hAnsi="Segoe UI" w:cs="Segoe UI"/>
      <w:sz w:val="18"/>
      <w:szCs w:val="18"/>
      <w:lang w:eastAsia="lv-LV"/>
    </w:rPr>
  </w:style>
  <w:style w:type="character" w:styleId="CommentReference">
    <w:name w:val="annotation reference"/>
    <w:basedOn w:val="DefaultParagraphFont"/>
    <w:uiPriority w:val="99"/>
    <w:semiHidden/>
    <w:rsid w:val="002F7E90"/>
    <w:rPr>
      <w:rFonts w:cs="Times New Roman"/>
      <w:sz w:val="16"/>
      <w:szCs w:val="16"/>
    </w:rPr>
  </w:style>
  <w:style w:type="paragraph" w:styleId="CommentText">
    <w:name w:val="annotation text"/>
    <w:basedOn w:val="Normal"/>
    <w:link w:val="CommentTextChar"/>
    <w:uiPriority w:val="99"/>
    <w:semiHidden/>
    <w:rsid w:val="002F7E90"/>
    <w:rPr>
      <w:rFonts w:eastAsia="Calibri"/>
      <w:sz w:val="20"/>
      <w:szCs w:val="20"/>
      <w:lang w:eastAsia="en-US"/>
    </w:rPr>
  </w:style>
  <w:style w:type="character" w:customStyle="1" w:styleId="CommentTextChar">
    <w:name w:val="Comment Text Char"/>
    <w:basedOn w:val="DefaultParagraphFont"/>
    <w:link w:val="CommentText"/>
    <w:uiPriority w:val="99"/>
    <w:semiHidden/>
    <w:locked/>
    <w:rsid w:val="002F7E90"/>
    <w:rPr>
      <w:rFonts w:cs="Times New Roman"/>
      <w:sz w:val="20"/>
      <w:szCs w:val="20"/>
    </w:rPr>
  </w:style>
  <w:style w:type="paragraph" w:customStyle="1" w:styleId="tv213">
    <w:name w:val="tv213"/>
    <w:basedOn w:val="Normal"/>
    <w:rsid w:val="00880CF6"/>
    <w:pPr>
      <w:spacing w:before="100" w:beforeAutospacing="1" w:after="100" w:afterAutospacing="1"/>
    </w:pPr>
    <w:rPr>
      <w:lang w:val="en-US" w:eastAsia="en-US"/>
    </w:rPr>
  </w:style>
  <w:style w:type="paragraph" w:customStyle="1" w:styleId="Default">
    <w:name w:val="Default"/>
    <w:uiPriority w:val="99"/>
    <w:rsid w:val="00880CF6"/>
    <w:pPr>
      <w:autoSpaceDE w:val="0"/>
      <w:autoSpaceDN w:val="0"/>
      <w:adjustRightInd w:val="0"/>
    </w:pPr>
    <w:rPr>
      <w:color w:val="000000"/>
      <w:sz w:val="24"/>
      <w:szCs w:val="24"/>
    </w:rPr>
  </w:style>
  <w:style w:type="paragraph" w:styleId="Signature">
    <w:name w:val="Signature"/>
    <w:basedOn w:val="Normal"/>
    <w:next w:val="EnvelopeReturn"/>
    <w:link w:val="SignatureChar"/>
    <w:uiPriority w:val="99"/>
    <w:rsid w:val="00BC51C2"/>
    <w:pPr>
      <w:keepNext/>
      <w:keepLines/>
      <w:widowControl w:val="0"/>
      <w:tabs>
        <w:tab w:val="right" w:pos="9072"/>
      </w:tabs>
      <w:suppressAutoHyphens/>
      <w:spacing w:before="600"/>
      <w:ind w:firstLine="720"/>
    </w:pPr>
    <w:rPr>
      <w:sz w:val="26"/>
      <w:szCs w:val="20"/>
      <w:lang w:eastAsia="en-US"/>
    </w:rPr>
  </w:style>
  <w:style w:type="character" w:customStyle="1" w:styleId="SignatureChar">
    <w:name w:val="Signature Char"/>
    <w:basedOn w:val="DefaultParagraphFont"/>
    <w:link w:val="Signature"/>
    <w:uiPriority w:val="99"/>
    <w:locked/>
    <w:rsid w:val="00BC51C2"/>
    <w:rPr>
      <w:rFonts w:eastAsia="Times New Roman" w:cs="Times New Roman"/>
      <w:sz w:val="20"/>
      <w:szCs w:val="20"/>
    </w:rPr>
  </w:style>
  <w:style w:type="paragraph" w:styleId="EnvelopeReturn">
    <w:name w:val="envelope return"/>
    <w:basedOn w:val="Normal"/>
    <w:uiPriority w:val="99"/>
    <w:rsid w:val="00BC51C2"/>
    <w:rPr>
      <w:rFonts w:ascii="Calibri Light" w:hAnsi="Calibri Light"/>
      <w:sz w:val="20"/>
      <w:szCs w:val="20"/>
    </w:rPr>
  </w:style>
  <w:style w:type="paragraph" w:customStyle="1" w:styleId="naislab">
    <w:name w:val="naislab"/>
    <w:basedOn w:val="Normal"/>
    <w:rsid w:val="00B54A73"/>
    <w:pPr>
      <w:spacing w:before="75" w:after="75"/>
      <w:jc w:val="right"/>
    </w:pPr>
  </w:style>
  <w:style w:type="paragraph" w:styleId="BodyTextIndent">
    <w:name w:val="Body Text Indent"/>
    <w:basedOn w:val="Normal"/>
    <w:link w:val="BodyTextIndentChar"/>
    <w:uiPriority w:val="99"/>
    <w:semiHidden/>
    <w:rsid w:val="006D0EDE"/>
    <w:pPr>
      <w:ind w:firstLine="720"/>
      <w:jc w:val="both"/>
    </w:pPr>
  </w:style>
  <w:style w:type="character" w:customStyle="1" w:styleId="BodyTextIndentChar">
    <w:name w:val="Body Text Indent Char"/>
    <w:basedOn w:val="DefaultParagraphFont"/>
    <w:link w:val="BodyTextIndent"/>
    <w:uiPriority w:val="99"/>
    <w:semiHidden/>
    <w:locked/>
    <w:rsid w:val="006D0EDE"/>
    <w:rPr>
      <w:rFonts w:eastAsia="Times New Roman" w:cs="Times New Roman"/>
      <w:sz w:val="24"/>
      <w:szCs w:val="24"/>
      <w:lang w:eastAsia="lv-LV"/>
    </w:rPr>
  </w:style>
  <w:style w:type="paragraph" w:styleId="FootnoteText">
    <w:name w:val="footnote text"/>
    <w:basedOn w:val="Normal"/>
    <w:link w:val="FootnoteTextChar"/>
    <w:uiPriority w:val="99"/>
    <w:semiHidden/>
    <w:rsid w:val="00F74DFC"/>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F74DFC"/>
    <w:rPr>
      <w:rFonts w:ascii="Calibri" w:hAnsi="Calibri" w:cs="Times New Roman"/>
      <w:sz w:val="20"/>
      <w:szCs w:val="20"/>
    </w:rPr>
  </w:style>
  <w:style w:type="character" w:styleId="FootnoteReference">
    <w:name w:val="footnote reference"/>
    <w:basedOn w:val="DefaultParagraphFont"/>
    <w:uiPriority w:val="99"/>
    <w:semiHidden/>
    <w:rsid w:val="00F74DFC"/>
    <w:rPr>
      <w:rFonts w:cs="Times New Roman"/>
      <w:vertAlign w:val="superscript"/>
    </w:rPr>
  </w:style>
  <w:style w:type="paragraph" w:customStyle="1" w:styleId="Teksts1">
    <w:name w:val="Teksts1"/>
    <w:basedOn w:val="Normal"/>
    <w:link w:val="Teksts1Char"/>
    <w:rsid w:val="00C92F8D"/>
    <w:pPr>
      <w:spacing w:after="320"/>
      <w:jc w:val="both"/>
    </w:pPr>
    <w:rPr>
      <w:szCs w:val="20"/>
      <w:lang w:eastAsia="en-US"/>
    </w:rPr>
  </w:style>
  <w:style w:type="character" w:customStyle="1" w:styleId="Teksts1Char">
    <w:name w:val="Teksts1 Char"/>
    <w:link w:val="Teksts1"/>
    <w:rsid w:val="00C92F8D"/>
    <w:rPr>
      <w:rFonts w:eastAsia="Times New Roman"/>
      <w:sz w:val="24"/>
      <w:szCs w:val="20"/>
      <w:lang w:eastAsia="en-US"/>
    </w:rPr>
  </w:style>
  <w:style w:type="paragraph" w:customStyle="1" w:styleId="SLONormal">
    <w:name w:val="SLO Normal"/>
    <w:link w:val="SLONormalChar"/>
    <w:qFormat/>
    <w:rsid w:val="00C21EB9"/>
    <w:pPr>
      <w:spacing w:before="120" w:after="120"/>
      <w:jc w:val="both"/>
    </w:pPr>
    <w:rPr>
      <w:rFonts w:eastAsia="Times New Roman"/>
      <w:kern w:val="24"/>
      <w:szCs w:val="24"/>
      <w:lang w:val="en-GB" w:eastAsia="en-US"/>
    </w:rPr>
  </w:style>
  <w:style w:type="character" w:customStyle="1" w:styleId="SLONormalChar">
    <w:name w:val="SLO Normal Char"/>
    <w:basedOn w:val="DefaultParagraphFont"/>
    <w:link w:val="SLONormal"/>
    <w:rsid w:val="00C21EB9"/>
    <w:rPr>
      <w:rFonts w:eastAsia="Times New Roman"/>
      <w:kern w:val="24"/>
      <w:szCs w:val="24"/>
      <w:lang w:val="en-GB" w:eastAsia="en-US"/>
    </w:rPr>
  </w:style>
  <w:style w:type="paragraph" w:styleId="CommentSubject">
    <w:name w:val="annotation subject"/>
    <w:basedOn w:val="CommentText"/>
    <w:next w:val="CommentText"/>
    <w:link w:val="CommentSubjectChar"/>
    <w:uiPriority w:val="99"/>
    <w:semiHidden/>
    <w:unhideWhenUsed/>
    <w:rsid w:val="00874B01"/>
    <w:rPr>
      <w:rFonts w:eastAsia="Times New Roman"/>
      <w:b/>
      <w:bCs/>
      <w:lang w:eastAsia="lv-LV"/>
    </w:rPr>
  </w:style>
  <w:style w:type="character" w:customStyle="1" w:styleId="CommentSubjectChar">
    <w:name w:val="Comment Subject Char"/>
    <w:basedOn w:val="CommentTextChar"/>
    <w:link w:val="CommentSubject"/>
    <w:uiPriority w:val="99"/>
    <w:semiHidden/>
    <w:rsid w:val="00874B01"/>
    <w:rPr>
      <w:rFonts w:eastAsia="Times New Roman" w:cs="Times New Roman"/>
      <w:b/>
      <w:bCs/>
      <w:sz w:val="20"/>
      <w:szCs w:val="20"/>
    </w:rPr>
  </w:style>
  <w:style w:type="character" w:customStyle="1" w:styleId="apple-converted-space">
    <w:name w:val="apple-converted-space"/>
    <w:basedOn w:val="DefaultParagraphFont"/>
    <w:rsid w:val="00F66042"/>
  </w:style>
  <w:style w:type="character" w:customStyle="1" w:styleId="Heading1Char">
    <w:name w:val="Heading 1 Char"/>
    <w:basedOn w:val="DefaultParagraphFont"/>
    <w:link w:val="Heading1"/>
    <w:uiPriority w:val="9"/>
    <w:rsid w:val="00E22BEB"/>
    <w:rPr>
      <w:rFonts w:ascii="Cambria" w:eastAsia="Times New Roman" w:hAnsi="Cambria"/>
      <w:b/>
      <w:bCs/>
      <w:kern w:val="32"/>
      <w:sz w:val="32"/>
      <w:szCs w:val="32"/>
      <w:lang w:val="x-none" w:eastAsia="x-none"/>
    </w:rPr>
  </w:style>
  <w:style w:type="paragraph" w:customStyle="1" w:styleId="doc-ti">
    <w:name w:val="doc-ti"/>
    <w:basedOn w:val="Normal"/>
    <w:rsid w:val="00BE3F1B"/>
    <w:pPr>
      <w:spacing w:before="100" w:beforeAutospacing="1" w:after="100" w:afterAutospacing="1"/>
    </w:pPr>
  </w:style>
  <w:style w:type="paragraph" w:styleId="BodyText">
    <w:name w:val="Body Text"/>
    <w:basedOn w:val="Normal"/>
    <w:link w:val="BodyTextChar"/>
    <w:uiPriority w:val="99"/>
    <w:semiHidden/>
    <w:unhideWhenUsed/>
    <w:rsid w:val="00E216A5"/>
    <w:pPr>
      <w:spacing w:after="120"/>
    </w:pPr>
  </w:style>
  <w:style w:type="character" w:customStyle="1" w:styleId="BodyTextChar">
    <w:name w:val="Body Text Char"/>
    <w:basedOn w:val="DefaultParagraphFont"/>
    <w:link w:val="BodyText"/>
    <w:uiPriority w:val="99"/>
    <w:semiHidden/>
    <w:rsid w:val="00E216A5"/>
    <w:rPr>
      <w:rFonts w:eastAsia="Times New Roman"/>
      <w:sz w:val="24"/>
      <w:szCs w:val="24"/>
    </w:rPr>
  </w:style>
  <w:style w:type="paragraph" w:styleId="EndnoteText">
    <w:name w:val="endnote text"/>
    <w:basedOn w:val="Normal"/>
    <w:link w:val="EndnoteTextChar"/>
    <w:uiPriority w:val="99"/>
    <w:semiHidden/>
    <w:unhideWhenUsed/>
    <w:rsid w:val="00210EED"/>
    <w:rPr>
      <w:sz w:val="20"/>
      <w:szCs w:val="20"/>
    </w:rPr>
  </w:style>
  <w:style w:type="character" w:customStyle="1" w:styleId="EndnoteTextChar">
    <w:name w:val="Endnote Text Char"/>
    <w:basedOn w:val="DefaultParagraphFont"/>
    <w:link w:val="EndnoteText"/>
    <w:uiPriority w:val="99"/>
    <w:semiHidden/>
    <w:rsid w:val="00210EED"/>
    <w:rPr>
      <w:rFonts w:eastAsia="Times New Roman"/>
      <w:sz w:val="20"/>
      <w:szCs w:val="20"/>
    </w:rPr>
  </w:style>
  <w:style w:type="character" w:styleId="EndnoteReference">
    <w:name w:val="endnote reference"/>
    <w:basedOn w:val="DefaultParagraphFont"/>
    <w:uiPriority w:val="99"/>
    <w:semiHidden/>
    <w:unhideWhenUsed/>
    <w:rsid w:val="00210EED"/>
    <w:rPr>
      <w:vertAlign w:val="superscript"/>
    </w:rPr>
  </w:style>
  <w:style w:type="paragraph" w:customStyle="1" w:styleId="doc-ti2">
    <w:name w:val="doc-ti2"/>
    <w:basedOn w:val="Normal"/>
    <w:rsid w:val="00504CD0"/>
    <w:pPr>
      <w:spacing w:before="240" w:after="120" w:line="312"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69344">
      <w:bodyDiv w:val="1"/>
      <w:marLeft w:val="0"/>
      <w:marRight w:val="0"/>
      <w:marTop w:val="0"/>
      <w:marBottom w:val="0"/>
      <w:divBdr>
        <w:top w:val="none" w:sz="0" w:space="0" w:color="auto"/>
        <w:left w:val="none" w:sz="0" w:space="0" w:color="auto"/>
        <w:bottom w:val="none" w:sz="0" w:space="0" w:color="auto"/>
        <w:right w:val="none" w:sz="0" w:space="0" w:color="auto"/>
      </w:divBdr>
    </w:div>
    <w:div w:id="407650332">
      <w:bodyDiv w:val="1"/>
      <w:marLeft w:val="0"/>
      <w:marRight w:val="0"/>
      <w:marTop w:val="0"/>
      <w:marBottom w:val="0"/>
      <w:divBdr>
        <w:top w:val="none" w:sz="0" w:space="0" w:color="auto"/>
        <w:left w:val="none" w:sz="0" w:space="0" w:color="auto"/>
        <w:bottom w:val="none" w:sz="0" w:space="0" w:color="auto"/>
        <w:right w:val="none" w:sz="0" w:space="0" w:color="auto"/>
      </w:divBdr>
    </w:div>
    <w:div w:id="519465234">
      <w:marLeft w:val="0"/>
      <w:marRight w:val="0"/>
      <w:marTop w:val="0"/>
      <w:marBottom w:val="0"/>
      <w:divBdr>
        <w:top w:val="none" w:sz="0" w:space="0" w:color="auto"/>
        <w:left w:val="none" w:sz="0" w:space="0" w:color="auto"/>
        <w:bottom w:val="none" w:sz="0" w:space="0" w:color="auto"/>
        <w:right w:val="none" w:sz="0" w:space="0" w:color="auto"/>
      </w:divBdr>
    </w:div>
    <w:div w:id="519465235">
      <w:marLeft w:val="0"/>
      <w:marRight w:val="0"/>
      <w:marTop w:val="0"/>
      <w:marBottom w:val="0"/>
      <w:divBdr>
        <w:top w:val="none" w:sz="0" w:space="0" w:color="auto"/>
        <w:left w:val="none" w:sz="0" w:space="0" w:color="auto"/>
        <w:bottom w:val="none" w:sz="0" w:space="0" w:color="auto"/>
        <w:right w:val="none" w:sz="0" w:space="0" w:color="auto"/>
      </w:divBdr>
    </w:div>
    <w:div w:id="519465236">
      <w:marLeft w:val="0"/>
      <w:marRight w:val="0"/>
      <w:marTop w:val="0"/>
      <w:marBottom w:val="0"/>
      <w:divBdr>
        <w:top w:val="none" w:sz="0" w:space="0" w:color="auto"/>
        <w:left w:val="none" w:sz="0" w:space="0" w:color="auto"/>
        <w:bottom w:val="none" w:sz="0" w:space="0" w:color="auto"/>
        <w:right w:val="none" w:sz="0" w:space="0" w:color="auto"/>
      </w:divBdr>
    </w:div>
    <w:div w:id="519465237">
      <w:marLeft w:val="0"/>
      <w:marRight w:val="0"/>
      <w:marTop w:val="0"/>
      <w:marBottom w:val="0"/>
      <w:divBdr>
        <w:top w:val="none" w:sz="0" w:space="0" w:color="auto"/>
        <w:left w:val="none" w:sz="0" w:space="0" w:color="auto"/>
        <w:bottom w:val="none" w:sz="0" w:space="0" w:color="auto"/>
        <w:right w:val="none" w:sz="0" w:space="0" w:color="auto"/>
      </w:divBdr>
    </w:div>
    <w:div w:id="519465238">
      <w:marLeft w:val="0"/>
      <w:marRight w:val="0"/>
      <w:marTop w:val="0"/>
      <w:marBottom w:val="0"/>
      <w:divBdr>
        <w:top w:val="none" w:sz="0" w:space="0" w:color="auto"/>
        <w:left w:val="none" w:sz="0" w:space="0" w:color="auto"/>
        <w:bottom w:val="none" w:sz="0" w:space="0" w:color="auto"/>
        <w:right w:val="none" w:sz="0" w:space="0" w:color="auto"/>
      </w:divBdr>
    </w:div>
    <w:div w:id="519465239">
      <w:marLeft w:val="0"/>
      <w:marRight w:val="0"/>
      <w:marTop w:val="0"/>
      <w:marBottom w:val="0"/>
      <w:divBdr>
        <w:top w:val="none" w:sz="0" w:space="0" w:color="auto"/>
        <w:left w:val="none" w:sz="0" w:space="0" w:color="auto"/>
        <w:bottom w:val="none" w:sz="0" w:space="0" w:color="auto"/>
        <w:right w:val="none" w:sz="0" w:space="0" w:color="auto"/>
      </w:divBdr>
    </w:div>
    <w:div w:id="519465240">
      <w:marLeft w:val="0"/>
      <w:marRight w:val="0"/>
      <w:marTop w:val="0"/>
      <w:marBottom w:val="0"/>
      <w:divBdr>
        <w:top w:val="none" w:sz="0" w:space="0" w:color="auto"/>
        <w:left w:val="none" w:sz="0" w:space="0" w:color="auto"/>
        <w:bottom w:val="none" w:sz="0" w:space="0" w:color="auto"/>
        <w:right w:val="none" w:sz="0" w:space="0" w:color="auto"/>
      </w:divBdr>
    </w:div>
    <w:div w:id="519465241">
      <w:marLeft w:val="0"/>
      <w:marRight w:val="0"/>
      <w:marTop w:val="0"/>
      <w:marBottom w:val="0"/>
      <w:divBdr>
        <w:top w:val="none" w:sz="0" w:space="0" w:color="auto"/>
        <w:left w:val="none" w:sz="0" w:space="0" w:color="auto"/>
        <w:bottom w:val="none" w:sz="0" w:space="0" w:color="auto"/>
        <w:right w:val="none" w:sz="0" w:space="0" w:color="auto"/>
      </w:divBdr>
    </w:div>
    <w:div w:id="519465242">
      <w:marLeft w:val="0"/>
      <w:marRight w:val="0"/>
      <w:marTop w:val="0"/>
      <w:marBottom w:val="0"/>
      <w:divBdr>
        <w:top w:val="none" w:sz="0" w:space="0" w:color="auto"/>
        <w:left w:val="none" w:sz="0" w:space="0" w:color="auto"/>
        <w:bottom w:val="none" w:sz="0" w:space="0" w:color="auto"/>
        <w:right w:val="none" w:sz="0" w:space="0" w:color="auto"/>
      </w:divBdr>
    </w:div>
    <w:div w:id="848101444">
      <w:bodyDiv w:val="1"/>
      <w:marLeft w:val="0"/>
      <w:marRight w:val="0"/>
      <w:marTop w:val="0"/>
      <w:marBottom w:val="0"/>
      <w:divBdr>
        <w:top w:val="none" w:sz="0" w:space="0" w:color="auto"/>
        <w:left w:val="none" w:sz="0" w:space="0" w:color="auto"/>
        <w:bottom w:val="none" w:sz="0" w:space="0" w:color="auto"/>
        <w:right w:val="none" w:sz="0" w:space="0" w:color="auto"/>
      </w:divBdr>
    </w:div>
    <w:div w:id="911157917">
      <w:bodyDiv w:val="1"/>
      <w:marLeft w:val="0"/>
      <w:marRight w:val="0"/>
      <w:marTop w:val="0"/>
      <w:marBottom w:val="0"/>
      <w:divBdr>
        <w:top w:val="none" w:sz="0" w:space="0" w:color="auto"/>
        <w:left w:val="none" w:sz="0" w:space="0" w:color="auto"/>
        <w:bottom w:val="none" w:sz="0" w:space="0" w:color="auto"/>
        <w:right w:val="none" w:sz="0" w:space="0" w:color="auto"/>
      </w:divBdr>
    </w:div>
    <w:div w:id="1021978521">
      <w:bodyDiv w:val="1"/>
      <w:marLeft w:val="0"/>
      <w:marRight w:val="0"/>
      <w:marTop w:val="0"/>
      <w:marBottom w:val="0"/>
      <w:divBdr>
        <w:top w:val="none" w:sz="0" w:space="0" w:color="auto"/>
        <w:left w:val="none" w:sz="0" w:space="0" w:color="auto"/>
        <w:bottom w:val="none" w:sz="0" w:space="0" w:color="auto"/>
        <w:right w:val="none" w:sz="0" w:space="0" w:color="auto"/>
      </w:divBdr>
    </w:div>
    <w:div w:id="1294411353">
      <w:bodyDiv w:val="1"/>
      <w:marLeft w:val="0"/>
      <w:marRight w:val="0"/>
      <w:marTop w:val="0"/>
      <w:marBottom w:val="0"/>
      <w:divBdr>
        <w:top w:val="none" w:sz="0" w:space="0" w:color="auto"/>
        <w:left w:val="none" w:sz="0" w:space="0" w:color="auto"/>
        <w:bottom w:val="none" w:sz="0" w:space="0" w:color="auto"/>
        <w:right w:val="none" w:sz="0" w:space="0" w:color="auto"/>
      </w:divBdr>
    </w:div>
    <w:div w:id="16621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SaeimaLIVS.nsf/0/0B4882C477C8F3ECC22574A30032B5C5?OpenDocu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valdis.Davidovics@fm.gov.lv" TargetMode="External"/><Relationship Id="rId4" Type="http://schemas.openxmlformats.org/officeDocument/2006/relationships/settings" Target="settings.xml"/><Relationship Id="rId9" Type="http://schemas.openxmlformats.org/officeDocument/2006/relationships/hyperlink" Target="mailto:Imants.Tiesnieks@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3D201-B1FF-4244-A89F-BBFF95C6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16366</Words>
  <Characters>9329</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Apdrošināšanas un pārapdrošināšanas starpnieku darbības likumā</vt:lpstr>
      <vt:lpstr>Grozījumi Apdrošināšanas un pārapdrošināšanas starpnieku darbības likumā</vt:lpstr>
    </vt:vector>
  </TitlesOfParts>
  <Manager/>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"Akciju atpirkšanas likums"</dc:title>
  <dc:subject>Izziņa</dc:subject>
  <dc:creator/>
  <cp:keywords/>
  <dc:description>Davidovics, 67083931_x000d_
gunvaldis.davidovics@fm.gov.lv</dc:description>
  <cp:lastModifiedBy/>
  <cp:revision>1</cp:revision>
  <dcterms:created xsi:type="dcterms:W3CDTF">2021-06-02T08:13:00Z</dcterms:created>
  <dcterms:modified xsi:type="dcterms:W3CDTF">2021-06-07T10:10:00Z</dcterms:modified>
</cp:coreProperties>
</file>