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F05D0" w14:textId="75F5E93E" w:rsidR="00AE21CE" w:rsidRPr="00BD7E96" w:rsidRDefault="000D291C" w:rsidP="00C949C1">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14:paraId="1CFEDDBF" w14:textId="50D65719" w:rsidR="00635545" w:rsidRPr="00682D60" w:rsidRDefault="00AE21CE" w:rsidP="00890A6C">
      <w:pPr>
        <w:spacing w:after="0" w:line="240" w:lineRule="auto"/>
        <w:jc w:val="center"/>
        <w:rPr>
          <w:rFonts w:ascii="Times New Roman" w:hAnsi="Times New Roman" w:cs="Times New Roman"/>
          <w:b/>
          <w:sz w:val="28"/>
          <w:szCs w:val="28"/>
        </w:rPr>
      </w:pPr>
      <w:r w:rsidRPr="00682D60">
        <w:rPr>
          <w:rFonts w:ascii="Times New Roman" w:hAnsi="Times New Roman" w:cs="Times New Roman"/>
          <w:b/>
          <w:sz w:val="28"/>
          <w:szCs w:val="28"/>
        </w:rPr>
        <w:t xml:space="preserve">Informatīvais ziņojums </w:t>
      </w:r>
      <w:bookmarkStart w:id="0" w:name="_Hlk72749267"/>
      <w:r w:rsidR="0027392D" w:rsidRPr="00682D60">
        <w:rPr>
          <w:rFonts w:ascii="Times New Roman" w:hAnsi="Times New Roman" w:cs="Times New Roman"/>
          <w:b/>
          <w:sz w:val="28"/>
          <w:szCs w:val="28"/>
        </w:rPr>
        <w:t>“Par Baltijas mazo un vidējo uzņēmumu sākotnējā publiskā piedāvājuma fonda izveidi”</w:t>
      </w:r>
      <w:bookmarkEnd w:id="0"/>
    </w:p>
    <w:p w14:paraId="6F0557E6" w14:textId="77777777" w:rsidR="00C80E0D" w:rsidRPr="00682D60" w:rsidRDefault="00C80E0D" w:rsidP="00EE4470">
      <w:pPr>
        <w:pStyle w:val="Default"/>
        <w:jc w:val="both"/>
        <w:rPr>
          <w:color w:val="auto"/>
          <w:sz w:val="28"/>
          <w:szCs w:val="28"/>
        </w:rPr>
      </w:pPr>
    </w:p>
    <w:p w14:paraId="20FD97A1" w14:textId="488499B7" w:rsidR="00F0162B" w:rsidRPr="00682D60" w:rsidRDefault="00126654" w:rsidP="00F0162B">
      <w:pPr>
        <w:pStyle w:val="Default"/>
        <w:ind w:firstLine="720"/>
        <w:jc w:val="both"/>
        <w:rPr>
          <w:rFonts w:eastAsia="Times New Roman"/>
          <w:color w:val="auto"/>
          <w:sz w:val="28"/>
          <w:szCs w:val="28"/>
          <w:lang w:eastAsia="lv-LV"/>
        </w:rPr>
      </w:pPr>
      <w:r w:rsidRPr="00682D60">
        <w:rPr>
          <w:rFonts w:eastAsia="Times New Roman"/>
          <w:color w:val="auto"/>
          <w:sz w:val="28"/>
          <w:szCs w:val="28"/>
          <w:lang w:eastAsia="lv-LV"/>
        </w:rPr>
        <w:t xml:space="preserve">Valdības rīcības plānā Deklarācijas par </w:t>
      </w:r>
      <w:r w:rsidR="00F0162B" w:rsidRPr="00682D60">
        <w:rPr>
          <w:rFonts w:eastAsia="Times New Roman"/>
          <w:color w:val="auto"/>
          <w:sz w:val="28"/>
          <w:szCs w:val="28"/>
          <w:lang w:eastAsia="lv-LV"/>
        </w:rPr>
        <w:t>Artura Krišjāņa Kariņa</w:t>
      </w:r>
      <w:r w:rsidRPr="00682D60">
        <w:rPr>
          <w:rFonts w:eastAsia="Times New Roman"/>
          <w:color w:val="auto"/>
          <w:sz w:val="28"/>
          <w:szCs w:val="28"/>
          <w:lang w:eastAsia="lv-LV"/>
        </w:rPr>
        <w:t xml:space="preserve"> vadītā Ministru kabineta iecerēto darbību īstenošanai, kas apstiprināts ar Ministru kabineta</w:t>
      </w:r>
    </w:p>
    <w:p w14:paraId="7E072FA6" w14:textId="2B16D6C8" w:rsidR="00126654" w:rsidRPr="00682D60" w:rsidRDefault="0005290A" w:rsidP="00F0162B">
      <w:pPr>
        <w:pStyle w:val="Default"/>
        <w:jc w:val="both"/>
        <w:rPr>
          <w:rFonts w:eastAsia="Times New Roman"/>
          <w:color w:val="auto"/>
          <w:sz w:val="28"/>
          <w:szCs w:val="28"/>
          <w:lang w:eastAsia="lv-LV"/>
        </w:rPr>
      </w:pPr>
      <w:r w:rsidRPr="00682D60">
        <w:rPr>
          <w:rFonts w:eastAsia="Times New Roman"/>
          <w:color w:val="auto"/>
          <w:sz w:val="28"/>
          <w:szCs w:val="28"/>
          <w:lang w:eastAsia="lv-LV"/>
        </w:rPr>
        <w:t>201</w:t>
      </w:r>
      <w:r w:rsidR="00F0162B" w:rsidRPr="00682D60">
        <w:rPr>
          <w:rFonts w:eastAsia="Times New Roman"/>
          <w:color w:val="auto"/>
          <w:sz w:val="28"/>
          <w:szCs w:val="28"/>
          <w:lang w:eastAsia="lv-LV"/>
        </w:rPr>
        <w:t>9</w:t>
      </w:r>
      <w:r w:rsidRPr="00682D60">
        <w:rPr>
          <w:rFonts w:eastAsia="Times New Roman"/>
          <w:color w:val="auto"/>
          <w:sz w:val="28"/>
          <w:szCs w:val="28"/>
          <w:lang w:eastAsia="lv-LV"/>
        </w:rPr>
        <w:t xml:space="preserve">.gada </w:t>
      </w:r>
      <w:r w:rsidR="00F0162B" w:rsidRPr="00682D60">
        <w:rPr>
          <w:rFonts w:eastAsia="Times New Roman"/>
          <w:color w:val="auto"/>
          <w:sz w:val="28"/>
          <w:szCs w:val="28"/>
          <w:lang w:eastAsia="lv-LV"/>
        </w:rPr>
        <w:t>7</w:t>
      </w:r>
      <w:r w:rsidRPr="00682D60">
        <w:rPr>
          <w:rFonts w:eastAsia="Times New Roman"/>
          <w:color w:val="auto"/>
          <w:sz w:val="28"/>
          <w:szCs w:val="28"/>
          <w:lang w:eastAsia="lv-LV"/>
        </w:rPr>
        <w:t xml:space="preserve">.maija </w:t>
      </w:r>
      <w:r w:rsidR="00126654" w:rsidRPr="00682D60">
        <w:rPr>
          <w:rFonts w:eastAsia="Times New Roman"/>
          <w:color w:val="auto"/>
          <w:sz w:val="28"/>
          <w:szCs w:val="28"/>
          <w:lang w:eastAsia="lv-LV"/>
        </w:rPr>
        <w:t>rīkojumu Nr.2</w:t>
      </w:r>
      <w:r w:rsidR="00F0162B" w:rsidRPr="00682D60">
        <w:rPr>
          <w:rFonts w:eastAsia="Times New Roman"/>
          <w:color w:val="auto"/>
          <w:sz w:val="28"/>
          <w:szCs w:val="28"/>
          <w:lang w:eastAsia="lv-LV"/>
        </w:rPr>
        <w:t>10</w:t>
      </w:r>
      <w:r w:rsidR="00844E26" w:rsidRPr="00682D60">
        <w:rPr>
          <w:rFonts w:eastAsia="Times New Roman"/>
          <w:color w:val="auto"/>
          <w:lang w:eastAsia="lv-LV"/>
        </w:rPr>
        <w:t xml:space="preserve"> “</w:t>
      </w:r>
      <w:r w:rsidR="00844E26" w:rsidRPr="00682D60">
        <w:rPr>
          <w:bCs/>
          <w:color w:val="auto"/>
          <w:sz w:val="28"/>
          <w:szCs w:val="28"/>
          <w:shd w:val="clear" w:color="auto" w:fill="FFFFFF"/>
        </w:rPr>
        <w:t xml:space="preserve">Par Valdības rīcības plānu Deklarācijas par </w:t>
      </w:r>
      <w:r w:rsidR="00F0162B" w:rsidRPr="00682D60">
        <w:rPr>
          <w:bCs/>
          <w:color w:val="auto"/>
          <w:sz w:val="28"/>
          <w:szCs w:val="28"/>
          <w:shd w:val="clear" w:color="auto" w:fill="FFFFFF"/>
        </w:rPr>
        <w:t>Artura Krišjāņa Kariņa</w:t>
      </w:r>
      <w:r w:rsidR="00844E26" w:rsidRPr="00682D60">
        <w:rPr>
          <w:bCs/>
          <w:color w:val="auto"/>
          <w:sz w:val="28"/>
          <w:szCs w:val="28"/>
          <w:shd w:val="clear" w:color="auto" w:fill="FFFFFF"/>
        </w:rPr>
        <w:t xml:space="preserve"> vadītā Ministru kabineta iecerēto darbību īstenošanai”</w:t>
      </w:r>
      <w:r w:rsidR="00126654" w:rsidRPr="00682D60">
        <w:rPr>
          <w:rFonts w:eastAsia="Times New Roman"/>
          <w:color w:val="auto"/>
          <w:sz w:val="28"/>
          <w:szCs w:val="28"/>
          <w:lang w:eastAsia="lv-LV"/>
        </w:rPr>
        <w:t>, iekļauts uzdevums</w:t>
      </w:r>
      <w:r w:rsidR="00204760" w:rsidRPr="00682D60">
        <w:rPr>
          <w:rFonts w:eastAsia="Times New Roman"/>
          <w:color w:val="auto"/>
          <w:sz w:val="28"/>
          <w:szCs w:val="28"/>
          <w:lang w:eastAsia="lv-LV"/>
        </w:rPr>
        <w:t xml:space="preserve"> Nr. </w:t>
      </w:r>
      <w:r w:rsidR="00F0162B" w:rsidRPr="00682D60">
        <w:rPr>
          <w:rFonts w:eastAsia="Times New Roman"/>
          <w:color w:val="auto"/>
          <w:sz w:val="28"/>
          <w:szCs w:val="28"/>
          <w:lang w:eastAsia="lv-LV"/>
        </w:rPr>
        <w:t>27.2</w:t>
      </w:r>
      <w:r w:rsidR="007C087C" w:rsidRPr="00682D60">
        <w:rPr>
          <w:color w:val="auto"/>
        </w:rPr>
        <w:t xml:space="preserve"> “</w:t>
      </w:r>
      <w:r w:rsidR="00585D6B" w:rsidRPr="00682D60">
        <w:rPr>
          <w:rFonts w:eastAsia="Times New Roman"/>
          <w:color w:val="auto"/>
          <w:sz w:val="28"/>
          <w:szCs w:val="28"/>
          <w:lang w:eastAsia="lv-LV"/>
        </w:rPr>
        <w:t xml:space="preserve">Nodrošināsim finansējuma pieejamību tautsaimniecības attīstībai, </w:t>
      </w:r>
      <w:r w:rsidR="00585D6B" w:rsidRPr="00682D60">
        <w:rPr>
          <w:rFonts w:eastAsia="Times New Roman"/>
          <w:color w:val="auto"/>
          <w:sz w:val="28"/>
          <w:szCs w:val="28"/>
          <w:u w:val="single"/>
          <w:lang w:eastAsia="lv-LV"/>
        </w:rPr>
        <w:t>veicinot kapitāla tirgus attīstību,</w:t>
      </w:r>
      <w:r w:rsidR="00585D6B" w:rsidRPr="00682D60">
        <w:rPr>
          <w:rFonts w:eastAsia="Times New Roman"/>
          <w:color w:val="auto"/>
          <w:sz w:val="28"/>
          <w:szCs w:val="28"/>
          <w:lang w:eastAsia="lv-LV"/>
        </w:rPr>
        <w:t xml:space="preserve"> tai skaitā stiprinot mazākuma akcionāru aizsardzību, kā arī alternatīva finansējuma pieejamību ar sabiedrības </w:t>
      </w:r>
      <w:proofErr w:type="spellStart"/>
      <w:r w:rsidR="00585D6B" w:rsidRPr="00682D60">
        <w:rPr>
          <w:rFonts w:eastAsia="Times New Roman"/>
          <w:color w:val="auto"/>
          <w:sz w:val="28"/>
          <w:szCs w:val="28"/>
          <w:lang w:eastAsia="lv-LV"/>
        </w:rPr>
        <w:t>Altum</w:t>
      </w:r>
      <w:proofErr w:type="spellEnd"/>
      <w:r w:rsidR="00585D6B" w:rsidRPr="00682D60">
        <w:rPr>
          <w:rFonts w:eastAsia="Times New Roman"/>
          <w:color w:val="auto"/>
          <w:sz w:val="28"/>
          <w:szCs w:val="28"/>
          <w:lang w:eastAsia="lv-LV"/>
        </w:rPr>
        <w:t xml:space="preserve"> starpniecību. </w:t>
      </w:r>
      <w:r w:rsidR="004F610E" w:rsidRPr="00682D60">
        <w:rPr>
          <w:rFonts w:eastAsia="Times New Roman"/>
          <w:color w:val="auto"/>
          <w:sz w:val="28"/>
          <w:szCs w:val="28"/>
          <w:lang w:eastAsia="lv-LV"/>
        </w:rPr>
        <w:t>..</w:t>
      </w:r>
      <w:r w:rsidR="00585D6B" w:rsidRPr="00682D60">
        <w:rPr>
          <w:rFonts w:eastAsia="Times New Roman"/>
          <w:color w:val="auto"/>
          <w:sz w:val="28"/>
          <w:szCs w:val="28"/>
          <w:lang w:eastAsia="lv-LV"/>
        </w:rPr>
        <w:t>.</w:t>
      </w:r>
      <w:r w:rsidR="007C087C" w:rsidRPr="00682D60">
        <w:rPr>
          <w:rFonts w:eastAsia="Times New Roman"/>
          <w:color w:val="auto"/>
          <w:sz w:val="28"/>
          <w:szCs w:val="28"/>
          <w:lang w:eastAsia="lv-LV"/>
        </w:rPr>
        <w:t>”</w:t>
      </w:r>
      <w:r w:rsidR="00126654" w:rsidRPr="00682D60">
        <w:rPr>
          <w:rFonts w:eastAsia="Times New Roman"/>
          <w:color w:val="auto"/>
          <w:sz w:val="28"/>
          <w:szCs w:val="28"/>
          <w:lang w:eastAsia="lv-LV"/>
        </w:rPr>
        <w:t xml:space="preserve"> </w:t>
      </w:r>
    </w:p>
    <w:p w14:paraId="74BBFA8C" w14:textId="4B7FABE0" w:rsidR="00126654" w:rsidRPr="00682D60" w:rsidRDefault="00126654" w:rsidP="007C087C">
      <w:pPr>
        <w:pStyle w:val="Default"/>
        <w:ind w:firstLine="720"/>
        <w:jc w:val="both"/>
        <w:rPr>
          <w:rFonts w:eastAsia="Times New Roman"/>
          <w:color w:val="auto"/>
          <w:sz w:val="28"/>
          <w:szCs w:val="28"/>
          <w:lang w:eastAsia="lv-LV"/>
        </w:rPr>
      </w:pPr>
      <w:r w:rsidRPr="00682D60">
        <w:rPr>
          <w:rFonts w:eastAsia="Times New Roman"/>
          <w:color w:val="auto"/>
          <w:sz w:val="28"/>
          <w:szCs w:val="28"/>
          <w:lang w:eastAsia="lv-LV"/>
        </w:rPr>
        <w:t>Finanšu sektora attīstības plān</w:t>
      </w:r>
      <w:r w:rsidR="009B5E57" w:rsidRPr="00682D60">
        <w:rPr>
          <w:rFonts w:eastAsia="Times New Roman"/>
          <w:color w:val="auto"/>
          <w:sz w:val="28"/>
          <w:szCs w:val="28"/>
          <w:lang w:eastAsia="lv-LV"/>
        </w:rPr>
        <w:t>a</w:t>
      </w:r>
      <w:r w:rsidRPr="00682D60">
        <w:rPr>
          <w:rFonts w:eastAsia="Times New Roman"/>
          <w:color w:val="auto"/>
          <w:sz w:val="28"/>
          <w:szCs w:val="28"/>
          <w:lang w:eastAsia="lv-LV"/>
        </w:rPr>
        <w:t xml:space="preserve"> </w:t>
      </w:r>
      <w:bookmarkStart w:id="1" w:name="_Hlk72739306"/>
      <w:r w:rsidRPr="00682D60">
        <w:rPr>
          <w:rFonts w:eastAsia="Times New Roman"/>
          <w:color w:val="auto"/>
          <w:sz w:val="28"/>
          <w:szCs w:val="28"/>
          <w:lang w:eastAsia="lv-LV"/>
        </w:rPr>
        <w:t>20</w:t>
      </w:r>
      <w:r w:rsidR="007C087C" w:rsidRPr="00682D60">
        <w:rPr>
          <w:rFonts w:eastAsia="Times New Roman"/>
          <w:color w:val="auto"/>
          <w:sz w:val="28"/>
          <w:szCs w:val="28"/>
          <w:lang w:eastAsia="lv-LV"/>
        </w:rPr>
        <w:t>21</w:t>
      </w:r>
      <w:r w:rsidRPr="00682D60">
        <w:rPr>
          <w:rFonts w:eastAsia="Times New Roman"/>
          <w:color w:val="auto"/>
          <w:sz w:val="28"/>
          <w:szCs w:val="28"/>
          <w:lang w:eastAsia="lv-LV"/>
        </w:rPr>
        <w:t>.-20</w:t>
      </w:r>
      <w:r w:rsidR="007C087C" w:rsidRPr="00682D60">
        <w:rPr>
          <w:rFonts w:eastAsia="Times New Roman"/>
          <w:color w:val="auto"/>
          <w:sz w:val="28"/>
          <w:szCs w:val="28"/>
          <w:lang w:eastAsia="lv-LV"/>
        </w:rPr>
        <w:t>23</w:t>
      </w:r>
      <w:r w:rsidRPr="00682D60">
        <w:rPr>
          <w:rFonts w:eastAsia="Times New Roman"/>
          <w:color w:val="auto"/>
          <w:sz w:val="28"/>
          <w:szCs w:val="28"/>
          <w:lang w:eastAsia="lv-LV"/>
        </w:rPr>
        <w:t>.gadam, kas apstiprināts ar Ministru kabineta 20</w:t>
      </w:r>
      <w:r w:rsidR="007C087C" w:rsidRPr="00682D60">
        <w:rPr>
          <w:rFonts w:eastAsia="Times New Roman"/>
          <w:color w:val="auto"/>
          <w:sz w:val="28"/>
          <w:szCs w:val="28"/>
          <w:lang w:eastAsia="lv-LV"/>
        </w:rPr>
        <w:t>21</w:t>
      </w:r>
      <w:r w:rsidRPr="00682D60">
        <w:rPr>
          <w:rFonts w:eastAsia="Times New Roman"/>
          <w:color w:val="auto"/>
          <w:sz w:val="28"/>
          <w:szCs w:val="28"/>
          <w:lang w:eastAsia="lv-LV"/>
        </w:rPr>
        <w:t>.gada 2</w:t>
      </w:r>
      <w:r w:rsidR="007C087C" w:rsidRPr="00682D60">
        <w:rPr>
          <w:rFonts w:eastAsia="Times New Roman"/>
          <w:color w:val="auto"/>
          <w:sz w:val="28"/>
          <w:szCs w:val="28"/>
          <w:lang w:eastAsia="lv-LV"/>
        </w:rPr>
        <w:t>2</w:t>
      </w:r>
      <w:r w:rsidRPr="00682D60">
        <w:rPr>
          <w:rFonts w:eastAsia="Times New Roman"/>
          <w:color w:val="auto"/>
          <w:sz w:val="28"/>
          <w:szCs w:val="28"/>
          <w:lang w:eastAsia="lv-LV"/>
        </w:rPr>
        <w:t>.marta rīkojumu Nr.1</w:t>
      </w:r>
      <w:r w:rsidR="007C087C" w:rsidRPr="00682D60">
        <w:rPr>
          <w:rFonts w:eastAsia="Times New Roman"/>
          <w:color w:val="auto"/>
          <w:sz w:val="28"/>
          <w:szCs w:val="28"/>
          <w:lang w:eastAsia="lv-LV"/>
        </w:rPr>
        <w:t>80</w:t>
      </w:r>
      <w:r w:rsidR="009B5E57" w:rsidRPr="00682D60">
        <w:rPr>
          <w:rFonts w:eastAsia="Times New Roman"/>
          <w:color w:val="auto"/>
          <w:sz w:val="28"/>
          <w:szCs w:val="28"/>
          <w:lang w:eastAsia="lv-LV"/>
        </w:rPr>
        <w:t xml:space="preserve"> “</w:t>
      </w:r>
      <w:r w:rsidR="009B5E57" w:rsidRPr="00682D60">
        <w:rPr>
          <w:bCs/>
          <w:color w:val="auto"/>
          <w:sz w:val="28"/>
          <w:szCs w:val="28"/>
          <w:shd w:val="clear" w:color="auto" w:fill="FFFFFF"/>
        </w:rPr>
        <w:t>Par Finanšu sektora attīstības plānu 20</w:t>
      </w:r>
      <w:r w:rsidR="007C087C" w:rsidRPr="00682D60">
        <w:rPr>
          <w:bCs/>
          <w:color w:val="auto"/>
          <w:sz w:val="28"/>
          <w:szCs w:val="28"/>
          <w:shd w:val="clear" w:color="auto" w:fill="FFFFFF"/>
        </w:rPr>
        <w:t>21</w:t>
      </w:r>
      <w:r w:rsidR="009B5E57" w:rsidRPr="00682D60">
        <w:rPr>
          <w:bCs/>
          <w:color w:val="auto"/>
          <w:sz w:val="28"/>
          <w:szCs w:val="28"/>
          <w:shd w:val="clear" w:color="auto" w:fill="FFFFFF"/>
        </w:rPr>
        <w:t>.–20</w:t>
      </w:r>
      <w:r w:rsidR="007C087C" w:rsidRPr="00682D60">
        <w:rPr>
          <w:bCs/>
          <w:color w:val="auto"/>
          <w:sz w:val="28"/>
          <w:szCs w:val="28"/>
          <w:shd w:val="clear" w:color="auto" w:fill="FFFFFF"/>
        </w:rPr>
        <w:t>23</w:t>
      </w:r>
      <w:r w:rsidR="009B5E57" w:rsidRPr="00682D60">
        <w:rPr>
          <w:bCs/>
          <w:color w:val="auto"/>
          <w:sz w:val="28"/>
          <w:szCs w:val="28"/>
          <w:shd w:val="clear" w:color="auto" w:fill="FFFFFF"/>
        </w:rPr>
        <w:t>. gadam</w:t>
      </w:r>
      <w:r w:rsidR="009B5E57" w:rsidRPr="00682D60">
        <w:rPr>
          <w:rFonts w:eastAsia="Times New Roman"/>
          <w:color w:val="auto"/>
          <w:sz w:val="28"/>
          <w:szCs w:val="28"/>
          <w:lang w:eastAsia="lv-LV"/>
        </w:rPr>
        <w:t>”</w:t>
      </w:r>
      <w:r w:rsidRPr="00682D60">
        <w:rPr>
          <w:rFonts w:eastAsia="Times New Roman"/>
          <w:color w:val="auto"/>
          <w:sz w:val="28"/>
          <w:szCs w:val="28"/>
          <w:lang w:eastAsia="lv-LV"/>
        </w:rPr>
        <w:t xml:space="preserve"> </w:t>
      </w:r>
      <w:r w:rsidR="007C087C" w:rsidRPr="00682D60">
        <w:rPr>
          <w:rFonts w:eastAsia="Times New Roman"/>
          <w:color w:val="auto"/>
          <w:sz w:val="28"/>
          <w:szCs w:val="28"/>
          <w:lang w:eastAsia="lv-LV"/>
        </w:rPr>
        <w:t>1.2.1</w:t>
      </w:r>
      <w:r w:rsidRPr="00682D60">
        <w:rPr>
          <w:rFonts w:eastAsia="Times New Roman"/>
          <w:color w:val="auto"/>
          <w:sz w:val="28"/>
          <w:szCs w:val="28"/>
          <w:lang w:eastAsia="lv-LV"/>
        </w:rPr>
        <w:t xml:space="preserve">.apakšpunktā </w:t>
      </w:r>
      <w:r w:rsidR="002D197E" w:rsidRPr="00682D60">
        <w:rPr>
          <w:rFonts w:eastAsia="Times New Roman"/>
          <w:color w:val="auto"/>
          <w:sz w:val="28"/>
          <w:szCs w:val="28"/>
          <w:lang w:eastAsia="lv-LV"/>
        </w:rPr>
        <w:t xml:space="preserve">ir </w:t>
      </w:r>
      <w:r w:rsidRPr="00682D60">
        <w:rPr>
          <w:rFonts w:eastAsia="Times New Roman"/>
          <w:color w:val="auto"/>
          <w:sz w:val="28"/>
          <w:szCs w:val="28"/>
          <w:lang w:eastAsia="lv-LV"/>
        </w:rPr>
        <w:t>dots uzdevums “</w:t>
      </w:r>
      <w:r w:rsidR="007C087C" w:rsidRPr="00682D60">
        <w:rPr>
          <w:rFonts w:eastAsia="Times New Roman"/>
          <w:color w:val="auto"/>
          <w:sz w:val="28"/>
          <w:szCs w:val="28"/>
          <w:lang w:eastAsia="lv-LV"/>
        </w:rPr>
        <w:t xml:space="preserve">Izveidot Baltijas valstu </w:t>
      </w:r>
      <w:proofErr w:type="spellStart"/>
      <w:r w:rsidR="007C087C" w:rsidRPr="00682D60">
        <w:rPr>
          <w:rFonts w:eastAsia="Times New Roman"/>
          <w:color w:val="auto"/>
          <w:sz w:val="28"/>
          <w:szCs w:val="28"/>
          <w:lang w:eastAsia="lv-LV"/>
        </w:rPr>
        <w:t>akselerācijas</w:t>
      </w:r>
      <w:proofErr w:type="spellEnd"/>
      <w:r w:rsidR="007C087C" w:rsidRPr="00682D60">
        <w:rPr>
          <w:rFonts w:eastAsia="Times New Roman"/>
          <w:color w:val="auto"/>
          <w:sz w:val="28"/>
          <w:szCs w:val="28"/>
          <w:lang w:eastAsia="lv-LV"/>
        </w:rPr>
        <w:t xml:space="preserve"> fondu (</w:t>
      </w:r>
      <w:r w:rsidR="0090475E" w:rsidRPr="00682D60">
        <w:rPr>
          <w:rFonts w:eastAsia="Times New Roman"/>
          <w:color w:val="auto"/>
          <w:sz w:val="28"/>
          <w:szCs w:val="28"/>
          <w:lang w:eastAsia="lv-LV"/>
        </w:rPr>
        <w:t xml:space="preserve">Baltijas mazo </w:t>
      </w:r>
      <w:r w:rsidR="00023E0D" w:rsidRPr="00682D60">
        <w:rPr>
          <w:rFonts w:eastAsia="Times New Roman"/>
          <w:color w:val="auto"/>
          <w:sz w:val="28"/>
          <w:szCs w:val="28"/>
          <w:lang w:eastAsia="lv-LV"/>
        </w:rPr>
        <w:t xml:space="preserve">un vidējo uzņēmumu sākotnējā publiskā piedāvājuma </w:t>
      </w:r>
      <w:r w:rsidR="00375D14">
        <w:rPr>
          <w:rFonts w:eastAsia="Times New Roman"/>
          <w:color w:val="auto"/>
          <w:sz w:val="28"/>
          <w:szCs w:val="28"/>
          <w:lang w:eastAsia="lv-LV"/>
        </w:rPr>
        <w:t xml:space="preserve">(angliski – IPO) </w:t>
      </w:r>
      <w:r w:rsidR="007C087C" w:rsidRPr="00682D60">
        <w:rPr>
          <w:rFonts w:eastAsia="Times New Roman"/>
          <w:color w:val="auto"/>
          <w:sz w:val="28"/>
          <w:szCs w:val="28"/>
          <w:lang w:eastAsia="lv-LV"/>
        </w:rPr>
        <w:t>fonds)</w:t>
      </w:r>
      <w:r w:rsidRPr="00682D60">
        <w:rPr>
          <w:rFonts w:eastAsia="Times New Roman"/>
          <w:color w:val="auto"/>
          <w:sz w:val="28"/>
          <w:szCs w:val="28"/>
          <w:lang w:eastAsia="lv-LV"/>
        </w:rPr>
        <w:t>”</w:t>
      </w:r>
      <w:bookmarkEnd w:id="1"/>
      <w:r w:rsidR="007C087C" w:rsidRPr="00682D60">
        <w:rPr>
          <w:rFonts w:eastAsia="Times New Roman"/>
          <w:color w:val="auto"/>
          <w:sz w:val="28"/>
          <w:szCs w:val="28"/>
          <w:lang w:eastAsia="lv-LV"/>
        </w:rPr>
        <w:t>, sagatavot ziņojumu un iesniegt Ministru kabinetā līdz</w:t>
      </w:r>
      <w:r w:rsidR="00C70E10" w:rsidRPr="00682D60">
        <w:rPr>
          <w:rFonts w:eastAsia="Times New Roman"/>
          <w:color w:val="auto"/>
          <w:sz w:val="28"/>
          <w:szCs w:val="28"/>
          <w:lang w:eastAsia="lv-LV"/>
        </w:rPr>
        <w:t xml:space="preserve"> </w:t>
      </w:r>
      <w:r w:rsidR="00C70E10" w:rsidRPr="00682D60">
        <w:rPr>
          <w:rFonts w:eastAsia="Times New Roman"/>
          <w:bCs/>
          <w:color w:val="auto"/>
          <w:sz w:val="28"/>
          <w:szCs w:val="28"/>
          <w:lang w:eastAsia="lv-LV"/>
        </w:rPr>
        <w:t>20</w:t>
      </w:r>
      <w:r w:rsidR="007C087C" w:rsidRPr="00682D60">
        <w:rPr>
          <w:rFonts w:eastAsia="Times New Roman"/>
          <w:bCs/>
          <w:color w:val="auto"/>
          <w:sz w:val="28"/>
          <w:szCs w:val="28"/>
          <w:lang w:eastAsia="lv-LV"/>
        </w:rPr>
        <w:t>21</w:t>
      </w:r>
      <w:r w:rsidR="00C70E10" w:rsidRPr="00682D60">
        <w:rPr>
          <w:rFonts w:eastAsia="Times New Roman"/>
          <w:bCs/>
          <w:color w:val="auto"/>
          <w:sz w:val="28"/>
          <w:szCs w:val="28"/>
          <w:lang w:eastAsia="lv-LV"/>
        </w:rPr>
        <w:t xml:space="preserve">.gada  </w:t>
      </w:r>
      <w:r w:rsidR="007C087C" w:rsidRPr="00682D60">
        <w:rPr>
          <w:rFonts w:eastAsia="Times New Roman"/>
          <w:bCs/>
          <w:color w:val="auto"/>
          <w:sz w:val="28"/>
          <w:szCs w:val="28"/>
          <w:lang w:eastAsia="lv-LV"/>
        </w:rPr>
        <w:t>30.augustam.</w:t>
      </w:r>
      <w:r w:rsidR="007C087C" w:rsidRPr="00682D60">
        <w:rPr>
          <w:rFonts w:eastAsia="Times New Roman"/>
          <w:b/>
          <w:color w:val="auto"/>
          <w:sz w:val="28"/>
          <w:szCs w:val="28"/>
          <w:lang w:eastAsia="lv-LV"/>
        </w:rPr>
        <w:t xml:space="preserve"> </w:t>
      </w:r>
    </w:p>
    <w:p w14:paraId="7D52079C" w14:textId="3322B791" w:rsidR="00BC37A4" w:rsidRPr="00682D60" w:rsidRDefault="00BC37A4" w:rsidP="00BC37A4">
      <w:pPr>
        <w:pStyle w:val="Default"/>
        <w:ind w:firstLine="720"/>
        <w:jc w:val="both"/>
        <w:rPr>
          <w:rFonts w:eastAsia="Times New Roman"/>
          <w:color w:val="auto"/>
          <w:sz w:val="28"/>
          <w:szCs w:val="28"/>
          <w:lang w:eastAsia="lv-LV"/>
        </w:rPr>
      </w:pPr>
      <w:r w:rsidRPr="00682D60">
        <w:rPr>
          <w:rFonts w:eastAsia="Times New Roman"/>
          <w:color w:val="auto"/>
          <w:sz w:val="28"/>
          <w:szCs w:val="28"/>
          <w:lang w:eastAsia="lv-LV"/>
        </w:rPr>
        <w:t>Vietējā kapitāla tirgus attīstība un mazo un vidējo uzņēmumu (</w:t>
      </w:r>
      <w:r w:rsidR="0027392D" w:rsidRPr="00682D60">
        <w:rPr>
          <w:rFonts w:eastAsia="Times New Roman"/>
          <w:color w:val="auto"/>
          <w:sz w:val="28"/>
          <w:szCs w:val="28"/>
          <w:lang w:eastAsia="lv-LV"/>
        </w:rPr>
        <w:t>turpmāk -</w:t>
      </w:r>
      <w:r w:rsidRPr="00682D60">
        <w:rPr>
          <w:rFonts w:eastAsia="Times New Roman"/>
          <w:color w:val="auto"/>
          <w:sz w:val="28"/>
          <w:szCs w:val="28"/>
          <w:lang w:eastAsia="lv-LV"/>
        </w:rPr>
        <w:t xml:space="preserve">MVU) piekļuves finansējumam atvieglošana ir kopīga Baltijas valstu prioritāte, kas </w:t>
      </w:r>
      <w:r w:rsidR="005C31C7" w:rsidRPr="00682D60">
        <w:rPr>
          <w:rFonts w:eastAsia="Times New Roman"/>
          <w:color w:val="auto"/>
          <w:sz w:val="28"/>
          <w:szCs w:val="28"/>
          <w:lang w:eastAsia="lv-LV"/>
        </w:rPr>
        <w:t xml:space="preserve">jau iepriekš </w:t>
      </w:r>
      <w:r w:rsidRPr="00682D60">
        <w:rPr>
          <w:rFonts w:eastAsia="Times New Roman"/>
          <w:color w:val="auto"/>
          <w:sz w:val="28"/>
          <w:szCs w:val="28"/>
          <w:lang w:eastAsia="lv-LV"/>
        </w:rPr>
        <w:t xml:space="preserve">tika </w:t>
      </w:r>
      <w:r w:rsidR="00B27376" w:rsidRPr="00682D60">
        <w:rPr>
          <w:rFonts w:eastAsia="Times New Roman"/>
          <w:color w:val="auto"/>
          <w:sz w:val="28"/>
          <w:szCs w:val="28"/>
          <w:lang w:eastAsia="lv-LV"/>
        </w:rPr>
        <w:t xml:space="preserve">ietverta 2017. gada 6. novembrī parakstītajā </w:t>
      </w:r>
      <w:r w:rsidRPr="00682D60">
        <w:rPr>
          <w:rFonts w:eastAsia="Times New Roman"/>
          <w:color w:val="auto"/>
          <w:sz w:val="28"/>
          <w:szCs w:val="28"/>
          <w:lang w:eastAsia="lv-LV"/>
        </w:rPr>
        <w:t>Igaunijas, Latvijas un Lietuvas finanšu ministru saprašanās memorandā par</w:t>
      </w:r>
      <w:r w:rsidR="00D06F15" w:rsidRPr="00682D60">
        <w:rPr>
          <w:rFonts w:eastAsia="Times New Roman"/>
          <w:color w:val="auto"/>
          <w:sz w:val="28"/>
          <w:szCs w:val="28"/>
          <w:lang w:eastAsia="lv-LV"/>
        </w:rPr>
        <w:t xml:space="preserve"> reģionālā</w:t>
      </w:r>
      <w:r w:rsidRPr="00682D60">
        <w:rPr>
          <w:rFonts w:eastAsia="Times New Roman"/>
          <w:color w:val="auto"/>
          <w:sz w:val="28"/>
          <w:szCs w:val="28"/>
          <w:lang w:eastAsia="lv-LV"/>
        </w:rPr>
        <w:t xml:space="preserve"> kapitāla tirgus attīstību</w:t>
      </w:r>
      <w:r w:rsidR="00D06F15" w:rsidRPr="00682D60">
        <w:rPr>
          <w:rFonts w:eastAsia="Times New Roman"/>
          <w:color w:val="auto"/>
          <w:sz w:val="28"/>
          <w:szCs w:val="28"/>
          <w:lang w:eastAsia="lv-LV"/>
        </w:rPr>
        <w:t xml:space="preserve"> Baltijā</w:t>
      </w:r>
      <w:r w:rsidR="00D06F15" w:rsidRPr="00682D60">
        <w:rPr>
          <w:rStyle w:val="FootnoteReference"/>
          <w:rFonts w:eastAsia="Times New Roman"/>
          <w:color w:val="auto"/>
          <w:sz w:val="28"/>
          <w:szCs w:val="28"/>
          <w:lang w:eastAsia="lv-LV"/>
        </w:rPr>
        <w:footnoteReference w:id="2"/>
      </w:r>
      <w:r w:rsidR="00B27376" w:rsidRPr="00682D60">
        <w:rPr>
          <w:rFonts w:eastAsia="Times New Roman"/>
          <w:color w:val="auto"/>
          <w:sz w:val="28"/>
          <w:szCs w:val="28"/>
          <w:lang w:eastAsia="lv-LV"/>
        </w:rPr>
        <w:t>.</w:t>
      </w:r>
      <w:r w:rsidRPr="00682D60">
        <w:rPr>
          <w:rFonts w:eastAsia="Times New Roman"/>
          <w:color w:val="auto"/>
          <w:sz w:val="28"/>
          <w:szCs w:val="28"/>
          <w:lang w:eastAsia="lv-LV"/>
        </w:rPr>
        <w:t xml:space="preserve"> </w:t>
      </w:r>
    </w:p>
    <w:p w14:paraId="4EFAD9AB" w14:textId="68B4EA88" w:rsidR="00BC37A4" w:rsidRPr="00682D60" w:rsidRDefault="00BC37A4" w:rsidP="00BC37A4">
      <w:pPr>
        <w:pStyle w:val="Default"/>
        <w:ind w:firstLine="720"/>
        <w:jc w:val="both"/>
        <w:rPr>
          <w:rFonts w:eastAsia="Times New Roman"/>
          <w:color w:val="auto"/>
          <w:sz w:val="28"/>
          <w:szCs w:val="28"/>
          <w:lang w:eastAsia="lv-LV"/>
        </w:rPr>
      </w:pPr>
      <w:r w:rsidRPr="00682D60">
        <w:rPr>
          <w:rFonts w:eastAsia="Times New Roman"/>
          <w:color w:val="auto"/>
          <w:sz w:val="28"/>
          <w:szCs w:val="28"/>
          <w:lang w:eastAsia="lv-LV"/>
        </w:rPr>
        <w:t xml:space="preserve">Šī sadarbības virziena ietvaros, Eiropas Rekonstrukcijas un attīstības banka (ERAB) ir uzdevusi uzņēmumam KPMG Baltics (turpmāk – KPMG konsorcijs) īstenot 2020. gada 30. jūnija konsultāciju līgumu – Kapitāla tirgus attīstības akseleratora </w:t>
      </w:r>
      <w:r w:rsidR="00023E0D" w:rsidRPr="00682D60">
        <w:rPr>
          <w:rFonts w:eastAsia="Times New Roman"/>
          <w:color w:val="auto"/>
          <w:sz w:val="28"/>
          <w:szCs w:val="28"/>
          <w:lang w:eastAsia="lv-LV"/>
        </w:rPr>
        <w:t xml:space="preserve"> jeb mazo un vidējo uzņēmumu sākotnējā publiskā piedāvājuma </w:t>
      </w:r>
      <w:r w:rsidRPr="00682D60">
        <w:rPr>
          <w:rFonts w:eastAsia="Times New Roman"/>
          <w:color w:val="auto"/>
          <w:sz w:val="28"/>
          <w:szCs w:val="28"/>
          <w:lang w:eastAsia="lv-LV"/>
        </w:rPr>
        <w:t>fond</w:t>
      </w:r>
      <w:r w:rsidR="00023E0D" w:rsidRPr="00682D60">
        <w:rPr>
          <w:rFonts w:eastAsia="Times New Roman"/>
          <w:color w:val="auto"/>
          <w:sz w:val="28"/>
          <w:szCs w:val="28"/>
          <w:lang w:eastAsia="lv-LV"/>
        </w:rPr>
        <w:t>u</w:t>
      </w:r>
      <w:r w:rsidRPr="00682D60">
        <w:rPr>
          <w:rFonts w:eastAsia="Times New Roman"/>
          <w:color w:val="auto"/>
          <w:sz w:val="28"/>
          <w:szCs w:val="28"/>
          <w:lang w:eastAsia="lv-LV"/>
        </w:rPr>
        <w:t xml:space="preserve"> (turpmāk - </w:t>
      </w:r>
      <w:r w:rsidR="0027392D" w:rsidRPr="00682D60">
        <w:rPr>
          <w:rFonts w:eastAsia="Times New Roman"/>
          <w:color w:val="auto"/>
          <w:sz w:val="28"/>
          <w:szCs w:val="28"/>
          <w:lang w:eastAsia="lv-LV"/>
        </w:rPr>
        <w:t>fonds</w:t>
      </w:r>
      <w:r w:rsidRPr="00682D60">
        <w:rPr>
          <w:rFonts w:eastAsia="Times New Roman"/>
          <w:color w:val="auto"/>
          <w:sz w:val="28"/>
          <w:szCs w:val="28"/>
          <w:lang w:eastAsia="lv-LV"/>
        </w:rPr>
        <w:t>).</w:t>
      </w:r>
      <w:r w:rsidR="00281CAD" w:rsidRPr="00281CAD">
        <w:t xml:space="preserve"> </w:t>
      </w:r>
      <w:r w:rsidR="00281CAD" w:rsidRPr="00281CAD">
        <w:rPr>
          <w:rFonts w:eastAsia="Times New Roman"/>
          <w:color w:val="auto"/>
          <w:sz w:val="28"/>
          <w:szCs w:val="28"/>
          <w:lang w:eastAsia="lv-LV"/>
        </w:rPr>
        <w:t>Fonda projekta mērķis ir atbalstīt Baltijas MVU piekļuvi finansējumam un Baltijas kapitāla tirgu attīstību saskaņā ar ES kapitāla tirgu savienības mērķiem.</w:t>
      </w:r>
    </w:p>
    <w:p w14:paraId="087D417A" w14:textId="77777777" w:rsidR="00BC37A4" w:rsidRPr="00682D60" w:rsidRDefault="00BC37A4" w:rsidP="00BC37A4">
      <w:pPr>
        <w:pStyle w:val="Default"/>
        <w:ind w:firstLine="720"/>
        <w:jc w:val="both"/>
        <w:rPr>
          <w:rFonts w:eastAsia="Times New Roman"/>
          <w:color w:val="auto"/>
          <w:sz w:val="28"/>
          <w:szCs w:val="28"/>
          <w:lang w:eastAsia="lv-LV"/>
        </w:rPr>
      </w:pPr>
      <w:r w:rsidRPr="00682D60">
        <w:rPr>
          <w:rFonts w:eastAsia="Times New Roman"/>
          <w:color w:val="auto"/>
          <w:sz w:val="28"/>
          <w:szCs w:val="28"/>
          <w:lang w:eastAsia="lv-LV"/>
        </w:rPr>
        <w:t>Projektu finansē Eiropas Komisija no Strukturālo reformu atbalsta programmas, un projekta saņēmēji ir Igaunijas, Latvijas un Lietuvas finanšu ministrijas.</w:t>
      </w:r>
    </w:p>
    <w:p w14:paraId="5748DF8D" w14:textId="73787AAA" w:rsidR="001008A2" w:rsidRPr="00682D60" w:rsidRDefault="00281CAD" w:rsidP="00281CAD">
      <w:pPr>
        <w:pStyle w:val="Default"/>
        <w:ind w:firstLine="720"/>
        <w:jc w:val="both"/>
        <w:rPr>
          <w:rFonts w:eastAsia="Times New Roman"/>
          <w:color w:val="auto"/>
          <w:sz w:val="28"/>
          <w:szCs w:val="28"/>
          <w:lang w:eastAsia="lv-LV"/>
        </w:rPr>
      </w:pPr>
      <w:r w:rsidRPr="00682D60">
        <w:rPr>
          <w:rFonts w:eastAsia="Times New Roman"/>
          <w:color w:val="auto"/>
          <w:sz w:val="28"/>
          <w:szCs w:val="28"/>
          <w:lang w:eastAsia="lv-LV"/>
        </w:rPr>
        <w:t xml:space="preserve">Šis informatīvais ziņojums ir sagatavots, balstoties uz </w:t>
      </w:r>
      <w:r>
        <w:rPr>
          <w:rFonts w:eastAsia="Times New Roman"/>
          <w:color w:val="auto"/>
          <w:sz w:val="28"/>
          <w:szCs w:val="28"/>
          <w:lang w:eastAsia="lv-LV"/>
        </w:rPr>
        <w:t>KPMG konsorcija  2021.</w:t>
      </w:r>
      <w:r w:rsidR="003C3246">
        <w:rPr>
          <w:rFonts w:eastAsia="Times New Roman"/>
          <w:color w:val="auto"/>
          <w:sz w:val="28"/>
          <w:szCs w:val="28"/>
          <w:lang w:eastAsia="lv-LV"/>
        </w:rPr>
        <w:t xml:space="preserve"> </w:t>
      </w:r>
      <w:r>
        <w:rPr>
          <w:rFonts w:eastAsia="Times New Roman"/>
          <w:color w:val="auto"/>
          <w:sz w:val="28"/>
          <w:szCs w:val="28"/>
          <w:lang w:eastAsia="lv-LV"/>
        </w:rPr>
        <w:t xml:space="preserve">gada 25. martā iesniegto </w:t>
      </w:r>
      <w:r w:rsidRPr="00682D60">
        <w:rPr>
          <w:rFonts w:eastAsia="Times New Roman"/>
          <w:color w:val="auto"/>
          <w:sz w:val="28"/>
          <w:szCs w:val="28"/>
          <w:lang w:eastAsia="lv-LV"/>
        </w:rPr>
        <w:t xml:space="preserve">projekta </w:t>
      </w:r>
      <w:proofErr w:type="spellStart"/>
      <w:r w:rsidRPr="00682D60">
        <w:rPr>
          <w:rFonts w:eastAsia="Times New Roman"/>
          <w:color w:val="auto"/>
          <w:sz w:val="28"/>
          <w:szCs w:val="28"/>
          <w:lang w:eastAsia="lv-LV"/>
        </w:rPr>
        <w:t>priekšizpētes</w:t>
      </w:r>
      <w:proofErr w:type="spellEnd"/>
      <w:r w:rsidRPr="00682D60">
        <w:rPr>
          <w:rFonts w:eastAsia="Times New Roman"/>
          <w:color w:val="auto"/>
          <w:sz w:val="28"/>
          <w:szCs w:val="28"/>
          <w:lang w:eastAsia="lv-LV"/>
        </w:rPr>
        <w:t xml:space="preserve"> ziņojumu</w:t>
      </w:r>
      <w:r>
        <w:rPr>
          <w:rFonts w:eastAsia="Times New Roman"/>
          <w:color w:val="auto"/>
          <w:sz w:val="28"/>
          <w:szCs w:val="28"/>
          <w:lang w:eastAsia="lv-LV"/>
        </w:rPr>
        <w:t xml:space="preserve"> </w:t>
      </w:r>
      <w:r w:rsidR="003C3246">
        <w:rPr>
          <w:rFonts w:eastAsia="Times New Roman"/>
          <w:color w:val="auto"/>
          <w:sz w:val="28"/>
          <w:szCs w:val="28"/>
          <w:lang w:eastAsia="lv-LV"/>
        </w:rPr>
        <w:t>“</w:t>
      </w:r>
      <w:proofErr w:type="spellStart"/>
      <w:r w:rsidRPr="00281CAD">
        <w:rPr>
          <w:rFonts w:eastAsia="Times New Roman"/>
          <w:color w:val="auto"/>
          <w:sz w:val="28"/>
          <w:szCs w:val="28"/>
          <w:lang w:eastAsia="lv-LV"/>
        </w:rPr>
        <w:t>Assessment</w:t>
      </w:r>
      <w:proofErr w:type="spellEnd"/>
      <w:r w:rsidRPr="00281CAD">
        <w:rPr>
          <w:rFonts w:eastAsia="Times New Roman"/>
          <w:color w:val="auto"/>
          <w:sz w:val="28"/>
          <w:szCs w:val="28"/>
          <w:lang w:eastAsia="lv-LV"/>
        </w:rPr>
        <w:t xml:space="preserve"> </w:t>
      </w:r>
      <w:proofErr w:type="spellStart"/>
      <w:r w:rsidRPr="00281CAD">
        <w:rPr>
          <w:rFonts w:eastAsia="Times New Roman"/>
          <w:color w:val="auto"/>
          <w:sz w:val="28"/>
          <w:szCs w:val="28"/>
          <w:lang w:eastAsia="lv-LV"/>
        </w:rPr>
        <w:t>and</w:t>
      </w:r>
      <w:proofErr w:type="spellEnd"/>
      <w:r w:rsidRPr="00281CAD">
        <w:rPr>
          <w:rFonts w:eastAsia="Times New Roman"/>
          <w:color w:val="auto"/>
          <w:sz w:val="28"/>
          <w:szCs w:val="28"/>
          <w:lang w:eastAsia="lv-LV"/>
        </w:rPr>
        <w:t xml:space="preserve"> </w:t>
      </w:r>
      <w:proofErr w:type="spellStart"/>
      <w:r w:rsidRPr="00281CAD">
        <w:rPr>
          <w:rFonts w:eastAsia="Times New Roman"/>
          <w:color w:val="auto"/>
          <w:sz w:val="28"/>
          <w:szCs w:val="28"/>
          <w:lang w:eastAsia="lv-LV"/>
        </w:rPr>
        <w:t>Feasibility</w:t>
      </w:r>
      <w:proofErr w:type="spellEnd"/>
      <w:r w:rsidRPr="00281CAD">
        <w:rPr>
          <w:rFonts w:eastAsia="Times New Roman"/>
          <w:color w:val="auto"/>
          <w:sz w:val="28"/>
          <w:szCs w:val="28"/>
          <w:lang w:eastAsia="lv-LV"/>
        </w:rPr>
        <w:t xml:space="preserve"> </w:t>
      </w:r>
      <w:proofErr w:type="spellStart"/>
      <w:r w:rsidRPr="00281CAD">
        <w:rPr>
          <w:rFonts w:eastAsia="Times New Roman"/>
          <w:color w:val="auto"/>
          <w:sz w:val="28"/>
          <w:szCs w:val="28"/>
          <w:lang w:eastAsia="lv-LV"/>
        </w:rPr>
        <w:t>Study</w:t>
      </w:r>
      <w:proofErr w:type="spellEnd"/>
      <w:r>
        <w:rPr>
          <w:rFonts w:eastAsia="Times New Roman"/>
          <w:color w:val="auto"/>
          <w:sz w:val="28"/>
          <w:szCs w:val="28"/>
          <w:lang w:eastAsia="lv-LV"/>
        </w:rPr>
        <w:t xml:space="preserve">” </w:t>
      </w:r>
      <w:r w:rsidR="007C087C" w:rsidRPr="00682D60">
        <w:rPr>
          <w:rFonts w:eastAsia="Times New Roman"/>
          <w:color w:val="auto"/>
          <w:sz w:val="28"/>
          <w:szCs w:val="28"/>
          <w:lang w:eastAsia="lv-LV"/>
        </w:rPr>
        <w:t xml:space="preserve"> (turpmāk – </w:t>
      </w:r>
      <w:proofErr w:type="spellStart"/>
      <w:r w:rsidR="007C087C" w:rsidRPr="00682D60">
        <w:rPr>
          <w:rFonts w:eastAsia="Times New Roman"/>
          <w:color w:val="auto"/>
          <w:sz w:val="28"/>
          <w:szCs w:val="28"/>
          <w:lang w:eastAsia="lv-LV"/>
        </w:rPr>
        <w:t>priekšizpētes</w:t>
      </w:r>
      <w:proofErr w:type="spellEnd"/>
      <w:r w:rsidR="007C087C" w:rsidRPr="00682D60">
        <w:rPr>
          <w:rFonts w:eastAsia="Times New Roman"/>
          <w:color w:val="auto"/>
          <w:sz w:val="28"/>
          <w:szCs w:val="28"/>
          <w:lang w:eastAsia="lv-LV"/>
        </w:rPr>
        <w:t xml:space="preserve"> ziņojums)</w:t>
      </w:r>
      <w:r w:rsidR="00BC37A4" w:rsidRPr="00682D60">
        <w:rPr>
          <w:rFonts w:eastAsia="Times New Roman"/>
          <w:color w:val="auto"/>
          <w:sz w:val="28"/>
          <w:szCs w:val="28"/>
          <w:lang w:eastAsia="lv-LV"/>
        </w:rPr>
        <w:t xml:space="preserve">, pastāv skaidra un izmērāma tirgus nepilnība, kas pamato valsts iesaisti. </w:t>
      </w:r>
      <w:r w:rsidR="003C3246" w:rsidRPr="003C3246">
        <w:rPr>
          <w:rFonts w:eastAsia="Times New Roman"/>
          <w:color w:val="auto"/>
          <w:sz w:val="28"/>
          <w:szCs w:val="28"/>
          <w:lang w:eastAsia="lv-LV"/>
        </w:rPr>
        <w:t xml:space="preserve">Projekta </w:t>
      </w:r>
      <w:proofErr w:type="spellStart"/>
      <w:r w:rsidR="003C3246">
        <w:rPr>
          <w:rFonts w:eastAsia="Times New Roman"/>
          <w:color w:val="auto"/>
          <w:sz w:val="28"/>
          <w:szCs w:val="28"/>
          <w:lang w:eastAsia="lv-LV"/>
        </w:rPr>
        <w:t>priekšizpētes</w:t>
      </w:r>
      <w:proofErr w:type="spellEnd"/>
      <w:r w:rsidR="003C3246" w:rsidRPr="003C3246">
        <w:rPr>
          <w:rFonts w:eastAsia="Times New Roman"/>
          <w:color w:val="auto"/>
          <w:sz w:val="28"/>
          <w:szCs w:val="28"/>
          <w:lang w:eastAsia="lv-LV"/>
        </w:rPr>
        <w:t xml:space="preserve"> ziņojums ir pieejams Finanšu ministrijā pēc pieprasījuma.</w:t>
      </w:r>
    </w:p>
    <w:p w14:paraId="73FE5DDB" w14:textId="0F6BA1E9" w:rsidR="00480740" w:rsidRDefault="00480740" w:rsidP="00480740">
      <w:pPr>
        <w:pStyle w:val="Default"/>
        <w:ind w:firstLine="720"/>
        <w:jc w:val="both"/>
        <w:rPr>
          <w:rFonts w:eastAsia="Times New Roman"/>
          <w:sz w:val="28"/>
          <w:szCs w:val="28"/>
          <w:lang w:eastAsia="lv-LV"/>
        </w:rPr>
      </w:pPr>
      <w:r w:rsidRPr="00682D60">
        <w:rPr>
          <w:color w:val="auto"/>
          <w:sz w:val="28"/>
          <w:szCs w:val="28"/>
        </w:rPr>
        <w:t xml:space="preserve">Projekts tiks ieviests saskaņā ar </w:t>
      </w:r>
      <w:r w:rsidRPr="00682D60">
        <w:rPr>
          <w:rFonts w:eastAsia="Times New Roman"/>
          <w:sz w:val="28"/>
          <w:szCs w:val="28"/>
          <w:lang w:eastAsia="lv-LV"/>
        </w:rPr>
        <w:t>Latvijas Nacionāl</w:t>
      </w:r>
      <w:r w:rsidR="0004189A">
        <w:rPr>
          <w:rFonts w:eastAsia="Times New Roman"/>
          <w:sz w:val="28"/>
          <w:szCs w:val="28"/>
          <w:lang w:eastAsia="lv-LV"/>
        </w:rPr>
        <w:t>ā</w:t>
      </w:r>
      <w:r w:rsidRPr="00682D60">
        <w:rPr>
          <w:rFonts w:eastAsia="Times New Roman"/>
          <w:sz w:val="28"/>
          <w:szCs w:val="28"/>
          <w:lang w:eastAsia="lv-LV"/>
        </w:rPr>
        <w:t xml:space="preserve"> attīstības plāna 2021. - 2027. gadam (turpmāk - NAP)  indikatīvā investīciju projektu kopuma uzdevumu </w:t>
      </w:r>
      <w:r w:rsidRPr="00682D60">
        <w:rPr>
          <w:rFonts w:eastAsia="Times New Roman"/>
          <w:sz w:val="28"/>
          <w:szCs w:val="28"/>
          <w:lang w:eastAsia="lv-LV"/>
        </w:rPr>
        <w:lastRenderedPageBreak/>
        <w:t>Nr.21, kas paredz atbalstu mazo, vidējo komersantu finansējuma piesaistei kapitāla tirgos.</w:t>
      </w:r>
    </w:p>
    <w:p w14:paraId="5922E7BF" w14:textId="04199D93" w:rsidR="003C3246" w:rsidRDefault="00281CAD" w:rsidP="003C3246">
      <w:pPr>
        <w:pStyle w:val="Default"/>
        <w:ind w:firstLine="720"/>
        <w:jc w:val="both"/>
        <w:rPr>
          <w:rFonts w:eastAsia="Times New Roman"/>
          <w:sz w:val="28"/>
          <w:szCs w:val="28"/>
          <w:lang w:eastAsia="lv-LV"/>
        </w:rPr>
      </w:pPr>
      <w:r w:rsidRPr="00281CAD">
        <w:rPr>
          <w:rFonts w:eastAsia="Times New Roman"/>
          <w:sz w:val="28"/>
          <w:szCs w:val="28"/>
          <w:lang w:eastAsia="lv-LV"/>
        </w:rPr>
        <w:t>Projekta īstenošanas gaitā notika konsultācijas ar finanšu nozares pārstāvjiem un sabiedriskajām organizācijām</w:t>
      </w:r>
      <w:r>
        <w:rPr>
          <w:rFonts w:eastAsia="Times New Roman"/>
          <w:sz w:val="28"/>
          <w:szCs w:val="28"/>
          <w:lang w:eastAsia="lv-LV"/>
        </w:rPr>
        <w:t>.</w:t>
      </w:r>
      <w:r w:rsidRPr="00281CAD">
        <w:rPr>
          <w:rFonts w:eastAsia="Times New Roman"/>
          <w:sz w:val="28"/>
          <w:szCs w:val="28"/>
          <w:lang w:eastAsia="lv-LV"/>
        </w:rPr>
        <w:t xml:space="preserve"> </w:t>
      </w:r>
      <w:r w:rsidR="003C3246">
        <w:rPr>
          <w:rFonts w:eastAsia="Times New Roman"/>
          <w:sz w:val="28"/>
          <w:szCs w:val="28"/>
          <w:lang w:eastAsia="lv-LV"/>
        </w:rPr>
        <w:t xml:space="preserve">2021. gada 14. janvāra vēstulē </w:t>
      </w:r>
      <w:r w:rsidR="003C3246" w:rsidRPr="00793D4B">
        <w:rPr>
          <w:rFonts w:eastAsia="Times New Roman"/>
          <w:sz w:val="28"/>
          <w:szCs w:val="28"/>
          <w:lang w:eastAsia="lv-LV"/>
        </w:rPr>
        <w:t xml:space="preserve">AS </w:t>
      </w:r>
      <w:r w:rsidR="0088427D">
        <w:rPr>
          <w:rFonts w:eastAsia="Times New Roman"/>
          <w:sz w:val="28"/>
          <w:szCs w:val="28"/>
          <w:lang w:eastAsia="lv-LV"/>
        </w:rPr>
        <w:t>“</w:t>
      </w:r>
      <w:proofErr w:type="spellStart"/>
      <w:r w:rsidR="003C3246" w:rsidRPr="00793D4B">
        <w:rPr>
          <w:rFonts w:eastAsia="Times New Roman"/>
          <w:sz w:val="28"/>
          <w:szCs w:val="28"/>
          <w:lang w:eastAsia="lv-LV"/>
        </w:rPr>
        <w:t>Nasdaq</w:t>
      </w:r>
      <w:proofErr w:type="spellEnd"/>
      <w:r w:rsidR="003C3246" w:rsidRPr="00793D4B">
        <w:rPr>
          <w:rFonts w:eastAsia="Times New Roman"/>
          <w:sz w:val="28"/>
          <w:szCs w:val="28"/>
          <w:lang w:eastAsia="lv-LV"/>
        </w:rPr>
        <w:t xml:space="preserve"> </w:t>
      </w:r>
      <w:proofErr w:type="spellStart"/>
      <w:r w:rsidR="003C3246" w:rsidRPr="00793D4B">
        <w:rPr>
          <w:rFonts w:eastAsia="Times New Roman"/>
          <w:sz w:val="28"/>
          <w:szCs w:val="28"/>
          <w:lang w:eastAsia="lv-LV"/>
        </w:rPr>
        <w:t>Riga</w:t>
      </w:r>
      <w:proofErr w:type="spellEnd"/>
      <w:r w:rsidR="0088427D">
        <w:rPr>
          <w:rFonts w:eastAsia="Times New Roman"/>
          <w:sz w:val="28"/>
          <w:szCs w:val="28"/>
          <w:lang w:eastAsia="lv-LV"/>
        </w:rPr>
        <w:t>”</w:t>
      </w:r>
      <w:r w:rsidR="003C3246">
        <w:rPr>
          <w:rFonts w:eastAsia="Times New Roman"/>
          <w:sz w:val="28"/>
          <w:szCs w:val="28"/>
          <w:lang w:eastAsia="lv-LV"/>
        </w:rPr>
        <w:t xml:space="preserve">, </w:t>
      </w:r>
      <w:r w:rsidR="003C3246" w:rsidRPr="00793D4B">
        <w:rPr>
          <w:rFonts w:eastAsia="Times New Roman"/>
          <w:sz w:val="28"/>
          <w:szCs w:val="28"/>
          <w:lang w:eastAsia="lv-LV"/>
        </w:rPr>
        <w:t xml:space="preserve"> </w:t>
      </w:r>
      <w:r w:rsidR="00793D4B" w:rsidRPr="00793D4B">
        <w:rPr>
          <w:rFonts w:eastAsia="Times New Roman"/>
          <w:sz w:val="28"/>
          <w:szCs w:val="28"/>
          <w:lang w:eastAsia="lv-LV"/>
        </w:rPr>
        <w:t>Latvijas Finanšu nozares asociācija, Latvijas Privātā un riska kapitāla asociācija</w:t>
      </w:r>
      <w:r w:rsidR="003C3246">
        <w:rPr>
          <w:rFonts w:eastAsia="Times New Roman"/>
          <w:sz w:val="28"/>
          <w:szCs w:val="28"/>
          <w:lang w:eastAsia="lv-LV"/>
        </w:rPr>
        <w:t xml:space="preserve"> un</w:t>
      </w:r>
      <w:r w:rsidR="00793D4B" w:rsidRPr="00793D4B">
        <w:rPr>
          <w:rFonts w:eastAsia="Times New Roman"/>
          <w:sz w:val="28"/>
          <w:szCs w:val="28"/>
          <w:lang w:eastAsia="lv-LV"/>
        </w:rPr>
        <w:t xml:space="preserve"> Finanšu un kapitāla tirgus komisija </w:t>
      </w:r>
      <w:r w:rsidR="003C3246">
        <w:rPr>
          <w:rFonts w:eastAsia="Times New Roman"/>
          <w:sz w:val="28"/>
          <w:szCs w:val="28"/>
          <w:lang w:eastAsia="lv-LV"/>
        </w:rPr>
        <w:t>kopīgi pauda atbalstu Baltijas mazo un vidējo komersantu sākotnējā publiskā piedāvājuma fonda izveidei, un norādīja, ka “</w:t>
      </w:r>
      <w:r w:rsidR="003C3246" w:rsidRPr="003C3246">
        <w:rPr>
          <w:rFonts w:eastAsia="Times New Roman"/>
          <w:sz w:val="28"/>
          <w:szCs w:val="28"/>
          <w:lang w:eastAsia="lv-LV"/>
        </w:rPr>
        <w:t>projekta ieviešana būtiski veicinās Latvijas (un Baltijas) kapitāla tirgus attīstību, kā arī Latvijas uzņēmumu pieeju kapitālam un Latvijas ekonomikas izaugsmi pēc-COVID-19 pandēmijas periodā. Valstis, kurās ir attīstīts kapitāla tirgus, spēj operatīvāk un efektīvāk pārvarēt krīzes</w:t>
      </w:r>
      <w:r w:rsidR="003C3246">
        <w:rPr>
          <w:rFonts w:eastAsia="Times New Roman"/>
          <w:sz w:val="28"/>
          <w:szCs w:val="28"/>
          <w:lang w:eastAsia="lv-LV"/>
        </w:rPr>
        <w:t>”</w:t>
      </w:r>
      <w:r w:rsidR="003C3246" w:rsidRPr="003C3246">
        <w:rPr>
          <w:rFonts w:eastAsia="Times New Roman"/>
          <w:sz w:val="28"/>
          <w:szCs w:val="28"/>
          <w:lang w:eastAsia="lv-LV"/>
        </w:rPr>
        <w:t>.</w:t>
      </w:r>
      <w:r w:rsidR="005623B5">
        <w:rPr>
          <w:rFonts w:eastAsia="Times New Roman"/>
          <w:sz w:val="28"/>
          <w:szCs w:val="28"/>
          <w:lang w:eastAsia="lv-LV"/>
        </w:rPr>
        <w:t xml:space="preserve"> Vēstulē tika aicināts nodrošināt līdzekļus fonda izveidei, un atzīmēta nepieciešamība,</w:t>
      </w:r>
      <w:r w:rsidR="005623B5" w:rsidRPr="005623B5">
        <w:rPr>
          <w:rFonts w:eastAsia="Times New Roman"/>
          <w:sz w:val="28"/>
          <w:szCs w:val="28"/>
          <w:lang w:eastAsia="lv-LV"/>
        </w:rPr>
        <w:t xml:space="preserve"> </w:t>
      </w:r>
      <w:r w:rsidR="005623B5">
        <w:rPr>
          <w:rFonts w:eastAsia="Times New Roman"/>
          <w:sz w:val="28"/>
          <w:szCs w:val="28"/>
          <w:lang w:eastAsia="lv-LV"/>
        </w:rPr>
        <w:t xml:space="preserve">lai </w:t>
      </w:r>
      <w:r w:rsidR="005623B5" w:rsidRPr="005623B5">
        <w:rPr>
          <w:rFonts w:eastAsia="Times New Roman"/>
          <w:sz w:val="28"/>
          <w:szCs w:val="28"/>
          <w:lang w:eastAsia="lv-LV"/>
        </w:rPr>
        <w:t>Baltijas valstis izmanto vienu finansējuma avotu fonda izveidei.</w:t>
      </w:r>
    </w:p>
    <w:p w14:paraId="50DF7662" w14:textId="2D7F3703" w:rsidR="00281CAD" w:rsidRDefault="005623B5" w:rsidP="00281CAD">
      <w:pPr>
        <w:pStyle w:val="Default"/>
        <w:ind w:firstLine="720"/>
        <w:jc w:val="both"/>
        <w:rPr>
          <w:rFonts w:eastAsia="Times New Roman"/>
          <w:sz w:val="28"/>
          <w:szCs w:val="28"/>
          <w:lang w:eastAsia="lv-LV"/>
        </w:rPr>
      </w:pPr>
      <w:r w:rsidRPr="005623B5">
        <w:rPr>
          <w:rFonts w:eastAsia="Times New Roman"/>
          <w:sz w:val="28"/>
          <w:szCs w:val="28"/>
          <w:lang w:eastAsia="lv-LV"/>
        </w:rPr>
        <w:t xml:space="preserve">Ekonomikas ministrija </w:t>
      </w:r>
      <w:r w:rsidR="0088427D">
        <w:rPr>
          <w:rFonts w:eastAsia="Times New Roman"/>
          <w:sz w:val="28"/>
          <w:szCs w:val="28"/>
          <w:lang w:eastAsia="lv-LV"/>
        </w:rPr>
        <w:t xml:space="preserve">2021. gada 2. februāra vēstulē </w:t>
      </w:r>
      <w:r w:rsidR="0088427D" w:rsidRPr="0088427D">
        <w:rPr>
          <w:rFonts w:eastAsia="Times New Roman"/>
          <w:sz w:val="28"/>
          <w:szCs w:val="28"/>
          <w:lang w:eastAsia="lv-LV"/>
        </w:rPr>
        <w:t xml:space="preserve">Nr. 3.3-4/2021/803N </w:t>
      </w:r>
      <w:r w:rsidR="0088427D">
        <w:rPr>
          <w:rFonts w:eastAsia="Times New Roman"/>
          <w:sz w:val="28"/>
          <w:szCs w:val="28"/>
          <w:lang w:eastAsia="lv-LV"/>
        </w:rPr>
        <w:t>informēja</w:t>
      </w:r>
      <w:r w:rsidRPr="005623B5">
        <w:rPr>
          <w:rFonts w:eastAsia="Times New Roman"/>
          <w:sz w:val="28"/>
          <w:szCs w:val="28"/>
          <w:lang w:eastAsia="lv-LV"/>
        </w:rPr>
        <w:t xml:space="preserve">, ka finansējums </w:t>
      </w:r>
      <w:r w:rsidR="009C699F">
        <w:rPr>
          <w:rFonts w:eastAsia="Times New Roman"/>
          <w:sz w:val="28"/>
          <w:szCs w:val="28"/>
          <w:lang w:eastAsia="lv-LV"/>
        </w:rPr>
        <w:t xml:space="preserve">fonda </w:t>
      </w:r>
      <w:r w:rsidR="00B430CF">
        <w:rPr>
          <w:rFonts w:eastAsia="Times New Roman"/>
          <w:sz w:val="28"/>
          <w:szCs w:val="28"/>
          <w:lang w:eastAsia="lv-LV"/>
        </w:rPr>
        <w:t>izve</w:t>
      </w:r>
      <w:r w:rsidR="00FC7D99">
        <w:rPr>
          <w:rFonts w:eastAsia="Times New Roman"/>
          <w:sz w:val="28"/>
          <w:szCs w:val="28"/>
          <w:lang w:eastAsia="lv-LV"/>
        </w:rPr>
        <w:t>i</w:t>
      </w:r>
      <w:r w:rsidR="00B430CF">
        <w:rPr>
          <w:rFonts w:eastAsia="Times New Roman"/>
          <w:sz w:val="28"/>
          <w:szCs w:val="28"/>
          <w:lang w:eastAsia="lv-LV"/>
        </w:rPr>
        <w:t>dei</w:t>
      </w:r>
      <w:r w:rsidRPr="005623B5">
        <w:rPr>
          <w:rFonts w:eastAsia="Times New Roman"/>
          <w:sz w:val="28"/>
          <w:szCs w:val="28"/>
          <w:lang w:eastAsia="lv-LV"/>
        </w:rPr>
        <w:t xml:space="preserve"> ir ieplānots un iekļauts </w:t>
      </w:r>
      <w:r w:rsidR="00FC7D99" w:rsidRPr="00FC7D99">
        <w:rPr>
          <w:rFonts w:eastAsia="Times New Roman"/>
          <w:sz w:val="28"/>
          <w:szCs w:val="28"/>
          <w:lang w:eastAsia="lv-LV"/>
        </w:rPr>
        <w:t xml:space="preserve">Eiropas Savienības struktūrfondu un Kohēzijas fonda </w:t>
      </w:r>
      <w:r w:rsidRPr="005623B5">
        <w:rPr>
          <w:rFonts w:eastAsia="Times New Roman"/>
          <w:sz w:val="28"/>
          <w:szCs w:val="28"/>
          <w:lang w:eastAsia="lv-LV"/>
        </w:rPr>
        <w:t>Darbības programm</w:t>
      </w:r>
      <w:r w:rsidR="00B430CF">
        <w:rPr>
          <w:rFonts w:eastAsia="Times New Roman"/>
          <w:sz w:val="28"/>
          <w:szCs w:val="28"/>
          <w:lang w:eastAsia="lv-LV"/>
        </w:rPr>
        <w:t>as</w:t>
      </w:r>
      <w:r w:rsidRPr="005623B5">
        <w:rPr>
          <w:rFonts w:eastAsia="Times New Roman"/>
          <w:sz w:val="28"/>
          <w:szCs w:val="28"/>
          <w:lang w:eastAsia="lv-LV"/>
        </w:rPr>
        <w:t xml:space="preserve"> 2021.-2027.gadam</w:t>
      </w:r>
      <w:r w:rsidR="00B430CF">
        <w:rPr>
          <w:rFonts w:eastAsia="Times New Roman"/>
          <w:sz w:val="28"/>
          <w:szCs w:val="28"/>
          <w:lang w:eastAsia="lv-LV"/>
        </w:rPr>
        <w:t xml:space="preserve"> projektā</w:t>
      </w:r>
      <w:r w:rsidRPr="005623B5">
        <w:rPr>
          <w:rFonts w:eastAsia="Times New Roman"/>
          <w:sz w:val="28"/>
          <w:szCs w:val="28"/>
          <w:lang w:eastAsia="lv-LV"/>
        </w:rPr>
        <w:t xml:space="preserve">. </w:t>
      </w:r>
    </w:p>
    <w:p w14:paraId="729E2FD8" w14:textId="77777777" w:rsidR="00793D4B" w:rsidRPr="00682D60" w:rsidRDefault="00793D4B" w:rsidP="00F138D8">
      <w:pPr>
        <w:pStyle w:val="Default"/>
        <w:jc w:val="both"/>
        <w:rPr>
          <w:color w:val="auto"/>
          <w:sz w:val="28"/>
          <w:szCs w:val="28"/>
        </w:rPr>
      </w:pPr>
    </w:p>
    <w:p w14:paraId="4CFC0204" w14:textId="6CB2CCF0" w:rsidR="0045159E" w:rsidRPr="00FA02A2" w:rsidRDefault="00B02343" w:rsidP="00EE6E59">
      <w:pPr>
        <w:pStyle w:val="ListParagraph"/>
        <w:numPr>
          <w:ilvl w:val="0"/>
          <w:numId w:val="6"/>
        </w:numPr>
        <w:spacing w:after="0" w:line="240" w:lineRule="auto"/>
        <w:jc w:val="both"/>
        <w:rPr>
          <w:rFonts w:ascii="Times New Roman" w:eastAsia="Times New Roman" w:hAnsi="Times New Roman"/>
          <w:b/>
          <w:sz w:val="28"/>
          <w:szCs w:val="28"/>
          <w:lang w:eastAsia="lv-LV"/>
        </w:rPr>
      </w:pPr>
      <w:r w:rsidRPr="00682D60">
        <w:rPr>
          <w:rFonts w:ascii="Times New Roman" w:eastAsia="Times New Roman" w:hAnsi="Times New Roman"/>
          <w:b/>
          <w:sz w:val="28"/>
          <w:szCs w:val="28"/>
          <w:lang w:eastAsia="lv-LV"/>
        </w:rPr>
        <w:t>Situācijas analīze</w:t>
      </w:r>
      <w:r w:rsidR="008D6B3D" w:rsidRPr="00682D60">
        <w:rPr>
          <w:rFonts w:ascii="Times New Roman" w:eastAsia="Times New Roman" w:hAnsi="Times New Roman"/>
          <w:b/>
          <w:sz w:val="28"/>
          <w:szCs w:val="28"/>
          <w:lang w:eastAsia="lv-LV"/>
        </w:rPr>
        <w:t xml:space="preserve"> un atbalsta </w:t>
      </w:r>
      <w:r w:rsidR="00F52006" w:rsidRPr="00682D60">
        <w:rPr>
          <w:rFonts w:ascii="Times New Roman" w:eastAsia="Times New Roman" w:hAnsi="Times New Roman"/>
          <w:b/>
          <w:sz w:val="28"/>
          <w:szCs w:val="28"/>
          <w:lang w:eastAsia="lv-LV"/>
        </w:rPr>
        <w:t>pasākuma</w:t>
      </w:r>
      <w:r w:rsidR="008D6B3D" w:rsidRPr="00682D60">
        <w:rPr>
          <w:rFonts w:ascii="Times New Roman" w:eastAsia="Times New Roman" w:hAnsi="Times New Roman"/>
          <w:b/>
          <w:sz w:val="28"/>
          <w:szCs w:val="28"/>
          <w:lang w:eastAsia="lv-LV"/>
        </w:rPr>
        <w:t xml:space="preserve"> nepieciešamība</w:t>
      </w:r>
    </w:p>
    <w:p w14:paraId="6D081509" w14:textId="2F2F1F9E" w:rsidR="0045159E" w:rsidRPr="00FA02A2" w:rsidRDefault="00CF4EC1" w:rsidP="00FA02A2">
      <w:pPr>
        <w:pStyle w:val="ListParagraph"/>
        <w:numPr>
          <w:ilvl w:val="1"/>
          <w:numId w:val="6"/>
        </w:numPr>
        <w:spacing w:after="0" w:line="240" w:lineRule="auto"/>
        <w:jc w:val="both"/>
        <w:rPr>
          <w:rFonts w:ascii="Times New Roman" w:eastAsia="Times New Roman" w:hAnsi="Times New Roman"/>
          <w:b/>
          <w:iCs/>
          <w:sz w:val="28"/>
          <w:szCs w:val="28"/>
          <w:lang w:eastAsia="lv-LV"/>
        </w:rPr>
      </w:pPr>
      <w:r w:rsidRPr="00FA02A2">
        <w:rPr>
          <w:rFonts w:ascii="Times New Roman" w:eastAsia="Times New Roman" w:hAnsi="Times New Roman"/>
          <w:b/>
          <w:iCs/>
          <w:sz w:val="28"/>
          <w:szCs w:val="28"/>
          <w:lang w:eastAsia="lv-LV"/>
        </w:rPr>
        <w:t>Privātā kapitāla un publiskā kapitāla tirgus attīstība</w:t>
      </w:r>
    </w:p>
    <w:p w14:paraId="560D1B48" w14:textId="17D6CC65" w:rsidR="0074324C" w:rsidRPr="00682D60" w:rsidRDefault="00CC4C39" w:rsidP="00825CB9">
      <w:pPr>
        <w:pStyle w:val="Default"/>
        <w:ind w:firstLine="720"/>
        <w:jc w:val="both"/>
        <w:rPr>
          <w:color w:val="auto"/>
          <w:sz w:val="28"/>
          <w:szCs w:val="28"/>
        </w:rPr>
      </w:pPr>
      <w:r w:rsidRPr="00682D60">
        <w:rPr>
          <w:color w:val="auto"/>
          <w:sz w:val="28"/>
          <w:szCs w:val="28"/>
        </w:rPr>
        <w:t>Pašlaik</w:t>
      </w:r>
      <w:r w:rsidR="00825CB9" w:rsidRPr="00682D60">
        <w:rPr>
          <w:color w:val="auto"/>
          <w:sz w:val="28"/>
          <w:szCs w:val="28"/>
        </w:rPr>
        <w:t xml:space="preserve"> </w:t>
      </w:r>
      <w:r w:rsidR="00375D14">
        <w:rPr>
          <w:color w:val="auto"/>
          <w:sz w:val="28"/>
          <w:szCs w:val="28"/>
        </w:rPr>
        <w:t>MVU</w:t>
      </w:r>
      <w:r w:rsidR="00825CB9" w:rsidRPr="00682D60">
        <w:rPr>
          <w:color w:val="auto"/>
          <w:sz w:val="28"/>
          <w:szCs w:val="28"/>
        </w:rPr>
        <w:t xml:space="preserve"> savu</w:t>
      </w:r>
      <w:r w:rsidR="00AD26A9" w:rsidRPr="00682D60">
        <w:rPr>
          <w:color w:val="auto"/>
          <w:sz w:val="28"/>
          <w:szCs w:val="28"/>
        </w:rPr>
        <w:t xml:space="preserve"> </w:t>
      </w:r>
      <w:r w:rsidR="00825CB9" w:rsidRPr="00682D60">
        <w:rPr>
          <w:color w:val="auto"/>
          <w:sz w:val="28"/>
          <w:szCs w:val="28"/>
        </w:rPr>
        <w:t>attīstību</w:t>
      </w:r>
      <w:r w:rsidR="00AD26A9" w:rsidRPr="00682D60">
        <w:rPr>
          <w:color w:val="auto"/>
          <w:sz w:val="28"/>
          <w:szCs w:val="28"/>
        </w:rPr>
        <w:t xml:space="preserve"> </w:t>
      </w:r>
      <w:r w:rsidRPr="00682D60">
        <w:rPr>
          <w:color w:val="auto"/>
          <w:sz w:val="28"/>
          <w:szCs w:val="28"/>
        </w:rPr>
        <w:t xml:space="preserve">lielākoties </w:t>
      </w:r>
      <w:r w:rsidR="00AD26A9" w:rsidRPr="00682D60">
        <w:rPr>
          <w:color w:val="auto"/>
          <w:sz w:val="28"/>
          <w:szCs w:val="28"/>
        </w:rPr>
        <w:t>finans</w:t>
      </w:r>
      <w:r w:rsidR="00825CB9" w:rsidRPr="00682D60">
        <w:rPr>
          <w:color w:val="auto"/>
          <w:sz w:val="28"/>
          <w:szCs w:val="28"/>
        </w:rPr>
        <w:t>ē</w:t>
      </w:r>
      <w:r w:rsidR="00AD26A9" w:rsidRPr="00682D60">
        <w:rPr>
          <w:color w:val="auto"/>
          <w:sz w:val="28"/>
          <w:szCs w:val="28"/>
        </w:rPr>
        <w:t xml:space="preserve"> no īpašnieku pašu </w:t>
      </w:r>
      <w:r w:rsidR="00825CB9" w:rsidRPr="00682D60">
        <w:rPr>
          <w:color w:val="auto"/>
          <w:sz w:val="28"/>
          <w:szCs w:val="28"/>
        </w:rPr>
        <w:t>līdzekļiem</w:t>
      </w:r>
      <w:r w:rsidR="00AD26A9" w:rsidRPr="00682D60">
        <w:rPr>
          <w:color w:val="auto"/>
          <w:sz w:val="28"/>
          <w:szCs w:val="28"/>
        </w:rPr>
        <w:t xml:space="preserve">, </w:t>
      </w:r>
      <w:r w:rsidR="00825CB9" w:rsidRPr="00682D60">
        <w:rPr>
          <w:color w:val="auto"/>
          <w:sz w:val="28"/>
          <w:szCs w:val="28"/>
        </w:rPr>
        <w:t>kredītiestāžu aizdevumiem, kā arī</w:t>
      </w:r>
      <w:r w:rsidR="00AD26A9" w:rsidRPr="00682D60">
        <w:rPr>
          <w:color w:val="auto"/>
          <w:sz w:val="28"/>
          <w:szCs w:val="28"/>
        </w:rPr>
        <w:t xml:space="preserve"> </w:t>
      </w:r>
      <w:r w:rsidR="00825CB9" w:rsidRPr="00682D60">
        <w:rPr>
          <w:color w:val="auto"/>
          <w:sz w:val="28"/>
          <w:szCs w:val="28"/>
        </w:rPr>
        <w:t>izmantojot privāto un riska kapitālu</w:t>
      </w:r>
      <w:r w:rsidR="00AD26A9" w:rsidRPr="00682D60">
        <w:rPr>
          <w:color w:val="auto"/>
          <w:sz w:val="28"/>
          <w:szCs w:val="28"/>
        </w:rPr>
        <w:t xml:space="preserve">. Starptautiskā pieredze liecina, ka </w:t>
      </w:r>
      <w:r w:rsidR="00AD26A9" w:rsidRPr="00682D60">
        <w:rPr>
          <w:b/>
          <w:bCs/>
          <w:color w:val="auto"/>
          <w:sz w:val="28"/>
          <w:szCs w:val="28"/>
        </w:rPr>
        <w:t>kapitāla tirgus (birža)</w:t>
      </w:r>
      <w:r w:rsidR="00AD26A9" w:rsidRPr="00682D60">
        <w:rPr>
          <w:color w:val="auto"/>
          <w:sz w:val="28"/>
          <w:szCs w:val="28"/>
        </w:rPr>
        <w:t xml:space="preserve"> ir viens no </w:t>
      </w:r>
      <w:r w:rsidR="00AD26A9" w:rsidRPr="00682D60">
        <w:rPr>
          <w:b/>
          <w:bCs/>
          <w:color w:val="auto"/>
          <w:sz w:val="28"/>
          <w:szCs w:val="28"/>
        </w:rPr>
        <w:t>trim galvenajiem pīlāriem</w:t>
      </w:r>
      <w:r w:rsidR="00AD26A9" w:rsidRPr="00682D60">
        <w:rPr>
          <w:color w:val="auto"/>
          <w:sz w:val="28"/>
          <w:szCs w:val="28"/>
        </w:rPr>
        <w:t xml:space="preserve"> uzņēmuma kapitāla pieejamībai izaugsmei līdzās pārējiem diviem pīlāriem</w:t>
      </w:r>
      <w:r w:rsidR="0074324C" w:rsidRPr="00682D60">
        <w:rPr>
          <w:color w:val="auto"/>
          <w:sz w:val="28"/>
          <w:szCs w:val="28"/>
        </w:rPr>
        <w:t>:</w:t>
      </w:r>
    </w:p>
    <w:p w14:paraId="129A5CCC" w14:textId="506D77A6" w:rsidR="0074324C" w:rsidRPr="00682D60" w:rsidRDefault="00AD26A9" w:rsidP="00447C22">
      <w:pPr>
        <w:pStyle w:val="Default"/>
        <w:numPr>
          <w:ilvl w:val="0"/>
          <w:numId w:val="14"/>
        </w:numPr>
        <w:jc w:val="both"/>
        <w:rPr>
          <w:color w:val="auto"/>
          <w:sz w:val="28"/>
          <w:szCs w:val="28"/>
        </w:rPr>
      </w:pPr>
      <w:r w:rsidRPr="00682D60">
        <w:rPr>
          <w:color w:val="auto"/>
          <w:sz w:val="28"/>
          <w:szCs w:val="28"/>
        </w:rPr>
        <w:t xml:space="preserve">organizētam privātajam kapitālam </w:t>
      </w:r>
      <w:r w:rsidR="0074324C" w:rsidRPr="00682D60">
        <w:rPr>
          <w:color w:val="auto"/>
          <w:sz w:val="28"/>
          <w:szCs w:val="28"/>
        </w:rPr>
        <w:t xml:space="preserve">ietverot </w:t>
      </w:r>
      <w:r w:rsidRPr="00682D60">
        <w:rPr>
          <w:color w:val="auto"/>
          <w:sz w:val="28"/>
          <w:szCs w:val="28"/>
        </w:rPr>
        <w:t xml:space="preserve">riska kapitāla fondus, </w:t>
      </w:r>
    </w:p>
    <w:p w14:paraId="599D1FD8" w14:textId="33098CF1" w:rsidR="00AD26A9" w:rsidRPr="00682D60" w:rsidRDefault="00AD26A9" w:rsidP="00447C22">
      <w:pPr>
        <w:pStyle w:val="Default"/>
        <w:numPr>
          <w:ilvl w:val="0"/>
          <w:numId w:val="14"/>
        </w:numPr>
        <w:jc w:val="both"/>
        <w:rPr>
          <w:color w:val="auto"/>
          <w:sz w:val="28"/>
          <w:szCs w:val="28"/>
        </w:rPr>
      </w:pPr>
      <w:r w:rsidRPr="00682D60">
        <w:rPr>
          <w:color w:val="auto"/>
          <w:sz w:val="28"/>
          <w:szCs w:val="28"/>
        </w:rPr>
        <w:t xml:space="preserve">neorganizētam privātajam kapitālam, </w:t>
      </w:r>
      <w:r w:rsidR="0074324C" w:rsidRPr="00682D60">
        <w:rPr>
          <w:color w:val="auto"/>
          <w:sz w:val="28"/>
          <w:szCs w:val="28"/>
        </w:rPr>
        <w:t xml:space="preserve">ietverot </w:t>
      </w:r>
      <w:r w:rsidRPr="00682D60">
        <w:rPr>
          <w:color w:val="auto"/>
          <w:sz w:val="28"/>
          <w:szCs w:val="28"/>
        </w:rPr>
        <w:t xml:space="preserve">uzņēmējdarbības eņģeļus, turīgas privātpersonas un ģimenes ieguldījumu </w:t>
      </w:r>
      <w:r w:rsidR="00480740" w:rsidRPr="00682D60">
        <w:rPr>
          <w:color w:val="auto"/>
          <w:sz w:val="28"/>
          <w:szCs w:val="28"/>
        </w:rPr>
        <w:t>uzņēmumus</w:t>
      </w:r>
      <w:r w:rsidRPr="00682D60">
        <w:rPr>
          <w:color w:val="auto"/>
          <w:sz w:val="28"/>
          <w:szCs w:val="28"/>
        </w:rPr>
        <w:t xml:space="preserve">. </w:t>
      </w:r>
    </w:p>
    <w:p w14:paraId="7BDB8CEA" w14:textId="463E8C01" w:rsidR="00AD26A9" w:rsidRPr="00682D60" w:rsidRDefault="00AD26A9" w:rsidP="00AD26A9">
      <w:pPr>
        <w:pStyle w:val="Default"/>
        <w:ind w:firstLine="720"/>
        <w:jc w:val="both"/>
        <w:rPr>
          <w:color w:val="auto"/>
          <w:sz w:val="28"/>
          <w:szCs w:val="28"/>
        </w:rPr>
      </w:pPr>
      <w:r w:rsidRPr="00682D60">
        <w:rPr>
          <w:color w:val="auto"/>
          <w:sz w:val="28"/>
          <w:szCs w:val="28"/>
        </w:rPr>
        <w:t xml:space="preserve">Ņemot vērā </w:t>
      </w:r>
      <w:r w:rsidR="00825CB9" w:rsidRPr="00682D60">
        <w:rPr>
          <w:color w:val="auto"/>
          <w:sz w:val="28"/>
          <w:szCs w:val="28"/>
        </w:rPr>
        <w:t>starptautisko pieredzi</w:t>
      </w:r>
      <w:r w:rsidRPr="00682D60">
        <w:rPr>
          <w:color w:val="auto"/>
          <w:sz w:val="28"/>
          <w:szCs w:val="28"/>
        </w:rPr>
        <w:t>, ir nepieciešams palielināt un dažādot piekļuvi finansējumam</w:t>
      </w:r>
      <w:r w:rsidR="00825CB9" w:rsidRPr="00682D60">
        <w:rPr>
          <w:color w:val="auto"/>
          <w:sz w:val="28"/>
          <w:szCs w:val="28"/>
        </w:rPr>
        <w:t>,</w:t>
      </w:r>
      <w:r w:rsidRPr="00682D60">
        <w:rPr>
          <w:color w:val="auto"/>
          <w:sz w:val="28"/>
          <w:szCs w:val="28"/>
        </w:rPr>
        <w:t xml:space="preserve"> īpaši tiem </w:t>
      </w:r>
      <w:r w:rsidR="00825CB9" w:rsidRPr="00682D60">
        <w:rPr>
          <w:color w:val="auto"/>
          <w:sz w:val="28"/>
          <w:szCs w:val="28"/>
        </w:rPr>
        <w:t>uzņēmumiem</w:t>
      </w:r>
      <w:r w:rsidRPr="00682D60">
        <w:rPr>
          <w:color w:val="auto"/>
          <w:sz w:val="28"/>
          <w:szCs w:val="28"/>
        </w:rPr>
        <w:t xml:space="preserve">, kuriem ir iespējas augt un kļūt par nozares līderiem un darboties ārvalstīs. </w:t>
      </w:r>
      <w:r w:rsidR="00825CB9" w:rsidRPr="00682D60">
        <w:rPr>
          <w:color w:val="auto"/>
          <w:sz w:val="28"/>
          <w:szCs w:val="28"/>
        </w:rPr>
        <w:t>Nepieciešams arī piesaistīt ieguldījumus</w:t>
      </w:r>
      <w:r w:rsidRPr="00682D60">
        <w:rPr>
          <w:color w:val="auto"/>
          <w:sz w:val="28"/>
          <w:szCs w:val="28"/>
        </w:rPr>
        <w:t xml:space="preserve"> gan no institucionālajiem, gan privātajiem ieguldītājiem. Tajā pašā laikā jāņem vērā, ka katra no Baltijas valstīm ir mazs tirgus, kas nereti sacenšas par lielu starptautisko investoru interesi, tādēļ ir būtiski uzskatīt reģionu par vienotu tirgu, kas spēj attīstīt spēcīgus </w:t>
      </w:r>
      <w:r w:rsidR="00825CB9" w:rsidRPr="00682D60">
        <w:rPr>
          <w:color w:val="auto"/>
          <w:sz w:val="28"/>
          <w:szCs w:val="28"/>
        </w:rPr>
        <w:t>uzņēmumus</w:t>
      </w:r>
      <w:r w:rsidRPr="00682D60">
        <w:rPr>
          <w:color w:val="auto"/>
          <w:sz w:val="28"/>
          <w:szCs w:val="28"/>
        </w:rPr>
        <w:t>.</w:t>
      </w:r>
    </w:p>
    <w:p w14:paraId="0B496050" w14:textId="42B250F3" w:rsidR="005130E2" w:rsidRPr="00682D60" w:rsidRDefault="00AD26A9" w:rsidP="00AD26A9">
      <w:pPr>
        <w:pStyle w:val="Default"/>
        <w:ind w:firstLine="720"/>
        <w:jc w:val="both"/>
        <w:rPr>
          <w:color w:val="auto"/>
          <w:sz w:val="28"/>
          <w:szCs w:val="28"/>
        </w:rPr>
      </w:pPr>
      <w:r w:rsidRPr="00682D60">
        <w:rPr>
          <w:color w:val="auto"/>
          <w:sz w:val="28"/>
          <w:szCs w:val="28"/>
        </w:rPr>
        <w:t xml:space="preserve">Pēdējo 10 gadu laikā ir notikusi nozīmīga Baltijas privātā kapitāla tirgus attīstība un izaugsme, kuru sekmēja </w:t>
      </w:r>
      <w:r w:rsidR="00825CB9" w:rsidRPr="00682D60">
        <w:rPr>
          <w:color w:val="auto"/>
          <w:sz w:val="28"/>
          <w:szCs w:val="28"/>
        </w:rPr>
        <w:t xml:space="preserve">Baltijas inovāciju fonds </w:t>
      </w:r>
      <w:r w:rsidRPr="00682D60">
        <w:rPr>
          <w:color w:val="auto"/>
          <w:sz w:val="28"/>
          <w:szCs w:val="28"/>
        </w:rPr>
        <w:t xml:space="preserve">BIF I un </w:t>
      </w:r>
      <w:r w:rsidR="00490F50" w:rsidRPr="00682D60">
        <w:rPr>
          <w:color w:val="auto"/>
          <w:sz w:val="28"/>
          <w:szCs w:val="28"/>
        </w:rPr>
        <w:t>citas iniciatīvas</w:t>
      </w:r>
      <w:r w:rsidRPr="00682D60">
        <w:rPr>
          <w:color w:val="auto"/>
          <w:sz w:val="28"/>
          <w:szCs w:val="28"/>
        </w:rPr>
        <w:t xml:space="preserve">, piemēram, JEREMIE un </w:t>
      </w:r>
      <w:proofErr w:type="spellStart"/>
      <w:r w:rsidRPr="00682D60">
        <w:rPr>
          <w:color w:val="auto"/>
          <w:sz w:val="28"/>
          <w:szCs w:val="28"/>
        </w:rPr>
        <w:t>EstFund</w:t>
      </w:r>
      <w:proofErr w:type="spellEnd"/>
      <w:r w:rsidR="00825CB9" w:rsidRPr="00682D60">
        <w:rPr>
          <w:color w:val="auto"/>
          <w:sz w:val="28"/>
          <w:szCs w:val="28"/>
        </w:rPr>
        <w:t xml:space="preserve">. </w:t>
      </w:r>
      <w:r w:rsidRPr="00682D60">
        <w:rPr>
          <w:color w:val="auto"/>
          <w:sz w:val="28"/>
          <w:szCs w:val="28"/>
        </w:rPr>
        <w:t xml:space="preserve"> </w:t>
      </w:r>
      <w:r w:rsidR="00825CB9" w:rsidRPr="00682D60">
        <w:rPr>
          <w:color w:val="auto"/>
          <w:sz w:val="28"/>
          <w:szCs w:val="28"/>
        </w:rPr>
        <w:t>S</w:t>
      </w:r>
      <w:r w:rsidRPr="00682D60">
        <w:rPr>
          <w:color w:val="auto"/>
          <w:sz w:val="28"/>
          <w:szCs w:val="28"/>
        </w:rPr>
        <w:t xml:space="preserve">avukārt publiskā kapitāla tirgus ir </w:t>
      </w:r>
      <w:r w:rsidR="00825CB9" w:rsidRPr="00682D60">
        <w:rPr>
          <w:color w:val="auto"/>
          <w:sz w:val="28"/>
          <w:szCs w:val="28"/>
        </w:rPr>
        <w:t>attīstījies relatīvi lēnāk, neizmantojot tā potenciālu</w:t>
      </w:r>
      <w:r w:rsidRPr="00682D60">
        <w:rPr>
          <w:color w:val="auto"/>
          <w:sz w:val="28"/>
          <w:szCs w:val="28"/>
        </w:rPr>
        <w:t xml:space="preserve">, ja salīdzina </w:t>
      </w:r>
      <w:r w:rsidR="00825CB9" w:rsidRPr="00682D60">
        <w:rPr>
          <w:color w:val="auto"/>
          <w:sz w:val="28"/>
          <w:szCs w:val="28"/>
        </w:rPr>
        <w:t xml:space="preserve">publiskā tirgus lielumu Baltijas valstīs </w:t>
      </w:r>
      <w:r w:rsidRPr="00682D60">
        <w:rPr>
          <w:color w:val="auto"/>
          <w:sz w:val="28"/>
          <w:szCs w:val="28"/>
        </w:rPr>
        <w:t>ar cit</w:t>
      </w:r>
      <w:r w:rsidR="00490F50" w:rsidRPr="00682D60">
        <w:rPr>
          <w:color w:val="auto"/>
          <w:sz w:val="28"/>
          <w:szCs w:val="28"/>
        </w:rPr>
        <w:t>u</w:t>
      </w:r>
      <w:r w:rsidRPr="00682D60">
        <w:rPr>
          <w:color w:val="auto"/>
          <w:sz w:val="28"/>
          <w:szCs w:val="28"/>
        </w:rPr>
        <w:t xml:space="preserve"> ES valst</w:t>
      </w:r>
      <w:r w:rsidR="00490F50" w:rsidRPr="00682D60">
        <w:rPr>
          <w:color w:val="auto"/>
          <w:sz w:val="28"/>
          <w:szCs w:val="28"/>
        </w:rPr>
        <w:t>u tirgiem</w:t>
      </w:r>
      <w:r w:rsidR="00825CB9" w:rsidRPr="00682D60">
        <w:rPr>
          <w:color w:val="auto"/>
          <w:sz w:val="28"/>
          <w:szCs w:val="28"/>
        </w:rPr>
        <w:t xml:space="preserve"> pēc biežāk lietotiem rādītājiem - </w:t>
      </w:r>
      <w:r w:rsidRPr="00682D60">
        <w:rPr>
          <w:color w:val="auto"/>
          <w:sz w:val="28"/>
          <w:szCs w:val="28"/>
        </w:rPr>
        <w:t xml:space="preserve"> pēc tirgus kapitalizācijas no </w:t>
      </w:r>
      <w:r w:rsidR="00375D14">
        <w:rPr>
          <w:color w:val="auto"/>
          <w:sz w:val="28"/>
          <w:szCs w:val="28"/>
        </w:rPr>
        <w:t>iekšzemes kopprodukta</w:t>
      </w:r>
      <w:r w:rsidR="00375D14" w:rsidRPr="00682D60">
        <w:rPr>
          <w:color w:val="auto"/>
          <w:sz w:val="28"/>
          <w:szCs w:val="28"/>
        </w:rPr>
        <w:t xml:space="preserve"> </w:t>
      </w:r>
      <w:r w:rsidR="00825CB9" w:rsidRPr="00682D60">
        <w:rPr>
          <w:color w:val="auto"/>
          <w:sz w:val="28"/>
          <w:szCs w:val="28"/>
        </w:rPr>
        <w:t>un</w:t>
      </w:r>
      <w:r w:rsidRPr="00682D60">
        <w:rPr>
          <w:color w:val="auto"/>
          <w:sz w:val="28"/>
          <w:szCs w:val="28"/>
        </w:rPr>
        <w:t xml:space="preserve"> </w:t>
      </w:r>
      <w:r w:rsidR="00825CB9" w:rsidRPr="00682D60">
        <w:rPr>
          <w:color w:val="auto"/>
          <w:sz w:val="28"/>
          <w:szCs w:val="28"/>
        </w:rPr>
        <w:t xml:space="preserve">uzņēmumu skaita, kas veikuši </w:t>
      </w:r>
      <w:r w:rsidRPr="00682D60">
        <w:rPr>
          <w:color w:val="auto"/>
          <w:sz w:val="28"/>
          <w:szCs w:val="28"/>
        </w:rPr>
        <w:t>sākotnēj</w:t>
      </w:r>
      <w:r w:rsidR="00825CB9" w:rsidRPr="00682D60">
        <w:rPr>
          <w:color w:val="auto"/>
          <w:sz w:val="28"/>
          <w:szCs w:val="28"/>
        </w:rPr>
        <w:t>o</w:t>
      </w:r>
      <w:r w:rsidRPr="00682D60">
        <w:rPr>
          <w:color w:val="auto"/>
          <w:sz w:val="28"/>
          <w:szCs w:val="28"/>
        </w:rPr>
        <w:t xml:space="preserve"> publisk</w:t>
      </w:r>
      <w:r w:rsidR="00825CB9" w:rsidRPr="00682D60">
        <w:rPr>
          <w:color w:val="auto"/>
          <w:sz w:val="28"/>
          <w:szCs w:val="28"/>
        </w:rPr>
        <w:t>o</w:t>
      </w:r>
      <w:r w:rsidRPr="00682D60">
        <w:rPr>
          <w:color w:val="auto"/>
          <w:sz w:val="28"/>
          <w:szCs w:val="28"/>
        </w:rPr>
        <w:t xml:space="preserve"> piedāvājum</w:t>
      </w:r>
      <w:r w:rsidR="00825CB9" w:rsidRPr="00682D60">
        <w:rPr>
          <w:color w:val="auto"/>
          <w:sz w:val="28"/>
          <w:szCs w:val="28"/>
        </w:rPr>
        <w:t>u</w:t>
      </w:r>
      <w:r w:rsidRPr="00682D60">
        <w:rPr>
          <w:color w:val="auto"/>
          <w:sz w:val="28"/>
          <w:szCs w:val="28"/>
        </w:rPr>
        <w:t xml:space="preserve">. </w:t>
      </w:r>
      <w:r w:rsidR="00490F50" w:rsidRPr="00682D60">
        <w:rPr>
          <w:color w:val="auto"/>
          <w:sz w:val="28"/>
          <w:szCs w:val="28"/>
        </w:rPr>
        <w:t>Baltijas valstu uzņēmumiem ir bijuši objektīvi šķēršļi, kā piemēram salīdzinoši mazāks tirgus mērogs un neattīstīta “finanšu ekosistēma”, lai izmantotu publisko kapitāla tirgu</w:t>
      </w:r>
      <w:r w:rsidRPr="00682D60">
        <w:rPr>
          <w:color w:val="auto"/>
          <w:sz w:val="28"/>
          <w:szCs w:val="28"/>
        </w:rPr>
        <w:t>, kas</w:t>
      </w:r>
      <w:r w:rsidR="00490F50" w:rsidRPr="00682D60">
        <w:rPr>
          <w:color w:val="auto"/>
          <w:sz w:val="28"/>
          <w:szCs w:val="28"/>
        </w:rPr>
        <w:t xml:space="preserve"> savukārt</w:t>
      </w:r>
      <w:r w:rsidRPr="00682D60">
        <w:rPr>
          <w:color w:val="auto"/>
          <w:sz w:val="28"/>
          <w:szCs w:val="28"/>
        </w:rPr>
        <w:t xml:space="preserve"> ir pieejams daudziem to konkurentiem</w:t>
      </w:r>
      <w:r w:rsidR="00490F50" w:rsidRPr="00682D60">
        <w:rPr>
          <w:color w:val="auto"/>
          <w:sz w:val="28"/>
          <w:szCs w:val="28"/>
        </w:rPr>
        <w:t xml:space="preserve"> citās valstīs</w:t>
      </w:r>
      <w:r w:rsidRPr="00682D60">
        <w:rPr>
          <w:color w:val="auto"/>
          <w:sz w:val="28"/>
          <w:szCs w:val="28"/>
        </w:rPr>
        <w:t>, tādējādi radot strukturālu problēmu</w:t>
      </w:r>
      <w:r w:rsidR="00933BE5" w:rsidRPr="00682D60">
        <w:rPr>
          <w:color w:val="auto"/>
          <w:sz w:val="28"/>
          <w:szCs w:val="28"/>
        </w:rPr>
        <w:t xml:space="preserve">, kas </w:t>
      </w:r>
      <w:r w:rsidR="00933BE5" w:rsidRPr="00682D60">
        <w:rPr>
          <w:color w:val="auto"/>
          <w:sz w:val="28"/>
          <w:szCs w:val="28"/>
        </w:rPr>
        <w:lastRenderedPageBreak/>
        <w:t>faktiski ir tirgus nepilnība</w:t>
      </w:r>
      <w:r w:rsidRPr="00682D60">
        <w:rPr>
          <w:color w:val="auto"/>
          <w:sz w:val="28"/>
          <w:szCs w:val="28"/>
        </w:rPr>
        <w:t>.</w:t>
      </w:r>
      <w:r w:rsidR="00530BD1" w:rsidRPr="00682D60">
        <w:rPr>
          <w:color w:val="auto"/>
        </w:rPr>
        <w:t xml:space="preserve"> </w:t>
      </w:r>
      <w:r w:rsidR="00375D14">
        <w:rPr>
          <w:color w:val="auto"/>
          <w:sz w:val="28"/>
          <w:szCs w:val="28"/>
        </w:rPr>
        <w:t>MVU</w:t>
      </w:r>
      <w:r w:rsidR="00530BD1" w:rsidRPr="00682D60">
        <w:rPr>
          <w:color w:val="auto"/>
          <w:sz w:val="28"/>
          <w:szCs w:val="28"/>
        </w:rPr>
        <w:t xml:space="preserve"> saskaras ar grūtībām izaugsmes ceļā no privātā un riska kapitāla finansējuma uz publisko kapitāla tirgu, kas paredz plašāka investoru loka piesaisti. Bieži vien </w:t>
      </w:r>
      <w:r w:rsidR="00375D14">
        <w:rPr>
          <w:color w:val="auto"/>
          <w:sz w:val="28"/>
          <w:szCs w:val="28"/>
        </w:rPr>
        <w:t>MVU</w:t>
      </w:r>
      <w:r w:rsidR="00530BD1" w:rsidRPr="00682D60">
        <w:rPr>
          <w:color w:val="auto"/>
          <w:sz w:val="28"/>
          <w:szCs w:val="28"/>
        </w:rPr>
        <w:t xml:space="preserve"> nepietiekamais izmērs, atpazīstamības trūkums, investoru piesaistes izmaksas un nepieciešamās publiskā tirgus kompetences ir būtiskākie šķēršļi, lai uzņēmums patstāvīgi ieietu publiskajā tirgū.</w:t>
      </w:r>
    </w:p>
    <w:p w14:paraId="450CFC67" w14:textId="77777777" w:rsidR="00AD26A9" w:rsidRPr="00682D60" w:rsidRDefault="00AD26A9" w:rsidP="00AD26A9">
      <w:pPr>
        <w:pStyle w:val="Default"/>
        <w:ind w:firstLine="720"/>
        <w:jc w:val="both"/>
        <w:rPr>
          <w:color w:val="auto"/>
          <w:sz w:val="28"/>
          <w:szCs w:val="28"/>
        </w:rPr>
      </w:pPr>
    </w:p>
    <w:p w14:paraId="363866F6" w14:textId="3DDCBE2D" w:rsidR="0045159E" w:rsidRPr="00EE6E59" w:rsidRDefault="00AD26A9" w:rsidP="00FA02A2">
      <w:pPr>
        <w:pStyle w:val="Default"/>
        <w:numPr>
          <w:ilvl w:val="1"/>
          <w:numId w:val="6"/>
        </w:numPr>
        <w:jc w:val="both"/>
        <w:rPr>
          <w:b/>
          <w:bCs/>
          <w:color w:val="auto"/>
          <w:sz w:val="28"/>
          <w:szCs w:val="28"/>
        </w:rPr>
      </w:pPr>
      <w:r w:rsidRPr="00682D60">
        <w:rPr>
          <w:b/>
          <w:bCs/>
          <w:color w:val="auto"/>
          <w:sz w:val="28"/>
          <w:szCs w:val="28"/>
        </w:rPr>
        <w:t>Tirgus nepilnība</w:t>
      </w:r>
    </w:p>
    <w:p w14:paraId="6B46737C" w14:textId="0CBBEBB9" w:rsidR="00AD26A9" w:rsidRPr="00682D60" w:rsidRDefault="00AD26A9" w:rsidP="00AD26A9">
      <w:pPr>
        <w:pStyle w:val="Default"/>
        <w:ind w:firstLine="720"/>
        <w:jc w:val="both"/>
        <w:rPr>
          <w:color w:val="auto"/>
          <w:sz w:val="28"/>
          <w:szCs w:val="28"/>
        </w:rPr>
      </w:pPr>
      <w:r w:rsidRPr="00682D60">
        <w:rPr>
          <w:color w:val="auto"/>
          <w:sz w:val="28"/>
          <w:szCs w:val="28"/>
        </w:rPr>
        <w:t xml:space="preserve">Kā sīkāk aprakstīts KPMG konsorcija </w:t>
      </w:r>
      <w:proofErr w:type="spellStart"/>
      <w:r w:rsidRPr="00682D60">
        <w:rPr>
          <w:color w:val="auto"/>
          <w:sz w:val="28"/>
          <w:szCs w:val="28"/>
        </w:rPr>
        <w:t>priekšizpētes</w:t>
      </w:r>
      <w:proofErr w:type="spellEnd"/>
      <w:r w:rsidRPr="00682D60">
        <w:rPr>
          <w:color w:val="auto"/>
          <w:sz w:val="28"/>
          <w:szCs w:val="28"/>
        </w:rPr>
        <w:t xml:space="preserve"> ziņojumā, neskatoties uz ievērojamiem Baltijas valstu valdību centieniem privātā kapitāla jomā pēdējo 15 gadu laikā, publiskā kapitāla jomā joprojām pastāv uzskatām</w:t>
      </w:r>
      <w:r w:rsidR="00E32641" w:rsidRPr="00682D60">
        <w:rPr>
          <w:color w:val="auto"/>
          <w:sz w:val="28"/>
          <w:szCs w:val="28"/>
        </w:rPr>
        <w:t>a</w:t>
      </w:r>
      <w:r w:rsidRPr="00682D60">
        <w:rPr>
          <w:color w:val="auto"/>
          <w:sz w:val="28"/>
          <w:szCs w:val="28"/>
        </w:rPr>
        <w:t xml:space="preserve"> un skaitļos izsakām</w:t>
      </w:r>
      <w:r w:rsidR="00E32641" w:rsidRPr="00682D60">
        <w:rPr>
          <w:color w:val="auto"/>
          <w:sz w:val="28"/>
          <w:szCs w:val="28"/>
        </w:rPr>
        <w:t>a</w:t>
      </w:r>
      <w:r w:rsidRPr="00682D60">
        <w:rPr>
          <w:color w:val="auto"/>
          <w:sz w:val="28"/>
          <w:szCs w:val="28"/>
        </w:rPr>
        <w:t xml:space="preserve"> tirgus nepilnība</w:t>
      </w:r>
      <w:r w:rsidR="003C3246">
        <w:rPr>
          <w:color w:val="auto"/>
          <w:sz w:val="28"/>
          <w:szCs w:val="28"/>
        </w:rPr>
        <w:t>, kas pamato valsts iesaisti</w:t>
      </w:r>
      <w:r w:rsidRPr="00682D60">
        <w:rPr>
          <w:color w:val="auto"/>
          <w:sz w:val="28"/>
          <w:szCs w:val="28"/>
        </w:rPr>
        <w:t>.</w:t>
      </w:r>
      <w:r w:rsidR="000A16CE" w:rsidRPr="00682D60">
        <w:rPr>
          <w:color w:val="auto"/>
          <w:sz w:val="28"/>
          <w:szCs w:val="28"/>
        </w:rPr>
        <w:t xml:space="preserve"> </w:t>
      </w:r>
    </w:p>
    <w:p w14:paraId="275E3416" w14:textId="3DDA982E" w:rsidR="000A16CE" w:rsidRPr="00682D60" w:rsidRDefault="000A16CE" w:rsidP="00AD26A9">
      <w:pPr>
        <w:pStyle w:val="Default"/>
        <w:ind w:firstLine="720"/>
        <w:jc w:val="both"/>
        <w:rPr>
          <w:color w:val="auto"/>
          <w:sz w:val="28"/>
          <w:szCs w:val="28"/>
        </w:rPr>
      </w:pPr>
      <w:r w:rsidRPr="00682D60">
        <w:rPr>
          <w:color w:val="auto"/>
          <w:sz w:val="28"/>
          <w:szCs w:val="28"/>
        </w:rPr>
        <w:t xml:space="preserve">Zemāk attēlota Tirgus nepilnība kā iztrūkstošais elements MVU finansēšanas ķēdē ir vizuāli attēlota pamatkapitāla tirgus kartē (1. attēls).  Pārejas fonds no privātā uz publisko kapitālu (angļu val. </w:t>
      </w:r>
      <w:proofErr w:type="spellStart"/>
      <w:r w:rsidRPr="00682D60">
        <w:rPr>
          <w:color w:val="auto"/>
          <w:sz w:val="28"/>
          <w:szCs w:val="28"/>
        </w:rPr>
        <w:t>Crossover</w:t>
      </w:r>
      <w:proofErr w:type="spellEnd"/>
      <w:r w:rsidRPr="00682D60">
        <w:rPr>
          <w:color w:val="auto"/>
          <w:sz w:val="28"/>
          <w:szCs w:val="28"/>
        </w:rPr>
        <w:t xml:space="preserve">- </w:t>
      </w:r>
      <w:proofErr w:type="spellStart"/>
      <w:r w:rsidRPr="00682D60">
        <w:rPr>
          <w:color w:val="auto"/>
          <w:sz w:val="28"/>
          <w:szCs w:val="28"/>
        </w:rPr>
        <w:t>like</w:t>
      </w:r>
      <w:proofErr w:type="spellEnd"/>
      <w:r w:rsidRPr="00682D60">
        <w:rPr>
          <w:color w:val="auto"/>
          <w:sz w:val="28"/>
          <w:szCs w:val="28"/>
        </w:rPr>
        <w:t xml:space="preserve"> </w:t>
      </w:r>
      <w:proofErr w:type="spellStart"/>
      <w:r w:rsidRPr="00682D60">
        <w:rPr>
          <w:color w:val="auto"/>
          <w:sz w:val="28"/>
          <w:szCs w:val="28"/>
        </w:rPr>
        <w:t>Funds</w:t>
      </w:r>
      <w:proofErr w:type="spellEnd"/>
      <w:r w:rsidRPr="00682D60">
        <w:rPr>
          <w:color w:val="auto"/>
          <w:sz w:val="28"/>
          <w:szCs w:val="28"/>
        </w:rPr>
        <w:t>) atbalsta uzņēmumu iekļaušanos publiskajā kapitāla tirgū (biržā). Pārejas fonda funkciju veiks šajā ziņojumā piedāvātais fonds.</w:t>
      </w:r>
    </w:p>
    <w:p w14:paraId="2C691EE2" w14:textId="77777777" w:rsidR="000A16CE" w:rsidRPr="00682D60" w:rsidRDefault="000A16CE" w:rsidP="000A16CE">
      <w:pPr>
        <w:ind w:firstLine="720"/>
        <w:rPr>
          <w:rFonts w:ascii="Times New Roman" w:hAnsi="Times New Roman" w:cs="Times New Roman"/>
          <w:sz w:val="28"/>
          <w:szCs w:val="28"/>
        </w:rPr>
      </w:pPr>
    </w:p>
    <w:p w14:paraId="68BA785C" w14:textId="795E2973" w:rsidR="000A16CE" w:rsidRPr="00682D60" w:rsidRDefault="000A16CE" w:rsidP="00F138D8">
      <w:pPr>
        <w:spacing w:after="0"/>
        <w:ind w:firstLine="720"/>
        <w:rPr>
          <w:rFonts w:ascii="Times New Roman" w:hAnsi="Times New Roman" w:cs="Times New Roman"/>
          <w:sz w:val="28"/>
          <w:szCs w:val="28"/>
        </w:rPr>
      </w:pPr>
      <w:r w:rsidRPr="00682D60">
        <w:rPr>
          <w:rFonts w:ascii="Times New Roman" w:hAnsi="Times New Roman" w:cs="Times New Roman"/>
          <w:sz w:val="28"/>
          <w:szCs w:val="28"/>
        </w:rPr>
        <w:t>1.attēls:  Pamatkapitāla tirgus karte (angļu val.)</w:t>
      </w:r>
    </w:p>
    <w:p w14:paraId="3B7BD60B" w14:textId="02ED04DF" w:rsidR="000A16CE" w:rsidRPr="00682D60" w:rsidRDefault="000A16CE" w:rsidP="00AD26A9">
      <w:pPr>
        <w:pStyle w:val="Default"/>
        <w:ind w:firstLine="720"/>
        <w:jc w:val="both"/>
        <w:rPr>
          <w:color w:val="auto"/>
          <w:sz w:val="28"/>
          <w:szCs w:val="28"/>
        </w:rPr>
      </w:pPr>
      <w:r w:rsidRPr="00682D60">
        <w:rPr>
          <w:rFonts w:ascii="Arial" w:hAnsi="Arial" w:cs="Arial"/>
          <w:noProof/>
          <w:color w:val="auto"/>
          <w:lang w:eastAsia="lv-LV"/>
        </w:rPr>
        <w:drawing>
          <wp:inline distT="0" distB="0" distL="0" distR="0" wp14:anchorId="59E085C0" wp14:editId="1577ED13">
            <wp:extent cx="5417820" cy="29810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3967" cy="2984449"/>
                    </a:xfrm>
                    <a:prstGeom prst="rect">
                      <a:avLst/>
                    </a:prstGeom>
                    <a:noFill/>
                  </pic:spPr>
                </pic:pic>
              </a:graphicData>
            </a:graphic>
          </wp:inline>
        </w:drawing>
      </w:r>
    </w:p>
    <w:p w14:paraId="444D0BE1" w14:textId="77777777" w:rsidR="000A16CE" w:rsidRPr="00682D60" w:rsidRDefault="000A16CE" w:rsidP="00AD26A9">
      <w:pPr>
        <w:pStyle w:val="Default"/>
        <w:ind w:firstLine="720"/>
        <w:jc w:val="both"/>
        <w:rPr>
          <w:color w:val="auto"/>
          <w:sz w:val="28"/>
          <w:szCs w:val="28"/>
        </w:rPr>
      </w:pPr>
    </w:p>
    <w:p w14:paraId="3C2C3D4C" w14:textId="1070BDBD" w:rsidR="00072530" w:rsidRPr="00682D60" w:rsidRDefault="00AD26A9" w:rsidP="00AD26A9">
      <w:pPr>
        <w:pStyle w:val="Default"/>
        <w:ind w:firstLine="720"/>
        <w:jc w:val="both"/>
        <w:rPr>
          <w:color w:val="auto"/>
          <w:sz w:val="28"/>
          <w:szCs w:val="28"/>
        </w:rPr>
      </w:pPr>
      <w:r w:rsidRPr="00682D60">
        <w:rPr>
          <w:color w:val="auto"/>
          <w:sz w:val="28"/>
          <w:szCs w:val="28"/>
        </w:rPr>
        <w:t xml:space="preserve">Baltijas valstu publiskā kapitāla tirgus nepilnība ir analizēta, galvenokārt izmantojot salīdzinošās metodes. Tiek lēsts, ka Baltijas valstīs potenciālais pieprasījums pēc publiskā kapitāla būs aptuveni 34,5 </w:t>
      </w:r>
      <w:proofErr w:type="spellStart"/>
      <w:r w:rsidRPr="00682D60">
        <w:rPr>
          <w:color w:val="auto"/>
          <w:sz w:val="28"/>
          <w:szCs w:val="28"/>
        </w:rPr>
        <w:t>milj</w:t>
      </w:r>
      <w:r w:rsidR="00F447CD" w:rsidRPr="00682D60">
        <w:rPr>
          <w:color w:val="auto"/>
          <w:sz w:val="28"/>
          <w:szCs w:val="28"/>
        </w:rPr>
        <w:t>rd</w:t>
      </w:r>
      <w:proofErr w:type="spellEnd"/>
      <w:r w:rsidR="00F447CD" w:rsidRPr="00682D60">
        <w:rPr>
          <w:color w:val="auto"/>
          <w:sz w:val="28"/>
          <w:szCs w:val="28"/>
        </w:rPr>
        <w:t>.</w:t>
      </w:r>
      <w:r w:rsidR="00247480" w:rsidRPr="00682D60">
        <w:rPr>
          <w:color w:val="auto"/>
          <w:sz w:val="28"/>
          <w:szCs w:val="28"/>
        </w:rPr>
        <w:t xml:space="preserve"> </w:t>
      </w:r>
      <w:proofErr w:type="spellStart"/>
      <w:r w:rsidR="00F447CD" w:rsidRPr="00682D60">
        <w:rPr>
          <w:i/>
          <w:iCs/>
          <w:color w:val="auto"/>
          <w:sz w:val="28"/>
          <w:szCs w:val="28"/>
        </w:rPr>
        <w:t>euro</w:t>
      </w:r>
      <w:proofErr w:type="spellEnd"/>
      <w:r w:rsidRPr="00682D60">
        <w:rPr>
          <w:color w:val="auto"/>
          <w:sz w:val="28"/>
          <w:szCs w:val="28"/>
        </w:rPr>
        <w:t xml:space="preserve"> (Igaunija - 8,4 </w:t>
      </w:r>
      <w:proofErr w:type="spellStart"/>
      <w:r w:rsidRPr="00682D60">
        <w:rPr>
          <w:color w:val="auto"/>
          <w:sz w:val="28"/>
          <w:szCs w:val="28"/>
        </w:rPr>
        <w:t>milj</w:t>
      </w:r>
      <w:r w:rsidR="00F447CD" w:rsidRPr="00682D60">
        <w:rPr>
          <w:color w:val="auto"/>
          <w:sz w:val="28"/>
          <w:szCs w:val="28"/>
        </w:rPr>
        <w:t>rd</w:t>
      </w:r>
      <w:proofErr w:type="spellEnd"/>
      <w:r w:rsidR="00F447CD" w:rsidRPr="00682D60">
        <w:rPr>
          <w:color w:val="auto"/>
          <w:sz w:val="28"/>
          <w:szCs w:val="28"/>
        </w:rPr>
        <w:t xml:space="preserve">. </w:t>
      </w:r>
      <w:proofErr w:type="spellStart"/>
      <w:r w:rsidR="00F447CD" w:rsidRPr="00682D60">
        <w:rPr>
          <w:i/>
          <w:iCs/>
          <w:color w:val="auto"/>
          <w:sz w:val="28"/>
          <w:szCs w:val="28"/>
        </w:rPr>
        <w:t>euro</w:t>
      </w:r>
      <w:proofErr w:type="spellEnd"/>
      <w:r w:rsidRPr="00682D60">
        <w:rPr>
          <w:color w:val="auto"/>
          <w:sz w:val="28"/>
          <w:szCs w:val="28"/>
        </w:rPr>
        <w:t xml:space="preserve">, Latvija - 11,2 </w:t>
      </w:r>
      <w:proofErr w:type="spellStart"/>
      <w:r w:rsidRPr="00682D60">
        <w:rPr>
          <w:color w:val="auto"/>
          <w:sz w:val="28"/>
          <w:szCs w:val="28"/>
        </w:rPr>
        <w:t>miljrd</w:t>
      </w:r>
      <w:proofErr w:type="spellEnd"/>
      <w:r w:rsidR="00F447CD" w:rsidRPr="00682D60">
        <w:rPr>
          <w:color w:val="auto"/>
          <w:sz w:val="28"/>
          <w:szCs w:val="28"/>
        </w:rPr>
        <w:t>.</w:t>
      </w:r>
      <w:r w:rsidRPr="00682D60">
        <w:rPr>
          <w:color w:val="auto"/>
          <w:sz w:val="28"/>
          <w:szCs w:val="28"/>
        </w:rPr>
        <w:t xml:space="preserve"> </w:t>
      </w:r>
      <w:proofErr w:type="spellStart"/>
      <w:r w:rsidR="00F447CD" w:rsidRPr="00682D60">
        <w:rPr>
          <w:i/>
          <w:iCs/>
          <w:color w:val="auto"/>
          <w:sz w:val="28"/>
          <w:szCs w:val="28"/>
        </w:rPr>
        <w:t>euro</w:t>
      </w:r>
      <w:proofErr w:type="spellEnd"/>
      <w:r w:rsidRPr="00682D60">
        <w:rPr>
          <w:color w:val="auto"/>
          <w:sz w:val="28"/>
          <w:szCs w:val="28"/>
        </w:rPr>
        <w:t xml:space="preserve">, Lietuva - 14,9 </w:t>
      </w:r>
      <w:proofErr w:type="spellStart"/>
      <w:r w:rsidRPr="00682D60">
        <w:rPr>
          <w:color w:val="auto"/>
          <w:sz w:val="28"/>
          <w:szCs w:val="28"/>
        </w:rPr>
        <w:t>miljrd</w:t>
      </w:r>
      <w:proofErr w:type="spellEnd"/>
      <w:r w:rsidR="00247480" w:rsidRPr="00682D60">
        <w:rPr>
          <w:color w:val="auto"/>
          <w:sz w:val="28"/>
          <w:szCs w:val="28"/>
        </w:rPr>
        <w:t>.</w:t>
      </w:r>
      <w:r w:rsidRPr="00682D60">
        <w:rPr>
          <w:color w:val="auto"/>
          <w:sz w:val="28"/>
          <w:szCs w:val="28"/>
        </w:rPr>
        <w:t xml:space="preserve"> </w:t>
      </w:r>
      <w:proofErr w:type="spellStart"/>
      <w:r w:rsidR="00F447CD" w:rsidRPr="00682D60">
        <w:rPr>
          <w:i/>
          <w:iCs/>
          <w:color w:val="auto"/>
          <w:sz w:val="28"/>
          <w:szCs w:val="28"/>
        </w:rPr>
        <w:t>euro</w:t>
      </w:r>
      <w:proofErr w:type="spellEnd"/>
      <w:r w:rsidRPr="00682D60">
        <w:rPr>
          <w:color w:val="auto"/>
          <w:sz w:val="28"/>
          <w:szCs w:val="28"/>
        </w:rPr>
        <w:t xml:space="preserve">). Teorētiskā tirgus nepilnība </w:t>
      </w:r>
      <w:r w:rsidR="00466346" w:rsidRPr="00682D60">
        <w:rPr>
          <w:color w:val="auto"/>
          <w:sz w:val="28"/>
          <w:szCs w:val="28"/>
        </w:rPr>
        <w:t>naudas izteiksmē</w:t>
      </w:r>
      <w:r w:rsidRPr="00682D60">
        <w:rPr>
          <w:color w:val="auto"/>
          <w:sz w:val="28"/>
          <w:szCs w:val="28"/>
        </w:rPr>
        <w:t xml:space="preserve"> ir ievērojama, taču jāņem vērā, ka tā ietver potenciālu lielo uzņēmumu kotēšanu, kas veido</w:t>
      </w:r>
      <w:r w:rsidR="00466346" w:rsidRPr="00682D60">
        <w:rPr>
          <w:color w:val="auto"/>
          <w:sz w:val="28"/>
          <w:szCs w:val="28"/>
        </w:rPr>
        <w:t>tu</w:t>
      </w:r>
      <w:r w:rsidRPr="00682D60">
        <w:rPr>
          <w:color w:val="auto"/>
          <w:sz w:val="28"/>
          <w:szCs w:val="28"/>
        </w:rPr>
        <w:t xml:space="preserve"> lielāko daļu no šīs summas. </w:t>
      </w:r>
    </w:p>
    <w:p w14:paraId="0A11B836" w14:textId="77777777" w:rsidR="00072530" w:rsidRPr="00682D60" w:rsidRDefault="00AD26A9" w:rsidP="00AD26A9">
      <w:pPr>
        <w:pStyle w:val="Default"/>
        <w:ind w:firstLine="720"/>
        <w:jc w:val="both"/>
        <w:rPr>
          <w:color w:val="auto"/>
          <w:sz w:val="28"/>
          <w:szCs w:val="28"/>
        </w:rPr>
      </w:pPr>
      <w:r w:rsidRPr="00682D60">
        <w:rPr>
          <w:color w:val="auto"/>
          <w:sz w:val="28"/>
          <w:szCs w:val="28"/>
        </w:rPr>
        <w:t xml:space="preserve">Projekta vajadzībām tika individuāli analizēts MVU un vidēja kapitāla segments, izmantojot individuāli piemērotus kritērijus un pieeju, lai izveidotu analītisku lejupvērstu ieguldījumu piltuvi. Sākotnēji pārbaudītais 20 076 uzņēmumu saraksts (Igaunija - 5 202 uzņēmumi; Latvija - 5 991 uzņēmumi; Lietuva - 8 883 </w:t>
      </w:r>
      <w:r w:rsidRPr="00682D60">
        <w:rPr>
          <w:color w:val="auto"/>
          <w:sz w:val="28"/>
          <w:szCs w:val="28"/>
        </w:rPr>
        <w:lastRenderedPageBreak/>
        <w:t>uzņēmumi) ir secīgi sašaurināts līdz potenciālo 186 uzņēmumu saraksta novērtējumam vairāku gadu periodā</w:t>
      </w:r>
      <w:r w:rsidR="00072530" w:rsidRPr="00682D60">
        <w:rPr>
          <w:color w:val="auto"/>
          <w:sz w:val="28"/>
          <w:szCs w:val="28"/>
        </w:rPr>
        <w:t>.</w:t>
      </w:r>
    </w:p>
    <w:p w14:paraId="60E0A26C" w14:textId="13CD53EF" w:rsidR="00CD2A95" w:rsidRPr="00682D60" w:rsidRDefault="00072530" w:rsidP="00F138D8">
      <w:pPr>
        <w:pStyle w:val="Default"/>
        <w:ind w:firstLine="720"/>
        <w:jc w:val="both"/>
        <w:rPr>
          <w:color w:val="auto"/>
          <w:sz w:val="28"/>
          <w:szCs w:val="28"/>
        </w:rPr>
      </w:pPr>
      <w:r w:rsidRPr="00682D60">
        <w:rPr>
          <w:color w:val="auto"/>
          <w:sz w:val="28"/>
          <w:szCs w:val="28"/>
        </w:rPr>
        <w:t xml:space="preserve">Vēl cita projekta vajadzībām izmantotā metode paredz veikt salīdzinājumu par novirzi no </w:t>
      </w:r>
      <w:r w:rsidR="00C82BEA" w:rsidRPr="00682D60">
        <w:rPr>
          <w:color w:val="auto"/>
          <w:sz w:val="28"/>
          <w:szCs w:val="28"/>
        </w:rPr>
        <w:t>ES vidēj</w:t>
      </w:r>
      <w:r w:rsidRPr="00682D60">
        <w:rPr>
          <w:color w:val="auto"/>
          <w:sz w:val="28"/>
          <w:szCs w:val="28"/>
        </w:rPr>
        <w:t>ā</w:t>
      </w:r>
      <w:r w:rsidR="00C82BEA" w:rsidRPr="00682D60">
        <w:rPr>
          <w:color w:val="auto"/>
          <w:sz w:val="28"/>
          <w:szCs w:val="28"/>
        </w:rPr>
        <w:t xml:space="preserve"> rādītāj</w:t>
      </w:r>
      <w:r w:rsidRPr="00682D60">
        <w:rPr>
          <w:color w:val="auto"/>
          <w:sz w:val="28"/>
          <w:szCs w:val="28"/>
        </w:rPr>
        <w:t>a</w:t>
      </w:r>
      <w:r w:rsidR="00C82BEA" w:rsidRPr="00682D60">
        <w:rPr>
          <w:color w:val="auto"/>
          <w:sz w:val="28"/>
          <w:szCs w:val="28"/>
        </w:rPr>
        <w:t xml:space="preserve"> </w:t>
      </w:r>
      <w:r w:rsidRPr="00682D60">
        <w:rPr>
          <w:color w:val="auto"/>
          <w:sz w:val="28"/>
          <w:szCs w:val="28"/>
        </w:rPr>
        <w:t xml:space="preserve">privātā un </w:t>
      </w:r>
      <w:r w:rsidR="00C82BEA" w:rsidRPr="00682D60">
        <w:rPr>
          <w:color w:val="auto"/>
          <w:sz w:val="28"/>
          <w:szCs w:val="28"/>
        </w:rPr>
        <w:t>riska kap</w:t>
      </w:r>
      <w:r w:rsidRPr="00682D60">
        <w:rPr>
          <w:color w:val="auto"/>
          <w:sz w:val="28"/>
          <w:szCs w:val="28"/>
        </w:rPr>
        <w:t>itāla</w:t>
      </w:r>
      <w:r w:rsidR="00C82BEA" w:rsidRPr="00682D60">
        <w:rPr>
          <w:color w:val="auto"/>
          <w:sz w:val="28"/>
          <w:szCs w:val="28"/>
        </w:rPr>
        <w:t xml:space="preserve"> investīcij</w:t>
      </w:r>
      <w:r w:rsidRPr="00682D60">
        <w:rPr>
          <w:color w:val="auto"/>
          <w:sz w:val="28"/>
          <w:szCs w:val="28"/>
        </w:rPr>
        <w:t>ā</w:t>
      </w:r>
      <w:r w:rsidR="00DE0802" w:rsidRPr="00682D60">
        <w:rPr>
          <w:color w:val="auto"/>
          <w:sz w:val="28"/>
          <w:szCs w:val="28"/>
        </w:rPr>
        <w:t xml:space="preserve">m, attiecinot pret iekšzemes kopproduktu. Privātā un riska kapitāla investīciju plaisa ir pietuvināts rādītājs uzņēmumu finansējuma nepieciešamībai, ko daļēji varētu nodrošināt ar publiskā kapitāla tirgus. Privātā kapitāla un publiskā kapitāla finansējuma nepieciešamība un noslēgtie darījumi zināmā mērā pārklājās. </w:t>
      </w:r>
      <w:r w:rsidR="00AD26A9" w:rsidRPr="00682D60">
        <w:rPr>
          <w:color w:val="auto"/>
          <w:sz w:val="28"/>
          <w:szCs w:val="28"/>
        </w:rPr>
        <w:t>Salīdzinājumam Baltijas privātā kapitāla tirgus plaisa tiek lēsta no 53,5 līdz 406,7 milj</w:t>
      </w:r>
      <w:r w:rsidR="00CC4C39" w:rsidRPr="00682D60">
        <w:rPr>
          <w:color w:val="auto"/>
          <w:sz w:val="28"/>
          <w:szCs w:val="28"/>
        </w:rPr>
        <w:t>.</w:t>
      </w:r>
      <w:r w:rsidR="00DC7D77" w:rsidRPr="00682D60">
        <w:rPr>
          <w:color w:val="auto"/>
          <w:sz w:val="28"/>
          <w:szCs w:val="28"/>
        </w:rPr>
        <w:t xml:space="preserve"> </w:t>
      </w:r>
      <w:proofErr w:type="spellStart"/>
      <w:r w:rsidR="00CC4C39" w:rsidRPr="00682D60">
        <w:rPr>
          <w:i/>
          <w:iCs/>
          <w:color w:val="auto"/>
          <w:sz w:val="28"/>
          <w:szCs w:val="28"/>
        </w:rPr>
        <w:t>euro</w:t>
      </w:r>
      <w:proofErr w:type="spellEnd"/>
      <w:r w:rsidR="00AD26A9" w:rsidRPr="00682D60">
        <w:rPr>
          <w:color w:val="auto"/>
          <w:sz w:val="28"/>
          <w:szCs w:val="28"/>
        </w:rPr>
        <w:t xml:space="preserve"> (Igaunija – robežās no ES vidējā līmeņa līdz 95,6 </w:t>
      </w:r>
      <w:r w:rsidR="00DE0802" w:rsidRPr="00682D60">
        <w:rPr>
          <w:color w:val="auto"/>
          <w:sz w:val="28"/>
          <w:szCs w:val="28"/>
        </w:rPr>
        <w:t xml:space="preserve">milj. </w:t>
      </w:r>
      <w:proofErr w:type="spellStart"/>
      <w:r w:rsidR="00DE0802" w:rsidRPr="00682D60">
        <w:rPr>
          <w:i/>
          <w:iCs/>
          <w:color w:val="auto"/>
          <w:sz w:val="28"/>
          <w:szCs w:val="28"/>
        </w:rPr>
        <w:t>euro</w:t>
      </w:r>
      <w:proofErr w:type="spellEnd"/>
      <w:r w:rsidR="00DE0802" w:rsidRPr="00682D60">
        <w:rPr>
          <w:color w:val="auto"/>
          <w:sz w:val="28"/>
          <w:szCs w:val="28"/>
        </w:rPr>
        <w:t xml:space="preserve"> </w:t>
      </w:r>
      <w:r w:rsidR="00AD26A9" w:rsidRPr="00682D60">
        <w:rPr>
          <w:color w:val="auto"/>
          <w:sz w:val="28"/>
          <w:szCs w:val="28"/>
        </w:rPr>
        <w:t>atšķirībai, Latvija - no 76,2 līdz 112,7 milj</w:t>
      </w:r>
      <w:r w:rsidR="00CC4C39" w:rsidRPr="00682D60">
        <w:rPr>
          <w:color w:val="auto"/>
          <w:sz w:val="28"/>
          <w:szCs w:val="28"/>
        </w:rPr>
        <w:t>.</w:t>
      </w:r>
      <w:r w:rsidR="00DC7D77" w:rsidRPr="00682D60">
        <w:rPr>
          <w:color w:val="auto"/>
          <w:sz w:val="28"/>
          <w:szCs w:val="28"/>
        </w:rPr>
        <w:t xml:space="preserve"> </w:t>
      </w:r>
      <w:proofErr w:type="spellStart"/>
      <w:r w:rsidR="00CC4C39" w:rsidRPr="00682D60">
        <w:rPr>
          <w:i/>
          <w:iCs/>
          <w:color w:val="auto"/>
          <w:sz w:val="28"/>
          <w:szCs w:val="28"/>
        </w:rPr>
        <w:t>euro</w:t>
      </w:r>
      <w:proofErr w:type="spellEnd"/>
      <w:r w:rsidR="00AD26A9" w:rsidRPr="00682D60">
        <w:rPr>
          <w:color w:val="auto"/>
          <w:sz w:val="28"/>
          <w:szCs w:val="28"/>
        </w:rPr>
        <w:t>, Lietuva - 82,3 milj</w:t>
      </w:r>
      <w:r w:rsidR="00CC4C39" w:rsidRPr="00682D60">
        <w:rPr>
          <w:color w:val="auto"/>
          <w:sz w:val="28"/>
          <w:szCs w:val="28"/>
        </w:rPr>
        <w:t>.</w:t>
      </w:r>
      <w:r w:rsidR="00DC7D77" w:rsidRPr="00682D60">
        <w:rPr>
          <w:color w:val="auto"/>
          <w:sz w:val="28"/>
          <w:szCs w:val="28"/>
        </w:rPr>
        <w:t xml:space="preserve"> </w:t>
      </w:r>
      <w:proofErr w:type="spellStart"/>
      <w:r w:rsidR="00CC4C39" w:rsidRPr="00682D60">
        <w:rPr>
          <w:i/>
          <w:iCs/>
          <w:color w:val="auto"/>
          <w:sz w:val="28"/>
          <w:szCs w:val="28"/>
        </w:rPr>
        <w:t>euro</w:t>
      </w:r>
      <w:proofErr w:type="spellEnd"/>
      <w:r w:rsidR="00AD26A9" w:rsidRPr="00682D60">
        <w:rPr>
          <w:color w:val="auto"/>
          <w:sz w:val="28"/>
          <w:szCs w:val="28"/>
        </w:rPr>
        <w:t xml:space="preserve"> līdz 203,4 milj</w:t>
      </w:r>
      <w:r w:rsidR="00CC4C39" w:rsidRPr="00682D60">
        <w:rPr>
          <w:color w:val="auto"/>
          <w:sz w:val="28"/>
          <w:szCs w:val="28"/>
        </w:rPr>
        <w:t>.</w:t>
      </w:r>
      <w:r w:rsidR="00DC7D77" w:rsidRPr="00682D60">
        <w:rPr>
          <w:color w:val="auto"/>
          <w:sz w:val="28"/>
          <w:szCs w:val="28"/>
        </w:rPr>
        <w:t xml:space="preserve"> </w:t>
      </w:r>
      <w:proofErr w:type="spellStart"/>
      <w:r w:rsidR="00CC4C39" w:rsidRPr="00682D60">
        <w:rPr>
          <w:i/>
          <w:iCs/>
          <w:color w:val="auto"/>
          <w:sz w:val="28"/>
          <w:szCs w:val="28"/>
        </w:rPr>
        <w:t>euro</w:t>
      </w:r>
      <w:proofErr w:type="spellEnd"/>
      <w:r w:rsidR="00AD26A9" w:rsidRPr="00682D60">
        <w:rPr>
          <w:color w:val="auto"/>
          <w:sz w:val="28"/>
          <w:szCs w:val="28"/>
        </w:rPr>
        <w:t>)</w:t>
      </w:r>
      <w:r w:rsidR="00C82BEA" w:rsidRPr="00682D60">
        <w:rPr>
          <w:color w:val="auto"/>
          <w:sz w:val="28"/>
          <w:szCs w:val="28"/>
        </w:rPr>
        <w:t xml:space="preserve"> – privātā</w:t>
      </w:r>
      <w:r w:rsidR="00AD26A9" w:rsidRPr="00682D60">
        <w:rPr>
          <w:color w:val="auto"/>
          <w:sz w:val="28"/>
          <w:szCs w:val="28"/>
        </w:rPr>
        <w:t xml:space="preserve">, izmantojot tradicionālo metodi (Igaunijā rekordlielie 2019. gada skaitļi </w:t>
      </w:r>
      <w:r w:rsidR="00057C01" w:rsidRPr="00682D60">
        <w:rPr>
          <w:color w:val="auto"/>
          <w:sz w:val="28"/>
          <w:szCs w:val="28"/>
        </w:rPr>
        <w:t>ietver novirzi</w:t>
      </w:r>
      <w:r w:rsidR="00AD26A9" w:rsidRPr="00682D60">
        <w:rPr>
          <w:color w:val="auto"/>
          <w:sz w:val="28"/>
          <w:szCs w:val="28"/>
        </w:rPr>
        <w:t>,</w:t>
      </w:r>
      <w:r w:rsidR="00057C01" w:rsidRPr="00682D60">
        <w:rPr>
          <w:color w:val="auto"/>
          <w:sz w:val="28"/>
          <w:szCs w:val="28"/>
        </w:rPr>
        <w:t xml:space="preserve"> sakarā ar</w:t>
      </w:r>
      <w:r w:rsidR="00AD26A9" w:rsidRPr="00682D60">
        <w:rPr>
          <w:color w:val="auto"/>
          <w:sz w:val="28"/>
          <w:szCs w:val="28"/>
        </w:rPr>
        <w:t xml:space="preserve"> </w:t>
      </w:r>
      <w:proofErr w:type="spellStart"/>
      <w:r w:rsidR="00AD26A9" w:rsidRPr="00682D60">
        <w:rPr>
          <w:color w:val="auto"/>
          <w:sz w:val="28"/>
          <w:szCs w:val="28"/>
        </w:rPr>
        <w:t>Blackstone</w:t>
      </w:r>
      <w:proofErr w:type="spellEnd"/>
      <w:r w:rsidR="00AD26A9" w:rsidRPr="00682D60">
        <w:rPr>
          <w:color w:val="auto"/>
          <w:sz w:val="28"/>
          <w:szCs w:val="28"/>
        </w:rPr>
        <w:t xml:space="preserve"> publiski zinām</w:t>
      </w:r>
      <w:r w:rsidR="004F610E" w:rsidRPr="00682D60">
        <w:rPr>
          <w:color w:val="auto"/>
          <w:sz w:val="28"/>
          <w:szCs w:val="28"/>
        </w:rPr>
        <w:t>o</w:t>
      </w:r>
      <w:r w:rsidR="00AD26A9" w:rsidRPr="00682D60">
        <w:rPr>
          <w:color w:val="auto"/>
          <w:sz w:val="28"/>
          <w:szCs w:val="28"/>
        </w:rPr>
        <w:t xml:space="preserve"> 1 </w:t>
      </w:r>
      <w:proofErr w:type="spellStart"/>
      <w:r w:rsidR="00AD26A9" w:rsidRPr="00682D60">
        <w:rPr>
          <w:color w:val="auto"/>
          <w:sz w:val="28"/>
          <w:szCs w:val="28"/>
        </w:rPr>
        <w:t>milj</w:t>
      </w:r>
      <w:r w:rsidR="00F447CD" w:rsidRPr="00682D60">
        <w:rPr>
          <w:color w:val="auto"/>
          <w:sz w:val="28"/>
          <w:szCs w:val="28"/>
        </w:rPr>
        <w:t>rd</w:t>
      </w:r>
      <w:proofErr w:type="spellEnd"/>
      <w:r w:rsidR="00F447CD" w:rsidRPr="00682D60">
        <w:rPr>
          <w:color w:val="auto"/>
          <w:sz w:val="28"/>
          <w:szCs w:val="28"/>
        </w:rPr>
        <w:t xml:space="preserve">. </w:t>
      </w:r>
      <w:proofErr w:type="spellStart"/>
      <w:r w:rsidR="00F447CD" w:rsidRPr="00682D60">
        <w:rPr>
          <w:i/>
          <w:iCs/>
          <w:color w:val="auto"/>
          <w:sz w:val="28"/>
          <w:szCs w:val="28"/>
        </w:rPr>
        <w:t>euro</w:t>
      </w:r>
      <w:proofErr w:type="spellEnd"/>
      <w:r w:rsidR="00AD26A9" w:rsidRPr="00682D60">
        <w:rPr>
          <w:color w:val="auto"/>
          <w:sz w:val="28"/>
          <w:szCs w:val="28"/>
        </w:rPr>
        <w:t xml:space="preserve"> ieguldījumam </w:t>
      </w:r>
      <w:proofErr w:type="spellStart"/>
      <w:r w:rsidR="00AD26A9" w:rsidRPr="00682D60">
        <w:rPr>
          <w:color w:val="auto"/>
          <w:sz w:val="28"/>
          <w:szCs w:val="28"/>
        </w:rPr>
        <w:t>Luminor</w:t>
      </w:r>
      <w:proofErr w:type="spellEnd"/>
      <w:r w:rsidR="00AD26A9" w:rsidRPr="00682D60">
        <w:rPr>
          <w:color w:val="auto"/>
          <w:sz w:val="28"/>
          <w:szCs w:val="28"/>
        </w:rPr>
        <w:t xml:space="preserve">, kas uzskaitē tika atspoguļots kā ieguldījums Igaunijas holdinga sabiedrībā), vai pēc alternatīva aprēķina – tirgus nepilnība 10,8 </w:t>
      </w:r>
      <w:proofErr w:type="spellStart"/>
      <w:r w:rsidR="00AD26A9" w:rsidRPr="00682D60">
        <w:rPr>
          <w:color w:val="auto"/>
          <w:sz w:val="28"/>
          <w:szCs w:val="28"/>
        </w:rPr>
        <w:t>milj</w:t>
      </w:r>
      <w:r w:rsidR="00F447CD" w:rsidRPr="00682D60">
        <w:rPr>
          <w:color w:val="auto"/>
          <w:sz w:val="28"/>
          <w:szCs w:val="28"/>
        </w:rPr>
        <w:t>rd</w:t>
      </w:r>
      <w:proofErr w:type="spellEnd"/>
      <w:r w:rsidR="00F447CD" w:rsidRPr="00682D60">
        <w:rPr>
          <w:color w:val="auto"/>
          <w:sz w:val="28"/>
          <w:szCs w:val="28"/>
        </w:rPr>
        <w:t>.</w:t>
      </w:r>
      <w:r w:rsidR="00DC7D77" w:rsidRPr="00682D60">
        <w:rPr>
          <w:color w:val="auto"/>
          <w:sz w:val="28"/>
          <w:szCs w:val="28"/>
        </w:rPr>
        <w:t xml:space="preserve"> </w:t>
      </w:r>
      <w:proofErr w:type="spellStart"/>
      <w:r w:rsidR="00F447CD" w:rsidRPr="00682D60">
        <w:rPr>
          <w:i/>
          <w:iCs/>
          <w:color w:val="auto"/>
          <w:sz w:val="28"/>
          <w:szCs w:val="28"/>
        </w:rPr>
        <w:t>euro</w:t>
      </w:r>
      <w:proofErr w:type="spellEnd"/>
      <w:r w:rsidR="00AD26A9" w:rsidRPr="00682D60">
        <w:rPr>
          <w:color w:val="auto"/>
          <w:sz w:val="28"/>
          <w:szCs w:val="28"/>
        </w:rPr>
        <w:t xml:space="preserve"> apmērā, izmantojot </w:t>
      </w:r>
      <w:proofErr w:type="spellStart"/>
      <w:r w:rsidR="00AD26A9" w:rsidRPr="00682D60">
        <w:rPr>
          <w:color w:val="auto"/>
          <w:sz w:val="28"/>
          <w:szCs w:val="28"/>
        </w:rPr>
        <w:t>Fi</w:t>
      </w:r>
      <w:proofErr w:type="spellEnd"/>
      <w:r w:rsidR="00AD26A9" w:rsidRPr="00682D60">
        <w:rPr>
          <w:color w:val="auto"/>
          <w:sz w:val="28"/>
          <w:szCs w:val="28"/>
        </w:rPr>
        <w:t>-kompasa komandas izstrādāta metode.</w:t>
      </w:r>
    </w:p>
    <w:p w14:paraId="4D7F4704" w14:textId="4034D7C2" w:rsidR="00CD2A95" w:rsidRPr="00682D60" w:rsidRDefault="00CD2A95" w:rsidP="00CD2A95">
      <w:pPr>
        <w:pStyle w:val="Default"/>
        <w:ind w:firstLine="720"/>
        <w:jc w:val="both"/>
        <w:rPr>
          <w:color w:val="auto"/>
          <w:sz w:val="28"/>
          <w:szCs w:val="28"/>
        </w:rPr>
      </w:pPr>
      <w:r w:rsidRPr="00682D60">
        <w:rPr>
          <w:color w:val="auto"/>
          <w:sz w:val="28"/>
          <w:szCs w:val="28"/>
        </w:rPr>
        <w:t xml:space="preserve">KPMG konsorcija </w:t>
      </w:r>
      <w:proofErr w:type="spellStart"/>
      <w:r w:rsidRPr="00682D60">
        <w:rPr>
          <w:color w:val="auto"/>
          <w:sz w:val="28"/>
          <w:szCs w:val="28"/>
        </w:rPr>
        <w:t>priekšizpētes</w:t>
      </w:r>
      <w:proofErr w:type="spellEnd"/>
      <w:r w:rsidRPr="00682D60">
        <w:rPr>
          <w:color w:val="auto"/>
          <w:sz w:val="28"/>
          <w:szCs w:val="28"/>
        </w:rPr>
        <w:t xml:space="preserve"> ziņojums tika sagatavots, ņemot vērā </w:t>
      </w:r>
      <w:proofErr w:type="spellStart"/>
      <w:r w:rsidRPr="00682D60">
        <w:rPr>
          <w:color w:val="auto"/>
          <w:sz w:val="28"/>
          <w:szCs w:val="28"/>
        </w:rPr>
        <w:t>ex-ante</w:t>
      </w:r>
      <w:proofErr w:type="spellEnd"/>
      <w:r w:rsidRPr="00682D60">
        <w:rPr>
          <w:color w:val="auto"/>
          <w:sz w:val="28"/>
          <w:szCs w:val="28"/>
        </w:rPr>
        <w:t xml:space="preserve"> novērtējumam noteiktās prasības, kas uzrāda finansējuma trūkumu attiecīgi - uzņēmumus mērķa attīstības posmā, ģeogrāfiskajā apgabalā un, ja piemērojams, tautsaimniecības nozarē.</w:t>
      </w:r>
    </w:p>
    <w:p w14:paraId="3295B818" w14:textId="77777777" w:rsidR="00480740" w:rsidRPr="00682D60" w:rsidRDefault="00CD2A95" w:rsidP="00480740">
      <w:pPr>
        <w:pStyle w:val="Default"/>
        <w:ind w:firstLine="720"/>
        <w:jc w:val="both"/>
        <w:rPr>
          <w:color w:val="auto"/>
          <w:sz w:val="28"/>
          <w:szCs w:val="28"/>
        </w:rPr>
      </w:pPr>
      <w:r w:rsidRPr="00682D60">
        <w:rPr>
          <w:color w:val="auto"/>
          <w:sz w:val="28"/>
          <w:szCs w:val="28"/>
        </w:rPr>
        <w:t>Veiktās analīzes rezultātā ir skaidra un pamatota nepieciešamība pēc valsts iesaistes (kā noteikts Komisijas paziņojum</w:t>
      </w:r>
      <w:r w:rsidR="00A81AAA" w:rsidRPr="00682D60">
        <w:rPr>
          <w:color w:val="auto"/>
          <w:sz w:val="28"/>
          <w:szCs w:val="28"/>
        </w:rPr>
        <w:t>ā</w:t>
      </w:r>
      <w:r w:rsidRPr="00682D60">
        <w:rPr>
          <w:color w:val="auto"/>
          <w:sz w:val="28"/>
          <w:szCs w:val="28"/>
        </w:rPr>
        <w:t xml:space="preserve"> “</w:t>
      </w:r>
      <w:r w:rsidR="00A81AAA" w:rsidRPr="00682D60">
        <w:rPr>
          <w:color w:val="auto"/>
          <w:sz w:val="28"/>
          <w:szCs w:val="28"/>
        </w:rPr>
        <w:t>Pamatnostādnes par valsts atbalstu, lai veicinātu riska finansējuma ieguldījumus</w:t>
      </w:r>
      <w:r w:rsidRPr="00682D60">
        <w:rPr>
          <w:color w:val="auto"/>
          <w:sz w:val="28"/>
          <w:szCs w:val="28"/>
        </w:rPr>
        <w:t>” (2014 / C 19/04) 3.3. sadaļā).</w:t>
      </w:r>
    </w:p>
    <w:p w14:paraId="2B2CD71A" w14:textId="27F1399A" w:rsidR="00480740" w:rsidRPr="00682D60" w:rsidRDefault="00480740" w:rsidP="00480740">
      <w:pPr>
        <w:pStyle w:val="Default"/>
        <w:ind w:firstLine="720"/>
        <w:jc w:val="both"/>
        <w:rPr>
          <w:color w:val="auto"/>
          <w:sz w:val="28"/>
          <w:szCs w:val="28"/>
        </w:rPr>
      </w:pPr>
      <w:r w:rsidRPr="00682D60">
        <w:t xml:space="preserve"> </w:t>
      </w:r>
      <w:r w:rsidRPr="00682D60">
        <w:rPr>
          <w:color w:val="auto"/>
          <w:sz w:val="28"/>
          <w:szCs w:val="28"/>
        </w:rPr>
        <w:t xml:space="preserve">ES struktūrfondu un Kohēzijas fonda (turpmāk – ES fondi) 2021. - 2027. gada plānošanas perioda priekšnosacījumu izpildes ietvaros tika veikts finanšu instrumentu tirgus nepilnību </w:t>
      </w:r>
      <w:proofErr w:type="spellStart"/>
      <w:r w:rsidRPr="00682D60">
        <w:rPr>
          <w:color w:val="auto"/>
          <w:sz w:val="28"/>
          <w:szCs w:val="28"/>
        </w:rPr>
        <w:t>izvērtējums</w:t>
      </w:r>
      <w:proofErr w:type="spellEnd"/>
      <w:r w:rsidRPr="00682D60">
        <w:rPr>
          <w:rStyle w:val="FootnoteReference"/>
          <w:color w:val="auto"/>
          <w:sz w:val="28"/>
          <w:szCs w:val="28"/>
        </w:rPr>
        <w:footnoteReference w:id="3"/>
      </w:r>
      <w:r w:rsidRPr="00682D60">
        <w:rPr>
          <w:color w:val="auto"/>
          <w:sz w:val="28"/>
          <w:szCs w:val="28"/>
        </w:rPr>
        <w:t xml:space="preserve">   (</w:t>
      </w:r>
      <w:proofErr w:type="spellStart"/>
      <w:r w:rsidRPr="00682D60">
        <w:rPr>
          <w:color w:val="auto"/>
          <w:sz w:val="28"/>
          <w:szCs w:val="28"/>
        </w:rPr>
        <w:t>ex-ante</w:t>
      </w:r>
      <w:proofErr w:type="spellEnd"/>
      <w:r w:rsidRPr="00682D60">
        <w:rPr>
          <w:color w:val="auto"/>
          <w:sz w:val="28"/>
          <w:szCs w:val="28"/>
        </w:rPr>
        <w:t xml:space="preserve">), kā ietvaros arī tika konstatēta tirgus nepilnība kapitāla tirgus attīstībai. </w:t>
      </w:r>
    </w:p>
    <w:p w14:paraId="112852A5" w14:textId="22804081" w:rsidR="00CD2A95" w:rsidRPr="00682D60" w:rsidRDefault="00480740" w:rsidP="00480740">
      <w:pPr>
        <w:pStyle w:val="Default"/>
        <w:ind w:firstLine="720"/>
        <w:jc w:val="both"/>
        <w:rPr>
          <w:color w:val="auto"/>
          <w:sz w:val="28"/>
          <w:szCs w:val="28"/>
        </w:rPr>
      </w:pPr>
      <w:r w:rsidRPr="00682D60">
        <w:rPr>
          <w:color w:val="auto"/>
          <w:sz w:val="28"/>
          <w:szCs w:val="28"/>
        </w:rPr>
        <w:t xml:space="preserve">Tāpat minētajā </w:t>
      </w:r>
      <w:proofErr w:type="spellStart"/>
      <w:r w:rsidRPr="00682D60">
        <w:rPr>
          <w:color w:val="auto"/>
          <w:sz w:val="28"/>
          <w:szCs w:val="28"/>
        </w:rPr>
        <w:t>izvērtējumā</w:t>
      </w:r>
      <w:proofErr w:type="spellEnd"/>
      <w:r w:rsidRPr="00682D60">
        <w:rPr>
          <w:color w:val="auto"/>
          <w:sz w:val="28"/>
          <w:szCs w:val="28"/>
        </w:rPr>
        <w:t xml:space="preserve"> ir sniegta informācija, ka NAP uzdevuma Nr.21 ietvaros plānotais atbalsts</w:t>
      </w:r>
      <w:r w:rsidR="000278EC" w:rsidRPr="00682D60">
        <w:rPr>
          <w:color w:val="auto"/>
          <w:sz w:val="28"/>
          <w:szCs w:val="28"/>
        </w:rPr>
        <w:t>:</w:t>
      </w:r>
      <w:r w:rsidR="00682D60">
        <w:rPr>
          <w:color w:val="auto"/>
          <w:sz w:val="28"/>
          <w:szCs w:val="28"/>
        </w:rPr>
        <w:t xml:space="preserve"> </w:t>
      </w:r>
      <w:r w:rsidR="000278EC" w:rsidRPr="00682D60">
        <w:rPr>
          <w:i/>
          <w:iCs/>
          <w:color w:val="auto"/>
          <w:sz w:val="28"/>
          <w:szCs w:val="28"/>
        </w:rPr>
        <w:t>“</w:t>
      </w:r>
      <w:r w:rsidRPr="00682D60">
        <w:rPr>
          <w:i/>
          <w:iCs/>
          <w:color w:val="auto"/>
          <w:sz w:val="28"/>
          <w:szCs w:val="28"/>
        </w:rPr>
        <w:t>attiecas uz kapitāla tirgus attīstīšanu nevis finansējuma nodrošinājumu uzņēmumiem, tādēļ finanšu instrumenti netiek piedāvāti</w:t>
      </w:r>
      <w:r w:rsidR="000278EC" w:rsidRPr="00682D60">
        <w:rPr>
          <w:i/>
          <w:iCs/>
          <w:color w:val="auto"/>
          <w:sz w:val="28"/>
          <w:szCs w:val="28"/>
        </w:rPr>
        <w:t>”</w:t>
      </w:r>
      <w:r w:rsidRPr="00682D60">
        <w:rPr>
          <w:i/>
          <w:iCs/>
          <w:color w:val="auto"/>
          <w:sz w:val="28"/>
          <w:szCs w:val="28"/>
        </w:rPr>
        <w:t>.</w:t>
      </w:r>
    </w:p>
    <w:p w14:paraId="4892BFF6" w14:textId="1F7234C8" w:rsidR="0039486D" w:rsidRPr="00682D60" w:rsidRDefault="0039486D" w:rsidP="009064D2">
      <w:pPr>
        <w:pStyle w:val="Default"/>
        <w:ind w:left="720"/>
        <w:jc w:val="both"/>
        <w:rPr>
          <w:b/>
          <w:i/>
          <w:color w:val="auto"/>
          <w:sz w:val="28"/>
          <w:szCs w:val="28"/>
        </w:rPr>
      </w:pPr>
    </w:p>
    <w:p w14:paraId="50F0987E" w14:textId="08F5615D" w:rsidR="0045159E" w:rsidRPr="00EE6E59" w:rsidRDefault="00023E0D" w:rsidP="00EE6E59">
      <w:pPr>
        <w:pStyle w:val="Default"/>
        <w:numPr>
          <w:ilvl w:val="0"/>
          <w:numId w:val="6"/>
        </w:numPr>
        <w:jc w:val="both"/>
        <w:rPr>
          <w:b/>
          <w:bCs/>
          <w:color w:val="auto"/>
          <w:sz w:val="28"/>
          <w:szCs w:val="28"/>
        </w:rPr>
      </w:pPr>
      <w:r w:rsidRPr="00682D60">
        <w:rPr>
          <w:b/>
          <w:bCs/>
          <w:color w:val="auto"/>
          <w:sz w:val="28"/>
          <w:szCs w:val="28"/>
        </w:rPr>
        <w:t>Fonda</w:t>
      </w:r>
      <w:r w:rsidR="00E32641" w:rsidRPr="00682D60">
        <w:rPr>
          <w:b/>
          <w:bCs/>
          <w:color w:val="auto"/>
          <w:sz w:val="28"/>
          <w:szCs w:val="28"/>
        </w:rPr>
        <w:t xml:space="preserve"> darbība</w:t>
      </w:r>
      <w:r w:rsidR="00345AD6" w:rsidRPr="00682D60">
        <w:rPr>
          <w:b/>
          <w:bCs/>
          <w:color w:val="auto"/>
          <w:sz w:val="28"/>
          <w:szCs w:val="28"/>
        </w:rPr>
        <w:t>s plāns</w:t>
      </w:r>
      <w:r w:rsidR="00E32641" w:rsidRPr="00682D60">
        <w:rPr>
          <w:b/>
          <w:bCs/>
          <w:color w:val="auto"/>
          <w:sz w:val="28"/>
          <w:szCs w:val="28"/>
        </w:rPr>
        <w:t xml:space="preserve"> </w:t>
      </w:r>
      <w:r w:rsidR="00345AD6" w:rsidRPr="00682D60">
        <w:rPr>
          <w:b/>
          <w:bCs/>
          <w:color w:val="auto"/>
          <w:sz w:val="28"/>
          <w:szCs w:val="28"/>
        </w:rPr>
        <w:t>un potenciālie investori</w:t>
      </w:r>
    </w:p>
    <w:p w14:paraId="4058E209" w14:textId="493C1019" w:rsidR="0045159E" w:rsidRPr="00EE6E59" w:rsidRDefault="00345AD6" w:rsidP="00EE6E59">
      <w:pPr>
        <w:pStyle w:val="Default"/>
        <w:numPr>
          <w:ilvl w:val="1"/>
          <w:numId w:val="6"/>
        </w:numPr>
        <w:jc w:val="both"/>
        <w:rPr>
          <w:b/>
          <w:bCs/>
          <w:color w:val="auto"/>
          <w:sz w:val="28"/>
          <w:szCs w:val="28"/>
        </w:rPr>
      </w:pPr>
      <w:r w:rsidRPr="00FA02A2">
        <w:rPr>
          <w:b/>
          <w:bCs/>
          <w:color w:val="auto"/>
          <w:sz w:val="28"/>
          <w:szCs w:val="28"/>
        </w:rPr>
        <w:t>Fonda darbības modelis</w:t>
      </w:r>
    </w:p>
    <w:p w14:paraId="63A5CA91" w14:textId="6F6B2423" w:rsidR="009522D5" w:rsidRPr="00682D60" w:rsidRDefault="00E32641" w:rsidP="00E32641">
      <w:pPr>
        <w:pStyle w:val="Default"/>
        <w:ind w:firstLine="720"/>
        <w:jc w:val="both"/>
        <w:rPr>
          <w:color w:val="auto"/>
          <w:sz w:val="28"/>
          <w:szCs w:val="28"/>
        </w:rPr>
      </w:pPr>
      <w:r w:rsidRPr="00682D60">
        <w:rPr>
          <w:color w:val="auto"/>
          <w:sz w:val="28"/>
          <w:szCs w:val="28"/>
        </w:rPr>
        <w:t>KPMG konsorcij</w:t>
      </w:r>
      <w:r w:rsidR="009522D5" w:rsidRPr="00682D60">
        <w:rPr>
          <w:color w:val="auto"/>
          <w:sz w:val="28"/>
          <w:szCs w:val="28"/>
        </w:rPr>
        <w:t>s piedāvā</w:t>
      </w:r>
      <w:r w:rsidRPr="00682D60">
        <w:rPr>
          <w:color w:val="auto"/>
          <w:sz w:val="28"/>
          <w:szCs w:val="28"/>
        </w:rPr>
        <w:t xml:space="preserve"> </w:t>
      </w:r>
      <w:r w:rsidR="00023E0D" w:rsidRPr="00682D60">
        <w:rPr>
          <w:color w:val="auto"/>
          <w:sz w:val="28"/>
          <w:szCs w:val="28"/>
        </w:rPr>
        <w:t>turpmākajām fonda izveides sarunām</w:t>
      </w:r>
      <w:r w:rsidRPr="00682D60">
        <w:rPr>
          <w:color w:val="auto"/>
          <w:sz w:val="28"/>
          <w:szCs w:val="28"/>
        </w:rPr>
        <w:t xml:space="preserve"> </w:t>
      </w:r>
      <w:r w:rsidR="009522D5" w:rsidRPr="00682D60">
        <w:rPr>
          <w:color w:val="auto"/>
          <w:sz w:val="28"/>
          <w:szCs w:val="28"/>
        </w:rPr>
        <w:t>ar</w:t>
      </w:r>
      <w:r w:rsidRPr="00682D60">
        <w:rPr>
          <w:color w:val="auto"/>
          <w:sz w:val="28"/>
          <w:szCs w:val="28"/>
        </w:rPr>
        <w:t xml:space="preserve"> deleģētajām nacionālajām institūcijām </w:t>
      </w:r>
      <w:r w:rsidR="00023E0D" w:rsidRPr="00682D60">
        <w:rPr>
          <w:color w:val="auto"/>
          <w:sz w:val="28"/>
          <w:szCs w:val="28"/>
        </w:rPr>
        <w:t>Fonda</w:t>
      </w:r>
      <w:r w:rsidR="009522D5" w:rsidRPr="00682D60">
        <w:rPr>
          <w:color w:val="auto"/>
          <w:sz w:val="28"/>
          <w:szCs w:val="28"/>
        </w:rPr>
        <w:t xml:space="preserve"> darbības modeli, kas ietver šādus elementus</w:t>
      </w:r>
      <w:r w:rsidRPr="00682D60">
        <w:rPr>
          <w:color w:val="auto"/>
          <w:sz w:val="28"/>
          <w:szCs w:val="28"/>
        </w:rPr>
        <w:t>:</w:t>
      </w:r>
    </w:p>
    <w:p w14:paraId="4AB32332" w14:textId="7C9698AB" w:rsidR="00594226" w:rsidRPr="00682D60" w:rsidRDefault="00C44894" w:rsidP="00594226">
      <w:pPr>
        <w:pStyle w:val="Default"/>
        <w:numPr>
          <w:ilvl w:val="0"/>
          <w:numId w:val="9"/>
        </w:numPr>
        <w:jc w:val="both"/>
        <w:rPr>
          <w:color w:val="auto"/>
          <w:sz w:val="28"/>
          <w:szCs w:val="28"/>
        </w:rPr>
      </w:pPr>
      <w:r w:rsidRPr="00682D60">
        <w:rPr>
          <w:color w:val="auto"/>
          <w:sz w:val="28"/>
          <w:szCs w:val="28"/>
        </w:rPr>
        <w:t>Fonds</w:t>
      </w:r>
      <w:r w:rsidR="00E32641" w:rsidRPr="00682D60">
        <w:rPr>
          <w:color w:val="auto"/>
          <w:sz w:val="28"/>
          <w:szCs w:val="28"/>
        </w:rPr>
        <w:t xml:space="preserve"> nodrošinātu finansējumu MVU un vidēja kapitāla uzņēmumu sākotnējai kotēšanai un iekļaušanai Baltijas </w:t>
      </w:r>
      <w:r w:rsidRPr="00682D60">
        <w:rPr>
          <w:color w:val="auto"/>
          <w:sz w:val="28"/>
          <w:szCs w:val="28"/>
        </w:rPr>
        <w:t xml:space="preserve">valstu akciju </w:t>
      </w:r>
      <w:r w:rsidR="00E32641" w:rsidRPr="00682D60">
        <w:rPr>
          <w:color w:val="auto"/>
          <w:sz w:val="28"/>
          <w:szCs w:val="28"/>
        </w:rPr>
        <w:t>tirgū;</w:t>
      </w:r>
      <w:r w:rsidR="00594226" w:rsidRPr="00682D60">
        <w:rPr>
          <w:color w:val="auto"/>
          <w:sz w:val="28"/>
          <w:szCs w:val="28"/>
        </w:rPr>
        <w:t xml:space="preserve"> Fonds galvenokārt uzlabotu finansējuma pieejamību MVU, un vienlaikus arī veicinātu arī Baltijas kapitāla tirgus attīstību;</w:t>
      </w:r>
    </w:p>
    <w:p w14:paraId="1CA3A936" w14:textId="1C01521A" w:rsidR="00E32641" w:rsidRPr="00682D60" w:rsidRDefault="00E32641" w:rsidP="00C44894">
      <w:pPr>
        <w:pStyle w:val="Default"/>
        <w:numPr>
          <w:ilvl w:val="0"/>
          <w:numId w:val="9"/>
        </w:numPr>
        <w:jc w:val="both"/>
        <w:rPr>
          <w:color w:val="auto"/>
          <w:sz w:val="28"/>
          <w:szCs w:val="28"/>
        </w:rPr>
      </w:pPr>
      <w:r w:rsidRPr="00682D60">
        <w:rPr>
          <w:color w:val="auto"/>
          <w:sz w:val="28"/>
          <w:szCs w:val="28"/>
        </w:rPr>
        <w:lastRenderedPageBreak/>
        <w:t xml:space="preserve">Fonda mērķauditorija būtu </w:t>
      </w:r>
      <w:r w:rsidR="00C82BEA" w:rsidRPr="00682D60">
        <w:rPr>
          <w:color w:val="auto"/>
          <w:sz w:val="28"/>
          <w:szCs w:val="28"/>
        </w:rPr>
        <w:t xml:space="preserve">pelnoši </w:t>
      </w:r>
      <w:r w:rsidRPr="00682D60">
        <w:rPr>
          <w:color w:val="auto"/>
          <w:sz w:val="28"/>
          <w:szCs w:val="28"/>
        </w:rPr>
        <w:t xml:space="preserve">uzņēmumi ar uzņēmuma vērtību no 5 līdz 100 miljoniem </w:t>
      </w:r>
      <w:proofErr w:type="spellStart"/>
      <w:r w:rsidRPr="00682D60">
        <w:rPr>
          <w:i/>
          <w:iCs/>
          <w:color w:val="auto"/>
          <w:sz w:val="28"/>
          <w:szCs w:val="28"/>
        </w:rPr>
        <w:t>euro</w:t>
      </w:r>
      <w:proofErr w:type="spellEnd"/>
      <w:r w:rsidRPr="00682D60">
        <w:rPr>
          <w:color w:val="auto"/>
          <w:sz w:val="28"/>
          <w:szCs w:val="28"/>
        </w:rPr>
        <w:t>;</w:t>
      </w:r>
    </w:p>
    <w:p w14:paraId="4D9F4F1D" w14:textId="672CB986" w:rsidR="00E32641" w:rsidRPr="00682D60" w:rsidRDefault="00E32641" w:rsidP="00C44894">
      <w:pPr>
        <w:pStyle w:val="Default"/>
        <w:numPr>
          <w:ilvl w:val="0"/>
          <w:numId w:val="9"/>
        </w:numPr>
        <w:jc w:val="both"/>
        <w:rPr>
          <w:color w:val="auto"/>
          <w:sz w:val="28"/>
          <w:szCs w:val="28"/>
        </w:rPr>
      </w:pPr>
      <w:r w:rsidRPr="00682D60">
        <w:rPr>
          <w:color w:val="auto"/>
          <w:sz w:val="28"/>
          <w:szCs w:val="28"/>
        </w:rPr>
        <w:t>Fonds veiktu šādus ieguldījumus:</w:t>
      </w:r>
    </w:p>
    <w:p w14:paraId="73AAE4D9" w14:textId="6EDA45C2" w:rsidR="00E32641" w:rsidRPr="00682D60" w:rsidRDefault="00E32641" w:rsidP="00C44894">
      <w:pPr>
        <w:pStyle w:val="Default"/>
        <w:numPr>
          <w:ilvl w:val="1"/>
          <w:numId w:val="9"/>
        </w:numPr>
        <w:jc w:val="both"/>
        <w:rPr>
          <w:color w:val="auto"/>
          <w:sz w:val="28"/>
          <w:szCs w:val="28"/>
        </w:rPr>
      </w:pPr>
      <w:r w:rsidRPr="00682D60">
        <w:rPr>
          <w:color w:val="auto"/>
          <w:sz w:val="28"/>
          <w:szCs w:val="28"/>
        </w:rPr>
        <w:t xml:space="preserve">sākotnējos publiskos vai privātajos piedāvājumos, kas saistīti gan ar galveno tirgus sarakstu, gan ar daudzpusējās tirdzniecības sistēmas (MTF) alternatīvo tirgus sarakstu </w:t>
      </w:r>
      <w:proofErr w:type="spellStart"/>
      <w:r w:rsidRPr="00682D60">
        <w:rPr>
          <w:color w:val="auto"/>
          <w:sz w:val="28"/>
          <w:szCs w:val="28"/>
        </w:rPr>
        <w:t>Nasdaq</w:t>
      </w:r>
      <w:proofErr w:type="spellEnd"/>
      <w:r w:rsidRPr="00682D60">
        <w:rPr>
          <w:color w:val="auto"/>
          <w:sz w:val="28"/>
          <w:szCs w:val="28"/>
        </w:rPr>
        <w:t xml:space="preserve"> Baltijas biržā; </w:t>
      </w:r>
    </w:p>
    <w:p w14:paraId="7E1A4673" w14:textId="43D9A57F" w:rsidR="00E32641" w:rsidRPr="00682D60" w:rsidRDefault="00594226" w:rsidP="00C44894">
      <w:pPr>
        <w:pStyle w:val="Default"/>
        <w:numPr>
          <w:ilvl w:val="1"/>
          <w:numId w:val="9"/>
        </w:numPr>
        <w:jc w:val="both"/>
        <w:rPr>
          <w:color w:val="auto"/>
          <w:sz w:val="28"/>
          <w:szCs w:val="28"/>
        </w:rPr>
      </w:pPr>
      <w:r w:rsidRPr="00682D60">
        <w:rPr>
          <w:color w:val="auto"/>
          <w:sz w:val="28"/>
          <w:szCs w:val="28"/>
        </w:rPr>
        <w:t>pirms publiskā piedāvājuma</w:t>
      </w:r>
      <w:r w:rsidR="00E32641" w:rsidRPr="00682D60">
        <w:rPr>
          <w:color w:val="auto"/>
          <w:sz w:val="28"/>
          <w:szCs w:val="28"/>
        </w:rPr>
        <w:t xml:space="preserve"> posm</w:t>
      </w:r>
      <w:r w:rsidRPr="00682D60">
        <w:rPr>
          <w:color w:val="auto"/>
          <w:sz w:val="28"/>
          <w:szCs w:val="28"/>
        </w:rPr>
        <w:t>ā</w:t>
      </w:r>
      <w:r w:rsidR="00E32641" w:rsidRPr="00682D60">
        <w:rPr>
          <w:color w:val="auto"/>
          <w:sz w:val="28"/>
          <w:szCs w:val="28"/>
        </w:rPr>
        <w:t xml:space="preserve"> ar skaidru nolūku piemērotā laika posmā (orientējoši 12–24 mēnešos) iekļaut</w:t>
      </w:r>
      <w:r w:rsidR="00C44894" w:rsidRPr="00682D60">
        <w:rPr>
          <w:color w:val="auto"/>
          <w:sz w:val="28"/>
          <w:szCs w:val="28"/>
        </w:rPr>
        <w:t xml:space="preserve"> uzņēmumu</w:t>
      </w:r>
      <w:r w:rsidR="00E32641" w:rsidRPr="00682D60">
        <w:rPr>
          <w:color w:val="auto"/>
          <w:sz w:val="28"/>
          <w:szCs w:val="28"/>
        </w:rPr>
        <w:t xml:space="preserve"> šī punkta </w:t>
      </w:r>
      <w:r w:rsidR="00C44894" w:rsidRPr="00682D60">
        <w:rPr>
          <w:color w:val="auto"/>
          <w:sz w:val="28"/>
          <w:szCs w:val="28"/>
        </w:rPr>
        <w:t>a.</w:t>
      </w:r>
      <w:r w:rsidR="00E32641" w:rsidRPr="00682D60">
        <w:rPr>
          <w:color w:val="auto"/>
          <w:sz w:val="28"/>
          <w:szCs w:val="28"/>
        </w:rPr>
        <w:t xml:space="preserve"> apakšpunktā minētajās tirdzniecības vietās;</w:t>
      </w:r>
    </w:p>
    <w:p w14:paraId="74EE924A" w14:textId="7C628B20" w:rsidR="00C44894" w:rsidRPr="00682D60" w:rsidRDefault="00E32641" w:rsidP="00C44894">
      <w:pPr>
        <w:pStyle w:val="Default"/>
        <w:numPr>
          <w:ilvl w:val="0"/>
          <w:numId w:val="9"/>
        </w:numPr>
        <w:jc w:val="both"/>
        <w:rPr>
          <w:color w:val="auto"/>
          <w:sz w:val="28"/>
          <w:szCs w:val="28"/>
        </w:rPr>
      </w:pPr>
      <w:r w:rsidRPr="00682D60">
        <w:rPr>
          <w:color w:val="auto"/>
          <w:sz w:val="28"/>
          <w:szCs w:val="28"/>
        </w:rPr>
        <w:t>Fonds darbotos kā specializēts finanšu starpnieks, kur</w:t>
      </w:r>
      <w:r w:rsidR="00594226" w:rsidRPr="00682D60">
        <w:rPr>
          <w:color w:val="auto"/>
          <w:sz w:val="28"/>
          <w:szCs w:val="28"/>
        </w:rPr>
        <w:t>š</w:t>
      </w:r>
      <w:r w:rsidRPr="00682D60">
        <w:rPr>
          <w:color w:val="auto"/>
          <w:sz w:val="28"/>
          <w:szCs w:val="28"/>
        </w:rPr>
        <w:t xml:space="preserve"> </w:t>
      </w:r>
      <w:r w:rsidR="00594226" w:rsidRPr="00682D60">
        <w:rPr>
          <w:color w:val="auto"/>
          <w:sz w:val="28"/>
          <w:szCs w:val="28"/>
        </w:rPr>
        <w:t>veic</w:t>
      </w:r>
      <w:r w:rsidRPr="00682D60">
        <w:rPr>
          <w:color w:val="auto"/>
          <w:sz w:val="28"/>
          <w:szCs w:val="28"/>
        </w:rPr>
        <w:t xml:space="preserve"> ieguldījum</w:t>
      </w:r>
      <w:r w:rsidR="00594226" w:rsidRPr="00682D60">
        <w:rPr>
          <w:color w:val="auto"/>
          <w:sz w:val="28"/>
          <w:szCs w:val="28"/>
        </w:rPr>
        <w:t>us</w:t>
      </w:r>
      <w:r w:rsidRPr="00682D60">
        <w:rPr>
          <w:color w:val="auto"/>
          <w:sz w:val="28"/>
          <w:szCs w:val="28"/>
        </w:rPr>
        <w:t xml:space="preserve"> </w:t>
      </w:r>
      <w:r w:rsidR="00594226" w:rsidRPr="00682D60">
        <w:rPr>
          <w:color w:val="auto"/>
          <w:sz w:val="28"/>
          <w:szCs w:val="28"/>
        </w:rPr>
        <w:t xml:space="preserve">uzņēmumā </w:t>
      </w:r>
      <w:r w:rsidRPr="00682D60">
        <w:rPr>
          <w:color w:val="auto"/>
          <w:sz w:val="28"/>
          <w:szCs w:val="28"/>
        </w:rPr>
        <w:t xml:space="preserve">pirms </w:t>
      </w:r>
      <w:r w:rsidR="00594226" w:rsidRPr="00682D60">
        <w:rPr>
          <w:color w:val="auto"/>
          <w:sz w:val="28"/>
          <w:szCs w:val="28"/>
        </w:rPr>
        <w:t>publiskā piedāvājuma</w:t>
      </w:r>
      <w:r w:rsidRPr="00682D60">
        <w:rPr>
          <w:color w:val="auto"/>
          <w:sz w:val="28"/>
          <w:szCs w:val="28"/>
        </w:rPr>
        <w:t>,</w:t>
      </w:r>
      <w:r w:rsidR="00594226" w:rsidRPr="00682D60">
        <w:rPr>
          <w:color w:val="auto"/>
          <w:sz w:val="28"/>
          <w:szCs w:val="28"/>
        </w:rPr>
        <w:t xml:space="preserve"> līdz ar to</w:t>
      </w:r>
      <w:r w:rsidRPr="00682D60">
        <w:rPr>
          <w:color w:val="auto"/>
          <w:sz w:val="28"/>
          <w:szCs w:val="28"/>
        </w:rPr>
        <w:t xml:space="preserve"> būtiski atbalstot </w:t>
      </w:r>
      <w:r w:rsidR="00594226" w:rsidRPr="00682D60">
        <w:rPr>
          <w:color w:val="auto"/>
          <w:sz w:val="28"/>
          <w:szCs w:val="28"/>
        </w:rPr>
        <w:t xml:space="preserve">publiskā piedāvājuma </w:t>
      </w:r>
      <w:r w:rsidRPr="00682D60">
        <w:rPr>
          <w:color w:val="auto"/>
          <w:sz w:val="28"/>
          <w:szCs w:val="28"/>
        </w:rPr>
        <w:t>līdzekļu vākšanu un tiešu iekļaušanu tirgū, darbojoties kā “stūrakmens ieguldītājs”</w:t>
      </w:r>
      <w:r w:rsidR="00594226" w:rsidRPr="00682D60">
        <w:rPr>
          <w:color w:val="auto"/>
          <w:sz w:val="28"/>
          <w:szCs w:val="28"/>
        </w:rPr>
        <w:t>. Fonds</w:t>
      </w:r>
      <w:r w:rsidRPr="00682D60">
        <w:rPr>
          <w:color w:val="auto"/>
          <w:sz w:val="28"/>
          <w:szCs w:val="28"/>
        </w:rPr>
        <w:t xml:space="preserve"> veiktu būtisku ieguldījumu (ar to saprot vismaz 25% no </w:t>
      </w:r>
      <w:r w:rsidR="00C7291B" w:rsidRPr="00BD7E96">
        <w:rPr>
          <w:b/>
          <w:bCs/>
          <w:color w:val="auto"/>
          <w:sz w:val="28"/>
          <w:szCs w:val="28"/>
          <w:u w:val="single"/>
        </w:rPr>
        <w:t>kapitāla vai parāda</w:t>
      </w:r>
      <w:r w:rsidR="00FB14EA">
        <w:rPr>
          <w:color w:val="auto"/>
          <w:sz w:val="28"/>
          <w:szCs w:val="28"/>
        </w:rPr>
        <w:t xml:space="preserve"> </w:t>
      </w:r>
      <w:r w:rsidR="00320B4A" w:rsidRPr="00682D60">
        <w:rPr>
          <w:color w:val="auto"/>
          <w:sz w:val="28"/>
          <w:szCs w:val="28"/>
        </w:rPr>
        <w:t>vērtspapīru emisijas</w:t>
      </w:r>
      <w:r w:rsidRPr="00682D60">
        <w:rPr>
          <w:color w:val="auto"/>
          <w:sz w:val="28"/>
          <w:szCs w:val="28"/>
        </w:rPr>
        <w:t xml:space="preserve">) </w:t>
      </w:r>
      <w:r w:rsidR="00320B4A" w:rsidRPr="00682D60">
        <w:rPr>
          <w:color w:val="auto"/>
          <w:sz w:val="28"/>
          <w:szCs w:val="28"/>
        </w:rPr>
        <w:t>uzņēmumā</w:t>
      </w:r>
      <w:r w:rsidRPr="00682D60">
        <w:rPr>
          <w:color w:val="auto"/>
          <w:sz w:val="28"/>
          <w:szCs w:val="28"/>
        </w:rPr>
        <w:t xml:space="preserve">, </w:t>
      </w:r>
      <w:r w:rsidR="00594226" w:rsidRPr="00682D60">
        <w:rPr>
          <w:color w:val="auto"/>
          <w:sz w:val="28"/>
          <w:szCs w:val="28"/>
        </w:rPr>
        <w:t xml:space="preserve">ar to </w:t>
      </w:r>
      <w:r w:rsidRPr="00682D60">
        <w:rPr>
          <w:color w:val="auto"/>
          <w:sz w:val="28"/>
          <w:szCs w:val="28"/>
        </w:rPr>
        <w:t xml:space="preserve">sniedzot </w:t>
      </w:r>
      <w:r w:rsidR="00594226" w:rsidRPr="00682D60">
        <w:rPr>
          <w:color w:val="auto"/>
          <w:sz w:val="28"/>
          <w:szCs w:val="28"/>
        </w:rPr>
        <w:t>pozitīvu</w:t>
      </w:r>
      <w:r w:rsidRPr="00682D60">
        <w:rPr>
          <w:color w:val="auto"/>
          <w:sz w:val="28"/>
          <w:szCs w:val="28"/>
        </w:rPr>
        <w:t xml:space="preserve"> signālu citiem potenciālajiem investoriem;</w:t>
      </w:r>
    </w:p>
    <w:p w14:paraId="2E1B7A43" w14:textId="3CEC403F" w:rsidR="00E32641" w:rsidRPr="00682D60" w:rsidRDefault="00E32641" w:rsidP="00C44894">
      <w:pPr>
        <w:pStyle w:val="Default"/>
        <w:numPr>
          <w:ilvl w:val="0"/>
          <w:numId w:val="9"/>
        </w:numPr>
        <w:jc w:val="both"/>
        <w:rPr>
          <w:color w:val="auto"/>
          <w:sz w:val="28"/>
          <w:szCs w:val="28"/>
        </w:rPr>
      </w:pPr>
      <w:r w:rsidRPr="00682D60">
        <w:rPr>
          <w:color w:val="auto"/>
          <w:sz w:val="28"/>
          <w:szCs w:val="28"/>
        </w:rPr>
        <w:t xml:space="preserve">Fonds katrā darījumā ieguldītu līdz 50% no kopējā </w:t>
      </w:r>
      <w:r w:rsidR="00320B4A" w:rsidRPr="00682D60">
        <w:rPr>
          <w:color w:val="auto"/>
          <w:sz w:val="28"/>
          <w:szCs w:val="28"/>
        </w:rPr>
        <w:t>emisijas apjoma</w:t>
      </w:r>
      <w:r w:rsidR="006C3EEA" w:rsidRPr="006C3EEA">
        <w:t xml:space="preserve"> </w:t>
      </w:r>
      <w:r w:rsidR="006C3EEA" w:rsidRPr="006C3EEA">
        <w:rPr>
          <w:color w:val="auto"/>
          <w:sz w:val="28"/>
          <w:szCs w:val="28"/>
        </w:rPr>
        <w:t>vērtspapīros ar ISIN kodu regulētā un alternatīvajā tirgū</w:t>
      </w:r>
      <w:r w:rsidRPr="00682D60">
        <w:rPr>
          <w:color w:val="auto"/>
          <w:sz w:val="28"/>
          <w:szCs w:val="28"/>
        </w:rPr>
        <w:t>, bet pārējai ieguldījuma daļai ir jānāk no citiem ieguldītājiem, kuri saskaņā ar ES valsts atbalsta noteikumiem ir kvalificēti kā “privātie ieguldītāji”;</w:t>
      </w:r>
    </w:p>
    <w:p w14:paraId="6F2E162F" w14:textId="289D5A5B" w:rsidR="00E32641" w:rsidRPr="00682D60" w:rsidRDefault="00E32641" w:rsidP="00C44894">
      <w:pPr>
        <w:pStyle w:val="Default"/>
        <w:numPr>
          <w:ilvl w:val="0"/>
          <w:numId w:val="9"/>
        </w:numPr>
        <w:jc w:val="both"/>
        <w:rPr>
          <w:color w:val="auto"/>
          <w:sz w:val="28"/>
          <w:szCs w:val="28"/>
        </w:rPr>
      </w:pPr>
      <w:r w:rsidRPr="00682D60">
        <w:rPr>
          <w:color w:val="auto"/>
          <w:sz w:val="28"/>
          <w:szCs w:val="28"/>
        </w:rPr>
        <w:t xml:space="preserve">Mērķis ir </w:t>
      </w:r>
      <w:r w:rsidR="00320B4A" w:rsidRPr="00682D60">
        <w:rPr>
          <w:color w:val="auto"/>
          <w:sz w:val="28"/>
          <w:szCs w:val="28"/>
        </w:rPr>
        <w:t xml:space="preserve">izveidot fondu </w:t>
      </w:r>
      <w:r w:rsidRPr="00682D60">
        <w:rPr>
          <w:color w:val="auto"/>
          <w:sz w:val="28"/>
          <w:szCs w:val="28"/>
        </w:rPr>
        <w:t xml:space="preserve">80 miljonu </w:t>
      </w:r>
      <w:proofErr w:type="spellStart"/>
      <w:r w:rsidR="00513D64" w:rsidRPr="00682D60">
        <w:rPr>
          <w:i/>
          <w:iCs/>
          <w:color w:val="auto"/>
          <w:sz w:val="28"/>
          <w:szCs w:val="28"/>
        </w:rPr>
        <w:t>euro</w:t>
      </w:r>
      <w:proofErr w:type="spellEnd"/>
      <w:r w:rsidR="00513D64" w:rsidRPr="00682D60">
        <w:rPr>
          <w:color w:val="auto"/>
          <w:sz w:val="28"/>
          <w:szCs w:val="28"/>
        </w:rPr>
        <w:t xml:space="preserve"> apmērā</w:t>
      </w:r>
      <w:r w:rsidRPr="00682D60">
        <w:rPr>
          <w:color w:val="auto"/>
          <w:sz w:val="28"/>
          <w:szCs w:val="28"/>
        </w:rPr>
        <w:t>,</w:t>
      </w:r>
      <w:r w:rsidR="00513D64" w:rsidRPr="00682D60">
        <w:rPr>
          <w:color w:val="auto"/>
          <w:sz w:val="28"/>
          <w:szCs w:val="28"/>
        </w:rPr>
        <w:t xml:space="preserve"> bet</w:t>
      </w:r>
      <w:r w:rsidRPr="00682D60">
        <w:rPr>
          <w:color w:val="auto"/>
          <w:sz w:val="28"/>
          <w:szCs w:val="28"/>
        </w:rPr>
        <w:t xml:space="preserve"> minimālais </w:t>
      </w:r>
      <w:r w:rsidR="00320B4A" w:rsidRPr="00682D60">
        <w:rPr>
          <w:color w:val="auto"/>
          <w:sz w:val="28"/>
          <w:szCs w:val="28"/>
        </w:rPr>
        <w:t xml:space="preserve">fonda </w:t>
      </w:r>
      <w:r w:rsidR="00513D64" w:rsidRPr="00682D60">
        <w:rPr>
          <w:color w:val="auto"/>
          <w:sz w:val="28"/>
          <w:szCs w:val="28"/>
        </w:rPr>
        <w:t>apmērs</w:t>
      </w:r>
      <w:r w:rsidRPr="00682D60">
        <w:rPr>
          <w:color w:val="auto"/>
          <w:sz w:val="28"/>
          <w:szCs w:val="28"/>
        </w:rPr>
        <w:t xml:space="preserve"> ir 40 miljoni </w:t>
      </w:r>
      <w:proofErr w:type="spellStart"/>
      <w:r w:rsidRPr="00682D60">
        <w:rPr>
          <w:i/>
          <w:iCs/>
          <w:color w:val="auto"/>
          <w:sz w:val="28"/>
          <w:szCs w:val="28"/>
        </w:rPr>
        <w:t>euro</w:t>
      </w:r>
      <w:proofErr w:type="spellEnd"/>
      <w:r w:rsidRPr="00682D60">
        <w:rPr>
          <w:color w:val="auto"/>
          <w:sz w:val="28"/>
          <w:szCs w:val="28"/>
        </w:rPr>
        <w:t xml:space="preserve">. Ierosinātajam fondam </w:t>
      </w:r>
      <w:r w:rsidR="00320B4A" w:rsidRPr="00682D60">
        <w:rPr>
          <w:color w:val="auto"/>
          <w:sz w:val="28"/>
          <w:szCs w:val="28"/>
        </w:rPr>
        <w:t xml:space="preserve">ir </w:t>
      </w:r>
      <w:r w:rsidRPr="00682D60">
        <w:rPr>
          <w:color w:val="auto"/>
          <w:sz w:val="28"/>
          <w:szCs w:val="28"/>
        </w:rPr>
        <w:t xml:space="preserve">jāveido līdzsvarots un diversificēts portfelis. </w:t>
      </w:r>
      <w:r w:rsidR="00513D64" w:rsidRPr="00682D60">
        <w:rPr>
          <w:color w:val="auto"/>
          <w:sz w:val="28"/>
          <w:szCs w:val="28"/>
        </w:rPr>
        <w:t xml:space="preserve">Ieguldījuma apmērs vienā uzņēmumā </w:t>
      </w:r>
      <w:r w:rsidR="00320B4A" w:rsidRPr="00682D60">
        <w:rPr>
          <w:color w:val="auto"/>
          <w:sz w:val="28"/>
          <w:szCs w:val="28"/>
        </w:rPr>
        <w:t xml:space="preserve">ir </w:t>
      </w:r>
      <w:r w:rsidR="00513D64" w:rsidRPr="00682D60">
        <w:rPr>
          <w:color w:val="auto"/>
          <w:sz w:val="28"/>
          <w:szCs w:val="28"/>
        </w:rPr>
        <w:t xml:space="preserve">robežās no 0,5–5 miljoniem </w:t>
      </w:r>
      <w:proofErr w:type="spellStart"/>
      <w:r w:rsidR="00513D64" w:rsidRPr="00682D60">
        <w:rPr>
          <w:i/>
          <w:iCs/>
          <w:color w:val="auto"/>
          <w:sz w:val="28"/>
          <w:szCs w:val="28"/>
        </w:rPr>
        <w:t>euro</w:t>
      </w:r>
      <w:proofErr w:type="spellEnd"/>
      <w:r w:rsidR="00513D64" w:rsidRPr="00682D60">
        <w:rPr>
          <w:color w:val="auto"/>
          <w:sz w:val="28"/>
          <w:szCs w:val="28"/>
        </w:rPr>
        <w:t xml:space="preserve">,  vidēji no </w:t>
      </w:r>
      <w:r w:rsidRPr="00682D60">
        <w:rPr>
          <w:color w:val="auto"/>
          <w:sz w:val="28"/>
          <w:szCs w:val="28"/>
        </w:rPr>
        <w:t xml:space="preserve">2–3 miljonu </w:t>
      </w:r>
      <w:proofErr w:type="spellStart"/>
      <w:r w:rsidRPr="00682D60">
        <w:rPr>
          <w:i/>
          <w:iCs/>
          <w:color w:val="auto"/>
          <w:sz w:val="28"/>
          <w:szCs w:val="28"/>
        </w:rPr>
        <w:t>euro</w:t>
      </w:r>
      <w:proofErr w:type="spellEnd"/>
      <w:r w:rsidRPr="00682D60">
        <w:rPr>
          <w:color w:val="auto"/>
          <w:sz w:val="28"/>
          <w:szCs w:val="28"/>
        </w:rPr>
        <w:t xml:space="preserve"> apmērā</w:t>
      </w:r>
      <w:r w:rsidR="00513D64" w:rsidRPr="00682D60">
        <w:rPr>
          <w:color w:val="auto"/>
          <w:sz w:val="28"/>
          <w:szCs w:val="28"/>
        </w:rPr>
        <w:t>, un</w:t>
      </w:r>
      <w:r w:rsidRPr="00682D60">
        <w:rPr>
          <w:color w:val="auto"/>
          <w:sz w:val="28"/>
          <w:szCs w:val="28"/>
        </w:rPr>
        <w:t xml:space="preserve"> tas ļautu veikt 21–24 ieguldījumus </w:t>
      </w:r>
      <w:r w:rsidR="00513D64" w:rsidRPr="00682D60">
        <w:rPr>
          <w:color w:val="auto"/>
          <w:sz w:val="28"/>
          <w:szCs w:val="28"/>
        </w:rPr>
        <w:t xml:space="preserve">iepriekš </w:t>
      </w:r>
      <w:r w:rsidRPr="00682D60">
        <w:rPr>
          <w:color w:val="auto"/>
          <w:sz w:val="28"/>
          <w:szCs w:val="28"/>
        </w:rPr>
        <w:t xml:space="preserve">minētajā mērķa lielumā, vai arī 15–18 ieguldījumus ar minimālo fonda lielumu. </w:t>
      </w:r>
    </w:p>
    <w:p w14:paraId="4F5CF9C0" w14:textId="6B804967" w:rsidR="001458E6" w:rsidRDefault="001458E6" w:rsidP="00057C01">
      <w:pPr>
        <w:pStyle w:val="ListParagraph"/>
        <w:numPr>
          <w:ilvl w:val="0"/>
          <w:numId w:val="9"/>
        </w:numPr>
        <w:jc w:val="both"/>
        <w:rPr>
          <w:rFonts w:ascii="Times New Roman" w:hAnsi="Times New Roman" w:cs="Times New Roman"/>
          <w:sz w:val="28"/>
          <w:szCs w:val="28"/>
        </w:rPr>
      </w:pPr>
      <w:r w:rsidRPr="00682D60">
        <w:rPr>
          <w:rFonts w:ascii="Times New Roman" w:hAnsi="Times New Roman" w:cs="Times New Roman"/>
          <w:sz w:val="28"/>
          <w:szCs w:val="28"/>
        </w:rPr>
        <w:t xml:space="preserve">Pašlaik ir paredzēts, ka fonda līmenī sākotnējā posmā piedalīsies divas Baltijas valstis (Latvija, Lietuva), </w:t>
      </w:r>
      <w:r w:rsidR="00513D64" w:rsidRPr="00682D60">
        <w:rPr>
          <w:rFonts w:ascii="Times New Roman" w:hAnsi="Times New Roman" w:cs="Times New Roman"/>
          <w:sz w:val="28"/>
          <w:szCs w:val="28"/>
        </w:rPr>
        <w:t xml:space="preserve">savukārt Igaunija </w:t>
      </w:r>
      <w:r w:rsidRPr="00682D60">
        <w:rPr>
          <w:rFonts w:ascii="Times New Roman" w:hAnsi="Times New Roman" w:cs="Times New Roman"/>
          <w:sz w:val="28"/>
          <w:szCs w:val="28"/>
        </w:rPr>
        <w:t>potenciāli pievienosies vēlāk. Bez tam  tiek apsvērts arī starptautisko finanšu institūciju</w:t>
      </w:r>
      <w:r w:rsidR="008773DA" w:rsidRPr="00682D60">
        <w:rPr>
          <w:rFonts w:ascii="Times New Roman" w:hAnsi="Times New Roman" w:cs="Times New Roman"/>
          <w:sz w:val="28"/>
          <w:szCs w:val="28"/>
        </w:rPr>
        <w:t xml:space="preserve"> (turpmāk- SFI)</w:t>
      </w:r>
      <w:r w:rsidRPr="00682D60">
        <w:rPr>
          <w:rFonts w:ascii="Times New Roman" w:hAnsi="Times New Roman" w:cs="Times New Roman"/>
          <w:sz w:val="28"/>
          <w:szCs w:val="28"/>
        </w:rPr>
        <w:t xml:space="preserve"> ieguldījums fondā, vai arī to iesaiste pārvaldības pieredze</w:t>
      </w:r>
      <w:r w:rsidR="00513D64" w:rsidRPr="00682D60">
        <w:rPr>
          <w:rFonts w:ascii="Times New Roman" w:hAnsi="Times New Roman" w:cs="Times New Roman"/>
          <w:sz w:val="28"/>
          <w:szCs w:val="28"/>
        </w:rPr>
        <w:t>s</w:t>
      </w:r>
      <w:r w:rsidRPr="00682D60">
        <w:rPr>
          <w:rFonts w:ascii="Times New Roman" w:hAnsi="Times New Roman" w:cs="Times New Roman"/>
          <w:sz w:val="28"/>
          <w:szCs w:val="28"/>
        </w:rPr>
        <w:t xml:space="preserve">  pārņemšanā. Tālākā perspektīvā ir iespējams arī Eiropas Savienības topošā </w:t>
      </w:r>
      <w:r w:rsidR="00375D14">
        <w:rPr>
          <w:rFonts w:ascii="Times New Roman" w:hAnsi="Times New Roman" w:cs="Times New Roman"/>
          <w:sz w:val="28"/>
          <w:szCs w:val="28"/>
        </w:rPr>
        <w:t>MVU</w:t>
      </w:r>
      <w:r w:rsidRPr="00682D60">
        <w:rPr>
          <w:rFonts w:ascii="Times New Roman" w:hAnsi="Times New Roman" w:cs="Times New Roman"/>
          <w:sz w:val="28"/>
          <w:szCs w:val="28"/>
        </w:rPr>
        <w:t xml:space="preserve"> sākotnējā publiskā piedāvājuma fonda daļas ieguldījums.</w:t>
      </w:r>
    </w:p>
    <w:p w14:paraId="132E04A6" w14:textId="135DFC9B" w:rsidR="00170A5D" w:rsidRDefault="00170A5D" w:rsidP="00214D1C">
      <w:pPr>
        <w:jc w:val="both"/>
        <w:rPr>
          <w:rFonts w:ascii="Times New Roman" w:hAnsi="Times New Roman" w:cs="Times New Roman"/>
          <w:sz w:val="28"/>
          <w:szCs w:val="28"/>
        </w:rPr>
      </w:pPr>
    </w:p>
    <w:p w14:paraId="7E590790" w14:textId="3DBFF57B" w:rsidR="00170A5D" w:rsidRDefault="00385C46" w:rsidP="00214D1C">
      <w:pPr>
        <w:jc w:val="both"/>
        <w:rPr>
          <w:rFonts w:ascii="Times New Roman" w:hAnsi="Times New Roman" w:cs="Times New Roman"/>
          <w:sz w:val="28"/>
          <w:szCs w:val="28"/>
        </w:rPr>
      </w:pPr>
      <w:r>
        <w:rPr>
          <w:rFonts w:ascii="Times New Roman" w:hAnsi="Times New Roman" w:cs="Times New Roman"/>
          <w:sz w:val="28"/>
          <w:szCs w:val="28"/>
        </w:rPr>
        <w:t>Papildus fonda darbības modeļa elementiem atzīmējam šād</w:t>
      </w:r>
      <w:r w:rsidR="002A12E9">
        <w:rPr>
          <w:rFonts w:ascii="Times New Roman" w:hAnsi="Times New Roman" w:cs="Times New Roman"/>
          <w:sz w:val="28"/>
          <w:szCs w:val="28"/>
        </w:rPr>
        <w:t>us</w:t>
      </w:r>
      <w:r>
        <w:rPr>
          <w:rFonts w:ascii="Times New Roman" w:hAnsi="Times New Roman" w:cs="Times New Roman"/>
          <w:sz w:val="28"/>
          <w:szCs w:val="28"/>
        </w:rPr>
        <w:t xml:space="preserve"> </w:t>
      </w:r>
      <w:r w:rsidR="002A12E9">
        <w:rPr>
          <w:rFonts w:ascii="Times New Roman" w:hAnsi="Times New Roman" w:cs="Times New Roman"/>
          <w:sz w:val="28"/>
          <w:szCs w:val="28"/>
        </w:rPr>
        <w:t>būtiskus aspektus</w:t>
      </w:r>
      <w:r>
        <w:rPr>
          <w:rFonts w:ascii="Times New Roman" w:hAnsi="Times New Roman" w:cs="Times New Roman"/>
          <w:sz w:val="28"/>
          <w:szCs w:val="28"/>
        </w:rPr>
        <w:t xml:space="preserve"> turpmākā</w:t>
      </w:r>
      <w:r w:rsidR="00BF2259">
        <w:rPr>
          <w:rFonts w:ascii="Times New Roman" w:hAnsi="Times New Roman" w:cs="Times New Roman"/>
          <w:sz w:val="28"/>
          <w:szCs w:val="28"/>
        </w:rPr>
        <w:t xml:space="preserve"> f</w:t>
      </w:r>
      <w:r w:rsidR="006C3EEA">
        <w:rPr>
          <w:rFonts w:ascii="Times New Roman" w:hAnsi="Times New Roman" w:cs="Times New Roman"/>
          <w:sz w:val="28"/>
          <w:szCs w:val="28"/>
        </w:rPr>
        <w:t>onda darbības nosacījumu izstrādē</w:t>
      </w:r>
      <w:r w:rsidR="007531D1">
        <w:rPr>
          <w:rFonts w:ascii="Times New Roman" w:hAnsi="Times New Roman" w:cs="Times New Roman"/>
          <w:sz w:val="28"/>
          <w:szCs w:val="28"/>
        </w:rPr>
        <w:t>:</w:t>
      </w:r>
    </w:p>
    <w:p w14:paraId="34F24638" w14:textId="2A86D303" w:rsidR="00170A5D" w:rsidRPr="00170A5D" w:rsidRDefault="00170A5D" w:rsidP="00170A5D">
      <w:pPr>
        <w:jc w:val="both"/>
        <w:rPr>
          <w:rFonts w:ascii="Times New Roman" w:hAnsi="Times New Roman" w:cs="Times New Roman"/>
          <w:sz w:val="28"/>
          <w:szCs w:val="28"/>
        </w:rPr>
      </w:pPr>
      <w:r>
        <w:rPr>
          <w:rFonts w:ascii="Times New Roman" w:hAnsi="Times New Roman" w:cs="Times New Roman"/>
          <w:sz w:val="28"/>
          <w:szCs w:val="28"/>
        </w:rPr>
        <w:t xml:space="preserve">1) </w:t>
      </w:r>
      <w:r w:rsidR="00BF2259">
        <w:rPr>
          <w:rFonts w:ascii="Times New Roman" w:hAnsi="Times New Roman" w:cs="Times New Roman"/>
          <w:sz w:val="28"/>
          <w:szCs w:val="28"/>
        </w:rPr>
        <w:t>Fonda ieguldījumu</w:t>
      </w:r>
      <w:r w:rsidR="00385C46">
        <w:rPr>
          <w:rFonts w:ascii="Times New Roman" w:hAnsi="Times New Roman" w:cs="Times New Roman"/>
          <w:sz w:val="28"/>
          <w:szCs w:val="28"/>
        </w:rPr>
        <w:t xml:space="preserve"> </w:t>
      </w:r>
      <w:r w:rsidR="00BF2259">
        <w:rPr>
          <w:rFonts w:ascii="Times New Roman" w:hAnsi="Times New Roman" w:cs="Times New Roman"/>
          <w:sz w:val="28"/>
          <w:szCs w:val="28"/>
        </w:rPr>
        <w:t>l</w:t>
      </w:r>
      <w:r w:rsidRPr="00170A5D">
        <w:rPr>
          <w:rFonts w:ascii="Times New Roman" w:hAnsi="Times New Roman" w:cs="Times New Roman"/>
          <w:sz w:val="28"/>
          <w:szCs w:val="28"/>
        </w:rPr>
        <w:t xml:space="preserve">ielākā daļa būtu novirzāma </w:t>
      </w:r>
      <w:r>
        <w:rPr>
          <w:rFonts w:ascii="Times New Roman" w:hAnsi="Times New Roman" w:cs="Times New Roman"/>
          <w:sz w:val="28"/>
          <w:szCs w:val="28"/>
        </w:rPr>
        <w:t>3.</w:t>
      </w:r>
      <w:r w:rsidRPr="00170A5D">
        <w:rPr>
          <w:rFonts w:ascii="Times New Roman" w:hAnsi="Times New Roman" w:cs="Times New Roman"/>
          <w:sz w:val="28"/>
          <w:szCs w:val="28"/>
        </w:rPr>
        <w:t>a.</w:t>
      </w:r>
      <w:r>
        <w:rPr>
          <w:rFonts w:ascii="Times New Roman" w:hAnsi="Times New Roman" w:cs="Times New Roman"/>
          <w:sz w:val="28"/>
          <w:szCs w:val="28"/>
        </w:rPr>
        <w:t xml:space="preserve"> punkta</w:t>
      </w:r>
      <w:r w:rsidRPr="00170A5D">
        <w:rPr>
          <w:rFonts w:ascii="Times New Roman" w:hAnsi="Times New Roman" w:cs="Times New Roman"/>
          <w:sz w:val="28"/>
          <w:szCs w:val="28"/>
        </w:rPr>
        <w:t xml:space="preserve"> mērķim – ieguldījums sākotnējos publiskajos vai privātajos piedāvājumos, kas saistīti gan ar galveno tirgus sarakstu, gan ar daudzpusējās tirdzniecības sistēmas (MTF) alternatīvo tirgus sarakstu </w:t>
      </w:r>
      <w:proofErr w:type="spellStart"/>
      <w:r w:rsidRPr="00170A5D">
        <w:rPr>
          <w:rFonts w:ascii="Times New Roman" w:hAnsi="Times New Roman" w:cs="Times New Roman"/>
          <w:sz w:val="28"/>
          <w:szCs w:val="28"/>
        </w:rPr>
        <w:t>Nasdaq</w:t>
      </w:r>
      <w:proofErr w:type="spellEnd"/>
      <w:r w:rsidRPr="00170A5D">
        <w:rPr>
          <w:rFonts w:ascii="Times New Roman" w:hAnsi="Times New Roman" w:cs="Times New Roman"/>
          <w:sz w:val="28"/>
          <w:szCs w:val="28"/>
        </w:rPr>
        <w:t xml:space="preserve"> Baltijas biržā.</w:t>
      </w:r>
      <w:r>
        <w:rPr>
          <w:rFonts w:ascii="Times New Roman" w:hAnsi="Times New Roman" w:cs="Times New Roman"/>
          <w:sz w:val="28"/>
          <w:szCs w:val="28"/>
        </w:rPr>
        <w:t xml:space="preserve"> </w:t>
      </w:r>
    </w:p>
    <w:p w14:paraId="4490D23E" w14:textId="7C5641FB" w:rsidR="007716A5" w:rsidRDefault="00347AD7" w:rsidP="00170A5D">
      <w:pPr>
        <w:jc w:val="both"/>
        <w:rPr>
          <w:rFonts w:ascii="Times New Roman" w:hAnsi="Times New Roman" w:cs="Times New Roman"/>
          <w:sz w:val="28"/>
          <w:szCs w:val="28"/>
        </w:rPr>
      </w:pPr>
      <w:r>
        <w:rPr>
          <w:rFonts w:ascii="Times New Roman" w:hAnsi="Times New Roman" w:cs="Times New Roman"/>
          <w:sz w:val="28"/>
          <w:szCs w:val="28"/>
        </w:rPr>
        <w:t xml:space="preserve">2) </w:t>
      </w:r>
      <w:r w:rsidR="00170A5D" w:rsidRPr="00170A5D">
        <w:rPr>
          <w:rFonts w:ascii="Times New Roman" w:hAnsi="Times New Roman" w:cs="Times New Roman"/>
          <w:sz w:val="28"/>
          <w:szCs w:val="28"/>
        </w:rPr>
        <w:t xml:space="preserve">Ieguldījums atbilstoši </w:t>
      </w:r>
      <w:r w:rsidR="00170A5D">
        <w:rPr>
          <w:rFonts w:ascii="Times New Roman" w:hAnsi="Times New Roman" w:cs="Times New Roman"/>
          <w:sz w:val="28"/>
          <w:szCs w:val="28"/>
        </w:rPr>
        <w:t>3.</w:t>
      </w:r>
      <w:r w:rsidR="00170A5D" w:rsidRPr="00170A5D">
        <w:rPr>
          <w:rFonts w:ascii="Times New Roman" w:hAnsi="Times New Roman" w:cs="Times New Roman"/>
          <w:sz w:val="28"/>
          <w:szCs w:val="28"/>
        </w:rPr>
        <w:t>b. punktam pirms publiskā piedāvājum</w:t>
      </w:r>
      <w:r w:rsidR="0045159E">
        <w:rPr>
          <w:rFonts w:ascii="Times New Roman" w:hAnsi="Times New Roman" w:cs="Times New Roman"/>
          <w:sz w:val="28"/>
          <w:szCs w:val="28"/>
        </w:rPr>
        <w:t>a</w:t>
      </w:r>
      <w:r w:rsidR="00170A5D" w:rsidRPr="00170A5D">
        <w:rPr>
          <w:rFonts w:ascii="Times New Roman" w:hAnsi="Times New Roman" w:cs="Times New Roman"/>
          <w:sz w:val="28"/>
          <w:szCs w:val="28"/>
        </w:rPr>
        <w:t xml:space="preserve"> posmā ir paredzēts, lai  sekmētu fonda ieguldījumu uzņēmumu plūsmu</w:t>
      </w:r>
      <w:r w:rsidR="007716A5">
        <w:rPr>
          <w:rFonts w:ascii="Times New Roman" w:hAnsi="Times New Roman" w:cs="Times New Roman"/>
          <w:sz w:val="28"/>
          <w:szCs w:val="28"/>
        </w:rPr>
        <w:t>:</w:t>
      </w:r>
    </w:p>
    <w:p w14:paraId="64649212" w14:textId="1C612B63" w:rsidR="007716A5" w:rsidRPr="00BD7E96" w:rsidRDefault="00347AD7" w:rsidP="004479E6">
      <w:pPr>
        <w:pStyle w:val="ListParagraph"/>
        <w:numPr>
          <w:ilvl w:val="0"/>
          <w:numId w:val="17"/>
        </w:numPr>
        <w:jc w:val="both"/>
        <w:rPr>
          <w:rFonts w:ascii="Times New Roman" w:hAnsi="Times New Roman" w:cs="Times New Roman"/>
          <w:sz w:val="28"/>
          <w:szCs w:val="28"/>
        </w:rPr>
      </w:pPr>
      <w:r>
        <w:rPr>
          <w:rFonts w:ascii="Times New Roman" w:hAnsi="Times New Roman" w:cs="Times New Roman"/>
          <w:sz w:val="28"/>
          <w:szCs w:val="28"/>
        </w:rPr>
        <w:lastRenderedPageBreak/>
        <w:t>f</w:t>
      </w:r>
      <w:r w:rsidRPr="005361E9">
        <w:rPr>
          <w:rFonts w:ascii="Times New Roman" w:hAnsi="Times New Roman" w:cs="Times New Roman"/>
          <w:sz w:val="28"/>
          <w:szCs w:val="28"/>
        </w:rPr>
        <w:t xml:space="preserve">onda </w:t>
      </w:r>
      <w:r w:rsidR="007716A5" w:rsidRPr="005361E9">
        <w:rPr>
          <w:rFonts w:ascii="Times New Roman" w:hAnsi="Times New Roman" w:cs="Times New Roman"/>
          <w:sz w:val="28"/>
          <w:szCs w:val="28"/>
        </w:rPr>
        <w:t>ieguldījumiem ir  jābūt vērstiem uz tirgus nepilnību novēršanu, lai atvieglotu investoru piesaisti un veiktu sākotnējo publisko piedāvājumu,</w:t>
      </w:r>
      <w:r w:rsidR="007716A5" w:rsidRPr="006C3EEA">
        <w:t xml:space="preserve"> </w:t>
      </w:r>
      <w:r w:rsidR="007716A5" w:rsidRPr="005361E9">
        <w:rPr>
          <w:rFonts w:ascii="Times New Roman" w:hAnsi="Times New Roman" w:cs="Times New Roman"/>
          <w:sz w:val="28"/>
          <w:szCs w:val="28"/>
        </w:rPr>
        <w:t xml:space="preserve">it īpaši neliela izmēra uzņēmumiem. Fonda mērķi ir nosakāmi ne tikai un vienīgi no komerciālā izdevīguma aspekta, bet fondam ir nepieciešams īstenot uzdevumu ilgtermiņā attīstīt kapitāla tirgu un iesaistīt uzņēmumus. </w:t>
      </w:r>
      <w:r w:rsidR="007716A5" w:rsidRPr="00BD7E96">
        <w:rPr>
          <w:rFonts w:ascii="Times New Roman" w:hAnsi="Times New Roman" w:cs="Times New Roman"/>
          <w:sz w:val="28"/>
          <w:szCs w:val="28"/>
        </w:rPr>
        <w:t>Līdz ar to profesionāla fonda menedžera uzdevums būs atlasīt un veikt komerciāli izdevīgus un uz tirgus attīstību vērstus ieguldījumus</w:t>
      </w:r>
      <w:r w:rsidRPr="00BD7E96">
        <w:rPr>
          <w:rFonts w:ascii="Times New Roman" w:hAnsi="Times New Roman" w:cs="Times New Roman"/>
          <w:sz w:val="28"/>
          <w:szCs w:val="28"/>
        </w:rPr>
        <w:t>,</w:t>
      </w:r>
    </w:p>
    <w:p w14:paraId="4A74AC2A" w14:textId="56CA2A3D" w:rsidR="007716A5" w:rsidRPr="00BD7E96" w:rsidRDefault="004F136E" w:rsidP="00BD7E96">
      <w:pPr>
        <w:pStyle w:val="ListParagraph"/>
        <w:numPr>
          <w:ilvl w:val="0"/>
          <w:numId w:val="17"/>
        </w:numPr>
        <w:jc w:val="both"/>
        <w:rPr>
          <w:rFonts w:ascii="Times New Roman" w:hAnsi="Times New Roman" w:cs="Times New Roman"/>
          <w:sz w:val="28"/>
          <w:szCs w:val="28"/>
        </w:rPr>
      </w:pPr>
      <w:r w:rsidRPr="00BD7E96">
        <w:rPr>
          <w:rFonts w:ascii="Times New Roman" w:hAnsi="Times New Roman" w:cs="Times New Roman"/>
          <w:sz w:val="28"/>
          <w:szCs w:val="28"/>
        </w:rPr>
        <w:t>ieguldījumu īpatsvars atbilstoši 3.b. punktam nevar pārsniegt ieguldījumu īpatsvaru atbilstoši 3.a. punkta mērķim</w:t>
      </w:r>
      <w:r w:rsidR="007B5D38" w:rsidRPr="00BD7E96">
        <w:rPr>
          <w:rFonts w:ascii="Times New Roman" w:hAnsi="Times New Roman" w:cs="Times New Roman"/>
          <w:sz w:val="28"/>
          <w:szCs w:val="28"/>
        </w:rPr>
        <w:t xml:space="preserve"> fonda investīciju periodā</w:t>
      </w:r>
      <w:r w:rsidR="00347AD7" w:rsidRPr="00BD7E96">
        <w:rPr>
          <w:rFonts w:ascii="Times New Roman" w:hAnsi="Times New Roman" w:cs="Times New Roman"/>
          <w:sz w:val="28"/>
          <w:szCs w:val="28"/>
        </w:rPr>
        <w:t>,</w:t>
      </w:r>
      <w:r w:rsidR="00BE5D4A" w:rsidRPr="00BD7E96">
        <w:rPr>
          <w:rFonts w:ascii="Times New Roman" w:hAnsi="Times New Roman" w:cs="Times New Roman"/>
          <w:sz w:val="28"/>
          <w:szCs w:val="28"/>
        </w:rPr>
        <w:t xml:space="preserve"> </w:t>
      </w:r>
    </w:p>
    <w:p w14:paraId="0437EA2A" w14:textId="2D2FD094" w:rsidR="007716A5" w:rsidRDefault="00347AD7" w:rsidP="004479E6">
      <w:pPr>
        <w:pStyle w:val="ListParagraph"/>
        <w:numPr>
          <w:ilvl w:val="0"/>
          <w:numId w:val="17"/>
        </w:numPr>
        <w:jc w:val="both"/>
        <w:rPr>
          <w:rFonts w:ascii="Times New Roman" w:hAnsi="Times New Roman" w:cs="Times New Roman"/>
          <w:sz w:val="28"/>
          <w:szCs w:val="28"/>
        </w:rPr>
      </w:pPr>
      <w:r>
        <w:rPr>
          <w:rFonts w:ascii="Times New Roman" w:hAnsi="Times New Roman" w:cs="Times New Roman"/>
          <w:sz w:val="28"/>
          <w:szCs w:val="28"/>
        </w:rPr>
        <w:t>p</w:t>
      </w:r>
      <w:r w:rsidR="007716A5" w:rsidRPr="00BD7E96">
        <w:rPr>
          <w:rFonts w:ascii="Times New Roman" w:hAnsi="Times New Roman" w:cs="Times New Roman"/>
          <w:sz w:val="28"/>
          <w:szCs w:val="28"/>
        </w:rPr>
        <w:t>iedāvājam</w:t>
      </w:r>
      <w:r w:rsidR="00170A5D" w:rsidRPr="00BD7E96">
        <w:rPr>
          <w:rFonts w:ascii="Times New Roman" w:hAnsi="Times New Roman" w:cs="Times New Roman"/>
          <w:sz w:val="28"/>
          <w:szCs w:val="28"/>
        </w:rPr>
        <w:t xml:space="preserve"> saīsināt pirms publiskā piedāvājuma posma ilgumu līdz 12 mēnešiem.</w:t>
      </w:r>
      <w:r w:rsidR="004F136E" w:rsidRPr="00BD7E96">
        <w:rPr>
          <w:rFonts w:ascii="Times New Roman" w:hAnsi="Times New Roman" w:cs="Times New Roman"/>
          <w:sz w:val="28"/>
          <w:szCs w:val="28"/>
        </w:rPr>
        <w:t xml:space="preserve"> </w:t>
      </w:r>
    </w:p>
    <w:p w14:paraId="6F0A0DB1" w14:textId="24C3459F" w:rsidR="00170A5D" w:rsidRPr="00BD7E96" w:rsidRDefault="00347AD7" w:rsidP="00BD7E96">
      <w:pPr>
        <w:jc w:val="both"/>
        <w:rPr>
          <w:rFonts w:ascii="Times New Roman" w:hAnsi="Times New Roman" w:cs="Times New Roman"/>
          <w:sz w:val="28"/>
          <w:szCs w:val="28"/>
        </w:rPr>
      </w:pPr>
      <w:r>
        <w:rPr>
          <w:rFonts w:ascii="Times New Roman" w:hAnsi="Times New Roman" w:cs="Times New Roman"/>
          <w:sz w:val="28"/>
          <w:szCs w:val="28"/>
        </w:rPr>
        <w:t>3</w:t>
      </w:r>
      <w:r w:rsidR="00170A5D" w:rsidRPr="00BD7E96">
        <w:rPr>
          <w:rFonts w:ascii="Times New Roman" w:hAnsi="Times New Roman" w:cs="Times New Roman"/>
          <w:sz w:val="28"/>
          <w:szCs w:val="28"/>
        </w:rPr>
        <w:t xml:space="preserve">) </w:t>
      </w:r>
      <w:r w:rsidR="00A546E4">
        <w:rPr>
          <w:rFonts w:ascii="Times New Roman" w:hAnsi="Times New Roman" w:cs="Times New Roman"/>
          <w:sz w:val="28"/>
          <w:szCs w:val="28"/>
        </w:rPr>
        <w:t>Piedāvājam</w:t>
      </w:r>
      <w:r w:rsidR="00170A5D" w:rsidRPr="00BD7E96">
        <w:rPr>
          <w:rFonts w:ascii="Times New Roman" w:hAnsi="Times New Roman" w:cs="Times New Roman"/>
          <w:sz w:val="28"/>
          <w:szCs w:val="28"/>
        </w:rPr>
        <w:t xml:space="preserve"> </w:t>
      </w:r>
      <w:r w:rsidR="00385C46" w:rsidRPr="00BD7E96">
        <w:rPr>
          <w:rFonts w:ascii="Times New Roman" w:hAnsi="Times New Roman" w:cs="Times New Roman"/>
          <w:sz w:val="28"/>
          <w:szCs w:val="28"/>
        </w:rPr>
        <w:t xml:space="preserve">iekļaut </w:t>
      </w:r>
      <w:r w:rsidR="00214D1C" w:rsidRPr="00BD7E96">
        <w:rPr>
          <w:rFonts w:ascii="Times New Roman" w:hAnsi="Times New Roman" w:cs="Times New Roman"/>
          <w:sz w:val="28"/>
          <w:szCs w:val="28"/>
        </w:rPr>
        <w:t>potenciālo investīciju objektu skaitā arī alternatīvos ieguldījumu fondus ar to kotāciju biržā un skaidru saistību ar kapitāla tirgus attīstību</w:t>
      </w:r>
      <w:r w:rsidR="007B5D38">
        <w:rPr>
          <w:rFonts w:ascii="Times New Roman" w:hAnsi="Times New Roman" w:cs="Times New Roman"/>
          <w:sz w:val="28"/>
          <w:szCs w:val="28"/>
        </w:rPr>
        <w:t xml:space="preserve"> un ilgtspēju (ESG), ņemot vērā</w:t>
      </w:r>
      <w:r w:rsidR="00214D1C" w:rsidRPr="00BD7E96">
        <w:rPr>
          <w:rFonts w:ascii="Times New Roman" w:hAnsi="Times New Roman" w:cs="Times New Roman"/>
          <w:sz w:val="28"/>
          <w:szCs w:val="28"/>
        </w:rPr>
        <w:t xml:space="preserve"> </w:t>
      </w:r>
      <w:r w:rsidR="007B5D38" w:rsidRPr="007B5D38">
        <w:rPr>
          <w:rFonts w:ascii="Times New Roman" w:hAnsi="Times New Roman" w:cs="Times New Roman"/>
          <w:sz w:val="28"/>
          <w:szCs w:val="28"/>
        </w:rPr>
        <w:t>Eiropas Savienības struktūrfondu un Kohēzijas fonda darbības programm</w:t>
      </w:r>
      <w:r w:rsidR="007B5D38">
        <w:rPr>
          <w:rFonts w:ascii="Times New Roman" w:hAnsi="Times New Roman" w:cs="Times New Roman"/>
          <w:sz w:val="28"/>
          <w:szCs w:val="28"/>
        </w:rPr>
        <w:t>as</w:t>
      </w:r>
      <w:r w:rsidR="007B5D38" w:rsidRPr="007B5D38">
        <w:rPr>
          <w:rFonts w:ascii="Times New Roman" w:hAnsi="Times New Roman" w:cs="Times New Roman"/>
          <w:sz w:val="28"/>
          <w:szCs w:val="28"/>
        </w:rPr>
        <w:t xml:space="preserve"> 2021. –2027. gada plānošanas periodam</w:t>
      </w:r>
      <w:r w:rsidR="007B5D38">
        <w:rPr>
          <w:rFonts w:ascii="Times New Roman" w:hAnsi="Times New Roman" w:cs="Times New Roman"/>
          <w:sz w:val="28"/>
          <w:szCs w:val="28"/>
        </w:rPr>
        <w:t xml:space="preserve"> finansējuma mērķus un nosacījumus.</w:t>
      </w:r>
      <w:r w:rsidR="007B5D38" w:rsidRPr="00BD7E96">
        <w:rPr>
          <w:rFonts w:ascii="Times New Roman" w:hAnsi="Times New Roman" w:cs="Times New Roman"/>
          <w:sz w:val="28"/>
          <w:szCs w:val="28"/>
        </w:rPr>
        <w:t xml:space="preserve"> </w:t>
      </w:r>
    </w:p>
    <w:p w14:paraId="09BC4E10" w14:textId="7252A7F8" w:rsidR="00A546E4" w:rsidRDefault="00347AD7" w:rsidP="00A546E4">
      <w:pPr>
        <w:jc w:val="both"/>
        <w:rPr>
          <w:rFonts w:ascii="Times New Roman" w:hAnsi="Times New Roman" w:cs="Times New Roman"/>
          <w:sz w:val="28"/>
          <w:szCs w:val="28"/>
        </w:rPr>
      </w:pPr>
      <w:r>
        <w:rPr>
          <w:rFonts w:ascii="Times New Roman" w:hAnsi="Times New Roman" w:cs="Times New Roman"/>
          <w:sz w:val="28"/>
          <w:szCs w:val="28"/>
        </w:rPr>
        <w:t>4</w:t>
      </w:r>
      <w:r w:rsidR="00A546E4">
        <w:rPr>
          <w:rFonts w:ascii="Times New Roman" w:hAnsi="Times New Roman" w:cs="Times New Roman"/>
          <w:sz w:val="28"/>
          <w:szCs w:val="28"/>
        </w:rPr>
        <w:t xml:space="preserve">) </w:t>
      </w:r>
      <w:r w:rsidR="00A546E4" w:rsidRPr="004F136E">
        <w:rPr>
          <w:rFonts w:ascii="Times New Roman" w:hAnsi="Times New Roman" w:cs="Times New Roman"/>
          <w:sz w:val="28"/>
          <w:szCs w:val="28"/>
        </w:rPr>
        <w:t>Atbalstām dalībvalsts investīciju aploksnes nodalīšanu, lai dalībvalsts ieguldījums fondā tiktu ieguldīts dalībvalsts uzņēmumos pilnā apmērā.</w:t>
      </w:r>
    </w:p>
    <w:p w14:paraId="7EFF15C2" w14:textId="77777777" w:rsidR="001458E6" w:rsidRPr="00682D60" w:rsidRDefault="001458E6" w:rsidP="00FA02A2">
      <w:pPr>
        <w:pStyle w:val="Default"/>
        <w:jc w:val="both"/>
        <w:rPr>
          <w:color w:val="auto"/>
          <w:sz w:val="28"/>
          <w:szCs w:val="28"/>
        </w:rPr>
      </w:pPr>
    </w:p>
    <w:p w14:paraId="0CDA769A" w14:textId="4B018B0A" w:rsidR="0045159E" w:rsidRPr="00EE6E59" w:rsidRDefault="00EF1470" w:rsidP="00FA02A2">
      <w:pPr>
        <w:pStyle w:val="Default"/>
        <w:numPr>
          <w:ilvl w:val="1"/>
          <w:numId w:val="6"/>
        </w:numPr>
        <w:jc w:val="both"/>
        <w:rPr>
          <w:b/>
          <w:color w:val="auto"/>
          <w:sz w:val="28"/>
          <w:szCs w:val="28"/>
        </w:rPr>
      </w:pPr>
      <w:r w:rsidRPr="00682D60">
        <w:rPr>
          <w:b/>
          <w:color w:val="auto"/>
          <w:sz w:val="28"/>
          <w:szCs w:val="28"/>
        </w:rPr>
        <w:t>Sarunas ar potenciālajiem investoriem</w:t>
      </w:r>
    </w:p>
    <w:p w14:paraId="2596FD35" w14:textId="6802D2AC" w:rsidR="00EF1470" w:rsidRPr="00682D60" w:rsidRDefault="00EF1470" w:rsidP="00EF1470">
      <w:pPr>
        <w:pStyle w:val="Default"/>
        <w:ind w:firstLine="720"/>
        <w:jc w:val="both"/>
        <w:rPr>
          <w:color w:val="auto"/>
          <w:sz w:val="28"/>
          <w:szCs w:val="28"/>
        </w:rPr>
      </w:pPr>
      <w:r w:rsidRPr="00682D60">
        <w:rPr>
          <w:color w:val="auto"/>
          <w:sz w:val="28"/>
          <w:szCs w:val="28"/>
        </w:rPr>
        <w:t xml:space="preserve">Fondam,  kā jaunam finanšu instrumentam, kas papildus komerciālajai darbībai veiktu arī tirgus attīstības funkciju, investoru piesaiste ir sarežģīta, it īpaši fonda sākotnējā darbības posmā, kad tiek apliecināta </w:t>
      </w:r>
      <w:proofErr w:type="spellStart"/>
      <w:r w:rsidRPr="00682D60">
        <w:rPr>
          <w:color w:val="auto"/>
          <w:sz w:val="28"/>
          <w:szCs w:val="28"/>
        </w:rPr>
        <w:t>jaunveidotā</w:t>
      </w:r>
      <w:proofErr w:type="spellEnd"/>
      <w:r w:rsidRPr="00682D60">
        <w:rPr>
          <w:color w:val="auto"/>
          <w:sz w:val="28"/>
          <w:szCs w:val="28"/>
        </w:rPr>
        <w:t xml:space="preserve"> fonda darbības reputācija. Dažādiem investoriem ir atšķirīgas vēlmes uzņemties risku un atšķirīga specializācija. Vēsturiski Baltijas </w:t>
      </w:r>
      <w:r w:rsidR="007E4B82" w:rsidRPr="00682D60">
        <w:rPr>
          <w:color w:val="auto"/>
          <w:sz w:val="28"/>
          <w:szCs w:val="28"/>
        </w:rPr>
        <w:t>riska kapitāla</w:t>
      </w:r>
      <w:r w:rsidRPr="00682D60">
        <w:rPr>
          <w:color w:val="auto"/>
          <w:sz w:val="28"/>
          <w:szCs w:val="28"/>
        </w:rPr>
        <w:t xml:space="preserve"> fondos dominē Eiropas Investīciju fonda (EIF), Eiropas Rekonstrukcijas un attīstības bankas (ERAB) un Eiropas strukturālo un investīciju fondu</w:t>
      </w:r>
      <w:r w:rsidR="007E4B82" w:rsidRPr="00682D60">
        <w:rPr>
          <w:color w:val="auto"/>
          <w:sz w:val="28"/>
          <w:szCs w:val="28"/>
        </w:rPr>
        <w:t xml:space="preserve"> (ESIF)</w:t>
      </w:r>
      <w:r w:rsidRPr="00682D60">
        <w:rPr>
          <w:color w:val="auto"/>
          <w:sz w:val="28"/>
          <w:szCs w:val="28"/>
        </w:rPr>
        <w:t xml:space="preserve"> finansējums, kas tiek ieguldīts </w:t>
      </w:r>
      <w:r w:rsidR="007E4B82" w:rsidRPr="00682D60">
        <w:rPr>
          <w:color w:val="auto"/>
          <w:sz w:val="28"/>
          <w:szCs w:val="28"/>
        </w:rPr>
        <w:t xml:space="preserve">ar </w:t>
      </w:r>
      <w:r w:rsidRPr="00682D60">
        <w:rPr>
          <w:color w:val="auto"/>
          <w:sz w:val="28"/>
          <w:szCs w:val="28"/>
        </w:rPr>
        <w:t xml:space="preserve">nacionālo attīstības finanšu institūciju </w:t>
      </w:r>
      <w:r w:rsidR="007E4B82" w:rsidRPr="00682D60">
        <w:rPr>
          <w:color w:val="auto"/>
          <w:sz w:val="28"/>
          <w:szCs w:val="28"/>
        </w:rPr>
        <w:t xml:space="preserve">-  </w:t>
      </w:r>
      <w:r w:rsidRPr="00682D60">
        <w:rPr>
          <w:color w:val="auto"/>
          <w:sz w:val="28"/>
          <w:szCs w:val="28"/>
        </w:rPr>
        <w:t xml:space="preserve">Igaunijas </w:t>
      </w:r>
      <w:r w:rsidR="007E4B82" w:rsidRPr="00682D60">
        <w:rPr>
          <w:color w:val="auto"/>
          <w:sz w:val="28"/>
          <w:szCs w:val="28"/>
        </w:rPr>
        <w:t>“</w:t>
      </w:r>
      <w:proofErr w:type="spellStart"/>
      <w:r w:rsidRPr="00682D60">
        <w:rPr>
          <w:color w:val="auto"/>
          <w:sz w:val="28"/>
          <w:szCs w:val="28"/>
        </w:rPr>
        <w:t>KredEx</w:t>
      </w:r>
      <w:proofErr w:type="spellEnd"/>
      <w:r w:rsidR="007E4B82" w:rsidRPr="00682D60">
        <w:rPr>
          <w:color w:val="auto"/>
          <w:sz w:val="28"/>
          <w:szCs w:val="28"/>
        </w:rPr>
        <w:t>”</w:t>
      </w:r>
      <w:r w:rsidRPr="00682D60">
        <w:rPr>
          <w:color w:val="auto"/>
          <w:sz w:val="28"/>
          <w:szCs w:val="28"/>
        </w:rPr>
        <w:t xml:space="preserve">, Latvijas </w:t>
      </w:r>
      <w:r w:rsidR="00375D14">
        <w:rPr>
          <w:color w:val="auto"/>
          <w:sz w:val="28"/>
          <w:szCs w:val="28"/>
        </w:rPr>
        <w:t>AS “A</w:t>
      </w:r>
      <w:r w:rsidRPr="00682D60">
        <w:rPr>
          <w:color w:val="auto"/>
          <w:sz w:val="28"/>
          <w:szCs w:val="28"/>
        </w:rPr>
        <w:t xml:space="preserve">ttīstības finanšu institūcija </w:t>
      </w:r>
      <w:r w:rsidR="007E4B82" w:rsidRPr="00682D60">
        <w:rPr>
          <w:color w:val="auto"/>
          <w:sz w:val="28"/>
          <w:szCs w:val="28"/>
        </w:rPr>
        <w:t>“</w:t>
      </w:r>
      <w:proofErr w:type="spellStart"/>
      <w:r w:rsidRPr="00682D60">
        <w:rPr>
          <w:color w:val="auto"/>
          <w:sz w:val="28"/>
          <w:szCs w:val="28"/>
        </w:rPr>
        <w:t>Altum</w:t>
      </w:r>
      <w:proofErr w:type="spellEnd"/>
      <w:r w:rsidR="007E4B82" w:rsidRPr="00682D60">
        <w:rPr>
          <w:color w:val="auto"/>
          <w:sz w:val="28"/>
          <w:szCs w:val="28"/>
        </w:rPr>
        <w:t>”</w:t>
      </w:r>
      <w:r w:rsidR="00375D14">
        <w:rPr>
          <w:color w:val="auto"/>
          <w:sz w:val="28"/>
          <w:szCs w:val="28"/>
        </w:rPr>
        <w:t xml:space="preserve"> (turpmāk – </w:t>
      </w:r>
      <w:proofErr w:type="spellStart"/>
      <w:r w:rsidR="00375D14">
        <w:rPr>
          <w:color w:val="auto"/>
          <w:sz w:val="28"/>
          <w:szCs w:val="28"/>
        </w:rPr>
        <w:t>Altum</w:t>
      </w:r>
      <w:proofErr w:type="spellEnd"/>
      <w:r w:rsidR="00375D14">
        <w:rPr>
          <w:color w:val="auto"/>
          <w:sz w:val="28"/>
          <w:szCs w:val="28"/>
        </w:rPr>
        <w:t>)</w:t>
      </w:r>
      <w:r w:rsidRPr="00682D60">
        <w:rPr>
          <w:color w:val="auto"/>
          <w:sz w:val="28"/>
          <w:szCs w:val="28"/>
        </w:rPr>
        <w:t xml:space="preserve"> un Lietuvas </w:t>
      </w:r>
      <w:r w:rsidR="007E4B82" w:rsidRPr="00682D60">
        <w:rPr>
          <w:color w:val="auto"/>
          <w:sz w:val="28"/>
          <w:szCs w:val="28"/>
        </w:rPr>
        <w:t>“</w:t>
      </w:r>
      <w:proofErr w:type="spellStart"/>
      <w:r w:rsidRPr="00682D60">
        <w:rPr>
          <w:color w:val="auto"/>
          <w:sz w:val="28"/>
          <w:szCs w:val="28"/>
        </w:rPr>
        <w:t>Invega</w:t>
      </w:r>
      <w:proofErr w:type="spellEnd"/>
      <w:r w:rsidR="007E4B82" w:rsidRPr="00682D60">
        <w:rPr>
          <w:color w:val="auto"/>
          <w:sz w:val="28"/>
          <w:szCs w:val="28"/>
        </w:rPr>
        <w:t>” starpniecību. A</w:t>
      </w:r>
      <w:r w:rsidRPr="00682D60">
        <w:rPr>
          <w:color w:val="auto"/>
          <w:sz w:val="28"/>
          <w:szCs w:val="28"/>
        </w:rPr>
        <w:t xml:space="preserve">tlikušo daļu </w:t>
      </w:r>
      <w:r w:rsidR="007E4B82" w:rsidRPr="00682D60">
        <w:rPr>
          <w:color w:val="auto"/>
          <w:sz w:val="28"/>
          <w:szCs w:val="28"/>
        </w:rPr>
        <w:t xml:space="preserve">Baltijas riska kapitāla fondos </w:t>
      </w:r>
      <w:r w:rsidRPr="00682D60">
        <w:rPr>
          <w:color w:val="auto"/>
          <w:sz w:val="28"/>
          <w:szCs w:val="28"/>
        </w:rPr>
        <w:t>nodrošina pensiju fondi.</w:t>
      </w:r>
    </w:p>
    <w:p w14:paraId="2D60D35B" w14:textId="5CD816E6" w:rsidR="00EF1470" w:rsidRPr="00682D60" w:rsidRDefault="00EF1470" w:rsidP="00EF1470">
      <w:pPr>
        <w:pStyle w:val="Default"/>
        <w:ind w:firstLine="720"/>
        <w:jc w:val="both"/>
        <w:rPr>
          <w:color w:val="auto"/>
          <w:sz w:val="28"/>
          <w:szCs w:val="28"/>
        </w:rPr>
      </w:pPr>
      <w:r w:rsidRPr="00682D60">
        <w:rPr>
          <w:color w:val="auto"/>
          <w:sz w:val="28"/>
          <w:szCs w:val="28"/>
        </w:rPr>
        <w:t>KPMG konsorcijs ir organizējis tikšanās un intervijas ar potenciālajiem investoriem, tostarp Baltijas valstu finanšu ministrijām, nacionālajām attīstības institūcijām (</w:t>
      </w:r>
      <w:proofErr w:type="spellStart"/>
      <w:r w:rsidRPr="00682D60">
        <w:rPr>
          <w:color w:val="auto"/>
          <w:sz w:val="28"/>
          <w:szCs w:val="28"/>
        </w:rPr>
        <w:t>Altum</w:t>
      </w:r>
      <w:proofErr w:type="spellEnd"/>
      <w:r w:rsidRPr="00682D60">
        <w:rPr>
          <w:color w:val="auto"/>
          <w:sz w:val="28"/>
          <w:szCs w:val="28"/>
        </w:rPr>
        <w:t xml:space="preserve">, </w:t>
      </w:r>
      <w:proofErr w:type="spellStart"/>
      <w:r w:rsidRPr="00682D60">
        <w:rPr>
          <w:color w:val="auto"/>
          <w:sz w:val="28"/>
          <w:szCs w:val="28"/>
        </w:rPr>
        <w:t>Invega</w:t>
      </w:r>
      <w:proofErr w:type="spellEnd"/>
      <w:r w:rsidRPr="00682D60">
        <w:rPr>
          <w:color w:val="auto"/>
          <w:sz w:val="28"/>
          <w:szCs w:val="28"/>
        </w:rPr>
        <w:t xml:space="preserve"> </w:t>
      </w:r>
      <w:r w:rsidR="00A3493F" w:rsidRPr="00682D60">
        <w:rPr>
          <w:color w:val="auto"/>
          <w:sz w:val="28"/>
          <w:szCs w:val="28"/>
        </w:rPr>
        <w:t xml:space="preserve">un </w:t>
      </w:r>
      <w:proofErr w:type="spellStart"/>
      <w:r w:rsidRPr="00682D60">
        <w:rPr>
          <w:color w:val="auto"/>
          <w:sz w:val="28"/>
          <w:szCs w:val="28"/>
        </w:rPr>
        <w:t>KredEx</w:t>
      </w:r>
      <w:proofErr w:type="spellEnd"/>
      <w:r w:rsidRPr="00682D60">
        <w:rPr>
          <w:color w:val="auto"/>
          <w:sz w:val="28"/>
          <w:szCs w:val="28"/>
        </w:rPr>
        <w:t>), starptautiskajām finanšu institūcijām (ERAB, EIF, Z</w:t>
      </w:r>
      <w:r w:rsidR="007E4B82" w:rsidRPr="00682D60">
        <w:rPr>
          <w:color w:val="auto"/>
          <w:sz w:val="28"/>
          <w:szCs w:val="28"/>
        </w:rPr>
        <w:t>iemeļu Investīciju banka, Eiropas Padomes attīstības banka</w:t>
      </w:r>
      <w:r w:rsidR="00045213" w:rsidRPr="00682D60">
        <w:rPr>
          <w:color w:val="auto"/>
          <w:sz w:val="28"/>
          <w:szCs w:val="28"/>
        </w:rPr>
        <w:t>)</w:t>
      </w:r>
      <w:r w:rsidRPr="00682D60">
        <w:rPr>
          <w:color w:val="auto"/>
          <w:sz w:val="28"/>
          <w:szCs w:val="28"/>
        </w:rPr>
        <w:t>, privātajiem un institucionālajiem investoriem, iepazīstinot ar Fonda noteikum</w:t>
      </w:r>
      <w:r w:rsidR="00045213" w:rsidRPr="00682D60">
        <w:rPr>
          <w:color w:val="auto"/>
          <w:sz w:val="28"/>
          <w:szCs w:val="28"/>
        </w:rPr>
        <w:t>u projektu</w:t>
      </w:r>
      <w:r w:rsidRPr="00682D60">
        <w:rPr>
          <w:color w:val="auto"/>
          <w:sz w:val="28"/>
          <w:szCs w:val="28"/>
        </w:rPr>
        <w:t xml:space="preserve"> un </w:t>
      </w:r>
      <w:r w:rsidR="00045213" w:rsidRPr="00682D60">
        <w:rPr>
          <w:color w:val="auto"/>
          <w:sz w:val="28"/>
          <w:szCs w:val="28"/>
        </w:rPr>
        <w:t xml:space="preserve">Fonda </w:t>
      </w:r>
      <w:r w:rsidRPr="00682D60">
        <w:rPr>
          <w:color w:val="auto"/>
          <w:sz w:val="28"/>
          <w:szCs w:val="28"/>
        </w:rPr>
        <w:t>stratēģijas dokument</w:t>
      </w:r>
      <w:r w:rsidR="00045213" w:rsidRPr="00682D60">
        <w:rPr>
          <w:color w:val="auto"/>
          <w:sz w:val="28"/>
          <w:szCs w:val="28"/>
        </w:rPr>
        <w:t>a</w:t>
      </w:r>
      <w:r w:rsidRPr="00682D60">
        <w:rPr>
          <w:color w:val="auto"/>
          <w:sz w:val="28"/>
          <w:szCs w:val="28"/>
        </w:rPr>
        <w:t xml:space="preserve"> </w:t>
      </w:r>
      <w:r w:rsidR="00045213" w:rsidRPr="00682D60">
        <w:rPr>
          <w:color w:val="auto"/>
          <w:sz w:val="28"/>
          <w:szCs w:val="28"/>
        </w:rPr>
        <w:t>projektu</w:t>
      </w:r>
      <w:r w:rsidRPr="00682D60">
        <w:rPr>
          <w:color w:val="auto"/>
          <w:sz w:val="28"/>
          <w:szCs w:val="28"/>
        </w:rPr>
        <w:t xml:space="preserve">. Šo konsultāciju rezultātā tiek secināts, ka </w:t>
      </w:r>
      <w:r w:rsidR="00045213" w:rsidRPr="00682D60">
        <w:rPr>
          <w:color w:val="auto"/>
          <w:sz w:val="28"/>
          <w:szCs w:val="28"/>
        </w:rPr>
        <w:t xml:space="preserve">sākotnējā darbības posmā fondā investēs tikai </w:t>
      </w:r>
      <w:r w:rsidRPr="00682D60">
        <w:rPr>
          <w:color w:val="auto"/>
          <w:sz w:val="28"/>
          <w:szCs w:val="28"/>
        </w:rPr>
        <w:t xml:space="preserve">publiskais sektors </w:t>
      </w:r>
      <w:r w:rsidR="00045213" w:rsidRPr="00682D60">
        <w:rPr>
          <w:color w:val="auto"/>
          <w:sz w:val="28"/>
          <w:szCs w:val="28"/>
        </w:rPr>
        <w:t>–</w:t>
      </w:r>
      <w:r w:rsidRPr="00682D60">
        <w:rPr>
          <w:color w:val="auto"/>
          <w:sz w:val="28"/>
          <w:szCs w:val="28"/>
        </w:rPr>
        <w:t xml:space="preserve"> </w:t>
      </w:r>
      <w:r w:rsidR="003F0463" w:rsidRPr="00682D60">
        <w:rPr>
          <w:color w:val="auto"/>
          <w:sz w:val="28"/>
          <w:szCs w:val="28"/>
        </w:rPr>
        <w:t xml:space="preserve">Latvijas un Lietuvas </w:t>
      </w:r>
      <w:r w:rsidR="00045213" w:rsidRPr="00682D60">
        <w:rPr>
          <w:color w:val="auto"/>
          <w:sz w:val="28"/>
          <w:szCs w:val="28"/>
        </w:rPr>
        <w:t>valsts ieguldījums</w:t>
      </w:r>
      <w:r w:rsidRPr="00682D60">
        <w:rPr>
          <w:color w:val="auto"/>
          <w:sz w:val="28"/>
          <w:szCs w:val="28"/>
        </w:rPr>
        <w:t xml:space="preserve">, jo </w:t>
      </w:r>
      <w:r w:rsidR="00045213" w:rsidRPr="00682D60">
        <w:rPr>
          <w:color w:val="auto"/>
          <w:sz w:val="28"/>
          <w:szCs w:val="28"/>
        </w:rPr>
        <w:t xml:space="preserve">publiskais sektors </w:t>
      </w:r>
      <w:r w:rsidRPr="00682D60">
        <w:rPr>
          <w:color w:val="auto"/>
          <w:sz w:val="28"/>
          <w:szCs w:val="28"/>
        </w:rPr>
        <w:t xml:space="preserve">var gūt labumu no </w:t>
      </w:r>
      <w:r w:rsidR="00045213" w:rsidRPr="00682D60">
        <w:rPr>
          <w:color w:val="auto"/>
          <w:sz w:val="28"/>
          <w:szCs w:val="28"/>
        </w:rPr>
        <w:t xml:space="preserve">fonda darbības </w:t>
      </w:r>
      <w:r w:rsidRPr="00682D60">
        <w:rPr>
          <w:color w:val="auto"/>
          <w:sz w:val="28"/>
          <w:szCs w:val="28"/>
        </w:rPr>
        <w:t xml:space="preserve">pozitīvām nemonetārajām ārējām sekām, piemēram, palielinātas ekonomiskās aktivitātes, </w:t>
      </w:r>
      <w:r w:rsidR="00045213" w:rsidRPr="00682D60">
        <w:rPr>
          <w:color w:val="auto"/>
          <w:sz w:val="28"/>
          <w:szCs w:val="28"/>
        </w:rPr>
        <w:t xml:space="preserve">radītām </w:t>
      </w:r>
      <w:r w:rsidRPr="00682D60">
        <w:rPr>
          <w:color w:val="auto"/>
          <w:sz w:val="28"/>
          <w:szCs w:val="28"/>
        </w:rPr>
        <w:t>darbaviet</w:t>
      </w:r>
      <w:r w:rsidR="00045213" w:rsidRPr="00682D60">
        <w:rPr>
          <w:color w:val="auto"/>
          <w:sz w:val="28"/>
          <w:szCs w:val="28"/>
        </w:rPr>
        <w:t>ām</w:t>
      </w:r>
      <w:r w:rsidRPr="00682D60">
        <w:rPr>
          <w:color w:val="auto"/>
          <w:sz w:val="28"/>
          <w:szCs w:val="28"/>
        </w:rPr>
        <w:t xml:space="preserve"> un nodokļi</w:t>
      </w:r>
      <w:r w:rsidR="00045213" w:rsidRPr="00682D60">
        <w:rPr>
          <w:color w:val="auto"/>
          <w:sz w:val="28"/>
          <w:szCs w:val="28"/>
        </w:rPr>
        <w:t xml:space="preserve">em un </w:t>
      </w:r>
      <w:r w:rsidRPr="00682D60">
        <w:rPr>
          <w:color w:val="auto"/>
          <w:sz w:val="28"/>
          <w:szCs w:val="28"/>
        </w:rPr>
        <w:t>kapitāla tirgus attīstībai</w:t>
      </w:r>
      <w:r w:rsidR="00045213" w:rsidRPr="00682D60">
        <w:rPr>
          <w:color w:val="auto"/>
          <w:sz w:val="28"/>
          <w:szCs w:val="28"/>
        </w:rPr>
        <w:t>, kas</w:t>
      </w:r>
      <w:r w:rsidRPr="00682D60">
        <w:rPr>
          <w:color w:val="auto"/>
          <w:sz w:val="28"/>
          <w:szCs w:val="28"/>
        </w:rPr>
        <w:t xml:space="preserve"> papild</w:t>
      </w:r>
      <w:r w:rsidR="00045213" w:rsidRPr="00682D60">
        <w:rPr>
          <w:color w:val="auto"/>
          <w:sz w:val="28"/>
          <w:szCs w:val="28"/>
        </w:rPr>
        <w:t>ina</w:t>
      </w:r>
      <w:r w:rsidRPr="00682D60">
        <w:rPr>
          <w:color w:val="auto"/>
          <w:sz w:val="28"/>
          <w:szCs w:val="28"/>
        </w:rPr>
        <w:t xml:space="preserve"> Fonda tieš</w:t>
      </w:r>
      <w:r w:rsidR="00045213" w:rsidRPr="00682D60">
        <w:rPr>
          <w:color w:val="auto"/>
          <w:sz w:val="28"/>
          <w:szCs w:val="28"/>
        </w:rPr>
        <w:t>o</w:t>
      </w:r>
      <w:r w:rsidRPr="00682D60">
        <w:rPr>
          <w:color w:val="auto"/>
          <w:sz w:val="28"/>
          <w:szCs w:val="28"/>
        </w:rPr>
        <w:t xml:space="preserve"> komerciāl</w:t>
      </w:r>
      <w:r w:rsidR="00045213" w:rsidRPr="00682D60">
        <w:rPr>
          <w:color w:val="auto"/>
          <w:sz w:val="28"/>
          <w:szCs w:val="28"/>
        </w:rPr>
        <w:t>o</w:t>
      </w:r>
      <w:r w:rsidRPr="00682D60">
        <w:rPr>
          <w:color w:val="auto"/>
          <w:sz w:val="28"/>
          <w:szCs w:val="28"/>
        </w:rPr>
        <w:t xml:space="preserve"> atdevi.</w:t>
      </w:r>
    </w:p>
    <w:p w14:paraId="4813B160" w14:textId="5B0142D4" w:rsidR="00EF1470" w:rsidRPr="00682D60" w:rsidRDefault="00EF1470" w:rsidP="00EF1470">
      <w:pPr>
        <w:pStyle w:val="Default"/>
        <w:ind w:firstLine="720"/>
        <w:jc w:val="both"/>
        <w:rPr>
          <w:color w:val="auto"/>
          <w:sz w:val="28"/>
          <w:szCs w:val="28"/>
        </w:rPr>
      </w:pPr>
      <w:r w:rsidRPr="00682D60">
        <w:rPr>
          <w:color w:val="auto"/>
          <w:sz w:val="28"/>
          <w:szCs w:val="28"/>
        </w:rPr>
        <w:lastRenderedPageBreak/>
        <w:t xml:space="preserve">KPMG konsorcija konsultācijās ar privātajiem un institucionālajiem investoriem atbildes bija divējādas: šie investori </w:t>
      </w:r>
      <w:r w:rsidR="00045213" w:rsidRPr="00682D60">
        <w:rPr>
          <w:color w:val="auto"/>
          <w:sz w:val="28"/>
          <w:szCs w:val="28"/>
        </w:rPr>
        <w:t>atzinīgi novērtēja</w:t>
      </w:r>
      <w:r w:rsidRPr="00682D60">
        <w:rPr>
          <w:color w:val="auto"/>
          <w:sz w:val="28"/>
          <w:szCs w:val="28"/>
        </w:rPr>
        <w:t xml:space="preserve"> val</w:t>
      </w:r>
      <w:r w:rsidR="00045213" w:rsidRPr="00682D60">
        <w:rPr>
          <w:color w:val="auto"/>
          <w:sz w:val="28"/>
          <w:szCs w:val="28"/>
        </w:rPr>
        <w:t>sts</w:t>
      </w:r>
      <w:r w:rsidRPr="00682D60">
        <w:rPr>
          <w:color w:val="auto"/>
          <w:sz w:val="28"/>
          <w:szCs w:val="28"/>
        </w:rPr>
        <w:t xml:space="preserve"> iniciatīvu attīstīt Baltijas kapitāla tirgu, taču vienlaikus tie nogaida ar ieguldījumu fondā, ņemot vērā </w:t>
      </w:r>
      <w:r w:rsidR="00045213" w:rsidRPr="00682D60">
        <w:rPr>
          <w:color w:val="auto"/>
          <w:sz w:val="28"/>
          <w:szCs w:val="28"/>
        </w:rPr>
        <w:t xml:space="preserve"> pa</w:t>
      </w:r>
      <w:r w:rsidRPr="00682D60">
        <w:rPr>
          <w:color w:val="auto"/>
          <w:sz w:val="28"/>
          <w:szCs w:val="28"/>
        </w:rPr>
        <w:t>augst</w:t>
      </w:r>
      <w:r w:rsidR="00045213" w:rsidRPr="00682D60">
        <w:rPr>
          <w:color w:val="auto"/>
          <w:sz w:val="28"/>
          <w:szCs w:val="28"/>
        </w:rPr>
        <w:t>inātu</w:t>
      </w:r>
      <w:r w:rsidRPr="00682D60">
        <w:rPr>
          <w:color w:val="auto"/>
          <w:sz w:val="28"/>
          <w:szCs w:val="28"/>
        </w:rPr>
        <w:t xml:space="preserve"> risku un nepārbaudīt</w:t>
      </w:r>
      <w:r w:rsidR="00045213" w:rsidRPr="00682D60">
        <w:rPr>
          <w:color w:val="auto"/>
          <w:sz w:val="28"/>
          <w:szCs w:val="28"/>
        </w:rPr>
        <w:t>u</w:t>
      </w:r>
      <w:r w:rsidRPr="00682D60">
        <w:rPr>
          <w:color w:val="auto"/>
          <w:sz w:val="28"/>
          <w:szCs w:val="28"/>
        </w:rPr>
        <w:t xml:space="preserve"> tirgus biznesa modeli</w:t>
      </w:r>
      <w:r w:rsidR="005F5D05" w:rsidRPr="00682D60">
        <w:rPr>
          <w:color w:val="auto"/>
          <w:sz w:val="28"/>
          <w:szCs w:val="28"/>
        </w:rPr>
        <w:t>, un KPMG konsorcijs secināja, ka tuvākajos gados privātie un institucionālie investori fondā neieguldīs</w:t>
      </w:r>
      <w:r w:rsidR="00045213" w:rsidRPr="00682D60">
        <w:rPr>
          <w:color w:val="auto"/>
          <w:sz w:val="28"/>
          <w:szCs w:val="28"/>
        </w:rPr>
        <w:t xml:space="preserve">. </w:t>
      </w:r>
      <w:r w:rsidRPr="00682D60">
        <w:rPr>
          <w:color w:val="auto"/>
          <w:sz w:val="28"/>
          <w:szCs w:val="28"/>
        </w:rPr>
        <w:t xml:space="preserve">Svarīgi ir tas, ka privātie investori nenoraida investīciju ideju </w:t>
      </w:r>
      <w:r w:rsidR="00045213" w:rsidRPr="00682D60">
        <w:rPr>
          <w:color w:val="auto"/>
          <w:sz w:val="28"/>
          <w:szCs w:val="28"/>
        </w:rPr>
        <w:t>kopumā</w:t>
      </w:r>
      <w:r w:rsidRPr="00682D60">
        <w:rPr>
          <w:color w:val="auto"/>
          <w:sz w:val="28"/>
          <w:szCs w:val="28"/>
        </w:rPr>
        <w:t xml:space="preserve">. </w:t>
      </w:r>
      <w:r w:rsidR="00045213" w:rsidRPr="00682D60">
        <w:rPr>
          <w:color w:val="auto"/>
          <w:sz w:val="28"/>
          <w:szCs w:val="28"/>
        </w:rPr>
        <w:t>Privātie investori atbalsta</w:t>
      </w:r>
      <w:r w:rsidRPr="00682D60">
        <w:rPr>
          <w:color w:val="auto"/>
          <w:sz w:val="28"/>
          <w:szCs w:val="28"/>
        </w:rPr>
        <w:t xml:space="preserve"> fonda uzņēmējdarbības modeļa teorētisko pamatu un atzinīgi novērtē piedāvāto pieeju fondu </w:t>
      </w:r>
      <w:r w:rsidR="00045213" w:rsidRPr="00682D60">
        <w:rPr>
          <w:color w:val="auto"/>
          <w:sz w:val="28"/>
          <w:szCs w:val="28"/>
        </w:rPr>
        <w:t xml:space="preserve">veidot jeb </w:t>
      </w:r>
      <w:r w:rsidRPr="00682D60">
        <w:rPr>
          <w:color w:val="auto"/>
          <w:sz w:val="28"/>
          <w:szCs w:val="28"/>
        </w:rPr>
        <w:t>strukturēt, pamatojoties uz komerciāliem noteikumiem un labāko tirgus praksi. Tādējādi privāt</w:t>
      </w:r>
      <w:r w:rsidR="00045213" w:rsidRPr="00682D60">
        <w:rPr>
          <w:color w:val="auto"/>
          <w:sz w:val="28"/>
          <w:szCs w:val="28"/>
        </w:rPr>
        <w:t>o investoru sākotnējas</w:t>
      </w:r>
      <w:r w:rsidRPr="00682D60">
        <w:rPr>
          <w:color w:val="auto"/>
          <w:sz w:val="28"/>
          <w:szCs w:val="28"/>
        </w:rPr>
        <w:t xml:space="preserve"> atsauksmes var apkopot šādi - valdībai </w:t>
      </w:r>
      <w:r w:rsidR="00045213" w:rsidRPr="00682D60">
        <w:rPr>
          <w:color w:val="auto"/>
          <w:sz w:val="28"/>
          <w:szCs w:val="28"/>
        </w:rPr>
        <w:t xml:space="preserve">ir </w:t>
      </w:r>
      <w:r w:rsidRPr="00682D60">
        <w:rPr>
          <w:color w:val="auto"/>
          <w:sz w:val="28"/>
          <w:szCs w:val="28"/>
        </w:rPr>
        <w:t>jāuzņemas sākotnējais</w:t>
      </w:r>
      <w:r w:rsidR="00045213" w:rsidRPr="00682D60">
        <w:rPr>
          <w:color w:val="auto"/>
          <w:sz w:val="28"/>
          <w:szCs w:val="28"/>
        </w:rPr>
        <w:t xml:space="preserve"> fonda</w:t>
      </w:r>
      <w:r w:rsidRPr="00682D60">
        <w:rPr>
          <w:color w:val="auto"/>
          <w:sz w:val="28"/>
          <w:szCs w:val="28"/>
        </w:rPr>
        <w:t xml:space="preserve"> “koncepcijas pierādīšanas” risks, bet, tiklīdz fonds tiks atzīts tirgū, </w:t>
      </w:r>
      <w:r w:rsidR="00D2120F" w:rsidRPr="00682D60">
        <w:rPr>
          <w:color w:val="auto"/>
          <w:sz w:val="28"/>
          <w:szCs w:val="28"/>
        </w:rPr>
        <w:t>privātie investori</w:t>
      </w:r>
      <w:r w:rsidRPr="00682D60">
        <w:rPr>
          <w:color w:val="auto"/>
          <w:sz w:val="28"/>
          <w:szCs w:val="28"/>
        </w:rPr>
        <w:t xml:space="preserve"> būtu ieinteresēti apsvērt iespēju ieguldīt fondā.</w:t>
      </w:r>
      <w:r w:rsidR="005F5D05" w:rsidRPr="00682D60">
        <w:rPr>
          <w:color w:val="auto"/>
          <w:sz w:val="28"/>
          <w:szCs w:val="28"/>
        </w:rPr>
        <w:t xml:space="preserve"> Šobrīd nav arī apstiprinājuma no starptautiskajām finanšu organizācijām </w:t>
      </w:r>
      <w:r w:rsidR="007677AB" w:rsidRPr="00682D60">
        <w:rPr>
          <w:color w:val="auto"/>
          <w:sz w:val="28"/>
          <w:szCs w:val="28"/>
        </w:rPr>
        <w:t xml:space="preserve">(t.sk. ERAB, EIB, ZIB) </w:t>
      </w:r>
      <w:r w:rsidR="005F5D05" w:rsidRPr="00682D60">
        <w:rPr>
          <w:color w:val="auto"/>
          <w:sz w:val="28"/>
          <w:szCs w:val="28"/>
        </w:rPr>
        <w:t>par ieguldījumu fondā</w:t>
      </w:r>
      <w:r w:rsidR="006B327A" w:rsidRPr="00682D60">
        <w:rPr>
          <w:color w:val="auto"/>
          <w:sz w:val="28"/>
          <w:szCs w:val="28"/>
        </w:rPr>
        <w:t xml:space="preserve">, un visticamāk varētu pievienoties fonda nākamajā </w:t>
      </w:r>
      <w:r w:rsidR="007677AB" w:rsidRPr="00682D60">
        <w:rPr>
          <w:color w:val="auto"/>
          <w:sz w:val="28"/>
          <w:szCs w:val="28"/>
        </w:rPr>
        <w:t>paplašināšanas stadijā</w:t>
      </w:r>
      <w:r w:rsidR="006B327A" w:rsidRPr="00682D60">
        <w:rPr>
          <w:color w:val="auto"/>
          <w:sz w:val="28"/>
          <w:szCs w:val="28"/>
        </w:rPr>
        <w:t>, ja tād</w:t>
      </w:r>
      <w:r w:rsidR="007677AB" w:rsidRPr="00682D60">
        <w:rPr>
          <w:color w:val="auto"/>
          <w:sz w:val="28"/>
          <w:szCs w:val="28"/>
        </w:rPr>
        <w:t>a</w:t>
      </w:r>
      <w:r w:rsidR="006B327A" w:rsidRPr="00682D60">
        <w:rPr>
          <w:color w:val="auto"/>
          <w:sz w:val="28"/>
          <w:szCs w:val="28"/>
        </w:rPr>
        <w:t xml:space="preserve"> notiks vidējā te</w:t>
      </w:r>
      <w:r w:rsidR="0015214B" w:rsidRPr="00682D60">
        <w:rPr>
          <w:color w:val="auto"/>
          <w:sz w:val="28"/>
          <w:szCs w:val="28"/>
        </w:rPr>
        <w:t>r</w:t>
      </w:r>
      <w:r w:rsidR="006B327A" w:rsidRPr="00682D60">
        <w:rPr>
          <w:color w:val="auto"/>
          <w:sz w:val="28"/>
          <w:szCs w:val="28"/>
        </w:rPr>
        <w:t xml:space="preserve">miņā. </w:t>
      </w:r>
    </w:p>
    <w:p w14:paraId="229C7ECB" w14:textId="7F13CEFC" w:rsidR="00EF1470" w:rsidRPr="00682D60" w:rsidRDefault="005F5D05" w:rsidP="00EF1470">
      <w:pPr>
        <w:pStyle w:val="Default"/>
        <w:ind w:firstLine="720"/>
        <w:jc w:val="both"/>
        <w:rPr>
          <w:color w:val="auto"/>
          <w:sz w:val="28"/>
          <w:szCs w:val="28"/>
        </w:rPr>
      </w:pPr>
      <w:r w:rsidRPr="00682D60">
        <w:rPr>
          <w:color w:val="auto"/>
          <w:sz w:val="28"/>
          <w:szCs w:val="28"/>
        </w:rPr>
        <w:t xml:space="preserve">KPMG konsorcijs </w:t>
      </w:r>
      <w:r w:rsidR="007677AB" w:rsidRPr="00682D60">
        <w:rPr>
          <w:color w:val="auto"/>
          <w:sz w:val="28"/>
          <w:szCs w:val="28"/>
        </w:rPr>
        <w:t>rekomendē</w:t>
      </w:r>
      <w:r w:rsidRPr="00682D60">
        <w:rPr>
          <w:color w:val="auto"/>
          <w:sz w:val="28"/>
          <w:szCs w:val="28"/>
        </w:rPr>
        <w:t>, ka</w:t>
      </w:r>
      <w:r w:rsidR="00EF1470" w:rsidRPr="00682D60">
        <w:rPr>
          <w:color w:val="auto"/>
          <w:sz w:val="28"/>
          <w:szCs w:val="28"/>
        </w:rPr>
        <w:t xml:space="preserve"> Latvijas, Lietuvas </w:t>
      </w:r>
      <w:r w:rsidRPr="00682D60">
        <w:rPr>
          <w:color w:val="auto"/>
          <w:sz w:val="28"/>
          <w:szCs w:val="28"/>
        </w:rPr>
        <w:t>un potenciāli</w:t>
      </w:r>
      <w:r w:rsidR="00EF1470" w:rsidRPr="00682D60">
        <w:rPr>
          <w:color w:val="auto"/>
          <w:sz w:val="28"/>
          <w:szCs w:val="28"/>
        </w:rPr>
        <w:t xml:space="preserve"> Igaunijas valdības būs pirmie ieguldītāji fondā, izmantojot savas nacionālās attīstības </w:t>
      </w:r>
      <w:r w:rsidR="00D2120F" w:rsidRPr="00682D60">
        <w:rPr>
          <w:color w:val="auto"/>
          <w:sz w:val="28"/>
          <w:szCs w:val="28"/>
        </w:rPr>
        <w:t>finanšu institūcijas</w:t>
      </w:r>
      <w:r w:rsidR="00EF1470" w:rsidRPr="00682D60">
        <w:rPr>
          <w:color w:val="auto"/>
          <w:sz w:val="28"/>
          <w:szCs w:val="28"/>
        </w:rPr>
        <w:t xml:space="preserve"> (</w:t>
      </w:r>
      <w:proofErr w:type="spellStart"/>
      <w:r w:rsidR="00EF1470" w:rsidRPr="00682D60">
        <w:rPr>
          <w:color w:val="auto"/>
          <w:sz w:val="28"/>
          <w:szCs w:val="28"/>
        </w:rPr>
        <w:t>Altum</w:t>
      </w:r>
      <w:proofErr w:type="spellEnd"/>
      <w:r w:rsidR="00EF1470" w:rsidRPr="00682D60">
        <w:rPr>
          <w:color w:val="auto"/>
          <w:sz w:val="28"/>
          <w:szCs w:val="28"/>
        </w:rPr>
        <w:t xml:space="preserve">, </w:t>
      </w:r>
      <w:proofErr w:type="spellStart"/>
      <w:r w:rsidR="00EF1470" w:rsidRPr="00682D60">
        <w:rPr>
          <w:color w:val="auto"/>
          <w:sz w:val="28"/>
          <w:szCs w:val="28"/>
        </w:rPr>
        <w:t>Invega</w:t>
      </w:r>
      <w:proofErr w:type="spellEnd"/>
      <w:r w:rsidR="00EF1470" w:rsidRPr="00682D60">
        <w:rPr>
          <w:color w:val="auto"/>
          <w:sz w:val="28"/>
          <w:szCs w:val="28"/>
        </w:rPr>
        <w:t xml:space="preserve"> </w:t>
      </w:r>
      <w:r w:rsidR="00A3493F" w:rsidRPr="00682D60">
        <w:rPr>
          <w:color w:val="auto"/>
          <w:sz w:val="28"/>
          <w:szCs w:val="28"/>
        </w:rPr>
        <w:t xml:space="preserve">un </w:t>
      </w:r>
      <w:proofErr w:type="spellStart"/>
      <w:r w:rsidR="00EF1470" w:rsidRPr="00682D60">
        <w:rPr>
          <w:color w:val="auto"/>
          <w:sz w:val="28"/>
          <w:szCs w:val="28"/>
        </w:rPr>
        <w:t>KredEx</w:t>
      </w:r>
      <w:proofErr w:type="spellEnd"/>
      <w:r w:rsidR="00EF1470" w:rsidRPr="00682D60">
        <w:rPr>
          <w:color w:val="auto"/>
          <w:sz w:val="28"/>
          <w:szCs w:val="28"/>
        </w:rPr>
        <w:t>), kurām jau ir ieguldījumu portfelis riska kapitāla fondos no dažādām Eiropas strukturālo un investīciju fondu atbalstīja programmām un ieguldījumu daļas Baltijas Inovāciju fondā I un II.</w:t>
      </w:r>
    </w:p>
    <w:p w14:paraId="0D03AFE1" w14:textId="2FDEBB8C" w:rsidR="00D2120F" w:rsidRPr="00682D60" w:rsidRDefault="00D2120F" w:rsidP="00D2120F">
      <w:pPr>
        <w:pStyle w:val="Default"/>
        <w:ind w:firstLine="720"/>
        <w:jc w:val="both"/>
        <w:rPr>
          <w:color w:val="auto"/>
          <w:sz w:val="28"/>
          <w:szCs w:val="28"/>
        </w:rPr>
      </w:pPr>
      <w:r w:rsidRPr="00682D60">
        <w:rPr>
          <w:color w:val="auto"/>
          <w:sz w:val="28"/>
          <w:szCs w:val="28"/>
        </w:rPr>
        <w:t>Pašlaik Latvijas un Lietuvas progress kopumā ir līdzīgs, abām valstīm sagatavojot sinhronizētus valdības informatīvos ziņojumus (šo dokumentu). Igaunijas valdība vēl nav nolēmusi rīkoties līdzīgi, taču saglabā novērotāja lomu un tās pārstāvji fonda izveides Vadības grupā aicinājuši, lai tiktu saglabāta iespēja potenciāli pievienoties fondam.</w:t>
      </w:r>
    </w:p>
    <w:p w14:paraId="32F7EC61" w14:textId="3583DCF3" w:rsidR="00D2120F" w:rsidRPr="00682D60" w:rsidRDefault="00D2120F" w:rsidP="00D2120F">
      <w:pPr>
        <w:pStyle w:val="Default"/>
        <w:ind w:firstLine="720"/>
        <w:jc w:val="both"/>
        <w:rPr>
          <w:color w:val="auto"/>
          <w:sz w:val="28"/>
          <w:szCs w:val="28"/>
        </w:rPr>
      </w:pPr>
      <w:r w:rsidRPr="00682D60">
        <w:rPr>
          <w:color w:val="auto"/>
          <w:sz w:val="28"/>
          <w:szCs w:val="28"/>
        </w:rPr>
        <w:t xml:space="preserve">Lai </w:t>
      </w:r>
      <w:r w:rsidR="00BC7127" w:rsidRPr="00682D60">
        <w:rPr>
          <w:color w:val="auto"/>
          <w:sz w:val="28"/>
          <w:szCs w:val="28"/>
        </w:rPr>
        <w:t xml:space="preserve">fonda izveidē </w:t>
      </w:r>
      <w:r w:rsidRPr="00682D60">
        <w:rPr>
          <w:color w:val="auto"/>
          <w:sz w:val="28"/>
          <w:szCs w:val="28"/>
        </w:rPr>
        <w:t xml:space="preserve">izvairītos no neprognozējamas kavēšanās, </w:t>
      </w:r>
      <w:r w:rsidR="00BC7127" w:rsidRPr="00682D60">
        <w:rPr>
          <w:color w:val="auto"/>
          <w:sz w:val="28"/>
          <w:szCs w:val="28"/>
        </w:rPr>
        <w:t>KPMG konsorcija rekomendētais priekšlikums ir</w:t>
      </w:r>
      <w:r w:rsidRPr="00682D60">
        <w:rPr>
          <w:color w:val="auto"/>
          <w:sz w:val="28"/>
          <w:szCs w:val="28"/>
        </w:rPr>
        <w:t xml:space="preserve"> </w:t>
      </w:r>
      <w:r w:rsidR="00BC7127" w:rsidRPr="00682D60">
        <w:rPr>
          <w:color w:val="auto"/>
          <w:sz w:val="28"/>
          <w:szCs w:val="28"/>
        </w:rPr>
        <w:t>pirmajā posmā izveidot fondu ar</w:t>
      </w:r>
      <w:r w:rsidRPr="00682D60">
        <w:rPr>
          <w:color w:val="auto"/>
          <w:sz w:val="28"/>
          <w:szCs w:val="28"/>
        </w:rPr>
        <w:t xml:space="preserve"> minimālo ieguldījumu 40 miljonu </w:t>
      </w:r>
      <w:proofErr w:type="spellStart"/>
      <w:r w:rsidR="004408FA" w:rsidRPr="00682D60">
        <w:rPr>
          <w:i/>
          <w:iCs/>
          <w:color w:val="auto"/>
          <w:sz w:val="28"/>
          <w:szCs w:val="28"/>
        </w:rPr>
        <w:t>euro</w:t>
      </w:r>
      <w:proofErr w:type="spellEnd"/>
      <w:r w:rsidR="004408FA" w:rsidRPr="00682D60">
        <w:rPr>
          <w:color w:val="auto"/>
          <w:sz w:val="28"/>
          <w:szCs w:val="28"/>
        </w:rPr>
        <w:t xml:space="preserve"> </w:t>
      </w:r>
      <w:r w:rsidRPr="00682D60">
        <w:rPr>
          <w:color w:val="auto"/>
          <w:sz w:val="28"/>
          <w:szCs w:val="28"/>
        </w:rPr>
        <w:t xml:space="preserve">apmērā, </w:t>
      </w:r>
      <w:r w:rsidR="00BC7127" w:rsidRPr="00682D60">
        <w:rPr>
          <w:color w:val="auto"/>
          <w:sz w:val="28"/>
          <w:szCs w:val="28"/>
        </w:rPr>
        <w:t xml:space="preserve">ko veidotu  </w:t>
      </w:r>
      <w:r w:rsidRPr="00682D60">
        <w:rPr>
          <w:color w:val="auto"/>
          <w:sz w:val="28"/>
          <w:szCs w:val="28"/>
        </w:rPr>
        <w:t>Latvijas</w:t>
      </w:r>
      <w:r w:rsidR="00BC7127" w:rsidRPr="00682D60">
        <w:rPr>
          <w:color w:val="auto"/>
          <w:sz w:val="28"/>
          <w:szCs w:val="28"/>
        </w:rPr>
        <w:t xml:space="preserve"> ieguldījums 20 milj. </w:t>
      </w:r>
      <w:proofErr w:type="spellStart"/>
      <w:r w:rsidR="00BC7127" w:rsidRPr="00682D60">
        <w:rPr>
          <w:i/>
          <w:iCs/>
          <w:color w:val="auto"/>
          <w:sz w:val="28"/>
          <w:szCs w:val="28"/>
        </w:rPr>
        <w:t>euro</w:t>
      </w:r>
      <w:proofErr w:type="spellEnd"/>
      <w:r w:rsidR="00BC7127" w:rsidRPr="00682D60">
        <w:rPr>
          <w:color w:val="auto"/>
          <w:sz w:val="28"/>
          <w:szCs w:val="28"/>
        </w:rPr>
        <w:t xml:space="preserve"> apmērā no ES fondu finansējuma</w:t>
      </w:r>
      <w:r w:rsidRPr="00682D60">
        <w:rPr>
          <w:color w:val="auto"/>
          <w:sz w:val="28"/>
          <w:szCs w:val="28"/>
        </w:rPr>
        <w:t xml:space="preserve"> un Lietuvas </w:t>
      </w:r>
      <w:r w:rsidR="00BC7127" w:rsidRPr="00682D60">
        <w:rPr>
          <w:color w:val="auto"/>
          <w:sz w:val="28"/>
          <w:szCs w:val="28"/>
        </w:rPr>
        <w:t xml:space="preserve">ieguldījums 20 </w:t>
      </w:r>
      <w:proofErr w:type="spellStart"/>
      <w:r w:rsidR="00BC7127" w:rsidRPr="00682D60">
        <w:rPr>
          <w:color w:val="auto"/>
          <w:sz w:val="28"/>
          <w:szCs w:val="28"/>
        </w:rPr>
        <w:t>milj</w:t>
      </w:r>
      <w:proofErr w:type="spellEnd"/>
      <w:r w:rsidR="00BC7127" w:rsidRPr="00682D60">
        <w:rPr>
          <w:color w:val="auto"/>
          <w:sz w:val="28"/>
          <w:szCs w:val="28"/>
        </w:rPr>
        <w:t xml:space="preserve"> </w:t>
      </w:r>
      <w:proofErr w:type="spellStart"/>
      <w:r w:rsidR="00BC7127" w:rsidRPr="00BD7E96">
        <w:rPr>
          <w:i/>
          <w:iCs/>
          <w:color w:val="auto"/>
          <w:sz w:val="28"/>
          <w:szCs w:val="28"/>
        </w:rPr>
        <w:t>euro</w:t>
      </w:r>
      <w:proofErr w:type="spellEnd"/>
      <w:r w:rsidR="00BC7127" w:rsidRPr="00682D60">
        <w:rPr>
          <w:color w:val="auto"/>
          <w:sz w:val="28"/>
          <w:szCs w:val="28"/>
        </w:rPr>
        <w:t xml:space="preserve"> apmērā no ES fondu </w:t>
      </w:r>
      <w:r w:rsidR="00682D60" w:rsidRPr="00682D60">
        <w:rPr>
          <w:color w:val="auto"/>
          <w:sz w:val="28"/>
          <w:szCs w:val="28"/>
        </w:rPr>
        <w:t>fina</w:t>
      </w:r>
      <w:r w:rsidR="00682D60">
        <w:rPr>
          <w:color w:val="auto"/>
          <w:sz w:val="28"/>
          <w:szCs w:val="28"/>
        </w:rPr>
        <w:t>ns</w:t>
      </w:r>
      <w:r w:rsidR="00682D60" w:rsidRPr="00682D60">
        <w:rPr>
          <w:color w:val="auto"/>
          <w:sz w:val="28"/>
          <w:szCs w:val="28"/>
        </w:rPr>
        <w:t>ējuma</w:t>
      </w:r>
      <w:r w:rsidRPr="00682D60">
        <w:rPr>
          <w:color w:val="auto"/>
          <w:sz w:val="28"/>
          <w:szCs w:val="28"/>
        </w:rPr>
        <w:t>,</w:t>
      </w:r>
      <w:r w:rsidR="00BC7127" w:rsidRPr="00682D60">
        <w:rPr>
          <w:color w:val="auto"/>
          <w:sz w:val="28"/>
          <w:szCs w:val="28"/>
        </w:rPr>
        <w:t xml:space="preserve"> </w:t>
      </w:r>
      <w:r w:rsidRPr="00682D60">
        <w:rPr>
          <w:color w:val="auto"/>
          <w:sz w:val="28"/>
          <w:szCs w:val="28"/>
        </w:rPr>
        <w:t xml:space="preserve"> un </w:t>
      </w:r>
      <w:r w:rsidR="00BC7127" w:rsidRPr="00682D60">
        <w:rPr>
          <w:color w:val="auto"/>
          <w:sz w:val="28"/>
          <w:szCs w:val="28"/>
        </w:rPr>
        <w:t xml:space="preserve"> vienlaikus saglabājot </w:t>
      </w:r>
      <w:r w:rsidRPr="00682D60">
        <w:rPr>
          <w:color w:val="auto"/>
          <w:sz w:val="28"/>
          <w:szCs w:val="28"/>
        </w:rPr>
        <w:t>vēlākas līdzdalības iespēju Igaunijai un starptautiskajām finanšu institūcijām, tiklīdz tās būs gatavas veikt ieguldījumu</w:t>
      </w:r>
      <w:r w:rsidR="00FC7EE3" w:rsidRPr="00682D60">
        <w:rPr>
          <w:color w:val="auto"/>
          <w:sz w:val="28"/>
          <w:szCs w:val="28"/>
        </w:rPr>
        <w:t xml:space="preserve"> vidējā termiņā</w:t>
      </w:r>
      <w:r w:rsidRPr="00682D60">
        <w:rPr>
          <w:color w:val="auto"/>
          <w:sz w:val="28"/>
          <w:szCs w:val="28"/>
        </w:rPr>
        <w:t>.</w:t>
      </w:r>
    </w:p>
    <w:p w14:paraId="4F439FAC" w14:textId="77777777" w:rsidR="009A5537" w:rsidRPr="00682D60" w:rsidRDefault="009A5537" w:rsidP="00D2120F">
      <w:pPr>
        <w:pStyle w:val="Default"/>
        <w:ind w:firstLine="720"/>
        <w:jc w:val="both"/>
        <w:rPr>
          <w:color w:val="auto"/>
          <w:sz w:val="28"/>
          <w:szCs w:val="28"/>
        </w:rPr>
      </w:pPr>
    </w:p>
    <w:p w14:paraId="60F7F100" w14:textId="3988B7C3" w:rsidR="00D50E85" w:rsidRPr="00682D60" w:rsidRDefault="009A5537" w:rsidP="009A5537">
      <w:pPr>
        <w:pStyle w:val="Default"/>
        <w:ind w:left="720"/>
        <w:jc w:val="both"/>
        <w:rPr>
          <w:bCs/>
          <w:color w:val="auto"/>
          <w:sz w:val="28"/>
          <w:szCs w:val="28"/>
        </w:rPr>
      </w:pPr>
      <w:r w:rsidRPr="00682D60">
        <w:rPr>
          <w:bCs/>
          <w:color w:val="auto"/>
          <w:sz w:val="28"/>
          <w:szCs w:val="28"/>
        </w:rPr>
        <w:t>2.attēls</w:t>
      </w:r>
      <w:r w:rsidR="00375D14">
        <w:rPr>
          <w:bCs/>
          <w:color w:val="auto"/>
          <w:sz w:val="28"/>
          <w:szCs w:val="28"/>
        </w:rPr>
        <w:t>.</w:t>
      </w:r>
      <w:r w:rsidRPr="00682D60">
        <w:rPr>
          <w:bCs/>
          <w:color w:val="auto"/>
          <w:sz w:val="28"/>
          <w:szCs w:val="28"/>
        </w:rPr>
        <w:t xml:space="preserve"> Fonda iegu</w:t>
      </w:r>
      <w:r w:rsidR="00FC7EE3" w:rsidRPr="00682D60">
        <w:rPr>
          <w:bCs/>
          <w:color w:val="auto"/>
          <w:sz w:val="28"/>
          <w:szCs w:val="28"/>
        </w:rPr>
        <w:t>l</w:t>
      </w:r>
      <w:r w:rsidRPr="00682D60">
        <w:rPr>
          <w:bCs/>
          <w:color w:val="auto"/>
          <w:sz w:val="28"/>
          <w:szCs w:val="28"/>
        </w:rPr>
        <w:t>dījumu struktūra</w:t>
      </w:r>
      <w:r w:rsidR="00AA1A18" w:rsidRPr="00682D60">
        <w:rPr>
          <w:bCs/>
          <w:color w:val="auto"/>
          <w:sz w:val="28"/>
          <w:szCs w:val="28"/>
        </w:rPr>
        <w:t xml:space="preserve"> vidēja termiņā</w:t>
      </w:r>
      <w:r w:rsidR="0015214B" w:rsidRPr="00682D60">
        <w:rPr>
          <w:bCs/>
          <w:color w:val="auto"/>
          <w:sz w:val="28"/>
          <w:szCs w:val="28"/>
        </w:rPr>
        <w:t xml:space="preserve">, paredzot fonda finansējumu no 40 – 80 milj. </w:t>
      </w:r>
      <w:proofErr w:type="spellStart"/>
      <w:r w:rsidR="0015214B" w:rsidRPr="00682D60">
        <w:rPr>
          <w:bCs/>
          <w:i/>
          <w:iCs/>
          <w:color w:val="auto"/>
          <w:sz w:val="28"/>
          <w:szCs w:val="28"/>
        </w:rPr>
        <w:t>euro</w:t>
      </w:r>
      <w:proofErr w:type="spellEnd"/>
    </w:p>
    <w:p w14:paraId="494F17E6" w14:textId="77777777" w:rsidR="0015214B" w:rsidRPr="00682D60" w:rsidRDefault="0015214B" w:rsidP="009A5537">
      <w:pPr>
        <w:pStyle w:val="Default"/>
        <w:ind w:left="720"/>
        <w:jc w:val="both"/>
        <w:rPr>
          <w:b/>
          <w:color w:val="auto"/>
          <w:sz w:val="28"/>
          <w:szCs w:val="28"/>
        </w:rPr>
      </w:pPr>
    </w:p>
    <w:p w14:paraId="61EA62F2" w14:textId="558321A9" w:rsidR="009A5537" w:rsidRPr="00682D60" w:rsidRDefault="009A5537" w:rsidP="009A5537">
      <w:pPr>
        <w:pStyle w:val="Default"/>
        <w:ind w:left="720"/>
        <w:jc w:val="both"/>
        <w:rPr>
          <w:b/>
          <w:color w:val="auto"/>
          <w:sz w:val="28"/>
          <w:szCs w:val="28"/>
        </w:rPr>
      </w:pPr>
      <w:r w:rsidRPr="00682D60">
        <w:rPr>
          <w:rFonts w:ascii="Arial" w:hAnsi="Arial" w:cs="Arial"/>
          <w:noProof/>
          <w:color w:val="auto"/>
          <w:lang w:eastAsia="lv-LV"/>
        </w:rPr>
        <w:lastRenderedPageBreak/>
        <mc:AlternateContent>
          <mc:Choice Requires="wpg">
            <w:drawing>
              <wp:inline distT="0" distB="0" distL="0" distR="0" wp14:anchorId="22AF31E1" wp14:editId="71DC26F9">
                <wp:extent cx="5394192" cy="3949593"/>
                <wp:effectExtent l="0" t="0" r="16510" b="13335"/>
                <wp:docPr id="4121" name="Group 3"/>
                <wp:cNvGraphicFramePr/>
                <a:graphic xmlns:a="http://schemas.openxmlformats.org/drawingml/2006/main">
                  <a:graphicData uri="http://schemas.microsoft.com/office/word/2010/wordprocessingGroup">
                    <wpg:wgp>
                      <wpg:cNvGrpSpPr/>
                      <wpg:grpSpPr>
                        <a:xfrm>
                          <a:off x="0" y="0"/>
                          <a:ext cx="5394192" cy="3949593"/>
                          <a:chOff x="0" y="0"/>
                          <a:chExt cx="4384081" cy="3942976"/>
                        </a:xfrm>
                      </wpg:grpSpPr>
                      <wps:wsp>
                        <wps:cNvPr id="4122" name="Down Arrow 1"/>
                        <wps:cNvSpPr/>
                        <wps:spPr>
                          <a:xfrm>
                            <a:off x="698696" y="1793174"/>
                            <a:ext cx="384175" cy="441444"/>
                          </a:xfrm>
                          <a:prstGeom prst="downArrow">
                            <a:avLst/>
                          </a:prstGeom>
                          <a:solidFill>
                            <a:srgbClr val="483698"/>
                          </a:solidFill>
                          <a:ln w="12700" cap="flat" cmpd="sng" algn="ctr">
                            <a:solidFill>
                              <a:srgbClr val="483698"/>
                            </a:solidFill>
                            <a:prstDash val="solid"/>
                            <a:miter lim="800000"/>
                          </a:ln>
                          <a:effectLst/>
                        </wps:spPr>
                        <wps:bodyPr lIns="54000" tIns="54000" rIns="54000" bIns="54000" rtlCol="0" anchor="ctr"/>
                      </wps:wsp>
                      <wpg:grpSp>
                        <wpg:cNvPr id="4123" name="Group 4123"/>
                        <wpg:cNvGrpSpPr/>
                        <wpg:grpSpPr>
                          <a:xfrm>
                            <a:off x="0" y="0"/>
                            <a:ext cx="4384037" cy="1672051"/>
                            <a:chOff x="0" y="0"/>
                            <a:chExt cx="4059937" cy="1462406"/>
                          </a:xfrm>
                        </wpg:grpSpPr>
                        <wps:wsp>
                          <wps:cNvPr id="4124" name="Callout: Down Arrow 4124"/>
                          <wps:cNvSpPr/>
                          <wps:spPr>
                            <a:xfrm>
                              <a:off x="0" y="0"/>
                              <a:ext cx="874395" cy="693420"/>
                            </a:xfrm>
                            <a:prstGeom prst="downArrowCallout">
                              <a:avLst/>
                            </a:prstGeom>
                            <a:solidFill>
                              <a:srgbClr val="002997"/>
                            </a:solidFill>
                            <a:ln w="12700" cap="flat" cmpd="sng" algn="ctr">
                              <a:solidFill>
                                <a:srgbClr val="0091DA">
                                  <a:shade val="50000"/>
                                </a:srgbClr>
                              </a:solidFill>
                              <a:prstDash val="solid"/>
                              <a:miter lim="800000"/>
                            </a:ln>
                            <a:effectLst/>
                          </wps:spPr>
                          <wps:txbx>
                            <w:txbxContent>
                              <w:p w14:paraId="54D1DDAF" w14:textId="77777777" w:rsidR="009A5537" w:rsidRPr="000936B3" w:rsidRDefault="009A5537" w:rsidP="009A5537">
                                <w:pPr>
                                  <w:jc w:val="center"/>
                                  <w:rPr>
                                    <w:rFonts w:ascii="Arial" w:hAnsi="Arial" w:cs="Arial"/>
                                    <w:sz w:val="24"/>
                                    <w:szCs w:val="24"/>
                                  </w:rPr>
                                </w:pPr>
                                <w:r>
                                  <w:rPr>
                                    <w:rFonts w:ascii="Arial" w:eastAsia="Times New Roman" w:hAnsi="Arial" w:cs="Arial"/>
                                    <w:b/>
                                    <w:bCs/>
                                    <w:color w:val="FFFFFF" w:themeColor="light1"/>
                                    <w:kern w:val="24"/>
                                  </w:rPr>
                                  <w:t>LT</w:t>
                                </w:r>
                                <w:r w:rsidRPr="000936B3">
                                  <w:rPr>
                                    <w:rFonts w:ascii="Arial" w:eastAsia="Times New Roman" w:hAnsi="Arial" w:cs="Arial"/>
                                    <w:b/>
                                    <w:bCs/>
                                    <w:color w:val="FFFFFF" w:themeColor="light1"/>
                                    <w:kern w:val="24"/>
                                  </w:rPr>
                                  <w:t xml:space="preserve"> </w:t>
                                </w:r>
                              </w:p>
                              <w:p w14:paraId="12325885" w14:textId="79A0DF1C" w:rsidR="009A5537" w:rsidRPr="000936B3" w:rsidRDefault="009A5537" w:rsidP="009A5537">
                                <w:pPr>
                                  <w:jc w:val="center"/>
                                  <w:rPr>
                                    <w:rFonts w:ascii="Arial" w:hAnsi="Arial" w:cs="Arial"/>
                                  </w:rPr>
                                </w:pPr>
                                <w:r w:rsidRPr="000936B3">
                                  <w:rPr>
                                    <w:rFonts w:ascii="Arial" w:eastAsia="Times New Roman" w:hAnsi="Arial" w:cs="Arial"/>
                                    <w:b/>
                                    <w:bCs/>
                                    <w:color w:val="FFFFFF" w:themeColor="light1"/>
                                    <w:kern w:val="24"/>
                                  </w:rPr>
                                  <w:t>(20m</w:t>
                                </w:r>
                                <w:r w:rsidR="004F610E">
                                  <w:rPr>
                                    <w:rFonts w:ascii="Arial" w:eastAsia="Times New Roman" w:hAnsi="Arial" w:cs="Arial"/>
                                    <w:b/>
                                    <w:bCs/>
                                    <w:color w:val="FFFFFF" w:themeColor="light1"/>
                                    <w:kern w:val="24"/>
                                  </w:rPr>
                                  <w:t xml:space="preserve"> euro</w:t>
                                </w:r>
                                <w:r w:rsidRPr="000936B3">
                                  <w:rPr>
                                    <w:rFonts w:ascii="Arial" w:eastAsia="Times New Roman" w:hAnsi="Arial" w:cs="Arial"/>
                                    <w:b/>
                                    <w:bCs/>
                                    <w:color w:val="FFFFFF" w:themeColor="light1"/>
                                    <w:kern w:val="24"/>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125" name="Callout: Down Arrow 4125"/>
                          <wps:cNvSpPr/>
                          <wps:spPr>
                            <a:xfrm>
                              <a:off x="3184384" y="635"/>
                              <a:ext cx="874966" cy="693683"/>
                            </a:xfrm>
                            <a:prstGeom prst="downArrowCallout">
                              <a:avLst/>
                            </a:prstGeom>
                            <a:solidFill>
                              <a:srgbClr val="470A68"/>
                            </a:solidFill>
                            <a:ln w="12700" cap="flat" cmpd="sng" algn="ctr">
                              <a:solidFill>
                                <a:srgbClr val="0091DA">
                                  <a:shade val="50000"/>
                                </a:srgbClr>
                              </a:solidFill>
                              <a:prstDash val="solid"/>
                              <a:miter lim="800000"/>
                            </a:ln>
                            <a:effectLst/>
                          </wps:spPr>
                          <wps:txbx>
                            <w:txbxContent>
                              <w:p w14:paraId="6C61DBC9" w14:textId="1BAD6226" w:rsidR="009A5537" w:rsidRPr="000936B3" w:rsidRDefault="00376869" w:rsidP="009A5537">
                                <w:pPr>
                                  <w:jc w:val="center"/>
                                  <w:rPr>
                                    <w:rFonts w:ascii="Arial" w:eastAsia="Times New Roman" w:hAnsi="Arial" w:cs="Arial"/>
                                    <w:b/>
                                    <w:bCs/>
                                    <w:color w:val="FFFFFF" w:themeColor="light1"/>
                                    <w:kern w:val="24"/>
                                    <w:sz w:val="19"/>
                                    <w:szCs w:val="19"/>
                                  </w:rPr>
                                </w:pPr>
                                <w:r>
                                  <w:rPr>
                                    <w:rFonts w:ascii="Arial" w:eastAsia="Times New Roman" w:hAnsi="Arial" w:cs="Arial"/>
                                    <w:b/>
                                    <w:bCs/>
                                    <w:color w:val="FFFFFF" w:themeColor="light1"/>
                                    <w:kern w:val="24"/>
                                    <w:sz w:val="19"/>
                                    <w:szCs w:val="19"/>
                                  </w:rPr>
                                  <w:t>SFI</w:t>
                                </w:r>
                                <w:r w:rsidR="009A5537" w:rsidRPr="000936B3">
                                  <w:rPr>
                                    <w:rFonts w:ascii="Arial" w:eastAsia="Times New Roman" w:hAnsi="Arial" w:cs="Arial"/>
                                    <w:b/>
                                    <w:bCs/>
                                    <w:color w:val="FFFFFF" w:themeColor="light1"/>
                                    <w:kern w:val="24"/>
                                    <w:sz w:val="19"/>
                                    <w:szCs w:val="19"/>
                                  </w:rPr>
                                  <w:t>?/ E</w:t>
                                </w:r>
                                <w:r>
                                  <w:rPr>
                                    <w:rFonts w:ascii="Arial" w:eastAsia="Times New Roman" w:hAnsi="Arial" w:cs="Arial"/>
                                    <w:b/>
                                    <w:bCs/>
                                    <w:color w:val="FFFFFF" w:themeColor="light1"/>
                                    <w:kern w:val="24"/>
                                    <w:sz w:val="19"/>
                                    <w:szCs w:val="19"/>
                                  </w:rPr>
                                  <w:t>S</w:t>
                                </w:r>
                                <w:r w:rsidR="009A5537" w:rsidRPr="000936B3">
                                  <w:rPr>
                                    <w:rFonts w:ascii="Arial" w:eastAsia="Times New Roman" w:hAnsi="Arial" w:cs="Arial"/>
                                    <w:b/>
                                    <w:bCs/>
                                    <w:color w:val="FFFFFF" w:themeColor="light1"/>
                                    <w:kern w:val="24"/>
                                    <w:sz w:val="19"/>
                                    <w:szCs w:val="19"/>
                                  </w:rPr>
                                  <w:t xml:space="preserve"> </w:t>
                                </w:r>
                                <w:r>
                                  <w:rPr>
                                    <w:rFonts w:ascii="Arial" w:eastAsia="Times New Roman" w:hAnsi="Arial" w:cs="Arial"/>
                                    <w:b/>
                                    <w:bCs/>
                                    <w:color w:val="FFFFFF" w:themeColor="light1"/>
                                    <w:kern w:val="24"/>
                                    <w:sz w:val="19"/>
                                    <w:szCs w:val="19"/>
                                  </w:rPr>
                                  <w:t>MVU</w:t>
                                </w:r>
                                <w:r w:rsidR="009A5537" w:rsidRPr="000936B3">
                                  <w:rPr>
                                    <w:rFonts w:ascii="Arial" w:eastAsia="Times New Roman" w:hAnsi="Arial" w:cs="Arial"/>
                                    <w:b/>
                                    <w:bCs/>
                                    <w:color w:val="FFFFFF" w:themeColor="light1"/>
                                    <w:kern w:val="24"/>
                                    <w:sz w:val="19"/>
                                    <w:szCs w:val="19"/>
                                  </w:rPr>
                                  <w:t xml:space="preserve"> IPO </w:t>
                                </w:r>
                                <w:r>
                                  <w:rPr>
                                    <w:rFonts w:ascii="Arial" w:eastAsia="Times New Roman" w:hAnsi="Arial" w:cs="Arial"/>
                                    <w:b/>
                                    <w:bCs/>
                                    <w:color w:val="FFFFFF" w:themeColor="light1"/>
                                    <w:kern w:val="24"/>
                                    <w:sz w:val="19"/>
                                    <w:szCs w:val="19"/>
                                  </w:rPr>
                                  <w:t>fonds</w:t>
                                </w:r>
                                <w:r w:rsidR="009A5537">
                                  <w:rPr>
                                    <w:rFonts w:ascii="Arial" w:eastAsia="Times New Roman" w:hAnsi="Arial" w:cs="Arial"/>
                                    <w:b/>
                                    <w:bCs/>
                                    <w:color w:val="FFFFFF" w:themeColor="light1"/>
                                    <w:kern w:val="24"/>
                                    <w:sz w:val="19"/>
                                    <w:szCs w:val="19"/>
                                  </w:rPr>
                                  <w:t>?</w:t>
                                </w:r>
                                <w:r w:rsidR="009A5537" w:rsidRPr="000936B3">
                                  <w:rPr>
                                    <w:rFonts w:ascii="Arial" w:eastAsia="Times New Roman" w:hAnsi="Arial" w:cs="Arial"/>
                                    <w:b/>
                                    <w:bCs/>
                                    <w:color w:val="FFFFFF" w:themeColor="light1"/>
                                    <w:kern w:val="24"/>
                                    <w:sz w:val="19"/>
                                    <w:szCs w:val="19"/>
                                  </w:rPr>
                                  <w:t xml:space="preserve">  (20m</w:t>
                                </w:r>
                                <w:r w:rsidR="004F610E">
                                  <w:rPr>
                                    <w:rFonts w:ascii="Arial" w:eastAsia="Times New Roman" w:hAnsi="Arial" w:cs="Arial"/>
                                    <w:b/>
                                    <w:bCs/>
                                    <w:color w:val="FFFFFF" w:themeColor="light1"/>
                                    <w:kern w:val="24"/>
                                    <w:sz w:val="19"/>
                                    <w:szCs w:val="19"/>
                                  </w:rPr>
                                  <w:t xml:space="preserve"> euro</w:t>
                                </w:r>
                                <w:r w:rsidR="009A5537" w:rsidRPr="000936B3">
                                  <w:rPr>
                                    <w:rFonts w:ascii="Arial" w:eastAsia="Times New Roman" w:hAnsi="Arial" w:cs="Arial"/>
                                    <w:b/>
                                    <w:bCs/>
                                    <w:color w:val="FFFFFF" w:themeColor="light1"/>
                                    <w:kern w:val="24"/>
                                    <w:sz w:val="19"/>
                                    <w:szCs w:val="19"/>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126" name="Callout: Down Arrow 4126"/>
                          <wps:cNvSpPr/>
                          <wps:spPr>
                            <a:xfrm>
                              <a:off x="2123313" y="635"/>
                              <a:ext cx="874966" cy="693683"/>
                            </a:xfrm>
                            <a:prstGeom prst="downArrowCallout">
                              <a:avLst/>
                            </a:prstGeom>
                            <a:solidFill>
                              <a:srgbClr val="002997"/>
                            </a:solidFill>
                            <a:ln w="12700" cap="flat" cmpd="sng" algn="ctr">
                              <a:solidFill>
                                <a:srgbClr val="0091DA">
                                  <a:shade val="50000"/>
                                </a:srgbClr>
                              </a:solidFill>
                              <a:prstDash val="solid"/>
                              <a:miter lim="800000"/>
                            </a:ln>
                            <a:effectLst/>
                          </wps:spPr>
                          <wps:txbx>
                            <w:txbxContent>
                              <w:p w14:paraId="1834A80D" w14:textId="77777777" w:rsidR="009A5537" w:rsidRPr="000936B3" w:rsidRDefault="009A5537" w:rsidP="009A5537">
                                <w:pPr>
                                  <w:jc w:val="center"/>
                                  <w:rPr>
                                    <w:rFonts w:ascii="Arial" w:hAnsi="Arial" w:cs="Arial"/>
                                    <w:sz w:val="24"/>
                                    <w:szCs w:val="24"/>
                                  </w:rPr>
                                </w:pPr>
                                <w:r>
                                  <w:rPr>
                                    <w:rFonts w:ascii="Arial" w:eastAsia="Times New Roman" w:hAnsi="Arial" w:cs="Arial"/>
                                    <w:b/>
                                    <w:bCs/>
                                    <w:color w:val="FFFFFF" w:themeColor="light1"/>
                                    <w:kern w:val="24"/>
                                  </w:rPr>
                                  <w:t>EE?</w:t>
                                </w:r>
                              </w:p>
                              <w:p w14:paraId="371FC401" w14:textId="49CCF5FF" w:rsidR="009A5537" w:rsidRPr="000936B3" w:rsidRDefault="009A5537" w:rsidP="009A5537">
                                <w:pPr>
                                  <w:jc w:val="center"/>
                                  <w:rPr>
                                    <w:rFonts w:ascii="Arial" w:hAnsi="Arial" w:cs="Arial"/>
                                  </w:rPr>
                                </w:pPr>
                                <w:r w:rsidRPr="000936B3">
                                  <w:rPr>
                                    <w:rFonts w:ascii="Arial" w:eastAsia="Times New Roman" w:hAnsi="Arial" w:cs="Arial"/>
                                    <w:b/>
                                    <w:bCs/>
                                    <w:color w:val="FFFFFF" w:themeColor="light1"/>
                                    <w:kern w:val="24"/>
                                  </w:rPr>
                                  <w:t>(20m</w:t>
                                </w:r>
                                <w:r w:rsidR="004F610E">
                                  <w:rPr>
                                    <w:rFonts w:ascii="Arial" w:eastAsia="Times New Roman" w:hAnsi="Arial" w:cs="Arial"/>
                                    <w:b/>
                                    <w:bCs/>
                                    <w:color w:val="FFFFFF" w:themeColor="light1"/>
                                    <w:kern w:val="24"/>
                                  </w:rPr>
                                  <w:t xml:space="preserve"> euro</w:t>
                                </w:r>
                                <w:r w:rsidRPr="000936B3">
                                  <w:rPr>
                                    <w:rFonts w:ascii="Arial" w:eastAsia="Times New Roman" w:hAnsi="Arial" w:cs="Arial"/>
                                    <w:b/>
                                    <w:bCs/>
                                    <w:color w:val="FFFFFF" w:themeColor="light1"/>
                                    <w:kern w:val="24"/>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127" name="Callout: Down Arrow 4127"/>
                          <wps:cNvSpPr/>
                          <wps:spPr>
                            <a:xfrm>
                              <a:off x="1062220" y="635"/>
                              <a:ext cx="874966" cy="693683"/>
                            </a:xfrm>
                            <a:prstGeom prst="downArrowCallout">
                              <a:avLst/>
                            </a:prstGeom>
                            <a:solidFill>
                              <a:srgbClr val="002997"/>
                            </a:solidFill>
                            <a:ln w="12700" cap="flat" cmpd="sng" algn="ctr">
                              <a:solidFill>
                                <a:srgbClr val="0091DA">
                                  <a:shade val="50000"/>
                                </a:srgbClr>
                              </a:solidFill>
                              <a:prstDash val="solid"/>
                              <a:miter lim="800000"/>
                            </a:ln>
                            <a:effectLst/>
                          </wps:spPr>
                          <wps:txbx>
                            <w:txbxContent>
                              <w:p w14:paraId="54209449" w14:textId="77777777" w:rsidR="009A5537" w:rsidRPr="000936B3" w:rsidRDefault="009A5537" w:rsidP="009A5537">
                                <w:pPr>
                                  <w:jc w:val="center"/>
                                  <w:rPr>
                                    <w:rFonts w:ascii="Arial" w:hAnsi="Arial" w:cs="Arial"/>
                                    <w:sz w:val="24"/>
                                    <w:szCs w:val="24"/>
                                  </w:rPr>
                                </w:pPr>
                                <w:r w:rsidRPr="000936B3">
                                  <w:rPr>
                                    <w:rFonts w:ascii="Arial" w:eastAsia="Times New Roman" w:hAnsi="Arial" w:cs="Arial"/>
                                    <w:b/>
                                    <w:bCs/>
                                    <w:color w:val="FFFFFF" w:themeColor="light1"/>
                                    <w:kern w:val="24"/>
                                  </w:rPr>
                                  <w:t>LV</w:t>
                                </w:r>
                              </w:p>
                              <w:p w14:paraId="00E593C2" w14:textId="0A9A46EE" w:rsidR="009A5537" w:rsidRPr="000936B3" w:rsidRDefault="009A5537" w:rsidP="009A5537">
                                <w:pPr>
                                  <w:jc w:val="center"/>
                                  <w:rPr>
                                    <w:rFonts w:ascii="Arial" w:hAnsi="Arial" w:cs="Arial"/>
                                  </w:rPr>
                                </w:pPr>
                                <w:r w:rsidRPr="000936B3">
                                  <w:rPr>
                                    <w:rFonts w:ascii="Arial" w:eastAsia="Times New Roman" w:hAnsi="Arial" w:cs="Arial"/>
                                    <w:b/>
                                    <w:bCs/>
                                    <w:color w:val="FFFFFF" w:themeColor="light1"/>
                                    <w:kern w:val="24"/>
                                  </w:rPr>
                                  <w:t>(20m</w:t>
                                </w:r>
                                <w:r w:rsidR="004F610E">
                                  <w:rPr>
                                    <w:rFonts w:ascii="Arial" w:eastAsia="Times New Roman" w:hAnsi="Arial" w:cs="Arial"/>
                                    <w:b/>
                                    <w:bCs/>
                                    <w:color w:val="FFFFFF" w:themeColor="light1"/>
                                    <w:kern w:val="24"/>
                                  </w:rPr>
                                  <w:t xml:space="preserve"> euro</w:t>
                                </w:r>
                                <w:r w:rsidRPr="000936B3">
                                  <w:rPr>
                                    <w:rFonts w:ascii="Arial" w:eastAsia="Times New Roman" w:hAnsi="Arial" w:cs="Arial"/>
                                    <w:b/>
                                    <w:bCs/>
                                    <w:color w:val="FFFFFF" w:themeColor="light1"/>
                                    <w:kern w:val="24"/>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128" name="Rectangle 4128"/>
                          <wps:cNvSpPr/>
                          <wps:spPr>
                            <a:xfrm>
                              <a:off x="587" y="900431"/>
                              <a:ext cx="4059350" cy="561975"/>
                            </a:xfrm>
                            <a:prstGeom prst="rect">
                              <a:avLst/>
                            </a:prstGeom>
                            <a:solidFill>
                              <a:srgbClr val="005EB8"/>
                            </a:solidFill>
                            <a:ln w="12700" cap="flat" cmpd="sng" algn="ctr">
                              <a:solidFill>
                                <a:srgbClr val="0091DA">
                                  <a:shade val="50000"/>
                                </a:srgbClr>
                              </a:solidFill>
                              <a:prstDash val="solid"/>
                              <a:miter lim="800000"/>
                            </a:ln>
                            <a:effectLst/>
                          </wps:spPr>
                          <wps:txbx>
                            <w:txbxContent>
                              <w:p w14:paraId="0A9D073E" w14:textId="14941288" w:rsidR="009A5537" w:rsidRPr="000936B3" w:rsidRDefault="00376869" w:rsidP="009A5537">
                                <w:pPr>
                                  <w:jc w:val="center"/>
                                  <w:rPr>
                                    <w:rFonts w:ascii="Arial" w:hAnsi="Arial" w:cs="Arial"/>
                                    <w:sz w:val="24"/>
                                    <w:szCs w:val="24"/>
                                  </w:rPr>
                                </w:pPr>
                                <w:r>
                                  <w:rPr>
                                    <w:rFonts w:ascii="Arial" w:eastAsia="Times New Roman" w:hAnsi="Arial" w:cs="Arial"/>
                                    <w:b/>
                                    <w:bCs/>
                                    <w:color w:val="FFFFFF" w:themeColor="light1"/>
                                    <w:kern w:val="24"/>
                                  </w:rPr>
                                  <w:t xml:space="preserve">Baltijas </w:t>
                                </w:r>
                                <w:r w:rsidR="0015214B">
                                  <w:rPr>
                                    <w:rFonts w:ascii="Arial" w:eastAsia="Times New Roman" w:hAnsi="Arial" w:cs="Arial"/>
                                    <w:b/>
                                    <w:bCs/>
                                    <w:color w:val="FFFFFF" w:themeColor="light1"/>
                                    <w:kern w:val="24"/>
                                  </w:rPr>
                                  <w:t>IPO</w:t>
                                </w:r>
                                <w:r>
                                  <w:rPr>
                                    <w:rFonts w:ascii="Arial" w:eastAsia="Times New Roman" w:hAnsi="Arial" w:cs="Arial"/>
                                    <w:b/>
                                    <w:bCs/>
                                    <w:color w:val="FFFFFF" w:themeColor="light1"/>
                                    <w:kern w:val="24"/>
                                  </w:rPr>
                                  <w:t xml:space="preserve"> fonds</w:t>
                                </w:r>
                              </w:p>
                              <w:p w14:paraId="452B7D7F" w14:textId="512A0177" w:rsidR="009A5537" w:rsidRPr="000936B3" w:rsidRDefault="009A5537" w:rsidP="009A5537">
                                <w:pPr>
                                  <w:jc w:val="center"/>
                                  <w:rPr>
                                    <w:rFonts w:ascii="Arial" w:hAnsi="Arial" w:cs="Arial"/>
                                  </w:rPr>
                                </w:pPr>
                                <w:r w:rsidRPr="000936B3">
                                  <w:rPr>
                                    <w:rFonts w:ascii="Arial" w:eastAsia="Times New Roman" w:hAnsi="Arial" w:cs="Arial"/>
                                    <w:b/>
                                    <w:bCs/>
                                    <w:color w:val="FFFFFF" w:themeColor="light1"/>
                                    <w:kern w:val="24"/>
                                  </w:rPr>
                                  <w:t>(40-80m</w:t>
                                </w:r>
                                <w:r w:rsidR="004F610E">
                                  <w:rPr>
                                    <w:rFonts w:ascii="Arial" w:eastAsia="Times New Roman" w:hAnsi="Arial" w:cs="Arial"/>
                                    <w:b/>
                                    <w:bCs/>
                                    <w:color w:val="FFFFFF" w:themeColor="light1"/>
                                    <w:kern w:val="24"/>
                                  </w:rPr>
                                  <w:t xml:space="preserve"> euro</w:t>
                                </w:r>
                                <w:r w:rsidRPr="000936B3">
                                  <w:rPr>
                                    <w:rFonts w:ascii="Arial" w:eastAsia="Times New Roman" w:hAnsi="Arial" w:cs="Arial"/>
                                    <w:b/>
                                    <w:bCs/>
                                    <w:color w:val="FFFFFF" w:themeColor="light1"/>
                                    <w:kern w:val="24"/>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4129" name="Text Box 8"/>
                        <wps:cNvSpPr txBox="1">
                          <a:spLocks noChangeArrowheads="1"/>
                        </wps:cNvSpPr>
                        <wps:spPr bwMode="auto">
                          <a:xfrm>
                            <a:off x="580" y="2351995"/>
                            <a:ext cx="1780522" cy="540122"/>
                          </a:xfrm>
                          <a:prstGeom prst="rect">
                            <a:avLst/>
                          </a:prstGeom>
                          <a:solidFill>
                            <a:srgbClr val="483698"/>
                          </a:solidFill>
                          <a:ln w="3175">
                            <a:solidFill>
                              <a:srgbClr val="000000"/>
                            </a:solidFill>
                            <a:miter lim="800000"/>
                            <a:headEnd/>
                            <a:tailEnd/>
                          </a:ln>
                        </wps:spPr>
                        <wps:txbx>
                          <w:txbxContent>
                            <w:p w14:paraId="5D7D8355" w14:textId="28722307" w:rsidR="009A5537" w:rsidRPr="000936B3" w:rsidRDefault="009A5537" w:rsidP="009A5537">
                              <w:pPr>
                                <w:jc w:val="center"/>
                                <w:rPr>
                                  <w:rFonts w:ascii="Arial" w:hAnsi="Arial" w:cs="Arial"/>
                                  <w:sz w:val="24"/>
                                  <w:szCs w:val="24"/>
                                </w:rPr>
                              </w:pPr>
                              <w:r w:rsidRPr="000936B3">
                                <w:rPr>
                                  <w:rFonts w:ascii="Arial" w:eastAsia="Times New Roman" w:hAnsi="Arial" w:cs="Arial"/>
                                  <w:b/>
                                  <w:bCs/>
                                  <w:color w:val="FFFFFF"/>
                                  <w:kern w:val="24"/>
                                </w:rPr>
                                <w:t xml:space="preserve">50% max </w:t>
                              </w:r>
                              <w:r w:rsidR="00376869">
                                <w:rPr>
                                  <w:rFonts w:ascii="Arial" w:eastAsia="Times New Roman" w:hAnsi="Arial" w:cs="Arial"/>
                                  <w:b/>
                                  <w:bCs/>
                                  <w:color w:val="FFFFFF"/>
                                  <w:kern w:val="24"/>
                                </w:rPr>
                                <w:t>no darījuma</w:t>
                              </w:r>
                              <w:r w:rsidRPr="000936B3">
                                <w:rPr>
                                  <w:rFonts w:ascii="Arial" w:eastAsia="Times New Roman" w:hAnsi="Arial" w:cs="Arial"/>
                                  <w:b/>
                                  <w:bCs/>
                                  <w:color w:val="FFFFFF"/>
                                  <w:kern w:val="24"/>
                                </w:rPr>
                                <w:t xml:space="preserve"> </w:t>
                              </w:r>
                            </w:p>
                          </w:txbxContent>
                        </wps:txbx>
                        <wps:bodyPr wrap="square" anchor="ctr" anchorCtr="1">
                          <a:noAutofit/>
                        </wps:bodyPr>
                      </wps:wsp>
                      <wps:wsp>
                        <wps:cNvPr id="4130" name="Rectangle 4130"/>
                        <wps:cNvSpPr/>
                        <wps:spPr>
                          <a:xfrm>
                            <a:off x="0" y="3544324"/>
                            <a:ext cx="4384081" cy="398652"/>
                          </a:xfrm>
                          <a:prstGeom prst="rect">
                            <a:avLst/>
                          </a:prstGeom>
                          <a:solidFill>
                            <a:srgbClr val="6D2077"/>
                          </a:solidFill>
                          <a:ln w="12700" cap="flat" cmpd="sng" algn="ctr">
                            <a:solidFill>
                              <a:srgbClr val="0091DA">
                                <a:shade val="50000"/>
                              </a:srgbClr>
                            </a:solidFill>
                            <a:prstDash val="solid"/>
                            <a:miter lim="800000"/>
                          </a:ln>
                          <a:effectLst/>
                        </wps:spPr>
                        <wps:txbx>
                          <w:txbxContent>
                            <w:p w14:paraId="11A9931A" w14:textId="1F228DB7" w:rsidR="009A5537" w:rsidRPr="000936B3" w:rsidRDefault="00376869" w:rsidP="009A5537">
                              <w:pPr>
                                <w:spacing w:line="240" w:lineRule="auto"/>
                                <w:jc w:val="center"/>
                                <w:rPr>
                                  <w:rFonts w:ascii="Arial" w:hAnsi="Arial" w:cs="Arial"/>
                                  <w:sz w:val="24"/>
                                  <w:szCs w:val="24"/>
                                </w:rPr>
                              </w:pPr>
                              <w:r>
                                <w:rPr>
                                  <w:rFonts w:ascii="Arial" w:eastAsia="Times New Roman" w:hAnsi="Arial" w:cs="Arial"/>
                                  <w:b/>
                                  <w:bCs/>
                                  <w:color w:val="FFFFFF" w:themeColor="light1"/>
                                  <w:kern w:val="24"/>
                                </w:rPr>
                                <w:t>Ieguldījums Baltijas uzņēmumos pirms-kotācijas un kotācijas laikā</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131" name="Down Arrow 1"/>
                        <wps:cNvSpPr/>
                        <wps:spPr>
                          <a:xfrm>
                            <a:off x="698696" y="3007588"/>
                            <a:ext cx="384175" cy="450798"/>
                          </a:xfrm>
                          <a:prstGeom prst="downArrow">
                            <a:avLst/>
                          </a:prstGeom>
                          <a:solidFill>
                            <a:srgbClr val="6D2077"/>
                          </a:solidFill>
                          <a:ln w="12700" cap="flat" cmpd="sng" algn="ctr">
                            <a:solidFill>
                              <a:srgbClr val="6D2077"/>
                            </a:solidFill>
                            <a:prstDash val="solid"/>
                            <a:miter lim="800000"/>
                          </a:ln>
                          <a:effectLst/>
                        </wps:spPr>
                        <wps:bodyPr lIns="54000" tIns="54000" rIns="54000" bIns="54000" rtlCol="0" anchor="ctr"/>
                      </wps:wsp>
                      <wps:wsp>
                        <wps:cNvPr id="4132" name="Text Box 4132"/>
                        <wps:cNvSpPr txBox="1">
                          <a:spLocks noChangeArrowheads="1"/>
                        </wps:cNvSpPr>
                        <wps:spPr bwMode="auto">
                          <a:xfrm>
                            <a:off x="2603558" y="2351995"/>
                            <a:ext cx="1780522" cy="540122"/>
                          </a:xfrm>
                          <a:prstGeom prst="rect">
                            <a:avLst/>
                          </a:prstGeom>
                          <a:solidFill>
                            <a:srgbClr val="483698"/>
                          </a:solidFill>
                          <a:ln w="3175">
                            <a:solidFill>
                              <a:srgbClr val="000000"/>
                            </a:solidFill>
                            <a:miter lim="800000"/>
                            <a:headEnd/>
                            <a:tailEnd/>
                          </a:ln>
                        </wps:spPr>
                        <wps:txbx>
                          <w:txbxContent>
                            <w:p w14:paraId="2208A2B4" w14:textId="40CCF10E" w:rsidR="009A5537" w:rsidRPr="000936B3" w:rsidRDefault="009A5537" w:rsidP="009A5537">
                              <w:pPr>
                                <w:jc w:val="center"/>
                                <w:rPr>
                                  <w:rFonts w:ascii="Arial" w:hAnsi="Arial" w:cs="Arial"/>
                                  <w:sz w:val="24"/>
                                  <w:szCs w:val="24"/>
                                </w:rPr>
                              </w:pPr>
                              <w:r w:rsidRPr="000936B3">
                                <w:rPr>
                                  <w:rFonts w:ascii="Arial" w:eastAsia="Times New Roman" w:hAnsi="Arial" w:cs="Arial"/>
                                  <w:b/>
                                  <w:bCs/>
                                  <w:color w:val="FFFFFF"/>
                                  <w:kern w:val="24"/>
                                </w:rPr>
                                <w:t xml:space="preserve">50% </w:t>
                              </w:r>
                              <w:r w:rsidR="00376869">
                                <w:rPr>
                                  <w:rFonts w:ascii="Arial" w:eastAsia="Times New Roman" w:hAnsi="Arial" w:cs="Arial"/>
                                  <w:b/>
                                  <w:bCs/>
                                  <w:color w:val="FFFFFF"/>
                                  <w:kern w:val="24"/>
                                </w:rPr>
                                <w:t>privāti investori (katrā darījumā atsevišķi)</w:t>
                              </w:r>
                            </w:p>
                          </w:txbxContent>
                        </wps:txbx>
                        <wps:bodyPr wrap="square" anchor="ctr" anchorCtr="1">
                          <a:noAutofit/>
                        </wps:bodyPr>
                      </wps:wsp>
                      <wps:wsp>
                        <wps:cNvPr id="4133" name="Down Arrow 1"/>
                        <wps:cNvSpPr/>
                        <wps:spPr>
                          <a:xfrm>
                            <a:off x="3301726" y="3007588"/>
                            <a:ext cx="384175" cy="450798"/>
                          </a:xfrm>
                          <a:prstGeom prst="downArrow">
                            <a:avLst/>
                          </a:prstGeom>
                          <a:solidFill>
                            <a:srgbClr val="6D2077"/>
                          </a:solidFill>
                          <a:ln w="12700" cap="flat" cmpd="sng" algn="ctr">
                            <a:solidFill>
                              <a:srgbClr val="6D2077"/>
                            </a:solidFill>
                            <a:prstDash val="solid"/>
                            <a:miter lim="800000"/>
                          </a:ln>
                          <a:effectLst/>
                        </wps:spPr>
                        <wps:bodyPr lIns="54000" tIns="54000" rIns="54000" bIns="54000" rtlCol="0" anchor="ctr"/>
                      </wps:wsp>
                    </wpg:wgp>
                  </a:graphicData>
                </a:graphic>
              </wp:inline>
            </w:drawing>
          </mc:Choice>
          <mc:Fallback>
            <w:pict>
              <v:group w14:anchorId="22AF31E1" id="Group 3" o:spid="_x0000_s1026" style="width:424.75pt;height:311pt;mso-position-horizontal-relative:char;mso-position-vertical-relative:line" coordsize="43840,39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7" type="#_x0000_t67" style="position:absolute;left:6986;top:17931;width:3842;height:44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" adj="12201" fillcolor="#483698" strokecolor="#483698" strokeweight="1pt">
                  <v:textbox inset="1.5mm,1.5mm,1.5mm,1.5mm"/>
                </v:shape>
                <v:group id="Group 4123" o:spid="_x0000_s1028" style="position:absolute;width:43840;height:16720" coordsize="40599,14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">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Callout: Down Arrow 4124" o:spid="_x0000_s1029" type="#_x0000_t80" style="position:absolute;width:8743;height:6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" adj="14035,6518,16200,8659" fillcolor="#002997" strokecolor="#0069a0" strokeweight="1pt">
                    <v:textbox>
                      <w:txbxContent>
                        <w:p w14:paraId="54D1DDAF" w14:textId="77777777" w:rsidR="009A5537" w:rsidRPr="000936B3" w:rsidRDefault="009A5537" w:rsidP="009A5537">
                          <w:pPr>
                            <w:jc w:val="center"/>
                            <w:rPr>
                              <w:rFonts w:ascii="Arial" w:hAnsi="Arial" w:cs="Arial"/>
                              <w:sz w:val="24"/>
                              <w:szCs w:val="24"/>
                            </w:rPr>
                          </w:pPr>
                          <w:r>
                            <w:rPr>
                              <w:rFonts w:ascii="Arial" w:eastAsia="Times New Roman" w:hAnsi="Arial" w:cs="Arial"/>
                              <w:b/>
                              <w:bCs/>
                              <w:color w:val="FFFFFF" w:themeColor="light1"/>
                              <w:kern w:val="24"/>
                            </w:rPr>
                            <w:t>LT</w:t>
                          </w:r>
                          <w:r w:rsidRPr="000936B3">
                            <w:rPr>
                              <w:rFonts w:ascii="Arial" w:eastAsia="Times New Roman" w:hAnsi="Arial" w:cs="Arial"/>
                              <w:b/>
                              <w:bCs/>
                              <w:color w:val="FFFFFF" w:themeColor="light1"/>
                              <w:kern w:val="24"/>
                            </w:rPr>
                            <w:t xml:space="preserve"> </w:t>
                          </w:r>
                        </w:p>
                        <w:p w14:paraId="12325885" w14:textId="79A0DF1C" w:rsidR="009A5537" w:rsidRPr="000936B3" w:rsidRDefault="009A5537" w:rsidP="009A5537">
                          <w:pPr>
                            <w:jc w:val="center"/>
                            <w:rPr>
                              <w:rFonts w:ascii="Arial" w:hAnsi="Arial" w:cs="Arial"/>
                            </w:rPr>
                          </w:pPr>
                          <w:r w:rsidRPr="000936B3">
                            <w:rPr>
                              <w:rFonts w:ascii="Arial" w:eastAsia="Times New Roman" w:hAnsi="Arial" w:cs="Arial"/>
                              <w:b/>
                              <w:bCs/>
                              <w:color w:val="FFFFFF" w:themeColor="light1"/>
                              <w:kern w:val="24"/>
                            </w:rPr>
                            <w:t>(20m</w:t>
                          </w:r>
                          <w:r w:rsidR="004F610E">
                            <w:rPr>
                              <w:rFonts w:ascii="Arial" w:eastAsia="Times New Roman" w:hAnsi="Arial" w:cs="Arial"/>
                              <w:b/>
                              <w:bCs/>
                              <w:color w:val="FFFFFF" w:themeColor="light1"/>
                              <w:kern w:val="24"/>
                            </w:rPr>
                            <w:t xml:space="preserve"> euro</w:t>
                          </w:r>
                          <w:r w:rsidRPr="000936B3">
                            <w:rPr>
                              <w:rFonts w:ascii="Arial" w:eastAsia="Times New Roman" w:hAnsi="Arial" w:cs="Arial"/>
                              <w:b/>
                              <w:bCs/>
                              <w:color w:val="FFFFFF" w:themeColor="light1"/>
                              <w:kern w:val="24"/>
                            </w:rPr>
                            <w:t>)</w:t>
                          </w:r>
                        </w:p>
                      </w:txbxContent>
                    </v:textbox>
                  </v:shape>
                  <v:shape id="Callout: Down Arrow 4125" o:spid="_x0000_s1030" type="#_x0000_t80" style="position:absolute;left:31843;top:6;width:8750;height:69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" adj="14035,6519,16200,8659" fillcolor="#470a68" strokecolor="#0069a0" strokeweight="1pt">
                    <v:textbox>
                      <w:txbxContent>
                        <w:p w14:paraId="6C61DBC9" w14:textId="1BAD6226" w:rsidR="009A5537" w:rsidRPr="000936B3" w:rsidRDefault="00376869" w:rsidP="009A5537">
                          <w:pPr>
                            <w:jc w:val="center"/>
                            <w:rPr>
                              <w:rFonts w:ascii="Arial" w:eastAsia="Times New Roman" w:hAnsi="Arial" w:cs="Arial"/>
                              <w:b/>
                              <w:bCs/>
                              <w:color w:val="FFFFFF" w:themeColor="light1"/>
                              <w:kern w:val="24"/>
                              <w:sz w:val="19"/>
                              <w:szCs w:val="19"/>
                            </w:rPr>
                          </w:pPr>
                          <w:r>
                            <w:rPr>
                              <w:rFonts w:ascii="Arial" w:eastAsia="Times New Roman" w:hAnsi="Arial" w:cs="Arial"/>
                              <w:b/>
                              <w:bCs/>
                              <w:color w:val="FFFFFF" w:themeColor="light1"/>
                              <w:kern w:val="24"/>
                              <w:sz w:val="19"/>
                              <w:szCs w:val="19"/>
                            </w:rPr>
                            <w:t>SFI</w:t>
                          </w:r>
                          <w:r w:rsidR="009A5537" w:rsidRPr="000936B3">
                            <w:rPr>
                              <w:rFonts w:ascii="Arial" w:eastAsia="Times New Roman" w:hAnsi="Arial" w:cs="Arial"/>
                              <w:b/>
                              <w:bCs/>
                              <w:color w:val="FFFFFF" w:themeColor="light1"/>
                              <w:kern w:val="24"/>
                              <w:sz w:val="19"/>
                              <w:szCs w:val="19"/>
                            </w:rPr>
                            <w:t>?/ E</w:t>
                          </w:r>
                          <w:r>
                            <w:rPr>
                              <w:rFonts w:ascii="Arial" w:eastAsia="Times New Roman" w:hAnsi="Arial" w:cs="Arial"/>
                              <w:b/>
                              <w:bCs/>
                              <w:color w:val="FFFFFF" w:themeColor="light1"/>
                              <w:kern w:val="24"/>
                              <w:sz w:val="19"/>
                              <w:szCs w:val="19"/>
                            </w:rPr>
                            <w:t>S</w:t>
                          </w:r>
                          <w:r w:rsidR="009A5537" w:rsidRPr="000936B3">
                            <w:rPr>
                              <w:rFonts w:ascii="Arial" w:eastAsia="Times New Roman" w:hAnsi="Arial" w:cs="Arial"/>
                              <w:b/>
                              <w:bCs/>
                              <w:color w:val="FFFFFF" w:themeColor="light1"/>
                              <w:kern w:val="24"/>
                              <w:sz w:val="19"/>
                              <w:szCs w:val="19"/>
                            </w:rPr>
                            <w:t xml:space="preserve"> </w:t>
                          </w:r>
                          <w:r>
                            <w:rPr>
                              <w:rFonts w:ascii="Arial" w:eastAsia="Times New Roman" w:hAnsi="Arial" w:cs="Arial"/>
                              <w:b/>
                              <w:bCs/>
                              <w:color w:val="FFFFFF" w:themeColor="light1"/>
                              <w:kern w:val="24"/>
                              <w:sz w:val="19"/>
                              <w:szCs w:val="19"/>
                            </w:rPr>
                            <w:t>MVU</w:t>
                          </w:r>
                          <w:r w:rsidR="009A5537" w:rsidRPr="000936B3">
                            <w:rPr>
                              <w:rFonts w:ascii="Arial" w:eastAsia="Times New Roman" w:hAnsi="Arial" w:cs="Arial"/>
                              <w:b/>
                              <w:bCs/>
                              <w:color w:val="FFFFFF" w:themeColor="light1"/>
                              <w:kern w:val="24"/>
                              <w:sz w:val="19"/>
                              <w:szCs w:val="19"/>
                            </w:rPr>
                            <w:t xml:space="preserve"> IPO </w:t>
                          </w:r>
                          <w:r>
                            <w:rPr>
                              <w:rFonts w:ascii="Arial" w:eastAsia="Times New Roman" w:hAnsi="Arial" w:cs="Arial"/>
                              <w:b/>
                              <w:bCs/>
                              <w:color w:val="FFFFFF" w:themeColor="light1"/>
                              <w:kern w:val="24"/>
                              <w:sz w:val="19"/>
                              <w:szCs w:val="19"/>
                            </w:rPr>
                            <w:t>fonds</w:t>
                          </w:r>
                          <w:r w:rsidR="009A5537">
                            <w:rPr>
                              <w:rFonts w:ascii="Arial" w:eastAsia="Times New Roman" w:hAnsi="Arial" w:cs="Arial"/>
                              <w:b/>
                              <w:bCs/>
                              <w:color w:val="FFFFFF" w:themeColor="light1"/>
                              <w:kern w:val="24"/>
                              <w:sz w:val="19"/>
                              <w:szCs w:val="19"/>
                            </w:rPr>
                            <w:t>?</w:t>
                          </w:r>
                          <w:r w:rsidR="009A5537" w:rsidRPr="000936B3">
                            <w:rPr>
                              <w:rFonts w:ascii="Arial" w:eastAsia="Times New Roman" w:hAnsi="Arial" w:cs="Arial"/>
                              <w:b/>
                              <w:bCs/>
                              <w:color w:val="FFFFFF" w:themeColor="light1"/>
                              <w:kern w:val="24"/>
                              <w:sz w:val="19"/>
                              <w:szCs w:val="19"/>
                            </w:rPr>
                            <w:t xml:space="preserve">  (20m</w:t>
                          </w:r>
                          <w:r w:rsidR="004F610E">
                            <w:rPr>
                              <w:rFonts w:ascii="Arial" w:eastAsia="Times New Roman" w:hAnsi="Arial" w:cs="Arial"/>
                              <w:b/>
                              <w:bCs/>
                              <w:color w:val="FFFFFF" w:themeColor="light1"/>
                              <w:kern w:val="24"/>
                              <w:sz w:val="19"/>
                              <w:szCs w:val="19"/>
                            </w:rPr>
                            <w:t xml:space="preserve"> euro</w:t>
                          </w:r>
                          <w:r w:rsidR="009A5537" w:rsidRPr="000936B3">
                            <w:rPr>
                              <w:rFonts w:ascii="Arial" w:eastAsia="Times New Roman" w:hAnsi="Arial" w:cs="Arial"/>
                              <w:b/>
                              <w:bCs/>
                              <w:color w:val="FFFFFF" w:themeColor="light1"/>
                              <w:kern w:val="24"/>
                              <w:sz w:val="19"/>
                              <w:szCs w:val="19"/>
                            </w:rPr>
                            <w:t>)</w:t>
                          </w:r>
                        </w:p>
                      </w:txbxContent>
                    </v:textbox>
                  </v:shape>
                  <v:shape id="Callout: Down Arrow 4126" o:spid="_x0000_s1031" type="#_x0000_t80" style="position:absolute;left:21233;top:6;width:8749;height:69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" adj="14035,6519,16200,8659" fillcolor="#002997" strokecolor="#0069a0" strokeweight="1pt">
                    <v:textbox>
                      <w:txbxContent>
                        <w:p w14:paraId="1834A80D" w14:textId="77777777" w:rsidR="009A5537" w:rsidRPr="000936B3" w:rsidRDefault="009A5537" w:rsidP="009A5537">
                          <w:pPr>
                            <w:jc w:val="center"/>
                            <w:rPr>
                              <w:rFonts w:ascii="Arial" w:hAnsi="Arial" w:cs="Arial"/>
                              <w:sz w:val="24"/>
                              <w:szCs w:val="24"/>
                            </w:rPr>
                          </w:pPr>
                          <w:r>
                            <w:rPr>
                              <w:rFonts w:ascii="Arial" w:eastAsia="Times New Roman" w:hAnsi="Arial" w:cs="Arial"/>
                              <w:b/>
                              <w:bCs/>
                              <w:color w:val="FFFFFF" w:themeColor="light1"/>
                              <w:kern w:val="24"/>
                            </w:rPr>
                            <w:t>EE?</w:t>
                          </w:r>
                        </w:p>
                        <w:p w14:paraId="371FC401" w14:textId="49CCF5FF" w:rsidR="009A5537" w:rsidRPr="000936B3" w:rsidRDefault="009A5537" w:rsidP="009A5537">
                          <w:pPr>
                            <w:jc w:val="center"/>
                            <w:rPr>
                              <w:rFonts w:ascii="Arial" w:hAnsi="Arial" w:cs="Arial"/>
                            </w:rPr>
                          </w:pPr>
                          <w:r w:rsidRPr="000936B3">
                            <w:rPr>
                              <w:rFonts w:ascii="Arial" w:eastAsia="Times New Roman" w:hAnsi="Arial" w:cs="Arial"/>
                              <w:b/>
                              <w:bCs/>
                              <w:color w:val="FFFFFF" w:themeColor="light1"/>
                              <w:kern w:val="24"/>
                            </w:rPr>
                            <w:t>(20m</w:t>
                          </w:r>
                          <w:r w:rsidR="004F610E">
                            <w:rPr>
                              <w:rFonts w:ascii="Arial" w:eastAsia="Times New Roman" w:hAnsi="Arial" w:cs="Arial"/>
                              <w:b/>
                              <w:bCs/>
                              <w:color w:val="FFFFFF" w:themeColor="light1"/>
                              <w:kern w:val="24"/>
                            </w:rPr>
                            <w:t xml:space="preserve"> euro</w:t>
                          </w:r>
                          <w:r w:rsidRPr="000936B3">
                            <w:rPr>
                              <w:rFonts w:ascii="Arial" w:eastAsia="Times New Roman" w:hAnsi="Arial" w:cs="Arial"/>
                              <w:b/>
                              <w:bCs/>
                              <w:color w:val="FFFFFF" w:themeColor="light1"/>
                              <w:kern w:val="24"/>
                            </w:rPr>
                            <w:t>)</w:t>
                          </w:r>
                        </w:p>
                      </w:txbxContent>
                    </v:textbox>
                  </v:shape>
                  <v:shape id="Callout: Down Arrow 4127" o:spid="_x0000_s1032" type="#_x0000_t80" style="position:absolute;left:10622;top:6;width:8749;height:69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" adj="14035,6519,16200,8659" fillcolor="#002997" strokecolor="#0069a0" strokeweight="1pt">
                    <v:textbox>
                      <w:txbxContent>
                        <w:p w14:paraId="54209449" w14:textId="77777777" w:rsidR="009A5537" w:rsidRPr="000936B3" w:rsidRDefault="009A5537" w:rsidP="009A5537">
                          <w:pPr>
                            <w:jc w:val="center"/>
                            <w:rPr>
                              <w:rFonts w:ascii="Arial" w:hAnsi="Arial" w:cs="Arial"/>
                              <w:sz w:val="24"/>
                              <w:szCs w:val="24"/>
                            </w:rPr>
                          </w:pPr>
                          <w:r w:rsidRPr="000936B3">
                            <w:rPr>
                              <w:rFonts w:ascii="Arial" w:eastAsia="Times New Roman" w:hAnsi="Arial" w:cs="Arial"/>
                              <w:b/>
                              <w:bCs/>
                              <w:color w:val="FFFFFF" w:themeColor="light1"/>
                              <w:kern w:val="24"/>
                            </w:rPr>
                            <w:t>LV</w:t>
                          </w:r>
                        </w:p>
                        <w:p w14:paraId="00E593C2" w14:textId="0A9A46EE" w:rsidR="009A5537" w:rsidRPr="000936B3" w:rsidRDefault="009A5537" w:rsidP="009A5537">
                          <w:pPr>
                            <w:jc w:val="center"/>
                            <w:rPr>
                              <w:rFonts w:ascii="Arial" w:hAnsi="Arial" w:cs="Arial"/>
                            </w:rPr>
                          </w:pPr>
                          <w:r w:rsidRPr="000936B3">
                            <w:rPr>
                              <w:rFonts w:ascii="Arial" w:eastAsia="Times New Roman" w:hAnsi="Arial" w:cs="Arial"/>
                              <w:b/>
                              <w:bCs/>
                              <w:color w:val="FFFFFF" w:themeColor="light1"/>
                              <w:kern w:val="24"/>
                            </w:rPr>
                            <w:t>(20m</w:t>
                          </w:r>
                          <w:r w:rsidR="004F610E">
                            <w:rPr>
                              <w:rFonts w:ascii="Arial" w:eastAsia="Times New Roman" w:hAnsi="Arial" w:cs="Arial"/>
                              <w:b/>
                              <w:bCs/>
                              <w:color w:val="FFFFFF" w:themeColor="light1"/>
                              <w:kern w:val="24"/>
                            </w:rPr>
                            <w:t xml:space="preserve"> euro</w:t>
                          </w:r>
                          <w:r w:rsidRPr="000936B3">
                            <w:rPr>
                              <w:rFonts w:ascii="Arial" w:eastAsia="Times New Roman" w:hAnsi="Arial" w:cs="Arial"/>
                              <w:b/>
                              <w:bCs/>
                              <w:color w:val="FFFFFF" w:themeColor="light1"/>
                              <w:kern w:val="24"/>
                            </w:rPr>
                            <w:t>)</w:t>
                          </w:r>
                        </w:p>
                      </w:txbxContent>
                    </v:textbox>
                  </v:shape>
                  <v:rect id="Rectangle 4128" o:spid="_x0000_s1033" style="position:absolute;left:5;top:9004;width:40594;height:5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" fillcolor="#005eb8" strokecolor="#0069a0" strokeweight="1pt">
                    <v:textbox>
                      <w:txbxContent>
                        <w:p w14:paraId="0A9D073E" w14:textId="14941288" w:rsidR="009A5537" w:rsidRPr="000936B3" w:rsidRDefault="00376869" w:rsidP="009A5537">
                          <w:pPr>
                            <w:jc w:val="center"/>
                            <w:rPr>
                              <w:rFonts w:ascii="Arial" w:hAnsi="Arial" w:cs="Arial"/>
                              <w:sz w:val="24"/>
                              <w:szCs w:val="24"/>
                            </w:rPr>
                          </w:pPr>
                          <w:r>
                            <w:rPr>
                              <w:rFonts w:ascii="Arial" w:eastAsia="Times New Roman" w:hAnsi="Arial" w:cs="Arial"/>
                              <w:b/>
                              <w:bCs/>
                              <w:color w:val="FFFFFF" w:themeColor="light1"/>
                              <w:kern w:val="24"/>
                            </w:rPr>
                            <w:t xml:space="preserve">Baltijas </w:t>
                          </w:r>
                          <w:r w:rsidR="0015214B">
                            <w:rPr>
                              <w:rFonts w:ascii="Arial" w:eastAsia="Times New Roman" w:hAnsi="Arial" w:cs="Arial"/>
                              <w:b/>
                              <w:bCs/>
                              <w:color w:val="FFFFFF" w:themeColor="light1"/>
                              <w:kern w:val="24"/>
                            </w:rPr>
                            <w:t>IPO</w:t>
                          </w:r>
                          <w:r>
                            <w:rPr>
                              <w:rFonts w:ascii="Arial" w:eastAsia="Times New Roman" w:hAnsi="Arial" w:cs="Arial"/>
                              <w:b/>
                              <w:bCs/>
                              <w:color w:val="FFFFFF" w:themeColor="light1"/>
                              <w:kern w:val="24"/>
                            </w:rPr>
                            <w:t xml:space="preserve"> fonds</w:t>
                          </w:r>
                        </w:p>
                        <w:p w14:paraId="452B7D7F" w14:textId="512A0177" w:rsidR="009A5537" w:rsidRPr="000936B3" w:rsidRDefault="009A5537" w:rsidP="009A5537">
                          <w:pPr>
                            <w:jc w:val="center"/>
                            <w:rPr>
                              <w:rFonts w:ascii="Arial" w:hAnsi="Arial" w:cs="Arial"/>
                            </w:rPr>
                          </w:pPr>
                          <w:r w:rsidRPr="000936B3">
                            <w:rPr>
                              <w:rFonts w:ascii="Arial" w:eastAsia="Times New Roman" w:hAnsi="Arial" w:cs="Arial"/>
                              <w:b/>
                              <w:bCs/>
                              <w:color w:val="FFFFFF" w:themeColor="light1"/>
                              <w:kern w:val="24"/>
                            </w:rPr>
                            <w:t>(40-80m</w:t>
                          </w:r>
                          <w:r w:rsidR="004F610E">
                            <w:rPr>
                              <w:rFonts w:ascii="Arial" w:eastAsia="Times New Roman" w:hAnsi="Arial" w:cs="Arial"/>
                              <w:b/>
                              <w:bCs/>
                              <w:color w:val="FFFFFF" w:themeColor="light1"/>
                              <w:kern w:val="24"/>
                            </w:rPr>
                            <w:t xml:space="preserve"> euro</w:t>
                          </w:r>
                          <w:r w:rsidRPr="000936B3">
                            <w:rPr>
                              <w:rFonts w:ascii="Arial" w:eastAsia="Times New Roman" w:hAnsi="Arial" w:cs="Arial"/>
                              <w:b/>
                              <w:bCs/>
                              <w:color w:val="FFFFFF" w:themeColor="light1"/>
                              <w:kern w:val="24"/>
                            </w:rPr>
                            <w:t>)</w:t>
                          </w:r>
                        </w:p>
                      </w:txbxContent>
                    </v:textbox>
                  </v:rect>
                </v:group>
                <v:shapetype id="_x0000_t202" coordsize="21600,21600" o:spt="202" path="m,l,21600r21600,l21600,xe">
                  <v:stroke joinstyle="miter"/>
                  <v:path gradientshapeok="t" o:connecttype="rect"/>
                </v:shapetype>
                <v:shape id="Text Box 8" o:spid="_x0000_s1034" type="#_x0000_t202" style="position:absolute;left:5;top:23519;width:17806;height:540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" fillcolor="#483698" strokeweight=".25pt">
                  <v:textbox>
                    <w:txbxContent>
                      <w:p w14:paraId="5D7D8355" w14:textId="28722307" w:rsidR="009A5537" w:rsidRPr="000936B3" w:rsidRDefault="009A5537" w:rsidP="009A5537">
                        <w:pPr>
                          <w:jc w:val="center"/>
                          <w:rPr>
                            <w:rFonts w:ascii="Arial" w:hAnsi="Arial" w:cs="Arial"/>
                            <w:sz w:val="24"/>
                            <w:szCs w:val="24"/>
                          </w:rPr>
                        </w:pPr>
                        <w:r w:rsidRPr="000936B3">
                          <w:rPr>
                            <w:rFonts w:ascii="Arial" w:eastAsia="Times New Roman" w:hAnsi="Arial" w:cs="Arial"/>
                            <w:b/>
                            <w:bCs/>
                            <w:color w:val="FFFFFF"/>
                            <w:kern w:val="24"/>
                          </w:rPr>
                          <w:t xml:space="preserve">50% max </w:t>
                        </w:r>
                        <w:r w:rsidR="00376869">
                          <w:rPr>
                            <w:rFonts w:ascii="Arial" w:eastAsia="Times New Roman" w:hAnsi="Arial" w:cs="Arial"/>
                            <w:b/>
                            <w:bCs/>
                            <w:color w:val="FFFFFF"/>
                            <w:kern w:val="24"/>
                          </w:rPr>
                          <w:t>no darījuma</w:t>
                        </w:r>
                        <w:r w:rsidRPr="000936B3">
                          <w:rPr>
                            <w:rFonts w:ascii="Arial" w:eastAsia="Times New Roman" w:hAnsi="Arial" w:cs="Arial"/>
                            <w:b/>
                            <w:bCs/>
                            <w:color w:val="FFFFFF"/>
                            <w:kern w:val="24"/>
                          </w:rPr>
                          <w:t xml:space="preserve"> </w:t>
                        </w:r>
                      </w:p>
                    </w:txbxContent>
                  </v:textbox>
                </v:shape>
                <v:rect id="Rectangle 4130" o:spid="_x0000_s1035" style="position:absolute;top:35443;width:43840;height:39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" fillcolor="#6d2077" strokecolor="#0069a0" strokeweight="1pt">
                  <v:textbox>
                    <w:txbxContent>
                      <w:p w14:paraId="11A9931A" w14:textId="1F228DB7" w:rsidR="009A5537" w:rsidRPr="000936B3" w:rsidRDefault="00376869" w:rsidP="009A5537">
                        <w:pPr>
                          <w:spacing w:line="240" w:lineRule="auto"/>
                          <w:jc w:val="center"/>
                          <w:rPr>
                            <w:rFonts w:ascii="Arial" w:hAnsi="Arial" w:cs="Arial"/>
                            <w:sz w:val="24"/>
                            <w:szCs w:val="24"/>
                          </w:rPr>
                        </w:pPr>
                        <w:r>
                          <w:rPr>
                            <w:rFonts w:ascii="Arial" w:eastAsia="Times New Roman" w:hAnsi="Arial" w:cs="Arial"/>
                            <w:b/>
                            <w:bCs/>
                            <w:color w:val="FFFFFF" w:themeColor="light1"/>
                            <w:kern w:val="24"/>
                          </w:rPr>
                          <w:t>Ieguldījums Baltijas uzņēmumos pirms-kotācijas un kotācijas laikā</w:t>
                        </w:r>
                      </w:p>
                    </w:txbxContent>
                  </v:textbox>
                </v:rect>
                <v:shape id="Down Arrow 1" o:spid="_x0000_s1036" type="#_x0000_t67" style="position:absolute;left:6986;top:30075;width:3842;height:4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" adj="12396" fillcolor="#6d2077" strokecolor="#6d2077" strokeweight="1pt">
                  <v:textbox inset="1.5mm,1.5mm,1.5mm,1.5mm"/>
                </v:shape>
                <v:shape id="Text Box 4132" o:spid="_x0000_s1037" type="#_x0000_t202" style="position:absolute;left:26035;top:23519;width:17805;height:540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" fillcolor="#483698" strokeweight=".25pt">
                  <v:textbox>
                    <w:txbxContent>
                      <w:p w14:paraId="2208A2B4" w14:textId="40CCF10E" w:rsidR="009A5537" w:rsidRPr="000936B3" w:rsidRDefault="009A5537" w:rsidP="009A5537">
                        <w:pPr>
                          <w:jc w:val="center"/>
                          <w:rPr>
                            <w:rFonts w:ascii="Arial" w:hAnsi="Arial" w:cs="Arial"/>
                            <w:sz w:val="24"/>
                            <w:szCs w:val="24"/>
                          </w:rPr>
                        </w:pPr>
                        <w:r w:rsidRPr="000936B3">
                          <w:rPr>
                            <w:rFonts w:ascii="Arial" w:eastAsia="Times New Roman" w:hAnsi="Arial" w:cs="Arial"/>
                            <w:b/>
                            <w:bCs/>
                            <w:color w:val="FFFFFF"/>
                            <w:kern w:val="24"/>
                          </w:rPr>
                          <w:t xml:space="preserve">50% </w:t>
                        </w:r>
                        <w:r w:rsidR="00376869">
                          <w:rPr>
                            <w:rFonts w:ascii="Arial" w:eastAsia="Times New Roman" w:hAnsi="Arial" w:cs="Arial"/>
                            <w:b/>
                            <w:bCs/>
                            <w:color w:val="FFFFFF"/>
                            <w:kern w:val="24"/>
                          </w:rPr>
                          <w:t>privāti investori (katrā darījumā atsevišķi)</w:t>
                        </w:r>
                      </w:p>
                    </w:txbxContent>
                  </v:textbox>
                </v:shape>
                <v:shape id="Down Arrow 1" o:spid="_x0000_s1038" type="#_x0000_t67" style="position:absolute;left:33017;top:30075;width:3842;height:4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" adj="12396" fillcolor="#6d2077" strokecolor="#6d2077" strokeweight="1pt">
                  <v:textbox inset="1.5mm,1.5mm,1.5mm,1.5mm"/>
                </v:shape>
                <w10:anchorlock/>
              </v:group>
            </w:pict>
          </mc:Fallback>
        </mc:AlternateContent>
      </w:r>
    </w:p>
    <w:p w14:paraId="3406EFCA" w14:textId="0835EC17" w:rsidR="00D50E85" w:rsidRPr="00682D60" w:rsidRDefault="00D50E85" w:rsidP="002D197E">
      <w:pPr>
        <w:pStyle w:val="Default"/>
        <w:jc w:val="both"/>
        <w:rPr>
          <w:b/>
          <w:color w:val="auto"/>
          <w:sz w:val="28"/>
          <w:szCs w:val="28"/>
        </w:rPr>
      </w:pPr>
    </w:p>
    <w:p w14:paraId="17AEF22B" w14:textId="3D5BED48" w:rsidR="00D50E85" w:rsidRPr="00682D60" w:rsidRDefault="00D50E85" w:rsidP="002D197E">
      <w:pPr>
        <w:pStyle w:val="Default"/>
        <w:jc w:val="both"/>
        <w:rPr>
          <w:b/>
          <w:color w:val="auto"/>
          <w:sz w:val="28"/>
          <w:szCs w:val="28"/>
        </w:rPr>
      </w:pPr>
    </w:p>
    <w:p w14:paraId="3A97B734" w14:textId="509F2641" w:rsidR="00B73859" w:rsidRPr="00682D60" w:rsidRDefault="00345AD6" w:rsidP="002D197E">
      <w:pPr>
        <w:pStyle w:val="Default"/>
        <w:jc w:val="both"/>
        <w:rPr>
          <w:b/>
          <w:color w:val="auto"/>
          <w:sz w:val="28"/>
          <w:szCs w:val="28"/>
        </w:rPr>
      </w:pPr>
      <w:r w:rsidRPr="00682D60">
        <w:rPr>
          <w:b/>
          <w:color w:val="auto"/>
          <w:sz w:val="28"/>
          <w:szCs w:val="28"/>
        </w:rPr>
        <w:t>2.3</w:t>
      </w:r>
      <w:r w:rsidR="0045159E">
        <w:rPr>
          <w:b/>
          <w:color w:val="auto"/>
          <w:sz w:val="28"/>
          <w:szCs w:val="28"/>
        </w:rPr>
        <w:t>.</w:t>
      </w:r>
      <w:r w:rsidRPr="00682D60">
        <w:rPr>
          <w:b/>
          <w:color w:val="auto"/>
          <w:sz w:val="28"/>
          <w:szCs w:val="28"/>
        </w:rPr>
        <w:t xml:space="preserve"> </w:t>
      </w:r>
      <w:r w:rsidR="00B73859" w:rsidRPr="00682D60">
        <w:rPr>
          <w:b/>
          <w:color w:val="auto"/>
          <w:sz w:val="28"/>
          <w:szCs w:val="28"/>
        </w:rPr>
        <w:t>Naudas plūsmas prognoze</w:t>
      </w:r>
    </w:p>
    <w:p w14:paraId="251B8B7F" w14:textId="25E8FDC4" w:rsidR="00B24801" w:rsidRPr="00682D60" w:rsidRDefault="00B24801" w:rsidP="00B24801">
      <w:pPr>
        <w:pStyle w:val="Default"/>
        <w:ind w:firstLine="720"/>
        <w:jc w:val="both"/>
        <w:rPr>
          <w:bCs/>
          <w:color w:val="auto"/>
          <w:sz w:val="28"/>
          <w:szCs w:val="28"/>
        </w:rPr>
      </w:pPr>
      <w:r w:rsidRPr="00682D60">
        <w:rPr>
          <w:bCs/>
          <w:color w:val="auto"/>
          <w:sz w:val="28"/>
          <w:szCs w:val="28"/>
        </w:rPr>
        <w:t>Lai ilustrētu fonda darbību un plānoto naudas plūsmu, ziņojumā ir ietverta fonda naudas plūsma ar ieguldījumu apjomu 20 milj</w:t>
      </w:r>
      <w:r w:rsidR="004F610E" w:rsidRPr="00682D60">
        <w:rPr>
          <w:bCs/>
          <w:color w:val="auto"/>
          <w:sz w:val="28"/>
          <w:szCs w:val="28"/>
        </w:rPr>
        <w:t xml:space="preserve">. </w:t>
      </w:r>
      <w:proofErr w:type="spellStart"/>
      <w:r w:rsidR="004F610E" w:rsidRPr="00682D60">
        <w:rPr>
          <w:bCs/>
          <w:i/>
          <w:iCs/>
          <w:color w:val="auto"/>
          <w:sz w:val="28"/>
          <w:szCs w:val="28"/>
        </w:rPr>
        <w:t>euro</w:t>
      </w:r>
      <w:proofErr w:type="spellEnd"/>
      <w:r w:rsidRPr="00682D60">
        <w:rPr>
          <w:bCs/>
          <w:color w:val="auto"/>
          <w:sz w:val="28"/>
          <w:szCs w:val="28"/>
        </w:rPr>
        <w:t>, kas ir vienāda ar katra ieguldītāja (valsts) paredzamo sadalījumu.</w:t>
      </w:r>
      <w:r w:rsidR="00FC7EE3" w:rsidRPr="00682D60">
        <w:rPr>
          <w:bCs/>
          <w:color w:val="auto"/>
          <w:sz w:val="28"/>
          <w:szCs w:val="28"/>
        </w:rPr>
        <w:t xml:space="preserve"> Kopējo fonda ieguldījumu skatīt šā ziņojuma 2.2. nodaļā.</w:t>
      </w:r>
      <w:r w:rsidRPr="00682D60">
        <w:rPr>
          <w:bCs/>
          <w:color w:val="auto"/>
          <w:sz w:val="28"/>
          <w:szCs w:val="28"/>
        </w:rPr>
        <w:t xml:space="preserve"> Lai sasniegtu pilnu fonda prognozēto naudas plūsmu, visi skaitļi ir jāreizina ar fonda ieguldītāju skaitu.</w:t>
      </w:r>
    </w:p>
    <w:p w14:paraId="6FA09E6A" w14:textId="448B588B" w:rsidR="00B73859" w:rsidRPr="00682D60" w:rsidRDefault="00B24801" w:rsidP="00B24801">
      <w:pPr>
        <w:pStyle w:val="Default"/>
        <w:ind w:firstLine="720"/>
        <w:jc w:val="both"/>
        <w:rPr>
          <w:bCs/>
          <w:color w:val="auto"/>
          <w:sz w:val="28"/>
          <w:szCs w:val="28"/>
        </w:rPr>
      </w:pPr>
      <w:r w:rsidRPr="00682D60">
        <w:rPr>
          <w:bCs/>
          <w:color w:val="auto"/>
          <w:sz w:val="28"/>
          <w:szCs w:val="28"/>
        </w:rPr>
        <w:t>Šī ilustratīvā</w:t>
      </w:r>
      <w:r w:rsidR="00B73859" w:rsidRPr="00682D60">
        <w:rPr>
          <w:bCs/>
          <w:color w:val="auto"/>
          <w:sz w:val="28"/>
          <w:szCs w:val="28"/>
        </w:rPr>
        <w:t xml:space="preserve"> prognoze ir veidota, balstoties uz pašlaik ierosinātajiem fonda noteikumiem un struktūru, kā arī iekļaujot nozares standarta pieņēmumus</w:t>
      </w:r>
      <w:r w:rsidRPr="00682D60">
        <w:rPr>
          <w:bCs/>
          <w:color w:val="auto"/>
          <w:sz w:val="28"/>
          <w:szCs w:val="28"/>
        </w:rPr>
        <w:t>. Atzīmējam, ka i</w:t>
      </w:r>
      <w:r w:rsidR="00B73859" w:rsidRPr="00682D60">
        <w:rPr>
          <w:bCs/>
          <w:color w:val="auto"/>
          <w:sz w:val="28"/>
          <w:szCs w:val="28"/>
        </w:rPr>
        <w:t>lustratīvā prognoze nav izmantojama detalizētai izdevumu plānošanai.</w:t>
      </w:r>
    </w:p>
    <w:p w14:paraId="5916E9E5" w14:textId="77777777" w:rsidR="00B73859" w:rsidRPr="00682D60" w:rsidRDefault="00B73859" w:rsidP="00B73859">
      <w:pPr>
        <w:pStyle w:val="Default"/>
        <w:jc w:val="both"/>
        <w:rPr>
          <w:bCs/>
          <w:color w:val="auto"/>
          <w:sz w:val="28"/>
          <w:szCs w:val="28"/>
        </w:rPr>
      </w:pPr>
    </w:p>
    <w:tbl>
      <w:tblPr>
        <w:tblpPr w:leftFromText="180" w:rightFromText="180" w:vertAnchor="text" w:horzAnchor="margin" w:tblpXSpec="center" w:tblpY="29"/>
        <w:tblOverlap w:val="never"/>
        <w:tblW w:w="10554" w:type="dxa"/>
        <w:tblLook w:val="04A0" w:firstRow="1" w:lastRow="0" w:firstColumn="1" w:lastColumn="0" w:noHBand="0" w:noVBand="1"/>
      </w:tblPr>
      <w:tblGrid>
        <w:gridCol w:w="3325"/>
        <w:gridCol w:w="711"/>
        <w:gridCol w:w="711"/>
        <w:gridCol w:w="712"/>
        <w:gridCol w:w="712"/>
        <w:gridCol w:w="712"/>
        <w:gridCol w:w="557"/>
        <w:gridCol w:w="557"/>
        <w:gridCol w:w="557"/>
        <w:gridCol w:w="557"/>
        <w:gridCol w:w="578"/>
        <w:gridCol w:w="865"/>
      </w:tblGrid>
      <w:tr w:rsidR="0029225F" w:rsidRPr="00682D60" w14:paraId="43B92DC6" w14:textId="77777777" w:rsidTr="00F877E3">
        <w:trPr>
          <w:trHeight w:val="516"/>
        </w:trPr>
        <w:tc>
          <w:tcPr>
            <w:tcW w:w="0" w:type="auto"/>
            <w:tcBorders>
              <w:top w:val="single" w:sz="4" w:space="0" w:color="00338D"/>
              <w:left w:val="single" w:sz="4" w:space="0" w:color="00338D"/>
              <w:bottom w:val="nil"/>
              <w:right w:val="nil"/>
            </w:tcBorders>
            <w:shd w:val="clear" w:color="000000" w:fill="00338D"/>
            <w:noWrap/>
            <w:vAlign w:val="center"/>
            <w:hideMark/>
          </w:tcPr>
          <w:p w14:paraId="48290110" w14:textId="77777777" w:rsidR="00B73859" w:rsidRPr="00682D60" w:rsidRDefault="00B73859" w:rsidP="00F877E3">
            <w:pPr>
              <w:rPr>
                <w:rFonts w:ascii="Arial" w:eastAsia="Times New Roman" w:hAnsi="Arial" w:cs="Arial"/>
                <w:b/>
                <w:bCs/>
                <w:sz w:val="16"/>
                <w:szCs w:val="16"/>
                <w:lang w:eastAsia="en-GB"/>
              </w:rPr>
            </w:pPr>
            <w:r w:rsidRPr="00682D60">
              <w:rPr>
                <w:rFonts w:ascii="Arial" w:eastAsia="Times New Roman" w:hAnsi="Arial" w:cs="Arial"/>
                <w:b/>
                <w:bCs/>
                <w:sz w:val="16"/>
                <w:szCs w:val="16"/>
                <w:lang w:eastAsia="en-GB"/>
              </w:rPr>
              <w:t>Naudas plūsma</w:t>
            </w:r>
          </w:p>
        </w:tc>
        <w:tc>
          <w:tcPr>
            <w:tcW w:w="0" w:type="auto"/>
            <w:gridSpan w:val="5"/>
            <w:tcBorders>
              <w:top w:val="single" w:sz="4" w:space="0" w:color="00338D"/>
              <w:left w:val="nil"/>
              <w:bottom w:val="nil"/>
              <w:right w:val="nil"/>
            </w:tcBorders>
            <w:shd w:val="clear" w:color="000000" w:fill="00338D"/>
            <w:noWrap/>
            <w:vAlign w:val="center"/>
            <w:hideMark/>
          </w:tcPr>
          <w:p w14:paraId="681A94DB" w14:textId="77777777" w:rsidR="00B73859" w:rsidRPr="00682D60" w:rsidRDefault="00B73859" w:rsidP="00F877E3">
            <w:pPr>
              <w:jc w:val="center"/>
              <w:rPr>
                <w:rFonts w:ascii="Arial" w:eastAsia="Times New Roman" w:hAnsi="Arial" w:cs="Arial"/>
                <w:b/>
                <w:bCs/>
                <w:sz w:val="16"/>
                <w:szCs w:val="16"/>
                <w:lang w:eastAsia="en-GB"/>
              </w:rPr>
            </w:pPr>
            <w:r w:rsidRPr="00682D60">
              <w:rPr>
                <w:rFonts w:ascii="Arial" w:eastAsia="Times New Roman" w:hAnsi="Arial" w:cs="Arial"/>
                <w:b/>
                <w:bCs/>
                <w:sz w:val="16"/>
                <w:szCs w:val="16"/>
                <w:lang w:eastAsia="en-GB"/>
              </w:rPr>
              <w:t>Ieguldījumu periods</w:t>
            </w:r>
          </w:p>
        </w:tc>
        <w:tc>
          <w:tcPr>
            <w:tcW w:w="0" w:type="auto"/>
            <w:gridSpan w:val="5"/>
            <w:tcBorders>
              <w:top w:val="single" w:sz="4" w:space="0" w:color="00338D"/>
              <w:left w:val="nil"/>
              <w:bottom w:val="nil"/>
              <w:right w:val="nil"/>
            </w:tcBorders>
            <w:shd w:val="clear" w:color="000000" w:fill="00338D"/>
            <w:noWrap/>
            <w:vAlign w:val="center"/>
            <w:hideMark/>
          </w:tcPr>
          <w:p w14:paraId="5ECD91CA" w14:textId="79A050A9" w:rsidR="00B73859" w:rsidRPr="00682D60" w:rsidRDefault="00B73859" w:rsidP="00F877E3">
            <w:pPr>
              <w:jc w:val="center"/>
              <w:rPr>
                <w:rFonts w:ascii="Arial" w:eastAsia="Times New Roman" w:hAnsi="Arial" w:cs="Arial"/>
                <w:b/>
                <w:bCs/>
                <w:sz w:val="16"/>
                <w:szCs w:val="16"/>
                <w:lang w:eastAsia="en-GB"/>
              </w:rPr>
            </w:pPr>
            <w:r w:rsidRPr="00682D60">
              <w:rPr>
                <w:rFonts w:ascii="Arial" w:eastAsia="Times New Roman" w:hAnsi="Arial" w:cs="Arial"/>
                <w:b/>
                <w:bCs/>
                <w:sz w:val="16"/>
                <w:szCs w:val="16"/>
                <w:lang w:eastAsia="en-GB"/>
              </w:rPr>
              <w:t xml:space="preserve">Pārdošanas periods </w:t>
            </w:r>
          </w:p>
        </w:tc>
        <w:tc>
          <w:tcPr>
            <w:tcW w:w="0" w:type="auto"/>
            <w:tcBorders>
              <w:top w:val="single" w:sz="4" w:space="0" w:color="00338D"/>
              <w:left w:val="nil"/>
              <w:bottom w:val="nil"/>
              <w:right w:val="single" w:sz="4" w:space="0" w:color="00338D"/>
            </w:tcBorders>
            <w:shd w:val="clear" w:color="000000" w:fill="00338D"/>
            <w:noWrap/>
            <w:vAlign w:val="center"/>
            <w:hideMark/>
          </w:tcPr>
          <w:p w14:paraId="0F5ED25F" w14:textId="77777777" w:rsidR="00B73859" w:rsidRPr="00682D60" w:rsidRDefault="00B73859" w:rsidP="00F877E3">
            <w:pPr>
              <w:jc w:val="center"/>
              <w:rPr>
                <w:rFonts w:ascii="Arial" w:eastAsia="Times New Roman" w:hAnsi="Arial" w:cs="Arial"/>
                <w:b/>
                <w:bCs/>
                <w:sz w:val="16"/>
                <w:szCs w:val="16"/>
                <w:lang w:eastAsia="en-GB"/>
              </w:rPr>
            </w:pPr>
            <w:r w:rsidRPr="00682D60">
              <w:rPr>
                <w:rFonts w:ascii="Arial" w:eastAsia="Times New Roman" w:hAnsi="Arial" w:cs="Arial"/>
                <w:b/>
                <w:bCs/>
                <w:sz w:val="16"/>
                <w:szCs w:val="16"/>
                <w:lang w:eastAsia="en-GB"/>
              </w:rPr>
              <w:t>Kopā</w:t>
            </w:r>
          </w:p>
        </w:tc>
      </w:tr>
      <w:tr w:rsidR="0029225F" w:rsidRPr="00682D60" w14:paraId="2F0EE5ED" w14:textId="77777777" w:rsidTr="00F877E3">
        <w:trPr>
          <w:trHeight w:val="318"/>
        </w:trPr>
        <w:tc>
          <w:tcPr>
            <w:tcW w:w="0" w:type="auto"/>
            <w:tcBorders>
              <w:top w:val="single" w:sz="4" w:space="0" w:color="00338D"/>
              <w:left w:val="single" w:sz="4" w:space="0" w:color="00338D"/>
              <w:bottom w:val="single" w:sz="4" w:space="0" w:color="00338D"/>
              <w:right w:val="nil"/>
            </w:tcBorders>
            <w:shd w:val="clear" w:color="000000" w:fill="FFFFFF"/>
            <w:noWrap/>
            <w:vAlign w:val="bottom"/>
            <w:hideMark/>
          </w:tcPr>
          <w:p w14:paraId="321DE5AA" w14:textId="77777777" w:rsidR="00B73859" w:rsidRPr="00682D60" w:rsidRDefault="00B73859" w:rsidP="00F877E3">
            <w:pPr>
              <w:rPr>
                <w:rFonts w:ascii="Arial" w:eastAsia="Times New Roman" w:hAnsi="Arial" w:cs="Arial"/>
                <w:b/>
                <w:bCs/>
                <w:sz w:val="16"/>
                <w:szCs w:val="16"/>
                <w:lang w:eastAsia="en-GB"/>
              </w:rPr>
            </w:pPr>
            <w:r w:rsidRPr="00682D60">
              <w:rPr>
                <w:rFonts w:ascii="Arial" w:eastAsia="Times New Roman" w:hAnsi="Arial" w:cs="Arial"/>
                <w:b/>
                <w:bCs/>
                <w:sz w:val="16"/>
                <w:szCs w:val="16"/>
                <w:lang w:eastAsia="en-GB"/>
              </w:rPr>
              <w:t>Ieguldījumi un izmaksas</w:t>
            </w:r>
          </w:p>
        </w:tc>
        <w:tc>
          <w:tcPr>
            <w:tcW w:w="0" w:type="auto"/>
            <w:tcBorders>
              <w:top w:val="single" w:sz="4" w:space="0" w:color="00338D"/>
              <w:left w:val="nil"/>
              <w:bottom w:val="single" w:sz="4" w:space="0" w:color="00338D"/>
              <w:right w:val="nil"/>
            </w:tcBorders>
            <w:shd w:val="clear" w:color="000000" w:fill="FFFFFF"/>
            <w:noWrap/>
            <w:vAlign w:val="bottom"/>
            <w:hideMark/>
          </w:tcPr>
          <w:p w14:paraId="40007157" w14:textId="77777777" w:rsidR="00B73859" w:rsidRPr="00682D60" w:rsidRDefault="00B73859" w:rsidP="00F877E3">
            <w:pPr>
              <w:jc w:val="right"/>
              <w:rPr>
                <w:rFonts w:ascii="Arial" w:eastAsia="Times New Roman" w:hAnsi="Arial" w:cs="Arial"/>
                <w:b/>
                <w:bCs/>
                <w:sz w:val="16"/>
                <w:szCs w:val="16"/>
                <w:lang w:eastAsia="en-GB"/>
              </w:rPr>
            </w:pPr>
            <w:r w:rsidRPr="00682D60">
              <w:rPr>
                <w:rFonts w:ascii="Arial" w:eastAsia="Times New Roman" w:hAnsi="Arial" w:cs="Arial"/>
                <w:b/>
                <w:bCs/>
                <w:sz w:val="16"/>
                <w:szCs w:val="16"/>
                <w:lang w:eastAsia="en-GB"/>
              </w:rPr>
              <w:t>Y1</w:t>
            </w:r>
          </w:p>
        </w:tc>
        <w:tc>
          <w:tcPr>
            <w:tcW w:w="0" w:type="auto"/>
            <w:tcBorders>
              <w:top w:val="single" w:sz="4" w:space="0" w:color="00338D"/>
              <w:left w:val="nil"/>
              <w:bottom w:val="single" w:sz="4" w:space="0" w:color="00338D"/>
              <w:right w:val="nil"/>
            </w:tcBorders>
            <w:shd w:val="clear" w:color="000000" w:fill="FFFFFF"/>
            <w:noWrap/>
            <w:vAlign w:val="bottom"/>
            <w:hideMark/>
          </w:tcPr>
          <w:p w14:paraId="6C08F47D" w14:textId="77777777" w:rsidR="00B73859" w:rsidRPr="00682D60" w:rsidRDefault="00B73859" w:rsidP="00F877E3">
            <w:pPr>
              <w:jc w:val="right"/>
              <w:rPr>
                <w:rFonts w:ascii="Arial" w:eastAsia="Times New Roman" w:hAnsi="Arial" w:cs="Arial"/>
                <w:b/>
                <w:bCs/>
                <w:sz w:val="16"/>
                <w:szCs w:val="16"/>
                <w:lang w:eastAsia="en-GB"/>
              </w:rPr>
            </w:pPr>
            <w:r w:rsidRPr="00682D60">
              <w:rPr>
                <w:rFonts w:ascii="Arial" w:eastAsia="Times New Roman" w:hAnsi="Arial" w:cs="Arial"/>
                <w:b/>
                <w:bCs/>
                <w:sz w:val="16"/>
                <w:szCs w:val="16"/>
                <w:lang w:eastAsia="en-GB"/>
              </w:rPr>
              <w:t>Y2</w:t>
            </w:r>
          </w:p>
        </w:tc>
        <w:tc>
          <w:tcPr>
            <w:tcW w:w="0" w:type="auto"/>
            <w:tcBorders>
              <w:top w:val="single" w:sz="4" w:space="0" w:color="00338D"/>
              <w:left w:val="nil"/>
              <w:bottom w:val="single" w:sz="4" w:space="0" w:color="00338D"/>
              <w:right w:val="nil"/>
            </w:tcBorders>
            <w:shd w:val="clear" w:color="000000" w:fill="FFFFFF"/>
            <w:noWrap/>
            <w:vAlign w:val="bottom"/>
            <w:hideMark/>
          </w:tcPr>
          <w:p w14:paraId="2E98501B" w14:textId="77777777" w:rsidR="00B73859" w:rsidRPr="00682D60" w:rsidRDefault="00B73859" w:rsidP="00F877E3">
            <w:pPr>
              <w:jc w:val="right"/>
              <w:rPr>
                <w:rFonts w:ascii="Arial" w:eastAsia="Times New Roman" w:hAnsi="Arial" w:cs="Arial"/>
                <w:b/>
                <w:bCs/>
                <w:sz w:val="16"/>
                <w:szCs w:val="16"/>
                <w:lang w:eastAsia="en-GB"/>
              </w:rPr>
            </w:pPr>
            <w:r w:rsidRPr="00682D60">
              <w:rPr>
                <w:rFonts w:ascii="Arial" w:eastAsia="Times New Roman" w:hAnsi="Arial" w:cs="Arial"/>
                <w:b/>
                <w:bCs/>
                <w:sz w:val="16"/>
                <w:szCs w:val="16"/>
                <w:lang w:eastAsia="en-GB"/>
              </w:rPr>
              <w:t>Y3</w:t>
            </w:r>
          </w:p>
        </w:tc>
        <w:tc>
          <w:tcPr>
            <w:tcW w:w="0" w:type="auto"/>
            <w:tcBorders>
              <w:top w:val="single" w:sz="4" w:space="0" w:color="00338D"/>
              <w:left w:val="nil"/>
              <w:bottom w:val="single" w:sz="4" w:space="0" w:color="00338D"/>
              <w:right w:val="nil"/>
            </w:tcBorders>
            <w:shd w:val="clear" w:color="000000" w:fill="FFFFFF"/>
            <w:noWrap/>
            <w:vAlign w:val="bottom"/>
            <w:hideMark/>
          </w:tcPr>
          <w:p w14:paraId="2445D67B" w14:textId="77777777" w:rsidR="00B73859" w:rsidRPr="00682D60" w:rsidRDefault="00B73859" w:rsidP="00F877E3">
            <w:pPr>
              <w:jc w:val="right"/>
              <w:rPr>
                <w:rFonts w:ascii="Arial" w:eastAsia="Times New Roman" w:hAnsi="Arial" w:cs="Arial"/>
                <w:b/>
                <w:bCs/>
                <w:sz w:val="16"/>
                <w:szCs w:val="16"/>
                <w:lang w:eastAsia="en-GB"/>
              </w:rPr>
            </w:pPr>
            <w:r w:rsidRPr="00682D60">
              <w:rPr>
                <w:rFonts w:ascii="Arial" w:eastAsia="Times New Roman" w:hAnsi="Arial" w:cs="Arial"/>
                <w:b/>
                <w:bCs/>
                <w:sz w:val="16"/>
                <w:szCs w:val="16"/>
                <w:lang w:eastAsia="en-GB"/>
              </w:rPr>
              <w:t>Y4</w:t>
            </w:r>
          </w:p>
        </w:tc>
        <w:tc>
          <w:tcPr>
            <w:tcW w:w="0" w:type="auto"/>
            <w:tcBorders>
              <w:top w:val="single" w:sz="4" w:space="0" w:color="00338D"/>
              <w:left w:val="nil"/>
              <w:bottom w:val="single" w:sz="4" w:space="0" w:color="00338D"/>
              <w:right w:val="nil"/>
            </w:tcBorders>
            <w:shd w:val="clear" w:color="000000" w:fill="FFFFFF"/>
            <w:noWrap/>
            <w:vAlign w:val="bottom"/>
            <w:hideMark/>
          </w:tcPr>
          <w:p w14:paraId="2641E8C7" w14:textId="77777777" w:rsidR="00B73859" w:rsidRPr="00682D60" w:rsidRDefault="00B73859" w:rsidP="00F877E3">
            <w:pPr>
              <w:jc w:val="right"/>
              <w:rPr>
                <w:rFonts w:ascii="Arial" w:eastAsia="Times New Roman" w:hAnsi="Arial" w:cs="Arial"/>
                <w:b/>
                <w:bCs/>
                <w:sz w:val="16"/>
                <w:szCs w:val="16"/>
                <w:lang w:eastAsia="en-GB"/>
              </w:rPr>
            </w:pPr>
            <w:r w:rsidRPr="00682D60">
              <w:rPr>
                <w:rFonts w:ascii="Arial" w:eastAsia="Times New Roman" w:hAnsi="Arial" w:cs="Arial"/>
                <w:b/>
                <w:bCs/>
                <w:sz w:val="16"/>
                <w:szCs w:val="16"/>
                <w:lang w:eastAsia="en-GB"/>
              </w:rPr>
              <w:t>Y5</w:t>
            </w:r>
          </w:p>
        </w:tc>
        <w:tc>
          <w:tcPr>
            <w:tcW w:w="0" w:type="auto"/>
            <w:tcBorders>
              <w:top w:val="single" w:sz="4" w:space="0" w:color="00338D"/>
              <w:left w:val="nil"/>
              <w:bottom w:val="single" w:sz="4" w:space="0" w:color="00338D"/>
              <w:right w:val="nil"/>
            </w:tcBorders>
            <w:shd w:val="clear" w:color="000000" w:fill="FFFFFF"/>
            <w:noWrap/>
            <w:vAlign w:val="bottom"/>
            <w:hideMark/>
          </w:tcPr>
          <w:p w14:paraId="498BE7B2" w14:textId="77777777" w:rsidR="00B73859" w:rsidRPr="00682D60" w:rsidRDefault="00B73859" w:rsidP="00F877E3">
            <w:pPr>
              <w:jc w:val="right"/>
              <w:rPr>
                <w:rFonts w:ascii="Arial" w:eastAsia="Times New Roman" w:hAnsi="Arial" w:cs="Arial"/>
                <w:b/>
                <w:bCs/>
                <w:sz w:val="16"/>
                <w:szCs w:val="16"/>
                <w:lang w:eastAsia="en-GB"/>
              </w:rPr>
            </w:pPr>
            <w:r w:rsidRPr="00682D60">
              <w:rPr>
                <w:rFonts w:ascii="Arial" w:eastAsia="Times New Roman" w:hAnsi="Arial" w:cs="Arial"/>
                <w:b/>
                <w:bCs/>
                <w:sz w:val="16"/>
                <w:szCs w:val="16"/>
                <w:lang w:eastAsia="en-GB"/>
              </w:rPr>
              <w:t>Y6</w:t>
            </w:r>
          </w:p>
        </w:tc>
        <w:tc>
          <w:tcPr>
            <w:tcW w:w="0" w:type="auto"/>
            <w:tcBorders>
              <w:top w:val="single" w:sz="4" w:space="0" w:color="00338D"/>
              <w:left w:val="nil"/>
              <w:bottom w:val="single" w:sz="4" w:space="0" w:color="00338D"/>
              <w:right w:val="nil"/>
            </w:tcBorders>
            <w:shd w:val="clear" w:color="000000" w:fill="FFFFFF"/>
            <w:noWrap/>
            <w:vAlign w:val="bottom"/>
            <w:hideMark/>
          </w:tcPr>
          <w:p w14:paraId="1744637F" w14:textId="77777777" w:rsidR="00B73859" w:rsidRPr="00682D60" w:rsidRDefault="00B73859" w:rsidP="00F877E3">
            <w:pPr>
              <w:jc w:val="right"/>
              <w:rPr>
                <w:rFonts w:ascii="Arial" w:eastAsia="Times New Roman" w:hAnsi="Arial" w:cs="Arial"/>
                <w:b/>
                <w:bCs/>
                <w:sz w:val="16"/>
                <w:szCs w:val="16"/>
                <w:lang w:eastAsia="en-GB"/>
              </w:rPr>
            </w:pPr>
            <w:r w:rsidRPr="00682D60">
              <w:rPr>
                <w:rFonts w:ascii="Arial" w:eastAsia="Times New Roman" w:hAnsi="Arial" w:cs="Arial"/>
                <w:b/>
                <w:bCs/>
                <w:sz w:val="16"/>
                <w:szCs w:val="16"/>
                <w:lang w:eastAsia="en-GB"/>
              </w:rPr>
              <w:t>Y7</w:t>
            </w:r>
          </w:p>
        </w:tc>
        <w:tc>
          <w:tcPr>
            <w:tcW w:w="0" w:type="auto"/>
            <w:tcBorders>
              <w:top w:val="single" w:sz="4" w:space="0" w:color="00338D"/>
              <w:left w:val="nil"/>
              <w:bottom w:val="single" w:sz="4" w:space="0" w:color="00338D"/>
              <w:right w:val="nil"/>
            </w:tcBorders>
            <w:shd w:val="clear" w:color="000000" w:fill="FFFFFF"/>
            <w:noWrap/>
            <w:vAlign w:val="bottom"/>
            <w:hideMark/>
          </w:tcPr>
          <w:p w14:paraId="35A9ABB8" w14:textId="77777777" w:rsidR="00B73859" w:rsidRPr="00682D60" w:rsidRDefault="00B73859" w:rsidP="00F877E3">
            <w:pPr>
              <w:jc w:val="right"/>
              <w:rPr>
                <w:rFonts w:ascii="Arial" w:eastAsia="Times New Roman" w:hAnsi="Arial" w:cs="Arial"/>
                <w:b/>
                <w:bCs/>
                <w:sz w:val="16"/>
                <w:szCs w:val="16"/>
                <w:lang w:eastAsia="en-GB"/>
              </w:rPr>
            </w:pPr>
            <w:r w:rsidRPr="00682D60">
              <w:rPr>
                <w:rFonts w:ascii="Arial" w:eastAsia="Times New Roman" w:hAnsi="Arial" w:cs="Arial"/>
                <w:b/>
                <w:bCs/>
                <w:sz w:val="16"/>
                <w:szCs w:val="16"/>
                <w:lang w:eastAsia="en-GB"/>
              </w:rPr>
              <w:t>Y8</w:t>
            </w:r>
          </w:p>
        </w:tc>
        <w:tc>
          <w:tcPr>
            <w:tcW w:w="0" w:type="auto"/>
            <w:tcBorders>
              <w:top w:val="single" w:sz="4" w:space="0" w:color="00338D"/>
              <w:left w:val="nil"/>
              <w:bottom w:val="single" w:sz="4" w:space="0" w:color="00338D"/>
              <w:right w:val="nil"/>
            </w:tcBorders>
            <w:shd w:val="clear" w:color="000000" w:fill="FFFFFF"/>
            <w:noWrap/>
            <w:vAlign w:val="bottom"/>
            <w:hideMark/>
          </w:tcPr>
          <w:p w14:paraId="492D8E9B" w14:textId="77777777" w:rsidR="00B73859" w:rsidRPr="00682D60" w:rsidRDefault="00B73859" w:rsidP="00F877E3">
            <w:pPr>
              <w:jc w:val="right"/>
              <w:rPr>
                <w:rFonts w:ascii="Arial" w:eastAsia="Times New Roman" w:hAnsi="Arial" w:cs="Arial"/>
                <w:b/>
                <w:bCs/>
                <w:sz w:val="16"/>
                <w:szCs w:val="16"/>
                <w:lang w:eastAsia="en-GB"/>
              </w:rPr>
            </w:pPr>
            <w:r w:rsidRPr="00682D60">
              <w:rPr>
                <w:rFonts w:ascii="Arial" w:eastAsia="Times New Roman" w:hAnsi="Arial" w:cs="Arial"/>
                <w:b/>
                <w:bCs/>
                <w:sz w:val="16"/>
                <w:szCs w:val="16"/>
                <w:lang w:eastAsia="en-GB"/>
              </w:rPr>
              <w:t>Y9</w:t>
            </w:r>
          </w:p>
        </w:tc>
        <w:tc>
          <w:tcPr>
            <w:tcW w:w="0" w:type="auto"/>
            <w:tcBorders>
              <w:top w:val="single" w:sz="4" w:space="0" w:color="00338D"/>
              <w:left w:val="nil"/>
              <w:bottom w:val="single" w:sz="4" w:space="0" w:color="00338D"/>
              <w:right w:val="nil"/>
            </w:tcBorders>
            <w:shd w:val="clear" w:color="000000" w:fill="FFFFFF"/>
            <w:noWrap/>
            <w:vAlign w:val="bottom"/>
            <w:hideMark/>
          </w:tcPr>
          <w:p w14:paraId="73C4A533" w14:textId="77777777" w:rsidR="00B73859" w:rsidRPr="00682D60" w:rsidRDefault="00B73859" w:rsidP="00F877E3">
            <w:pPr>
              <w:jc w:val="right"/>
              <w:rPr>
                <w:rFonts w:ascii="Arial" w:eastAsia="Times New Roman" w:hAnsi="Arial" w:cs="Arial"/>
                <w:b/>
                <w:bCs/>
                <w:sz w:val="16"/>
                <w:szCs w:val="16"/>
                <w:lang w:eastAsia="en-GB"/>
              </w:rPr>
            </w:pPr>
            <w:r w:rsidRPr="00682D60">
              <w:rPr>
                <w:rFonts w:ascii="Arial" w:eastAsia="Times New Roman" w:hAnsi="Arial" w:cs="Arial"/>
                <w:b/>
                <w:bCs/>
                <w:sz w:val="16"/>
                <w:szCs w:val="16"/>
                <w:lang w:eastAsia="en-GB"/>
              </w:rPr>
              <w:t>Y10</w:t>
            </w:r>
          </w:p>
        </w:tc>
        <w:tc>
          <w:tcPr>
            <w:tcW w:w="0" w:type="auto"/>
            <w:tcBorders>
              <w:top w:val="single" w:sz="4" w:space="0" w:color="00338D"/>
              <w:left w:val="nil"/>
              <w:bottom w:val="single" w:sz="4" w:space="0" w:color="00338D"/>
              <w:right w:val="single" w:sz="4" w:space="0" w:color="00338D"/>
            </w:tcBorders>
            <w:shd w:val="clear" w:color="000000" w:fill="FFFFFF"/>
            <w:noWrap/>
            <w:vAlign w:val="bottom"/>
            <w:hideMark/>
          </w:tcPr>
          <w:p w14:paraId="5A028E03" w14:textId="77777777" w:rsidR="00B73859" w:rsidRPr="00682D60" w:rsidRDefault="00B73859" w:rsidP="00F877E3">
            <w:pPr>
              <w:jc w:val="right"/>
              <w:rPr>
                <w:rFonts w:ascii="Arial" w:eastAsia="Times New Roman" w:hAnsi="Arial" w:cs="Arial"/>
                <w:b/>
                <w:bCs/>
                <w:sz w:val="16"/>
                <w:szCs w:val="16"/>
                <w:lang w:eastAsia="en-GB"/>
              </w:rPr>
            </w:pPr>
            <w:r w:rsidRPr="00682D60">
              <w:rPr>
                <w:rFonts w:ascii="Arial" w:eastAsia="Times New Roman" w:hAnsi="Arial" w:cs="Arial"/>
                <w:b/>
                <w:bCs/>
                <w:sz w:val="16"/>
                <w:szCs w:val="16"/>
                <w:lang w:eastAsia="en-GB"/>
              </w:rPr>
              <w:t>Y1-Y10</w:t>
            </w:r>
          </w:p>
        </w:tc>
      </w:tr>
      <w:tr w:rsidR="0029225F" w:rsidRPr="00682D60" w14:paraId="57F0CCE2" w14:textId="77777777" w:rsidTr="00F877E3">
        <w:trPr>
          <w:trHeight w:val="318"/>
        </w:trPr>
        <w:tc>
          <w:tcPr>
            <w:tcW w:w="0" w:type="auto"/>
            <w:tcBorders>
              <w:top w:val="nil"/>
              <w:left w:val="single" w:sz="4" w:space="0" w:color="00338D"/>
              <w:bottom w:val="nil"/>
              <w:right w:val="nil"/>
            </w:tcBorders>
            <w:shd w:val="clear" w:color="000000" w:fill="FFFFFF"/>
            <w:noWrap/>
            <w:vAlign w:val="center"/>
            <w:hideMark/>
          </w:tcPr>
          <w:p w14:paraId="699790F5" w14:textId="77777777" w:rsidR="00B73859" w:rsidRPr="00682D60" w:rsidRDefault="00B73859" w:rsidP="00F877E3">
            <w:pPr>
              <w:rPr>
                <w:rFonts w:ascii="Arial" w:eastAsia="Times New Roman" w:hAnsi="Arial" w:cs="Arial"/>
                <w:sz w:val="16"/>
                <w:szCs w:val="16"/>
                <w:lang w:eastAsia="en-GB"/>
              </w:rPr>
            </w:pPr>
            <w:r w:rsidRPr="00682D60">
              <w:rPr>
                <w:rFonts w:ascii="Arial" w:eastAsia="Times New Roman" w:hAnsi="Arial" w:cs="Arial"/>
                <w:sz w:val="16"/>
                <w:szCs w:val="16"/>
                <w:lang w:eastAsia="en-GB"/>
              </w:rPr>
              <w:t xml:space="preserve">Ieguldījumi uzņēmumos </w:t>
            </w:r>
            <w:r w:rsidRPr="00FA02A2">
              <w:rPr>
                <w:rFonts w:ascii="Arial" w:eastAsia="Times New Roman" w:hAnsi="Arial" w:cs="Arial"/>
                <w:i/>
                <w:iCs/>
                <w:sz w:val="16"/>
                <w:szCs w:val="16"/>
                <w:lang w:eastAsia="en-GB"/>
              </w:rPr>
              <w:t>(</w:t>
            </w:r>
            <w:proofErr w:type="spellStart"/>
            <w:r w:rsidRPr="00FA02A2">
              <w:rPr>
                <w:rFonts w:ascii="Arial" w:eastAsia="Times New Roman" w:hAnsi="Arial" w:cs="Arial"/>
                <w:i/>
                <w:iCs/>
                <w:sz w:val="16"/>
                <w:szCs w:val="16"/>
                <w:lang w:eastAsia="en-GB"/>
              </w:rPr>
              <w:t>euro</w:t>
            </w:r>
            <w:proofErr w:type="spellEnd"/>
            <w:r w:rsidRPr="00682D60">
              <w:rPr>
                <w:rFonts w:ascii="Arial" w:eastAsia="Times New Roman" w:hAnsi="Arial" w:cs="Arial"/>
                <w:sz w:val="16"/>
                <w:szCs w:val="16"/>
                <w:lang w:eastAsia="en-GB"/>
              </w:rPr>
              <w:t>, tūkst.)</w:t>
            </w:r>
          </w:p>
        </w:tc>
        <w:tc>
          <w:tcPr>
            <w:tcW w:w="0" w:type="auto"/>
            <w:tcBorders>
              <w:top w:val="nil"/>
              <w:left w:val="nil"/>
              <w:bottom w:val="nil"/>
              <w:right w:val="nil"/>
            </w:tcBorders>
            <w:shd w:val="clear" w:color="000000" w:fill="FFFFFF"/>
            <w:noWrap/>
            <w:vAlign w:val="center"/>
            <w:hideMark/>
          </w:tcPr>
          <w:p w14:paraId="76A0FB5D" w14:textId="77777777" w:rsidR="00B73859" w:rsidRPr="00682D60" w:rsidRDefault="00B73859" w:rsidP="00F877E3">
            <w:pPr>
              <w:jc w:val="right"/>
              <w:rPr>
                <w:rFonts w:ascii="Arial" w:eastAsia="Times New Roman" w:hAnsi="Arial" w:cs="Arial"/>
                <w:sz w:val="16"/>
                <w:szCs w:val="16"/>
                <w:lang w:eastAsia="en-GB"/>
              </w:rPr>
            </w:pPr>
            <w:r w:rsidRPr="00682D60">
              <w:rPr>
                <w:rFonts w:ascii="Arial" w:eastAsia="Times New Roman" w:hAnsi="Arial" w:cs="Arial"/>
                <w:sz w:val="16"/>
                <w:szCs w:val="16"/>
                <w:lang w:eastAsia="en-GB"/>
              </w:rPr>
              <w:t>2 800</w:t>
            </w:r>
          </w:p>
        </w:tc>
        <w:tc>
          <w:tcPr>
            <w:tcW w:w="0" w:type="auto"/>
            <w:tcBorders>
              <w:top w:val="nil"/>
              <w:left w:val="nil"/>
              <w:bottom w:val="nil"/>
              <w:right w:val="nil"/>
            </w:tcBorders>
            <w:shd w:val="clear" w:color="000000" w:fill="FFFFFF"/>
            <w:noWrap/>
            <w:vAlign w:val="center"/>
            <w:hideMark/>
          </w:tcPr>
          <w:p w14:paraId="18D8225D" w14:textId="77777777" w:rsidR="00B73859" w:rsidRPr="00682D60" w:rsidRDefault="00B73859" w:rsidP="00F877E3">
            <w:pPr>
              <w:jc w:val="right"/>
              <w:rPr>
                <w:rFonts w:ascii="Arial" w:eastAsia="Times New Roman" w:hAnsi="Arial" w:cs="Arial"/>
                <w:sz w:val="16"/>
                <w:szCs w:val="16"/>
                <w:lang w:eastAsia="en-GB"/>
              </w:rPr>
            </w:pPr>
            <w:r w:rsidRPr="00682D60">
              <w:rPr>
                <w:rFonts w:ascii="Arial" w:eastAsia="Times New Roman" w:hAnsi="Arial" w:cs="Arial"/>
                <w:sz w:val="16"/>
                <w:szCs w:val="16"/>
                <w:lang w:eastAsia="en-GB"/>
              </w:rPr>
              <w:t>2 800</w:t>
            </w:r>
          </w:p>
        </w:tc>
        <w:tc>
          <w:tcPr>
            <w:tcW w:w="0" w:type="auto"/>
            <w:tcBorders>
              <w:top w:val="nil"/>
              <w:left w:val="nil"/>
              <w:bottom w:val="nil"/>
              <w:right w:val="nil"/>
            </w:tcBorders>
            <w:shd w:val="clear" w:color="000000" w:fill="FFFFFF"/>
            <w:noWrap/>
            <w:vAlign w:val="center"/>
            <w:hideMark/>
          </w:tcPr>
          <w:p w14:paraId="36AAFBC3" w14:textId="77777777" w:rsidR="00B73859" w:rsidRPr="00682D60" w:rsidRDefault="00B73859" w:rsidP="00F877E3">
            <w:pPr>
              <w:jc w:val="right"/>
              <w:rPr>
                <w:rFonts w:ascii="Arial" w:eastAsia="Times New Roman" w:hAnsi="Arial" w:cs="Arial"/>
                <w:sz w:val="16"/>
                <w:szCs w:val="16"/>
                <w:lang w:eastAsia="en-GB"/>
              </w:rPr>
            </w:pPr>
            <w:r w:rsidRPr="00682D60">
              <w:rPr>
                <w:rFonts w:ascii="Arial" w:eastAsia="Times New Roman" w:hAnsi="Arial" w:cs="Arial"/>
                <w:sz w:val="16"/>
                <w:szCs w:val="16"/>
                <w:lang w:eastAsia="en-GB"/>
              </w:rPr>
              <w:t>2 800</w:t>
            </w:r>
          </w:p>
        </w:tc>
        <w:tc>
          <w:tcPr>
            <w:tcW w:w="0" w:type="auto"/>
            <w:tcBorders>
              <w:top w:val="nil"/>
              <w:left w:val="nil"/>
              <w:bottom w:val="nil"/>
              <w:right w:val="nil"/>
            </w:tcBorders>
            <w:shd w:val="clear" w:color="000000" w:fill="FFFFFF"/>
            <w:noWrap/>
            <w:vAlign w:val="center"/>
            <w:hideMark/>
          </w:tcPr>
          <w:p w14:paraId="58894799" w14:textId="77777777" w:rsidR="00B73859" w:rsidRPr="00682D60" w:rsidRDefault="00B73859" w:rsidP="00F877E3">
            <w:pPr>
              <w:jc w:val="right"/>
              <w:rPr>
                <w:rFonts w:ascii="Arial" w:eastAsia="Times New Roman" w:hAnsi="Arial" w:cs="Arial"/>
                <w:sz w:val="16"/>
                <w:szCs w:val="16"/>
                <w:lang w:eastAsia="en-GB"/>
              </w:rPr>
            </w:pPr>
            <w:r w:rsidRPr="00682D60">
              <w:rPr>
                <w:rFonts w:ascii="Arial" w:eastAsia="Times New Roman" w:hAnsi="Arial" w:cs="Arial"/>
                <w:sz w:val="16"/>
                <w:szCs w:val="16"/>
                <w:lang w:eastAsia="en-GB"/>
              </w:rPr>
              <w:t>2 800</w:t>
            </w:r>
          </w:p>
        </w:tc>
        <w:tc>
          <w:tcPr>
            <w:tcW w:w="0" w:type="auto"/>
            <w:tcBorders>
              <w:top w:val="nil"/>
              <w:left w:val="nil"/>
              <w:bottom w:val="nil"/>
              <w:right w:val="nil"/>
            </w:tcBorders>
            <w:shd w:val="clear" w:color="000000" w:fill="FFFFFF"/>
            <w:noWrap/>
            <w:vAlign w:val="center"/>
            <w:hideMark/>
          </w:tcPr>
          <w:p w14:paraId="258C97AB" w14:textId="77777777" w:rsidR="00B73859" w:rsidRPr="00682D60" w:rsidRDefault="00B73859" w:rsidP="00F877E3">
            <w:pPr>
              <w:jc w:val="right"/>
              <w:rPr>
                <w:rFonts w:ascii="Arial" w:eastAsia="Times New Roman" w:hAnsi="Arial" w:cs="Arial"/>
                <w:sz w:val="16"/>
                <w:szCs w:val="16"/>
                <w:lang w:eastAsia="en-GB"/>
              </w:rPr>
            </w:pPr>
            <w:r w:rsidRPr="00682D60">
              <w:rPr>
                <w:rFonts w:ascii="Arial" w:eastAsia="Times New Roman" w:hAnsi="Arial" w:cs="Arial"/>
                <w:sz w:val="16"/>
                <w:szCs w:val="16"/>
                <w:lang w:eastAsia="en-GB"/>
              </w:rPr>
              <w:t>2 800</w:t>
            </w:r>
          </w:p>
        </w:tc>
        <w:tc>
          <w:tcPr>
            <w:tcW w:w="0" w:type="auto"/>
            <w:tcBorders>
              <w:top w:val="nil"/>
              <w:left w:val="nil"/>
              <w:bottom w:val="nil"/>
              <w:right w:val="nil"/>
            </w:tcBorders>
            <w:shd w:val="clear" w:color="000000" w:fill="FFFFFF"/>
            <w:noWrap/>
            <w:vAlign w:val="center"/>
            <w:hideMark/>
          </w:tcPr>
          <w:p w14:paraId="1DA341DB" w14:textId="77777777" w:rsidR="00B73859" w:rsidRPr="00682D60" w:rsidRDefault="00B73859" w:rsidP="00F877E3">
            <w:pPr>
              <w:jc w:val="right"/>
              <w:rPr>
                <w:rFonts w:ascii="Arial" w:eastAsia="Times New Roman" w:hAnsi="Arial" w:cs="Arial"/>
                <w:sz w:val="16"/>
                <w:szCs w:val="16"/>
                <w:lang w:eastAsia="en-GB"/>
              </w:rPr>
            </w:pPr>
            <w:r w:rsidRPr="00682D60">
              <w:rPr>
                <w:rFonts w:ascii="Arial" w:eastAsia="Times New Roman" w:hAnsi="Arial" w:cs="Arial"/>
                <w:sz w:val="16"/>
                <w:szCs w:val="16"/>
                <w:lang w:eastAsia="en-GB"/>
              </w:rPr>
              <w:t>600</w:t>
            </w:r>
          </w:p>
        </w:tc>
        <w:tc>
          <w:tcPr>
            <w:tcW w:w="0" w:type="auto"/>
            <w:tcBorders>
              <w:top w:val="nil"/>
              <w:left w:val="nil"/>
              <w:bottom w:val="nil"/>
              <w:right w:val="nil"/>
            </w:tcBorders>
            <w:shd w:val="clear" w:color="000000" w:fill="FFFFFF"/>
            <w:noWrap/>
            <w:vAlign w:val="center"/>
            <w:hideMark/>
          </w:tcPr>
          <w:p w14:paraId="1B223405" w14:textId="77777777" w:rsidR="00B73859" w:rsidRPr="00682D60" w:rsidRDefault="00B73859" w:rsidP="00F877E3">
            <w:pPr>
              <w:jc w:val="right"/>
              <w:rPr>
                <w:rFonts w:ascii="Arial" w:eastAsia="Times New Roman" w:hAnsi="Arial" w:cs="Arial"/>
                <w:sz w:val="16"/>
                <w:szCs w:val="16"/>
                <w:lang w:eastAsia="en-GB"/>
              </w:rPr>
            </w:pPr>
            <w:r w:rsidRPr="00682D60">
              <w:rPr>
                <w:rFonts w:ascii="Arial" w:eastAsia="Times New Roman" w:hAnsi="Arial" w:cs="Arial"/>
                <w:sz w:val="16"/>
                <w:szCs w:val="16"/>
                <w:lang w:eastAsia="en-GB"/>
              </w:rPr>
              <w:t>600</w:t>
            </w:r>
          </w:p>
        </w:tc>
        <w:tc>
          <w:tcPr>
            <w:tcW w:w="0" w:type="auto"/>
            <w:tcBorders>
              <w:top w:val="nil"/>
              <w:left w:val="nil"/>
              <w:bottom w:val="nil"/>
              <w:right w:val="nil"/>
            </w:tcBorders>
            <w:shd w:val="clear" w:color="000000" w:fill="FFFFFF"/>
            <w:noWrap/>
            <w:vAlign w:val="center"/>
            <w:hideMark/>
          </w:tcPr>
          <w:p w14:paraId="0A3265E8" w14:textId="77777777" w:rsidR="00B73859" w:rsidRPr="00682D60" w:rsidRDefault="00B73859" w:rsidP="00F877E3">
            <w:pPr>
              <w:jc w:val="right"/>
              <w:rPr>
                <w:rFonts w:ascii="Arial" w:eastAsia="Times New Roman" w:hAnsi="Arial" w:cs="Arial"/>
                <w:sz w:val="16"/>
                <w:szCs w:val="16"/>
                <w:lang w:eastAsia="en-GB"/>
              </w:rPr>
            </w:pPr>
            <w:r w:rsidRPr="00682D60">
              <w:rPr>
                <w:rFonts w:ascii="Arial" w:eastAsia="Times New Roman" w:hAnsi="Arial" w:cs="Arial"/>
                <w:sz w:val="16"/>
                <w:szCs w:val="16"/>
                <w:lang w:eastAsia="en-GB"/>
              </w:rPr>
              <w:t>600</w:t>
            </w:r>
          </w:p>
        </w:tc>
        <w:tc>
          <w:tcPr>
            <w:tcW w:w="0" w:type="auto"/>
            <w:tcBorders>
              <w:top w:val="nil"/>
              <w:left w:val="nil"/>
              <w:bottom w:val="nil"/>
              <w:right w:val="nil"/>
            </w:tcBorders>
            <w:shd w:val="clear" w:color="000000" w:fill="FFFFFF"/>
            <w:noWrap/>
            <w:vAlign w:val="center"/>
            <w:hideMark/>
          </w:tcPr>
          <w:p w14:paraId="4A7C30B3" w14:textId="77777777" w:rsidR="00B73859" w:rsidRPr="00682D60" w:rsidRDefault="00B73859" w:rsidP="00F877E3">
            <w:pPr>
              <w:jc w:val="right"/>
              <w:rPr>
                <w:rFonts w:ascii="Arial" w:eastAsia="Times New Roman" w:hAnsi="Arial" w:cs="Arial"/>
                <w:sz w:val="16"/>
                <w:szCs w:val="16"/>
                <w:lang w:eastAsia="en-GB"/>
              </w:rPr>
            </w:pPr>
            <w:r w:rsidRPr="00682D60">
              <w:rPr>
                <w:rFonts w:ascii="Arial" w:eastAsia="Times New Roman" w:hAnsi="Arial" w:cs="Arial"/>
                <w:sz w:val="16"/>
                <w:szCs w:val="16"/>
                <w:lang w:eastAsia="en-GB"/>
              </w:rPr>
              <w:t>600</w:t>
            </w:r>
          </w:p>
        </w:tc>
        <w:tc>
          <w:tcPr>
            <w:tcW w:w="0" w:type="auto"/>
            <w:tcBorders>
              <w:top w:val="nil"/>
              <w:left w:val="nil"/>
              <w:bottom w:val="nil"/>
              <w:right w:val="nil"/>
            </w:tcBorders>
            <w:shd w:val="clear" w:color="000000" w:fill="FFFFFF"/>
            <w:noWrap/>
            <w:vAlign w:val="center"/>
            <w:hideMark/>
          </w:tcPr>
          <w:p w14:paraId="19651E71" w14:textId="77777777" w:rsidR="00B73859" w:rsidRPr="00682D60" w:rsidRDefault="00B73859" w:rsidP="00F877E3">
            <w:pPr>
              <w:jc w:val="right"/>
              <w:rPr>
                <w:rFonts w:ascii="Arial" w:eastAsia="Times New Roman" w:hAnsi="Arial" w:cs="Arial"/>
                <w:sz w:val="16"/>
                <w:szCs w:val="16"/>
                <w:lang w:eastAsia="en-GB"/>
              </w:rPr>
            </w:pPr>
            <w:r w:rsidRPr="00682D60">
              <w:rPr>
                <w:rFonts w:ascii="Arial" w:eastAsia="Times New Roman" w:hAnsi="Arial" w:cs="Arial"/>
                <w:sz w:val="16"/>
                <w:szCs w:val="16"/>
                <w:lang w:eastAsia="en-GB"/>
              </w:rPr>
              <w:t>600</w:t>
            </w:r>
          </w:p>
        </w:tc>
        <w:tc>
          <w:tcPr>
            <w:tcW w:w="0" w:type="auto"/>
            <w:tcBorders>
              <w:top w:val="nil"/>
              <w:left w:val="nil"/>
              <w:bottom w:val="nil"/>
              <w:right w:val="single" w:sz="4" w:space="0" w:color="00338D"/>
            </w:tcBorders>
            <w:shd w:val="clear" w:color="000000" w:fill="FFFFFF"/>
            <w:noWrap/>
            <w:vAlign w:val="center"/>
            <w:hideMark/>
          </w:tcPr>
          <w:p w14:paraId="574D9F9A" w14:textId="77777777" w:rsidR="00B73859" w:rsidRPr="00682D60" w:rsidRDefault="00B73859" w:rsidP="00F877E3">
            <w:pPr>
              <w:jc w:val="right"/>
              <w:rPr>
                <w:rFonts w:ascii="Arial" w:eastAsia="Times New Roman" w:hAnsi="Arial" w:cs="Arial"/>
                <w:sz w:val="16"/>
                <w:szCs w:val="16"/>
                <w:lang w:eastAsia="en-GB"/>
              </w:rPr>
            </w:pPr>
            <w:r w:rsidRPr="00682D60">
              <w:rPr>
                <w:rFonts w:ascii="Arial" w:eastAsia="Times New Roman" w:hAnsi="Arial" w:cs="Arial"/>
                <w:sz w:val="16"/>
                <w:szCs w:val="16"/>
                <w:lang w:eastAsia="en-GB"/>
              </w:rPr>
              <w:t>17 000</w:t>
            </w:r>
          </w:p>
        </w:tc>
      </w:tr>
      <w:tr w:rsidR="0029225F" w:rsidRPr="00682D60" w14:paraId="233C7411" w14:textId="77777777" w:rsidTr="00F877E3">
        <w:trPr>
          <w:trHeight w:val="318"/>
        </w:trPr>
        <w:tc>
          <w:tcPr>
            <w:tcW w:w="0" w:type="auto"/>
            <w:tcBorders>
              <w:top w:val="nil"/>
              <w:left w:val="single" w:sz="4" w:space="0" w:color="00338D"/>
              <w:bottom w:val="nil"/>
              <w:right w:val="nil"/>
            </w:tcBorders>
            <w:shd w:val="clear" w:color="000000" w:fill="FFFFFF"/>
            <w:noWrap/>
            <w:vAlign w:val="center"/>
            <w:hideMark/>
          </w:tcPr>
          <w:p w14:paraId="4BF0D032" w14:textId="77777777" w:rsidR="00B73859" w:rsidRPr="00682D60" w:rsidRDefault="00B73859" w:rsidP="00F877E3">
            <w:pPr>
              <w:rPr>
                <w:rFonts w:ascii="Arial" w:eastAsia="Times New Roman" w:hAnsi="Arial" w:cs="Arial"/>
                <w:sz w:val="16"/>
                <w:szCs w:val="16"/>
                <w:lang w:eastAsia="en-GB"/>
              </w:rPr>
            </w:pPr>
            <w:r w:rsidRPr="00682D60">
              <w:rPr>
                <w:rFonts w:ascii="Arial" w:eastAsia="Times New Roman" w:hAnsi="Arial" w:cs="Arial"/>
                <w:sz w:val="16"/>
                <w:szCs w:val="16"/>
                <w:lang w:eastAsia="en-GB"/>
              </w:rPr>
              <w:t>Pārvaldīšanas izmaksas (</w:t>
            </w:r>
            <w:proofErr w:type="spellStart"/>
            <w:r w:rsidRPr="00FA02A2">
              <w:rPr>
                <w:rFonts w:ascii="Arial" w:eastAsia="Times New Roman" w:hAnsi="Arial" w:cs="Arial"/>
                <w:i/>
                <w:iCs/>
                <w:sz w:val="16"/>
                <w:szCs w:val="16"/>
                <w:lang w:eastAsia="en-GB"/>
              </w:rPr>
              <w:t>euro</w:t>
            </w:r>
            <w:proofErr w:type="spellEnd"/>
            <w:r w:rsidRPr="00682D60">
              <w:rPr>
                <w:rFonts w:ascii="Arial" w:eastAsia="Times New Roman" w:hAnsi="Arial" w:cs="Arial"/>
                <w:sz w:val="16"/>
                <w:szCs w:val="16"/>
                <w:lang w:eastAsia="en-GB"/>
              </w:rPr>
              <w:t>, tūkst.)</w:t>
            </w:r>
          </w:p>
        </w:tc>
        <w:tc>
          <w:tcPr>
            <w:tcW w:w="0" w:type="auto"/>
            <w:tcBorders>
              <w:top w:val="nil"/>
              <w:left w:val="nil"/>
              <w:bottom w:val="nil"/>
              <w:right w:val="nil"/>
            </w:tcBorders>
            <w:shd w:val="clear" w:color="000000" w:fill="FFFFFF"/>
            <w:noWrap/>
            <w:vAlign w:val="center"/>
            <w:hideMark/>
          </w:tcPr>
          <w:p w14:paraId="706FDCB0" w14:textId="77777777" w:rsidR="00B73859" w:rsidRPr="00682D60" w:rsidRDefault="00B73859" w:rsidP="00F877E3">
            <w:pPr>
              <w:jc w:val="right"/>
              <w:rPr>
                <w:rFonts w:ascii="Arial" w:eastAsia="Times New Roman" w:hAnsi="Arial" w:cs="Arial"/>
                <w:sz w:val="16"/>
                <w:szCs w:val="16"/>
                <w:lang w:eastAsia="en-GB"/>
              </w:rPr>
            </w:pPr>
            <w:r w:rsidRPr="00682D60">
              <w:rPr>
                <w:rFonts w:ascii="Arial" w:eastAsia="Times New Roman" w:hAnsi="Arial" w:cs="Arial"/>
                <w:sz w:val="16"/>
                <w:szCs w:val="16"/>
                <w:lang w:eastAsia="en-GB"/>
              </w:rPr>
              <w:t>400</w:t>
            </w:r>
          </w:p>
        </w:tc>
        <w:tc>
          <w:tcPr>
            <w:tcW w:w="0" w:type="auto"/>
            <w:tcBorders>
              <w:top w:val="nil"/>
              <w:left w:val="nil"/>
              <w:bottom w:val="nil"/>
              <w:right w:val="nil"/>
            </w:tcBorders>
            <w:shd w:val="clear" w:color="000000" w:fill="FFFFFF"/>
            <w:noWrap/>
            <w:vAlign w:val="center"/>
            <w:hideMark/>
          </w:tcPr>
          <w:p w14:paraId="0E723391" w14:textId="77777777" w:rsidR="00B73859" w:rsidRPr="00682D60" w:rsidRDefault="00B73859" w:rsidP="00F877E3">
            <w:pPr>
              <w:jc w:val="right"/>
              <w:rPr>
                <w:rFonts w:ascii="Arial" w:eastAsia="Times New Roman" w:hAnsi="Arial" w:cs="Arial"/>
                <w:sz w:val="16"/>
                <w:szCs w:val="16"/>
                <w:lang w:eastAsia="en-GB"/>
              </w:rPr>
            </w:pPr>
            <w:r w:rsidRPr="00682D60">
              <w:rPr>
                <w:rFonts w:ascii="Arial" w:eastAsia="Times New Roman" w:hAnsi="Arial" w:cs="Arial"/>
                <w:sz w:val="16"/>
                <w:szCs w:val="16"/>
                <w:lang w:eastAsia="en-GB"/>
              </w:rPr>
              <w:t>400</w:t>
            </w:r>
          </w:p>
        </w:tc>
        <w:tc>
          <w:tcPr>
            <w:tcW w:w="0" w:type="auto"/>
            <w:tcBorders>
              <w:top w:val="nil"/>
              <w:left w:val="nil"/>
              <w:bottom w:val="nil"/>
              <w:right w:val="nil"/>
            </w:tcBorders>
            <w:shd w:val="clear" w:color="000000" w:fill="FFFFFF"/>
            <w:noWrap/>
            <w:vAlign w:val="center"/>
            <w:hideMark/>
          </w:tcPr>
          <w:p w14:paraId="4E30FD3E" w14:textId="77777777" w:rsidR="00B73859" w:rsidRPr="00682D60" w:rsidRDefault="00B73859" w:rsidP="00F877E3">
            <w:pPr>
              <w:jc w:val="right"/>
              <w:rPr>
                <w:rFonts w:ascii="Arial" w:eastAsia="Times New Roman" w:hAnsi="Arial" w:cs="Arial"/>
                <w:sz w:val="16"/>
                <w:szCs w:val="16"/>
                <w:lang w:eastAsia="en-GB"/>
              </w:rPr>
            </w:pPr>
            <w:r w:rsidRPr="00682D60">
              <w:rPr>
                <w:rFonts w:ascii="Arial" w:eastAsia="Times New Roman" w:hAnsi="Arial" w:cs="Arial"/>
                <w:sz w:val="16"/>
                <w:szCs w:val="16"/>
                <w:lang w:eastAsia="en-GB"/>
              </w:rPr>
              <w:t>400</w:t>
            </w:r>
          </w:p>
        </w:tc>
        <w:tc>
          <w:tcPr>
            <w:tcW w:w="0" w:type="auto"/>
            <w:tcBorders>
              <w:top w:val="nil"/>
              <w:left w:val="nil"/>
              <w:bottom w:val="nil"/>
              <w:right w:val="nil"/>
            </w:tcBorders>
            <w:shd w:val="clear" w:color="000000" w:fill="FFFFFF"/>
            <w:noWrap/>
            <w:vAlign w:val="center"/>
            <w:hideMark/>
          </w:tcPr>
          <w:p w14:paraId="48701CDF" w14:textId="77777777" w:rsidR="00B73859" w:rsidRPr="00682D60" w:rsidRDefault="00B73859" w:rsidP="00F877E3">
            <w:pPr>
              <w:jc w:val="right"/>
              <w:rPr>
                <w:rFonts w:ascii="Arial" w:eastAsia="Times New Roman" w:hAnsi="Arial" w:cs="Arial"/>
                <w:sz w:val="16"/>
                <w:szCs w:val="16"/>
                <w:lang w:eastAsia="en-GB"/>
              </w:rPr>
            </w:pPr>
            <w:r w:rsidRPr="00682D60">
              <w:rPr>
                <w:rFonts w:ascii="Arial" w:eastAsia="Times New Roman" w:hAnsi="Arial" w:cs="Arial"/>
                <w:sz w:val="16"/>
                <w:szCs w:val="16"/>
                <w:lang w:eastAsia="en-GB"/>
              </w:rPr>
              <w:t>400</w:t>
            </w:r>
          </w:p>
        </w:tc>
        <w:tc>
          <w:tcPr>
            <w:tcW w:w="0" w:type="auto"/>
            <w:tcBorders>
              <w:top w:val="nil"/>
              <w:left w:val="nil"/>
              <w:bottom w:val="nil"/>
              <w:right w:val="nil"/>
            </w:tcBorders>
            <w:shd w:val="clear" w:color="000000" w:fill="FFFFFF"/>
            <w:noWrap/>
            <w:vAlign w:val="center"/>
            <w:hideMark/>
          </w:tcPr>
          <w:p w14:paraId="10107FB1" w14:textId="77777777" w:rsidR="00B73859" w:rsidRPr="00682D60" w:rsidRDefault="00B73859" w:rsidP="00F877E3">
            <w:pPr>
              <w:jc w:val="right"/>
              <w:rPr>
                <w:rFonts w:ascii="Arial" w:eastAsia="Times New Roman" w:hAnsi="Arial" w:cs="Arial"/>
                <w:sz w:val="16"/>
                <w:szCs w:val="16"/>
                <w:lang w:eastAsia="en-GB"/>
              </w:rPr>
            </w:pPr>
            <w:r w:rsidRPr="00682D60">
              <w:rPr>
                <w:rFonts w:ascii="Arial" w:eastAsia="Times New Roman" w:hAnsi="Arial" w:cs="Arial"/>
                <w:sz w:val="16"/>
                <w:szCs w:val="16"/>
                <w:lang w:eastAsia="en-GB"/>
              </w:rPr>
              <w:t>400</w:t>
            </w:r>
          </w:p>
        </w:tc>
        <w:tc>
          <w:tcPr>
            <w:tcW w:w="0" w:type="auto"/>
            <w:tcBorders>
              <w:top w:val="nil"/>
              <w:left w:val="nil"/>
              <w:bottom w:val="nil"/>
              <w:right w:val="nil"/>
            </w:tcBorders>
            <w:shd w:val="clear" w:color="000000" w:fill="FFFFFF"/>
            <w:noWrap/>
            <w:vAlign w:val="center"/>
            <w:hideMark/>
          </w:tcPr>
          <w:p w14:paraId="63FF5342" w14:textId="77777777" w:rsidR="00B73859" w:rsidRPr="00682D60" w:rsidRDefault="00B73859" w:rsidP="00F877E3">
            <w:pPr>
              <w:jc w:val="right"/>
              <w:rPr>
                <w:rFonts w:ascii="Arial" w:eastAsia="Times New Roman" w:hAnsi="Arial" w:cs="Arial"/>
                <w:sz w:val="16"/>
                <w:szCs w:val="16"/>
                <w:lang w:eastAsia="en-GB"/>
              </w:rPr>
            </w:pPr>
            <w:r w:rsidRPr="00682D60">
              <w:rPr>
                <w:rFonts w:ascii="Arial" w:eastAsia="Times New Roman" w:hAnsi="Arial" w:cs="Arial"/>
                <w:sz w:val="16"/>
                <w:szCs w:val="16"/>
                <w:lang w:eastAsia="en-GB"/>
              </w:rPr>
              <w:t>200</w:t>
            </w:r>
          </w:p>
        </w:tc>
        <w:tc>
          <w:tcPr>
            <w:tcW w:w="0" w:type="auto"/>
            <w:tcBorders>
              <w:top w:val="nil"/>
              <w:left w:val="nil"/>
              <w:bottom w:val="nil"/>
              <w:right w:val="nil"/>
            </w:tcBorders>
            <w:shd w:val="clear" w:color="000000" w:fill="FFFFFF"/>
            <w:noWrap/>
            <w:vAlign w:val="center"/>
            <w:hideMark/>
          </w:tcPr>
          <w:p w14:paraId="552A0063" w14:textId="77777777" w:rsidR="00B73859" w:rsidRPr="00682D60" w:rsidRDefault="00B73859" w:rsidP="00F877E3">
            <w:pPr>
              <w:jc w:val="right"/>
              <w:rPr>
                <w:rFonts w:ascii="Arial" w:eastAsia="Times New Roman" w:hAnsi="Arial" w:cs="Arial"/>
                <w:sz w:val="16"/>
                <w:szCs w:val="16"/>
                <w:lang w:eastAsia="en-GB"/>
              </w:rPr>
            </w:pPr>
            <w:r w:rsidRPr="00682D60">
              <w:rPr>
                <w:rFonts w:ascii="Arial" w:eastAsia="Times New Roman" w:hAnsi="Arial" w:cs="Arial"/>
                <w:sz w:val="16"/>
                <w:szCs w:val="16"/>
                <w:lang w:eastAsia="en-GB"/>
              </w:rPr>
              <w:t>200</w:t>
            </w:r>
          </w:p>
        </w:tc>
        <w:tc>
          <w:tcPr>
            <w:tcW w:w="0" w:type="auto"/>
            <w:tcBorders>
              <w:top w:val="nil"/>
              <w:left w:val="nil"/>
              <w:bottom w:val="nil"/>
              <w:right w:val="nil"/>
            </w:tcBorders>
            <w:shd w:val="clear" w:color="000000" w:fill="FFFFFF"/>
            <w:noWrap/>
            <w:vAlign w:val="center"/>
            <w:hideMark/>
          </w:tcPr>
          <w:p w14:paraId="475DC801" w14:textId="77777777" w:rsidR="00B73859" w:rsidRPr="00682D60" w:rsidRDefault="00B73859" w:rsidP="00F877E3">
            <w:pPr>
              <w:jc w:val="right"/>
              <w:rPr>
                <w:rFonts w:ascii="Arial" w:eastAsia="Times New Roman" w:hAnsi="Arial" w:cs="Arial"/>
                <w:sz w:val="16"/>
                <w:szCs w:val="16"/>
                <w:lang w:eastAsia="en-GB"/>
              </w:rPr>
            </w:pPr>
            <w:r w:rsidRPr="00682D60">
              <w:rPr>
                <w:rFonts w:ascii="Arial" w:eastAsia="Times New Roman" w:hAnsi="Arial" w:cs="Arial"/>
                <w:sz w:val="16"/>
                <w:szCs w:val="16"/>
                <w:lang w:eastAsia="en-GB"/>
              </w:rPr>
              <w:t>200</w:t>
            </w:r>
          </w:p>
        </w:tc>
        <w:tc>
          <w:tcPr>
            <w:tcW w:w="0" w:type="auto"/>
            <w:tcBorders>
              <w:top w:val="nil"/>
              <w:left w:val="nil"/>
              <w:bottom w:val="nil"/>
              <w:right w:val="nil"/>
            </w:tcBorders>
            <w:shd w:val="clear" w:color="000000" w:fill="FFFFFF"/>
            <w:noWrap/>
            <w:vAlign w:val="center"/>
            <w:hideMark/>
          </w:tcPr>
          <w:p w14:paraId="73CEB9BC" w14:textId="77777777" w:rsidR="00B73859" w:rsidRPr="00682D60" w:rsidRDefault="00B73859" w:rsidP="00F877E3">
            <w:pPr>
              <w:jc w:val="right"/>
              <w:rPr>
                <w:rFonts w:ascii="Arial" w:eastAsia="Times New Roman" w:hAnsi="Arial" w:cs="Arial"/>
                <w:sz w:val="16"/>
                <w:szCs w:val="16"/>
                <w:lang w:eastAsia="en-GB"/>
              </w:rPr>
            </w:pPr>
            <w:r w:rsidRPr="00682D60">
              <w:rPr>
                <w:rFonts w:ascii="Arial" w:eastAsia="Times New Roman" w:hAnsi="Arial" w:cs="Arial"/>
                <w:sz w:val="16"/>
                <w:szCs w:val="16"/>
                <w:lang w:eastAsia="en-GB"/>
              </w:rPr>
              <w:t>200</w:t>
            </w:r>
          </w:p>
        </w:tc>
        <w:tc>
          <w:tcPr>
            <w:tcW w:w="0" w:type="auto"/>
            <w:tcBorders>
              <w:top w:val="nil"/>
              <w:left w:val="nil"/>
              <w:bottom w:val="nil"/>
              <w:right w:val="nil"/>
            </w:tcBorders>
            <w:shd w:val="clear" w:color="000000" w:fill="FFFFFF"/>
            <w:noWrap/>
            <w:vAlign w:val="center"/>
            <w:hideMark/>
          </w:tcPr>
          <w:p w14:paraId="5CB8464C" w14:textId="77777777" w:rsidR="00B73859" w:rsidRPr="00682D60" w:rsidRDefault="00B73859" w:rsidP="00F877E3">
            <w:pPr>
              <w:jc w:val="right"/>
              <w:rPr>
                <w:rFonts w:ascii="Arial" w:eastAsia="Times New Roman" w:hAnsi="Arial" w:cs="Arial"/>
                <w:sz w:val="16"/>
                <w:szCs w:val="16"/>
                <w:lang w:eastAsia="en-GB"/>
              </w:rPr>
            </w:pPr>
            <w:r w:rsidRPr="00682D60">
              <w:rPr>
                <w:rFonts w:ascii="Arial" w:eastAsia="Times New Roman" w:hAnsi="Arial" w:cs="Arial"/>
                <w:sz w:val="16"/>
                <w:szCs w:val="16"/>
                <w:lang w:eastAsia="en-GB"/>
              </w:rPr>
              <w:t>200</w:t>
            </w:r>
          </w:p>
        </w:tc>
        <w:tc>
          <w:tcPr>
            <w:tcW w:w="0" w:type="auto"/>
            <w:tcBorders>
              <w:top w:val="nil"/>
              <w:left w:val="nil"/>
              <w:bottom w:val="nil"/>
              <w:right w:val="single" w:sz="4" w:space="0" w:color="00338D"/>
            </w:tcBorders>
            <w:shd w:val="clear" w:color="000000" w:fill="FFFFFF"/>
            <w:noWrap/>
            <w:vAlign w:val="center"/>
            <w:hideMark/>
          </w:tcPr>
          <w:p w14:paraId="246DCC1E" w14:textId="77777777" w:rsidR="00B73859" w:rsidRPr="00682D60" w:rsidRDefault="00B73859" w:rsidP="00F877E3">
            <w:pPr>
              <w:jc w:val="right"/>
              <w:rPr>
                <w:rFonts w:ascii="Arial" w:eastAsia="Times New Roman" w:hAnsi="Arial" w:cs="Arial"/>
                <w:sz w:val="16"/>
                <w:szCs w:val="16"/>
                <w:lang w:eastAsia="en-GB"/>
              </w:rPr>
            </w:pPr>
            <w:r w:rsidRPr="00682D60">
              <w:rPr>
                <w:rFonts w:ascii="Arial" w:eastAsia="Times New Roman" w:hAnsi="Arial" w:cs="Arial"/>
                <w:sz w:val="16"/>
                <w:szCs w:val="16"/>
                <w:lang w:eastAsia="en-GB"/>
              </w:rPr>
              <w:t>3 000</w:t>
            </w:r>
          </w:p>
        </w:tc>
      </w:tr>
      <w:tr w:rsidR="0029225F" w:rsidRPr="00682D60" w14:paraId="6935B530" w14:textId="77777777" w:rsidTr="00F877E3">
        <w:trPr>
          <w:trHeight w:val="318"/>
        </w:trPr>
        <w:tc>
          <w:tcPr>
            <w:tcW w:w="0" w:type="auto"/>
            <w:tcBorders>
              <w:top w:val="single" w:sz="4" w:space="0" w:color="00338D"/>
              <w:left w:val="single" w:sz="4" w:space="0" w:color="00338D"/>
              <w:bottom w:val="single" w:sz="8" w:space="0" w:color="00338D"/>
              <w:right w:val="nil"/>
            </w:tcBorders>
            <w:shd w:val="clear" w:color="000000" w:fill="FFFFFF"/>
            <w:noWrap/>
            <w:vAlign w:val="center"/>
            <w:hideMark/>
          </w:tcPr>
          <w:p w14:paraId="613D697F" w14:textId="77777777" w:rsidR="00B73859" w:rsidRPr="00682D60" w:rsidRDefault="00B73859" w:rsidP="00F877E3">
            <w:pPr>
              <w:rPr>
                <w:rFonts w:ascii="Arial" w:eastAsia="Times New Roman" w:hAnsi="Arial" w:cs="Arial"/>
                <w:b/>
                <w:bCs/>
                <w:sz w:val="16"/>
                <w:szCs w:val="16"/>
                <w:lang w:eastAsia="en-GB"/>
              </w:rPr>
            </w:pPr>
            <w:r w:rsidRPr="00682D60">
              <w:rPr>
                <w:rFonts w:ascii="Arial" w:eastAsia="Times New Roman" w:hAnsi="Arial" w:cs="Arial"/>
                <w:b/>
                <w:bCs/>
                <w:sz w:val="16"/>
                <w:szCs w:val="16"/>
                <w:lang w:eastAsia="en-GB"/>
              </w:rPr>
              <w:t>Kopā (</w:t>
            </w:r>
            <w:proofErr w:type="spellStart"/>
            <w:r w:rsidRPr="00FA02A2">
              <w:rPr>
                <w:rFonts w:ascii="Arial" w:eastAsia="Times New Roman" w:hAnsi="Arial" w:cs="Arial"/>
                <w:b/>
                <w:bCs/>
                <w:i/>
                <w:iCs/>
                <w:sz w:val="16"/>
                <w:szCs w:val="16"/>
                <w:lang w:eastAsia="en-GB"/>
              </w:rPr>
              <w:t>euro</w:t>
            </w:r>
            <w:proofErr w:type="spellEnd"/>
            <w:r w:rsidRPr="00682D60">
              <w:rPr>
                <w:rFonts w:ascii="Arial" w:eastAsia="Times New Roman" w:hAnsi="Arial" w:cs="Arial"/>
                <w:b/>
                <w:bCs/>
                <w:sz w:val="16"/>
                <w:szCs w:val="16"/>
                <w:lang w:eastAsia="en-GB"/>
              </w:rPr>
              <w:t>, tūkst.)</w:t>
            </w:r>
          </w:p>
        </w:tc>
        <w:tc>
          <w:tcPr>
            <w:tcW w:w="0" w:type="auto"/>
            <w:tcBorders>
              <w:top w:val="single" w:sz="4" w:space="0" w:color="00338D"/>
              <w:left w:val="nil"/>
              <w:bottom w:val="single" w:sz="8" w:space="0" w:color="00338D"/>
              <w:right w:val="nil"/>
            </w:tcBorders>
            <w:shd w:val="clear" w:color="000000" w:fill="FFFFFF"/>
            <w:noWrap/>
            <w:vAlign w:val="center"/>
            <w:hideMark/>
          </w:tcPr>
          <w:p w14:paraId="0C050542" w14:textId="77777777" w:rsidR="00B73859" w:rsidRPr="00682D60" w:rsidRDefault="00B73859" w:rsidP="00F877E3">
            <w:pPr>
              <w:jc w:val="right"/>
              <w:rPr>
                <w:rFonts w:ascii="Arial" w:eastAsia="Times New Roman" w:hAnsi="Arial" w:cs="Arial"/>
                <w:b/>
                <w:bCs/>
                <w:sz w:val="16"/>
                <w:szCs w:val="16"/>
                <w:lang w:eastAsia="en-GB"/>
              </w:rPr>
            </w:pPr>
            <w:r w:rsidRPr="00682D60">
              <w:rPr>
                <w:rFonts w:ascii="Arial" w:eastAsia="Times New Roman" w:hAnsi="Arial" w:cs="Arial"/>
                <w:b/>
                <w:bCs/>
                <w:sz w:val="16"/>
                <w:szCs w:val="16"/>
                <w:lang w:eastAsia="en-GB"/>
              </w:rPr>
              <w:t>3 200</w:t>
            </w:r>
          </w:p>
        </w:tc>
        <w:tc>
          <w:tcPr>
            <w:tcW w:w="0" w:type="auto"/>
            <w:tcBorders>
              <w:top w:val="single" w:sz="4" w:space="0" w:color="00338D"/>
              <w:left w:val="nil"/>
              <w:bottom w:val="single" w:sz="8" w:space="0" w:color="00338D"/>
              <w:right w:val="nil"/>
            </w:tcBorders>
            <w:shd w:val="clear" w:color="000000" w:fill="FFFFFF"/>
            <w:noWrap/>
            <w:vAlign w:val="center"/>
            <w:hideMark/>
          </w:tcPr>
          <w:p w14:paraId="37A75978" w14:textId="77777777" w:rsidR="00B73859" w:rsidRPr="00682D60" w:rsidRDefault="00B73859" w:rsidP="00F877E3">
            <w:pPr>
              <w:jc w:val="right"/>
              <w:rPr>
                <w:rFonts w:ascii="Arial" w:eastAsia="Times New Roman" w:hAnsi="Arial" w:cs="Arial"/>
                <w:b/>
                <w:bCs/>
                <w:sz w:val="16"/>
                <w:szCs w:val="16"/>
                <w:lang w:eastAsia="en-GB"/>
              </w:rPr>
            </w:pPr>
            <w:r w:rsidRPr="00682D60">
              <w:rPr>
                <w:rFonts w:ascii="Arial" w:eastAsia="Times New Roman" w:hAnsi="Arial" w:cs="Arial"/>
                <w:b/>
                <w:bCs/>
                <w:sz w:val="16"/>
                <w:szCs w:val="16"/>
                <w:lang w:eastAsia="en-GB"/>
              </w:rPr>
              <w:t>3 200</w:t>
            </w:r>
          </w:p>
        </w:tc>
        <w:tc>
          <w:tcPr>
            <w:tcW w:w="0" w:type="auto"/>
            <w:tcBorders>
              <w:top w:val="single" w:sz="4" w:space="0" w:color="00338D"/>
              <w:left w:val="nil"/>
              <w:bottom w:val="single" w:sz="8" w:space="0" w:color="00338D"/>
              <w:right w:val="nil"/>
            </w:tcBorders>
            <w:shd w:val="clear" w:color="000000" w:fill="FFFFFF"/>
            <w:noWrap/>
            <w:vAlign w:val="center"/>
            <w:hideMark/>
          </w:tcPr>
          <w:p w14:paraId="2A2015AE" w14:textId="77777777" w:rsidR="00B73859" w:rsidRPr="00682D60" w:rsidRDefault="00B73859" w:rsidP="00F877E3">
            <w:pPr>
              <w:jc w:val="right"/>
              <w:rPr>
                <w:rFonts w:ascii="Arial" w:eastAsia="Times New Roman" w:hAnsi="Arial" w:cs="Arial"/>
                <w:b/>
                <w:bCs/>
                <w:sz w:val="16"/>
                <w:szCs w:val="16"/>
                <w:lang w:eastAsia="en-GB"/>
              </w:rPr>
            </w:pPr>
            <w:r w:rsidRPr="00682D60">
              <w:rPr>
                <w:rFonts w:ascii="Arial" w:eastAsia="Times New Roman" w:hAnsi="Arial" w:cs="Arial"/>
                <w:b/>
                <w:bCs/>
                <w:sz w:val="16"/>
                <w:szCs w:val="16"/>
                <w:lang w:eastAsia="en-GB"/>
              </w:rPr>
              <w:t>3 200</w:t>
            </w:r>
          </w:p>
        </w:tc>
        <w:tc>
          <w:tcPr>
            <w:tcW w:w="0" w:type="auto"/>
            <w:tcBorders>
              <w:top w:val="single" w:sz="4" w:space="0" w:color="00338D"/>
              <w:left w:val="nil"/>
              <w:bottom w:val="single" w:sz="8" w:space="0" w:color="00338D"/>
              <w:right w:val="nil"/>
            </w:tcBorders>
            <w:shd w:val="clear" w:color="000000" w:fill="FFFFFF"/>
            <w:noWrap/>
            <w:vAlign w:val="center"/>
            <w:hideMark/>
          </w:tcPr>
          <w:p w14:paraId="2BEC79D2" w14:textId="77777777" w:rsidR="00B73859" w:rsidRPr="00682D60" w:rsidRDefault="00B73859" w:rsidP="00F877E3">
            <w:pPr>
              <w:jc w:val="right"/>
              <w:rPr>
                <w:rFonts w:ascii="Arial" w:eastAsia="Times New Roman" w:hAnsi="Arial" w:cs="Arial"/>
                <w:b/>
                <w:bCs/>
                <w:sz w:val="16"/>
                <w:szCs w:val="16"/>
                <w:lang w:eastAsia="en-GB"/>
              </w:rPr>
            </w:pPr>
            <w:r w:rsidRPr="00682D60">
              <w:rPr>
                <w:rFonts w:ascii="Arial" w:eastAsia="Times New Roman" w:hAnsi="Arial" w:cs="Arial"/>
                <w:b/>
                <w:bCs/>
                <w:sz w:val="16"/>
                <w:szCs w:val="16"/>
                <w:lang w:eastAsia="en-GB"/>
              </w:rPr>
              <w:t>3 200</w:t>
            </w:r>
          </w:p>
        </w:tc>
        <w:tc>
          <w:tcPr>
            <w:tcW w:w="0" w:type="auto"/>
            <w:tcBorders>
              <w:top w:val="single" w:sz="4" w:space="0" w:color="00338D"/>
              <w:left w:val="nil"/>
              <w:bottom w:val="single" w:sz="8" w:space="0" w:color="00338D"/>
              <w:right w:val="nil"/>
            </w:tcBorders>
            <w:shd w:val="clear" w:color="000000" w:fill="FFFFFF"/>
            <w:noWrap/>
            <w:vAlign w:val="center"/>
            <w:hideMark/>
          </w:tcPr>
          <w:p w14:paraId="2A0A3D50" w14:textId="77777777" w:rsidR="00B73859" w:rsidRPr="00682D60" w:rsidRDefault="00B73859" w:rsidP="00F877E3">
            <w:pPr>
              <w:jc w:val="right"/>
              <w:rPr>
                <w:rFonts w:ascii="Arial" w:eastAsia="Times New Roman" w:hAnsi="Arial" w:cs="Arial"/>
                <w:b/>
                <w:bCs/>
                <w:sz w:val="16"/>
                <w:szCs w:val="16"/>
                <w:lang w:eastAsia="en-GB"/>
              </w:rPr>
            </w:pPr>
            <w:r w:rsidRPr="00682D60">
              <w:rPr>
                <w:rFonts w:ascii="Arial" w:eastAsia="Times New Roman" w:hAnsi="Arial" w:cs="Arial"/>
                <w:b/>
                <w:bCs/>
                <w:sz w:val="16"/>
                <w:szCs w:val="16"/>
                <w:lang w:eastAsia="en-GB"/>
              </w:rPr>
              <w:t>3 200</w:t>
            </w:r>
          </w:p>
        </w:tc>
        <w:tc>
          <w:tcPr>
            <w:tcW w:w="0" w:type="auto"/>
            <w:tcBorders>
              <w:top w:val="single" w:sz="4" w:space="0" w:color="00338D"/>
              <w:left w:val="nil"/>
              <w:bottom w:val="single" w:sz="8" w:space="0" w:color="00338D"/>
              <w:right w:val="nil"/>
            </w:tcBorders>
            <w:shd w:val="clear" w:color="000000" w:fill="FFFFFF"/>
            <w:noWrap/>
            <w:vAlign w:val="center"/>
            <w:hideMark/>
          </w:tcPr>
          <w:p w14:paraId="65DEFF9A" w14:textId="77777777" w:rsidR="00B73859" w:rsidRPr="00682D60" w:rsidRDefault="00B73859" w:rsidP="00F877E3">
            <w:pPr>
              <w:jc w:val="right"/>
              <w:rPr>
                <w:rFonts w:ascii="Arial" w:eastAsia="Times New Roman" w:hAnsi="Arial" w:cs="Arial"/>
                <w:b/>
                <w:bCs/>
                <w:sz w:val="16"/>
                <w:szCs w:val="16"/>
                <w:lang w:eastAsia="en-GB"/>
              </w:rPr>
            </w:pPr>
            <w:r w:rsidRPr="00682D60">
              <w:rPr>
                <w:rFonts w:ascii="Arial" w:eastAsia="Times New Roman" w:hAnsi="Arial" w:cs="Arial"/>
                <w:b/>
                <w:bCs/>
                <w:sz w:val="16"/>
                <w:szCs w:val="16"/>
                <w:lang w:eastAsia="en-GB"/>
              </w:rPr>
              <w:t>800</w:t>
            </w:r>
          </w:p>
        </w:tc>
        <w:tc>
          <w:tcPr>
            <w:tcW w:w="0" w:type="auto"/>
            <w:tcBorders>
              <w:top w:val="single" w:sz="4" w:space="0" w:color="00338D"/>
              <w:left w:val="nil"/>
              <w:bottom w:val="single" w:sz="8" w:space="0" w:color="00338D"/>
              <w:right w:val="nil"/>
            </w:tcBorders>
            <w:shd w:val="clear" w:color="000000" w:fill="FFFFFF"/>
            <w:noWrap/>
            <w:vAlign w:val="center"/>
            <w:hideMark/>
          </w:tcPr>
          <w:p w14:paraId="3700931C" w14:textId="77777777" w:rsidR="00B73859" w:rsidRPr="00682D60" w:rsidRDefault="00B73859" w:rsidP="00F877E3">
            <w:pPr>
              <w:jc w:val="right"/>
              <w:rPr>
                <w:rFonts w:ascii="Arial" w:eastAsia="Times New Roman" w:hAnsi="Arial" w:cs="Arial"/>
                <w:b/>
                <w:bCs/>
                <w:sz w:val="16"/>
                <w:szCs w:val="16"/>
                <w:lang w:eastAsia="en-GB"/>
              </w:rPr>
            </w:pPr>
            <w:r w:rsidRPr="00682D60">
              <w:rPr>
                <w:rFonts w:ascii="Arial" w:eastAsia="Times New Roman" w:hAnsi="Arial" w:cs="Arial"/>
                <w:b/>
                <w:bCs/>
                <w:sz w:val="16"/>
                <w:szCs w:val="16"/>
                <w:lang w:eastAsia="en-GB"/>
              </w:rPr>
              <w:t>800</w:t>
            </w:r>
          </w:p>
        </w:tc>
        <w:tc>
          <w:tcPr>
            <w:tcW w:w="0" w:type="auto"/>
            <w:tcBorders>
              <w:top w:val="single" w:sz="4" w:space="0" w:color="00338D"/>
              <w:left w:val="nil"/>
              <w:bottom w:val="single" w:sz="8" w:space="0" w:color="00338D"/>
              <w:right w:val="nil"/>
            </w:tcBorders>
            <w:shd w:val="clear" w:color="000000" w:fill="FFFFFF"/>
            <w:noWrap/>
            <w:vAlign w:val="center"/>
            <w:hideMark/>
          </w:tcPr>
          <w:p w14:paraId="2C185CAF" w14:textId="77777777" w:rsidR="00B73859" w:rsidRPr="00682D60" w:rsidRDefault="00B73859" w:rsidP="00F877E3">
            <w:pPr>
              <w:jc w:val="right"/>
              <w:rPr>
                <w:rFonts w:ascii="Arial" w:eastAsia="Times New Roman" w:hAnsi="Arial" w:cs="Arial"/>
                <w:b/>
                <w:bCs/>
                <w:sz w:val="16"/>
                <w:szCs w:val="16"/>
                <w:lang w:eastAsia="en-GB"/>
              </w:rPr>
            </w:pPr>
            <w:r w:rsidRPr="00682D60">
              <w:rPr>
                <w:rFonts w:ascii="Arial" w:eastAsia="Times New Roman" w:hAnsi="Arial" w:cs="Arial"/>
                <w:b/>
                <w:bCs/>
                <w:sz w:val="16"/>
                <w:szCs w:val="16"/>
                <w:lang w:eastAsia="en-GB"/>
              </w:rPr>
              <w:t>800</w:t>
            </w:r>
          </w:p>
        </w:tc>
        <w:tc>
          <w:tcPr>
            <w:tcW w:w="0" w:type="auto"/>
            <w:tcBorders>
              <w:top w:val="single" w:sz="4" w:space="0" w:color="00338D"/>
              <w:left w:val="nil"/>
              <w:bottom w:val="single" w:sz="8" w:space="0" w:color="00338D"/>
              <w:right w:val="nil"/>
            </w:tcBorders>
            <w:shd w:val="clear" w:color="000000" w:fill="FFFFFF"/>
            <w:noWrap/>
            <w:vAlign w:val="center"/>
            <w:hideMark/>
          </w:tcPr>
          <w:p w14:paraId="3DA8724D" w14:textId="77777777" w:rsidR="00B73859" w:rsidRPr="00682D60" w:rsidRDefault="00B73859" w:rsidP="00F877E3">
            <w:pPr>
              <w:jc w:val="right"/>
              <w:rPr>
                <w:rFonts w:ascii="Arial" w:eastAsia="Times New Roman" w:hAnsi="Arial" w:cs="Arial"/>
                <w:b/>
                <w:bCs/>
                <w:sz w:val="16"/>
                <w:szCs w:val="16"/>
                <w:lang w:eastAsia="en-GB"/>
              </w:rPr>
            </w:pPr>
            <w:r w:rsidRPr="00682D60">
              <w:rPr>
                <w:rFonts w:ascii="Arial" w:eastAsia="Times New Roman" w:hAnsi="Arial" w:cs="Arial"/>
                <w:b/>
                <w:bCs/>
                <w:sz w:val="16"/>
                <w:szCs w:val="16"/>
                <w:lang w:eastAsia="en-GB"/>
              </w:rPr>
              <w:t>800</w:t>
            </w:r>
          </w:p>
        </w:tc>
        <w:tc>
          <w:tcPr>
            <w:tcW w:w="0" w:type="auto"/>
            <w:tcBorders>
              <w:top w:val="single" w:sz="4" w:space="0" w:color="00338D"/>
              <w:left w:val="nil"/>
              <w:bottom w:val="single" w:sz="8" w:space="0" w:color="00338D"/>
              <w:right w:val="nil"/>
            </w:tcBorders>
            <w:shd w:val="clear" w:color="000000" w:fill="FFFFFF"/>
            <w:noWrap/>
            <w:vAlign w:val="center"/>
            <w:hideMark/>
          </w:tcPr>
          <w:p w14:paraId="0235CDD1" w14:textId="77777777" w:rsidR="00B73859" w:rsidRPr="00682D60" w:rsidRDefault="00B73859" w:rsidP="00F877E3">
            <w:pPr>
              <w:jc w:val="right"/>
              <w:rPr>
                <w:rFonts w:ascii="Arial" w:eastAsia="Times New Roman" w:hAnsi="Arial" w:cs="Arial"/>
                <w:b/>
                <w:bCs/>
                <w:sz w:val="16"/>
                <w:szCs w:val="16"/>
                <w:lang w:eastAsia="en-GB"/>
              </w:rPr>
            </w:pPr>
            <w:r w:rsidRPr="00682D60">
              <w:rPr>
                <w:rFonts w:ascii="Arial" w:eastAsia="Times New Roman" w:hAnsi="Arial" w:cs="Arial"/>
                <w:b/>
                <w:bCs/>
                <w:sz w:val="16"/>
                <w:szCs w:val="16"/>
                <w:lang w:eastAsia="en-GB"/>
              </w:rPr>
              <w:t>800</w:t>
            </w:r>
          </w:p>
        </w:tc>
        <w:tc>
          <w:tcPr>
            <w:tcW w:w="0" w:type="auto"/>
            <w:tcBorders>
              <w:top w:val="single" w:sz="4" w:space="0" w:color="00338D"/>
              <w:left w:val="nil"/>
              <w:bottom w:val="single" w:sz="8" w:space="0" w:color="00338D"/>
              <w:right w:val="single" w:sz="4" w:space="0" w:color="00338D"/>
            </w:tcBorders>
            <w:shd w:val="clear" w:color="000000" w:fill="FFFFFF"/>
            <w:noWrap/>
            <w:vAlign w:val="center"/>
            <w:hideMark/>
          </w:tcPr>
          <w:p w14:paraId="6525763B" w14:textId="77777777" w:rsidR="00B73859" w:rsidRPr="00682D60" w:rsidRDefault="00B73859" w:rsidP="00F877E3">
            <w:pPr>
              <w:jc w:val="right"/>
              <w:rPr>
                <w:rFonts w:ascii="Arial" w:eastAsia="Times New Roman" w:hAnsi="Arial" w:cs="Arial"/>
                <w:b/>
                <w:bCs/>
                <w:sz w:val="16"/>
                <w:szCs w:val="16"/>
                <w:lang w:eastAsia="en-GB"/>
              </w:rPr>
            </w:pPr>
            <w:r w:rsidRPr="00682D60">
              <w:rPr>
                <w:rFonts w:ascii="Arial" w:eastAsia="Times New Roman" w:hAnsi="Arial" w:cs="Arial"/>
                <w:b/>
                <w:bCs/>
                <w:sz w:val="16"/>
                <w:szCs w:val="16"/>
                <w:lang w:eastAsia="en-GB"/>
              </w:rPr>
              <w:t>20 000</w:t>
            </w:r>
          </w:p>
        </w:tc>
      </w:tr>
    </w:tbl>
    <w:p w14:paraId="5F17E802" w14:textId="77777777" w:rsidR="00B73859" w:rsidRPr="00682D60" w:rsidRDefault="00B73859" w:rsidP="00B73859">
      <w:pPr>
        <w:pStyle w:val="Default"/>
        <w:jc w:val="both"/>
        <w:rPr>
          <w:bCs/>
          <w:color w:val="auto"/>
          <w:sz w:val="28"/>
          <w:szCs w:val="28"/>
        </w:rPr>
      </w:pPr>
    </w:p>
    <w:p w14:paraId="1FA40A17" w14:textId="530D5300" w:rsidR="00B73859" w:rsidRPr="00682D60" w:rsidRDefault="00B73859" w:rsidP="002D197E">
      <w:pPr>
        <w:pStyle w:val="Default"/>
        <w:jc w:val="both"/>
        <w:rPr>
          <w:b/>
          <w:color w:val="auto"/>
          <w:sz w:val="28"/>
          <w:szCs w:val="28"/>
        </w:rPr>
      </w:pPr>
    </w:p>
    <w:p w14:paraId="6718C219" w14:textId="77777777" w:rsidR="00B73859" w:rsidRPr="00682D60" w:rsidRDefault="00B73859" w:rsidP="00B73859">
      <w:pPr>
        <w:pStyle w:val="Default"/>
        <w:jc w:val="both"/>
        <w:rPr>
          <w:bCs/>
          <w:color w:val="auto"/>
          <w:sz w:val="28"/>
          <w:szCs w:val="28"/>
        </w:rPr>
      </w:pPr>
      <w:r w:rsidRPr="00682D60">
        <w:rPr>
          <w:bCs/>
          <w:color w:val="auto"/>
          <w:sz w:val="28"/>
          <w:szCs w:val="28"/>
        </w:rPr>
        <w:t>Naudas plūsmas prognozē izmantotie pieņēmumi ir uzskaitīti zemāk:</w:t>
      </w:r>
    </w:p>
    <w:p w14:paraId="3BDB27AD" w14:textId="3B3C1692" w:rsidR="00B73859" w:rsidRPr="00682D60" w:rsidRDefault="00B73859" w:rsidP="00B73859">
      <w:pPr>
        <w:pStyle w:val="Default"/>
        <w:numPr>
          <w:ilvl w:val="0"/>
          <w:numId w:val="10"/>
        </w:numPr>
        <w:jc w:val="both"/>
        <w:rPr>
          <w:bCs/>
          <w:color w:val="auto"/>
          <w:sz w:val="28"/>
          <w:szCs w:val="28"/>
        </w:rPr>
      </w:pPr>
      <w:r w:rsidRPr="00682D60">
        <w:rPr>
          <w:bCs/>
          <w:color w:val="auto"/>
          <w:sz w:val="28"/>
          <w:szCs w:val="28"/>
        </w:rPr>
        <w:t xml:space="preserve">Fonda darbības laiks ir 10 gadi, no tiem pirmie pieci gadi ir ieguldījumu periods un </w:t>
      </w:r>
      <w:r w:rsidR="00686292" w:rsidRPr="00682D60">
        <w:rPr>
          <w:bCs/>
          <w:color w:val="auto"/>
          <w:sz w:val="28"/>
          <w:szCs w:val="28"/>
        </w:rPr>
        <w:t>nākamie pieci</w:t>
      </w:r>
      <w:r w:rsidRPr="00682D60">
        <w:rPr>
          <w:bCs/>
          <w:color w:val="auto"/>
          <w:sz w:val="28"/>
          <w:szCs w:val="28"/>
        </w:rPr>
        <w:t xml:space="preserve"> gadi atsavināšanas periods</w:t>
      </w:r>
      <w:r w:rsidR="00686292" w:rsidRPr="00682D60">
        <w:rPr>
          <w:bCs/>
          <w:color w:val="auto"/>
          <w:sz w:val="28"/>
          <w:szCs w:val="28"/>
        </w:rPr>
        <w:t>,</w:t>
      </w:r>
    </w:p>
    <w:p w14:paraId="618DF595" w14:textId="3916634B" w:rsidR="00B73859" w:rsidRPr="00682D60" w:rsidRDefault="00B73859" w:rsidP="00B73859">
      <w:pPr>
        <w:pStyle w:val="Default"/>
        <w:numPr>
          <w:ilvl w:val="0"/>
          <w:numId w:val="10"/>
        </w:numPr>
        <w:jc w:val="both"/>
        <w:rPr>
          <w:bCs/>
          <w:color w:val="auto"/>
          <w:sz w:val="28"/>
          <w:szCs w:val="28"/>
        </w:rPr>
      </w:pPr>
      <w:r w:rsidRPr="00682D60">
        <w:rPr>
          <w:bCs/>
          <w:color w:val="auto"/>
          <w:sz w:val="28"/>
          <w:szCs w:val="28"/>
        </w:rPr>
        <w:t xml:space="preserve">Ieguldījumu periodā tiek ieguldīti vidēji 14% no fonda </w:t>
      </w:r>
      <w:r w:rsidR="00686292" w:rsidRPr="00682D60">
        <w:rPr>
          <w:bCs/>
          <w:color w:val="auto"/>
          <w:sz w:val="28"/>
          <w:szCs w:val="28"/>
        </w:rPr>
        <w:t>līdzekļiem</w:t>
      </w:r>
      <w:r w:rsidRPr="00682D60">
        <w:rPr>
          <w:bCs/>
          <w:color w:val="auto"/>
          <w:sz w:val="28"/>
          <w:szCs w:val="28"/>
        </w:rPr>
        <w:t xml:space="preserve"> gadā</w:t>
      </w:r>
      <w:r w:rsidR="00686292" w:rsidRPr="00682D60">
        <w:rPr>
          <w:bCs/>
          <w:color w:val="auto"/>
          <w:sz w:val="28"/>
          <w:szCs w:val="28"/>
        </w:rPr>
        <w:t>,</w:t>
      </w:r>
    </w:p>
    <w:p w14:paraId="1E1337E3" w14:textId="3FFDF598" w:rsidR="00B73859" w:rsidRPr="00682D60" w:rsidRDefault="00B73859" w:rsidP="00B73859">
      <w:pPr>
        <w:pStyle w:val="Default"/>
        <w:numPr>
          <w:ilvl w:val="0"/>
          <w:numId w:val="10"/>
        </w:numPr>
        <w:jc w:val="both"/>
        <w:rPr>
          <w:bCs/>
          <w:color w:val="auto"/>
          <w:sz w:val="28"/>
          <w:szCs w:val="28"/>
        </w:rPr>
      </w:pPr>
      <w:r w:rsidRPr="00682D60">
        <w:rPr>
          <w:bCs/>
          <w:color w:val="auto"/>
          <w:sz w:val="28"/>
          <w:szCs w:val="28"/>
        </w:rPr>
        <w:lastRenderedPageBreak/>
        <w:t xml:space="preserve">Pārdošanas periodā tiek ieguldīti vidēji 3% no fonda </w:t>
      </w:r>
      <w:r w:rsidR="00686292" w:rsidRPr="00682D60">
        <w:rPr>
          <w:bCs/>
          <w:color w:val="auto"/>
          <w:sz w:val="28"/>
          <w:szCs w:val="28"/>
        </w:rPr>
        <w:t>līdzekļiem</w:t>
      </w:r>
      <w:r w:rsidRPr="00682D60">
        <w:rPr>
          <w:bCs/>
          <w:color w:val="auto"/>
          <w:sz w:val="28"/>
          <w:szCs w:val="28"/>
        </w:rPr>
        <w:t xml:space="preserve"> gadā</w:t>
      </w:r>
      <w:r w:rsidR="00686292" w:rsidRPr="00682D60">
        <w:rPr>
          <w:bCs/>
          <w:color w:val="auto"/>
          <w:sz w:val="28"/>
          <w:szCs w:val="28"/>
        </w:rPr>
        <w:t xml:space="preserve">, kas tiek veikti kā </w:t>
      </w:r>
      <w:r w:rsidRPr="00682D60">
        <w:rPr>
          <w:bCs/>
          <w:color w:val="auto"/>
          <w:sz w:val="28"/>
          <w:szCs w:val="28"/>
        </w:rPr>
        <w:t>turpmākie ieguldījumi fonda portfeļa uzņēmumos. 3% vidējais rādītājs ir mazāks par nozares standartu un atspoguļo ierobežotu turpmāko darbību saskaņā ar ierosināto fonda ieguldījumu stratēģiju</w:t>
      </w:r>
      <w:r w:rsidR="00686292" w:rsidRPr="00682D60">
        <w:rPr>
          <w:bCs/>
          <w:color w:val="auto"/>
          <w:sz w:val="28"/>
          <w:szCs w:val="28"/>
        </w:rPr>
        <w:t>,</w:t>
      </w:r>
    </w:p>
    <w:p w14:paraId="48202E93" w14:textId="64200252" w:rsidR="00B73859" w:rsidRPr="00682D60" w:rsidRDefault="00B73859" w:rsidP="00B73859">
      <w:pPr>
        <w:pStyle w:val="Default"/>
        <w:numPr>
          <w:ilvl w:val="0"/>
          <w:numId w:val="10"/>
        </w:numPr>
        <w:jc w:val="both"/>
        <w:rPr>
          <w:bCs/>
          <w:color w:val="auto"/>
          <w:sz w:val="28"/>
          <w:szCs w:val="28"/>
        </w:rPr>
      </w:pPr>
      <w:r w:rsidRPr="00682D60">
        <w:rPr>
          <w:bCs/>
          <w:color w:val="auto"/>
          <w:sz w:val="28"/>
          <w:szCs w:val="28"/>
        </w:rPr>
        <w:t xml:space="preserve">Vidēji 2% no fonda </w:t>
      </w:r>
      <w:r w:rsidR="00686292" w:rsidRPr="00682D60">
        <w:rPr>
          <w:bCs/>
          <w:color w:val="auto"/>
          <w:sz w:val="28"/>
          <w:szCs w:val="28"/>
        </w:rPr>
        <w:t>līdzekļiem</w:t>
      </w:r>
      <w:r w:rsidRPr="00682D60">
        <w:rPr>
          <w:bCs/>
          <w:color w:val="auto"/>
          <w:sz w:val="28"/>
          <w:szCs w:val="28"/>
        </w:rPr>
        <w:t xml:space="preserve"> tiek izlietoti pārvaldības izmaksām ieguldījumu periodā</w:t>
      </w:r>
      <w:r w:rsidR="00686292" w:rsidRPr="00682D60">
        <w:rPr>
          <w:bCs/>
          <w:color w:val="auto"/>
          <w:sz w:val="28"/>
          <w:szCs w:val="28"/>
        </w:rPr>
        <w:t>,</w:t>
      </w:r>
      <w:r w:rsidRPr="00682D60">
        <w:rPr>
          <w:bCs/>
          <w:color w:val="auto"/>
          <w:sz w:val="28"/>
          <w:szCs w:val="28"/>
        </w:rPr>
        <w:t xml:space="preserve"> un vidēji 1%</w:t>
      </w:r>
      <w:r w:rsidR="00686292" w:rsidRPr="00682D60">
        <w:rPr>
          <w:bCs/>
          <w:color w:val="auto"/>
          <w:sz w:val="28"/>
          <w:szCs w:val="28"/>
        </w:rPr>
        <w:t xml:space="preserve"> no fonda līdzekļiem tiek izlietots pārvaldības izmaksām </w:t>
      </w:r>
      <w:r w:rsidRPr="00682D60">
        <w:rPr>
          <w:bCs/>
          <w:color w:val="auto"/>
          <w:sz w:val="28"/>
          <w:szCs w:val="28"/>
        </w:rPr>
        <w:t>pārdošanas periodā. 1% vidējais rādītājs ir mazāks par nozares standartu un atspoguļo mazāk</w:t>
      </w:r>
      <w:r w:rsidR="00686292" w:rsidRPr="00682D60">
        <w:rPr>
          <w:bCs/>
          <w:color w:val="auto"/>
          <w:sz w:val="28"/>
          <w:szCs w:val="28"/>
        </w:rPr>
        <w:t>u</w:t>
      </w:r>
      <w:r w:rsidRPr="00682D60">
        <w:rPr>
          <w:bCs/>
          <w:color w:val="auto"/>
          <w:sz w:val="28"/>
          <w:szCs w:val="28"/>
        </w:rPr>
        <w:t xml:space="preserve"> darba</w:t>
      </w:r>
      <w:r w:rsidR="00686292" w:rsidRPr="00682D60">
        <w:rPr>
          <w:bCs/>
          <w:color w:val="auto"/>
          <w:sz w:val="28"/>
          <w:szCs w:val="28"/>
        </w:rPr>
        <w:t xml:space="preserve"> ieguldījumu</w:t>
      </w:r>
      <w:r w:rsidRPr="00682D60">
        <w:rPr>
          <w:bCs/>
          <w:color w:val="auto"/>
          <w:sz w:val="28"/>
          <w:szCs w:val="28"/>
        </w:rPr>
        <w:t xml:space="preserve"> </w:t>
      </w:r>
      <w:r w:rsidR="00686292" w:rsidRPr="00682D60">
        <w:rPr>
          <w:bCs/>
          <w:color w:val="auto"/>
          <w:sz w:val="28"/>
          <w:szCs w:val="28"/>
        </w:rPr>
        <w:t xml:space="preserve">dēļ samazinātas </w:t>
      </w:r>
      <w:r w:rsidRPr="00682D60">
        <w:rPr>
          <w:bCs/>
          <w:color w:val="auto"/>
          <w:sz w:val="28"/>
          <w:szCs w:val="28"/>
        </w:rPr>
        <w:t>turpmākās aktivitātes, kā arī fonda kā ieguldītāja mazāk aktīvo lomu biržas sarakstā iekļautajos uzņēmumos kopumā, salīdzinot</w:t>
      </w:r>
      <w:r w:rsidR="00686292" w:rsidRPr="00682D60">
        <w:rPr>
          <w:bCs/>
          <w:color w:val="auto"/>
          <w:sz w:val="28"/>
          <w:szCs w:val="28"/>
        </w:rPr>
        <w:t xml:space="preserve"> ar nepieciešamo darbu</w:t>
      </w:r>
      <w:r w:rsidRPr="00682D60">
        <w:rPr>
          <w:bCs/>
          <w:color w:val="auto"/>
          <w:sz w:val="28"/>
          <w:szCs w:val="28"/>
        </w:rPr>
        <w:t xml:space="preserve"> </w:t>
      </w:r>
      <w:r w:rsidR="00686292" w:rsidRPr="00682D60">
        <w:rPr>
          <w:bCs/>
          <w:color w:val="auto"/>
          <w:sz w:val="28"/>
          <w:szCs w:val="28"/>
        </w:rPr>
        <w:t>ieguldītāja funkcijas veikšanai</w:t>
      </w:r>
      <w:r w:rsidRPr="00682D60">
        <w:rPr>
          <w:bCs/>
          <w:color w:val="auto"/>
          <w:sz w:val="28"/>
          <w:szCs w:val="28"/>
        </w:rPr>
        <w:t xml:space="preserve"> privātajos uzņēmumos. </w:t>
      </w:r>
    </w:p>
    <w:p w14:paraId="6CD98A94" w14:textId="7343050F" w:rsidR="00686292" w:rsidRPr="00682D60" w:rsidRDefault="00B73859" w:rsidP="00686292">
      <w:pPr>
        <w:pStyle w:val="Default"/>
        <w:numPr>
          <w:ilvl w:val="0"/>
          <w:numId w:val="10"/>
        </w:numPr>
        <w:jc w:val="both"/>
        <w:rPr>
          <w:bCs/>
          <w:color w:val="auto"/>
          <w:sz w:val="28"/>
          <w:szCs w:val="28"/>
        </w:rPr>
      </w:pPr>
      <w:r w:rsidRPr="00682D60">
        <w:rPr>
          <w:bCs/>
          <w:color w:val="auto"/>
          <w:sz w:val="28"/>
          <w:szCs w:val="28"/>
        </w:rPr>
        <w:t xml:space="preserve">pārvaldības izmaksu postenis tiek modelēts, lai iekļautu visas ar ieguldījumiem nesaistītās izmaksas (izveidošanas izmaksas, pārvaldības maksas, citas izmaksas, ko parasti sedz ieguldītāji), praksē šīs izmaksas kā pakalpojumu maksas tiek noteiktas pēc nozares standarta. </w:t>
      </w:r>
      <w:r w:rsidR="007677AB" w:rsidRPr="00682D60">
        <w:rPr>
          <w:bCs/>
          <w:color w:val="auto"/>
          <w:sz w:val="28"/>
          <w:szCs w:val="28"/>
        </w:rPr>
        <w:t>Plānots, ka fonda pārvaldnieka atalgojums atspoguļos parastus tirgus apstākļus un būs piesaistīts darbība</w:t>
      </w:r>
      <w:r w:rsidR="00AA1A18" w:rsidRPr="00682D60">
        <w:rPr>
          <w:bCs/>
          <w:color w:val="auto"/>
          <w:sz w:val="28"/>
          <w:szCs w:val="28"/>
        </w:rPr>
        <w:t>s rezultātiem</w:t>
      </w:r>
      <w:r w:rsidR="007677AB" w:rsidRPr="00682D60">
        <w:rPr>
          <w:bCs/>
          <w:color w:val="auto"/>
          <w:sz w:val="28"/>
          <w:szCs w:val="28"/>
        </w:rPr>
        <w:t xml:space="preserve">. </w:t>
      </w:r>
      <w:r w:rsidR="00937FCB" w:rsidRPr="00682D60">
        <w:rPr>
          <w:bCs/>
          <w:color w:val="auto"/>
          <w:sz w:val="28"/>
          <w:szCs w:val="28"/>
        </w:rPr>
        <w:t>Fonda pārvaldnieka statuss</w:t>
      </w:r>
      <w:r w:rsidR="00E3048E" w:rsidRPr="00682D60">
        <w:rPr>
          <w:bCs/>
          <w:color w:val="auto"/>
          <w:sz w:val="28"/>
          <w:szCs w:val="28"/>
        </w:rPr>
        <w:t xml:space="preserve"> un atlases principi</w:t>
      </w:r>
      <w:r w:rsidR="00937FCB" w:rsidRPr="00682D60">
        <w:rPr>
          <w:bCs/>
          <w:color w:val="auto"/>
          <w:sz w:val="28"/>
          <w:szCs w:val="28"/>
        </w:rPr>
        <w:t xml:space="preserve"> ir  fonda izveides sarunu jautājums, </w:t>
      </w:r>
      <w:r w:rsidR="00E3048E" w:rsidRPr="00682D60">
        <w:rPr>
          <w:bCs/>
          <w:color w:val="auto"/>
          <w:sz w:val="28"/>
          <w:szCs w:val="28"/>
        </w:rPr>
        <w:t xml:space="preserve">kas </w:t>
      </w:r>
      <w:r w:rsidR="007677AB" w:rsidRPr="00682D60">
        <w:rPr>
          <w:bCs/>
          <w:color w:val="auto"/>
          <w:sz w:val="28"/>
          <w:szCs w:val="28"/>
        </w:rPr>
        <w:t>tiks risināts</w:t>
      </w:r>
      <w:r w:rsidR="00E3048E" w:rsidRPr="00682D60">
        <w:rPr>
          <w:bCs/>
          <w:color w:val="auto"/>
          <w:sz w:val="28"/>
          <w:szCs w:val="28"/>
        </w:rPr>
        <w:t xml:space="preserve"> </w:t>
      </w:r>
      <w:r w:rsidR="00937FCB" w:rsidRPr="00682D60">
        <w:rPr>
          <w:bCs/>
          <w:color w:val="auto"/>
          <w:sz w:val="28"/>
          <w:szCs w:val="28"/>
        </w:rPr>
        <w:t>projekta nākamajā posmā.</w:t>
      </w:r>
    </w:p>
    <w:p w14:paraId="3BD625DC" w14:textId="77777777" w:rsidR="00B24801" w:rsidRPr="00682D60" w:rsidRDefault="00686292" w:rsidP="00686292">
      <w:pPr>
        <w:pStyle w:val="Default"/>
        <w:numPr>
          <w:ilvl w:val="0"/>
          <w:numId w:val="10"/>
        </w:numPr>
        <w:jc w:val="both"/>
        <w:rPr>
          <w:bCs/>
          <w:color w:val="auto"/>
          <w:sz w:val="28"/>
          <w:szCs w:val="28"/>
        </w:rPr>
      </w:pPr>
      <w:r w:rsidRPr="00682D60">
        <w:rPr>
          <w:bCs/>
          <w:color w:val="auto"/>
          <w:sz w:val="28"/>
          <w:szCs w:val="28"/>
        </w:rPr>
        <w:t>f</w:t>
      </w:r>
      <w:r w:rsidR="00B73859" w:rsidRPr="00682D60">
        <w:rPr>
          <w:bCs/>
          <w:color w:val="auto"/>
          <w:sz w:val="28"/>
          <w:szCs w:val="28"/>
        </w:rPr>
        <w:t xml:space="preserve">aktiskie </w:t>
      </w:r>
      <w:r w:rsidRPr="00682D60">
        <w:rPr>
          <w:bCs/>
          <w:color w:val="auto"/>
          <w:sz w:val="28"/>
          <w:szCs w:val="28"/>
        </w:rPr>
        <w:t>pārvaldības izmaksu</w:t>
      </w:r>
      <w:r w:rsidR="00B73859" w:rsidRPr="00682D60">
        <w:rPr>
          <w:bCs/>
          <w:color w:val="auto"/>
          <w:sz w:val="28"/>
          <w:szCs w:val="28"/>
        </w:rPr>
        <w:t xml:space="preserve"> nosacījumi būtu jānosaka, izmantojot fondu pārvaldnieku atlases</w:t>
      </w:r>
      <w:r w:rsidR="00B24801" w:rsidRPr="00682D60">
        <w:rPr>
          <w:bCs/>
          <w:color w:val="auto"/>
          <w:sz w:val="28"/>
          <w:szCs w:val="28"/>
        </w:rPr>
        <w:t xml:space="preserve"> konkursa</w:t>
      </w:r>
      <w:r w:rsidR="00B73859" w:rsidRPr="00682D60">
        <w:rPr>
          <w:bCs/>
          <w:color w:val="auto"/>
          <w:sz w:val="28"/>
          <w:szCs w:val="28"/>
        </w:rPr>
        <w:t xml:space="preserve"> procedūru, un tie var būt lielāki nekā šeit prognozēts.</w:t>
      </w:r>
    </w:p>
    <w:p w14:paraId="61B206BA" w14:textId="3A4EFCA0" w:rsidR="00B73859" w:rsidRPr="00682D60" w:rsidRDefault="00B73859" w:rsidP="00B73859">
      <w:pPr>
        <w:pStyle w:val="Default"/>
        <w:jc w:val="both"/>
        <w:rPr>
          <w:bCs/>
          <w:color w:val="auto"/>
          <w:sz w:val="28"/>
          <w:szCs w:val="28"/>
        </w:rPr>
      </w:pPr>
    </w:p>
    <w:p w14:paraId="79B4CB11" w14:textId="19A26C11" w:rsidR="0045159E" w:rsidRPr="00682D60" w:rsidRDefault="00345AD6" w:rsidP="00EE6E59">
      <w:pPr>
        <w:pStyle w:val="Default"/>
        <w:ind w:firstLine="360"/>
        <w:jc w:val="both"/>
        <w:rPr>
          <w:b/>
          <w:color w:val="auto"/>
          <w:sz w:val="28"/>
          <w:szCs w:val="28"/>
        </w:rPr>
      </w:pPr>
      <w:r w:rsidRPr="00682D60">
        <w:rPr>
          <w:b/>
          <w:color w:val="auto"/>
          <w:sz w:val="28"/>
          <w:szCs w:val="28"/>
        </w:rPr>
        <w:t xml:space="preserve">2.4. </w:t>
      </w:r>
      <w:r w:rsidR="004B414F" w:rsidRPr="00682D60">
        <w:rPr>
          <w:b/>
          <w:color w:val="auto"/>
          <w:sz w:val="28"/>
          <w:szCs w:val="28"/>
        </w:rPr>
        <w:t>Valsts atbalsts</w:t>
      </w:r>
    </w:p>
    <w:p w14:paraId="0B7E11C4" w14:textId="726C888F" w:rsidR="007E6771" w:rsidRPr="00682D60" w:rsidRDefault="00732652" w:rsidP="007E6771">
      <w:pPr>
        <w:pStyle w:val="Default"/>
        <w:ind w:firstLine="720"/>
        <w:jc w:val="both"/>
        <w:rPr>
          <w:color w:val="auto"/>
          <w:sz w:val="28"/>
          <w:szCs w:val="28"/>
        </w:rPr>
      </w:pPr>
      <w:r w:rsidRPr="00682D60">
        <w:rPr>
          <w:color w:val="auto"/>
          <w:sz w:val="28"/>
          <w:szCs w:val="28"/>
        </w:rPr>
        <w:t xml:space="preserve">KPMG konsorcija </w:t>
      </w:r>
      <w:proofErr w:type="spellStart"/>
      <w:r w:rsidRPr="00682D60">
        <w:rPr>
          <w:color w:val="auto"/>
          <w:sz w:val="28"/>
          <w:szCs w:val="28"/>
        </w:rPr>
        <w:t>p</w:t>
      </w:r>
      <w:r w:rsidR="005B3340" w:rsidRPr="00682D60">
        <w:rPr>
          <w:color w:val="auto"/>
          <w:sz w:val="28"/>
          <w:szCs w:val="28"/>
        </w:rPr>
        <w:t>riekšizpētes</w:t>
      </w:r>
      <w:proofErr w:type="spellEnd"/>
      <w:r w:rsidR="005B3340" w:rsidRPr="00682D60">
        <w:rPr>
          <w:color w:val="auto"/>
          <w:sz w:val="28"/>
          <w:szCs w:val="28"/>
        </w:rPr>
        <w:t xml:space="preserve"> ziņojumā ir veikta valsts atbalsta riska analīze</w:t>
      </w:r>
      <w:r w:rsidR="00FF5DC0" w:rsidRPr="00682D60">
        <w:rPr>
          <w:color w:val="auto"/>
          <w:sz w:val="28"/>
          <w:szCs w:val="28"/>
        </w:rPr>
        <w:t xml:space="preserve"> sākotnējam instrumenta modelim</w:t>
      </w:r>
      <w:r w:rsidR="005B3340" w:rsidRPr="00682D60">
        <w:rPr>
          <w:color w:val="auto"/>
          <w:sz w:val="28"/>
          <w:szCs w:val="28"/>
        </w:rPr>
        <w:t>.</w:t>
      </w:r>
      <w:r w:rsidR="007E6771" w:rsidRPr="00682D60">
        <w:t xml:space="preserve"> </w:t>
      </w:r>
      <w:r w:rsidR="00FF5DC0" w:rsidRPr="00682D60">
        <w:rPr>
          <w:color w:val="auto"/>
          <w:sz w:val="28"/>
          <w:szCs w:val="28"/>
        </w:rPr>
        <w:t xml:space="preserve">Šobrīd netiek pieņemts lēmums par valsts atbalsta veidu un detaļām, un pilnvērtīgs valsts atbalsta </w:t>
      </w:r>
      <w:proofErr w:type="spellStart"/>
      <w:r w:rsidR="00FF5DC0" w:rsidRPr="00682D60">
        <w:rPr>
          <w:color w:val="auto"/>
          <w:sz w:val="28"/>
          <w:szCs w:val="28"/>
        </w:rPr>
        <w:t>izvērtējums</w:t>
      </w:r>
      <w:proofErr w:type="spellEnd"/>
      <w:r w:rsidR="00FF5DC0" w:rsidRPr="00682D60">
        <w:rPr>
          <w:color w:val="auto"/>
          <w:sz w:val="28"/>
          <w:szCs w:val="28"/>
        </w:rPr>
        <w:t xml:space="preserve"> tiks pieņemts pēc sarunām par fonda izveides nosacījumiem.</w:t>
      </w:r>
      <w:r w:rsidR="00FF5DC0" w:rsidRPr="00682D60">
        <w:t xml:space="preserve"> </w:t>
      </w:r>
      <w:bookmarkStart w:id="2" w:name="_Hlk74303645"/>
      <w:r w:rsidR="00593683" w:rsidRPr="00682D60">
        <w:rPr>
          <w:color w:val="auto"/>
          <w:sz w:val="28"/>
          <w:szCs w:val="28"/>
        </w:rPr>
        <w:t>P</w:t>
      </w:r>
      <w:r w:rsidR="007E6771" w:rsidRPr="00682D60">
        <w:rPr>
          <w:color w:val="auto"/>
          <w:sz w:val="28"/>
          <w:szCs w:val="28"/>
        </w:rPr>
        <w:t xml:space="preserve">ar </w:t>
      </w:r>
      <w:r w:rsidR="00593683" w:rsidRPr="00682D60">
        <w:rPr>
          <w:color w:val="auto"/>
          <w:sz w:val="28"/>
          <w:szCs w:val="28"/>
        </w:rPr>
        <w:t>ieguldījumu fondā</w:t>
      </w:r>
      <w:r w:rsidR="007E6771" w:rsidRPr="00682D60">
        <w:rPr>
          <w:color w:val="auto"/>
          <w:sz w:val="28"/>
          <w:szCs w:val="28"/>
        </w:rPr>
        <w:t xml:space="preserve"> atbildīgā iestāde Latvijā </w:t>
      </w:r>
      <w:r w:rsidR="004C7A12" w:rsidRPr="00682D60">
        <w:rPr>
          <w:color w:val="auto"/>
          <w:sz w:val="28"/>
          <w:szCs w:val="28"/>
        </w:rPr>
        <w:t>tiks noteikta</w:t>
      </w:r>
      <w:r w:rsidR="007E6771" w:rsidRPr="00682D60">
        <w:rPr>
          <w:color w:val="auto"/>
          <w:sz w:val="28"/>
          <w:szCs w:val="28"/>
        </w:rPr>
        <w:t xml:space="preserve"> </w:t>
      </w:r>
      <w:proofErr w:type="spellStart"/>
      <w:r w:rsidR="007E6771" w:rsidRPr="00682D60">
        <w:rPr>
          <w:color w:val="auto"/>
          <w:sz w:val="28"/>
          <w:szCs w:val="28"/>
        </w:rPr>
        <w:t>Altum</w:t>
      </w:r>
      <w:proofErr w:type="spellEnd"/>
      <w:r w:rsidR="007E6771" w:rsidRPr="00682D60">
        <w:rPr>
          <w:color w:val="auto"/>
          <w:sz w:val="28"/>
          <w:szCs w:val="28"/>
        </w:rPr>
        <w:t xml:space="preserve">, </w:t>
      </w:r>
      <w:r w:rsidR="00593683" w:rsidRPr="00682D60">
        <w:rPr>
          <w:color w:val="auto"/>
          <w:sz w:val="28"/>
          <w:szCs w:val="28"/>
        </w:rPr>
        <w:t>un</w:t>
      </w:r>
      <w:r w:rsidR="007E6771" w:rsidRPr="00682D60">
        <w:rPr>
          <w:color w:val="auto"/>
          <w:sz w:val="28"/>
          <w:szCs w:val="28"/>
        </w:rPr>
        <w:t xml:space="preserve"> </w:t>
      </w:r>
      <w:r w:rsidR="004C7A12" w:rsidRPr="00682D60">
        <w:rPr>
          <w:color w:val="auto"/>
          <w:sz w:val="28"/>
          <w:szCs w:val="28"/>
        </w:rPr>
        <w:t>atbilstoši</w:t>
      </w:r>
      <w:r w:rsidR="007E6771" w:rsidRPr="00682D60">
        <w:rPr>
          <w:color w:val="auto"/>
          <w:sz w:val="28"/>
          <w:szCs w:val="28"/>
        </w:rPr>
        <w:t xml:space="preserve"> Eiropas Komisijas lēmuma SA.36904 – Latvija, </w:t>
      </w:r>
      <w:r w:rsidR="00280B3C" w:rsidRPr="00682D60">
        <w:rPr>
          <w:color w:val="auto"/>
          <w:sz w:val="28"/>
          <w:szCs w:val="28"/>
        </w:rPr>
        <w:t>Hipotēku</w:t>
      </w:r>
      <w:r w:rsidR="007E6771" w:rsidRPr="00682D60">
        <w:rPr>
          <w:color w:val="auto"/>
          <w:sz w:val="28"/>
          <w:szCs w:val="28"/>
        </w:rPr>
        <w:t xml:space="preserve"> un zemes bankas attīstības daļu un Latvijas Attīstības finanšu institūcijas izveidi 2.4.punktā noteiktajiem nosacījumiem, </w:t>
      </w:r>
      <w:r w:rsidR="00593683" w:rsidRPr="00682D60">
        <w:rPr>
          <w:color w:val="auto"/>
          <w:sz w:val="28"/>
          <w:szCs w:val="28"/>
        </w:rPr>
        <w:t xml:space="preserve">nepārkāpjot </w:t>
      </w:r>
      <w:r w:rsidR="007E6771" w:rsidRPr="00682D60">
        <w:rPr>
          <w:color w:val="auto"/>
          <w:sz w:val="28"/>
          <w:szCs w:val="28"/>
        </w:rPr>
        <w:t>noteikt</w:t>
      </w:r>
      <w:r w:rsidR="00593683" w:rsidRPr="00682D60">
        <w:rPr>
          <w:color w:val="auto"/>
          <w:sz w:val="28"/>
          <w:szCs w:val="28"/>
        </w:rPr>
        <w:t>o</w:t>
      </w:r>
      <w:r w:rsidR="007E6771" w:rsidRPr="00682D60">
        <w:rPr>
          <w:color w:val="auto"/>
          <w:sz w:val="28"/>
          <w:szCs w:val="28"/>
        </w:rPr>
        <w:t xml:space="preserve"> pamatkapitāla vai rezerves kapitāla iepludināšanas limi</w:t>
      </w:r>
      <w:r w:rsidR="00593683" w:rsidRPr="00682D60">
        <w:rPr>
          <w:color w:val="auto"/>
          <w:sz w:val="28"/>
          <w:szCs w:val="28"/>
        </w:rPr>
        <w:t>tu</w:t>
      </w:r>
      <w:r w:rsidR="007E6771" w:rsidRPr="00682D60">
        <w:rPr>
          <w:color w:val="auto"/>
          <w:sz w:val="28"/>
          <w:szCs w:val="28"/>
        </w:rPr>
        <w:t xml:space="preserve">, kas noteikts EK lēmuma SA.36904 24.punktā. </w:t>
      </w:r>
    </w:p>
    <w:p w14:paraId="6CD95DBF" w14:textId="6059465A" w:rsidR="009175FE" w:rsidRPr="00682D60" w:rsidRDefault="006263C7" w:rsidP="00CE6054">
      <w:pPr>
        <w:pStyle w:val="Default"/>
        <w:ind w:firstLine="720"/>
        <w:jc w:val="both"/>
        <w:rPr>
          <w:color w:val="auto"/>
          <w:sz w:val="28"/>
          <w:szCs w:val="28"/>
        </w:rPr>
      </w:pPr>
      <w:bookmarkStart w:id="3" w:name="_Hlk74303172"/>
      <w:r w:rsidRPr="00682D60">
        <w:rPr>
          <w:color w:val="auto"/>
          <w:sz w:val="28"/>
          <w:szCs w:val="28"/>
        </w:rPr>
        <w:t xml:space="preserve">KPMG </w:t>
      </w:r>
      <w:r w:rsidR="00593683" w:rsidRPr="00682D60">
        <w:rPr>
          <w:color w:val="auto"/>
          <w:sz w:val="28"/>
          <w:szCs w:val="28"/>
        </w:rPr>
        <w:t>k</w:t>
      </w:r>
      <w:r w:rsidR="005B3340" w:rsidRPr="00682D60">
        <w:rPr>
          <w:color w:val="auto"/>
          <w:sz w:val="28"/>
          <w:szCs w:val="28"/>
        </w:rPr>
        <w:t xml:space="preserve">onsorcija </w:t>
      </w:r>
      <w:proofErr w:type="spellStart"/>
      <w:r w:rsidR="00732652" w:rsidRPr="00682D60">
        <w:rPr>
          <w:color w:val="auto"/>
          <w:sz w:val="28"/>
          <w:szCs w:val="28"/>
        </w:rPr>
        <w:t>priekšizpētes</w:t>
      </w:r>
      <w:proofErr w:type="spellEnd"/>
      <w:r w:rsidR="00732652" w:rsidRPr="00682D60">
        <w:rPr>
          <w:color w:val="auto"/>
          <w:sz w:val="28"/>
          <w:szCs w:val="28"/>
        </w:rPr>
        <w:t xml:space="preserve"> ziņojumā </w:t>
      </w:r>
      <w:r w:rsidR="005B3340" w:rsidRPr="00682D60">
        <w:rPr>
          <w:color w:val="auto"/>
          <w:sz w:val="28"/>
          <w:szCs w:val="28"/>
        </w:rPr>
        <w:t xml:space="preserve">veiktā valsts atbalsta riska analīze norāda uz shēmas </w:t>
      </w:r>
      <w:r w:rsidR="00D713DA" w:rsidRPr="00EC2891">
        <w:rPr>
          <w:color w:val="auto"/>
          <w:sz w:val="28"/>
          <w:szCs w:val="28"/>
        </w:rPr>
        <w:t>atbilstību</w:t>
      </w:r>
      <w:r w:rsidR="005B3340" w:rsidRPr="00682D60">
        <w:rPr>
          <w:color w:val="auto"/>
          <w:sz w:val="28"/>
          <w:szCs w:val="28"/>
        </w:rPr>
        <w:t xml:space="preserve"> </w:t>
      </w:r>
      <w:r w:rsidR="00CE6054" w:rsidRPr="00682D60">
        <w:rPr>
          <w:color w:val="auto"/>
          <w:sz w:val="28"/>
          <w:szCs w:val="28"/>
        </w:rPr>
        <w:t>Komisijas paziņojum</w:t>
      </w:r>
      <w:r w:rsidR="004E5BDA" w:rsidRPr="00682D60">
        <w:rPr>
          <w:color w:val="auto"/>
          <w:sz w:val="28"/>
          <w:szCs w:val="28"/>
        </w:rPr>
        <w:t>ā</w:t>
      </w:r>
      <w:r w:rsidR="00CE6054" w:rsidRPr="00682D60">
        <w:rPr>
          <w:color w:val="auto"/>
          <w:sz w:val="28"/>
          <w:szCs w:val="28"/>
        </w:rPr>
        <w:t xml:space="preserve"> “Pamatnostādnes par valsts atbalstu, lai veicinātu riska finansējuma ieguldījumus</w:t>
      </w:r>
      <w:r w:rsidR="00732652" w:rsidRPr="00682D60">
        <w:rPr>
          <w:color w:val="auto"/>
          <w:sz w:val="28"/>
          <w:szCs w:val="28"/>
        </w:rPr>
        <w:t>”</w:t>
      </w:r>
      <w:r w:rsidR="00CE6054" w:rsidRPr="00682D60">
        <w:rPr>
          <w:color w:val="auto"/>
          <w:sz w:val="28"/>
          <w:szCs w:val="28"/>
        </w:rPr>
        <w:t xml:space="preserve"> </w:t>
      </w:r>
      <w:r w:rsidR="005B3340" w:rsidRPr="00EC2891">
        <w:rPr>
          <w:color w:val="auto"/>
          <w:sz w:val="28"/>
          <w:szCs w:val="28"/>
        </w:rPr>
        <w:t xml:space="preserve">noteiktajām </w:t>
      </w:r>
      <w:r w:rsidR="00DC7D77" w:rsidRPr="00EC2891">
        <w:rPr>
          <w:color w:val="auto"/>
          <w:sz w:val="28"/>
          <w:szCs w:val="28"/>
        </w:rPr>
        <w:t>tirgus ekonomikas dalībnieka</w:t>
      </w:r>
      <w:r w:rsidR="005B3340" w:rsidRPr="00EC2891">
        <w:rPr>
          <w:color w:val="auto"/>
          <w:sz w:val="28"/>
          <w:szCs w:val="28"/>
        </w:rPr>
        <w:t xml:space="preserve"> prasībām </w:t>
      </w:r>
      <w:r w:rsidR="005B3340" w:rsidRPr="00682D60">
        <w:rPr>
          <w:color w:val="auto"/>
          <w:sz w:val="28"/>
          <w:szCs w:val="28"/>
        </w:rPr>
        <w:t>visos attiecīgajos līmeņos,</w:t>
      </w:r>
      <w:r w:rsidR="00BD343A" w:rsidRPr="00682D60">
        <w:rPr>
          <w:color w:val="auto"/>
          <w:sz w:val="28"/>
          <w:szCs w:val="28"/>
        </w:rPr>
        <w:t xml:space="preserve"> kas izslēdz valsts atbalstu</w:t>
      </w:r>
      <w:bookmarkEnd w:id="3"/>
      <w:r w:rsidR="00BD343A" w:rsidRPr="00682D60">
        <w:rPr>
          <w:color w:val="auto"/>
          <w:sz w:val="28"/>
          <w:szCs w:val="28"/>
        </w:rPr>
        <w:t>,</w:t>
      </w:r>
      <w:r w:rsidR="005B3340" w:rsidRPr="00682D60">
        <w:rPr>
          <w:color w:val="auto"/>
          <w:sz w:val="28"/>
          <w:szCs w:val="28"/>
        </w:rPr>
        <w:t xml:space="preserve"> proti</w:t>
      </w:r>
      <w:r w:rsidR="009175FE" w:rsidRPr="00682D60">
        <w:rPr>
          <w:color w:val="auto"/>
          <w:sz w:val="28"/>
          <w:szCs w:val="28"/>
        </w:rPr>
        <w:t>:</w:t>
      </w:r>
    </w:p>
    <w:bookmarkEnd w:id="2"/>
    <w:p w14:paraId="1FBAD20C" w14:textId="2BC68736" w:rsidR="00447C22" w:rsidRPr="00682D60" w:rsidRDefault="001B193E">
      <w:pPr>
        <w:pStyle w:val="Default"/>
        <w:numPr>
          <w:ilvl w:val="0"/>
          <w:numId w:val="13"/>
        </w:numPr>
        <w:jc w:val="both"/>
        <w:rPr>
          <w:b/>
          <w:color w:val="auto"/>
          <w:sz w:val="28"/>
          <w:szCs w:val="28"/>
        </w:rPr>
      </w:pPr>
      <w:r>
        <w:rPr>
          <w:sz w:val="28"/>
          <w:szCs w:val="28"/>
        </w:rPr>
        <w:t>SFI</w:t>
      </w:r>
      <w:r w:rsidR="00F138D8" w:rsidRPr="00682D60">
        <w:rPr>
          <w:sz w:val="28"/>
          <w:szCs w:val="28"/>
        </w:rPr>
        <w:t xml:space="preserve"> </w:t>
      </w:r>
      <w:r w:rsidR="0015214B" w:rsidRPr="00682D60">
        <w:rPr>
          <w:sz w:val="28"/>
          <w:szCs w:val="28"/>
        </w:rPr>
        <w:t>(kā</w:t>
      </w:r>
      <w:r w:rsidR="004E5BDA" w:rsidRPr="00682D60">
        <w:rPr>
          <w:sz w:val="28"/>
          <w:szCs w:val="28"/>
        </w:rPr>
        <w:t>,</w:t>
      </w:r>
      <w:r w:rsidR="0015214B" w:rsidRPr="00682D60">
        <w:rPr>
          <w:sz w:val="28"/>
          <w:szCs w:val="28"/>
        </w:rPr>
        <w:t xml:space="preserve"> piemēram, ERAB, EIF)</w:t>
      </w:r>
      <w:r w:rsidR="005B3340" w:rsidRPr="00682D60">
        <w:rPr>
          <w:sz w:val="28"/>
          <w:szCs w:val="28"/>
        </w:rPr>
        <w:t xml:space="preserve"> līdzfinansējums fondā (pēc </w:t>
      </w:r>
      <w:r w:rsidR="008773DA" w:rsidRPr="00682D60">
        <w:rPr>
          <w:sz w:val="28"/>
          <w:szCs w:val="28"/>
        </w:rPr>
        <w:t>to</w:t>
      </w:r>
      <w:r w:rsidR="005B3340" w:rsidRPr="00682D60">
        <w:rPr>
          <w:sz w:val="28"/>
          <w:szCs w:val="28"/>
        </w:rPr>
        <w:t xml:space="preserve"> pievienošanās vēlāk</w:t>
      </w:r>
      <w:r w:rsidR="008773DA" w:rsidRPr="00682D60">
        <w:rPr>
          <w:sz w:val="28"/>
          <w:szCs w:val="28"/>
        </w:rPr>
        <w:t>ā posmā</w:t>
      </w:r>
      <w:r w:rsidR="00057272" w:rsidRPr="00682D60">
        <w:rPr>
          <w:sz w:val="28"/>
          <w:szCs w:val="28"/>
        </w:rPr>
        <w:t xml:space="preserve">). </w:t>
      </w:r>
      <w:r>
        <w:rPr>
          <w:sz w:val="28"/>
          <w:szCs w:val="28"/>
        </w:rPr>
        <w:t>SFI</w:t>
      </w:r>
      <w:r w:rsidR="00057272" w:rsidRPr="00682D60">
        <w:rPr>
          <w:sz w:val="28"/>
          <w:szCs w:val="28"/>
        </w:rPr>
        <w:t xml:space="preserve"> tiks atzīta par uzņēmumu </w:t>
      </w:r>
      <w:r w:rsidR="00593683" w:rsidRPr="00682D60">
        <w:rPr>
          <w:i/>
          <w:iCs/>
          <w:sz w:val="28"/>
          <w:szCs w:val="28"/>
        </w:rPr>
        <w:t>(</w:t>
      </w:r>
      <w:proofErr w:type="spellStart"/>
      <w:r w:rsidR="00593683" w:rsidRPr="00682D60">
        <w:rPr>
          <w:i/>
          <w:iCs/>
          <w:sz w:val="28"/>
          <w:szCs w:val="28"/>
        </w:rPr>
        <w:t>undertaking</w:t>
      </w:r>
      <w:proofErr w:type="spellEnd"/>
      <w:r w:rsidR="00593683" w:rsidRPr="00682D60">
        <w:rPr>
          <w:i/>
          <w:iCs/>
          <w:sz w:val="28"/>
          <w:szCs w:val="28"/>
        </w:rPr>
        <w:t>)</w:t>
      </w:r>
      <w:r w:rsidR="00593683" w:rsidRPr="00682D60">
        <w:rPr>
          <w:sz w:val="28"/>
          <w:szCs w:val="28"/>
        </w:rPr>
        <w:t xml:space="preserve"> </w:t>
      </w:r>
      <w:r w:rsidR="00057272" w:rsidRPr="00682D60">
        <w:rPr>
          <w:sz w:val="28"/>
          <w:szCs w:val="28"/>
        </w:rPr>
        <w:t>valsts atbalsta kontekstā, ciktāl tā rīkojas kā neatkarīgs privāts ieguldītājs.</w:t>
      </w:r>
      <w:r w:rsidR="00061BEE" w:rsidRPr="00682D60">
        <w:rPr>
          <w:sz w:val="28"/>
          <w:szCs w:val="28"/>
        </w:rPr>
        <w:t xml:space="preserve"> Ņemot vērā, ka </w:t>
      </w:r>
      <w:r w:rsidR="00C654CF" w:rsidRPr="00682D60">
        <w:rPr>
          <w:sz w:val="28"/>
          <w:szCs w:val="28"/>
        </w:rPr>
        <w:t>fonda sākotnējā posmā nav plānota</w:t>
      </w:r>
      <w:r w:rsidR="00061BEE" w:rsidRPr="00682D60">
        <w:rPr>
          <w:sz w:val="28"/>
          <w:szCs w:val="28"/>
        </w:rPr>
        <w:t xml:space="preserve"> </w:t>
      </w:r>
      <w:r>
        <w:rPr>
          <w:sz w:val="28"/>
          <w:szCs w:val="28"/>
        </w:rPr>
        <w:t>SFI</w:t>
      </w:r>
      <w:r w:rsidR="00C654CF" w:rsidRPr="00682D60">
        <w:rPr>
          <w:sz w:val="28"/>
          <w:szCs w:val="28"/>
        </w:rPr>
        <w:t xml:space="preserve"> pievienošanās</w:t>
      </w:r>
      <w:r w:rsidR="00061BEE" w:rsidRPr="00682D60">
        <w:rPr>
          <w:sz w:val="28"/>
          <w:szCs w:val="28"/>
        </w:rPr>
        <w:t>, tās</w:t>
      </w:r>
      <w:r w:rsidR="00C654CF" w:rsidRPr="00682D60">
        <w:rPr>
          <w:sz w:val="28"/>
          <w:szCs w:val="28"/>
        </w:rPr>
        <w:t xml:space="preserve"> un to ieguldījumu veikšana</w:t>
      </w:r>
      <w:r w:rsidR="00061BEE" w:rsidRPr="00682D60">
        <w:rPr>
          <w:sz w:val="28"/>
          <w:szCs w:val="28"/>
        </w:rPr>
        <w:t xml:space="preserve"> tiks vērtēt</w:t>
      </w:r>
      <w:r w:rsidR="00C654CF" w:rsidRPr="00682D60">
        <w:rPr>
          <w:sz w:val="28"/>
          <w:szCs w:val="28"/>
        </w:rPr>
        <w:t>a</w:t>
      </w:r>
      <w:r w:rsidR="00061BEE" w:rsidRPr="00682D60">
        <w:rPr>
          <w:sz w:val="28"/>
          <w:szCs w:val="28"/>
        </w:rPr>
        <w:t xml:space="preserve"> valsts atbalsta kontekstā</w:t>
      </w:r>
      <w:r w:rsidR="00C654CF" w:rsidRPr="00682D60">
        <w:rPr>
          <w:sz w:val="28"/>
          <w:szCs w:val="28"/>
        </w:rPr>
        <w:t xml:space="preserve"> laikā</w:t>
      </w:r>
      <w:r w:rsidR="00061BEE" w:rsidRPr="00682D60">
        <w:rPr>
          <w:sz w:val="28"/>
          <w:szCs w:val="28"/>
        </w:rPr>
        <w:t xml:space="preserve">, kad tās pievienosies. </w:t>
      </w:r>
      <w:r w:rsidR="00C654CF" w:rsidRPr="00682D60">
        <w:rPr>
          <w:sz w:val="28"/>
          <w:szCs w:val="28"/>
        </w:rPr>
        <w:t xml:space="preserve">Citi apsvērumi ir aprakstīti KPMG </w:t>
      </w:r>
      <w:proofErr w:type="spellStart"/>
      <w:r w:rsidR="00C654CF" w:rsidRPr="00682D60">
        <w:rPr>
          <w:sz w:val="28"/>
          <w:szCs w:val="28"/>
        </w:rPr>
        <w:t>priekšizpētes</w:t>
      </w:r>
      <w:proofErr w:type="spellEnd"/>
      <w:r w:rsidR="00C654CF" w:rsidRPr="00682D60">
        <w:rPr>
          <w:sz w:val="28"/>
          <w:szCs w:val="28"/>
        </w:rPr>
        <w:t xml:space="preserve"> ziņojumā</w:t>
      </w:r>
      <w:r w:rsidR="00EC2891">
        <w:rPr>
          <w:sz w:val="28"/>
          <w:szCs w:val="28"/>
        </w:rPr>
        <w:t>,</w:t>
      </w:r>
    </w:p>
    <w:p w14:paraId="3E10B0A6" w14:textId="33C32D3A" w:rsidR="0015214B" w:rsidRPr="00682D60" w:rsidRDefault="005B3340">
      <w:pPr>
        <w:pStyle w:val="Default"/>
        <w:numPr>
          <w:ilvl w:val="0"/>
          <w:numId w:val="13"/>
        </w:numPr>
        <w:jc w:val="both"/>
        <w:rPr>
          <w:b/>
          <w:color w:val="auto"/>
          <w:sz w:val="28"/>
          <w:szCs w:val="28"/>
        </w:rPr>
      </w:pPr>
      <w:r w:rsidRPr="00682D60">
        <w:rPr>
          <w:color w:val="auto"/>
          <w:sz w:val="28"/>
          <w:szCs w:val="28"/>
        </w:rPr>
        <w:lastRenderedPageBreak/>
        <w:t xml:space="preserve">privāto ieguldītāju līmenis, kas kopā ar fondu </w:t>
      </w:r>
      <w:proofErr w:type="spellStart"/>
      <w:r w:rsidRPr="00682D60">
        <w:rPr>
          <w:color w:val="auto"/>
          <w:sz w:val="28"/>
          <w:szCs w:val="28"/>
        </w:rPr>
        <w:t>līdzinvestē</w:t>
      </w:r>
      <w:proofErr w:type="spellEnd"/>
      <w:r w:rsidRPr="00682D60">
        <w:rPr>
          <w:color w:val="auto"/>
          <w:sz w:val="28"/>
          <w:szCs w:val="28"/>
        </w:rPr>
        <w:t xml:space="preserve"> ieguldījumu saņēmējos</w:t>
      </w:r>
      <w:r w:rsidR="0015214B" w:rsidRPr="00682D60">
        <w:rPr>
          <w:color w:val="auto"/>
          <w:sz w:val="28"/>
          <w:szCs w:val="28"/>
        </w:rPr>
        <w:t>. F</w:t>
      </w:r>
      <w:r w:rsidR="009175FE" w:rsidRPr="00682D60">
        <w:rPr>
          <w:color w:val="auto"/>
          <w:sz w:val="28"/>
          <w:szCs w:val="28"/>
        </w:rPr>
        <w:t>onds investē</w:t>
      </w:r>
      <w:r w:rsidR="00101CAD" w:rsidRPr="00682D60">
        <w:rPr>
          <w:color w:val="auto"/>
          <w:sz w:val="28"/>
          <w:szCs w:val="28"/>
        </w:rPr>
        <w:t>s</w:t>
      </w:r>
      <w:r w:rsidR="009175FE" w:rsidRPr="00682D60">
        <w:rPr>
          <w:color w:val="auto"/>
          <w:sz w:val="28"/>
          <w:szCs w:val="28"/>
        </w:rPr>
        <w:t xml:space="preserve"> ne</w:t>
      </w:r>
      <w:r w:rsidR="0015214B" w:rsidRPr="00682D60">
        <w:rPr>
          <w:color w:val="auto"/>
          <w:sz w:val="28"/>
          <w:szCs w:val="28"/>
        </w:rPr>
        <w:t xml:space="preserve"> </w:t>
      </w:r>
      <w:r w:rsidR="009175FE" w:rsidRPr="00682D60">
        <w:rPr>
          <w:color w:val="auto"/>
          <w:sz w:val="28"/>
          <w:szCs w:val="28"/>
        </w:rPr>
        <w:t>vairāk kā 50%</w:t>
      </w:r>
      <w:r w:rsidR="00101CAD" w:rsidRPr="00682D60">
        <w:rPr>
          <w:color w:val="auto"/>
          <w:sz w:val="28"/>
          <w:szCs w:val="28"/>
        </w:rPr>
        <w:t xml:space="preserve"> no ieguldījumiem uzņēmumos. Darījumi fonda un privāto ieguldītāju līmenī tiks veikti</w:t>
      </w:r>
      <w:r w:rsidR="009175FE" w:rsidRPr="00682D60">
        <w:rPr>
          <w:color w:val="auto"/>
          <w:sz w:val="28"/>
          <w:szCs w:val="28"/>
        </w:rPr>
        <w:t xml:space="preserve"> </w:t>
      </w:r>
      <w:r w:rsidR="0015214B" w:rsidRPr="00682D60">
        <w:rPr>
          <w:color w:val="auto"/>
          <w:sz w:val="28"/>
          <w:szCs w:val="28"/>
        </w:rPr>
        <w:t>uz vienādiem tirgus nosacījumiem</w:t>
      </w:r>
      <w:r w:rsidR="00101CAD" w:rsidRPr="00682D60">
        <w:rPr>
          <w:color w:val="auto"/>
          <w:sz w:val="28"/>
          <w:szCs w:val="28"/>
        </w:rPr>
        <w:t>, nodrošinot</w:t>
      </w:r>
      <w:r w:rsidR="0015214B" w:rsidRPr="00682D60">
        <w:rPr>
          <w:color w:val="auto"/>
          <w:sz w:val="28"/>
          <w:szCs w:val="28"/>
        </w:rPr>
        <w:t xml:space="preserve"> </w:t>
      </w:r>
      <w:proofErr w:type="spellStart"/>
      <w:r w:rsidR="0015214B" w:rsidRPr="00682D60">
        <w:rPr>
          <w:i/>
          <w:iCs/>
          <w:sz w:val="28"/>
          <w:szCs w:val="28"/>
        </w:rPr>
        <w:t>pari</w:t>
      </w:r>
      <w:proofErr w:type="spellEnd"/>
      <w:r w:rsidR="0015214B" w:rsidRPr="00682D60">
        <w:rPr>
          <w:i/>
          <w:iCs/>
          <w:sz w:val="28"/>
          <w:szCs w:val="28"/>
        </w:rPr>
        <w:t xml:space="preserve"> </w:t>
      </w:r>
      <w:proofErr w:type="spellStart"/>
      <w:r w:rsidR="0015214B" w:rsidRPr="00682D60">
        <w:rPr>
          <w:i/>
          <w:iCs/>
          <w:sz w:val="28"/>
          <w:szCs w:val="28"/>
        </w:rPr>
        <w:t>passu</w:t>
      </w:r>
      <w:proofErr w:type="spellEnd"/>
      <w:r w:rsidR="00101CAD" w:rsidRPr="00682D60">
        <w:rPr>
          <w:color w:val="auto"/>
          <w:sz w:val="28"/>
          <w:szCs w:val="28"/>
        </w:rPr>
        <w:t xml:space="preserve"> principa ievērošanu</w:t>
      </w:r>
      <w:r w:rsidR="00EC2891">
        <w:rPr>
          <w:color w:val="auto"/>
          <w:sz w:val="28"/>
          <w:szCs w:val="28"/>
        </w:rPr>
        <w:t>,</w:t>
      </w:r>
    </w:p>
    <w:p w14:paraId="61506265" w14:textId="712D5363" w:rsidR="00101CAD" w:rsidRPr="00EC2891" w:rsidRDefault="00D51A25" w:rsidP="00143AF4">
      <w:pPr>
        <w:pStyle w:val="Default"/>
        <w:numPr>
          <w:ilvl w:val="0"/>
          <w:numId w:val="13"/>
        </w:numPr>
        <w:jc w:val="both"/>
        <w:rPr>
          <w:bCs/>
          <w:color w:val="auto"/>
          <w:sz w:val="28"/>
          <w:szCs w:val="28"/>
        </w:rPr>
      </w:pPr>
      <w:r w:rsidRPr="00EC2891">
        <w:rPr>
          <w:bCs/>
          <w:color w:val="auto"/>
          <w:sz w:val="28"/>
          <w:szCs w:val="28"/>
        </w:rPr>
        <w:t>fond</w:t>
      </w:r>
      <w:r w:rsidR="00143AF4" w:rsidRPr="00EC2891">
        <w:rPr>
          <w:bCs/>
          <w:color w:val="auto"/>
          <w:sz w:val="28"/>
          <w:szCs w:val="28"/>
        </w:rPr>
        <w:t>a</w:t>
      </w:r>
      <w:r w:rsidRPr="00EC2891">
        <w:rPr>
          <w:bCs/>
          <w:color w:val="auto"/>
          <w:sz w:val="28"/>
          <w:szCs w:val="28"/>
        </w:rPr>
        <w:t xml:space="preserve"> </w:t>
      </w:r>
      <w:r w:rsidR="00C12194" w:rsidRPr="00EC2891">
        <w:rPr>
          <w:bCs/>
          <w:color w:val="auto"/>
          <w:sz w:val="28"/>
          <w:szCs w:val="28"/>
        </w:rPr>
        <w:t xml:space="preserve">līmenis – </w:t>
      </w:r>
      <w:r w:rsidR="00143AF4" w:rsidRPr="00EC2891">
        <w:rPr>
          <w:bCs/>
          <w:color w:val="auto"/>
          <w:sz w:val="28"/>
          <w:szCs w:val="28"/>
        </w:rPr>
        <w:t>atbilstoši ES valsts atbalsta regulējumam tiek uzskatīts, ka fonds („</w:t>
      </w:r>
      <w:proofErr w:type="spellStart"/>
      <w:r w:rsidR="00143AF4" w:rsidRPr="00EC2891">
        <w:rPr>
          <w:bCs/>
          <w:i/>
          <w:color w:val="auto"/>
          <w:sz w:val="28"/>
          <w:szCs w:val="28"/>
        </w:rPr>
        <w:t>financial</w:t>
      </w:r>
      <w:proofErr w:type="spellEnd"/>
      <w:r w:rsidR="00143AF4" w:rsidRPr="00EC2891">
        <w:rPr>
          <w:bCs/>
          <w:i/>
          <w:color w:val="auto"/>
          <w:sz w:val="28"/>
          <w:szCs w:val="28"/>
        </w:rPr>
        <w:t xml:space="preserve"> </w:t>
      </w:r>
      <w:proofErr w:type="spellStart"/>
      <w:r w:rsidR="00143AF4" w:rsidRPr="00EC2891">
        <w:rPr>
          <w:bCs/>
          <w:i/>
          <w:color w:val="auto"/>
          <w:sz w:val="28"/>
          <w:szCs w:val="28"/>
        </w:rPr>
        <w:t>intermediary</w:t>
      </w:r>
      <w:proofErr w:type="spellEnd"/>
      <w:r w:rsidR="00143AF4" w:rsidRPr="00EC2891">
        <w:rPr>
          <w:bCs/>
          <w:color w:val="auto"/>
          <w:sz w:val="28"/>
          <w:szCs w:val="28"/>
        </w:rPr>
        <w:t>”) ir tikai instruments finansējuma pārnešanai („</w:t>
      </w:r>
      <w:proofErr w:type="spellStart"/>
      <w:r w:rsidR="00143AF4" w:rsidRPr="00EC2891">
        <w:rPr>
          <w:bCs/>
          <w:i/>
          <w:color w:val="auto"/>
          <w:sz w:val="28"/>
          <w:szCs w:val="28"/>
        </w:rPr>
        <w:t>vehicle</w:t>
      </w:r>
      <w:proofErr w:type="spellEnd"/>
      <w:r w:rsidR="00143AF4" w:rsidRPr="00EC2891">
        <w:rPr>
          <w:bCs/>
          <w:i/>
          <w:color w:val="auto"/>
          <w:sz w:val="28"/>
          <w:szCs w:val="28"/>
        </w:rPr>
        <w:t xml:space="preserve"> </w:t>
      </w:r>
      <w:proofErr w:type="spellStart"/>
      <w:r w:rsidR="00143AF4" w:rsidRPr="00EC2891">
        <w:rPr>
          <w:bCs/>
          <w:i/>
          <w:color w:val="auto"/>
          <w:sz w:val="28"/>
          <w:szCs w:val="28"/>
        </w:rPr>
        <w:t>for</w:t>
      </w:r>
      <w:proofErr w:type="spellEnd"/>
      <w:r w:rsidR="00143AF4" w:rsidRPr="00EC2891">
        <w:rPr>
          <w:bCs/>
          <w:i/>
          <w:color w:val="auto"/>
          <w:sz w:val="28"/>
          <w:szCs w:val="28"/>
        </w:rPr>
        <w:t xml:space="preserve"> </w:t>
      </w:r>
      <w:proofErr w:type="spellStart"/>
      <w:r w:rsidR="00143AF4" w:rsidRPr="00EC2891">
        <w:rPr>
          <w:bCs/>
          <w:i/>
          <w:color w:val="auto"/>
          <w:sz w:val="28"/>
          <w:szCs w:val="28"/>
        </w:rPr>
        <w:t>the</w:t>
      </w:r>
      <w:proofErr w:type="spellEnd"/>
      <w:r w:rsidR="00143AF4" w:rsidRPr="00EC2891">
        <w:rPr>
          <w:bCs/>
          <w:i/>
          <w:color w:val="auto"/>
          <w:sz w:val="28"/>
          <w:szCs w:val="28"/>
        </w:rPr>
        <w:t xml:space="preserve"> </w:t>
      </w:r>
      <w:proofErr w:type="spellStart"/>
      <w:r w:rsidR="00143AF4" w:rsidRPr="00EC2891">
        <w:rPr>
          <w:bCs/>
          <w:i/>
          <w:color w:val="auto"/>
          <w:sz w:val="28"/>
          <w:szCs w:val="28"/>
        </w:rPr>
        <w:t>transfer</w:t>
      </w:r>
      <w:proofErr w:type="spellEnd"/>
      <w:r w:rsidR="00143AF4" w:rsidRPr="00EC2891">
        <w:rPr>
          <w:bCs/>
          <w:color w:val="auto"/>
          <w:sz w:val="28"/>
          <w:szCs w:val="28"/>
        </w:rPr>
        <w:t>”) no investoriem pie uzņēmumiem - gala saņēmējiem</w:t>
      </w:r>
      <w:r w:rsidR="00EC2891">
        <w:rPr>
          <w:bCs/>
          <w:color w:val="auto"/>
          <w:sz w:val="28"/>
          <w:szCs w:val="28"/>
        </w:rPr>
        <w:t>,</w:t>
      </w:r>
      <w:r w:rsidR="00143AF4" w:rsidRPr="00EC2891">
        <w:rPr>
          <w:bCs/>
          <w:color w:val="auto"/>
          <w:sz w:val="28"/>
          <w:szCs w:val="28"/>
        </w:rPr>
        <w:t xml:space="preserve"> </w:t>
      </w:r>
    </w:p>
    <w:p w14:paraId="445816E2" w14:textId="7B61818C" w:rsidR="004C7A12" w:rsidRPr="00682D60" w:rsidRDefault="005B3340" w:rsidP="00A75276">
      <w:pPr>
        <w:pStyle w:val="Default"/>
        <w:numPr>
          <w:ilvl w:val="0"/>
          <w:numId w:val="13"/>
        </w:numPr>
        <w:jc w:val="both"/>
        <w:rPr>
          <w:bCs/>
          <w:color w:val="auto"/>
          <w:sz w:val="28"/>
          <w:szCs w:val="28"/>
        </w:rPr>
      </w:pPr>
      <w:r w:rsidRPr="00682D60">
        <w:rPr>
          <w:color w:val="auto"/>
          <w:sz w:val="28"/>
          <w:szCs w:val="28"/>
        </w:rPr>
        <w:t xml:space="preserve">AIFP līmenis, kas pārvalda </w:t>
      </w:r>
      <w:r w:rsidR="0018371E" w:rsidRPr="00682D60">
        <w:rPr>
          <w:color w:val="auto"/>
          <w:sz w:val="28"/>
          <w:szCs w:val="28"/>
        </w:rPr>
        <w:t>fondu</w:t>
      </w:r>
      <w:r w:rsidR="00747DB4" w:rsidRPr="00682D60">
        <w:rPr>
          <w:b/>
          <w:color w:val="auto"/>
          <w:sz w:val="28"/>
          <w:szCs w:val="28"/>
        </w:rPr>
        <w:t xml:space="preserve">. </w:t>
      </w:r>
      <w:r w:rsidR="00CF0C48" w:rsidRPr="00682D60">
        <w:rPr>
          <w:bCs/>
          <w:color w:val="auto"/>
          <w:sz w:val="28"/>
          <w:szCs w:val="28"/>
        </w:rPr>
        <w:t>T</w:t>
      </w:r>
      <w:r w:rsidR="00C12194" w:rsidRPr="00682D60">
        <w:rPr>
          <w:bCs/>
          <w:color w:val="auto"/>
          <w:sz w:val="28"/>
          <w:szCs w:val="28"/>
        </w:rPr>
        <w:t>iks nodroš</w:t>
      </w:r>
      <w:r w:rsidR="00143AF4" w:rsidRPr="00682D60">
        <w:rPr>
          <w:bCs/>
          <w:color w:val="auto"/>
          <w:sz w:val="28"/>
          <w:szCs w:val="28"/>
        </w:rPr>
        <w:t>i</w:t>
      </w:r>
      <w:r w:rsidR="00C12194" w:rsidRPr="00682D60">
        <w:rPr>
          <w:bCs/>
          <w:color w:val="auto"/>
          <w:sz w:val="28"/>
          <w:szCs w:val="28"/>
        </w:rPr>
        <w:t>nāts, ka Pamatnostādnēs</w:t>
      </w:r>
      <w:r w:rsidR="00CF0C48" w:rsidRPr="00682D60">
        <w:rPr>
          <w:rFonts w:ascii="inherit" w:hAnsi="inherit"/>
          <w:highlight w:val="green"/>
        </w:rPr>
        <w:t xml:space="preserve"> </w:t>
      </w:r>
      <w:r w:rsidR="00CF0C48" w:rsidRPr="00682D60">
        <w:rPr>
          <w:bCs/>
          <w:color w:val="auto"/>
          <w:sz w:val="28"/>
          <w:szCs w:val="28"/>
        </w:rPr>
        <w:t>par valsts atbalstu, lai veicinātu riska finansējuma ieguldījumus</w:t>
      </w:r>
      <w:r w:rsidR="00710BCA" w:rsidRPr="00682D60">
        <w:rPr>
          <w:bCs/>
          <w:color w:val="auto"/>
          <w:sz w:val="28"/>
          <w:szCs w:val="28"/>
        </w:rPr>
        <w:t>,</w:t>
      </w:r>
      <w:r w:rsidR="00C12194" w:rsidRPr="00682D60">
        <w:rPr>
          <w:bCs/>
          <w:color w:val="auto"/>
          <w:sz w:val="28"/>
          <w:szCs w:val="28"/>
        </w:rPr>
        <w:t xml:space="preserve"> noteiktie attiecīgie pamatprincipi</w:t>
      </w:r>
      <w:r w:rsidR="00CF0C48" w:rsidRPr="00682D60">
        <w:rPr>
          <w:bCs/>
          <w:color w:val="auto"/>
          <w:sz w:val="28"/>
          <w:szCs w:val="28"/>
        </w:rPr>
        <w:t>,</w:t>
      </w:r>
      <w:r w:rsidR="00C12194" w:rsidRPr="00682D60">
        <w:rPr>
          <w:bCs/>
          <w:color w:val="auto"/>
          <w:sz w:val="28"/>
          <w:szCs w:val="28"/>
        </w:rPr>
        <w:t xml:space="preserve"> tiks ievēroti šādā veidā</w:t>
      </w:r>
      <w:r w:rsidR="004C7A12" w:rsidRPr="00682D60">
        <w:rPr>
          <w:bCs/>
          <w:color w:val="auto"/>
          <w:sz w:val="28"/>
          <w:szCs w:val="28"/>
        </w:rPr>
        <w:t>:</w:t>
      </w:r>
    </w:p>
    <w:p w14:paraId="0272AFE0" w14:textId="53AF04F0" w:rsidR="004C7A12" w:rsidRPr="00682D60" w:rsidRDefault="004C7A12" w:rsidP="00A75276">
      <w:pPr>
        <w:pStyle w:val="Default"/>
        <w:numPr>
          <w:ilvl w:val="2"/>
          <w:numId w:val="14"/>
        </w:numPr>
        <w:jc w:val="both"/>
        <w:rPr>
          <w:bCs/>
          <w:color w:val="auto"/>
          <w:sz w:val="28"/>
          <w:szCs w:val="28"/>
        </w:rPr>
      </w:pPr>
      <w:r w:rsidRPr="00682D60">
        <w:rPr>
          <w:bCs/>
          <w:color w:val="auto"/>
          <w:sz w:val="28"/>
          <w:szCs w:val="28"/>
        </w:rPr>
        <w:t>Ja finanšu starpnieka pārvaldnieks vai pārvaldības sabiedrība (turpmāk – “pārvaldnieks”) ir izvēlēti atklātā, pārredzamā, nediskriminējošā un objektīvā atlases procedūrā vai ja pārvaldnieka saņemtā atlīdzība pilnībā atspoguļo pašreizējos tirgus līmeņus salīdzināmās situācijās, tiek uzskatīts, ka šis pārvaldnieks nesaņem valsts atbalstu</w:t>
      </w:r>
      <w:r w:rsidR="00EC2891">
        <w:rPr>
          <w:bCs/>
          <w:color w:val="auto"/>
          <w:sz w:val="28"/>
          <w:szCs w:val="28"/>
        </w:rPr>
        <w:t>,</w:t>
      </w:r>
    </w:p>
    <w:p w14:paraId="73485C7F" w14:textId="0C0AB843" w:rsidR="0015214B" w:rsidRPr="00682D60" w:rsidRDefault="004C7A12" w:rsidP="00A75276">
      <w:pPr>
        <w:pStyle w:val="Default"/>
        <w:numPr>
          <w:ilvl w:val="2"/>
          <w:numId w:val="14"/>
        </w:numPr>
        <w:jc w:val="both"/>
        <w:rPr>
          <w:bCs/>
          <w:color w:val="auto"/>
          <w:sz w:val="28"/>
          <w:szCs w:val="28"/>
        </w:rPr>
      </w:pPr>
      <w:r w:rsidRPr="00682D60">
        <w:rPr>
          <w:bCs/>
          <w:color w:val="auto"/>
          <w:sz w:val="28"/>
          <w:szCs w:val="28"/>
        </w:rPr>
        <w:t>Ja finanšu starpnieks un tā pārvaldnieks ir publiskas struktūras un nav tikuši izvēlēti atklātā, pārredzamā, nediskriminējošā un objektīvā atlases procedūrā, tos neuzskata par atbalsta saņēmējiem, ja to pārvaldības maksai ir noteikta maksimālā robežvērtība un to atalgojums atspoguļo parastus tirgus apstākļus un ir piesaistīts darbībai.</w:t>
      </w:r>
    </w:p>
    <w:p w14:paraId="20208874" w14:textId="75C18422" w:rsidR="004C7A12" w:rsidRPr="00EE6E59" w:rsidRDefault="0018371E" w:rsidP="00FA02A2">
      <w:pPr>
        <w:pStyle w:val="Default"/>
        <w:numPr>
          <w:ilvl w:val="0"/>
          <w:numId w:val="13"/>
        </w:numPr>
        <w:jc w:val="both"/>
        <w:rPr>
          <w:b/>
          <w:color w:val="auto"/>
          <w:sz w:val="28"/>
          <w:szCs w:val="28"/>
        </w:rPr>
      </w:pPr>
      <w:r w:rsidRPr="00682D60">
        <w:rPr>
          <w:color w:val="auto"/>
          <w:sz w:val="28"/>
          <w:szCs w:val="28"/>
        </w:rPr>
        <w:t>ieguldījumu saņēmēju - uzņēmumu</w:t>
      </w:r>
      <w:r w:rsidR="005B3340" w:rsidRPr="00682D60">
        <w:rPr>
          <w:color w:val="auto"/>
          <w:sz w:val="28"/>
          <w:szCs w:val="28"/>
        </w:rPr>
        <w:t xml:space="preserve"> līmenis</w:t>
      </w:r>
      <w:r w:rsidR="00747DB4" w:rsidRPr="00682D60">
        <w:rPr>
          <w:bCs/>
          <w:color w:val="auto"/>
          <w:sz w:val="28"/>
          <w:szCs w:val="28"/>
        </w:rPr>
        <w:t>, ieguldījumi tiek veikti uz tirgus nosacījumiem</w:t>
      </w:r>
      <w:r w:rsidR="00447C22" w:rsidRPr="00EC2891">
        <w:rPr>
          <w:bCs/>
          <w:color w:val="auto"/>
          <w:sz w:val="28"/>
          <w:szCs w:val="28"/>
        </w:rPr>
        <w:t>.</w:t>
      </w:r>
      <w:r w:rsidR="005B3340" w:rsidRPr="00EC2891">
        <w:rPr>
          <w:bCs/>
          <w:color w:val="auto"/>
          <w:sz w:val="28"/>
          <w:szCs w:val="28"/>
        </w:rPr>
        <w:t xml:space="preserve"> </w:t>
      </w:r>
      <w:r w:rsidR="00737B1C" w:rsidRPr="00EC2891">
        <w:rPr>
          <w:bCs/>
          <w:color w:val="auto"/>
          <w:sz w:val="28"/>
          <w:szCs w:val="28"/>
        </w:rPr>
        <w:t>Ņemot vērā, ka visos līmeņos nav valsts atbalsts, kā tas ir vērtēts</w:t>
      </w:r>
      <w:r w:rsidR="00737B1C" w:rsidRPr="00EC2891">
        <w:rPr>
          <w:bCs/>
        </w:rPr>
        <w:t xml:space="preserve"> </w:t>
      </w:r>
      <w:r w:rsidR="00732652" w:rsidRPr="00EC2891">
        <w:rPr>
          <w:bCs/>
          <w:sz w:val="28"/>
          <w:szCs w:val="28"/>
        </w:rPr>
        <w:t xml:space="preserve">KPMG konsorcija </w:t>
      </w:r>
      <w:proofErr w:type="spellStart"/>
      <w:r w:rsidR="00732652" w:rsidRPr="00EC2891">
        <w:rPr>
          <w:bCs/>
          <w:sz w:val="28"/>
          <w:szCs w:val="28"/>
        </w:rPr>
        <w:t>priekšizpētes</w:t>
      </w:r>
      <w:proofErr w:type="spellEnd"/>
      <w:r w:rsidR="00732652" w:rsidRPr="00EC2891">
        <w:rPr>
          <w:bCs/>
          <w:sz w:val="28"/>
          <w:szCs w:val="28"/>
        </w:rPr>
        <w:t xml:space="preserve"> ziņojumā </w:t>
      </w:r>
      <w:r w:rsidR="00737B1C" w:rsidRPr="00EC2891">
        <w:rPr>
          <w:bCs/>
          <w:color w:val="auto"/>
          <w:sz w:val="28"/>
          <w:szCs w:val="28"/>
        </w:rPr>
        <w:t>veiktajā valsts atbalsta riska analīzē, arī u</w:t>
      </w:r>
      <w:r w:rsidR="00C12194" w:rsidRPr="00EC2891">
        <w:rPr>
          <w:bCs/>
          <w:color w:val="auto"/>
          <w:sz w:val="28"/>
          <w:szCs w:val="28"/>
        </w:rPr>
        <w:t>zņēmuma līmenī netiks sniegts valsts atbalsts.</w:t>
      </w:r>
    </w:p>
    <w:p w14:paraId="73B21556" w14:textId="7A3DF6E9" w:rsidR="005B3340" w:rsidRPr="00682D60" w:rsidRDefault="0015214B">
      <w:pPr>
        <w:pStyle w:val="Default"/>
        <w:ind w:firstLine="720"/>
        <w:jc w:val="both"/>
        <w:rPr>
          <w:b/>
          <w:color w:val="auto"/>
          <w:sz w:val="28"/>
          <w:szCs w:val="28"/>
        </w:rPr>
      </w:pPr>
      <w:r w:rsidRPr="00682D60">
        <w:rPr>
          <w:color w:val="auto"/>
          <w:sz w:val="28"/>
          <w:szCs w:val="28"/>
        </w:rPr>
        <w:t xml:space="preserve">No iepriekšminētajiem punktiem </w:t>
      </w:r>
      <w:r w:rsidR="005B3340" w:rsidRPr="00682D60">
        <w:rPr>
          <w:color w:val="auto"/>
          <w:sz w:val="28"/>
          <w:szCs w:val="28"/>
        </w:rPr>
        <w:t xml:space="preserve">sagaidāms, ka pārbaudāmā riska finansēšanas shēma nebūs kvalificējamam kā valsts atbalsts </w:t>
      </w:r>
      <w:r w:rsidR="001B193E" w:rsidRPr="00682D60">
        <w:rPr>
          <w:color w:val="auto"/>
          <w:sz w:val="28"/>
          <w:szCs w:val="28"/>
        </w:rPr>
        <w:t>L</w:t>
      </w:r>
      <w:r w:rsidR="001B193E">
        <w:rPr>
          <w:color w:val="auto"/>
          <w:sz w:val="28"/>
          <w:szCs w:val="28"/>
        </w:rPr>
        <w:t xml:space="preserve">īgums par Eiropas Savienības darbību </w:t>
      </w:r>
      <w:r w:rsidR="005B3340" w:rsidRPr="00682D60">
        <w:rPr>
          <w:color w:val="auto"/>
          <w:sz w:val="28"/>
          <w:szCs w:val="28"/>
        </w:rPr>
        <w:t>107. panta 1. punkta nozīmē.</w:t>
      </w:r>
      <w:r w:rsidR="00061BEE" w:rsidRPr="00682D60" w:rsidDel="00061BEE">
        <w:rPr>
          <w:strike/>
          <w:color w:val="auto"/>
          <w:sz w:val="28"/>
          <w:szCs w:val="28"/>
        </w:rPr>
        <w:t xml:space="preserve"> </w:t>
      </w:r>
    </w:p>
    <w:p w14:paraId="033E50AF" w14:textId="0E4B550D" w:rsidR="005B3340" w:rsidRPr="00682D60" w:rsidRDefault="005B3340" w:rsidP="00DE0802">
      <w:pPr>
        <w:pStyle w:val="Default"/>
        <w:ind w:firstLine="720"/>
        <w:jc w:val="both"/>
        <w:rPr>
          <w:color w:val="auto"/>
          <w:sz w:val="28"/>
          <w:szCs w:val="28"/>
        </w:rPr>
      </w:pPr>
      <w:r w:rsidRPr="00682D60">
        <w:rPr>
          <w:color w:val="auto"/>
          <w:sz w:val="28"/>
          <w:szCs w:val="28"/>
        </w:rPr>
        <w:t xml:space="preserve">Ņemot vērā, ka iespējamie fonda ieguldītāji (Latvija un Lietuva, vēlāk potenciāli Igaunija un / vai </w:t>
      </w:r>
      <w:r w:rsidR="00DC7D77" w:rsidRPr="00682D60">
        <w:rPr>
          <w:color w:val="auto"/>
          <w:sz w:val="28"/>
          <w:szCs w:val="28"/>
        </w:rPr>
        <w:t>starptautiskās finanšu institūcijas</w:t>
      </w:r>
      <w:r w:rsidRPr="00682D60">
        <w:rPr>
          <w:color w:val="auto"/>
          <w:sz w:val="28"/>
          <w:szCs w:val="28"/>
        </w:rPr>
        <w:t xml:space="preserve">) turpina apspriest un vienoties par fonda detaļām un struktūru, vērtējums var mainīties. </w:t>
      </w:r>
      <w:r w:rsidR="00937FCB" w:rsidRPr="00682D60">
        <w:rPr>
          <w:color w:val="auto"/>
          <w:sz w:val="28"/>
          <w:szCs w:val="28"/>
        </w:rPr>
        <w:t>Turpmāk visos brīžos, kad fondam tiks piešķirts publiskais finansējums</w:t>
      </w:r>
      <w:r w:rsidR="003057BB" w:rsidRPr="00682D60">
        <w:rPr>
          <w:color w:val="auto"/>
          <w:sz w:val="28"/>
          <w:szCs w:val="28"/>
        </w:rPr>
        <w:t xml:space="preserve"> vai notiks fonda ieguldītāju loka paplašināšana</w:t>
      </w:r>
      <w:r w:rsidR="00937FCB" w:rsidRPr="00682D60">
        <w:rPr>
          <w:color w:val="auto"/>
          <w:sz w:val="28"/>
          <w:szCs w:val="28"/>
        </w:rPr>
        <w:t>, publiskie resursi</w:t>
      </w:r>
      <w:r w:rsidR="00F91399" w:rsidRPr="00682D60">
        <w:rPr>
          <w:color w:val="auto"/>
          <w:sz w:val="28"/>
          <w:szCs w:val="28"/>
        </w:rPr>
        <w:t xml:space="preserve"> un fonda darbības principi</w:t>
      </w:r>
      <w:r w:rsidR="00937FCB" w:rsidRPr="00682D60">
        <w:rPr>
          <w:color w:val="auto"/>
          <w:sz w:val="28"/>
          <w:szCs w:val="28"/>
        </w:rPr>
        <w:t xml:space="preserve"> tiks vērtēti valsts atbalsta kontekstā. </w:t>
      </w:r>
      <w:r w:rsidRPr="00682D60">
        <w:rPr>
          <w:color w:val="auto"/>
          <w:sz w:val="28"/>
          <w:szCs w:val="28"/>
        </w:rPr>
        <w:t xml:space="preserve">Galīgais novērtējums tiks veikts pie tiesību aktu projektu saskaņojuma (piemēram, </w:t>
      </w:r>
      <w:r w:rsidR="00DE0802" w:rsidRPr="00682D60">
        <w:rPr>
          <w:color w:val="auto"/>
          <w:sz w:val="28"/>
          <w:szCs w:val="28"/>
        </w:rPr>
        <w:t>specifiskā atbalsta mērķa īstenošanas</w:t>
      </w:r>
      <w:r w:rsidRPr="00682D60">
        <w:rPr>
          <w:color w:val="auto"/>
          <w:sz w:val="28"/>
          <w:szCs w:val="28"/>
        </w:rPr>
        <w:t xml:space="preserve"> noteikumi Latvijā kā standarta prakse ESIF riska kapitāla instrumentiem).</w:t>
      </w:r>
    </w:p>
    <w:p w14:paraId="6FD2169E" w14:textId="77777777" w:rsidR="00AF76CA" w:rsidRPr="00682D60" w:rsidRDefault="00AF76CA" w:rsidP="005B3340">
      <w:pPr>
        <w:pStyle w:val="Default"/>
        <w:jc w:val="both"/>
        <w:rPr>
          <w:bCs/>
          <w:color w:val="auto"/>
          <w:sz w:val="28"/>
          <w:szCs w:val="28"/>
        </w:rPr>
      </w:pPr>
    </w:p>
    <w:p w14:paraId="1B14AF46" w14:textId="1BF70A62" w:rsidR="00A70A66" w:rsidRPr="00682D60" w:rsidRDefault="00126654" w:rsidP="00EE6E59">
      <w:pPr>
        <w:pStyle w:val="Default"/>
        <w:ind w:left="720"/>
        <w:jc w:val="both"/>
        <w:rPr>
          <w:i/>
          <w:color w:val="auto"/>
          <w:sz w:val="28"/>
          <w:szCs w:val="28"/>
        </w:rPr>
      </w:pPr>
      <w:r w:rsidRPr="00682D60">
        <w:rPr>
          <w:b/>
          <w:color w:val="auto"/>
          <w:sz w:val="28"/>
          <w:szCs w:val="28"/>
        </w:rPr>
        <w:t>3.</w:t>
      </w:r>
      <w:r w:rsidR="00702B4F" w:rsidRPr="00682D60">
        <w:rPr>
          <w:b/>
          <w:color w:val="auto"/>
          <w:sz w:val="28"/>
          <w:szCs w:val="28"/>
        </w:rPr>
        <w:t xml:space="preserve"> </w:t>
      </w:r>
      <w:r w:rsidRPr="00682D60">
        <w:rPr>
          <w:b/>
          <w:color w:val="auto"/>
          <w:sz w:val="28"/>
          <w:szCs w:val="28"/>
        </w:rPr>
        <w:t>Priekšlikumi</w:t>
      </w:r>
    </w:p>
    <w:p w14:paraId="5DE712FD" w14:textId="6F561928" w:rsidR="00A3084E" w:rsidRPr="00682D60" w:rsidRDefault="00040F43" w:rsidP="00EE6E59">
      <w:pPr>
        <w:pStyle w:val="Default"/>
        <w:ind w:firstLine="720"/>
        <w:jc w:val="both"/>
        <w:rPr>
          <w:color w:val="auto"/>
          <w:sz w:val="28"/>
          <w:szCs w:val="28"/>
        </w:rPr>
      </w:pPr>
      <w:r w:rsidRPr="00682D60">
        <w:rPr>
          <w:color w:val="auto"/>
          <w:sz w:val="28"/>
          <w:szCs w:val="28"/>
        </w:rPr>
        <w:t xml:space="preserve">Lai nodrošinātu ar Ministru kabineta </w:t>
      </w:r>
      <w:r w:rsidR="00975979" w:rsidRPr="00682D60">
        <w:rPr>
          <w:color w:val="auto"/>
          <w:sz w:val="28"/>
          <w:szCs w:val="28"/>
        </w:rPr>
        <w:t xml:space="preserve">2021.gada 22.marta </w:t>
      </w:r>
      <w:r w:rsidRPr="00682D60">
        <w:rPr>
          <w:color w:val="auto"/>
          <w:sz w:val="28"/>
          <w:szCs w:val="28"/>
        </w:rPr>
        <w:t>rīkojumu Nr.1</w:t>
      </w:r>
      <w:r w:rsidR="00975979" w:rsidRPr="00682D60">
        <w:rPr>
          <w:color w:val="auto"/>
          <w:sz w:val="28"/>
          <w:szCs w:val="28"/>
        </w:rPr>
        <w:t>80</w:t>
      </w:r>
      <w:r w:rsidRPr="00682D60">
        <w:rPr>
          <w:color w:val="auto"/>
          <w:sz w:val="28"/>
          <w:szCs w:val="28"/>
        </w:rPr>
        <w:t xml:space="preserve"> “Par Finanšu sektora attīstības plānu 20</w:t>
      </w:r>
      <w:r w:rsidR="00975979" w:rsidRPr="00682D60">
        <w:rPr>
          <w:color w:val="auto"/>
          <w:sz w:val="28"/>
          <w:szCs w:val="28"/>
        </w:rPr>
        <w:t>21</w:t>
      </w:r>
      <w:r w:rsidRPr="00682D60">
        <w:rPr>
          <w:color w:val="auto"/>
          <w:sz w:val="28"/>
          <w:szCs w:val="28"/>
        </w:rPr>
        <w:t>.–20</w:t>
      </w:r>
      <w:r w:rsidR="00975979" w:rsidRPr="00682D60">
        <w:rPr>
          <w:color w:val="auto"/>
          <w:sz w:val="28"/>
          <w:szCs w:val="28"/>
        </w:rPr>
        <w:t>23</w:t>
      </w:r>
      <w:r w:rsidRPr="00682D60">
        <w:rPr>
          <w:color w:val="auto"/>
          <w:sz w:val="28"/>
          <w:szCs w:val="28"/>
        </w:rPr>
        <w:t xml:space="preserve">.gadam” </w:t>
      </w:r>
      <w:r w:rsidR="001B193E">
        <w:rPr>
          <w:color w:val="auto"/>
          <w:sz w:val="28"/>
          <w:szCs w:val="28"/>
        </w:rPr>
        <w:t xml:space="preserve">apstiprinātajā plānā </w:t>
      </w:r>
      <w:r w:rsidR="00975979" w:rsidRPr="00682D60">
        <w:rPr>
          <w:color w:val="auto"/>
          <w:sz w:val="28"/>
          <w:szCs w:val="28"/>
        </w:rPr>
        <w:lastRenderedPageBreak/>
        <w:t xml:space="preserve">1.2.1.apakšpunktā dotā uzdevuma “Izveidot Baltijas valstu </w:t>
      </w:r>
      <w:proofErr w:type="spellStart"/>
      <w:r w:rsidR="00975979" w:rsidRPr="00682D60">
        <w:rPr>
          <w:color w:val="auto"/>
          <w:sz w:val="28"/>
          <w:szCs w:val="28"/>
        </w:rPr>
        <w:t>akselerācijas</w:t>
      </w:r>
      <w:proofErr w:type="spellEnd"/>
      <w:r w:rsidR="00975979" w:rsidRPr="00682D60">
        <w:rPr>
          <w:color w:val="auto"/>
          <w:sz w:val="28"/>
          <w:szCs w:val="28"/>
        </w:rPr>
        <w:t xml:space="preserve"> fondu (</w:t>
      </w:r>
      <w:r w:rsidR="001B193E">
        <w:rPr>
          <w:color w:val="auto"/>
          <w:sz w:val="28"/>
          <w:szCs w:val="28"/>
        </w:rPr>
        <w:t>MVU</w:t>
      </w:r>
      <w:r w:rsidR="00975979" w:rsidRPr="00682D60">
        <w:rPr>
          <w:color w:val="auto"/>
          <w:sz w:val="28"/>
          <w:szCs w:val="28"/>
        </w:rPr>
        <w:t xml:space="preserve"> IPO fonds)” izpildi</w:t>
      </w:r>
      <w:r w:rsidR="00A3084E" w:rsidRPr="00682D60">
        <w:rPr>
          <w:color w:val="auto"/>
          <w:sz w:val="28"/>
          <w:szCs w:val="28"/>
        </w:rPr>
        <w:t>, kā arī lai neapdraudētu sadarbības projektu ar Eiropas Komisijas Strukturālo reformu atbalsta dienestu</w:t>
      </w:r>
      <w:r w:rsidR="00975979" w:rsidRPr="00682D60">
        <w:rPr>
          <w:color w:val="auto"/>
          <w:sz w:val="28"/>
          <w:szCs w:val="28"/>
        </w:rPr>
        <w:t xml:space="preserve"> un </w:t>
      </w:r>
      <w:r w:rsidR="00A3084E" w:rsidRPr="00682D60">
        <w:rPr>
          <w:color w:val="auto"/>
          <w:sz w:val="28"/>
          <w:szCs w:val="28"/>
        </w:rPr>
        <w:t xml:space="preserve">ERAB </w:t>
      </w:r>
      <w:r w:rsidR="00975979" w:rsidRPr="00682D60">
        <w:rPr>
          <w:color w:val="auto"/>
          <w:sz w:val="28"/>
          <w:szCs w:val="28"/>
        </w:rPr>
        <w:t xml:space="preserve"> “Par Kapitāla tirgus attīstības akseleratora fonda izveidi”</w:t>
      </w:r>
      <w:r w:rsidR="00A3084E" w:rsidRPr="00682D60">
        <w:rPr>
          <w:color w:val="auto"/>
          <w:sz w:val="28"/>
          <w:szCs w:val="28"/>
        </w:rPr>
        <w:t>, ir nepieciešams konceptuāls lēmums par atbalsta pasākuma turpmāko īstenošanu.</w:t>
      </w:r>
    </w:p>
    <w:p w14:paraId="6E5ABDF0" w14:textId="61C1286C" w:rsidR="00EB2C8F" w:rsidRPr="00682D60" w:rsidRDefault="00126654" w:rsidP="00EB2C8F">
      <w:pPr>
        <w:pStyle w:val="Default"/>
        <w:ind w:firstLine="720"/>
        <w:jc w:val="both"/>
        <w:rPr>
          <w:color w:val="auto"/>
          <w:sz w:val="28"/>
          <w:szCs w:val="28"/>
        </w:rPr>
      </w:pPr>
      <w:r w:rsidRPr="00682D60">
        <w:rPr>
          <w:color w:val="auto"/>
          <w:sz w:val="28"/>
          <w:szCs w:val="28"/>
        </w:rPr>
        <w:t xml:space="preserve">Ņemot vērā iepriekš minēto, </w:t>
      </w:r>
      <w:r w:rsidR="00057C01" w:rsidRPr="00682D60">
        <w:rPr>
          <w:color w:val="auto"/>
          <w:sz w:val="28"/>
          <w:szCs w:val="28"/>
        </w:rPr>
        <w:t>ierosinām Ministru kabinetam a</w:t>
      </w:r>
      <w:r w:rsidR="00EB2C8F" w:rsidRPr="00682D60">
        <w:rPr>
          <w:color w:val="auto"/>
          <w:sz w:val="28"/>
          <w:szCs w:val="28"/>
        </w:rPr>
        <w:t xml:space="preserve">tbalstīt informatīvajā ziņojumā </w:t>
      </w:r>
      <w:r w:rsidR="00FA6463" w:rsidRPr="00FA6463">
        <w:rPr>
          <w:color w:val="auto"/>
          <w:sz w:val="28"/>
          <w:szCs w:val="28"/>
        </w:rPr>
        <w:t>“Par Baltijas mazo un vidējo uzņēmumu sākotnējā publiskā piedāvājuma fonda izveidi”</w:t>
      </w:r>
      <w:r w:rsidR="00EB2C8F" w:rsidRPr="00682D60">
        <w:rPr>
          <w:color w:val="auto"/>
          <w:sz w:val="28"/>
          <w:szCs w:val="28"/>
        </w:rPr>
        <w:t xml:space="preserve"> sniegtos priekšlikumus, Finanšu ministrijai, Ekonomikas ministrijai un </w:t>
      </w:r>
      <w:proofErr w:type="spellStart"/>
      <w:r w:rsidR="00EB2C8F" w:rsidRPr="00682D60">
        <w:rPr>
          <w:color w:val="auto"/>
          <w:sz w:val="28"/>
          <w:szCs w:val="28"/>
        </w:rPr>
        <w:t>Altum</w:t>
      </w:r>
      <w:proofErr w:type="spellEnd"/>
      <w:r w:rsidR="00EB2C8F" w:rsidRPr="00682D60">
        <w:rPr>
          <w:color w:val="auto"/>
          <w:sz w:val="28"/>
          <w:szCs w:val="28"/>
        </w:rPr>
        <w:t xml:space="preserve"> nodrošināt to tālāku izpildi:</w:t>
      </w:r>
    </w:p>
    <w:p w14:paraId="2A358DBC" w14:textId="7434950A" w:rsidR="00EB2C8F" w:rsidRPr="00682D60" w:rsidRDefault="00057C01" w:rsidP="00EB2C8F">
      <w:pPr>
        <w:pStyle w:val="Default"/>
        <w:ind w:firstLine="720"/>
        <w:jc w:val="both"/>
        <w:rPr>
          <w:color w:val="auto"/>
          <w:sz w:val="28"/>
          <w:szCs w:val="28"/>
        </w:rPr>
      </w:pPr>
      <w:r w:rsidRPr="00682D60">
        <w:rPr>
          <w:color w:val="auto"/>
          <w:sz w:val="28"/>
          <w:szCs w:val="28"/>
        </w:rPr>
        <w:t>1)</w:t>
      </w:r>
      <w:r w:rsidR="00EB2C8F" w:rsidRPr="00682D60">
        <w:rPr>
          <w:color w:val="auto"/>
          <w:sz w:val="28"/>
          <w:szCs w:val="28"/>
        </w:rPr>
        <w:t xml:space="preserve"> konceptuāli atbalstīt </w:t>
      </w:r>
      <w:r w:rsidR="00FA6463" w:rsidRPr="00FA6463">
        <w:rPr>
          <w:color w:val="auto"/>
          <w:sz w:val="28"/>
          <w:szCs w:val="28"/>
        </w:rPr>
        <w:t>Baltijas mazo un vidējo uzņēmumu sākotnējā publiskā piedāvājuma fonda</w:t>
      </w:r>
      <w:r w:rsidR="00EB2C8F" w:rsidRPr="00682D60">
        <w:rPr>
          <w:color w:val="auto"/>
          <w:sz w:val="28"/>
          <w:szCs w:val="28"/>
        </w:rPr>
        <w:t xml:space="preserve"> izveidi. </w:t>
      </w:r>
      <w:bookmarkStart w:id="4" w:name="_Hlk78442545"/>
      <w:r w:rsidR="00EB2C8F" w:rsidRPr="00682D60">
        <w:rPr>
          <w:color w:val="auto"/>
          <w:sz w:val="28"/>
          <w:szCs w:val="28"/>
        </w:rPr>
        <w:t>Noteikt, ka fonds īsteno specializēta ieguldītāja funkciju mazos un vidējos uzņēmumos</w:t>
      </w:r>
      <w:r w:rsidR="0018371E" w:rsidRPr="00682D60">
        <w:rPr>
          <w:color w:val="auto"/>
          <w:sz w:val="28"/>
          <w:szCs w:val="28"/>
        </w:rPr>
        <w:t>, sniedzot</w:t>
      </w:r>
      <w:r w:rsidR="00EB2C8F" w:rsidRPr="00682D60">
        <w:rPr>
          <w:color w:val="auto"/>
          <w:sz w:val="28"/>
          <w:szCs w:val="28"/>
        </w:rPr>
        <w:t xml:space="preserve"> atbalstu uzņēmumu iesaistei publiskā kapitāla tirgū</w:t>
      </w:r>
      <w:r w:rsidR="00C45C31">
        <w:rPr>
          <w:color w:val="auto"/>
          <w:sz w:val="28"/>
          <w:szCs w:val="28"/>
        </w:rPr>
        <w:t>;</w:t>
      </w:r>
      <w:bookmarkEnd w:id="4"/>
    </w:p>
    <w:p w14:paraId="638B2E5A" w14:textId="7B07CAB2" w:rsidR="00EB2C8F" w:rsidRPr="00682D60" w:rsidRDefault="00057C01" w:rsidP="00EB2C8F">
      <w:pPr>
        <w:pStyle w:val="Default"/>
        <w:ind w:firstLine="720"/>
        <w:jc w:val="both"/>
        <w:rPr>
          <w:color w:val="auto"/>
          <w:sz w:val="28"/>
          <w:szCs w:val="28"/>
        </w:rPr>
      </w:pPr>
      <w:r w:rsidRPr="00682D60">
        <w:rPr>
          <w:color w:val="auto"/>
          <w:sz w:val="28"/>
          <w:szCs w:val="28"/>
        </w:rPr>
        <w:t>2)</w:t>
      </w:r>
      <w:r w:rsidR="00EB2C8F" w:rsidRPr="00682D60">
        <w:rPr>
          <w:color w:val="auto"/>
          <w:sz w:val="28"/>
          <w:szCs w:val="28"/>
        </w:rPr>
        <w:t xml:space="preserve"> </w:t>
      </w:r>
      <w:proofErr w:type="spellStart"/>
      <w:r w:rsidR="0009039B" w:rsidRPr="00682D60">
        <w:rPr>
          <w:color w:val="auto"/>
          <w:sz w:val="28"/>
          <w:szCs w:val="28"/>
        </w:rPr>
        <w:t>Altum</w:t>
      </w:r>
      <w:proofErr w:type="spellEnd"/>
      <w:r w:rsidR="00AF76CA">
        <w:rPr>
          <w:color w:val="auto"/>
          <w:sz w:val="28"/>
          <w:szCs w:val="28"/>
        </w:rPr>
        <w:t xml:space="preserve"> </w:t>
      </w:r>
      <w:r w:rsidR="0009039B" w:rsidRPr="00682D60">
        <w:rPr>
          <w:color w:val="auto"/>
          <w:sz w:val="28"/>
          <w:szCs w:val="28"/>
        </w:rPr>
        <w:t>sadarbībā ar Ekonomikas ministriju un Finanšu ministriju, to kompetences ietvaros, pārstāvēt Latvijas Republiku sarunās ar deleģētajiem Igaunijas Republikas un Lietuvas Republikas pārstāvjiem par fonda darbības nosacījumiem, t.sk. pārvaldības struktūru un noteikumiem, un sagatavot priekšlikumu par fonda darbības nosacījumiem;</w:t>
      </w:r>
    </w:p>
    <w:p w14:paraId="6D7E105A" w14:textId="09EA3FE6" w:rsidR="00EB2C8F" w:rsidRPr="00682D60" w:rsidRDefault="00057C01" w:rsidP="00EB2C8F">
      <w:pPr>
        <w:pStyle w:val="Default"/>
        <w:ind w:firstLine="720"/>
        <w:jc w:val="both"/>
        <w:rPr>
          <w:color w:val="auto"/>
          <w:sz w:val="28"/>
          <w:szCs w:val="28"/>
        </w:rPr>
      </w:pPr>
      <w:r w:rsidRPr="00682D60">
        <w:rPr>
          <w:color w:val="auto"/>
          <w:sz w:val="28"/>
          <w:szCs w:val="28"/>
        </w:rPr>
        <w:t>3)</w:t>
      </w:r>
      <w:r w:rsidR="00EB2C8F" w:rsidRPr="00682D60">
        <w:rPr>
          <w:color w:val="auto"/>
          <w:sz w:val="28"/>
          <w:szCs w:val="28"/>
        </w:rPr>
        <w:t xml:space="preserve"> noteikt, ka atbalsta pasākuma atbildīgās iestādes funkcijas veic Ekonomikas ministrija;</w:t>
      </w:r>
    </w:p>
    <w:p w14:paraId="4FBC2201" w14:textId="77777777" w:rsidR="00556D78" w:rsidRDefault="00556D78" w:rsidP="00EB2C8F">
      <w:pPr>
        <w:pStyle w:val="Default"/>
        <w:ind w:firstLine="720"/>
        <w:jc w:val="both"/>
        <w:rPr>
          <w:color w:val="auto"/>
          <w:sz w:val="28"/>
          <w:szCs w:val="28"/>
        </w:rPr>
      </w:pPr>
      <w:r w:rsidRPr="00556D78">
        <w:rPr>
          <w:color w:val="auto"/>
          <w:sz w:val="28"/>
          <w:szCs w:val="28"/>
        </w:rPr>
        <w:t xml:space="preserve">4)  Ekonomikas ministrijai iekļaut nepieciešamā finansējuma piešķiršanu 20 000 000 </w:t>
      </w:r>
      <w:proofErr w:type="spellStart"/>
      <w:r w:rsidRPr="00FA02A2">
        <w:rPr>
          <w:i/>
          <w:iCs/>
          <w:color w:val="auto"/>
          <w:sz w:val="28"/>
          <w:szCs w:val="28"/>
        </w:rPr>
        <w:t>euro</w:t>
      </w:r>
      <w:proofErr w:type="spellEnd"/>
      <w:r w:rsidRPr="00556D78">
        <w:rPr>
          <w:color w:val="auto"/>
          <w:sz w:val="28"/>
          <w:szCs w:val="28"/>
        </w:rPr>
        <w:t xml:space="preserve"> apmērā </w:t>
      </w:r>
      <w:bookmarkStart w:id="5" w:name="_Hlk78292775"/>
      <w:r w:rsidRPr="00556D78">
        <w:rPr>
          <w:color w:val="auto"/>
          <w:sz w:val="28"/>
          <w:szCs w:val="28"/>
        </w:rPr>
        <w:t>Eiropas Savienības struktūrfondu un Kohēzijas fonda darbības programmā 2021. –2027. gada plānošanas periodam</w:t>
      </w:r>
      <w:bookmarkEnd w:id="5"/>
      <w:r w:rsidRPr="00556D78">
        <w:rPr>
          <w:color w:val="auto"/>
          <w:sz w:val="28"/>
          <w:szCs w:val="28"/>
        </w:rPr>
        <w:t>, 1.2.3. SAM “Veicināt izaugsmi, konkurētspēju un jaunu darba vietu radīšanu MVU, tai skaitā caur produktivitāti veicinošām investīcijām”, un atbilstoši Nacionālā attīstības plāna 21. pasākuma (pilnā apmērā) un 81. pasākuma finansējumam.</w:t>
      </w:r>
      <w:r>
        <w:rPr>
          <w:color w:val="auto"/>
          <w:sz w:val="28"/>
          <w:szCs w:val="28"/>
        </w:rPr>
        <w:t xml:space="preserve"> </w:t>
      </w:r>
    </w:p>
    <w:p w14:paraId="7ED48990" w14:textId="6AC55153" w:rsidR="00057C01" w:rsidRPr="00682D60" w:rsidRDefault="00057C01" w:rsidP="00EE6E59">
      <w:pPr>
        <w:pStyle w:val="Default"/>
        <w:ind w:firstLine="720"/>
        <w:jc w:val="both"/>
        <w:rPr>
          <w:color w:val="auto"/>
          <w:sz w:val="28"/>
          <w:szCs w:val="28"/>
        </w:rPr>
      </w:pPr>
      <w:r w:rsidRPr="00682D60">
        <w:rPr>
          <w:color w:val="auto"/>
          <w:sz w:val="28"/>
          <w:szCs w:val="28"/>
        </w:rPr>
        <w:t xml:space="preserve">5) </w:t>
      </w:r>
      <w:r w:rsidR="00EB2C8F" w:rsidRPr="00682D60">
        <w:rPr>
          <w:color w:val="auto"/>
          <w:sz w:val="28"/>
          <w:szCs w:val="28"/>
        </w:rPr>
        <w:t xml:space="preserve"> Ekonomikas ministrijai sadarbībā ar Finanšu ministriju un </w:t>
      </w:r>
      <w:proofErr w:type="spellStart"/>
      <w:r w:rsidR="00EB2C8F" w:rsidRPr="00682D60">
        <w:rPr>
          <w:color w:val="auto"/>
          <w:sz w:val="28"/>
          <w:szCs w:val="28"/>
        </w:rPr>
        <w:t>Altum</w:t>
      </w:r>
      <w:proofErr w:type="spellEnd"/>
      <w:r w:rsidR="00EB2C8F" w:rsidRPr="00682D60">
        <w:rPr>
          <w:color w:val="auto"/>
          <w:sz w:val="28"/>
          <w:szCs w:val="28"/>
        </w:rPr>
        <w:t xml:space="preserve"> izstrādāt un iesniegt Ministru kabinetā specifiskā atbalsta mērķa īstenošanas noteikumus par fonda izveidi līdz </w:t>
      </w:r>
      <w:r w:rsidR="0009039B" w:rsidRPr="00682D60">
        <w:rPr>
          <w:color w:val="auto"/>
          <w:sz w:val="28"/>
          <w:szCs w:val="28"/>
        </w:rPr>
        <w:t>2022. gada 31. martam.</w:t>
      </w:r>
    </w:p>
    <w:p w14:paraId="4C6AFD2F" w14:textId="2ECDC800" w:rsidR="00057C01" w:rsidRPr="00682D60" w:rsidRDefault="002C748F" w:rsidP="00EE6E59">
      <w:pPr>
        <w:pStyle w:val="Default"/>
        <w:ind w:firstLine="720"/>
        <w:jc w:val="both"/>
        <w:rPr>
          <w:rFonts w:eastAsia="Times New Roman"/>
          <w:color w:val="auto"/>
          <w:sz w:val="28"/>
          <w:szCs w:val="28"/>
          <w:lang w:eastAsia="lv-LV"/>
        </w:rPr>
      </w:pPr>
      <w:r w:rsidRPr="00682D60">
        <w:rPr>
          <w:rFonts w:eastAsia="Times New Roman"/>
          <w:color w:val="auto"/>
          <w:sz w:val="28"/>
          <w:szCs w:val="28"/>
          <w:lang w:eastAsia="lv-LV"/>
        </w:rPr>
        <w:t xml:space="preserve">KPMG konsorcijs paredz organizēt </w:t>
      </w:r>
      <w:r w:rsidR="00EB2C8F" w:rsidRPr="00682D60">
        <w:rPr>
          <w:rFonts w:eastAsia="Times New Roman"/>
          <w:color w:val="auto"/>
          <w:sz w:val="28"/>
          <w:szCs w:val="28"/>
          <w:lang w:eastAsia="lv-LV"/>
        </w:rPr>
        <w:t>sarunu</w:t>
      </w:r>
      <w:r w:rsidRPr="00682D60">
        <w:rPr>
          <w:rFonts w:eastAsia="Times New Roman"/>
          <w:color w:val="auto"/>
          <w:sz w:val="28"/>
          <w:szCs w:val="28"/>
          <w:lang w:eastAsia="lv-LV"/>
        </w:rPr>
        <w:t xml:space="preserve"> ciklu, lai </w:t>
      </w:r>
      <w:r w:rsidR="00933BE5" w:rsidRPr="00682D60">
        <w:rPr>
          <w:rFonts w:eastAsia="Times New Roman"/>
          <w:color w:val="auto"/>
          <w:sz w:val="28"/>
          <w:szCs w:val="28"/>
          <w:lang w:eastAsia="lv-LV"/>
        </w:rPr>
        <w:t xml:space="preserve">Latvijas un Lietuvas un </w:t>
      </w:r>
      <w:r w:rsidR="00EB2C8F" w:rsidRPr="00682D60">
        <w:rPr>
          <w:rFonts w:eastAsia="Times New Roman"/>
          <w:color w:val="auto"/>
          <w:sz w:val="28"/>
          <w:szCs w:val="28"/>
          <w:lang w:eastAsia="lv-LV"/>
        </w:rPr>
        <w:t>deleģētās</w:t>
      </w:r>
      <w:r w:rsidRPr="00682D60">
        <w:rPr>
          <w:rFonts w:eastAsia="Times New Roman"/>
          <w:color w:val="auto"/>
          <w:sz w:val="28"/>
          <w:szCs w:val="28"/>
          <w:lang w:eastAsia="lv-LV"/>
        </w:rPr>
        <w:t xml:space="preserve"> nacionālās attīstības finanšu institūcijas, </w:t>
      </w:r>
      <w:r w:rsidR="00EB2C8F" w:rsidRPr="00682D60">
        <w:rPr>
          <w:rFonts w:eastAsia="Times New Roman"/>
          <w:color w:val="auto"/>
          <w:sz w:val="28"/>
          <w:szCs w:val="28"/>
          <w:lang w:eastAsia="lv-LV"/>
        </w:rPr>
        <w:t>sadarbībā ar</w:t>
      </w:r>
      <w:r w:rsidRPr="00682D60">
        <w:rPr>
          <w:rFonts w:eastAsia="Times New Roman"/>
          <w:color w:val="auto"/>
          <w:sz w:val="28"/>
          <w:szCs w:val="28"/>
          <w:lang w:eastAsia="lv-LV"/>
        </w:rPr>
        <w:t xml:space="preserve"> </w:t>
      </w:r>
      <w:r w:rsidR="00A31E7B" w:rsidRPr="00682D60">
        <w:rPr>
          <w:rFonts w:eastAsia="Times New Roman"/>
          <w:color w:val="auto"/>
          <w:sz w:val="28"/>
          <w:szCs w:val="28"/>
          <w:lang w:eastAsia="lv-LV"/>
        </w:rPr>
        <w:t>Latvijas un Lietuvas finanšu ministrijām</w:t>
      </w:r>
      <w:r w:rsidR="0018371E" w:rsidRPr="00682D60">
        <w:rPr>
          <w:rFonts w:eastAsia="Times New Roman"/>
          <w:color w:val="auto"/>
          <w:sz w:val="28"/>
          <w:szCs w:val="28"/>
          <w:lang w:eastAsia="lv-LV"/>
        </w:rPr>
        <w:t xml:space="preserve"> un ekonomikas ministrijām</w:t>
      </w:r>
      <w:r w:rsidR="00A31E7B" w:rsidRPr="00682D60">
        <w:rPr>
          <w:rFonts w:eastAsia="Times New Roman"/>
          <w:color w:val="auto"/>
          <w:sz w:val="28"/>
          <w:szCs w:val="28"/>
          <w:lang w:eastAsia="lv-LV"/>
        </w:rPr>
        <w:t xml:space="preserve">, un Igaunijas </w:t>
      </w:r>
      <w:r w:rsidR="00933BE5" w:rsidRPr="00682D60">
        <w:rPr>
          <w:rFonts w:eastAsia="Times New Roman"/>
          <w:color w:val="auto"/>
          <w:sz w:val="28"/>
          <w:szCs w:val="28"/>
          <w:lang w:eastAsia="lv-LV"/>
        </w:rPr>
        <w:t>pusei</w:t>
      </w:r>
      <w:r w:rsidR="00A31E7B" w:rsidRPr="00682D60">
        <w:rPr>
          <w:rFonts w:eastAsia="Times New Roman"/>
          <w:color w:val="auto"/>
          <w:sz w:val="28"/>
          <w:szCs w:val="28"/>
          <w:lang w:eastAsia="lv-LV"/>
        </w:rPr>
        <w:t xml:space="preserve"> piedaloties kā novērotājam,</w:t>
      </w:r>
      <w:r w:rsidRPr="00682D60">
        <w:rPr>
          <w:rFonts w:eastAsia="Times New Roman"/>
          <w:color w:val="auto"/>
          <w:sz w:val="28"/>
          <w:szCs w:val="28"/>
          <w:lang w:eastAsia="lv-LV"/>
        </w:rPr>
        <w:t xml:space="preserve"> vienotos </w:t>
      </w:r>
      <w:r w:rsidR="00EB2C8F" w:rsidRPr="00682D60">
        <w:rPr>
          <w:rFonts w:eastAsia="Times New Roman"/>
          <w:color w:val="auto"/>
          <w:sz w:val="28"/>
          <w:szCs w:val="28"/>
          <w:lang w:eastAsia="lv-LV"/>
        </w:rPr>
        <w:t>un izstrādātu</w:t>
      </w:r>
      <w:r w:rsidRPr="00682D60">
        <w:rPr>
          <w:rFonts w:eastAsia="Times New Roman"/>
          <w:color w:val="auto"/>
          <w:sz w:val="28"/>
          <w:szCs w:val="28"/>
          <w:lang w:eastAsia="lv-LV"/>
        </w:rPr>
        <w:t xml:space="preserve"> fonda darbības noteikumus.</w:t>
      </w:r>
    </w:p>
    <w:p w14:paraId="60D3F8EE" w14:textId="299DA8A2" w:rsidR="006D1C41" w:rsidRPr="00682D60" w:rsidRDefault="00EB2C8F" w:rsidP="002C748F">
      <w:pPr>
        <w:pStyle w:val="Default"/>
        <w:ind w:firstLine="720"/>
        <w:jc w:val="both"/>
        <w:rPr>
          <w:rFonts w:eastAsia="Times New Roman"/>
          <w:color w:val="auto"/>
          <w:sz w:val="28"/>
          <w:szCs w:val="28"/>
          <w:lang w:eastAsia="lv-LV"/>
        </w:rPr>
      </w:pPr>
      <w:r w:rsidRPr="00682D60">
        <w:rPr>
          <w:rFonts w:eastAsia="Times New Roman"/>
          <w:color w:val="auto"/>
          <w:sz w:val="28"/>
          <w:szCs w:val="28"/>
          <w:lang w:eastAsia="lv-LV"/>
        </w:rPr>
        <w:t>Tālākā perspektīvā,</w:t>
      </w:r>
      <w:r w:rsidR="00DC7D77" w:rsidRPr="00682D60">
        <w:rPr>
          <w:rFonts w:eastAsia="Times New Roman"/>
          <w:color w:val="auto"/>
          <w:sz w:val="28"/>
          <w:szCs w:val="28"/>
          <w:lang w:eastAsia="lv-LV"/>
        </w:rPr>
        <w:t xml:space="preserve"> un</w:t>
      </w:r>
      <w:r w:rsidR="002C748F" w:rsidRPr="00682D60">
        <w:rPr>
          <w:rFonts w:eastAsia="Times New Roman"/>
          <w:color w:val="auto"/>
          <w:sz w:val="28"/>
          <w:szCs w:val="28"/>
          <w:lang w:eastAsia="lv-LV"/>
        </w:rPr>
        <w:t xml:space="preserve"> ja tiek panākta </w:t>
      </w:r>
      <w:r w:rsidR="00DC7D77" w:rsidRPr="00682D60">
        <w:rPr>
          <w:rFonts w:eastAsia="Times New Roman"/>
          <w:color w:val="auto"/>
          <w:sz w:val="28"/>
          <w:szCs w:val="28"/>
          <w:lang w:eastAsia="lv-LV"/>
        </w:rPr>
        <w:t xml:space="preserve">attiecīga </w:t>
      </w:r>
      <w:r w:rsidR="002C748F" w:rsidRPr="00682D60">
        <w:rPr>
          <w:rFonts w:eastAsia="Times New Roman"/>
          <w:color w:val="auto"/>
          <w:sz w:val="28"/>
          <w:szCs w:val="28"/>
          <w:lang w:eastAsia="lv-LV"/>
        </w:rPr>
        <w:t xml:space="preserve">vienošanās, fonds </w:t>
      </w:r>
      <w:r w:rsidRPr="00682D60">
        <w:rPr>
          <w:rFonts w:eastAsia="Times New Roman"/>
          <w:color w:val="auto"/>
          <w:sz w:val="28"/>
          <w:szCs w:val="28"/>
          <w:lang w:eastAsia="lv-LV"/>
        </w:rPr>
        <w:t>pēc tā sekmīgas darbības uzsākšanas un noteikta brieduma sasniegšanas varētu tikt</w:t>
      </w:r>
      <w:r w:rsidR="002C748F" w:rsidRPr="00682D60">
        <w:rPr>
          <w:rFonts w:eastAsia="Times New Roman"/>
          <w:color w:val="auto"/>
          <w:sz w:val="28"/>
          <w:szCs w:val="28"/>
          <w:lang w:eastAsia="lv-LV"/>
        </w:rPr>
        <w:t xml:space="preserve"> kotēts</w:t>
      </w:r>
      <w:r w:rsidR="00DC7D77" w:rsidRPr="00682D60">
        <w:rPr>
          <w:rFonts w:eastAsia="Times New Roman"/>
          <w:color w:val="auto"/>
          <w:sz w:val="28"/>
          <w:szCs w:val="28"/>
          <w:lang w:eastAsia="lv-LV"/>
        </w:rPr>
        <w:t xml:space="preserve"> biržas sarakstā</w:t>
      </w:r>
      <w:r w:rsidR="002C748F" w:rsidRPr="00682D60">
        <w:rPr>
          <w:rFonts w:eastAsia="Times New Roman"/>
          <w:color w:val="auto"/>
          <w:sz w:val="28"/>
          <w:szCs w:val="28"/>
          <w:lang w:eastAsia="lv-LV"/>
        </w:rPr>
        <w:t xml:space="preserve">, ļaujot Baltijas valstu valdībām iziet no instrumenta un </w:t>
      </w:r>
      <w:r w:rsidRPr="00682D60">
        <w:rPr>
          <w:rFonts w:eastAsia="Times New Roman"/>
          <w:color w:val="auto"/>
          <w:sz w:val="28"/>
          <w:szCs w:val="28"/>
          <w:lang w:eastAsia="lv-LV"/>
        </w:rPr>
        <w:t>atgūt veiktos</w:t>
      </w:r>
      <w:r w:rsidR="002C748F" w:rsidRPr="00682D60">
        <w:rPr>
          <w:rFonts w:eastAsia="Times New Roman"/>
          <w:color w:val="auto"/>
          <w:sz w:val="28"/>
          <w:szCs w:val="28"/>
          <w:lang w:eastAsia="lv-LV"/>
        </w:rPr>
        <w:t xml:space="preserve"> ieguldījumus.</w:t>
      </w:r>
    </w:p>
    <w:p w14:paraId="120602AD" w14:textId="77777777" w:rsidR="00895B1E" w:rsidRPr="00682D60" w:rsidRDefault="00895B1E" w:rsidP="00EE4470">
      <w:pPr>
        <w:pStyle w:val="Default"/>
        <w:jc w:val="both"/>
        <w:rPr>
          <w:color w:val="auto"/>
          <w:sz w:val="28"/>
          <w:szCs w:val="28"/>
        </w:rPr>
      </w:pPr>
    </w:p>
    <w:p w14:paraId="4B5D2DEE" w14:textId="1B7AC02B" w:rsidR="00B028D5" w:rsidRPr="00682D60" w:rsidRDefault="00895B1E" w:rsidP="00895B1E">
      <w:pPr>
        <w:tabs>
          <w:tab w:val="left" w:pos="6237"/>
        </w:tabs>
        <w:rPr>
          <w:rFonts w:ascii="Times New Roman" w:hAnsi="Times New Roman" w:cs="Times New Roman"/>
          <w:sz w:val="28"/>
          <w:szCs w:val="28"/>
        </w:rPr>
      </w:pPr>
      <w:r w:rsidRPr="00682D60">
        <w:rPr>
          <w:rFonts w:ascii="Times New Roman" w:hAnsi="Times New Roman" w:cs="Times New Roman"/>
          <w:sz w:val="28"/>
          <w:szCs w:val="28"/>
        </w:rPr>
        <w:t>Finanšu ministr</w:t>
      </w:r>
      <w:r w:rsidR="002C748F" w:rsidRPr="00682D60">
        <w:rPr>
          <w:rFonts w:ascii="Times New Roman" w:hAnsi="Times New Roman" w:cs="Times New Roman"/>
          <w:sz w:val="28"/>
          <w:szCs w:val="28"/>
        </w:rPr>
        <w:t>s</w:t>
      </w:r>
      <w:r w:rsidRPr="00682D60">
        <w:rPr>
          <w:rFonts w:ascii="Times New Roman" w:hAnsi="Times New Roman" w:cs="Times New Roman"/>
          <w:sz w:val="28"/>
          <w:szCs w:val="28"/>
        </w:rPr>
        <w:t xml:space="preserve">                                                            </w:t>
      </w:r>
      <w:r w:rsidRPr="00682D60">
        <w:rPr>
          <w:rFonts w:ascii="Times New Roman" w:hAnsi="Times New Roman" w:cs="Times New Roman"/>
          <w:sz w:val="28"/>
          <w:szCs w:val="28"/>
        </w:rPr>
        <w:tab/>
      </w:r>
      <w:r w:rsidRPr="00682D60">
        <w:rPr>
          <w:rFonts w:ascii="Times New Roman" w:hAnsi="Times New Roman" w:cs="Times New Roman"/>
          <w:sz w:val="28"/>
          <w:szCs w:val="28"/>
        </w:rPr>
        <w:tab/>
      </w:r>
      <w:r w:rsidRPr="00682D60">
        <w:rPr>
          <w:rFonts w:ascii="Times New Roman" w:hAnsi="Times New Roman" w:cs="Times New Roman"/>
          <w:sz w:val="28"/>
          <w:szCs w:val="28"/>
        </w:rPr>
        <w:tab/>
      </w:r>
      <w:proofErr w:type="spellStart"/>
      <w:r w:rsidR="002C748F" w:rsidRPr="00682D60">
        <w:rPr>
          <w:rFonts w:ascii="Times New Roman" w:hAnsi="Times New Roman" w:cs="Times New Roman"/>
          <w:sz w:val="28"/>
          <w:szCs w:val="28"/>
        </w:rPr>
        <w:t>J.Reirs</w:t>
      </w:r>
      <w:proofErr w:type="spellEnd"/>
    </w:p>
    <w:p w14:paraId="5BB882FC" w14:textId="5085E3AC" w:rsidR="00AF76CA" w:rsidRDefault="00AF76CA" w:rsidP="00B028D5">
      <w:pPr>
        <w:tabs>
          <w:tab w:val="left" w:pos="6237"/>
        </w:tabs>
        <w:spacing w:after="0"/>
        <w:rPr>
          <w:rFonts w:ascii="Times New Roman" w:hAnsi="Times New Roman" w:cs="Times New Roman"/>
          <w:sz w:val="20"/>
          <w:szCs w:val="20"/>
        </w:rPr>
      </w:pPr>
    </w:p>
    <w:p w14:paraId="3B7C2D6E" w14:textId="77777777" w:rsidR="00AF76CA" w:rsidRPr="00682D60" w:rsidRDefault="00AF76CA" w:rsidP="00B028D5">
      <w:pPr>
        <w:tabs>
          <w:tab w:val="left" w:pos="6237"/>
        </w:tabs>
        <w:spacing w:after="0"/>
        <w:rPr>
          <w:rFonts w:ascii="Times New Roman" w:hAnsi="Times New Roman" w:cs="Times New Roman"/>
          <w:sz w:val="20"/>
          <w:szCs w:val="20"/>
        </w:rPr>
      </w:pPr>
    </w:p>
    <w:p w14:paraId="57D7379B" w14:textId="7B68A3DF" w:rsidR="00B028D5" w:rsidRPr="00682D60" w:rsidRDefault="00B028D5" w:rsidP="00B028D5">
      <w:pPr>
        <w:tabs>
          <w:tab w:val="left" w:pos="6237"/>
        </w:tabs>
        <w:spacing w:after="0"/>
        <w:rPr>
          <w:rFonts w:ascii="Times New Roman" w:hAnsi="Times New Roman" w:cs="Times New Roman"/>
          <w:sz w:val="20"/>
          <w:szCs w:val="20"/>
        </w:rPr>
      </w:pPr>
      <w:r w:rsidRPr="00682D60">
        <w:rPr>
          <w:rFonts w:ascii="Times New Roman" w:hAnsi="Times New Roman" w:cs="Times New Roman"/>
          <w:sz w:val="20"/>
          <w:szCs w:val="20"/>
        </w:rPr>
        <w:t>Tiesnieks, 67095667</w:t>
      </w:r>
    </w:p>
    <w:p w14:paraId="2B77926E" w14:textId="5A8739AF" w:rsidR="00895B1E" w:rsidRPr="00682D60" w:rsidRDefault="00B028D5" w:rsidP="006613C8">
      <w:pPr>
        <w:tabs>
          <w:tab w:val="left" w:pos="6237"/>
        </w:tabs>
        <w:spacing w:after="0"/>
        <w:rPr>
          <w:sz w:val="28"/>
          <w:szCs w:val="28"/>
        </w:rPr>
      </w:pPr>
      <w:r w:rsidRPr="00682D60">
        <w:rPr>
          <w:rFonts w:ascii="Times New Roman" w:hAnsi="Times New Roman" w:cs="Times New Roman"/>
          <w:sz w:val="20"/>
          <w:szCs w:val="20"/>
        </w:rPr>
        <w:t>Imants.Tiesnieks@fm.gov.lv</w:t>
      </w:r>
    </w:p>
    <w:sectPr w:rsidR="00895B1E" w:rsidRPr="00682D60" w:rsidSect="004D14DF">
      <w:headerReference w:type="default" r:id="rId9"/>
      <w:footerReference w:type="default" r:id="rId10"/>
      <w:footerReference w:type="first" r:id="rId11"/>
      <w:pgSz w:w="11906" w:h="16838"/>
      <w:pgMar w:top="1134" w:right="1134"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5E85D" w14:textId="77777777" w:rsidR="00A019BC" w:rsidRDefault="00A019BC" w:rsidP="006D2104">
      <w:pPr>
        <w:spacing w:after="0" w:line="240" w:lineRule="auto"/>
      </w:pPr>
      <w:r>
        <w:separator/>
      </w:r>
    </w:p>
  </w:endnote>
  <w:endnote w:type="continuationSeparator" w:id="0">
    <w:p w14:paraId="7A898E01" w14:textId="77777777" w:rsidR="00A019BC" w:rsidRDefault="00A019BC" w:rsidP="006D2104">
      <w:pPr>
        <w:spacing w:after="0" w:line="240" w:lineRule="auto"/>
      </w:pPr>
      <w:r>
        <w:continuationSeparator/>
      </w:r>
    </w:p>
  </w:endnote>
  <w:endnote w:type="continuationNotice" w:id="1">
    <w:p w14:paraId="161F328D" w14:textId="77777777" w:rsidR="00A019BC" w:rsidRDefault="00A019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A7A60" w14:textId="509DE4D5" w:rsidR="00B83D37" w:rsidRPr="00425E94" w:rsidRDefault="00B02343" w:rsidP="00425E94">
    <w:pPr>
      <w:pStyle w:val="Footer"/>
    </w:pPr>
    <w:r w:rsidRPr="00B02343">
      <w:rPr>
        <w:rFonts w:ascii="Times New Roman" w:hAnsi="Times New Roman" w:cs="Times New Roman"/>
        <w:sz w:val="24"/>
        <w:szCs w:val="24"/>
      </w:rPr>
      <w:t>FM</w:t>
    </w:r>
    <w:r w:rsidR="00844E26">
      <w:rPr>
        <w:rFonts w:ascii="Times New Roman" w:hAnsi="Times New Roman" w:cs="Times New Roman"/>
        <w:sz w:val="24"/>
        <w:szCs w:val="24"/>
      </w:rPr>
      <w:t>zin</w:t>
    </w:r>
    <w:r w:rsidRPr="00B02343">
      <w:rPr>
        <w:rFonts w:ascii="Times New Roman" w:hAnsi="Times New Roman" w:cs="Times New Roman"/>
        <w:sz w:val="24"/>
        <w:szCs w:val="24"/>
      </w:rPr>
      <w:t>_</w:t>
    </w:r>
    <w:r w:rsidR="00783279">
      <w:rPr>
        <w:rFonts w:ascii="Times New Roman" w:hAnsi="Times New Roman" w:cs="Times New Roman"/>
        <w:sz w:val="24"/>
        <w:szCs w:val="24"/>
      </w:rPr>
      <w:t>2</w:t>
    </w:r>
    <w:r w:rsidR="0042318E">
      <w:rPr>
        <w:rFonts w:ascii="Times New Roman" w:hAnsi="Times New Roman" w:cs="Times New Roman"/>
        <w:sz w:val="24"/>
        <w:szCs w:val="24"/>
      </w:rPr>
      <w:t>9</w:t>
    </w:r>
    <w:r w:rsidR="00375D14">
      <w:rPr>
        <w:rFonts w:ascii="Times New Roman" w:hAnsi="Times New Roman" w:cs="Times New Roman"/>
        <w:sz w:val="24"/>
        <w:szCs w:val="24"/>
      </w:rPr>
      <w:t>0721</w:t>
    </w:r>
    <w:r w:rsidR="00AB4E0F">
      <w:rPr>
        <w:rFonts w:ascii="Times New Roman" w:hAnsi="Times New Roman" w:cs="Times New Roman"/>
        <w:sz w:val="24"/>
        <w:szCs w:val="24"/>
      </w:rPr>
      <w:t>_</w:t>
    </w:r>
    <w:r w:rsidR="00467662">
      <w:rPr>
        <w:rFonts w:ascii="Times New Roman" w:hAnsi="Times New Roman" w:cs="Times New Roman"/>
        <w:sz w:val="24"/>
        <w:szCs w:val="24"/>
      </w:rPr>
      <w:t>fonds</w:t>
    </w:r>
    <w:r w:rsidRPr="00B02343">
      <w:rPr>
        <w:rFonts w:ascii="Times New Roman" w:hAnsi="Times New Roman" w:cs="Times New Roman"/>
        <w:sz w:val="24"/>
        <w:szCs w:val="24"/>
      </w:rP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FE3BE" w14:textId="1A193D0D" w:rsidR="00425E94" w:rsidRDefault="00425E94" w:rsidP="00425E94">
    <w:pPr>
      <w:pStyle w:val="Footer"/>
      <w:rPr>
        <w:rFonts w:ascii="Times New Roman" w:hAnsi="Times New Roman" w:cs="Times New Roman"/>
        <w:sz w:val="24"/>
        <w:szCs w:val="24"/>
      </w:rPr>
    </w:pPr>
    <w:r w:rsidRPr="00425E94">
      <w:rPr>
        <w:rFonts w:ascii="Times New Roman" w:hAnsi="Times New Roman" w:cs="Times New Roman"/>
        <w:sz w:val="24"/>
        <w:szCs w:val="24"/>
      </w:rPr>
      <w:t>FM</w:t>
    </w:r>
    <w:r w:rsidR="00844E26">
      <w:rPr>
        <w:rFonts w:ascii="Times New Roman" w:hAnsi="Times New Roman" w:cs="Times New Roman"/>
        <w:sz w:val="24"/>
        <w:szCs w:val="24"/>
      </w:rPr>
      <w:t>zin</w:t>
    </w:r>
    <w:r w:rsidR="00A037B3">
      <w:rPr>
        <w:rFonts w:ascii="Times New Roman" w:hAnsi="Times New Roman" w:cs="Times New Roman"/>
        <w:sz w:val="24"/>
        <w:szCs w:val="24"/>
      </w:rPr>
      <w:t>_</w:t>
    </w:r>
    <w:r w:rsidR="00783279">
      <w:rPr>
        <w:rFonts w:ascii="Times New Roman" w:hAnsi="Times New Roman" w:cs="Times New Roman"/>
        <w:sz w:val="24"/>
        <w:szCs w:val="24"/>
      </w:rPr>
      <w:t>2</w:t>
    </w:r>
    <w:r w:rsidR="0042318E" w:rsidRPr="0042318E">
      <w:rPr>
        <w:rFonts w:ascii="Times New Roman" w:hAnsi="Times New Roman" w:cs="Times New Roman"/>
        <w:sz w:val="24"/>
        <w:szCs w:val="24"/>
      </w:rPr>
      <w:t>9</w:t>
    </w:r>
    <w:r w:rsidR="00783279">
      <w:rPr>
        <w:rFonts w:ascii="Times New Roman" w:hAnsi="Times New Roman" w:cs="Times New Roman"/>
        <w:sz w:val="24"/>
        <w:szCs w:val="24"/>
      </w:rPr>
      <w:t>0721</w:t>
    </w:r>
    <w:r w:rsidR="00781AEF">
      <w:rPr>
        <w:rFonts w:ascii="Times New Roman" w:hAnsi="Times New Roman" w:cs="Times New Roman"/>
        <w:sz w:val="24"/>
        <w:szCs w:val="24"/>
      </w:rPr>
      <w:t>_fonds</w:t>
    </w:r>
    <w:r w:rsidR="00B02343">
      <w:rPr>
        <w:rFonts w:ascii="Times New Roman" w:hAnsi="Times New Roman" w:cs="Times New Roman"/>
        <w:sz w:val="24"/>
        <w:szCs w:val="24"/>
      </w:rPr>
      <w:t>.docx</w:t>
    </w:r>
  </w:p>
  <w:p w14:paraId="6C5F8CD7" w14:textId="77777777" w:rsidR="00A037B3" w:rsidRPr="00425E94" w:rsidRDefault="00A037B3" w:rsidP="00425E94">
    <w:pPr>
      <w:pStyle w:val="Footer"/>
      <w:rPr>
        <w:rFonts w:ascii="Times New Roman" w:hAnsi="Times New Roman" w:cs="Times New Roman"/>
        <w:sz w:val="24"/>
        <w:szCs w:val="24"/>
      </w:rPr>
    </w:pPr>
  </w:p>
  <w:p w14:paraId="0F10D6C1" w14:textId="77777777" w:rsidR="00B83D37" w:rsidRPr="00781124" w:rsidRDefault="00B83D37" w:rsidP="00781124">
    <w:pPr>
      <w:pStyle w:val="Footer"/>
      <w:jc w:val="both"/>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AA323" w14:textId="77777777" w:rsidR="00A019BC" w:rsidRDefault="00A019BC" w:rsidP="006D2104">
      <w:pPr>
        <w:spacing w:after="0" w:line="240" w:lineRule="auto"/>
      </w:pPr>
      <w:r>
        <w:separator/>
      </w:r>
    </w:p>
  </w:footnote>
  <w:footnote w:type="continuationSeparator" w:id="0">
    <w:p w14:paraId="6A814596" w14:textId="77777777" w:rsidR="00A019BC" w:rsidRDefault="00A019BC" w:rsidP="006D2104">
      <w:pPr>
        <w:spacing w:after="0" w:line="240" w:lineRule="auto"/>
      </w:pPr>
      <w:r>
        <w:continuationSeparator/>
      </w:r>
    </w:p>
  </w:footnote>
  <w:footnote w:type="continuationNotice" w:id="1">
    <w:p w14:paraId="44D66600" w14:textId="77777777" w:rsidR="00A019BC" w:rsidRDefault="00A019BC">
      <w:pPr>
        <w:spacing w:after="0" w:line="240" w:lineRule="auto"/>
      </w:pPr>
    </w:p>
  </w:footnote>
  <w:footnote w:id="2">
    <w:p w14:paraId="3ABB8351" w14:textId="4B145700" w:rsidR="00D06F15" w:rsidRPr="00D06F15" w:rsidRDefault="00D06F15" w:rsidP="00D06F15">
      <w:pPr>
        <w:pStyle w:val="FootnoteText"/>
        <w:rPr>
          <w:lang w:val="en-GB"/>
        </w:rPr>
      </w:pPr>
      <w:r w:rsidRPr="00D06F15">
        <w:rPr>
          <w:rStyle w:val="FootnoteReference"/>
          <w:lang w:val="en-GB"/>
        </w:rPr>
        <w:footnoteRef/>
      </w:r>
      <w:r w:rsidRPr="00D06F15">
        <w:rPr>
          <w:lang w:val="en-GB"/>
        </w:rPr>
        <w:t xml:space="preserve"> Memorandum of Understanding between the Ministry of Finance of the Republic of Estonia, </w:t>
      </w:r>
      <w:proofErr w:type="gramStart"/>
      <w:r w:rsidRPr="00D06F15">
        <w:rPr>
          <w:lang w:val="en-GB"/>
        </w:rPr>
        <w:t>the  Ministry</w:t>
      </w:r>
      <w:proofErr w:type="gramEnd"/>
      <w:r w:rsidRPr="00D06F15">
        <w:rPr>
          <w:lang w:val="en-GB"/>
        </w:rPr>
        <w:t xml:space="preserve"> of Finance of the Republic of Latvia and the Ministry of Finance of the Republic of Lithuania in respect of their co-operation f</w:t>
      </w:r>
      <w:r w:rsidR="003A01A8">
        <w:rPr>
          <w:lang w:val="en-GB"/>
        </w:rPr>
        <w:t xml:space="preserve"> </w:t>
      </w:r>
      <w:r w:rsidRPr="00D06F15">
        <w:rPr>
          <w:lang w:val="en-GB"/>
        </w:rPr>
        <w:t xml:space="preserve">or regional capital market development in the Baltics, 06.11.2017 </w:t>
      </w:r>
    </w:p>
  </w:footnote>
  <w:footnote w:id="3">
    <w:p w14:paraId="1A6453D2" w14:textId="29AB9486" w:rsidR="00480740" w:rsidRPr="00447C22" w:rsidRDefault="00480740" w:rsidP="00447C22">
      <w:pPr>
        <w:pStyle w:val="FootnoteText"/>
        <w:jc w:val="both"/>
        <w:rPr>
          <w:rFonts w:ascii="Times New Roman" w:hAnsi="Times New Roman" w:cs="Times New Roman"/>
        </w:rPr>
      </w:pPr>
      <w:r w:rsidRPr="00447C22">
        <w:rPr>
          <w:rStyle w:val="FootnoteReference"/>
          <w:rFonts w:ascii="Times New Roman" w:hAnsi="Times New Roman" w:cs="Times New Roman"/>
        </w:rPr>
        <w:footnoteRef/>
      </w:r>
      <w:r w:rsidRPr="00447C22">
        <w:rPr>
          <w:rFonts w:ascii="Times New Roman" w:hAnsi="Times New Roman" w:cs="Times New Roman"/>
        </w:rPr>
        <w:t xml:space="preserve"> Novērtējuma ziņojums “Tirgus nepilnību sākotnējais (</w:t>
      </w:r>
      <w:proofErr w:type="spellStart"/>
      <w:r w:rsidRPr="00447C22">
        <w:rPr>
          <w:rFonts w:ascii="Times New Roman" w:hAnsi="Times New Roman" w:cs="Times New Roman"/>
        </w:rPr>
        <w:t>ex-ante</w:t>
      </w:r>
      <w:proofErr w:type="spellEnd"/>
      <w:r w:rsidRPr="00447C22">
        <w:rPr>
          <w:rFonts w:ascii="Times New Roman" w:hAnsi="Times New Roman" w:cs="Times New Roman"/>
        </w:rPr>
        <w:t>) novērtējums Eiropas Savienības fondu 2021.–2027.gada plānošanas perioda atbalstam finanšu instrumentu veidā” ir pieejams ES fondu uzraudzības komitejas e-portfelī</w:t>
      </w:r>
      <w:r w:rsidR="000278EC">
        <w:rPr>
          <w:rFonts w:ascii="Times New Roman" w:hAnsi="Times New Roman" w:cs="Times New Roman"/>
        </w:rPr>
        <w:t xml:space="preserve">, modulis A, 34. </w:t>
      </w:r>
      <w:proofErr w:type="spellStart"/>
      <w:r w:rsidR="000278EC">
        <w:rPr>
          <w:rFonts w:ascii="Times New Roman" w:hAnsi="Times New Roman" w:cs="Times New Roman"/>
        </w:rPr>
        <w:t>lpp</w:t>
      </w:r>
      <w:proofErr w:type="spellEnd"/>
      <w:r w:rsidR="000278EC">
        <w:rPr>
          <w:rFonts w:ascii="Times New Roman" w:hAnsi="Times New Roman" w:cs="Times New Roman"/>
        </w:rPr>
        <w:t>, modulis H., 11.lpp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594038"/>
      <w:docPartObj>
        <w:docPartGallery w:val="Page Numbers (Top of Page)"/>
        <w:docPartUnique/>
      </w:docPartObj>
    </w:sdtPr>
    <w:sdtEndPr>
      <w:rPr>
        <w:noProof/>
      </w:rPr>
    </w:sdtEndPr>
    <w:sdtContent>
      <w:p w14:paraId="23A30505" w14:textId="52DE409A" w:rsidR="00B83D37" w:rsidRDefault="00B83D37">
        <w:pPr>
          <w:pStyle w:val="Header"/>
          <w:jc w:val="center"/>
        </w:pPr>
        <w:r>
          <w:fldChar w:fldCharType="begin"/>
        </w:r>
        <w:r>
          <w:instrText xml:space="preserve"> PAGE   \* MERGEFORMAT </w:instrText>
        </w:r>
        <w:r>
          <w:fldChar w:fldCharType="separate"/>
        </w:r>
        <w:r w:rsidR="00D713DA">
          <w:rPr>
            <w:noProof/>
          </w:rPr>
          <w:t>8</w:t>
        </w:r>
        <w:r>
          <w:rPr>
            <w:noProof/>
          </w:rPr>
          <w:fldChar w:fldCharType="end"/>
        </w:r>
      </w:p>
    </w:sdtContent>
  </w:sdt>
  <w:p w14:paraId="400462B7" w14:textId="77777777" w:rsidR="00B83D37" w:rsidRDefault="00B83D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50AD"/>
    <w:multiLevelType w:val="hybridMultilevel"/>
    <w:tmpl w:val="87F2E1F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164026B"/>
    <w:multiLevelType w:val="hybridMultilevel"/>
    <w:tmpl w:val="1348F45A"/>
    <w:lvl w:ilvl="0" w:tplc="F45C1202">
      <w:start w:val="1"/>
      <w:numFmt w:val="low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2DE2859"/>
    <w:multiLevelType w:val="hybridMultilevel"/>
    <w:tmpl w:val="3042A6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6B592D"/>
    <w:multiLevelType w:val="hybridMultilevel"/>
    <w:tmpl w:val="28CC9D56"/>
    <w:lvl w:ilvl="0" w:tplc="F4B6ABCC">
      <w:start w:val="1"/>
      <w:numFmt w:val="bullet"/>
      <w:lvlText w:val="-"/>
      <w:lvlJc w:val="left"/>
      <w:pPr>
        <w:ind w:left="1080" w:hanging="360"/>
      </w:pPr>
      <w:rPr>
        <w:rFonts w:ascii="Times New Roman" w:eastAsiaTheme="minorHAnsi"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25804935"/>
    <w:multiLevelType w:val="hybridMultilevel"/>
    <w:tmpl w:val="8E2491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C101328"/>
    <w:multiLevelType w:val="multilevel"/>
    <w:tmpl w:val="F3D4A7E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2D9F5BC1"/>
    <w:multiLevelType w:val="hybridMultilevel"/>
    <w:tmpl w:val="554EF41A"/>
    <w:lvl w:ilvl="0" w:tplc="F45C1202">
      <w:start w:val="1"/>
      <w:numFmt w:val="low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31276BF0"/>
    <w:multiLevelType w:val="hybridMultilevel"/>
    <w:tmpl w:val="3514C6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CEC5BBF"/>
    <w:multiLevelType w:val="hybridMultilevel"/>
    <w:tmpl w:val="82AA1A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BCC5B4B"/>
    <w:multiLevelType w:val="multilevel"/>
    <w:tmpl w:val="972C189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60380736"/>
    <w:multiLevelType w:val="hybridMultilevel"/>
    <w:tmpl w:val="70D6359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0491454"/>
    <w:multiLevelType w:val="hybridMultilevel"/>
    <w:tmpl w:val="09CC348E"/>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67090FAE"/>
    <w:multiLevelType w:val="hybridMultilevel"/>
    <w:tmpl w:val="56BAA4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92156BD"/>
    <w:multiLevelType w:val="hybridMultilevel"/>
    <w:tmpl w:val="760ADE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C7F0B24"/>
    <w:multiLevelType w:val="hybridMultilevel"/>
    <w:tmpl w:val="BCF44C8A"/>
    <w:lvl w:ilvl="0" w:tplc="F17E1BE6">
      <w:start w:val="1"/>
      <w:numFmt w:val="decimal"/>
      <w:lvlText w:val="%1)"/>
      <w:lvlJc w:val="left"/>
      <w:pPr>
        <w:ind w:left="1155" w:hanging="360"/>
      </w:pPr>
      <w:rPr>
        <w:rFonts w:hint="default"/>
      </w:rPr>
    </w:lvl>
    <w:lvl w:ilvl="1" w:tplc="04260019" w:tentative="1">
      <w:start w:val="1"/>
      <w:numFmt w:val="lowerLetter"/>
      <w:lvlText w:val="%2."/>
      <w:lvlJc w:val="left"/>
      <w:pPr>
        <w:ind w:left="1875" w:hanging="360"/>
      </w:pPr>
    </w:lvl>
    <w:lvl w:ilvl="2" w:tplc="0426001B" w:tentative="1">
      <w:start w:val="1"/>
      <w:numFmt w:val="lowerRoman"/>
      <w:lvlText w:val="%3."/>
      <w:lvlJc w:val="right"/>
      <w:pPr>
        <w:ind w:left="2595" w:hanging="180"/>
      </w:pPr>
    </w:lvl>
    <w:lvl w:ilvl="3" w:tplc="0426000F" w:tentative="1">
      <w:start w:val="1"/>
      <w:numFmt w:val="decimal"/>
      <w:lvlText w:val="%4."/>
      <w:lvlJc w:val="left"/>
      <w:pPr>
        <w:ind w:left="3315" w:hanging="360"/>
      </w:pPr>
    </w:lvl>
    <w:lvl w:ilvl="4" w:tplc="04260019" w:tentative="1">
      <w:start w:val="1"/>
      <w:numFmt w:val="lowerLetter"/>
      <w:lvlText w:val="%5."/>
      <w:lvlJc w:val="left"/>
      <w:pPr>
        <w:ind w:left="4035" w:hanging="360"/>
      </w:pPr>
    </w:lvl>
    <w:lvl w:ilvl="5" w:tplc="0426001B" w:tentative="1">
      <w:start w:val="1"/>
      <w:numFmt w:val="lowerRoman"/>
      <w:lvlText w:val="%6."/>
      <w:lvlJc w:val="right"/>
      <w:pPr>
        <w:ind w:left="4755" w:hanging="180"/>
      </w:pPr>
    </w:lvl>
    <w:lvl w:ilvl="6" w:tplc="0426000F" w:tentative="1">
      <w:start w:val="1"/>
      <w:numFmt w:val="decimal"/>
      <w:lvlText w:val="%7."/>
      <w:lvlJc w:val="left"/>
      <w:pPr>
        <w:ind w:left="5475" w:hanging="360"/>
      </w:pPr>
    </w:lvl>
    <w:lvl w:ilvl="7" w:tplc="04260019" w:tentative="1">
      <w:start w:val="1"/>
      <w:numFmt w:val="lowerLetter"/>
      <w:lvlText w:val="%8."/>
      <w:lvlJc w:val="left"/>
      <w:pPr>
        <w:ind w:left="6195" w:hanging="360"/>
      </w:pPr>
    </w:lvl>
    <w:lvl w:ilvl="8" w:tplc="0426001B" w:tentative="1">
      <w:start w:val="1"/>
      <w:numFmt w:val="lowerRoman"/>
      <w:lvlText w:val="%9."/>
      <w:lvlJc w:val="right"/>
      <w:pPr>
        <w:ind w:left="6915" w:hanging="180"/>
      </w:pPr>
    </w:lvl>
  </w:abstractNum>
  <w:abstractNum w:abstractNumId="15" w15:restartNumberingAfterBreak="0">
    <w:nsid w:val="70862681"/>
    <w:multiLevelType w:val="hybridMultilevel"/>
    <w:tmpl w:val="F752CB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3AE2986"/>
    <w:multiLevelType w:val="hybridMultilevel"/>
    <w:tmpl w:val="32C89824"/>
    <w:lvl w:ilvl="0" w:tplc="93D2780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5"/>
  </w:num>
  <w:num w:numId="2">
    <w:abstractNumId w:val="14"/>
  </w:num>
  <w:num w:numId="3">
    <w:abstractNumId w:val="4"/>
  </w:num>
  <w:num w:numId="4">
    <w:abstractNumId w:val="0"/>
  </w:num>
  <w:num w:numId="5">
    <w:abstractNumId w:val="16"/>
  </w:num>
  <w:num w:numId="6">
    <w:abstractNumId w:val="9"/>
  </w:num>
  <w:num w:numId="7">
    <w:abstractNumId w:val="12"/>
  </w:num>
  <w:num w:numId="8">
    <w:abstractNumId w:val="11"/>
  </w:num>
  <w:num w:numId="9">
    <w:abstractNumId w:val="10"/>
  </w:num>
  <w:num w:numId="10">
    <w:abstractNumId w:val="13"/>
  </w:num>
  <w:num w:numId="11">
    <w:abstractNumId w:val="8"/>
  </w:num>
  <w:num w:numId="12">
    <w:abstractNumId w:val="15"/>
  </w:num>
  <w:num w:numId="13">
    <w:abstractNumId w:val="1"/>
  </w:num>
  <w:num w:numId="14">
    <w:abstractNumId w:val="3"/>
  </w:num>
  <w:num w:numId="15">
    <w:abstractNumId w:val="6"/>
  </w:num>
  <w:num w:numId="16">
    <w:abstractNumId w:val="2"/>
  </w:num>
  <w:num w:numId="1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1CE"/>
    <w:rsid w:val="00004878"/>
    <w:rsid w:val="0000648D"/>
    <w:rsid w:val="00007E18"/>
    <w:rsid w:val="00012D19"/>
    <w:rsid w:val="00014835"/>
    <w:rsid w:val="00023E0D"/>
    <w:rsid w:val="00024984"/>
    <w:rsid w:val="000256E2"/>
    <w:rsid w:val="0002770B"/>
    <w:rsid w:val="000278EC"/>
    <w:rsid w:val="00032AF5"/>
    <w:rsid w:val="0003715C"/>
    <w:rsid w:val="00040A12"/>
    <w:rsid w:val="00040F43"/>
    <w:rsid w:val="00041593"/>
    <w:rsid w:val="0004189A"/>
    <w:rsid w:val="0004202B"/>
    <w:rsid w:val="00044E6E"/>
    <w:rsid w:val="00045213"/>
    <w:rsid w:val="000474CD"/>
    <w:rsid w:val="00050796"/>
    <w:rsid w:val="00051F21"/>
    <w:rsid w:val="0005290A"/>
    <w:rsid w:val="00052DD0"/>
    <w:rsid w:val="00056601"/>
    <w:rsid w:val="00057272"/>
    <w:rsid w:val="000575F4"/>
    <w:rsid w:val="00057C01"/>
    <w:rsid w:val="00061BEE"/>
    <w:rsid w:val="0006281E"/>
    <w:rsid w:val="000628CD"/>
    <w:rsid w:val="000652AC"/>
    <w:rsid w:val="00067378"/>
    <w:rsid w:val="000717C9"/>
    <w:rsid w:val="00072530"/>
    <w:rsid w:val="00076630"/>
    <w:rsid w:val="00082E51"/>
    <w:rsid w:val="0008549F"/>
    <w:rsid w:val="000869A3"/>
    <w:rsid w:val="00086E2B"/>
    <w:rsid w:val="0009039B"/>
    <w:rsid w:val="00091BD8"/>
    <w:rsid w:val="000932C9"/>
    <w:rsid w:val="000956C8"/>
    <w:rsid w:val="00096F40"/>
    <w:rsid w:val="00097E4F"/>
    <w:rsid w:val="000A0DF9"/>
    <w:rsid w:val="000A16CE"/>
    <w:rsid w:val="000A1E06"/>
    <w:rsid w:val="000A2F00"/>
    <w:rsid w:val="000A2F8F"/>
    <w:rsid w:val="000A37D2"/>
    <w:rsid w:val="000A3F74"/>
    <w:rsid w:val="000A562D"/>
    <w:rsid w:val="000A5A00"/>
    <w:rsid w:val="000A74CE"/>
    <w:rsid w:val="000B134B"/>
    <w:rsid w:val="000B58D4"/>
    <w:rsid w:val="000B7FCD"/>
    <w:rsid w:val="000C009B"/>
    <w:rsid w:val="000C148A"/>
    <w:rsid w:val="000C1EAC"/>
    <w:rsid w:val="000C257F"/>
    <w:rsid w:val="000C3ED4"/>
    <w:rsid w:val="000D0E40"/>
    <w:rsid w:val="000D1BCE"/>
    <w:rsid w:val="000D291C"/>
    <w:rsid w:val="000D30E5"/>
    <w:rsid w:val="000D3AFB"/>
    <w:rsid w:val="000D4862"/>
    <w:rsid w:val="000D4B5A"/>
    <w:rsid w:val="000D7AEA"/>
    <w:rsid w:val="000E7AF7"/>
    <w:rsid w:val="00100001"/>
    <w:rsid w:val="001008A2"/>
    <w:rsid w:val="00101CAD"/>
    <w:rsid w:val="00102B93"/>
    <w:rsid w:val="00103C9E"/>
    <w:rsid w:val="001075DE"/>
    <w:rsid w:val="001119A7"/>
    <w:rsid w:val="001153F1"/>
    <w:rsid w:val="00120C08"/>
    <w:rsid w:val="00120ECD"/>
    <w:rsid w:val="00121188"/>
    <w:rsid w:val="0012258C"/>
    <w:rsid w:val="00125673"/>
    <w:rsid w:val="00126654"/>
    <w:rsid w:val="00127318"/>
    <w:rsid w:val="00133C29"/>
    <w:rsid w:val="00140762"/>
    <w:rsid w:val="00141F02"/>
    <w:rsid w:val="001425AD"/>
    <w:rsid w:val="0014364D"/>
    <w:rsid w:val="00143874"/>
    <w:rsid w:val="00143AF4"/>
    <w:rsid w:val="00143FA3"/>
    <w:rsid w:val="001447D8"/>
    <w:rsid w:val="00144CD0"/>
    <w:rsid w:val="001458E6"/>
    <w:rsid w:val="00146EEA"/>
    <w:rsid w:val="00151155"/>
    <w:rsid w:val="0015214B"/>
    <w:rsid w:val="00156CC3"/>
    <w:rsid w:val="001603B7"/>
    <w:rsid w:val="00164D1E"/>
    <w:rsid w:val="00165D9C"/>
    <w:rsid w:val="00166978"/>
    <w:rsid w:val="0016697B"/>
    <w:rsid w:val="00166FAE"/>
    <w:rsid w:val="00170A5D"/>
    <w:rsid w:val="00170C92"/>
    <w:rsid w:val="00172B5F"/>
    <w:rsid w:val="0017790F"/>
    <w:rsid w:val="00183202"/>
    <w:rsid w:val="0018371E"/>
    <w:rsid w:val="00185EC3"/>
    <w:rsid w:val="00187ECB"/>
    <w:rsid w:val="00192C68"/>
    <w:rsid w:val="001968B2"/>
    <w:rsid w:val="00197257"/>
    <w:rsid w:val="001A1574"/>
    <w:rsid w:val="001A2E69"/>
    <w:rsid w:val="001A397A"/>
    <w:rsid w:val="001B193E"/>
    <w:rsid w:val="001B24DD"/>
    <w:rsid w:val="001B5618"/>
    <w:rsid w:val="001B65AA"/>
    <w:rsid w:val="001B70C5"/>
    <w:rsid w:val="001C0394"/>
    <w:rsid w:val="001C04EC"/>
    <w:rsid w:val="001C5820"/>
    <w:rsid w:val="001C5BC5"/>
    <w:rsid w:val="001D5524"/>
    <w:rsid w:val="001D570B"/>
    <w:rsid w:val="001E1D21"/>
    <w:rsid w:val="001E3A86"/>
    <w:rsid w:val="001E549D"/>
    <w:rsid w:val="001F1414"/>
    <w:rsid w:val="001F468F"/>
    <w:rsid w:val="001F4D30"/>
    <w:rsid w:val="001F5337"/>
    <w:rsid w:val="001F5F54"/>
    <w:rsid w:val="001F7391"/>
    <w:rsid w:val="00200752"/>
    <w:rsid w:val="002010E9"/>
    <w:rsid w:val="00201A18"/>
    <w:rsid w:val="00204760"/>
    <w:rsid w:val="00204BCC"/>
    <w:rsid w:val="00214D1C"/>
    <w:rsid w:val="00216B6F"/>
    <w:rsid w:val="00220ACF"/>
    <w:rsid w:val="00221880"/>
    <w:rsid w:val="00223299"/>
    <w:rsid w:val="00223481"/>
    <w:rsid w:val="00223675"/>
    <w:rsid w:val="0023191D"/>
    <w:rsid w:val="0023221E"/>
    <w:rsid w:val="00234BE2"/>
    <w:rsid w:val="00236A4B"/>
    <w:rsid w:val="00237B9E"/>
    <w:rsid w:val="00242DC9"/>
    <w:rsid w:val="002455BC"/>
    <w:rsid w:val="002470D8"/>
    <w:rsid w:val="00247480"/>
    <w:rsid w:val="0025216E"/>
    <w:rsid w:val="00252C89"/>
    <w:rsid w:val="002539E0"/>
    <w:rsid w:val="002656E7"/>
    <w:rsid w:val="002712DF"/>
    <w:rsid w:val="0027392D"/>
    <w:rsid w:val="002779C2"/>
    <w:rsid w:val="002804AB"/>
    <w:rsid w:val="00280B3C"/>
    <w:rsid w:val="00281CAD"/>
    <w:rsid w:val="002820B5"/>
    <w:rsid w:val="00282121"/>
    <w:rsid w:val="002850BA"/>
    <w:rsid w:val="00286F65"/>
    <w:rsid w:val="0029225F"/>
    <w:rsid w:val="002924EC"/>
    <w:rsid w:val="002941BD"/>
    <w:rsid w:val="002A0084"/>
    <w:rsid w:val="002A0AAC"/>
    <w:rsid w:val="002A12E9"/>
    <w:rsid w:val="002A4335"/>
    <w:rsid w:val="002A60ED"/>
    <w:rsid w:val="002A624B"/>
    <w:rsid w:val="002A66FA"/>
    <w:rsid w:val="002B0951"/>
    <w:rsid w:val="002B23FA"/>
    <w:rsid w:val="002B43A5"/>
    <w:rsid w:val="002B624A"/>
    <w:rsid w:val="002B70C2"/>
    <w:rsid w:val="002C1558"/>
    <w:rsid w:val="002C16CA"/>
    <w:rsid w:val="002C3FCC"/>
    <w:rsid w:val="002C748F"/>
    <w:rsid w:val="002D197E"/>
    <w:rsid w:val="002D4ACF"/>
    <w:rsid w:val="002D66C2"/>
    <w:rsid w:val="002D7291"/>
    <w:rsid w:val="002E7E30"/>
    <w:rsid w:val="002F2DD4"/>
    <w:rsid w:val="002F307F"/>
    <w:rsid w:val="002F4B25"/>
    <w:rsid w:val="002F5A9E"/>
    <w:rsid w:val="003057BB"/>
    <w:rsid w:val="00310DC4"/>
    <w:rsid w:val="00312A93"/>
    <w:rsid w:val="003149EF"/>
    <w:rsid w:val="00314D2C"/>
    <w:rsid w:val="0031520C"/>
    <w:rsid w:val="00317A9D"/>
    <w:rsid w:val="003207FE"/>
    <w:rsid w:val="003208EE"/>
    <w:rsid w:val="00320B4A"/>
    <w:rsid w:val="00320DAD"/>
    <w:rsid w:val="003240A7"/>
    <w:rsid w:val="003354FC"/>
    <w:rsid w:val="003421B2"/>
    <w:rsid w:val="00344A37"/>
    <w:rsid w:val="00345AD6"/>
    <w:rsid w:val="003470E3"/>
    <w:rsid w:val="00347AD7"/>
    <w:rsid w:val="00354523"/>
    <w:rsid w:val="00354E3F"/>
    <w:rsid w:val="0035544B"/>
    <w:rsid w:val="003652D8"/>
    <w:rsid w:val="00365B1E"/>
    <w:rsid w:val="00367E6E"/>
    <w:rsid w:val="00367F05"/>
    <w:rsid w:val="00374358"/>
    <w:rsid w:val="00375D14"/>
    <w:rsid w:val="003761FD"/>
    <w:rsid w:val="00376869"/>
    <w:rsid w:val="00380B00"/>
    <w:rsid w:val="00385438"/>
    <w:rsid w:val="00385C46"/>
    <w:rsid w:val="003900A9"/>
    <w:rsid w:val="003901C1"/>
    <w:rsid w:val="003905C3"/>
    <w:rsid w:val="003930D9"/>
    <w:rsid w:val="003941E1"/>
    <w:rsid w:val="003944AE"/>
    <w:rsid w:val="0039486D"/>
    <w:rsid w:val="00396B9F"/>
    <w:rsid w:val="00397DFB"/>
    <w:rsid w:val="00397FD4"/>
    <w:rsid w:val="003A01A8"/>
    <w:rsid w:val="003A10E2"/>
    <w:rsid w:val="003A269D"/>
    <w:rsid w:val="003A36F3"/>
    <w:rsid w:val="003A72BB"/>
    <w:rsid w:val="003B0E9E"/>
    <w:rsid w:val="003B1985"/>
    <w:rsid w:val="003B3F28"/>
    <w:rsid w:val="003C3246"/>
    <w:rsid w:val="003C3505"/>
    <w:rsid w:val="003D3D99"/>
    <w:rsid w:val="003D4A49"/>
    <w:rsid w:val="003E2220"/>
    <w:rsid w:val="003E2FD9"/>
    <w:rsid w:val="003F0463"/>
    <w:rsid w:val="003F078D"/>
    <w:rsid w:val="003F3C38"/>
    <w:rsid w:val="003F5E6A"/>
    <w:rsid w:val="00400070"/>
    <w:rsid w:val="00406E39"/>
    <w:rsid w:val="004150AE"/>
    <w:rsid w:val="0041597A"/>
    <w:rsid w:val="00420ADE"/>
    <w:rsid w:val="004214DF"/>
    <w:rsid w:val="0042318E"/>
    <w:rsid w:val="00425E94"/>
    <w:rsid w:val="004323F7"/>
    <w:rsid w:val="004342DB"/>
    <w:rsid w:val="004352A3"/>
    <w:rsid w:val="00435346"/>
    <w:rsid w:val="00437C1C"/>
    <w:rsid w:val="004408FA"/>
    <w:rsid w:val="00441730"/>
    <w:rsid w:val="0044174C"/>
    <w:rsid w:val="0044405A"/>
    <w:rsid w:val="00444AF2"/>
    <w:rsid w:val="004479E6"/>
    <w:rsid w:val="00447C22"/>
    <w:rsid w:val="0045159E"/>
    <w:rsid w:val="00457261"/>
    <w:rsid w:val="004637E2"/>
    <w:rsid w:val="004649A8"/>
    <w:rsid w:val="00466346"/>
    <w:rsid w:val="00466F14"/>
    <w:rsid w:val="00467554"/>
    <w:rsid w:val="00467662"/>
    <w:rsid w:val="00470D0D"/>
    <w:rsid w:val="00480740"/>
    <w:rsid w:val="00481196"/>
    <w:rsid w:val="0048460E"/>
    <w:rsid w:val="0048766B"/>
    <w:rsid w:val="00490F50"/>
    <w:rsid w:val="00492933"/>
    <w:rsid w:val="00494D14"/>
    <w:rsid w:val="004A73E6"/>
    <w:rsid w:val="004B3408"/>
    <w:rsid w:val="004B414F"/>
    <w:rsid w:val="004B45ED"/>
    <w:rsid w:val="004B62BF"/>
    <w:rsid w:val="004C28EE"/>
    <w:rsid w:val="004C2A02"/>
    <w:rsid w:val="004C2A35"/>
    <w:rsid w:val="004C33CD"/>
    <w:rsid w:val="004C3F01"/>
    <w:rsid w:val="004C4799"/>
    <w:rsid w:val="004C7A12"/>
    <w:rsid w:val="004D0DA7"/>
    <w:rsid w:val="004D1327"/>
    <w:rsid w:val="004D14DF"/>
    <w:rsid w:val="004D16DB"/>
    <w:rsid w:val="004E0616"/>
    <w:rsid w:val="004E2393"/>
    <w:rsid w:val="004E3F0E"/>
    <w:rsid w:val="004E4E2B"/>
    <w:rsid w:val="004E5BDA"/>
    <w:rsid w:val="004E6ED5"/>
    <w:rsid w:val="004F11A9"/>
    <w:rsid w:val="004F136E"/>
    <w:rsid w:val="004F1FF9"/>
    <w:rsid w:val="004F232A"/>
    <w:rsid w:val="004F406E"/>
    <w:rsid w:val="004F610E"/>
    <w:rsid w:val="00502662"/>
    <w:rsid w:val="00503419"/>
    <w:rsid w:val="00503488"/>
    <w:rsid w:val="00504681"/>
    <w:rsid w:val="0050495F"/>
    <w:rsid w:val="00507ADA"/>
    <w:rsid w:val="00510978"/>
    <w:rsid w:val="005130E2"/>
    <w:rsid w:val="00513D64"/>
    <w:rsid w:val="00513D77"/>
    <w:rsid w:val="0051694F"/>
    <w:rsid w:val="00523295"/>
    <w:rsid w:val="00523407"/>
    <w:rsid w:val="0052466C"/>
    <w:rsid w:val="00525031"/>
    <w:rsid w:val="005256B9"/>
    <w:rsid w:val="00526B65"/>
    <w:rsid w:val="00526BE3"/>
    <w:rsid w:val="00530BD1"/>
    <w:rsid w:val="005336B8"/>
    <w:rsid w:val="00540198"/>
    <w:rsid w:val="0054045F"/>
    <w:rsid w:val="00540A89"/>
    <w:rsid w:val="0054227E"/>
    <w:rsid w:val="005433BE"/>
    <w:rsid w:val="0054413D"/>
    <w:rsid w:val="005450B7"/>
    <w:rsid w:val="00546C78"/>
    <w:rsid w:val="005520E4"/>
    <w:rsid w:val="00553BD9"/>
    <w:rsid w:val="005551E8"/>
    <w:rsid w:val="005561C4"/>
    <w:rsid w:val="00556D78"/>
    <w:rsid w:val="0056036F"/>
    <w:rsid w:val="005623B5"/>
    <w:rsid w:val="00562A7D"/>
    <w:rsid w:val="005639BB"/>
    <w:rsid w:val="005670DA"/>
    <w:rsid w:val="005702BE"/>
    <w:rsid w:val="00574725"/>
    <w:rsid w:val="0057476C"/>
    <w:rsid w:val="005770B0"/>
    <w:rsid w:val="00584950"/>
    <w:rsid w:val="00585D6B"/>
    <w:rsid w:val="00585DF7"/>
    <w:rsid w:val="00586FAC"/>
    <w:rsid w:val="00587B94"/>
    <w:rsid w:val="00591764"/>
    <w:rsid w:val="00592984"/>
    <w:rsid w:val="005933FC"/>
    <w:rsid w:val="00593683"/>
    <w:rsid w:val="00594226"/>
    <w:rsid w:val="005A1D72"/>
    <w:rsid w:val="005A64A3"/>
    <w:rsid w:val="005A67F5"/>
    <w:rsid w:val="005B28DC"/>
    <w:rsid w:val="005B3340"/>
    <w:rsid w:val="005C31C7"/>
    <w:rsid w:val="005C70C3"/>
    <w:rsid w:val="005D4D05"/>
    <w:rsid w:val="005D5171"/>
    <w:rsid w:val="005D763B"/>
    <w:rsid w:val="005E2DA6"/>
    <w:rsid w:val="005E3609"/>
    <w:rsid w:val="005E7F65"/>
    <w:rsid w:val="005F2DEA"/>
    <w:rsid w:val="005F5D05"/>
    <w:rsid w:val="0060583D"/>
    <w:rsid w:val="00612817"/>
    <w:rsid w:val="006132FC"/>
    <w:rsid w:val="006138DC"/>
    <w:rsid w:val="0062058A"/>
    <w:rsid w:val="00625F63"/>
    <w:rsid w:val="006263C7"/>
    <w:rsid w:val="006277D7"/>
    <w:rsid w:val="00633213"/>
    <w:rsid w:val="006341C3"/>
    <w:rsid w:val="00635545"/>
    <w:rsid w:val="00640473"/>
    <w:rsid w:val="00640C7B"/>
    <w:rsid w:val="00643CD5"/>
    <w:rsid w:val="00650158"/>
    <w:rsid w:val="00650BA5"/>
    <w:rsid w:val="00651F13"/>
    <w:rsid w:val="00651F23"/>
    <w:rsid w:val="0065337F"/>
    <w:rsid w:val="0065722C"/>
    <w:rsid w:val="00660D43"/>
    <w:rsid w:val="006613C8"/>
    <w:rsid w:val="006645FA"/>
    <w:rsid w:val="006672E2"/>
    <w:rsid w:val="00680691"/>
    <w:rsid w:val="006807A2"/>
    <w:rsid w:val="00682D60"/>
    <w:rsid w:val="006832CD"/>
    <w:rsid w:val="006850BF"/>
    <w:rsid w:val="00686292"/>
    <w:rsid w:val="00686FBA"/>
    <w:rsid w:val="006920FE"/>
    <w:rsid w:val="006927ED"/>
    <w:rsid w:val="006932F4"/>
    <w:rsid w:val="00695034"/>
    <w:rsid w:val="0069611C"/>
    <w:rsid w:val="00696CCF"/>
    <w:rsid w:val="006A0298"/>
    <w:rsid w:val="006A51D3"/>
    <w:rsid w:val="006B187B"/>
    <w:rsid w:val="006B327A"/>
    <w:rsid w:val="006B4665"/>
    <w:rsid w:val="006B5739"/>
    <w:rsid w:val="006B5ED4"/>
    <w:rsid w:val="006B762E"/>
    <w:rsid w:val="006C03BA"/>
    <w:rsid w:val="006C0A93"/>
    <w:rsid w:val="006C2B3D"/>
    <w:rsid w:val="006C3EEA"/>
    <w:rsid w:val="006C7A46"/>
    <w:rsid w:val="006D0CF5"/>
    <w:rsid w:val="006D1C41"/>
    <w:rsid w:val="006D2104"/>
    <w:rsid w:val="006D2E99"/>
    <w:rsid w:val="006D6FB9"/>
    <w:rsid w:val="006E217F"/>
    <w:rsid w:val="006E24A3"/>
    <w:rsid w:val="006E2847"/>
    <w:rsid w:val="006E3E47"/>
    <w:rsid w:val="006E573F"/>
    <w:rsid w:val="006E5A66"/>
    <w:rsid w:val="006F0109"/>
    <w:rsid w:val="006F090B"/>
    <w:rsid w:val="006F12D7"/>
    <w:rsid w:val="006F27A6"/>
    <w:rsid w:val="006F36C6"/>
    <w:rsid w:val="006F6CDA"/>
    <w:rsid w:val="00702B4F"/>
    <w:rsid w:val="00704571"/>
    <w:rsid w:val="0070762B"/>
    <w:rsid w:val="00710A94"/>
    <w:rsid w:val="00710BCA"/>
    <w:rsid w:val="00712324"/>
    <w:rsid w:val="0071236E"/>
    <w:rsid w:val="00713152"/>
    <w:rsid w:val="00713DB6"/>
    <w:rsid w:val="00715C1E"/>
    <w:rsid w:val="00720E1F"/>
    <w:rsid w:val="00723411"/>
    <w:rsid w:val="00725E38"/>
    <w:rsid w:val="00731244"/>
    <w:rsid w:val="00732409"/>
    <w:rsid w:val="00732652"/>
    <w:rsid w:val="0073420D"/>
    <w:rsid w:val="00736099"/>
    <w:rsid w:val="00737B1C"/>
    <w:rsid w:val="00740DAD"/>
    <w:rsid w:val="0074149F"/>
    <w:rsid w:val="0074324C"/>
    <w:rsid w:val="00744D90"/>
    <w:rsid w:val="00745B7B"/>
    <w:rsid w:val="00746097"/>
    <w:rsid w:val="00746D97"/>
    <w:rsid w:val="00747DB4"/>
    <w:rsid w:val="0075004B"/>
    <w:rsid w:val="00750A5C"/>
    <w:rsid w:val="00750D8F"/>
    <w:rsid w:val="00752C7F"/>
    <w:rsid w:val="007531D1"/>
    <w:rsid w:val="00754E94"/>
    <w:rsid w:val="007553A1"/>
    <w:rsid w:val="0075680C"/>
    <w:rsid w:val="007601FD"/>
    <w:rsid w:val="00763245"/>
    <w:rsid w:val="00766CA4"/>
    <w:rsid w:val="007677AB"/>
    <w:rsid w:val="007716A5"/>
    <w:rsid w:val="0077176A"/>
    <w:rsid w:val="007719D0"/>
    <w:rsid w:val="00777EB3"/>
    <w:rsid w:val="00780489"/>
    <w:rsid w:val="00781124"/>
    <w:rsid w:val="00781AEF"/>
    <w:rsid w:val="00783279"/>
    <w:rsid w:val="00785DEC"/>
    <w:rsid w:val="00786659"/>
    <w:rsid w:val="00787BFC"/>
    <w:rsid w:val="00791330"/>
    <w:rsid w:val="00792FB1"/>
    <w:rsid w:val="00793470"/>
    <w:rsid w:val="00793D4B"/>
    <w:rsid w:val="007A425A"/>
    <w:rsid w:val="007A53B0"/>
    <w:rsid w:val="007A6206"/>
    <w:rsid w:val="007B0663"/>
    <w:rsid w:val="007B30F9"/>
    <w:rsid w:val="007B3B18"/>
    <w:rsid w:val="007B5D38"/>
    <w:rsid w:val="007C087C"/>
    <w:rsid w:val="007C21B5"/>
    <w:rsid w:val="007C6D56"/>
    <w:rsid w:val="007D2D0E"/>
    <w:rsid w:val="007D71CE"/>
    <w:rsid w:val="007E0EAA"/>
    <w:rsid w:val="007E257E"/>
    <w:rsid w:val="007E4B07"/>
    <w:rsid w:val="007E4B82"/>
    <w:rsid w:val="007E639F"/>
    <w:rsid w:val="007E6771"/>
    <w:rsid w:val="007F28F5"/>
    <w:rsid w:val="007F2AE9"/>
    <w:rsid w:val="007F46BF"/>
    <w:rsid w:val="00802C49"/>
    <w:rsid w:val="0080408E"/>
    <w:rsid w:val="00806360"/>
    <w:rsid w:val="0081332E"/>
    <w:rsid w:val="008200FE"/>
    <w:rsid w:val="0082106F"/>
    <w:rsid w:val="008243A3"/>
    <w:rsid w:val="00824438"/>
    <w:rsid w:val="00824862"/>
    <w:rsid w:val="00825CB9"/>
    <w:rsid w:val="00832505"/>
    <w:rsid w:val="00833DFB"/>
    <w:rsid w:val="00836F70"/>
    <w:rsid w:val="0083721A"/>
    <w:rsid w:val="008420BD"/>
    <w:rsid w:val="00843064"/>
    <w:rsid w:val="00843144"/>
    <w:rsid w:val="00843B9E"/>
    <w:rsid w:val="00844E26"/>
    <w:rsid w:val="00845520"/>
    <w:rsid w:val="00850633"/>
    <w:rsid w:val="008512E7"/>
    <w:rsid w:val="00851BB4"/>
    <w:rsid w:val="00854A5F"/>
    <w:rsid w:val="00854E62"/>
    <w:rsid w:val="00860428"/>
    <w:rsid w:val="0086231B"/>
    <w:rsid w:val="00863CA4"/>
    <w:rsid w:val="00865F1E"/>
    <w:rsid w:val="00866319"/>
    <w:rsid w:val="00870C8C"/>
    <w:rsid w:val="00870F33"/>
    <w:rsid w:val="00871C5A"/>
    <w:rsid w:val="008732D2"/>
    <w:rsid w:val="0087621A"/>
    <w:rsid w:val="008773DA"/>
    <w:rsid w:val="0087762B"/>
    <w:rsid w:val="0088427D"/>
    <w:rsid w:val="00884DF5"/>
    <w:rsid w:val="0088702B"/>
    <w:rsid w:val="00887F68"/>
    <w:rsid w:val="00890A6C"/>
    <w:rsid w:val="00895B1E"/>
    <w:rsid w:val="008969B4"/>
    <w:rsid w:val="008A1A3B"/>
    <w:rsid w:val="008A4957"/>
    <w:rsid w:val="008A4DDF"/>
    <w:rsid w:val="008B00F6"/>
    <w:rsid w:val="008B020E"/>
    <w:rsid w:val="008B107D"/>
    <w:rsid w:val="008B40D5"/>
    <w:rsid w:val="008C1750"/>
    <w:rsid w:val="008C216E"/>
    <w:rsid w:val="008C74FB"/>
    <w:rsid w:val="008D0A7A"/>
    <w:rsid w:val="008D31ED"/>
    <w:rsid w:val="008D4198"/>
    <w:rsid w:val="008D520C"/>
    <w:rsid w:val="008D6B3D"/>
    <w:rsid w:val="008E0A84"/>
    <w:rsid w:val="008E1288"/>
    <w:rsid w:val="008E2743"/>
    <w:rsid w:val="008E2AB1"/>
    <w:rsid w:val="008F0D51"/>
    <w:rsid w:val="008F3428"/>
    <w:rsid w:val="008F4A71"/>
    <w:rsid w:val="008F7085"/>
    <w:rsid w:val="008F77B2"/>
    <w:rsid w:val="00903F51"/>
    <w:rsid w:val="0090475E"/>
    <w:rsid w:val="00904F4D"/>
    <w:rsid w:val="009064D2"/>
    <w:rsid w:val="00910356"/>
    <w:rsid w:val="00910C80"/>
    <w:rsid w:val="0091292E"/>
    <w:rsid w:val="00915E03"/>
    <w:rsid w:val="009175FE"/>
    <w:rsid w:val="009223CA"/>
    <w:rsid w:val="00923D4C"/>
    <w:rsid w:val="00924CA2"/>
    <w:rsid w:val="00930E6F"/>
    <w:rsid w:val="0093180D"/>
    <w:rsid w:val="00931D2F"/>
    <w:rsid w:val="00932251"/>
    <w:rsid w:val="0093329B"/>
    <w:rsid w:val="00933AC3"/>
    <w:rsid w:val="00933BE5"/>
    <w:rsid w:val="00934279"/>
    <w:rsid w:val="009351EB"/>
    <w:rsid w:val="00935DA1"/>
    <w:rsid w:val="00936E06"/>
    <w:rsid w:val="00937FCB"/>
    <w:rsid w:val="00940615"/>
    <w:rsid w:val="00944E6A"/>
    <w:rsid w:val="00945655"/>
    <w:rsid w:val="0094710B"/>
    <w:rsid w:val="009522D5"/>
    <w:rsid w:val="0095342D"/>
    <w:rsid w:val="00955ECD"/>
    <w:rsid w:val="00957D25"/>
    <w:rsid w:val="00962866"/>
    <w:rsid w:val="00964204"/>
    <w:rsid w:val="00967BC4"/>
    <w:rsid w:val="00972D7D"/>
    <w:rsid w:val="009735B4"/>
    <w:rsid w:val="00975790"/>
    <w:rsid w:val="00975979"/>
    <w:rsid w:val="009766F0"/>
    <w:rsid w:val="009802B1"/>
    <w:rsid w:val="009846C3"/>
    <w:rsid w:val="00994CE5"/>
    <w:rsid w:val="00996C7E"/>
    <w:rsid w:val="009A4E2E"/>
    <w:rsid w:val="009A5537"/>
    <w:rsid w:val="009A70B5"/>
    <w:rsid w:val="009B085B"/>
    <w:rsid w:val="009B21B2"/>
    <w:rsid w:val="009B5E57"/>
    <w:rsid w:val="009B665C"/>
    <w:rsid w:val="009C09FB"/>
    <w:rsid w:val="009C0EB5"/>
    <w:rsid w:val="009C1551"/>
    <w:rsid w:val="009C5947"/>
    <w:rsid w:val="009C699F"/>
    <w:rsid w:val="009D2A75"/>
    <w:rsid w:val="009D518F"/>
    <w:rsid w:val="009D5871"/>
    <w:rsid w:val="009D5F63"/>
    <w:rsid w:val="009D73FF"/>
    <w:rsid w:val="009E0026"/>
    <w:rsid w:val="009E078C"/>
    <w:rsid w:val="009E0E0F"/>
    <w:rsid w:val="009E2A12"/>
    <w:rsid w:val="009E40FC"/>
    <w:rsid w:val="009E4BD4"/>
    <w:rsid w:val="009E4D93"/>
    <w:rsid w:val="009E5017"/>
    <w:rsid w:val="009E57F4"/>
    <w:rsid w:val="009E7443"/>
    <w:rsid w:val="009F06E9"/>
    <w:rsid w:val="009F4128"/>
    <w:rsid w:val="009F49C7"/>
    <w:rsid w:val="009F5A3D"/>
    <w:rsid w:val="00A0011E"/>
    <w:rsid w:val="00A019BC"/>
    <w:rsid w:val="00A01C36"/>
    <w:rsid w:val="00A037B3"/>
    <w:rsid w:val="00A03B30"/>
    <w:rsid w:val="00A076B0"/>
    <w:rsid w:val="00A10022"/>
    <w:rsid w:val="00A12FD7"/>
    <w:rsid w:val="00A1754B"/>
    <w:rsid w:val="00A227FA"/>
    <w:rsid w:val="00A23786"/>
    <w:rsid w:val="00A238A8"/>
    <w:rsid w:val="00A23A0A"/>
    <w:rsid w:val="00A2495B"/>
    <w:rsid w:val="00A24FF5"/>
    <w:rsid w:val="00A269B6"/>
    <w:rsid w:val="00A3084E"/>
    <w:rsid w:val="00A31E7B"/>
    <w:rsid w:val="00A32AB5"/>
    <w:rsid w:val="00A339C8"/>
    <w:rsid w:val="00A3416F"/>
    <w:rsid w:val="00A3493F"/>
    <w:rsid w:val="00A43377"/>
    <w:rsid w:val="00A435FB"/>
    <w:rsid w:val="00A4415D"/>
    <w:rsid w:val="00A45788"/>
    <w:rsid w:val="00A50D6C"/>
    <w:rsid w:val="00A50FF2"/>
    <w:rsid w:val="00A5160A"/>
    <w:rsid w:val="00A546E4"/>
    <w:rsid w:val="00A615D7"/>
    <w:rsid w:val="00A6162A"/>
    <w:rsid w:val="00A630B0"/>
    <w:rsid w:val="00A646CD"/>
    <w:rsid w:val="00A6599B"/>
    <w:rsid w:val="00A70A66"/>
    <w:rsid w:val="00A71CD2"/>
    <w:rsid w:val="00A74C95"/>
    <w:rsid w:val="00A75276"/>
    <w:rsid w:val="00A81AAA"/>
    <w:rsid w:val="00A82F14"/>
    <w:rsid w:val="00A9376D"/>
    <w:rsid w:val="00A95974"/>
    <w:rsid w:val="00A97DFE"/>
    <w:rsid w:val="00AA1A18"/>
    <w:rsid w:val="00AA2DA9"/>
    <w:rsid w:val="00AA3F8C"/>
    <w:rsid w:val="00AA47C2"/>
    <w:rsid w:val="00AA73F8"/>
    <w:rsid w:val="00AB4E0F"/>
    <w:rsid w:val="00AB5431"/>
    <w:rsid w:val="00AB664C"/>
    <w:rsid w:val="00AB72EC"/>
    <w:rsid w:val="00AB74FE"/>
    <w:rsid w:val="00AC04B1"/>
    <w:rsid w:val="00AC50BB"/>
    <w:rsid w:val="00AC7977"/>
    <w:rsid w:val="00AD0C02"/>
    <w:rsid w:val="00AD22E2"/>
    <w:rsid w:val="00AD26A9"/>
    <w:rsid w:val="00AD4514"/>
    <w:rsid w:val="00AD5245"/>
    <w:rsid w:val="00AE21CE"/>
    <w:rsid w:val="00AE68A5"/>
    <w:rsid w:val="00AE6EC9"/>
    <w:rsid w:val="00AF73C9"/>
    <w:rsid w:val="00AF76CA"/>
    <w:rsid w:val="00B00C16"/>
    <w:rsid w:val="00B02343"/>
    <w:rsid w:val="00B028D5"/>
    <w:rsid w:val="00B06CF5"/>
    <w:rsid w:val="00B078E7"/>
    <w:rsid w:val="00B127A2"/>
    <w:rsid w:val="00B12A16"/>
    <w:rsid w:val="00B12B9B"/>
    <w:rsid w:val="00B13085"/>
    <w:rsid w:val="00B1436C"/>
    <w:rsid w:val="00B1544A"/>
    <w:rsid w:val="00B166FA"/>
    <w:rsid w:val="00B20E68"/>
    <w:rsid w:val="00B21F97"/>
    <w:rsid w:val="00B22178"/>
    <w:rsid w:val="00B24801"/>
    <w:rsid w:val="00B266E9"/>
    <w:rsid w:val="00B27376"/>
    <w:rsid w:val="00B27ED9"/>
    <w:rsid w:val="00B322C0"/>
    <w:rsid w:val="00B369C3"/>
    <w:rsid w:val="00B430CF"/>
    <w:rsid w:val="00B43984"/>
    <w:rsid w:val="00B55CAE"/>
    <w:rsid w:val="00B564FF"/>
    <w:rsid w:val="00B56FF3"/>
    <w:rsid w:val="00B63661"/>
    <w:rsid w:val="00B6500E"/>
    <w:rsid w:val="00B65EA2"/>
    <w:rsid w:val="00B668A6"/>
    <w:rsid w:val="00B73859"/>
    <w:rsid w:val="00B73D62"/>
    <w:rsid w:val="00B7634F"/>
    <w:rsid w:val="00B83D37"/>
    <w:rsid w:val="00B8622D"/>
    <w:rsid w:val="00B876C4"/>
    <w:rsid w:val="00B92E87"/>
    <w:rsid w:val="00BA2245"/>
    <w:rsid w:val="00BA36FC"/>
    <w:rsid w:val="00BA535C"/>
    <w:rsid w:val="00BA546F"/>
    <w:rsid w:val="00BA7222"/>
    <w:rsid w:val="00BA7A19"/>
    <w:rsid w:val="00BB2489"/>
    <w:rsid w:val="00BB53AB"/>
    <w:rsid w:val="00BC373F"/>
    <w:rsid w:val="00BC37A4"/>
    <w:rsid w:val="00BC471C"/>
    <w:rsid w:val="00BC7127"/>
    <w:rsid w:val="00BC7239"/>
    <w:rsid w:val="00BD343A"/>
    <w:rsid w:val="00BD3F89"/>
    <w:rsid w:val="00BD6062"/>
    <w:rsid w:val="00BD63DF"/>
    <w:rsid w:val="00BD7E96"/>
    <w:rsid w:val="00BE42E2"/>
    <w:rsid w:val="00BE5D4A"/>
    <w:rsid w:val="00BE6C9C"/>
    <w:rsid w:val="00BE79EA"/>
    <w:rsid w:val="00BF108C"/>
    <w:rsid w:val="00BF207A"/>
    <w:rsid w:val="00BF2259"/>
    <w:rsid w:val="00BF2525"/>
    <w:rsid w:val="00BF57E6"/>
    <w:rsid w:val="00BF62A8"/>
    <w:rsid w:val="00BF7F0E"/>
    <w:rsid w:val="00C02881"/>
    <w:rsid w:val="00C02C28"/>
    <w:rsid w:val="00C03279"/>
    <w:rsid w:val="00C04B95"/>
    <w:rsid w:val="00C12194"/>
    <w:rsid w:val="00C1375D"/>
    <w:rsid w:val="00C1581F"/>
    <w:rsid w:val="00C17ECD"/>
    <w:rsid w:val="00C21283"/>
    <w:rsid w:val="00C223AC"/>
    <w:rsid w:val="00C26217"/>
    <w:rsid w:val="00C300BB"/>
    <w:rsid w:val="00C33A73"/>
    <w:rsid w:val="00C37917"/>
    <w:rsid w:val="00C42025"/>
    <w:rsid w:val="00C42674"/>
    <w:rsid w:val="00C42AD2"/>
    <w:rsid w:val="00C44894"/>
    <w:rsid w:val="00C45C31"/>
    <w:rsid w:val="00C470E1"/>
    <w:rsid w:val="00C53C41"/>
    <w:rsid w:val="00C56426"/>
    <w:rsid w:val="00C61652"/>
    <w:rsid w:val="00C62BF9"/>
    <w:rsid w:val="00C62D50"/>
    <w:rsid w:val="00C654CF"/>
    <w:rsid w:val="00C70E10"/>
    <w:rsid w:val="00C7291B"/>
    <w:rsid w:val="00C74390"/>
    <w:rsid w:val="00C80E0D"/>
    <w:rsid w:val="00C80F99"/>
    <w:rsid w:val="00C8154A"/>
    <w:rsid w:val="00C81CAB"/>
    <w:rsid w:val="00C82BEA"/>
    <w:rsid w:val="00C909B7"/>
    <w:rsid w:val="00C92F3D"/>
    <w:rsid w:val="00C949C1"/>
    <w:rsid w:val="00C96123"/>
    <w:rsid w:val="00C96A64"/>
    <w:rsid w:val="00CA02CA"/>
    <w:rsid w:val="00CB2B66"/>
    <w:rsid w:val="00CC2439"/>
    <w:rsid w:val="00CC34C5"/>
    <w:rsid w:val="00CC4A09"/>
    <w:rsid w:val="00CC4C39"/>
    <w:rsid w:val="00CC5695"/>
    <w:rsid w:val="00CC757F"/>
    <w:rsid w:val="00CD2A95"/>
    <w:rsid w:val="00CD5F9B"/>
    <w:rsid w:val="00CD7516"/>
    <w:rsid w:val="00CE1CC4"/>
    <w:rsid w:val="00CE5A49"/>
    <w:rsid w:val="00CE6054"/>
    <w:rsid w:val="00CE753D"/>
    <w:rsid w:val="00CF0C48"/>
    <w:rsid w:val="00CF1610"/>
    <w:rsid w:val="00CF2A2E"/>
    <w:rsid w:val="00CF2ADD"/>
    <w:rsid w:val="00CF2EE4"/>
    <w:rsid w:val="00CF39D4"/>
    <w:rsid w:val="00CF4EC1"/>
    <w:rsid w:val="00CF73A5"/>
    <w:rsid w:val="00D0115B"/>
    <w:rsid w:val="00D014D9"/>
    <w:rsid w:val="00D03F44"/>
    <w:rsid w:val="00D06C2E"/>
    <w:rsid w:val="00D06F15"/>
    <w:rsid w:val="00D07C6E"/>
    <w:rsid w:val="00D13A43"/>
    <w:rsid w:val="00D2120F"/>
    <w:rsid w:val="00D22DE5"/>
    <w:rsid w:val="00D26602"/>
    <w:rsid w:val="00D27A97"/>
    <w:rsid w:val="00D32997"/>
    <w:rsid w:val="00D33586"/>
    <w:rsid w:val="00D37009"/>
    <w:rsid w:val="00D377D7"/>
    <w:rsid w:val="00D41D3D"/>
    <w:rsid w:val="00D42347"/>
    <w:rsid w:val="00D43916"/>
    <w:rsid w:val="00D50E85"/>
    <w:rsid w:val="00D51A25"/>
    <w:rsid w:val="00D5472F"/>
    <w:rsid w:val="00D566D5"/>
    <w:rsid w:val="00D6297D"/>
    <w:rsid w:val="00D65B94"/>
    <w:rsid w:val="00D674DD"/>
    <w:rsid w:val="00D70DBD"/>
    <w:rsid w:val="00D713DA"/>
    <w:rsid w:val="00D71D2C"/>
    <w:rsid w:val="00D72A84"/>
    <w:rsid w:val="00D73253"/>
    <w:rsid w:val="00D74ACC"/>
    <w:rsid w:val="00D752B2"/>
    <w:rsid w:val="00D8078B"/>
    <w:rsid w:val="00D81487"/>
    <w:rsid w:val="00D85922"/>
    <w:rsid w:val="00D8751A"/>
    <w:rsid w:val="00D91B79"/>
    <w:rsid w:val="00D93177"/>
    <w:rsid w:val="00DA4710"/>
    <w:rsid w:val="00DA7CB4"/>
    <w:rsid w:val="00DB5B23"/>
    <w:rsid w:val="00DC04F5"/>
    <w:rsid w:val="00DC240D"/>
    <w:rsid w:val="00DC7D77"/>
    <w:rsid w:val="00DD155F"/>
    <w:rsid w:val="00DD45F8"/>
    <w:rsid w:val="00DE0802"/>
    <w:rsid w:val="00DE1CEF"/>
    <w:rsid w:val="00DE3D02"/>
    <w:rsid w:val="00DF0E56"/>
    <w:rsid w:val="00E01EDF"/>
    <w:rsid w:val="00E14496"/>
    <w:rsid w:val="00E15BCD"/>
    <w:rsid w:val="00E20B0E"/>
    <w:rsid w:val="00E20E5A"/>
    <w:rsid w:val="00E258CE"/>
    <w:rsid w:val="00E3048E"/>
    <w:rsid w:val="00E32641"/>
    <w:rsid w:val="00E32650"/>
    <w:rsid w:val="00E37BC6"/>
    <w:rsid w:val="00E4014A"/>
    <w:rsid w:val="00E449A2"/>
    <w:rsid w:val="00E50018"/>
    <w:rsid w:val="00E50848"/>
    <w:rsid w:val="00E53554"/>
    <w:rsid w:val="00E55189"/>
    <w:rsid w:val="00E55665"/>
    <w:rsid w:val="00E60BCD"/>
    <w:rsid w:val="00E60F4F"/>
    <w:rsid w:val="00E61AD0"/>
    <w:rsid w:val="00E645F0"/>
    <w:rsid w:val="00E6501C"/>
    <w:rsid w:val="00E66EE7"/>
    <w:rsid w:val="00E66F98"/>
    <w:rsid w:val="00E72EC5"/>
    <w:rsid w:val="00E84058"/>
    <w:rsid w:val="00E841E2"/>
    <w:rsid w:val="00E845B8"/>
    <w:rsid w:val="00E87F07"/>
    <w:rsid w:val="00E90B96"/>
    <w:rsid w:val="00E910D0"/>
    <w:rsid w:val="00E915BF"/>
    <w:rsid w:val="00E93007"/>
    <w:rsid w:val="00E964D5"/>
    <w:rsid w:val="00EA2B54"/>
    <w:rsid w:val="00EB1B7B"/>
    <w:rsid w:val="00EB2815"/>
    <w:rsid w:val="00EB2C8F"/>
    <w:rsid w:val="00EB3502"/>
    <w:rsid w:val="00EB411A"/>
    <w:rsid w:val="00EB4724"/>
    <w:rsid w:val="00EB4962"/>
    <w:rsid w:val="00EC08E5"/>
    <w:rsid w:val="00EC2891"/>
    <w:rsid w:val="00EC4637"/>
    <w:rsid w:val="00EC47FB"/>
    <w:rsid w:val="00EC70FF"/>
    <w:rsid w:val="00EC7F11"/>
    <w:rsid w:val="00ED78AE"/>
    <w:rsid w:val="00EE2316"/>
    <w:rsid w:val="00EE4470"/>
    <w:rsid w:val="00EE50F7"/>
    <w:rsid w:val="00EE6E59"/>
    <w:rsid w:val="00EF1470"/>
    <w:rsid w:val="00EF482F"/>
    <w:rsid w:val="00EF49DF"/>
    <w:rsid w:val="00EF618A"/>
    <w:rsid w:val="00F0162B"/>
    <w:rsid w:val="00F02550"/>
    <w:rsid w:val="00F05C09"/>
    <w:rsid w:val="00F060D0"/>
    <w:rsid w:val="00F10E0E"/>
    <w:rsid w:val="00F11713"/>
    <w:rsid w:val="00F138D8"/>
    <w:rsid w:val="00F15490"/>
    <w:rsid w:val="00F16D04"/>
    <w:rsid w:val="00F216E4"/>
    <w:rsid w:val="00F23C44"/>
    <w:rsid w:val="00F25E6D"/>
    <w:rsid w:val="00F314A2"/>
    <w:rsid w:val="00F31527"/>
    <w:rsid w:val="00F31CAD"/>
    <w:rsid w:val="00F32754"/>
    <w:rsid w:val="00F34DE4"/>
    <w:rsid w:val="00F35DEF"/>
    <w:rsid w:val="00F401FB"/>
    <w:rsid w:val="00F43DA4"/>
    <w:rsid w:val="00F447CD"/>
    <w:rsid w:val="00F47921"/>
    <w:rsid w:val="00F52006"/>
    <w:rsid w:val="00F55973"/>
    <w:rsid w:val="00F606A8"/>
    <w:rsid w:val="00F762BE"/>
    <w:rsid w:val="00F76D55"/>
    <w:rsid w:val="00F8044E"/>
    <w:rsid w:val="00F80CF8"/>
    <w:rsid w:val="00F87C18"/>
    <w:rsid w:val="00F9114A"/>
    <w:rsid w:val="00F91399"/>
    <w:rsid w:val="00F93383"/>
    <w:rsid w:val="00F950A1"/>
    <w:rsid w:val="00F969EC"/>
    <w:rsid w:val="00F97695"/>
    <w:rsid w:val="00F97978"/>
    <w:rsid w:val="00FA02A2"/>
    <w:rsid w:val="00FA6197"/>
    <w:rsid w:val="00FA6463"/>
    <w:rsid w:val="00FA7B98"/>
    <w:rsid w:val="00FB14EA"/>
    <w:rsid w:val="00FB20A8"/>
    <w:rsid w:val="00FB5A49"/>
    <w:rsid w:val="00FB6A41"/>
    <w:rsid w:val="00FC3FB3"/>
    <w:rsid w:val="00FC3FFA"/>
    <w:rsid w:val="00FC63A9"/>
    <w:rsid w:val="00FC7D99"/>
    <w:rsid w:val="00FC7EE3"/>
    <w:rsid w:val="00FD0156"/>
    <w:rsid w:val="00FD3902"/>
    <w:rsid w:val="00FD4327"/>
    <w:rsid w:val="00FD67BC"/>
    <w:rsid w:val="00FE136A"/>
    <w:rsid w:val="00FE1646"/>
    <w:rsid w:val="00FE2202"/>
    <w:rsid w:val="00FF4AA2"/>
    <w:rsid w:val="00FF5DC0"/>
    <w:rsid w:val="00FF62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AA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0A8"/>
  </w:style>
  <w:style w:type="paragraph" w:styleId="Heading2">
    <w:name w:val="heading 2"/>
    <w:basedOn w:val="Normal"/>
    <w:next w:val="Normal"/>
    <w:link w:val="Heading2Char"/>
    <w:qFormat/>
    <w:rsid w:val="00C17ECD"/>
    <w:pPr>
      <w:keepNext/>
      <w:spacing w:after="0" w:line="240" w:lineRule="auto"/>
      <w:jc w:val="both"/>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9C1"/>
    <w:pPr>
      <w:ind w:left="720"/>
      <w:contextualSpacing/>
    </w:pPr>
  </w:style>
  <w:style w:type="paragraph" w:styleId="Header">
    <w:name w:val="header"/>
    <w:basedOn w:val="Normal"/>
    <w:link w:val="HeaderChar"/>
    <w:uiPriority w:val="99"/>
    <w:unhideWhenUsed/>
    <w:rsid w:val="006D21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2104"/>
  </w:style>
  <w:style w:type="paragraph" w:styleId="Footer">
    <w:name w:val="footer"/>
    <w:basedOn w:val="Normal"/>
    <w:link w:val="FooterChar"/>
    <w:uiPriority w:val="99"/>
    <w:unhideWhenUsed/>
    <w:rsid w:val="006D21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2104"/>
  </w:style>
  <w:style w:type="paragraph" w:styleId="BalloonText">
    <w:name w:val="Balloon Text"/>
    <w:basedOn w:val="Normal"/>
    <w:link w:val="BalloonTextChar"/>
    <w:uiPriority w:val="99"/>
    <w:semiHidden/>
    <w:unhideWhenUsed/>
    <w:rsid w:val="00AC50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0BB"/>
    <w:rPr>
      <w:rFonts w:ascii="Segoe UI" w:hAnsi="Segoe UI" w:cs="Segoe UI"/>
      <w:sz w:val="18"/>
      <w:szCs w:val="18"/>
    </w:rPr>
  </w:style>
  <w:style w:type="paragraph" w:customStyle="1" w:styleId="Default">
    <w:name w:val="Default"/>
    <w:rsid w:val="00097E4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804AB"/>
    <w:rPr>
      <w:color w:val="0563C1" w:themeColor="hyperlink"/>
      <w:u w:val="single"/>
    </w:rPr>
  </w:style>
  <w:style w:type="character" w:styleId="CommentReference">
    <w:name w:val="annotation reference"/>
    <w:basedOn w:val="DefaultParagraphFont"/>
    <w:uiPriority w:val="99"/>
    <w:semiHidden/>
    <w:unhideWhenUsed/>
    <w:rsid w:val="00ED78AE"/>
    <w:rPr>
      <w:sz w:val="16"/>
      <w:szCs w:val="16"/>
    </w:rPr>
  </w:style>
  <w:style w:type="paragraph" w:styleId="CommentText">
    <w:name w:val="annotation text"/>
    <w:basedOn w:val="Normal"/>
    <w:link w:val="CommentTextChar"/>
    <w:uiPriority w:val="99"/>
    <w:unhideWhenUsed/>
    <w:rsid w:val="00ED78AE"/>
    <w:pPr>
      <w:spacing w:line="240" w:lineRule="auto"/>
    </w:pPr>
    <w:rPr>
      <w:sz w:val="20"/>
      <w:szCs w:val="20"/>
    </w:rPr>
  </w:style>
  <w:style w:type="character" w:customStyle="1" w:styleId="CommentTextChar">
    <w:name w:val="Comment Text Char"/>
    <w:basedOn w:val="DefaultParagraphFont"/>
    <w:link w:val="CommentText"/>
    <w:uiPriority w:val="99"/>
    <w:rsid w:val="00ED78AE"/>
    <w:rPr>
      <w:sz w:val="20"/>
      <w:szCs w:val="20"/>
    </w:rPr>
  </w:style>
  <w:style w:type="paragraph" w:styleId="CommentSubject">
    <w:name w:val="annotation subject"/>
    <w:basedOn w:val="CommentText"/>
    <w:next w:val="CommentText"/>
    <w:link w:val="CommentSubjectChar"/>
    <w:uiPriority w:val="99"/>
    <w:semiHidden/>
    <w:unhideWhenUsed/>
    <w:rsid w:val="00ED78AE"/>
    <w:rPr>
      <w:b/>
      <w:bCs/>
    </w:rPr>
  </w:style>
  <w:style w:type="character" w:customStyle="1" w:styleId="CommentSubjectChar">
    <w:name w:val="Comment Subject Char"/>
    <w:basedOn w:val="CommentTextChar"/>
    <w:link w:val="CommentSubject"/>
    <w:uiPriority w:val="99"/>
    <w:semiHidden/>
    <w:rsid w:val="00ED78AE"/>
    <w:rPr>
      <w:b/>
      <w:bCs/>
      <w:sz w:val="20"/>
      <w:szCs w:val="20"/>
    </w:rPr>
  </w:style>
  <w:style w:type="table" w:styleId="TableGrid">
    <w:name w:val="Table Grid"/>
    <w:basedOn w:val="TableNormal"/>
    <w:uiPriority w:val="39"/>
    <w:rsid w:val="00771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C6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C6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03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D606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D606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ußnote,Fußnote Char,Fußnote Char Char Char,Fußnotentext Char,Fußnotentext Char1 Char1,Fußnotentext Char Char Char Char,Fußnotentext Char1 Char Char Char,Fußnotentext Char Char,Fußnotentext Char1 Char Char Char Char,Fußn,stile 1,f"/>
    <w:basedOn w:val="Normal"/>
    <w:link w:val="FootnoteTextChar"/>
    <w:uiPriority w:val="99"/>
    <w:unhideWhenUsed/>
    <w:rsid w:val="00FD4327"/>
    <w:pPr>
      <w:spacing w:after="0" w:line="240" w:lineRule="auto"/>
    </w:pPr>
    <w:rPr>
      <w:sz w:val="20"/>
      <w:szCs w:val="20"/>
    </w:rPr>
  </w:style>
  <w:style w:type="character" w:customStyle="1" w:styleId="FootnoteTextChar">
    <w:name w:val="Footnote Text Char"/>
    <w:aliases w:val="Fußnote Char1,Fußnote Char Char,Fußnote Char Char Char Char,Fußnotentext Char Char1,Fußnotentext Char1 Char1 Char,Fußnotentext Char Char Char Char Char,Fußnotentext Char1 Char Char Char Char1,Fußnotentext Char Char Char,Fußn Char"/>
    <w:basedOn w:val="DefaultParagraphFont"/>
    <w:link w:val="FootnoteText"/>
    <w:uiPriority w:val="99"/>
    <w:rsid w:val="00FD4327"/>
    <w:rPr>
      <w:sz w:val="20"/>
      <w:szCs w:val="20"/>
    </w:rPr>
  </w:style>
  <w:style w:type="character" w:styleId="FootnoteReference">
    <w:name w:val="footnote reference"/>
    <w:aliases w:val="BVI fnr,Footnote Reference Superscript,SUPERS,Footnote symbol,Footnote,(Footnote Reference),Footnote reference number,note TESI,EN Footnote Reference,Voetnootverwijzing,Times 10 Point,Exposant 3 Point,Appel note de bas de,ftref"/>
    <w:basedOn w:val="DefaultParagraphFont"/>
    <w:link w:val="CharCharCharChar"/>
    <w:uiPriority w:val="99"/>
    <w:unhideWhenUsed/>
    <w:rsid w:val="00FD4327"/>
    <w:rPr>
      <w:vertAlign w:val="superscript"/>
    </w:rPr>
  </w:style>
  <w:style w:type="table" w:customStyle="1" w:styleId="TableGrid6">
    <w:name w:val="Table Grid6"/>
    <w:basedOn w:val="TableNormal"/>
    <w:next w:val="TableGrid"/>
    <w:uiPriority w:val="39"/>
    <w:rsid w:val="00910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910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C17ECD"/>
    <w:rPr>
      <w:rFonts w:ascii="Times New Roman" w:eastAsia="Times New Roman" w:hAnsi="Times New Roman" w:cs="Times New Roman"/>
      <w:b/>
      <w:bCs/>
      <w:sz w:val="24"/>
      <w:szCs w:val="24"/>
    </w:rPr>
  </w:style>
  <w:style w:type="paragraph" w:styleId="BodyText">
    <w:name w:val="Body Text"/>
    <w:basedOn w:val="Normal"/>
    <w:link w:val="BodyTextChar"/>
    <w:rsid w:val="00C17ECD"/>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17ECD"/>
    <w:rPr>
      <w:rFonts w:ascii="Times New Roman" w:eastAsia="Times New Roman" w:hAnsi="Times New Roman" w:cs="Times New Roman"/>
      <w:sz w:val="24"/>
      <w:szCs w:val="24"/>
    </w:rPr>
  </w:style>
  <w:style w:type="paragraph" w:styleId="Revision">
    <w:name w:val="Revision"/>
    <w:hidden/>
    <w:uiPriority w:val="99"/>
    <w:semiHidden/>
    <w:rsid w:val="00F25E6D"/>
    <w:pPr>
      <w:spacing w:after="0" w:line="240" w:lineRule="auto"/>
    </w:pPr>
  </w:style>
  <w:style w:type="paragraph" w:customStyle="1" w:styleId="Nobeigums">
    <w:name w:val="Nobeigums"/>
    <w:basedOn w:val="Normal"/>
    <w:rsid w:val="00EB411A"/>
    <w:pPr>
      <w:spacing w:after="0" w:line="240" w:lineRule="auto"/>
    </w:pPr>
    <w:rPr>
      <w:rFonts w:ascii="Times New Roman" w:eastAsia="Times New Roman" w:hAnsi="Times New Roman" w:cs="Times New Roman"/>
      <w:sz w:val="24"/>
      <w:szCs w:val="20"/>
      <w:lang w:val="en-US"/>
    </w:rPr>
  </w:style>
  <w:style w:type="paragraph" w:customStyle="1" w:styleId="tv2132">
    <w:name w:val="tv2132"/>
    <w:basedOn w:val="Normal"/>
    <w:rsid w:val="00EB411A"/>
    <w:pPr>
      <w:spacing w:after="0" w:line="360" w:lineRule="auto"/>
      <w:ind w:firstLine="300"/>
    </w:pPr>
    <w:rPr>
      <w:rFonts w:ascii="Times New Roman" w:eastAsia="Times New Roman" w:hAnsi="Times New Roman" w:cs="Times New Roman"/>
      <w:color w:val="414142"/>
      <w:sz w:val="20"/>
      <w:szCs w:val="20"/>
      <w:lang w:eastAsia="lv-LV"/>
    </w:rPr>
  </w:style>
  <w:style w:type="character" w:styleId="FollowedHyperlink">
    <w:name w:val="FollowedHyperlink"/>
    <w:basedOn w:val="DefaultParagraphFont"/>
    <w:uiPriority w:val="99"/>
    <w:semiHidden/>
    <w:unhideWhenUsed/>
    <w:rsid w:val="00E32650"/>
    <w:rPr>
      <w:color w:val="954F72" w:themeColor="followedHyperlink"/>
      <w:u w:val="single"/>
    </w:rPr>
  </w:style>
  <w:style w:type="paragraph" w:customStyle="1" w:styleId="CharCharCharChar">
    <w:name w:val="Char Char Char Char"/>
    <w:aliases w:val="Char2"/>
    <w:basedOn w:val="Normal"/>
    <w:next w:val="Normal"/>
    <w:link w:val="FootnoteReference"/>
    <w:uiPriority w:val="99"/>
    <w:rsid w:val="005D4D05"/>
    <w:pPr>
      <w:spacing w:line="240" w:lineRule="exact"/>
      <w:jc w:val="both"/>
      <w:textAlignment w:val="baseline"/>
    </w:pPr>
    <w:rPr>
      <w:vertAlign w:val="superscript"/>
    </w:rPr>
  </w:style>
  <w:style w:type="paragraph" w:styleId="NormalWeb">
    <w:name w:val="Normal (Web)"/>
    <w:basedOn w:val="Normal"/>
    <w:uiPriority w:val="99"/>
    <w:semiHidden/>
    <w:unhideWhenUsed/>
    <w:rsid w:val="000A2F8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CC4A09"/>
    <w:rPr>
      <w:color w:val="808080"/>
      <w:shd w:val="clear" w:color="auto" w:fill="E6E6E6"/>
    </w:rPr>
  </w:style>
  <w:style w:type="paragraph" w:customStyle="1" w:styleId="mt-translation">
    <w:name w:val="mt-translation"/>
    <w:basedOn w:val="Normal"/>
    <w:rsid w:val="000A3F7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phrase">
    <w:name w:val="phrase"/>
    <w:basedOn w:val="DefaultParagraphFont"/>
    <w:rsid w:val="000A3F74"/>
  </w:style>
  <w:style w:type="character" w:customStyle="1" w:styleId="word">
    <w:name w:val="word"/>
    <w:basedOn w:val="DefaultParagraphFont"/>
    <w:rsid w:val="000A3F74"/>
  </w:style>
  <w:style w:type="character" w:customStyle="1" w:styleId="UnresolvedMention2">
    <w:name w:val="Unresolved Mention2"/>
    <w:basedOn w:val="DefaultParagraphFont"/>
    <w:uiPriority w:val="99"/>
    <w:semiHidden/>
    <w:unhideWhenUsed/>
    <w:rsid w:val="006C2B3D"/>
    <w:rPr>
      <w:color w:val="605E5C"/>
      <w:shd w:val="clear" w:color="auto" w:fill="E1DFDD"/>
    </w:rPr>
  </w:style>
  <w:style w:type="paragraph" w:customStyle="1" w:styleId="doc-ti">
    <w:name w:val="doc-ti"/>
    <w:basedOn w:val="Normal"/>
    <w:rsid w:val="00BD343A"/>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574567">
      <w:bodyDiv w:val="1"/>
      <w:marLeft w:val="0"/>
      <w:marRight w:val="0"/>
      <w:marTop w:val="0"/>
      <w:marBottom w:val="0"/>
      <w:divBdr>
        <w:top w:val="none" w:sz="0" w:space="0" w:color="auto"/>
        <w:left w:val="none" w:sz="0" w:space="0" w:color="auto"/>
        <w:bottom w:val="none" w:sz="0" w:space="0" w:color="auto"/>
        <w:right w:val="none" w:sz="0" w:space="0" w:color="auto"/>
      </w:divBdr>
    </w:div>
    <w:div w:id="541868751">
      <w:bodyDiv w:val="1"/>
      <w:marLeft w:val="0"/>
      <w:marRight w:val="0"/>
      <w:marTop w:val="0"/>
      <w:marBottom w:val="0"/>
      <w:divBdr>
        <w:top w:val="none" w:sz="0" w:space="0" w:color="auto"/>
        <w:left w:val="none" w:sz="0" w:space="0" w:color="auto"/>
        <w:bottom w:val="none" w:sz="0" w:space="0" w:color="auto"/>
        <w:right w:val="none" w:sz="0" w:space="0" w:color="auto"/>
      </w:divBdr>
    </w:div>
    <w:div w:id="825779955">
      <w:bodyDiv w:val="1"/>
      <w:marLeft w:val="0"/>
      <w:marRight w:val="0"/>
      <w:marTop w:val="0"/>
      <w:marBottom w:val="0"/>
      <w:divBdr>
        <w:top w:val="none" w:sz="0" w:space="0" w:color="auto"/>
        <w:left w:val="none" w:sz="0" w:space="0" w:color="auto"/>
        <w:bottom w:val="none" w:sz="0" w:space="0" w:color="auto"/>
        <w:right w:val="none" w:sz="0" w:space="0" w:color="auto"/>
      </w:divBdr>
    </w:div>
    <w:div w:id="1078089067">
      <w:bodyDiv w:val="1"/>
      <w:marLeft w:val="0"/>
      <w:marRight w:val="0"/>
      <w:marTop w:val="0"/>
      <w:marBottom w:val="0"/>
      <w:divBdr>
        <w:top w:val="none" w:sz="0" w:space="0" w:color="auto"/>
        <w:left w:val="none" w:sz="0" w:space="0" w:color="auto"/>
        <w:bottom w:val="none" w:sz="0" w:space="0" w:color="auto"/>
        <w:right w:val="none" w:sz="0" w:space="0" w:color="auto"/>
      </w:divBdr>
    </w:div>
    <w:div w:id="1089691667">
      <w:bodyDiv w:val="1"/>
      <w:marLeft w:val="0"/>
      <w:marRight w:val="0"/>
      <w:marTop w:val="0"/>
      <w:marBottom w:val="0"/>
      <w:divBdr>
        <w:top w:val="none" w:sz="0" w:space="0" w:color="auto"/>
        <w:left w:val="none" w:sz="0" w:space="0" w:color="auto"/>
        <w:bottom w:val="none" w:sz="0" w:space="0" w:color="auto"/>
        <w:right w:val="none" w:sz="0" w:space="0" w:color="auto"/>
      </w:divBdr>
    </w:div>
    <w:div w:id="1119027985">
      <w:bodyDiv w:val="1"/>
      <w:marLeft w:val="0"/>
      <w:marRight w:val="0"/>
      <w:marTop w:val="0"/>
      <w:marBottom w:val="0"/>
      <w:divBdr>
        <w:top w:val="none" w:sz="0" w:space="0" w:color="auto"/>
        <w:left w:val="none" w:sz="0" w:space="0" w:color="auto"/>
        <w:bottom w:val="none" w:sz="0" w:space="0" w:color="auto"/>
        <w:right w:val="none" w:sz="0" w:space="0" w:color="auto"/>
      </w:divBdr>
    </w:div>
    <w:div w:id="1127048745">
      <w:bodyDiv w:val="1"/>
      <w:marLeft w:val="0"/>
      <w:marRight w:val="0"/>
      <w:marTop w:val="0"/>
      <w:marBottom w:val="0"/>
      <w:divBdr>
        <w:top w:val="none" w:sz="0" w:space="0" w:color="auto"/>
        <w:left w:val="none" w:sz="0" w:space="0" w:color="auto"/>
        <w:bottom w:val="none" w:sz="0" w:space="0" w:color="auto"/>
        <w:right w:val="none" w:sz="0" w:space="0" w:color="auto"/>
      </w:divBdr>
    </w:div>
    <w:div w:id="1217887640">
      <w:bodyDiv w:val="1"/>
      <w:marLeft w:val="0"/>
      <w:marRight w:val="0"/>
      <w:marTop w:val="0"/>
      <w:marBottom w:val="0"/>
      <w:divBdr>
        <w:top w:val="none" w:sz="0" w:space="0" w:color="auto"/>
        <w:left w:val="none" w:sz="0" w:space="0" w:color="auto"/>
        <w:bottom w:val="none" w:sz="0" w:space="0" w:color="auto"/>
        <w:right w:val="none" w:sz="0" w:space="0" w:color="auto"/>
      </w:divBdr>
    </w:div>
    <w:div w:id="1289971399">
      <w:bodyDiv w:val="1"/>
      <w:marLeft w:val="0"/>
      <w:marRight w:val="0"/>
      <w:marTop w:val="0"/>
      <w:marBottom w:val="0"/>
      <w:divBdr>
        <w:top w:val="none" w:sz="0" w:space="0" w:color="auto"/>
        <w:left w:val="none" w:sz="0" w:space="0" w:color="auto"/>
        <w:bottom w:val="none" w:sz="0" w:space="0" w:color="auto"/>
        <w:right w:val="none" w:sz="0" w:space="0" w:color="auto"/>
      </w:divBdr>
    </w:div>
    <w:div w:id="1359891962">
      <w:bodyDiv w:val="1"/>
      <w:marLeft w:val="0"/>
      <w:marRight w:val="0"/>
      <w:marTop w:val="0"/>
      <w:marBottom w:val="0"/>
      <w:divBdr>
        <w:top w:val="none" w:sz="0" w:space="0" w:color="auto"/>
        <w:left w:val="none" w:sz="0" w:space="0" w:color="auto"/>
        <w:bottom w:val="none" w:sz="0" w:space="0" w:color="auto"/>
        <w:right w:val="none" w:sz="0" w:space="0" w:color="auto"/>
      </w:divBdr>
    </w:div>
    <w:div w:id="1593660420">
      <w:bodyDiv w:val="1"/>
      <w:marLeft w:val="0"/>
      <w:marRight w:val="0"/>
      <w:marTop w:val="0"/>
      <w:marBottom w:val="0"/>
      <w:divBdr>
        <w:top w:val="none" w:sz="0" w:space="0" w:color="auto"/>
        <w:left w:val="none" w:sz="0" w:space="0" w:color="auto"/>
        <w:bottom w:val="none" w:sz="0" w:space="0" w:color="auto"/>
        <w:right w:val="none" w:sz="0" w:space="0" w:color="auto"/>
      </w:divBdr>
    </w:div>
    <w:div w:id="1789272649">
      <w:bodyDiv w:val="1"/>
      <w:marLeft w:val="0"/>
      <w:marRight w:val="0"/>
      <w:marTop w:val="0"/>
      <w:marBottom w:val="0"/>
      <w:divBdr>
        <w:top w:val="none" w:sz="0" w:space="0" w:color="auto"/>
        <w:left w:val="none" w:sz="0" w:space="0" w:color="auto"/>
        <w:bottom w:val="none" w:sz="0" w:space="0" w:color="auto"/>
        <w:right w:val="none" w:sz="0" w:space="0" w:color="auto"/>
      </w:divBdr>
    </w:div>
    <w:div w:id="197456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CDF67-C683-4FBD-9CED-2340E8208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17661</Words>
  <Characters>10068</Characters>
  <Application>Microsoft Office Word</Application>
  <DocSecurity>0</DocSecurity>
  <Lines>83</Lines>
  <Paragraphs>55</Paragraphs>
  <ScaleCrop>false</ScaleCrop>
  <HeadingPairs>
    <vt:vector size="2" baseType="variant">
      <vt:variant>
        <vt:lpstr>Title</vt:lpstr>
      </vt:variant>
      <vt:variant>
        <vt:i4>1</vt:i4>
      </vt:variant>
    </vt:vector>
  </HeadingPairs>
  <TitlesOfParts>
    <vt:vector size="1" baseType="lpstr">
      <vt:lpstr>Informatīvais ziņojums "Baltijas mazo un vidējo uzņēmumu sākotnējā publiskā piedāvājuma fonds"</vt:lpstr>
    </vt:vector>
  </TitlesOfParts>
  <LinksUpToDate>false</LinksUpToDate>
  <CharactersWithSpaces>27674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"Baltijas mazo un vidējo uzņēmumu sākotnējā publiskā piedāvājuma fonds"</dc:title>
  <dc:subject>Informatīvais ziņojums</dc:subject>
  <dc:creator/>
  <dc:description>Tiesnieks, 67095667
Imants.Tiesnieks@fm.gov.lv</dc:description>
  <cp:lastModifiedBy/>
  <cp:revision>1</cp:revision>
  <dcterms:created xsi:type="dcterms:W3CDTF">2021-07-29T06:02:00Z</dcterms:created>
  <dcterms:modified xsi:type="dcterms:W3CDTF">2021-07-29T07:08:00Z</dcterms:modified>
</cp:coreProperties>
</file>